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8A4C3" w14:textId="7DEA9BAA" w:rsidR="007C0CE6" w:rsidRDefault="00D3285C" w:rsidP="000710E6">
      <w:pPr>
        <w:pStyle w:val="Authorname"/>
        <w:spacing w:line="360" w:lineRule="auto"/>
        <w:jc w:val="right"/>
        <w:rPr>
          <w:rStyle w:val="Emphasis"/>
          <w:rFonts w:eastAsia="Arial Unicode MS"/>
          <w:b/>
          <w:bCs w:val="0"/>
          <w:sz w:val="28"/>
          <w:szCs w:val="22"/>
        </w:rPr>
      </w:pPr>
      <w:bookmarkStart w:id="0" w:name="Author_1"/>
      <w:r w:rsidRPr="000D5AFD">
        <w:rPr>
          <w:rStyle w:val="Emphasis"/>
          <w:rFonts w:eastAsia="Arial Unicode MS"/>
          <w:b/>
          <w:bCs w:val="0"/>
          <w:sz w:val="28"/>
          <w:szCs w:val="22"/>
        </w:rPr>
        <w:t>Post-Fire Hydrological Impacts and Water Storage Changes in the Forests of Uttarakhand, India</w:t>
      </w:r>
    </w:p>
    <w:bookmarkEnd w:id="0"/>
    <w:p w14:paraId="52AB6AF8" w14:textId="4ED482EC" w:rsidR="00A47C1A" w:rsidRDefault="00A43959" w:rsidP="000710E6">
      <w:pPr>
        <w:pStyle w:val="Heading1"/>
      </w:pPr>
      <w:r w:rsidRPr="008D4747">
        <w:t>ABSTRACT</w:t>
      </w:r>
    </w:p>
    <w:p w14:paraId="5C136D22" w14:textId="0F4F5ADA" w:rsidR="00F35B90" w:rsidRPr="00F35B90" w:rsidRDefault="00F35B90" w:rsidP="00F35B90">
      <w:pPr>
        <w:pStyle w:val="NormalWeb"/>
        <w:shd w:val="clear" w:color="auto" w:fill="FFFFFF"/>
        <w:spacing w:line="360" w:lineRule="auto"/>
        <w:jc w:val="both"/>
        <w:rPr>
          <w:rFonts w:ascii="Arial" w:hAnsi="Arial" w:cs="Arial"/>
          <w:color w:val="172B4D"/>
          <w:sz w:val="22"/>
          <w:szCs w:val="22"/>
        </w:rPr>
      </w:pPr>
      <w:r w:rsidRPr="00F35B90">
        <w:rPr>
          <w:rFonts w:ascii="Arial" w:hAnsi="Arial" w:cs="Arial"/>
          <w:color w:val="172B4D"/>
          <w:sz w:val="22"/>
          <w:szCs w:val="22"/>
        </w:rPr>
        <w:t>Forest fires are frequent and intense phenomena caused du</w:t>
      </w:r>
      <w:r w:rsidR="00660CF2">
        <w:rPr>
          <w:rFonts w:ascii="Arial" w:hAnsi="Arial" w:cs="Arial"/>
          <w:color w:val="172B4D"/>
          <w:sz w:val="22"/>
          <w:szCs w:val="22"/>
        </w:rPr>
        <w:t>e</w:t>
      </w:r>
      <w:r w:rsidRPr="00F35B90">
        <w:rPr>
          <w:rFonts w:ascii="Arial" w:hAnsi="Arial" w:cs="Arial"/>
          <w:color w:val="172B4D"/>
          <w:sz w:val="22"/>
          <w:szCs w:val="22"/>
        </w:rPr>
        <w:t xml:space="preserve"> to climate change and long-standing fire suppression practices, but their impact on hydrological processes, such as changes in water storage, remains underexplored. We conducted the research in the fire-prone region of Uttarakhand, India, on the southern slopes of the Himalayas. A total of 42 burnt sites from the 2019 forest fire season, spanning five major forest types and identified by the Forest Research Institute (FRI), Dehradun, were identified for the present study.</w:t>
      </w:r>
      <w:r w:rsidR="00660CF2">
        <w:rPr>
          <w:rFonts w:ascii="Arial" w:hAnsi="Arial" w:cs="Arial"/>
          <w:color w:val="172B4D"/>
          <w:sz w:val="22"/>
          <w:szCs w:val="22"/>
        </w:rPr>
        <w:t xml:space="preserve"> </w:t>
      </w:r>
      <w:proofErr w:type="spellStart"/>
      <w:r w:rsidRPr="00F35B90">
        <w:rPr>
          <w:rFonts w:ascii="Arial" w:hAnsi="Arial" w:cs="Arial"/>
          <w:color w:val="172B4D"/>
          <w:sz w:val="22"/>
          <w:szCs w:val="22"/>
        </w:rPr>
        <w:t>Thornwaite</w:t>
      </w:r>
      <w:proofErr w:type="spellEnd"/>
      <w:r w:rsidRPr="00F35B90">
        <w:rPr>
          <w:rFonts w:ascii="Arial" w:hAnsi="Arial" w:cs="Arial"/>
          <w:color w:val="172B4D"/>
          <w:sz w:val="22"/>
          <w:szCs w:val="22"/>
        </w:rPr>
        <w:t>-Mather Water Balance (TMWB) method to evaluate the impact of forest fires on water balance. Change in water storage was determined by integrating precipitation data from CHIRPS, runoff was estimated using the SCS Curve Number method, and actual evapotranspiration (</w:t>
      </w:r>
      <w:proofErr w:type="spellStart"/>
      <w:r w:rsidRPr="00F35B90">
        <w:rPr>
          <w:rFonts w:ascii="Arial" w:hAnsi="Arial" w:cs="Arial"/>
          <w:color w:val="172B4D"/>
          <w:sz w:val="22"/>
          <w:szCs w:val="22"/>
        </w:rPr>
        <w:t>ETa</w:t>
      </w:r>
      <w:proofErr w:type="spellEnd"/>
      <w:r w:rsidRPr="00F35B90">
        <w:rPr>
          <w:rFonts w:ascii="Arial" w:hAnsi="Arial" w:cs="Arial"/>
          <w:color w:val="172B4D"/>
          <w:sz w:val="22"/>
          <w:szCs w:val="22"/>
        </w:rPr>
        <w:t xml:space="preserve">) from GLDAS AET Version 2.1. The finding revealed a consistent post-fire decline in water storage, the most significant reduction in storage was observed at site S35 in the STP forest (-59.85%) and the smallest reduction at site S26 in the TOF forest (-4.08%). This decline is due to reduced infiltration, soil degradation, and vegetation loss that </w:t>
      </w:r>
      <w:r w:rsidR="00660CF2">
        <w:rPr>
          <w:rFonts w:ascii="Arial" w:hAnsi="Arial" w:cs="Arial"/>
          <w:color w:val="172B4D"/>
          <w:sz w:val="22"/>
          <w:szCs w:val="22"/>
        </w:rPr>
        <w:t>regulate</w:t>
      </w:r>
      <w:r w:rsidRPr="00F35B90">
        <w:rPr>
          <w:rFonts w:ascii="Arial" w:hAnsi="Arial" w:cs="Arial"/>
          <w:color w:val="172B4D"/>
          <w:sz w:val="22"/>
          <w:szCs w:val="22"/>
        </w:rPr>
        <w:t xml:space="preserve"> hydrological balance. These findings underscore the importance of forests in sustaining water resources and emphasize the need for integrated fire and water management strategies. This research highlights the hydrological consequences of forest fires and supports the development of climate-resilient policies and restoration efforts to protect ecosystems and dependent communities.</w:t>
      </w:r>
    </w:p>
    <w:p w14:paraId="49AF685B" w14:textId="77777777" w:rsidR="00F35B90" w:rsidRPr="00F35B90" w:rsidRDefault="00F35B90" w:rsidP="00F35B90">
      <w:pPr>
        <w:rPr>
          <w:lang w:val="en-US"/>
        </w:rPr>
      </w:pPr>
    </w:p>
    <w:p w14:paraId="53015DAE" w14:textId="095AA13C" w:rsidR="006527FE" w:rsidRDefault="000F1F7F" w:rsidP="006527FE">
      <w:pPr>
        <w:ind w:firstLine="0"/>
        <w:rPr>
          <w:rFonts w:ascii="Arial" w:hAnsi="Arial" w:cs="Arial"/>
          <w:sz w:val="22"/>
          <w:szCs w:val="22"/>
        </w:rPr>
      </w:pPr>
      <w:bookmarkStart w:id="1" w:name="_Ref473037328"/>
      <w:r w:rsidRPr="008D4747">
        <w:rPr>
          <w:rFonts w:ascii="Arial" w:hAnsi="Arial" w:cs="Arial"/>
          <w:b/>
          <w:bCs/>
          <w:sz w:val="22"/>
          <w:szCs w:val="22"/>
        </w:rPr>
        <w:t>Keywords</w:t>
      </w:r>
      <w:r w:rsidR="004E6118" w:rsidRPr="008D4747">
        <w:rPr>
          <w:rFonts w:ascii="Arial" w:hAnsi="Arial" w:cs="Arial"/>
          <w:b/>
          <w:bCs/>
          <w:sz w:val="22"/>
          <w:szCs w:val="22"/>
        </w:rPr>
        <w:t>:</w:t>
      </w:r>
      <w:r w:rsidR="00030031" w:rsidRPr="008D4747">
        <w:rPr>
          <w:rFonts w:ascii="Arial" w:hAnsi="Arial" w:cs="Arial"/>
          <w:sz w:val="22"/>
          <w:szCs w:val="22"/>
        </w:rPr>
        <w:t xml:space="preserve"> </w:t>
      </w:r>
      <w:r w:rsidR="005811C4" w:rsidRPr="008D4747">
        <w:rPr>
          <w:rFonts w:ascii="Arial" w:hAnsi="Arial" w:cs="Arial"/>
          <w:sz w:val="22"/>
          <w:szCs w:val="22"/>
        </w:rPr>
        <w:t>Evapotranspiration</w:t>
      </w:r>
      <w:r w:rsidR="003D4314" w:rsidRPr="008D4747">
        <w:rPr>
          <w:rFonts w:ascii="Arial" w:hAnsi="Arial" w:cs="Arial"/>
          <w:sz w:val="22"/>
          <w:szCs w:val="22"/>
        </w:rPr>
        <w:t>;</w:t>
      </w:r>
      <w:r w:rsidR="004E6118" w:rsidRPr="008D4747">
        <w:rPr>
          <w:rFonts w:ascii="Arial" w:hAnsi="Arial" w:cs="Arial"/>
          <w:sz w:val="22"/>
          <w:szCs w:val="22"/>
        </w:rPr>
        <w:t xml:space="preserve"> </w:t>
      </w:r>
      <w:r w:rsidR="005811C4" w:rsidRPr="008D4747">
        <w:rPr>
          <w:rFonts w:ascii="Arial" w:hAnsi="Arial" w:cs="Arial"/>
          <w:sz w:val="22"/>
          <w:szCs w:val="22"/>
        </w:rPr>
        <w:t>Changing in Storage</w:t>
      </w:r>
      <w:r w:rsidR="003D4314" w:rsidRPr="008D4747">
        <w:rPr>
          <w:rFonts w:ascii="Arial" w:hAnsi="Arial" w:cs="Arial"/>
          <w:sz w:val="22"/>
          <w:szCs w:val="22"/>
        </w:rPr>
        <w:t>;</w:t>
      </w:r>
      <w:r w:rsidR="005811C4" w:rsidRPr="008D4747">
        <w:rPr>
          <w:rFonts w:ascii="Arial" w:hAnsi="Arial" w:cs="Arial"/>
          <w:sz w:val="22"/>
          <w:szCs w:val="22"/>
        </w:rPr>
        <w:t xml:space="preserve"> Runoff</w:t>
      </w:r>
      <w:r w:rsidR="003D4314" w:rsidRPr="008D4747">
        <w:rPr>
          <w:rFonts w:ascii="Arial" w:hAnsi="Arial" w:cs="Arial"/>
          <w:sz w:val="22"/>
          <w:szCs w:val="22"/>
        </w:rPr>
        <w:t>;</w:t>
      </w:r>
      <w:r w:rsidR="005811C4" w:rsidRPr="008D4747">
        <w:rPr>
          <w:rFonts w:ascii="Arial" w:hAnsi="Arial" w:cs="Arial"/>
          <w:sz w:val="22"/>
          <w:szCs w:val="22"/>
        </w:rPr>
        <w:t xml:space="preserve"> Forest Fire</w:t>
      </w:r>
      <w:r w:rsidR="003D4314" w:rsidRPr="008D4747">
        <w:rPr>
          <w:rFonts w:ascii="Arial" w:hAnsi="Arial" w:cs="Arial"/>
          <w:sz w:val="22"/>
          <w:szCs w:val="22"/>
        </w:rPr>
        <w:t>;</w:t>
      </w:r>
      <w:r w:rsidR="00D141AC">
        <w:rPr>
          <w:rFonts w:ascii="Arial" w:hAnsi="Arial" w:cs="Arial"/>
          <w:sz w:val="22"/>
          <w:szCs w:val="22"/>
        </w:rPr>
        <w:t xml:space="preserve"> </w:t>
      </w:r>
      <w:r w:rsidR="00D141AC" w:rsidRPr="00D141AC">
        <w:rPr>
          <w:rStyle w:val="Emphasis"/>
          <w:rFonts w:eastAsia="Arial Unicode MS"/>
          <w:b w:val="0"/>
          <w:bCs w:val="0"/>
          <w:sz w:val="22"/>
          <w:szCs w:val="22"/>
        </w:rPr>
        <w:t>Water Storage</w:t>
      </w:r>
      <w:r w:rsidR="00D141AC" w:rsidRPr="000D5AFD">
        <w:rPr>
          <w:rStyle w:val="Emphasis"/>
          <w:rFonts w:eastAsia="Arial Unicode MS"/>
          <w:bCs w:val="0"/>
          <w:sz w:val="28"/>
          <w:szCs w:val="22"/>
        </w:rPr>
        <w:t xml:space="preserve"> </w:t>
      </w:r>
    </w:p>
    <w:p w14:paraId="53506287" w14:textId="77777777" w:rsidR="005976AC" w:rsidRDefault="005976AC" w:rsidP="006527FE">
      <w:pPr>
        <w:ind w:firstLine="0"/>
        <w:rPr>
          <w:rFonts w:ascii="Arial" w:hAnsi="Arial" w:cs="Arial"/>
          <w:sz w:val="22"/>
          <w:szCs w:val="22"/>
        </w:rPr>
      </w:pPr>
    </w:p>
    <w:p w14:paraId="1F23D261" w14:textId="04CAFD3A" w:rsidR="00A47C1A" w:rsidRDefault="000710E6" w:rsidP="00C23625">
      <w:pPr>
        <w:pStyle w:val="ListParagraph"/>
        <w:numPr>
          <w:ilvl w:val="0"/>
          <w:numId w:val="27"/>
        </w:numPr>
        <w:ind w:left="284"/>
        <w:rPr>
          <w:rFonts w:ascii="Arial" w:hAnsi="Arial" w:cs="Arial"/>
          <w:b/>
          <w:bCs/>
          <w:szCs w:val="22"/>
        </w:rPr>
      </w:pPr>
      <w:r w:rsidRPr="008D4747">
        <w:rPr>
          <w:rFonts w:ascii="Arial" w:hAnsi="Arial" w:cs="Arial"/>
          <w:b/>
          <w:bCs/>
          <w:szCs w:val="22"/>
        </w:rPr>
        <w:t>INTRODUCTION</w:t>
      </w:r>
      <w:bookmarkEnd w:id="1"/>
    </w:p>
    <w:p w14:paraId="0461B98B" w14:textId="6A3724B1" w:rsidR="0072196E" w:rsidRPr="00660CF2" w:rsidRDefault="0072196E" w:rsidP="0072196E">
      <w:pPr>
        <w:ind w:firstLine="0"/>
        <w:rPr>
          <w:rFonts w:ascii="Arial" w:hAnsi="Arial" w:cs="Arial"/>
          <w:sz w:val="20"/>
        </w:rPr>
      </w:pPr>
      <w:r w:rsidRPr="008D4747">
        <w:rPr>
          <w:rFonts w:ascii="Arial" w:hAnsi="Arial" w:cs="Arial"/>
          <w:sz w:val="22"/>
          <w:szCs w:val="22"/>
        </w:rPr>
        <w:t xml:space="preserve">Forest fires are becoming more frequent across the globe, driven by both climate change and longstanding fire suppression practices (Littell et al., 2016; </w:t>
      </w:r>
      <w:proofErr w:type="spellStart"/>
      <w:r w:rsidRPr="008D4747">
        <w:rPr>
          <w:rFonts w:ascii="Arial" w:hAnsi="Arial" w:cs="Arial"/>
          <w:sz w:val="22"/>
          <w:szCs w:val="22"/>
        </w:rPr>
        <w:t>Pechony</w:t>
      </w:r>
      <w:proofErr w:type="spellEnd"/>
      <w:r w:rsidRPr="008D4747">
        <w:rPr>
          <w:rFonts w:ascii="Arial" w:hAnsi="Arial" w:cs="Arial"/>
          <w:sz w:val="22"/>
          <w:szCs w:val="22"/>
        </w:rPr>
        <w:t xml:space="preserve"> and </w:t>
      </w:r>
      <w:proofErr w:type="spellStart"/>
      <w:r w:rsidRPr="008D4747">
        <w:rPr>
          <w:rFonts w:ascii="Arial" w:hAnsi="Arial" w:cs="Arial"/>
          <w:sz w:val="22"/>
          <w:szCs w:val="22"/>
        </w:rPr>
        <w:t>Shindell</w:t>
      </w:r>
      <w:proofErr w:type="spellEnd"/>
      <w:r w:rsidRPr="008D4747">
        <w:rPr>
          <w:rFonts w:ascii="Arial" w:hAnsi="Arial" w:cs="Arial"/>
          <w:sz w:val="22"/>
          <w:szCs w:val="22"/>
        </w:rPr>
        <w:t xml:space="preserve">, 2010; Westerling et al., 2006; Wotton et al., 2010). Fire disturbances </w:t>
      </w:r>
      <w:r>
        <w:rPr>
          <w:rFonts w:ascii="Arial" w:hAnsi="Arial" w:cs="Arial"/>
          <w:sz w:val="22"/>
          <w:szCs w:val="22"/>
        </w:rPr>
        <w:t>lead to</w:t>
      </w:r>
      <w:r w:rsidRPr="008D4747">
        <w:rPr>
          <w:rFonts w:ascii="Arial" w:hAnsi="Arial" w:cs="Arial"/>
          <w:sz w:val="22"/>
          <w:szCs w:val="22"/>
        </w:rPr>
        <w:t xml:space="preserve"> long-term </w:t>
      </w:r>
      <w:r>
        <w:rPr>
          <w:rFonts w:ascii="Arial" w:hAnsi="Arial" w:cs="Arial"/>
          <w:sz w:val="22"/>
          <w:szCs w:val="22"/>
        </w:rPr>
        <w:t>shifts</w:t>
      </w:r>
      <w:r w:rsidRPr="008D4747">
        <w:rPr>
          <w:rFonts w:ascii="Arial" w:hAnsi="Arial" w:cs="Arial"/>
          <w:sz w:val="22"/>
          <w:szCs w:val="22"/>
        </w:rPr>
        <w:t xml:space="preserve"> in plant communities and large-scale ecological </w:t>
      </w:r>
      <w:r>
        <w:rPr>
          <w:rFonts w:ascii="Arial" w:hAnsi="Arial" w:cs="Arial"/>
          <w:sz w:val="22"/>
          <w:szCs w:val="22"/>
        </w:rPr>
        <w:t>effects</w:t>
      </w:r>
      <w:r w:rsidRPr="008D4747">
        <w:rPr>
          <w:rFonts w:ascii="Arial" w:hAnsi="Arial" w:cs="Arial"/>
          <w:sz w:val="22"/>
          <w:szCs w:val="22"/>
        </w:rPr>
        <w:t xml:space="preserve">, </w:t>
      </w:r>
      <w:r>
        <w:rPr>
          <w:rFonts w:ascii="Arial" w:hAnsi="Arial" w:cs="Arial"/>
          <w:sz w:val="22"/>
          <w:szCs w:val="22"/>
        </w:rPr>
        <w:t>such as loss of</w:t>
      </w:r>
      <w:r w:rsidRPr="008D4747">
        <w:rPr>
          <w:rFonts w:ascii="Arial" w:hAnsi="Arial" w:cs="Arial"/>
          <w:sz w:val="22"/>
          <w:szCs w:val="22"/>
        </w:rPr>
        <w:t xml:space="preserve"> biodiversity, reduced forest cover, soil degradation, </w:t>
      </w:r>
      <w:r>
        <w:rPr>
          <w:rFonts w:ascii="Arial" w:hAnsi="Arial" w:cs="Arial"/>
          <w:sz w:val="22"/>
          <w:szCs w:val="22"/>
        </w:rPr>
        <w:t>enhanced</w:t>
      </w:r>
      <w:r w:rsidRPr="008D4747">
        <w:rPr>
          <w:rFonts w:ascii="Arial" w:hAnsi="Arial" w:cs="Arial"/>
          <w:sz w:val="22"/>
          <w:szCs w:val="22"/>
        </w:rPr>
        <w:t xml:space="preserve"> greenhouse gas emissions, and </w:t>
      </w:r>
      <w:r>
        <w:rPr>
          <w:rFonts w:ascii="Arial" w:hAnsi="Arial" w:cs="Arial"/>
          <w:sz w:val="22"/>
          <w:szCs w:val="22"/>
        </w:rPr>
        <w:t>enhance</w:t>
      </w:r>
      <w:r w:rsidRPr="008D4747">
        <w:rPr>
          <w:rFonts w:ascii="Arial" w:hAnsi="Arial" w:cs="Arial"/>
          <w:sz w:val="22"/>
          <w:szCs w:val="22"/>
        </w:rPr>
        <w:t xml:space="preserve"> desertification. They also alter ecosystem water balance by </w:t>
      </w:r>
      <w:r>
        <w:rPr>
          <w:rFonts w:ascii="Arial" w:hAnsi="Arial" w:cs="Arial"/>
          <w:sz w:val="22"/>
          <w:szCs w:val="22"/>
        </w:rPr>
        <w:t>lowering</w:t>
      </w:r>
      <w:r w:rsidRPr="008D4747">
        <w:rPr>
          <w:rFonts w:ascii="Arial" w:hAnsi="Arial" w:cs="Arial"/>
          <w:sz w:val="22"/>
          <w:szCs w:val="22"/>
        </w:rPr>
        <w:t xml:space="preserve"> vegetation and surface cover, </w:t>
      </w:r>
      <w:r>
        <w:rPr>
          <w:rFonts w:ascii="Arial" w:hAnsi="Arial" w:cs="Arial"/>
          <w:sz w:val="22"/>
          <w:szCs w:val="22"/>
        </w:rPr>
        <w:t>impacting</w:t>
      </w:r>
      <w:r w:rsidRPr="008D4747">
        <w:rPr>
          <w:rFonts w:ascii="Arial" w:hAnsi="Arial" w:cs="Arial"/>
          <w:sz w:val="22"/>
          <w:szCs w:val="22"/>
        </w:rPr>
        <w:t xml:space="preserve"> runoff and evapotranspiration (Keeley, 2009; Poon &amp; Kinoshita, 2018). Evapotranspiration (</w:t>
      </w:r>
      <w:proofErr w:type="spellStart"/>
      <w:r w:rsidRPr="008D4747">
        <w:rPr>
          <w:rFonts w:ascii="Arial" w:hAnsi="Arial" w:cs="Arial"/>
          <w:sz w:val="22"/>
          <w:szCs w:val="22"/>
        </w:rPr>
        <w:t>ETa</w:t>
      </w:r>
      <w:proofErr w:type="spellEnd"/>
      <w:r w:rsidRPr="008D4747">
        <w:rPr>
          <w:rFonts w:ascii="Arial" w:hAnsi="Arial" w:cs="Arial"/>
          <w:sz w:val="22"/>
          <w:szCs w:val="22"/>
        </w:rPr>
        <w:t xml:space="preserve">) is one of the most responsive hydrologic processes to disturbances </w:t>
      </w:r>
      <w:r>
        <w:rPr>
          <w:rFonts w:ascii="Arial" w:hAnsi="Arial" w:cs="Arial"/>
          <w:sz w:val="22"/>
          <w:szCs w:val="22"/>
        </w:rPr>
        <w:t xml:space="preserve">of </w:t>
      </w:r>
      <w:r w:rsidRPr="008D4747">
        <w:rPr>
          <w:rFonts w:ascii="Arial" w:hAnsi="Arial" w:cs="Arial"/>
          <w:sz w:val="22"/>
          <w:szCs w:val="22"/>
        </w:rPr>
        <w:t>vegetation (</w:t>
      </w:r>
      <w:proofErr w:type="spellStart"/>
      <w:r w:rsidRPr="008D4747">
        <w:rPr>
          <w:rFonts w:ascii="Arial" w:hAnsi="Arial" w:cs="Arial"/>
          <w:sz w:val="22"/>
          <w:szCs w:val="22"/>
        </w:rPr>
        <w:t>DeBano</w:t>
      </w:r>
      <w:proofErr w:type="spellEnd"/>
      <w:r w:rsidRPr="008D4747">
        <w:rPr>
          <w:rFonts w:ascii="Arial" w:hAnsi="Arial" w:cs="Arial"/>
          <w:sz w:val="22"/>
          <w:szCs w:val="22"/>
        </w:rPr>
        <w:t xml:space="preserve"> et al., 1998). </w:t>
      </w:r>
      <w:r>
        <w:rPr>
          <w:rFonts w:ascii="Arial" w:hAnsi="Arial" w:cs="Arial"/>
          <w:sz w:val="22"/>
          <w:szCs w:val="22"/>
        </w:rPr>
        <w:t xml:space="preserve">In </w:t>
      </w:r>
      <w:r>
        <w:rPr>
          <w:rFonts w:ascii="Arial" w:hAnsi="Arial" w:cs="Arial"/>
          <w:sz w:val="22"/>
          <w:szCs w:val="22"/>
        </w:rPr>
        <w:lastRenderedPageBreak/>
        <w:t>addition to impacting</w:t>
      </w:r>
      <w:r w:rsidRPr="008D4747">
        <w:rPr>
          <w:rFonts w:ascii="Arial" w:hAnsi="Arial" w:cs="Arial"/>
          <w:sz w:val="22"/>
          <w:szCs w:val="22"/>
        </w:rPr>
        <w:t xml:space="preserve"> </w:t>
      </w:r>
      <w:proofErr w:type="spellStart"/>
      <w:r w:rsidRPr="008D4747">
        <w:rPr>
          <w:rFonts w:ascii="Arial" w:hAnsi="Arial" w:cs="Arial"/>
          <w:sz w:val="22"/>
          <w:szCs w:val="22"/>
        </w:rPr>
        <w:t>ETa</w:t>
      </w:r>
      <w:proofErr w:type="spellEnd"/>
      <w:r>
        <w:rPr>
          <w:rFonts w:ascii="Arial" w:hAnsi="Arial" w:cs="Arial"/>
          <w:sz w:val="22"/>
          <w:szCs w:val="22"/>
        </w:rPr>
        <w:t>,</w:t>
      </w:r>
      <w:r w:rsidRPr="008D4747">
        <w:rPr>
          <w:rFonts w:ascii="Arial" w:hAnsi="Arial" w:cs="Arial"/>
          <w:sz w:val="22"/>
          <w:szCs w:val="22"/>
        </w:rPr>
        <w:t xml:space="preserve"> wildfires also influence several key physical processes on the landscape that affect water movement along hillslopes, </w:t>
      </w:r>
      <w:r>
        <w:rPr>
          <w:rFonts w:ascii="Arial" w:hAnsi="Arial" w:cs="Arial"/>
          <w:sz w:val="22"/>
          <w:szCs w:val="22"/>
        </w:rPr>
        <w:t>such as</w:t>
      </w:r>
      <w:r w:rsidRPr="008D4747">
        <w:rPr>
          <w:rFonts w:ascii="Arial" w:hAnsi="Arial" w:cs="Arial"/>
          <w:sz w:val="22"/>
          <w:szCs w:val="22"/>
        </w:rPr>
        <w:t xml:space="preserve"> precipitation</w:t>
      </w:r>
      <w:r>
        <w:rPr>
          <w:rFonts w:ascii="Arial" w:hAnsi="Arial" w:cs="Arial"/>
          <w:sz w:val="22"/>
          <w:szCs w:val="22"/>
        </w:rPr>
        <w:t>,</w:t>
      </w:r>
      <w:r w:rsidRPr="008D4747">
        <w:rPr>
          <w:rFonts w:ascii="Arial" w:hAnsi="Arial" w:cs="Arial"/>
          <w:sz w:val="22"/>
          <w:szCs w:val="22"/>
        </w:rPr>
        <w:t xml:space="preserve"> throughfall, infiltration rates, snowmelt dynamics and sub storage change (Hallema et al., 2017). When vegetation is significantly disturbed by fire, transpiration can dec</w:t>
      </w:r>
      <w:r>
        <w:rPr>
          <w:rFonts w:ascii="Arial" w:hAnsi="Arial" w:cs="Arial"/>
          <w:sz w:val="22"/>
          <w:szCs w:val="22"/>
        </w:rPr>
        <w:t>rease</w:t>
      </w:r>
      <w:r w:rsidRPr="008D4747">
        <w:rPr>
          <w:rFonts w:ascii="Arial" w:hAnsi="Arial" w:cs="Arial"/>
          <w:sz w:val="22"/>
          <w:szCs w:val="22"/>
        </w:rPr>
        <w:t xml:space="preserve"> </w:t>
      </w:r>
      <w:r>
        <w:rPr>
          <w:rFonts w:ascii="Arial" w:hAnsi="Arial" w:cs="Arial"/>
          <w:sz w:val="22"/>
          <w:szCs w:val="22"/>
        </w:rPr>
        <w:t>sufficiently</w:t>
      </w:r>
      <w:r w:rsidRPr="008D4747">
        <w:rPr>
          <w:rFonts w:ascii="Arial" w:hAnsi="Arial" w:cs="Arial"/>
          <w:sz w:val="22"/>
          <w:szCs w:val="22"/>
        </w:rPr>
        <w:t xml:space="preserve"> to outweigh any increase in evaporation driven by altered surface energy dynamics, </w:t>
      </w:r>
      <w:r w:rsidRPr="00E26791">
        <w:rPr>
          <w:rFonts w:ascii="Arial" w:hAnsi="Arial" w:cs="Arial"/>
          <w:sz w:val="22"/>
          <w:szCs w:val="22"/>
        </w:rPr>
        <w:t>and this can result in a net decrease in actual net evapotranspiration (</w:t>
      </w:r>
      <w:proofErr w:type="spellStart"/>
      <w:r w:rsidRPr="00E26791">
        <w:rPr>
          <w:rFonts w:ascii="Arial" w:hAnsi="Arial" w:cs="Arial"/>
          <w:sz w:val="22"/>
          <w:szCs w:val="22"/>
        </w:rPr>
        <w:t>ETa</w:t>
      </w:r>
      <w:proofErr w:type="spellEnd"/>
      <w:r w:rsidRPr="00E26791">
        <w:rPr>
          <w:rFonts w:ascii="Arial" w:hAnsi="Arial" w:cs="Arial"/>
          <w:sz w:val="22"/>
          <w:szCs w:val="22"/>
        </w:rPr>
        <w:t>)</w:t>
      </w:r>
      <w:r>
        <w:rPr>
          <w:rFonts w:ascii="Arial" w:hAnsi="Arial" w:cs="Arial"/>
          <w:sz w:val="22"/>
          <w:szCs w:val="22"/>
        </w:rPr>
        <w:t xml:space="preserve"> </w:t>
      </w:r>
      <w:r w:rsidRPr="008D4747">
        <w:rPr>
          <w:rFonts w:ascii="Arial" w:hAnsi="Arial" w:cs="Arial"/>
          <w:sz w:val="22"/>
          <w:szCs w:val="22"/>
        </w:rPr>
        <w:t>(</w:t>
      </w:r>
      <w:proofErr w:type="spellStart"/>
      <w:r w:rsidRPr="008D4747">
        <w:rPr>
          <w:rFonts w:ascii="Arial" w:hAnsi="Arial" w:cs="Arial"/>
          <w:sz w:val="22"/>
          <w:szCs w:val="22"/>
        </w:rPr>
        <w:t>Biederman</w:t>
      </w:r>
      <w:proofErr w:type="spellEnd"/>
      <w:r w:rsidRPr="008D4747">
        <w:rPr>
          <w:rFonts w:ascii="Arial" w:hAnsi="Arial" w:cs="Arial"/>
          <w:sz w:val="22"/>
          <w:szCs w:val="22"/>
        </w:rPr>
        <w:t xml:space="preserve"> et al., 2014; Tague et al., 2019). </w:t>
      </w:r>
      <w:r w:rsidRPr="00E26791">
        <w:rPr>
          <w:rFonts w:ascii="Arial" w:hAnsi="Arial" w:cs="Arial"/>
          <w:sz w:val="22"/>
          <w:szCs w:val="22"/>
        </w:rPr>
        <w:t xml:space="preserve">Such a reduction in </w:t>
      </w:r>
      <w:proofErr w:type="spellStart"/>
      <w:r w:rsidRPr="00E26791">
        <w:rPr>
          <w:rFonts w:ascii="Arial" w:hAnsi="Arial" w:cs="Arial"/>
          <w:sz w:val="22"/>
          <w:szCs w:val="22"/>
        </w:rPr>
        <w:t>ETa</w:t>
      </w:r>
      <w:proofErr w:type="spellEnd"/>
      <w:r w:rsidRPr="00E26791">
        <w:rPr>
          <w:rFonts w:ascii="Arial" w:hAnsi="Arial" w:cs="Arial"/>
          <w:sz w:val="22"/>
          <w:szCs w:val="22"/>
        </w:rPr>
        <w:t>, due to loss of vegetation, can have a direct effect on the alteration in water storage under post-fire conditions.</w:t>
      </w:r>
      <w:r w:rsidRPr="008D4747">
        <w:rPr>
          <w:rFonts w:ascii="Arial" w:hAnsi="Arial" w:cs="Arial"/>
          <w:sz w:val="22"/>
          <w:szCs w:val="22"/>
        </w:rPr>
        <w:t xml:space="preserve"> The change in storage can be estimated using the water balance method developed by Thornthwaite and Mather (1955, 1957), which quantifies the relationship between key hydrological components. According to Eagleson (2005), the water balance framework focuses on long-term averages of precipitation, runoff, evapotranspiration, and change in storage components that play a central role in the hydrological cycle</w:t>
      </w:r>
      <w:r w:rsidRPr="00147295">
        <w:rPr>
          <w:rFonts w:ascii="Arial" w:hAnsi="Arial" w:cs="Arial"/>
          <w:color w:val="FF0000"/>
          <w:sz w:val="22"/>
          <w:szCs w:val="22"/>
        </w:rPr>
        <w:t>.</w:t>
      </w:r>
      <w:r>
        <w:rPr>
          <w:rFonts w:ascii="Arial" w:hAnsi="Arial" w:cs="Arial"/>
          <w:color w:val="FF0000"/>
          <w:sz w:val="22"/>
          <w:szCs w:val="22"/>
        </w:rPr>
        <w:t xml:space="preserve"> </w:t>
      </w:r>
      <w:r w:rsidRPr="00660CF2">
        <w:rPr>
          <w:rFonts w:ascii="Arial" w:hAnsi="Arial" w:cs="Arial"/>
          <w:sz w:val="22"/>
          <w:szCs w:val="22"/>
          <w:lang w:val="en-IN"/>
        </w:rPr>
        <w:t xml:space="preserve">Several studies have observed water balance techniques and hydrologic impact, emphasizing their importance in managing water resources. </w:t>
      </w:r>
      <w:r w:rsidRPr="00660CF2">
        <w:rPr>
          <w:rFonts w:ascii="Arial" w:hAnsi="Arial" w:cs="Arial"/>
          <w:bCs/>
          <w:sz w:val="22"/>
          <w:szCs w:val="22"/>
        </w:rPr>
        <w:t>Atchley et al. 2018; Venkatesh et al. 2019 studied the relationship between infiltration, runoff, precipitation,</w:t>
      </w:r>
      <w:r w:rsidR="00660CF2">
        <w:rPr>
          <w:rFonts w:ascii="Arial" w:hAnsi="Arial" w:cs="Arial"/>
          <w:bCs/>
          <w:sz w:val="22"/>
          <w:szCs w:val="22"/>
        </w:rPr>
        <w:t xml:space="preserve"> </w:t>
      </w:r>
      <w:r w:rsidRPr="00660CF2">
        <w:rPr>
          <w:rFonts w:ascii="Arial" w:hAnsi="Arial" w:cs="Arial"/>
          <w:bCs/>
          <w:sz w:val="22"/>
          <w:szCs w:val="22"/>
        </w:rPr>
        <w:t xml:space="preserve">streamflow and evapotranspiration highlighting how all these factors affect overall hydrologic behaviour. </w:t>
      </w:r>
      <w:r w:rsidRPr="00660CF2">
        <w:rPr>
          <w:rFonts w:ascii="Arial" w:hAnsi="Arial" w:cs="Arial"/>
          <w:sz w:val="22"/>
          <w:szCs w:val="22"/>
          <w:lang w:val="en-IN"/>
        </w:rPr>
        <w:t>The Thornthwaite and Mather water balance method was applied across various region and its practical applications (</w:t>
      </w:r>
      <w:proofErr w:type="spellStart"/>
      <w:r w:rsidRPr="00660CF2">
        <w:rPr>
          <w:rFonts w:ascii="Arial" w:hAnsi="Arial" w:cs="Arial"/>
          <w:sz w:val="22"/>
          <w:szCs w:val="22"/>
          <w:lang w:val="en-IN"/>
        </w:rPr>
        <w:t>Ensafi</w:t>
      </w:r>
      <w:proofErr w:type="spellEnd"/>
      <w:r w:rsidRPr="00660CF2">
        <w:rPr>
          <w:rFonts w:ascii="Arial" w:hAnsi="Arial" w:cs="Arial"/>
          <w:sz w:val="22"/>
          <w:szCs w:val="22"/>
          <w:lang w:val="en-IN"/>
        </w:rPr>
        <w:t xml:space="preserve"> </w:t>
      </w:r>
      <w:proofErr w:type="spellStart"/>
      <w:r w:rsidRPr="00660CF2">
        <w:rPr>
          <w:rFonts w:ascii="Arial" w:hAnsi="Arial" w:cs="Arial"/>
          <w:sz w:val="22"/>
          <w:szCs w:val="22"/>
          <w:lang w:val="en-IN"/>
        </w:rPr>
        <w:t>Moghaddam</w:t>
      </w:r>
      <w:proofErr w:type="spellEnd"/>
      <w:r w:rsidRPr="00660CF2">
        <w:rPr>
          <w:rFonts w:ascii="Arial" w:hAnsi="Arial" w:cs="Arial"/>
          <w:sz w:val="22"/>
          <w:szCs w:val="22"/>
          <w:lang w:val="en-IN"/>
        </w:rPr>
        <w:t xml:space="preserve"> and </w:t>
      </w:r>
      <w:proofErr w:type="spellStart"/>
      <w:r w:rsidRPr="00660CF2">
        <w:rPr>
          <w:rFonts w:ascii="Arial" w:hAnsi="Arial" w:cs="Arial"/>
          <w:sz w:val="22"/>
          <w:szCs w:val="22"/>
          <w:lang w:val="en-IN"/>
        </w:rPr>
        <w:t>Mohammadkhan</w:t>
      </w:r>
      <w:proofErr w:type="spellEnd"/>
      <w:r w:rsidRPr="00660CF2">
        <w:rPr>
          <w:rFonts w:ascii="Arial" w:hAnsi="Arial" w:cs="Arial"/>
          <w:sz w:val="22"/>
          <w:szCs w:val="22"/>
          <w:lang w:val="en-IN"/>
        </w:rPr>
        <w:t xml:space="preserve">, 2017; Nugroho et al., 2019; Mammoliti et al., 2021). </w:t>
      </w:r>
      <w:r w:rsidRPr="00660CF2">
        <w:rPr>
          <w:rFonts w:ascii="Arial" w:hAnsi="Arial" w:cs="Arial"/>
          <w:sz w:val="22"/>
          <w:szCs w:val="22"/>
        </w:rPr>
        <w:t xml:space="preserve">Collar et al. 2024 study focused on the long-term effect of wildfire on hydrology and </w:t>
      </w:r>
      <w:proofErr w:type="spellStart"/>
      <w:r w:rsidRPr="00660CF2">
        <w:rPr>
          <w:rFonts w:ascii="Arial" w:hAnsi="Arial" w:cs="Arial"/>
          <w:sz w:val="22"/>
          <w:szCs w:val="22"/>
        </w:rPr>
        <w:t>ETa</w:t>
      </w:r>
      <w:proofErr w:type="spellEnd"/>
      <w:r w:rsidRPr="00660CF2">
        <w:rPr>
          <w:rFonts w:ascii="Arial" w:hAnsi="Arial" w:cs="Arial"/>
          <w:sz w:val="22"/>
          <w:szCs w:val="22"/>
        </w:rPr>
        <w:t xml:space="preserve">. These studies determine importance of water balance approach for a better understanding change in storage and water resource in the face of environmental and climatic changes. </w:t>
      </w:r>
    </w:p>
    <w:p w14:paraId="7A61429A" w14:textId="77777777" w:rsidR="0072196E" w:rsidRPr="008D4747" w:rsidRDefault="0072196E" w:rsidP="0072196E">
      <w:pPr>
        <w:pStyle w:val="ListParagraph"/>
        <w:ind w:left="284"/>
        <w:rPr>
          <w:rFonts w:ascii="Arial" w:hAnsi="Arial" w:cs="Arial"/>
          <w:b/>
          <w:bCs/>
          <w:szCs w:val="22"/>
        </w:rPr>
      </w:pPr>
    </w:p>
    <w:p w14:paraId="52C306BC" w14:textId="3BF29D32" w:rsidR="000710E6" w:rsidRPr="008D4747" w:rsidRDefault="000710E6" w:rsidP="000710E6">
      <w:pPr>
        <w:pStyle w:val="Heading2"/>
        <w:rPr>
          <w:sz w:val="22"/>
          <w:szCs w:val="22"/>
        </w:rPr>
      </w:pPr>
      <w:r w:rsidRPr="008D4747">
        <w:rPr>
          <w:sz w:val="22"/>
          <w:szCs w:val="22"/>
        </w:rPr>
        <w:t>MATERIAL AND METHOD</w:t>
      </w:r>
    </w:p>
    <w:p w14:paraId="70ED7DBD" w14:textId="1779B93E" w:rsidR="002D4943" w:rsidRPr="008D4747" w:rsidRDefault="000710E6" w:rsidP="000710E6">
      <w:pPr>
        <w:pStyle w:val="Heading2"/>
        <w:numPr>
          <w:ilvl w:val="1"/>
          <w:numId w:val="27"/>
        </w:numPr>
        <w:tabs>
          <w:tab w:val="clear" w:pos="567"/>
          <w:tab w:val="left" w:pos="284"/>
        </w:tabs>
        <w:ind w:left="426" w:hanging="426"/>
        <w:rPr>
          <w:sz w:val="22"/>
          <w:szCs w:val="22"/>
        </w:rPr>
      </w:pPr>
      <w:r w:rsidRPr="008D4747">
        <w:rPr>
          <w:sz w:val="22"/>
          <w:szCs w:val="22"/>
        </w:rPr>
        <w:t xml:space="preserve"> </w:t>
      </w:r>
      <w:r w:rsidR="002D4943" w:rsidRPr="008D4747">
        <w:rPr>
          <w:sz w:val="22"/>
          <w:szCs w:val="22"/>
        </w:rPr>
        <w:t xml:space="preserve">Study </w:t>
      </w:r>
      <w:r w:rsidR="002131DA" w:rsidRPr="008D4747">
        <w:rPr>
          <w:sz w:val="22"/>
          <w:szCs w:val="22"/>
        </w:rPr>
        <w:t>A</w:t>
      </w:r>
      <w:r w:rsidR="002D4943" w:rsidRPr="008D4747">
        <w:rPr>
          <w:sz w:val="22"/>
          <w:szCs w:val="22"/>
        </w:rPr>
        <w:t>rea</w:t>
      </w:r>
    </w:p>
    <w:p w14:paraId="2E3163A6" w14:textId="056E7474" w:rsidR="00321A15" w:rsidRPr="008D4747" w:rsidRDefault="00CE42BC" w:rsidP="00C23625">
      <w:pPr>
        <w:ind w:firstLine="0"/>
        <w:rPr>
          <w:rFonts w:ascii="Arial" w:hAnsi="Arial" w:cs="Arial"/>
          <w:sz w:val="22"/>
          <w:szCs w:val="22"/>
        </w:rPr>
      </w:pPr>
      <w:r w:rsidRPr="008D4747">
        <w:rPr>
          <w:rFonts w:ascii="Arial" w:hAnsi="Arial" w:cs="Arial"/>
          <w:sz w:val="22"/>
          <w:szCs w:val="22"/>
        </w:rPr>
        <w:t xml:space="preserve">The study was conducted in Uttarakhand, India, located on the southern slopes of the Himalayas, covering 53,483 km² between latitudes 28°44′ and 31°28′N and longitudes 77°35′ and 81°01′E. Geographically, the state includes the </w:t>
      </w:r>
      <w:proofErr w:type="spellStart"/>
      <w:r w:rsidRPr="008D4747">
        <w:rPr>
          <w:rFonts w:ascii="Arial" w:hAnsi="Arial" w:cs="Arial"/>
          <w:sz w:val="22"/>
          <w:szCs w:val="22"/>
        </w:rPr>
        <w:t>Terai</w:t>
      </w:r>
      <w:proofErr w:type="spellEnd"/>
      <w:r w:rsidRPr="008D4747">
        <w:rPr>
          <w:rFonts w:ascii="Arial" w:hAnsi="Arial" w:cs="Arial"/>
          <w:sz w:val="22"/>
          <w:szCs w:val="22"/>
        </w:rPr>
        <w:t xml:space="preserve">, </w:t>
      </w:r>
      <w:proofErr w:type="spellStart"/>
      <w:r w:rsidRPr="008D4747">
        <w:rPr>
          <w:rFonts w:ascii="Arial" w:hAnsi="Arial" w:cs="Arial"/>
          <w:sz w:val="22"/>
          <w:szCs w:val="22"/>
        </w:rPr>
        <w:t>Siwaliks</w:t>
      </w:r>
      <w:proofErr w:type="spellEnd"/>
      <w:r w:rsidRPr="008D4747">
        <w:rPr>
          <w:rFonts w:ascii="Arial" w:hAnsi="Arial" w:cs="Arial"/>
          <w:sz w:val="22"/>
          <w:szCs w:val="22"/>
        </w:rPr>
        <w:t xml:space="preserve">, and Himalayan zones, with predominantly hilly terrain and steep slopes. Climate varies from subtropical in the foothills to cool temperate in higher altitudes. The average annual rainfall is 1,547 mm (ICFRE, 2013). Forests cover 45.44% of the state’s area, with 6,482 km² classified as open forest, 12,768 km² as moderately dense, and 5,055 km² as very dense (FSI, 2021). Forest types include 34 categories across eight groups, such as subtropical pine and Himalayan moist temperate forests (Champion </w:t>
      </w:r>
      <w:r w:rsidR="001C65E8">
        <w:rPr>
          <w:rFonts w:ascii="Arial" w:hAnsi="Arial" w:cs="Arial"/>
          <w:sz w:val="22"/>
          <w:szCs w:val="22"/>
        </w:rPr>
        <w:t>and</w:t>
      </w:r>
      <w:r w:rsidRPr="008D4747">
        <w:rPr>
          <w:rFonts w:ascii="Arial" w:hAnsi="Arial" w:cs="Arial"/>
          <w:sz w:val="22"/>
          <w:szCs w:val="22"/>
        </w:rPr>
        <w:t xml:space="preserve"> Seth, 1968). A net 2% forest cover change was recorded, indicating dynamic forest conditions and the need for ongoing monitoring and management. This study carried out by considering 42 selected polygons in Uttarakhand across the 2019 forest fire provided by FRI, Dehradun. The study area was further </w:t>
      </w:r>
      <w:r w:rsidRPr="008D4747">
        <w:rPr>
          <w:rFonts w:ascii="Arial" w:hAnsi="Arial" w:cs="Arial"/>
          <w:sz w:val="22"/>
          <w:szCs w:val="22"/>
        </w:rPr>
        <w:lastRenderedPageBreak/>
        <w:t>classified based on fire severity classification by ICFRE, Dehradun so that the study sites selected represent the typical physiographic, vegetation and FF intensity (low</w:t>
      </w:r>
      <w:r w:rsidR="00400EB6" w:rsidRPr="008D4747">
        <w:rPr>
          <w:rFonts w:ascii="Arial" w:hAnsi="Arial" w:cs="Arial"/>
          <w:sz w:val="22"/>
          <w:szCs w:val="22"/>
        </w:rPr>
        <w:t xml:space="preserve"> and</w:t>
      </w:r>
      <w:r w:rsidRPr="008D4747">
        <w:rPr>
          <w:rFonts w:ascii="Arial" w:hAnsi="Arial" w:cs="Arial"/>
          <w:sz w:val="22"/>
          <w:szCs w:val="22"/>
        </w:rPr>
        <w:t xml:space="preserve"> medium) across the state. The study area is classified into five distinct forest types, each comprising a different number of fire-affected sites. The Subtropical Pine Forest (STP) includes 20 burnt sites, the Himalayan Moist Tropical Forest (HMT) includes 11 sites, the Tropical Moist Deciduous Forest (TMD) comprises 6 sites, the Trees Outside Forest (TOF) category includes 3 sites, and the Tropical Dry Deciduous Forest (TDD) consists of 2 sites</w:t>
      </w:r>
      <w:r w:rsidR="00D20D84" w:rsidRPr="008D4747">
        <w:rPr>
          <w:rFonts w:ascii="Arial" w:hAnsi="Arial" w:cs="Arial"/>
          <w:sz w:val="22"/>
          <w:szCs w:val="22"/>
        </w:rPr>
        <w:t>.</w:t>
      </w:r>
    </w:p>
    <w:p w14:paraId="28E9CD4B" w14:textId="2A3C2554" w:rsidR="00A0328C" w:rsidRPr="008D4747" w:rsidRDefault="009A74EF" w:rsidP="008D4747">
      <w:pPr>
        <w:keepNext/>
        <w:ind w:firstLine="0"/>
        <w:rPr>
          <w:rFonts w:ascii="Arial" w:hAnsi="Arial" w:cs="Arial"/>
          <w:lang w:val="en-IN"/>
        </w:rPr>
      </w:pPr>
      <w:r w:rsidRPr="000710E6">
        <w:rPr>
          <w:rFonts w:ascii="Arial" w:hAnsi="Arial" w:cs="Arial"/>
          <w:noProof/>
          <w:lang w:val="en-US"/>
        </w:rPr>
        <w:drawing>
          <wp:inline distT="0" distB="0" distL="0" distR="0" wp14:anchorId="71D5BF59" wp14:editId="1B444840">
            <wp:extent cx="5943600" cy="4400550"/>
            <wp:effectExtent l="0" t="0" r="0" b="0"/>
            <wp:docPr id="710079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r w:rsidR="001155BB" w:rsidRPr="008D4747">
        <w:rPr>
          <w:rFonts w:ascii="Arial" w:hAnsi="Arial" w:cs="Arial"/>
          <w:b/>
          <w:bCs/>
          <w:sz w:val="22"/>
          <w:szCs w:val="22"/>
        </w:rPr>
        <w:t xml:space="preserve">Fig. </w:t>
      </w:r>
      <w:r w:rsidR="001155BB" w:rsidRPr="008D4747">
        <w:rPr>
          <w:rFonts w:ascii="Arial" w:hAnsi="Arial" w:cs="Arial"/>
          <w:b/>
          <w:bCs/>
          <w:sz w:val="22"/>
          <w:szCs w:val="22"/>
        </w:rPr>
        <w:fldChar w:fldCharType="begin"/>
      </w:r>
      <w:r w:rsidR="001155BB" w:rsidRPr="008D4747">
        <w:rPr>
          <w:rFonts w:ascii="Arial" w:hAnsi="Arial" w:cs="Arial"/>
          <w:b/>
          <w:bCs/>
          <w:sz w:val="22"/>
          <w:szCs w:val="22"/>
        </w:rPr>
        <w:instrText xml:space="preserve"> SEQ Fig. \* ARABIC </w:instrText>
      </w:r>
      <w:r w:rsidR="001155BB" w:rsidRPr="008D4747">
        <w:rPr>
          <w:rFonts w:ascii="Arial" w:hAnsi="Arial" w:cs="Arial"/>
          <w:b/>
          <w:bCs/>
          <w:sz w:val="22"/>
          <w:szCs w:val="22"/>
        </w:rPr>
        <w:fldChar w:fldCharType="separate"/>
      </w:r>
      <w:r w:rsidR="00735F80" w:rsidRPr="008D4747">
        <w:rPr>
          <w:rFonts w:ascii="Arial" w:hAnsi="Arial" w:cs="Arial"/>
          <w:b/>
          <w:bCs/>
          <w:noProof/>
          <w:sz w:val="22"/>
          <w:szCs w:val="22"/>
        </w:rPr>
        <w:t>1</w:t>
      </w:r>
      <w:r w:rsidR="001155BB" w:rsidRPr="008D4747">
        <w:rPr>
          <w:rFonts w:ascii="Arial" w:hAnsi="Arial" w:cs="Arial"/>
          <w:b/>
          <w:bCs/>
          <w:sz w:val="22"/>
          <w:szCs w:val="22"/>
        </w:rPr>
        <w:fldChar w:fldCharType="end"/>
      </w:r>
      <w:r w:rsidR="001155BB" w:rsidRPr="008D4747">
        <w:rPr>
          <w:rFonts w:ascii="Arial" w:hAnsi="Arial" w:cs="Arial"/>
          <w:sz w:val="22"/>
          <w:szCs w:val="22"/>
        </w:rPr>
        <w:t xml:space="preserve"> </w:t>
      </w:r>
      <w:r w:rsidR="00FB60BB" w:rsidRPr="008D4747">
        <w:rPr>
          <w:rFonts w:ascii="Arial" w:hAnsi="Arial" w:cs="Arial"/>
          <w:b/>
          <w:bCs/>
          <w:sz w:val="22"/>
          <w:szCs w:val="22"/>
        </w:rPr>
        <w:t>Map of Uttarakhand showing the locations of the 42 burn sites categorized by block</w:t>
      </w:r>
    </w:p>
    <w:p w14:paraId="3B89B77B" w14:textId="77777777" w:rsidR="000E4A93" w:rsidRDefault="00134BAF" w:rsidP="006527FE">
      <w:pPr>
        <w:keepNext/>
        <w:ind w:firstLine="0"/>
        <w:rPr>
          <w:rFonts w:ascii="Arial" w:hAnsi="Arial" w:cs="Arial"/>
          <w:strike/>
          <w:sz w:val="22"/>
          <w:szCs w:val="22"/>
        </w:rPr>
      </w:pPr>
      <w:r w:rsidRPr="008D4747">
        <w:rPr>
          <w:rFonts w:ascii="Arial" w:hAnsi="Arial" w:cs="Arial"/>
          <w:sz w:val="22"/>
          <w:szCs w:val="22"/>
        </w:rPr>
        <w:t>The area lies within a subtropical monsoon zone and receives an average annual rainfall of around 1,547 mm, with over 81% of the precipitation falling during the months of July and August.</w:t>
      </w:r>
      <w:r w:rsidR="006527FE" w:rsidRPr="008D4747">
        <w:rPr>
          <w:rFonts w:ascii="Arial" w:hAnsi="Arial" w:cs="Arial"/>
          <w:sz w:val="22"/>
          <w:szCs w:val="22"/>
        </w:rPr>
        <w:t xml:space="preserve"> </w:t>
      </w:r>
      <w:r w:rsidRPr="008D4747">
        <w:rPr>
          <w:rFonts w:ascii="Arial" w:hAnsi="Arial" w:cs="Arial"/>
          <w:sz w:val="22"/>
          <w:szCs w:val="22"/>
        </w:rPr>
        <w:t xml:space="preserve">The climate in the catchment area varies from humid continental to tropical, depending on altitude and season. The southern foothills have a subtropical climate, with summer temperatures averaging around 30°C and winter temperatures near 18°C. In contrast, the Middle Himalayan valleys experience a warm temperate climate, with summer temperatures reaching about 25°C and relatively mild winters. </w:t>
      </w:r>
      <w:r w:rsidR="006527FE" w:rsidRPr="008D4747">
        <w:rPr>
          <w:rFonts w:ascii="Arial" w:hAnsi="Arial" w:cs="Arial"/>
          <w:sz w:val="22"/>
          <w:szCs w:val="22"/>
        </w:rPr>
        <w:t>In the highest regions of the Middle Himalayas, cool temperate</w:t>
      </w:r>
      <w:r w:rsidR="00A74042">
        <w:rPr>
          <w:rFonts w:ascii="Arial" w:hAnsi="Arial" w:cs="Arial"/>
          <w:sz w:val="22"/>
          <w:szCs w:val="22"/>
        </w:rPr>
        <w:t xml:space="preserve"> </w:t>
      </w:r>
      <w:r w:rsidR="006527FE" w:rsidRPr="008D4747">
        <w:rPr>
          <w:rFonts w:ascii="Arial" w:hAnsi="Arial" w:cs="Arial"/>
          <w:sz w:val="22"/>
          <w:szCs w:val="22"/>
        </w:rPr>
        <w:lastRenderedPageBreak/>
        <w:t xml:space="preserve">weather predominates. Summer temperatures often range from 15°C to 18°C, while winter temperatures fall below freezing. </w:t>
      </w:r>
      <w:r w:rsidR="00D918BB" w:rsidRPr="008D4747">
        <w:rPr>
          <w:rFonts w:ascii="Arial" w:hAnsi="Arial" w:cs="Arial"/>
          <w:strike/>
          <w:sz w:val="22"/>
          <w:szCs w:val="22"/>
        </w:rPr>
        <w:t xml:space="preserve"> </w:t>
      </w:r>
    </w:p>
    <w:p w14:paraId="6F422DFF" w14:textId="43CB0E2D" w:rsidR="00F75343" w:rsidRPr="000E4A93" w:rsidRDefault="000E4A93" w:rsidP="006527FE">
      <w:pPr>
        <w:keepNext/>
        <w:ind w:firstLine="0"/>
        <w:rPr>
          <w:rFonts w:ascii="Arial" w:hAnsi="Arial" w:cs="Arial"/>
          <w:strike/>
          <w:sz w:val="22"/>
          <w:szCs w:val="22"/>
        </w:rPr>
      </w:pPr>
      <w:r w:rsidRPr="00405D17">
        <w:rPr>
          <w:rFonts w:ascii="Arial" w:hAnsi="Arial" w:cs="Arial"/>
          <w:b/>
          <w:bCs/>
          <w:sz w:val="22"/>
          <w:szCs w:val="22"/>
        </w:rPr>
        <w:t>2.2</w:t>
      </w:r>
      <w:r w:rsidRPr="00405D17">
        <w:rPr>
          <w:rFonts w:ascii="Arial" w:hAnsi="Arial" w:cs="Arial"/>
          <w:sz w:val="22"/>
          <w:szCs w:val="22"/>
        </w:rPr>
        <w:t xml:space="preserve"> </w:t>
      </w:r>
      <w:r w:rsidR="00F75343" w:rsidRPr="00405D17">
        <w:rPr>
          <w:rFonts w:ascii="Arial" w:hAnsi="Arial" w:cs="Arial"/>
          <w:b/>
          <w:bCs/>
          <w:sz w:val="22"/>
          <w:szCs w:val="22"/>
        </w:rPr>
        <w:t>Assessment</w:t>
      </w:r>
      <w:r w:rsidR="00F75343" w:rsidRPr="000E4A93">
        <w:rPr>
          <w:rFonts w:ascii="Arial" w:hAnsi="Arial" w:cs="Arial"/>
          <w:b/>
          <w:bCs/>
          <w:sz w:val="22"/>
          <w:szCs w:val="22"/>
        </w:rPr>
        <w:t xml:space="preserve"> of water balance</w:t>
      </w:r>
    </w:p>
    <w:p w14:paraId="58EB7DC8" w14:textId="5D8F5F38" w:rsidR="00F75343" w:rsidRPr="008D4747" w:rsidRDefault="000E4A93" w:rsidP="000E4A93">
      <w:pPr>
        <w:pStyle w:val="Heading2"/>
        <w:numPr>
          <w:ilvl w:val="0"/>
          <w:numId w:val="0"/>
        </w:numPr>
        <w:ind w:left="284" w:hanging="284"/>
        <w:rPr>
          <w:sz w:val="22"/>
          <w:szCs w:val="22"/>
        </w:rPr>
      </w:pPr>
      <w:r>
        <w:rPr>
          <w:sz w:val="22"/>
          <w:szCs w:val="22"/>
        </w:rPr>
        <w:t xml:space="preserve">2.2.1 </w:t>
      </w:r>
      <w:r w:rsidR="00F75343" w:rsidRPr="008D4747">
        <w:rPr>
          <w:sz w:val="22"/>
          <w:szCs w:val="22"/>
        </w:rPr>
        <w:t>Computation of Hydrological Water Balance</w:t>
      </w:r>
    </w:p>
    <w:p w14:paraId="693384D1" w14:textId="77777777" w:rsidR="00121E63" w:rsidRPr="008D4747" w:rsidRDefault="00121E63" w:rsidP="00C23625">
      <w:pPr>
        <w:pStyle w:val="Caption"/>
        <w:keepNext/>
        <w:ind w:firstLine="0"/>
        <w:jc w:val="both"/>
        <w:rPr>
          <w:rFonts w:ascii="Arial" w:hAnsi="Arial" w:cs="Arial"/>
          <w:sz w:val="22"/>
          <w:szCs w:val="22"/>
          <w:lang w:val="en-GB"/>
        </w:rPr>
      </w:pPr>
      <w:r w:rsidRPr="008D4747">
        <w:rPr>
          <w:rFonts w:ascii="Arial" w:hAnsi="Arial" w:cs="Arial"/>
          <w:sz w:val="22"/>
          <w:szCs w:val="22"/>
          <w:lang w:val="en-GB"/>
        </w:rPr>
        <w:t xml:space="preserve">Water balance is based on law of conservation of mass and this method is used to calculate ET. Thornthwaite-Mather Water Balance Approach </w:t>
      </w:r>
    </w:p>
    <w:p w14:paraId="2C21495F" w14:textId="28F80E5A" w:rsidR="00121E63" w:rsidRPr="008D4747" w:rsidRDefault="00121E63" w:rsidP="00121E63">
      <w:pPr>
        <w:jc w:val="center"/>
        <w:rPr>
          <w:rFonts w:ascii="Arial" w:hAnsi="Arial" w:cs="Arial"/>
          <w:sz w:val="22"/>
          <w:szCs w:val="22"/>
        </w:rPr>
      </w:pPr>
      <m:oMath>
        <m:r>
          <w:rPr>
            <w:rFonts w:ascii="Cambria Math" w:hAnsi="Cambria Math" w:cs="Arial"/>
            <w:sz w:val="22"/>
            <w:szCs w:val="22"/>
          </w:rPr>
          <m:t>P=RO+AET+ Change in sub-storage (SM)</m:t>
        </m:r>
      </m:oMath>
      <w:r w:rsidRPr="008D4747">
        <w:rPr>
          <w:rFonts w:ascii="Arial" w:hAnsi="Arial" w:cs="Arial"/>
          <w:sz w:val="22"/>
          <w:szCs w:val="22"/>
        </w:rPr>
        <w:t xml:space="preserve">                </w:t>
      </w:r>
      <w:r w:rsidRPr="008D4747">
        <w:rPr>
          <w:rFonts w:ascii="Arial" w:hAnsi="Arial" w:cs="Arial"/>
          <w:i/>
          <w:iCs/>
          <w:sz w:val="22"/>
          <w:szCs w:val="22"/>
        </w:rPr>
        <w:t>Equation (1)</w:t>
      </w:r>
    </w:p>
    <w:p w14:paraId="41E90258" w14:textId="7A568E37" w:rsidR="00121E63" w:rsidRPr="008D4747" w:rsidRDefault="00121E63" w:rsidP="00121E63">
      <w:pPr>
        <w:pStyle w:val="Caption"/>
        <w:keepNext/>
        <w:ind w:firstLine="0"/>
        <w:jc w:val="both"/>
        <w:rPr>
          <w:rFonts w:ascii="Arial" w:hAnsi="Arial" w:cs="Arial"/>
          <w:sz w:val="22"/>
          <w:szCs w:val="22"/>
          <w:lang w:val="en-GB"/>
        </w:rPr>
      </w:pPr>
      <w:r w:rsidRPr="008D4747">
        <w:rPr>
          <w:rFonts w:ascii="Arial" w:hAnsi="Arial" w:cs="Arial"/>
          <w:sz w:val="22"/>
          <w:szCs w:val="22"/>
          <w:lang w:val="en-GB"/>
        </w:rPr>
        <w:t>Where, P = Rainfall; RO = Runoff; AET = Actual evapotranspiration; SM = Change in soil moisture</w:t>
      </w:r>
      <w:r w:rsidR="00BD3D56" w:rsidRPr="008D4747">
        <w:rPr>
          <w:rFonts w:ascii="Arial" w:hAnsi="Arial" w:cs="Arial"/>
          <w:sz w:val="22"/>
          <w:szCs w:val="22"/>
          <w:lang w:val="en-GB"/>
        </w:rPr>
        <w:t>.</w:t>
      </w:r>
    </w:p>
    <w:p w14:paraId="03B832B7" w14:textId="5330E609" w:rsidR="00BD3D56" w:rsidRPr="008D4747" w:rsidRDefault="00761F97" w:rsidP="00761F97">
      <w:pPr>
        <w:pStyle w:val="Heading2"/>
        <w:numPr>
          <w:ilvl w:val="0"/>
          <w:numId w:val="0"/>
        </w:numPr>
        <w:ind w:left="284" w:hanging="284"/>
        <w:rPr>
          <w:sz w:val="22"/>
          <w:szCs w:val="22"/>
        </w:rPr>
      </w:pPr>
      <w:r>
        <w:rPr>
          <w:sz w:val="22"/>
          <w:szCs w:val="22"/>
        </w:rPr>
        <w:t>2..2.</w:t>
      </w:r>
      <w:r w:rsidR="00405D17">
        <w:rPr>
          <w:sz w:val="22"/>
          <w:szCs w:val="22"/>
        </w:rPr>
        <w:t>2 Precipitation</w:t>
      </w:r>
      <w:r w:rsidR="00BD3D56" w:rsidRPr="008D4747">
        <w:rPr>
          <w:sz w:val="22"/>
          <w:szCs w:val="22"/>
        </w:rPr>
        <w:t xml:space="preserve"> Data</w:t>
      </w:r>
    </w:p>
    <w:p w14:paraId="3C3195E3" w14:textId="5372849C" w:rsidR="00320EFC" w:rsidRPr="008D4747" w:rsidRDefault="00BD3D56" w:rsidP="00C23625">
      <w:pPr>
        <w:pStyle w:val="Caption"/>
        <w:keepNext/>
        <w:ind w:firstLine="0"/>
        <w:jc w:val="both"/>
        <w:rPr>
          <w:rFonts w:ascii="Arial" w:hAnsi="Arial" w:cs="Arial"/>
          <w:sz w:val="22"/>
          <w:szCs w:val="22"/>
          <w:lang w:val="en-GB"/>
        </w:rPr>
      </w:pPr>
      <w:r w:rsidRPr="008D4747">
        <w:rPr>
          <w:rFonts w:ascii="Arial" w:hAnsi="Arial" w:cs="Arial"/>
          <w:sz w:val="22"/>
          <w:szCs w:val="22"/>
          <w:lang w:val="en-GB"/>
        </w:rPr>
        <w:t xml:space="preserve">For this study, rainfall data was obtained using CHIRPS dataset </w:t>
      </w:r>
      <w:r w:rsidR="002B4029">
        <w:rPr>
          <w:rFonts w:ascii="Arial" w:hAnsi="Arial" w:cs="Arial"/>
          <w:sz w:val="22"/>
          <w:szCs w:val="22"/>
          <w:lang w:val="en-GB"/>
        </w:rPr>
        <w:t xml:space="preserve">which is </w:t>
      </w:r>
      <w:r w:rsidRPr="008D4747">
        <w:rPr>
          <w:rFonts w:ascii="Arial" w:hAnsi="Arial" w:cs="Arial"/>
          <w:sz w:val="22"/>
          <w:szCs w:val="22"/>
          <w:lang w:val="en-GB"/>
        </w:rPr>
        <w:t xml:space="preserve">developed in collaboration with the USGS EROS </w:t>
      </w:r>
      <w:proofErr w:type="spellStart"/>
      <w:r w:rsidR="002B4029">
        <w:rPr>
          <w:rFonts w:ascii="Arial" w:hAnsi="Arial" w:cs="Arial"/>
          <w:sz w:val="22"/>
          <w:szCs w:val="22"/>
          <w:lang w:val="en-GB"/>
        </w:rPr>
        <w:t>c</w:t>
      </w:r>
      <w:r w:rsidRPr="008D4747">
        <w:rPr>
          <w:rFonts w:ascii="Arial" w:hAnsi="Arial" w:cs="Arial"/>
          <w:sz w:val="22"/>
          <w:szCs w:val="22"/>
          <w:lang w:val="en-GB"/>
        </w:rPr>
        <w:t>enter</w:t>
      </w:r>
      <w:proofErr w:type="spellEnd"/>
      <w:r w:rsidRPr="008D4747">
        <w:rPr>
          <w:rFonts w:ascii="Arial" w:hAnsi="Arial" w:cs="Arial"/>
          <w:sz w:val="22"/>
          <w:szCs w:val="22"/>
          <w:lang w:val="en-GB"/>
        </w:rPr>
        <w:t xml:space="preserve"> </w:t>
      </w:r>
      <w:r w:rsidR="002B4029">
        <w:rPr>
          <w:rFonts w:ascii="Arial" w:hAnsi="Arial" w:cs="Arial"/>
          <w:sz w:val="22"/>
          <w:szCs w:val="22"/>
          <w:lang w:val="en-GB"/>
        </w:rPr>
        <w:t>for the purpose of</w:t>
      </w:r>
      <w:r w:rsidRPr="008D4747">
        <w:rPr>
          <w:rFonts w:ascii="Arial" w:hAnsi="Arial" w:cs="Arial"/>
          <w:sz w:val="22"/>
          <w:szCs w:val="22"/>
          <w:lang w:val="en-GB"/>
        </w:rPr>
        <w:t xml:space="preserve"> early warning systems</w:t>
      </w:r>
      <w:r w:rsidR="002B4029">
        <w:rPr>
          <w:rFonts w:ascii="Arial" w:hAnsi="Arial" w:cs="Arial"/>
          <w:sz w:val="22"/>
          <w:szCs w:val="22"/>
          <w:lang w:val="en-GB"/>
        </w:rPr>
        <w:t xml:space="preserve"> (</w:t>
      </w:r>
      <w:proofErr w:type="spellStart"/>
      <w:r w:rsidR="002B4029">
        <w:rPr>
          <w:rFonts w:ascii="Arial" w:hAnsi="Arial" w:cs="Arial"/>
          <w:sz w:val="22"/>
          <w:szCs w:val="22"/>
          <w:lang w:val="en-GB"/>
        </w:rPr>
        <w:t>eg</w:t>
      </w:r>
      <w:proofErr w:type="spellEnd"/>
      <w:r w:rsidR="002B4029">
        <w:rPr>
          <w:rFonts w:ascii="Arial" w:hAnsi="Arial" w:cs="Arial"/>
          <w:sz w:val="22"/>
          <w:szCs w:val="22"/>
          <w:lang w:val="en-GB"/>
        </w:rPr>
        <w:t>. Trend analysis, monitoring of seasonal droughts)</w:t>
      </w:r>
      <w:r w:rsidRPr="008D4747">
        <w:rPr>
          <w:rFonts w:ascii="Arial" w:hAnsi="Arial" w:cs="Arial"/>
          <w:sz w:val="22"/>
          <w:szCs w:val="22"/>
          <w:lang w:val="en-GB"/>
        </w:rPr>
        <w:t>. CHIRPS integrates data from terrain-based precipitation models, ground station observations, and satellite-</w:t>
      </w:r>
      <w:r w:rsidR="002B4029">
        <w:rPr>
          <w:rFonts w:ascii="Arial" w:hAnsi="Arial" w:cs="Arial"/>
          <w:sz w:val="22"/>
          <w:szCs w:val="22"/>
          <w:lang w:val="en-GB"/>
        </w:rPr>
        <w:t xml:space="preserve">based </w:t>
      </w:r>
      <w:r w:rsidRPr="008D4747">
        <w:rPr>
          <w:rFonts w:ascii="Arial" w:hAnsi="Arial" w:cs="Arial"/>
          <w:sz w:val="22"/>
          <w:szCs w:val="22"/>
          <w:lang w:val="en-GB"/>
        </w:rPr>
        <w:t xml:space="preserve">precipitation </w:t>
      </w:r>
      <w:r w:rsidR="002B4029">
        <w:rPr>
          <w:rFonts w:ascii="Arial" w:hAnsi="Arial" w:cs="Arial"/>
          <w:sz w:val="22"/>
          <w:szCs w:val="22"/>
          <w:lang w:val="en-GB"/>
        </w:rPr>
        <w:t xml:space="preserve">products </w:t>
      </w:r>
      <w:r w:rsidRPr="008D4747">
        <w:rPr>
          <w:rFonts w:ascii="Arial" w:hAnsi="Arial" w:cs="Arial"/>
          <w:sz w:val="22"/>
          <w:szCs w:val="22"/>
          <w:lang w:val="en-GB"/>
        </w:rPr>
        <w:t>from NASA and NOAA to pr</w:t>
      </w:r>
      <w:r w:rsidR="002B4029">
        <w:rPr>
          <w:rFonts w:ascii="Arial" w:hAnsi="Arial" w:cs="Arial"/>
          <w:sz w:val="22"/>
          <w:szCs w:val="22"/>
          <w:lang w:val="en-GB"/>
        </w:rPr>
        <w:t>ovide</w:t>
      </w:r>
      <w:r w:rsidRPr="008D4747">
        <w:rPr>
          <w:rFonts w:ascii="Arial" w:hAnsi="Arial" w:cs="Arial"/>
          <w:sz w:val="22"/>
          <w:szCs w:val="22"/>
          <w:lang w:val="en-GB"/>
        </w:rPr>
        <w:t xml:space="preserve"> high-resolution (0.05°) gridded climatological data. </w:t>
      </w:r>
      <w:r w:rsidR="00FA214E">
        <w:rPr>
          <w:rFonts w:ascii="Arial" w:hAnsi="Arial" w:cs="Arial"/>
          <w:sz w:val="22"/>
          <w:szCs w:val="22"/>
          <w:lang w:val="en-GB"/>
        </w:rPr>
        <w:t>Because of</w:t>
      </w:r>
      <w:r w:rsidRPr="008D4747">
        <w:rPr>
          <w:rFonts w:ascii="Arial" w:hAnsi="Arial" w:cs="Arial"/>
          <w:sz w:val="22"/>
          <w:szCs w:val="22"/>
          <w:lang w:val="en-GB"/>
        </w:rPr>
        <w:t xml:space="preserve"> the relatively small scale of our forest fire-affected study area, CHIRPS data is considered suitable for our analysis. </w:t>
      </w:r>
      <w:r w:rsidR="00FA214E">
        <w:rPr>
          <w:rFonts w:ascii="Arial" w:hAnsi="Arial" w:cs="Arial"/>
          <w:sz w:val="22"/>
          <w:szCs w:val="22"/>
          <w:lang w:val="en-GB"/>
        </w:rPr>
        <w:t xml:space="preserve">The data for rainfall from June 2019 to May </w:t>
      </w:r>
      <w:r w:rsidR="000E4A93">
        <w:rPr>
          <w:rFonts w:ascii="Arial" w:hAnsi="Arial" w:cs="Arial"/>
          <w:sz w:val="22"/>
          <w:szCs w:val="22"/>
          <w:lang w:val="en-GB"/>
        </w:rPr>
        <w:t xml:space="preserve">2020 </w:t>
      </w:r>
      <w:r w:rsidR="000E4A93" w:rsidRPr="008D4747">
        <w:rPr>
          <w:rFonts w:ascii="Arial" w:hAnsi="Arial" w:cs="Arial"/>
          <w:sz w:val="22"/>
          <w:szCs w:val="22"/>
          <w:lang w:val="en-GB"/>
        </w:rPr>
        <w:t>was</w:t>
      </w:r>
      <w:r w:rsidRPr="008D4747">
        <w:rPr>
          <w:rFonts w:ascii="Arial" w:hAnsi="Arial" w:cs="Arial"/>
          <w:sz w:val="22"/>
          <w:szCs w:val="22"/>
          <w:lang w:val="en-GB"/>
        </w:rPr>
        <w:t xml:space="preserve"> </w:t>
      </w:r>
      <w:r w:rsidR="00FA214E">
        <w:rPr>
          <w:rFonts w:ascii="Arial" w:hAnsi="Arial" w:cs="Arial"/>
          <w:sz w:val="22"/>
          <w:szCs w:val="22"/>
          <w:lang w:val="en-GB"/>
        </w:rPr>
        <w:t>employed in the present</w:t>
      </w:r>
      <w:r w:rsidRPr="008D4747">
        <w:rPr>
          <w:rFonts w:ascii="Arial" w:hAnsi="Arial" w:cs="Arial"/>
          <w:sz w:val="22"/>
          <w:szCs w:val="22"/>
          <w:lang w:val="en-GB"/>
        </w:rPr>
        <w:t xml:space="preserve"> study</w:t>
      </w:r>
      <w:r w:rsidR="00321A15" w:rsidRPr="008D4747">
        <w:rPr>
          <w:rFonts w:ascii="Arial" w:hAnsi="Arial" w:cs="Arial"/>
          <w:sz w:val="22"/>
          <w:szCs w:val="22"/>
          <w:lang w:val="en-GB"/>
        </w:rPr>
        <w:t>.</w:t>
      </w:r>
    </w:p>
    <w:p w14:paraId="148B11DD" w14:textId="47EC49CA" w:rsidR="005D0292" w:rsidRDefault="00761F97" w:rsidP="00761F97">
      <w:pPr>
        <w:pStyle w:val="Heading1"/>
      </w:pPr>
      <w:r>
        <w:t>2.2.</w:t>
      </w:r>
      <w:r w:rsidR="000E4A93">
        <w:t>3</w:t>
      </w:r>
      <w:r>
        <w:t xml:space="preserve"> </w:t>
      </w:r>
      <w:r w:rsidR="005D0292" w:rsidRPr="008D4747">
        <w:t>Assessment of Change in Runoff</w:t>
      </w:r>
    </w:p>
    <w:p w14:paraId="1653E9CD" w14:textId="1550332B" w:rsidR="00B71E60" w:rsidRDefault="00D960AB" w:rsidP="00D960AB">
      <w:pPr>
        <w:ind w:firstLine="0"/>
        <w:rPr>
          <w:color w:val="000000"/>
          <w:szCs w:val="24"/>
        </w:rPr>
      </w:pPr>
      <w:r w:rsidRPr="00A560DB">
        <w:rPr>
          <w:color w:val="000000"/>
          <w:szCs w:val="24"/>
        </w:rPr>
        <w:t>The SCS-CN method is a conceptual approach for model</w:t>
      </w:r>
      <w:r>
        <w:rPr>
          <w:color w:val="000000"/>
          <w:szCs w:val="24"/>
        </w:rPr>
        <w:t>l</w:t>
      </w:r>
      <w:r w:rsidRPr="00A560DB">
        <w:rPr>
          <w:color w:val="000000"/>
          <w:szCs w:val="24"/>
        </w:rPr>
        <w:t>ing the hydrologic abstraction of storm rainfall, grounded in empirical observations</w:t>
      </w:r>
      <w:r>
        <w:rPr>
          <w:color w:val="000000"/>
          <w:szCs w:val="24"/>
        </w:rPr>
        <w:t xml:space="preserve"> </w:t>
      </w:r>
      <w:r w:rsidRPr="00A560DB">
        <w:rPr>
          <w:color w:val="000000"/>
          <w:szCs w:val="24"/>
        </w:rPr>
        <w:t>Initially developed for predicting runoff in small agricultural watersheds for individual rainfall events, the SCS-CN method has undergone multiple revisions and has been expanded to encompass rural, forest, and urban watersheds. It is now widely utilized in various environments, including applications such as soil erosion studies and water quality mode</w:t>
      </w:r>
      <w:r>
        <w:rPr>
          <w:color w:val="000000"/>
          <w:szCs w:val="24"/>
        </w:rPr>
        <w:t>l</w:t>
      </w:r>
      <w:r w:rsidRPr="00A560DB">
        <w:rPr>
          <w:color w:val="000000"/>
          <w:szCs w:val="24"/>
        </w:rPr>
        <w:t>ling (</w:t>
      </w:r>
      <w:r w:rsidRPr="00124583">
        <w:rPr>
          <w:szCs w:val="24"/>
        </w:rPr>
        <w:t xml:space="preserve">Mishra </w:t>
      </w:r>
      <w:r w:rsidRPr="00660CF2">
        <w:rPr>
          <w:szCs w:val="24"/>
        </w:rPr>
        <w:t>et al.</w:t>
      </w:r>
      <w:r w:rsidRPr="00124583">
        <w:rPr>
          <w:szCs w:val="24"/>
        </w:rPr>
        <w:t xml:space="preserve">, 2006; Singh </w:t>
      </w:r>
      <w:r w:rsidRPr="00660CF2">
        <w:rPr>
          <w:szCs w:val="24"/>
        </w:rPr>
        <w:t>et al.</w:t>
      </w:r>
      <w:r w:rsidRPr="00124583">
        <w:rPr>
          <w:szCs w:val="24"/>
        </w:rPr>
        <w:t>, 2010; Singh, 2013</w:t>
      </w:r>
      <w:r w:rsidRPr="00A560DB">
        <w:rPr>
          <w:color w:val="000000"/>
          <w:szCs w:val="24"/>
        </w:rPr>
        <w:t>)</w:t>
      </w:r>
      <w:r>
        <w:rPr>
          <w:color w:val="000000"/>
          <w:szCs w:val="24"/>
        </w:rPr>
        <w:t xml:space="preserve">. </w:t>
      </w:r>
      <w:r w:rsidR="00B71E60" w:rsidRPr="00B71E60">
        <w:rPr>
          <w:color w:val="000000"/>
          <w:szCs w:val="24"/>
        </w:rPr>
        <w:t>For estimating runoff in these small burnt sites in forest areas, where data availability is a major issue, this method is best suited as it requires only four easily identifiable catchment properties: soil type, land use/treatment, surface condition, and antecedent moisture condition.</w:t>
      </w:r>
    </w:p>
    <w:p w14:paraId="77E10E51" w14:textId="4250CA0B" w:rsidR="005D0292" w:rsidRPr="008D4747" w:rsidRDefault="000710E6" w:rsidP="000710E6">
      <w:pPr>
        <w:pStyle w:val="Heading2"/>
        <w:numPr>
          <w:ilvl w:val="0"/>
          <w:numId w:val="0"/>
        </w:numPr>
        <w:ind w:left="284" w:hanging="284"/>
        <w:rPr>
          <w:sz w:val="22"/>
          <w:szCs w:val="22"/>
        </w:rPr>
      </w:pPr>
      <w:r w:rsidRPr="008D4747">
        <w:rPr>
          <w:sz w:val="22"/>
          <w:szCs w:val="22"/>
        </w:rPr>
        <w:t>2.</w:t>
      </w:r>
      <w:r w:rsidR="00761F97">
        <w:rPr>
          <w:sz w:val="22"/>
          <w:szCs w:val="22"/>
        </w:rPr>
        <w:t>2.</w:t>
      </w:r>
      <w:r w:rsidR="000E4A93">
        <w:rPr>
          <w:sz w:val="22"/>
          <w:szCs w:val="22"/>
        </w:rPr>
        <w:t>3</w:t>
      </w:r>
      <w:r w:rsidR="00761F97">
        <w:rPr>
          <w:sz w:val="22"/>
          <w:szCs w:val="22"/>
        </w:rPr>
        <w:t xml:space="preserve">.1 </w:t>
      </w:r>
      <w:r w:rsidR="005D0292" w:rsidRPr="008D4747">
        <w:rPr>
          <w:sz w:val="22"/>
          <w:szCs w:val="22"/>
        </w:rPr>
        <w:t>Soil Conservation Service Curve Number (SCS-CN) Method</w:t>
      </w:r>
    </w:p>
    <w:p w14:paraId="6A446F7C" w14:textId="77777777" w:rsidR="005D0292" w:rsidRPr="008D4747" w:rsidRDefault="005D0292" w:rsidP="00C23625">
      <w:pPr>
        <w:ind w:firstLine="0"/>
        <w:rPr>
          <w:rFonts w:ascii="Arial" w:hAnsi="Arial" w:cs="Arial"/>
          <w:sz w:val="22"/>
          <w:szCs w:val="22"/>
        </w:rPr>
      </w:pPr>
      <w:r w:rsidRPr="008D4747">
        <w:rPr>
          <w:rFonts w:ascii="Arial" w:hAnsi="Arial" w:cs="Arial"/>
          <w:sz w:val="22"/>
          <w:szCs w:val="22"/>
        </w:rPr>
        <w:t>The SCS-CN method estimates direct runoff from storm rainfall using a curve number (CN), based on empirical data. It relies on the water balance and two key assumptions:</w:t>
      </w:r>
    </w:p>
    <w:p w14:paraId="60684041" w14:textId="5BF37532" w:rsidR="005D0292" w:rsidRPr="008D4747" w:rsidRDefault="005D0292" w:rsidP="005D0292">
      <w:pPr>
        <w:ind w:firstLine="0"/>
        <w:rPr>
          <w:rFonts w:ascii="Arial" w:hAnsi="Arial" w:cs="Arial"/>
          <w:sz w:val="22"/>
          <w:szCs w:val="22"/>
        </w:rPr>
      </w:pPr>
      <w:r w:rsidRPr="008D4747">
        <w:rPr>
          <w:rFonts w:ascii="Arial" w:hAnsi="Arial" w:cs="Arial"/>
          <w:sz w:val="22"/>
          <w:szCs w:val="22"/>
        </w:rPr>
        <w:t>(a) Water balance equation</w:t>
      </w:r>
    </w:p>
    <w:p w14:paraId="17265F99" w14:textId="634FBA57" w:rsidR="005D0292" w:rsidRPr="008D4747" w:rsidRDefault="00B71E60" w:rsidP="005D0292">
      <w:pPr>
        <w:jc w:val="center"/>
        <w:rPr>
          <w:rFonts w:ascii="Arial" w:hAnsi="Arial" w:cs="Arial"/>
          <w:sz w:val="22"/>
          <w:szCs w:val="22"/>
        </w:rPr>
      </w:pPr>
      <w:bookmarkStart w:id="2" w:name="_Hlk196672076"/>
      <w:r>
        <w:rPr>
          <w:rFonts w:ascii="Arial" w:hAnsi="Arial" w:cs="Arial"/>
          <w:sz w:val="22"/>
          <w:szCs w:val="22"/>
        </w:rPr>
        <w:lastRenderedPageBreak/>
        <w:t xml:space="preserve">                   </w:t>
      </w:r>
      <m:oMath>
        <m:r>
          <w:rPr>
            <w:rFonts w:ascii="Cambria Math" w:hAnsi="Cambria Math" w:cs="Arial"/>
            <w:sz w:val="22"/>
            <w:szCs w:val="22"/>
          </w:rPr>
          <m:t>P</m:t>
        </m:r>
        <w:bookmarkEnd w:id="2"/>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r>
          <w:rPr>
            <w:rFonts w:ascii="Cambria Math" w:hAnsi="Cambria Math" w:cs="Arial"/>
            <w:sz w:val="22"/>
            <w:szCs w:val="22"/>
          </w:rPr>
          <m:t xml:space="preserve"> +F +Q</m:t>
        </m:r>
      </m:oMath>
      <w:r w:rsidR="005D0292" w:rsidRPr="008D4747">
        <w:rPr>
          <w:rFonts w:ascii="Arial" w:hAnsi="Arial" w:cs="Arial"/>
          <w:sz w:val="22"/>
          <w:szCs w:val="22"/>
        </w:rPr>
        <w:t xml:space="preserve">  </w:t>
      </w:r>
      <w:r>
        <w:rPr>
          <w:rFonts w:ascii="Arial" w:hAnsi="Arial" w:cs="Arial"/>
          <w:sz w:val="22"/>
          <w:szCs w:val="22"/>
        </w:rPr>
        <w:t xml:space="preserve">                  </w:t>
      </w:r>
      <w:r w:rsidR="005D0292" w:rsidRPr="008D4747">
        <w:rPr>
          <w:rFonts w:ascii="Arial" w:hAnsi="Arial" w:cs="Arial"/>
          <w:sz w:val="22"/>
          <w:szCs w:val="22"/>
        </w:rPr>
        <w:t xml:space="preserve">         </w:t>
      </w:r>
      <w:r>
        <w:rPr>
          <w:rFonts w:ascii="Arial" w:hAnsi="Arial" w:cs="Arial"/>
          <w:sz w:val="22"/>
          <w:szCs w:val="22"/>
        </w:rPr>
        <w:t xml:space="preserve"> </w:t>
      </w:r>
      <w:r w:rsidR="005D0292" w:rsidRPr="008D4747">
        <w:rPr>
          <w:rFonts w:ascii="Arial" w:hAnsi="Arial" w:cs="Arial"/>
          <w:sz w:val="22"/>
          <w:szCs w:val="22"/>
        </w:rPr>
        <w:t xml:space="preserve">     </w:t>
      </w:r>
      <w:r w:rsidR="005D0292" w:rsidRPr="008D4747">
        <w:rPr>
          <w:rFonts w:ascii="Arial" w:hAnsi="Arial" w:cs="Arial"/>
          <w:i/>
          <w:iCs/>
          <w:sz w:val="22"/>
          <w:szCs w:val="22"/>
        </w:rPr>
        <w:t>Equation (2)</w:t>
      </w:r>
    </w:p>
    <w:p w14:paraId="7EB55E86" w14:textId="49CD68D8" w:rsidR="00916DDB" w:rsidRPr="008D4747" w:rsidRDefault="008154EF" w:rsidP="00916DDB">
      <w:pPr>
        <w:ind w:firstLine="0"/>
        <w:rPr>
          <w:rFonts w:ascii="Arial" w:hAnsi="Arial" w:cs="Arial"/>
          <w:sz w:val="22"/>
          <w:szCs w:val="22"/>
        </w:rPr>
      </w:pPr>
      <w:r w:rsidRPr="008D4747">
        <w:rPr>
          <w:rFonts w:ascii="Arial" w:hAnsi="Arial" w:cs="Arial"/>
          <w:sz w:val="22"/>
          <w:szCs w:val="22"/>
        </w:rPr>
        <w:t>(b) Water balance equation</w:t>
      </w:r>
    </w:p>
    <w:p w14:paraId="6977829D" w14:textId="48021189" w:rsidR="00916DDB" w:rsidRPr="008D4747" w:rsidRDefault="00B71E60" w:rsidP="00916DDB">
      <w:pPr>
        <w:tabs>
          <w:tab w:val="left" w:pos="8505"/>
        </w:tabs>
        <w:ind w:right="26"/>
        <w:jc w:val="center"/>
        <w:rPr>
          <w:rFonts w:ascii="Arial" w:hAnsi="Arial" w:cs="Arial"/>
          <w:sz w:val="22"/>
          <w:szCs w:val="22"/>
        </w:rPr>
      </w:pPr>
      <w:bookmarkStart w:id="3" w:name="_Hlk196672298"/>
      <w:r>
        <w:rPr>
          <w:rFonts w:ascii="Arial" w:hAnsi="Arial" w:cs="Arial"/>
          <w:sz w:val="22"/>
          <w:szCs w:val="22"/>
        </w:rPr>
        <w:t xml:space="preserve">                     </w:t>
      </w:r>
      <m:oMath>
        <m:f>
          <m:fPr>
            <m:ctrlPr>
              <w:rPr>
                <w:rFonts w:ascii="Cambria Math" w:hAnsi="Cambria Math" w:cs="Arial"/>
                <w:i/>
                <w:sz w:val="22"/>
                <w:szCs w:val="22"/>
              </w:rPr>
            </m:ctrlPr>
          </m:fPr>
          <m:num>
            <m:r>
              <w:rPr>
                <w:rFonts w:ascii="Cambria Math" w:hAnsi="Cambria Math" w:cs="Arial"/>
                <w:sz w:val="22"/>
                <w:szCs w:val="22"/>
              </w:rPr>
              <m:t>Q</m:t>
            </m:r>
          </m:num>
          <m:den>
            <m:r>
              <w:rPr>
                <w:rFonts w:ascii="Cambria Math" w:hAnsi="Cambria Math" w:cs="Arial"/>
                <w:sz w:val="22"/>
                <w:szCs w:val="22"/>
              </w:rPr>
              <m:t xml:space="preserve">P – </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den>
        </m:f>
        <m:r>
          <w:rPr>
            <w:rFonts w:ascii="Cambria Math" w:hAnsi="Cambria Math" w:cs="Arial"/>
            <w:sz w:val="22"/>
            <w:szCs w:val="22"/>
          </w:rPr>
          <m:t xml:space="preserve"> = </m:t>
        </m:r>
        <m:f>
          <m:fPr>
            <m:ctrlPr>
              <w:rPr>
                <w:rFonts w:ascii="Cambria Math" w:hAnsi="Cambria Math" w:cs="Arial"/>
                <w:i/>
                <w:sz w:val="22"/>
                <w:szCs w:val="22"/>
              </w:rPr>
            </m:ctrlPr>
          </m:fPr>
          <m:num>
            <m:r>
              <w:rPr>
                <w:rFonts w:ascii="Cambria Math" w:hAnsi="Cambria Math" w:cs="Arial"/>
                <w:sz w:val="22"/>
                <w:szCs w:val="22"/>
              </w:rPr>
              <m:t>F</m:t>
            </m:r>
          </m:num>
          <m:den>
            <m:r>
              <w:rPr>
                <w:rFonts w:ascii="Cambria Math" w:hAnsi="Cambria Math" w:cs="Arial"/>
                <w:sz w:val="22"/>
                <w:szCs w:val="22"/>
              </w:rPr>
              <m:t>S</m:t>
            </m:r>
          </m:den>
        </m:f>
      </m:oMath>
      <w:bookmarkEnd w:id="3"/>
      <w:r w:rsidR="00916DDB" w:rsidRPr="008D4747">
        <w:rPr>
          <w:rFonts w:ascii="Arial" w:hAnsi="Arial" w:cs="Arial"/>
          <w:sz w:val="22"/>
          <w:szCs w:val="22"/>
        </w:rPr>
        <w:t xml:space="preserve">                  </w:t>
      </w:r>
      <w:r>
        <w:rPr>
          <w:rFonts w:ascii="Arial" w:hAnsi="Arial" w:cs="Arial"/>
          <w:sz w:val="22"/>
          <w:szCs w:val="22"/>
        </w:rPr>
        <w:t xml:space="preserve">                   </w:t>
      </w:r>
      <w:r w:rsidR="00916DDB" w:rsidRPr="008D4747">
        <w:rPr>
          <w:rFonts w:ascii="Arial" w:hAnsi="Arial" w:cs="Arial"/>
          <w:sz w:val="22"/>
          <w:szCs w:val="22"/>
        </w:rPr>
        <w:t xml:space="preserve">  </w:t>
      </w:r>
      <w:r w:rsidR="00161862" w:rsidRPr="008D4747">
        <w:rPr>
          <w:rFonts w:ascii="Arial" w:hAnsi="Arial" w:cs="Arial"/>
          <w:sz w:val="22"/>
          <w:szCs w:val="22"/>
        </w:rPr>
        <w:t xml:space="preserve">     </w:t>
      </w:r>
      <w:r w:rsidR="00916DDB" w:rsidRPr="008D4747">
        <w:rPr>
          <w:rFonts w:ascii="Arial" w:hAnsi="Arial" w:cs="Arial"/>
          <w:i/>
          <w:iCs/>
          <w:sz w:val="22"/>
          <w:szCs w:val="22"/>
        </w:rPr>
        <w:t>Equation (3)</w:t>
      </w:r>
    </w:p>
    <w:p w14:paraId="7B396FEF" w14:textId="49925D24" w:rsidR="00161862" w:rsidRPr="008D4747" w:rsidRDefault="00161862" w:rsidP="00161862">
      <w:pPr>
        <w:ind w:firstLine="0"/>
        <w:rPr>
          <w:rFonts w:ascii="Arial" w:hAnsi="Arial" w:cs="Arial"/>
          <w:sz w:val="22"/>
          <w:szCs w:val="22"/>
        </w:rPr>
      </w:pPr>
      <w:r w:rsidRPr="008D4747">
        <w:rPr>
          <w:rFonts w:ascii="Arial" w:hAnsi="Arial" w:cs="Arial"/>
          <w:sz w:val="22"/>
          <w:szCs w:val="22"/>
        </w:rPr>
        <w:t xml:space="preserve">(c) </w:t>
      </w:r>
      <w:proofErr w:type="spellStart"/>
      <w:r w:rsidRPr="008D4747">
        <w:rPr>
          <w:rFonts w:ascii="Arial" w:hAnsi="Arial" w:cs="Arial"/>
          <w:sz w:val="22"/>
          <w:szCs w:val="22"/>
        </w:rPr>
        <w:t>I</w:t>
      </w:r>
      <w:r w:rsidRPr="008D4747">
        <w:rPr>
          <w:rFonts w:ascii="Arial" w:hAnsi="Arial" w:cs="Arial"/>
          <w:sz w:val="22"/>
          <w:szCs w:val="22"/>
          <w:vertAlign w:val="subscript"/>
        </w:rPr>
        <w:t>a</w:t>
      </w:r>
      <w:r w:rsidRPr="008D4747">
        <w:rPr>
          <w:rFonts w:ascii="Arial" w:hAnsi="Arial" w:cs="Arial"/>
          <w:sz w:val="22"/>
          <w:szCs w:val="22"/>
        </w:rPr>
        <w:t>S</w:t>
      </w:r>
      <w:proofErr w:type="spellEnd"/>
      <w:r w:rsidRPr="008D4747">
        <w:rPr>
          <w:rFonts w:ascii="Arial" w:hAnsi="Arial" w:cs="Arial"/>
          <w:sz w:val="22"/>
          <w:szCs w:val="22"/>
        </w:rPr>
        <w:t xml:space="preserve"> relationship (second hypothesis)</w:t>
      </w:r>
    </w:p>
    <w:p w14:paraId="65882C91" w14:textId="3BDDD052" w:rsidR="00161862" w:rsidRPr="008D4747" w:rsidRDefault="00B71E60" w:rsidP="00161862">
      <w:pPr>
        <w:tabs>
          <w:tab w:val="left" w:pos="8505"/>
        </w:tabs>
        <w:ind w:right="26"/>
        <w:jc w:val="center"/>
        <w:rPr>
          <w:rFonts w:ascii="Arial" w:hAnsi="Arial" w:cs="Arial"/>
          <w:sz w:val="22"/>
          <w:szCs w:val="22"/>
        </w:rPr>
      </w:pPr>
      <w:r>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r>
          <w:rPr>
            <w:rFonts w:ascii="Cambria Math" w:hAnsi="Cambria Math" w:cs="Arial"/>
            <w:sz w:val="22"/>
            <w:szCs w:val="22"/>
          </w:rPr>
          <m:t>= λS</m:t>
        </m:r>
      </m:oMath>
      <w:r w:rsidR="00161862" w:rsidRPr="008D4747">
        <w:rPr>
          <w:rFonts w:ascii="Arial" w:hAnsi="Arial" w:cs="Arial"/>
          <w:sz w:val="22"/>
          <w:szCs w:val="22"/>
        </w:rPr>
        <w:t xml:space="preserve">                </w:t>
      </w:r>
      <w:r>
        <w:rPr>
          <w:rFonts w:ascii="Arial" w:hAnsi="Arial" w:cs="Arial"/>
          <w:sz w:val="22"/>
          <w:szCs w:val="22"/>
        </w:rPr>
        <w:t xml:space="preserve">             </w:t>
      </w:r>
      <w:r w:rsidR="00161862" w:rsidRPr="008D4747">
        <w:rPr>
          <w:rFonts w:ascii="Arial" w:hAnsi="Arial" w:cs="Arial"/>
          <w:sz w:val="22"/>
          <w:szCs w:val="22"/>
        </w:rPr>
        <w:t xml:space="preserve">         </w:t>
      </w:r>
      <w:r>
        <w:rPr>
          <w:rFonts w:ascii="Arial" w:hAnsi="Arial" w:cs="Arial"/>
          <w:sz w:val="22"/>
          <w:szCs w:val="22"/>
        </w:rPr>
        <w:t xml:space="preserve">      </w:t>
      </w:r>
      <w:r w:rsidR="00161862" w:rsidRPr="008D4747">
        <w:rPr>
          <w:rFonts w:ascii="Arial" w:hAnsi="Arial" w:cs="Arial"/>
          <w:sz w:val="22"/>
          <w:szCs w:val="22"/>
        </w:rPr>
        <w:t xml:space="preserve">  </w:t>
      </w:r>
      <w:r w:rsidR="00161862" w:rsidRPr="008D4747">
        <w:rPr>
          <w:rFonts w:ascii="Arial" w:hAnsi="Arial" w:cs="Arial"/>
          <w:i/>
          <w:iCs/>
          <w:sz w:val="22"/>
          <w:szCs w:val="22"/>
        </w:rPr>
        <w:t>Equation (</w:t>
      </w:r>
      <w:r w:rsidR="006527FE" w:rsidRPr="008D4747">
        <w:rPr>
          <w:rFonts w:ascii="Arial" w:hAnsi="Arial" w:cs="Arial"/>
          <w:i/>
          <w:iCs/>
          <w:sz w:val="22"/>
          <w:szCs w:val="22"/>
        </w:rPr>
        <w:t>4</w:t>
      </w:r>
      <w:r w:rsidR="00161862" w:rsidRPr="008D4747">
        <w:rPr>
          <w:rFonts w:ascii="Arial" w:hAnsi="Arial" w:cs="Arial"/>
          <w:i/>
          <w:iCs/>
          <w:sz w:val="22"/>
          <w:szCs w:val="22"/>
        </w:rPr>
        <w:t>)</w:t>
      </w:r>
    </w:p>
    <w:p w14:paraId="56E112FE" w14:textId="50AACC99" w:rsidR="008154EF" w:rsidRPr="008D4747" w:rsidRDefault="009457EA" w:rsidP="009457EA">
      <w:pPr>
        <w:ind w:firstLine="0"/>
        <w:rPr>
          <w:rFonts w:ascii="Arial" w:hAnsi="Arial" w:cs="Arial"/>
          <w:sz w:val="22"/>
          <w:szCs w:val="22"/>
        </w:rPr>
      </w:pPr>
      <w:r w:rsidRPr="008D4747">
        <w:rPr>
          <w:rFonts w:ascii="Arial" w:hAnsi="Arial" w:cs="Arial"/>
          <w:sz w:val="22"/>
          <w:szCs w:val="22"/>
        </w:rPr>
        <w:t xml:space="preserve">Where P is total rainfall,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 xml:space="preserve"> is initial abstraction, F is infiltration (excluding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 Q is direct runoff, and S is maximum potential retention.</w:t>
      </w:r>
    </w:p>
    <w:p w14:paraId="4186299B" w14:textId="6BCA3020" w:rsidR="00DE4094" w:rsidRPr="008D4747" w:rsidRDefault="00DE4094" w:rsidP="006527FE">
      <w:pPr>
        <w:ind w:firstLine="0"/>
        <w:rPr>
          <w:rFonts w:ascii="Arial" w:hAnsi="Arial" w:cs="Arial"/>
          <w:sz w:val="22"/>
          <w:szCs w:val="22"/>
        </w:rPr>
      </w:pPr>
      <w:r w:rsidRPr="008D4747">
        <w:rPr>
          <w:rFonts w:ascii="Arial" w:hAnsi="Arial" w:cs="Arial"/>
          <w:sz w:val="22"/>
          <w:szCs w:val="22"/>
        </w:rPr>
        <w:t>The first assumption (</w:t>
      </w:r>
      <w:r w:rsidR="006527FE" w:rsidRPr="008D4747">
        <w:rPr>
          <w:rFonts w:ascii="Arial" w:hAnsi="Arial" w:cs="Arial"/>
          <w:i/>
          <w:iCs/>
          <w:sz w:val="22"/>
          <w:szCs w:val="22"/>
        </w:rPr>
        <w:t>Equation 2</w:t>
      </w:r>
      <w:r w:rsidRPr="008D4747">
        <w:rPr>
          <w:rFonts w:ascii="Arial" w:hAnsi="Arial" w:cs="Arial"/>
          <w:sz w:val="22"/>
          <w:szCs w:val="22"/>
        </w:rPr>
        <w:t>) uses proportionality, and the second (</w:t>
      </w:r>
      <w:r w:rsidR="006527FE" w:rsidRPr="008D4747">
        <w:rPr>
          <w:rFonts w:ascii="Arial" w:hAnsi="Arial" w:cs="Arial"/>
          <w:i/>
          <w:iCs/>
          <w:sz w:val="22"/>
          <w:szCs w:val="22"/>
        </w:rPr>
        <w:t>Equation 4</w:t>
      </w:r>
      <w:r w:rsidRPr="008D4747">
        <w:rPr>
          <w:rFonts w:ascii="Arial" w:hAnsi="Arial" w:cs="Arial"/>
          <w:sz w:val="22"/>
          <w:szCs w:val="22"/>
        </w:rPr>
        <w:t xml:space="preserve">) defines a linear link between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 xml:space="preserve"> and S. Combining them gives:</w:t>
      </w:r>
    </w:p>
    <w:p w14:paraId="43340C82" w14:textId="236C0153" w:rsidR="00DE4094" w:rsidRPr="008D4747" w:rsidRDefault="00B71E60" w:rsidP="00DE4094">
      <w:pPr>
        <w:tabs>
          <w:tab w:val="left" w:pos="8505"/>
        </w:tabs>
        <w:ind w:right="26"/>
        <w:jc w:val="center"/>
        <w:rPr>
          <w:rFonts w:ascii="Arial" w:hAnsi="Arial" w:cs="Arial"/>
          <w:sz w:val="22"/>
          <w:szCs w:val="22"/>
        </w:rPr>
      </w:pPr>
      <w:r>
        <w:rPr>
          <w:rFonts w:ascii="Arial" w:hAnsi="Arial" w:cs="Arial"/>
          <w:sz w:val="22"/>
          <w:szCs w:val="22"/>
        </w:rPr>
        <w:t xml:space="preserve">        </w:t>
      </w:r>
      <m:oMath>
        <m:r>
          <w:rPr>
            <w:rFonts w:ascii="Cambria Math" w:hAnsi="Cambria Math" w:cs="Arial"/>
            <w:sz w:val="22"/>
            <w:szCs w:val="22"/>
          </w:rPr>
          <m:t xml:space="preserve">Q = </m:t>
        </m:r>
        <m:f>
          <m:fPr>
            <m:ctrlPr>
              <w:rPr>
                <w:rFonts w:ascii="Cambria Math" w:hAnsi="Cambria Math" w:cs="Arial"/>
                <w:i/>
                <w:sz w:val="22"/>
                <w:szCs w:val="22"/>
              </w:rPr>
            </m:ctrlPr>
          </m:fPr>
          <m:num>
            <m:sSup>
              <m:sSupPr>
                <m:ctrlPr>
                  <w:rPr>
                    <w:rFonts w:ascii="Cambria Math" w:hAnsi="Cambria Math" w:cs="Arial"/>
                    <w:i/>
                    <w:sz w:val="22"/>
                    <w:szCs w:val="22"/>
                  </w:rPr>
                </m:ctrlPr>
              </m:sSupPr>
              <m:e>
                <m:d>
                  <m:dPr>
                    <m:ctrlPr>
                      <w:rPr>
                        <w:rFonts w:ascii="Cambria Math" w:hAnsi="Cambria Math" w:cs="Arial"/>
                        <w:i/>
                        <w:sz w:val="22"/>
                        <w:szCs w:val="22"/>
                      </w:rPr>
                    </m:ctrlPr>
                  </m:dPr>
                  <m:e>
                    <m:r>
                      <w:rPr>
                        <w:rFonts w:ascii="Cambria Math" w:hAnsi="Cambria Math" w:cs="Arial"/>
                        <w:sz w:val="22"/>
                        <w:szCs w:val="22"/>
                      </w:rPr>
                      <m:t xml:space="preserve">P- </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e>
                </m:d>
              </m:e>
              <m:sup>
                <m:r>
                  <w:rPr>
                    <w:rFonts w:ascii="Cambria Math" w:hAnsi="Cambria Math" w:cs="Arial"/>
                    <w:sz w:val="22"/>
                    <w:szCs w:val="22"/>
                  </w:rPr>
                  <m:t>2</m:t>
                </m:r>
              </m:sup>
            </m:sSup>
          </m:num>
          <m:den>
            <m:r>
              <w:rPr>
                <w:rFonts w:ascii="Cambria Math" w:hAnsi="Cambria Math" w:cs="Arial"/>
                <w:sz w:val="22"/>
                <w:szCs w:val="22"/>
              </w:rPr>
              <m:t xml:space="preserve">P- </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r>
              <w:rPr>
                <w:rFonts w:ascii="Cambria Math" w:hAnsi="Cambria Math" w:cs="Arial"/>
                <w:sz w:val="22"/>
                <w:szCs w:val="22"/>
              </w:rPr>
              <m:t xml:space="preserve"> +S</m:t>
            </m:r>
          </m:den>
        </m:f>
        <m:r>
          <w:rPr>
            <w:rFonts w:ascii="Cambria Math" w:hAnsi="Cambria Math" w:cs="Arial"/>
            <w:sz w:val="22"/>
            <w:szCs w:val="22"/>
          </w:rPr>
          <m:t xml:space="preserve"> </m:t>
        </m:r>
      </m:oMath>
      <w:r w:rsidR="00DE4094" w:rsidRPr="008D4747">
        <w:rPr>
          <w:rFonts w:ascii="Arial" w:hAnsi="Arial" w:cs="Arial"/>
          <w:sz w:val="22"/>
          <w:szCs w:val="22"/>
        </w:rPr>
        <w:t xml:space="preserve">     For P ≥ I</w:t>
      </w:r>
      <w:r w:rsidR="00DE4094" w:rsidRPr="008D4747">
        <w:rPr>
          <w:rFonts w:ascii="Arial" w:hAnsi="Arial" w:cs="Arial"/>
          <w:sz w:val="22"/>
          <w:szCs w:val="22"/>
          <w:vertAlign w:val="subscript"/>
        </w:rPr>
        <w:t>a</w:t>
      </w:r>
      <w:r w:rsidR="00DE4094" w:rsidRPr="008D4747">
        <w:rPr>
          <w:rFonts w:ascii="Arial" w:hAnsi="Arial" w:cs="Arial"/>
          <w:sz w:val="22"/>
          <w:szCs w:val="22"/>
        </w:rPr>
        <w:t xml:space="preserve">, otherwise 0            </w:t>
      </w:r>
      <w:r w:rsidR="00DE4094" w:rsidRPr="008D4747">
        <w:rPr>
          <w:rFonts w:ascii="Arial" w:hAnsi="Arial" w:cs="Arial"/>
          <w:i/>
          <w:iCs/>
          <w:sz w:val="22"/>
          <w:szCs w:val="22"/>
        </w:rPr>
        <w:t>Equation (</w:t>
      </w:r>
      <w:r w:rsidR="006527FE" w:rsidRPr="008D4747">
        <w:rPr>
          <w:rFonts w:ascii="Arial" w:hAnsi="Arial" w:cs="Arial"/>
          <w:i/>
          <w:iCs/>
          <w:sz w:val="22"/>
          <w:szCs w:val="22"/>
        </w:rPr>
        <w:t>5</w:t>
      </w:r>
      <w:r w:rsidR="00DE4094" w:rsidRPr="008D4747">
        <w:rPr>
          <w:rFonts w:ascii="Arial" w:hAnsi="Arial" w:cs="Arial"/>
          <w:i/>
          <w:iCs/>
          <w:sz w:val="22"/>
          <w:szCs w:val="22"/>
        </w:rPr>
        <w:t>)</w:t>
      </w:r>
    </w:p>
    <w:p w14:paraId="025EF865" w14:textId="7242A019" w:rsidR="00DE4094" w:rsidRPr="008D4747" w:rsidRDefault="00DE4094" w:rsidP="00C23625">
      <w:pPr>
        <w:ind w:firstLine="0"/>
        <w:rPr>
          <w:rFonts w:ascii="Arial" w:hAnsi="Arial" w:cs="Arial"/>
          <w:sz w:val="22"/>
          <w:szCs w:val="22"/>
        </w:rPr>
      </w:pPr>
      <w:r w:rsidRPr="008D4747">
        <w:rPr>
          <w:rFonts w:ascii="Arial" w:hAnsi="Arial" w:cs="Arial"/>
          <w:sz w:val="22"/>
          <w:szCs w:val="22"/>
        </w:rPr>
        <w:t>General form of the popular SCS-CN method is equation (</w:t>
      </w:r>
      <w:r w:rsidR="006527FE" w:rsidRPr="008D4747">
        <w:rPr>
          <w:rFonts w:ascii="Arial" w:hAnsi="Arial" w:cs="Arial"/>
          <w:i/>
          <w:iCs/>
          <w:sz w:val="22"/>
          <w:szCs w:val="22"/>
        </w:rPr>
        <w:t>Equation 5</w:t>
      </w:r>
      <w:r w:rsidRPr="008D4747">
        <w:rPr>
          <w:rFonts w:ascii="Arial" w:hAnsi="Arial" w:cs="Arial"/>
          <w:sz w:val="22"/>
          <w:szCs w:val="22"/>
        </w:rPr>
        <w:t xml:space="preserve">) and is valid for P ≥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 Q = 0 otherwise. For λ = 0.2, the coupling of (</w:t>
      </w:r>
      <w:r w:rsidR="00BC5DF0" w:rsidRPr="008D4747">
        <w:rPr>
          <w:rFonts w:ascii="Arial" w:hAnsi="Arial" w:cs="Arial"/>
          <w:i/>
          <w:iCs/>
          <w:sz w:val="22"/>
          <w:szCs w:val="22"/>
        </w:rPr>
        <w:t>Equation 4</w:t>
      </w:r>
      <w:r w:rsidRPr="008D4747">
        <w:rPr>
          <w:rFonts w:ascii="Arial" w:hAnsi="Arial" w:cs="Arial"/>
          <w:sz w:val="22"/>
          <w:szCs w:val="22"/>
        </w:rPr>
        <w:t xml:space="preserve">) and </w:t>
      </w:r>
      <w:r w:rsidRPr="008D4747">
        <w:rPr>
          <w:rFonts w:ascii="Arial" w:hAnsi="Arial" w:cs="Arial"/>
          <w:color w:val="FF0000"/>
          <w:sz w:val="22"/>
          <w:szCs w:val="22"/>
        </w:rPr>
        <w:t>(</w:t>
      </w:r>
      <w:r w:rsidR="00BC5DF0" w:rsidRPr="008D4747">
        <w:rPr>
          <w:rFonts w:ascii="Arial" w:hAnsi="Arial" w:cs="Arial"/>
          <w:i/>
          <w:iCs/>
          <w:sz w:val="22"/>
          <w:szCs w:val="22"/>
        </w:rPr>
        <w:t>Equation 5</w:t>
      </w:r>
      <w:r w:rsidRPr="008D4747">
        <w:rPr>
          <w:rFonts w:ascii="Arial" w:hAnsi="Arial" w:cs="Arial"/>
          <w:sz w:val="22"/>
          <w:szCs w:val="22"/>
        </w:rPr>
        <w:t>) results in</w:t>
      </w:r>
      <w:r w:rsidR="00B018B1" w:rsidRPr="008D4747">
        <w:rPr>
          <w:rFonts w:ascii="Arial" w:hAnsi="Arial" w:cs="Arial"/>
          <w:sz w:val="22"/>
          <w:szCs w:val="22"/>
        </w:rPr>
        <w:t>:</w:t>
      </w:r>
    </w:p>
    <w:p w14:paraId="44CF4E14" w14:textId="3EA8E724" w:rsidR="00B018B1" w:rsidRPr="008D4747" w:rsidRDefault="00BC5DF0" w:rsidP="00B018B1">
      <w:pPr>
        <w:tabs>
          <w:tab w:val="left" w:pos="8505"/>
        </w:tabs>
        <w:ind w:right="26" w:firstLine="0"/>
        <w:jc w:val="center"/>
        <w:rPr>
          <w:rFonts w:ascii="Arial" w:hAnsi="Arial" w:cs="Arial"/>
          <w:sz w:val="22"/>
          <w:szCs w:val="22"/>
        </w:rPr>
      </w:pPr>
      <w:r w:rsidRPr="008D4747">
        <w:rPr>
          <w:rFonts w:ascii="Arial" w:hAnsi="Arial" w:cs="Arial"/>
          <w:sz w:val="22"/>
          <w:szCs w:val="22"/>
        </w:rPr>
        <w:t xml:space="preserve">     </w:t>
      </w:r>
      <w:r w:rsidR="00B71E60">
        <w:rPr>
          <w:rFonts w:ascii="Arial" w:hAnsi="Arial" w:cs="Arial"/>
          <w:sz w:val="22"/>
          <w:szCs w:val="22"/>
        </w:rPr>
        <w:t xml:space="preserve">   </w:t>
      </w:r>
      <w:r w:rsidRPr="008D4747">
        <w:rPr>
          <w:rFonts w:ascii="Arial" w:hAnsi="Arial" w:cs="Arial"/>
          <w:sz w:val="22"/>
          <w:szCs w:val="22"/>
        </w:rPr>
        <w:t xml:space="preserve">   </w:t>
      </w:r>
      <w:r w:rsidR="00B71E60">
        <w:rPr>
          <w:rFonts w:ascii="Arial" w:hAnsi="Arial" w:cs="Arial"/>
          <w:sz w:val="22"/>
          <w:szCs w:val="22"/>
        </w:rPr>
        <w:t xml:space="preserve">  </w:t>
      </w:r>
      <w:r w:rsidRPr="008D4747">
        <w:rPr>
          <w:rFonts w:ascii="Arial" w:hAnsi="Arial" w:cs="Arial"/>
          <w:sz w:val="22"/>
          <w:szCs w:val="22"/>
        </w:rPr>
        <w:t xml:space="preserve">    </w:t>
      </w:r>
      <w:r w:rsidR="00B71E60">
        <w:rPr>
          <w:rFonts w:ascii="Arial" w:hAnsi="Arial" w:cs="Arial"/>
          <w:sz w:val="22"/>
          <w:szCs w:val="22"/>
        </w:rPr>
        <w:t xml:space="preserve">  </w:t>
      </w:r>
      <w:r w:rsidRPr="008D4747">
        <w:rPr>
          <w:rFonts w:ascii="Arial" w:hAnsi="Arial" w:cs="Arial"/>
          <w:sz w:val="22"/>
          <w:szCs w:val="22"/>
        </w:rPr>
        <w:t xml:space="preserve">    </w:t>
      </w:r>
      <m:oMath>
        <m:r>
          <w:rPr>
            <w:rFonts w:ascii="Cambria Math" w:hAnsi="Cambria Math" w:cs="Arial"/>
            <w:sz w:val="22"/>
            <w:szCs w:val="22"/>
          </w:rPr>
          <m:t xml:space="preserve">Q = </m:t>
        </m:r>
        <m:f>
          <m:fPr>
            <m:ctrlPr>
              <w:rPr>
                <w:rFonts w:ascii="Cambria Math" w:hAnsi="Cambria Math" w:cs="Arial"/>
                <w:i/>
                <w:sz w:val="22"/>
                <w:szCs w:val="22"/>
              </w:rPr>
            </m:ctrlPr>
          </m:fPr>
          <m:num>
            <m:sSup>
              <m:sSupPr>
                <m:ctrlPr>
                  <w:rPr>
                    <w:rFonts w:ascii="Cambria Math" w:hAnsi="Cambria Math" w:cs="Arial"/>
                    <w:i/>
                    <w:sz w:val="22"/>
                    <w:szCs w:val="22"/>
                  </w:rPr>
                </m:ctrlPr>
              </m:sSupPr>
              <m:e>
                <m:d>
                  <m:dPr>
                    <m:ctrlPr>
                      <w:rPr>
                        <w:rFonts w:ascii="Cambria Math" w:hAnsi="Cambria Math" w:cs="Arial"/>
                        <w:i/>
                        <w:sz w:val="22"/>
                        <w:szCs w:val="22"/>
                      </w:rPr>
                    </m:ctrlPr>
                  </m:dPr>
                  <m:e>
                    <m:r>
                      <w:rPr>
                        <w:rFonts w:ascii="Cambria Math" w:hAnsi="Cambria Math" w:cs="Arial"/>
                        <w:sz w:val="22"/>
                        <w:szCs w:val="22"/>
                      </w:rPr>
                      <m:t xml:space="preserve">P- </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e>
                </m:d>
              </m:e>
              <m:sup>
                <m:r>
                  <w:rPr>
                    <w:rFonts w:ascii="Cambria Math" w:hAnsi="Cambria Math" w:cs="Arial"/>
                    <w:sz w:val="22"/>
                    <w:szCs w:val="22"/>
                  </w:rPr>
                  <m:t>2</m:t>
                </m:r>
              </m:sup>
            </m:sSup>
          </m:num>
          <m:den>
            <m:r>
              <w:rPr>
                <w:rFonts w:ascii="Cambria Math" w:hAnsi="Cambria Math" w:cs="Arial"/>
                <w:sz w:val="22"/>
                <w:szCs w:val="22"/>
              </w:rPr>
              <m:t>P+ 0.8S</m:t>
            </m:r>
          </m:den>
        </m:f>
        <m:r>
          <w:rPr>
            <w:rFonts w:ascii="Cambria Math" w:hAnsi="Cambria Math" w:cs="Arial"/>
            <w:sz w:val="22"/>
            <w:szCs w:val="22"/>
          </w:rPr>
          <m:t xml:space="preserve"> </m:t>
        </m:r>
      </m:oMath>
      <w:r w:rsidR="00B018B1" w:rsidRPr="008D4747">
        <w:rPr>
          <w:rFonts w:ascii="Arial" w:hAnsi="Arial" w:cs="Arial"/>
          <w:sz w:val="22"/>
          <w:szCs w:val="22"/>
        </w:rPr>
        <w:t xml:space="preserve">           </w:t>
      </w:r>
      <w:r w:rsidRPr="008D4747">
        <w:rPr>
          <w:rFonts w:ascii="Arial" w:hAnsi="Arial" w:cs="Arial"/>
          <w:sz w:val="22"/>
          <w:szCs w:val="22"/>
        </w:rPr>
        <w:t xml:space="preserve">        </w:t>
      </w:r>
      <w:r w:rsidR="00B71E60">
        <w:rPr>
          <w:rFonts w:ascii="Arial" w:hAnsi="Arial" w:cs="Arial"/>
          <w:sz w:val="22"/>
          <w:szCs w:val="22"/>
        </w:rPr>
        <w:t xml:space="preserve">                   </w:t>
      </w:r>
      <w:r w:rsidRPr="008D4747">
        <w:rPr>
          <w:rFonts w:ascii="Arial" w:hAnsi="Arial" w:cs="Arial"/>
          <w:sz w:val="22"/>
          <w:szCs w:val="22"/>
        </w:rPr>
        <w:t xml:space="preserve">     </w:t>
      </w:r>
      <w:r w:rsidR="00B018B1" w:rsidRPr="008D4747">
        <w:rPr>
          <w:rFonts w:ascii="Arial" w:hAnsi="Arial" w:cs="Arial"/>
          <w:sz w:val="22"/>
          <w:szCs w:val="22"/>
        </w:rPr>
        <w:t xml:space="preserve">  </w:t>
      </w:r>
      <w:r w:rsidR="00B018B1" w:rsidRPr="008D4747">
        <w:rPr>
          <w:rFonts w:ascii="Arial" w:hAnsi="Arial" w:cs="Arial"/>
          <w:i/>
          <w:iCs/>
          <w:sz w:val="22"/>
          <w:szCs w:val="22"/>
        </w:rPr>
        <w:t>Equation (</w:t>
      </w:r>
      <w:r w:rsidR="006527FE" w:rsidRPr="008D4747">
        <w:rPr>
          <w:rFonts w:ascii="Arial" w:hAnsi="Arial" w:cs="Arial"/>
          <w:i/>
          <w:iCs/>
          <w:sz w:val="22"/>
          <w:szCs w:val="22"/>
        </w:rPr>
        <w:t>6</w:t>
      </w:r>
      <w:r w:rsidR="00B018B1" w:rsidRPr="008D4747">
        <w:rPr>
          <w:rFonts w:ascii="Arial" w:hAnsi="Arial" w:cs="Arial"/>
          <w:i/>
          <w:iCs/>
          <w:sz w:val="22"/>
          <w:szCs w:val="22"/>
        </w:rPr>
        <w:t>)</w:t>
      </w:r>
    </w:p>
    <w:p w14:paraId="2475BFFE" w14:textId="2F068AD9" w:rsidR="00B018B1" w:rsidRPr="008D4747" w:rsidRDefault="00BC5DF0" w:rsidP="00072F0A">
      <w:pPr>
        <w:ind w:firstLine="0"/>
        <w:rPr>
          <w:rFonts w:ascii="Arial" w:hAnsi="Arial" w:cs="Arial"/>
          <w:sz w:val="22"/>
          <w:szCs w:val="22"/>
        </w:rPr>
      </w:pPr>
      <w:r w:rsidRPr="008D4747">
        <w:rPr>
          <w:rFonts w:ascii="Arial" w:hAnsi="Arial" w:cs="Arial"/>
          <w:i/>
          <w:iCs/>
          <w:sz w:val="22"/>
          <w:szCs w:val="22"/>
        </w:rPr>
        <w:t>Equation (6</w:t>
      </w:r>
      <w:r w:rsidR="00072F0A" w:rsidRPr="008D4747">
        <w:rPr>
          <w:rFonts w:ascii="Arial" w:hAnsi="Arial" w:cs="Arial"/>
          <w:sz w:val="22"/>
          <w:szCs w:val="22"/>
        </w:rPr>
        <w:t>) is widely acknowledged as a commonly used form of the established SCS-CN method. Consequently, the standard SCS-CN method with λ = 0.2 serves as a single-parameter model for calculating surface runoff from daily storm rainfall, offering significant importance, practicality, and extensive unexplored potential</w:t>
      </w:r>
      <w:r w:rsidR="007D3475" w:rsidRPr="008D4747">
        <w:rPr>
          <w:rFonts w:ascii="Arial" w:hAnsi="Arial" w:cs="Arial"/>
          <w:sz w:val="22"/>
          <w:szCs w:val="22"/>
        </w:rPr>
        <w:t>.</w:t>
      </w:r>
    </w:p>
    <w:p w14:paraId="362EAAD2" w14:textId="014652A7" w:rsidR="007D3475" w:rsidRPr="008D4747" w:rsidRDefault="000710E6" w:rsidP="000710E6">
      <w:pPr>
        <w:pStyle w:val="Heading1"/>
      </w:pPr>
      <w:r w:rsidRPr="008D4747">
        <w:t>2.</w:t>
      </w:r>
      <w:r w:rsidR="00761F97">
        <w:t>2.</w:t>
      </w:r>
      <w:r w:rsidR="000E4A93">
        <w:t>4</w:t>
      </w:r>
      <w:r w:rsidR="00761F97">
        <w:t xml:space="preserve"> </w:t>
      </w:r>
      <w:r w:rsidRPr="008D4747">
        <w:t xml:space="preserve"> </w:t>
      </w:r>
      <w:r w:rsidR="007D3475" w:rsidRPr="008D4747">
        <w:t>Assessment of Evpotranspiration</w:t>
      </w:r>
    </w:p>
    <w:p w14:paraId="6875C735" w14:textId="2D0AF27F" w:rsidR="001B6C18" w:rsidRDefault="005746C7" w:rsidP="00C23625">
      <w:pPr>
        <w:ind w:firstLine="0"/>
        <w:rPr>
          <w:rFonts w:ascii="Arial" w:hAnsi="Arial" w:cs="Arial"/>
          <w:sz w:val="22"/>
          <w:szCs w:val="22"/>
        </w:rPr>
      </w:pPr>
      <w:r w:rsidRPr="005746C7">
        <w:rPr>
          <w:rFonts w:ascii="Arial" w:hAnsi="Arial" w:cs="Arial"/>
          <w:sz w:val="22"/>
          <w:szCs w:val="22"/>
        </w:rPr>
        <w:t xml:space="preserve">Evapotranspiration estimation is challenging for very small areas, especially in remote forest fire regions where data is not accessible; therefore, we relied on global datasets for our research. </w:t>
      </w:r>
      <w:r w:rsidR="007D3475" w:rsidRPr="008D4747">
        <w:rPr>
          <w:rFonts w:ascii="Arial" w:hAnsi="Arial" w:cs="Arial"/>
          <w:sz w:val="22"/>
          <w:szCs w:val="22"/>
        </w:rPr>
        <w:t>For water balance analysis, this study uses GLDAS datasets</w:t>
      </w:r>
      <w:r>
        <w:rPr>
          <w:rFonts w:ascii="Arial" w:hAnsi="Arial" w:cs="Arial"/>
          <w:sz w:val="22"/>
          <w:szCs w:val="22"/>
        </w:rPr>
        <w:t xml:space="preserve"> for the pre-fire condition</w:t>
      </w:r>
      <w:r w:rsidR="007D3475" w:rsidRPr="008D4747">
        <w:rPr>
          <w:rFonts w:ascii="Arial" w:hAnsi="Arial" w:cs="Arial"/>
          <w:sz w:val="22"/>
          <w:szCs w:val="22"/>
        </w:rPr>
        <w:t xml:space="preserve">, which provide terrestrial hydrologic data, including AET. The GLDAS AET (Version 2.1), available from 2000 to present, is measured of water loss and derived by NASA using the Noah Land Surface Model (NLSM) with satellite and ground-based observations (Khan et al., 2018). </w:t>
      </w:r>
      <w:r w:rsidR="000301DB">
        <w:rPr>
          <w:rFonts w:ascii="Arial" w:hAnsi="Arial" w:cs="Arial"/>
          <w:sz w:val="22"/>
          <w:szCs w:val="22"/>
        </w:rPr>
        <w:t>It has been demonstrated in se</w:t>
      </w:r>
      <w:r w:rsidR="007D3475" w:rsidRPr="008D4747">
        <w:rPr>
          <w:rFonts w:ascii="Arial" w:hAnsi="Arial" w:cs="Arial"/>
          <w:sz w:val="22"/>
          <w:szCs w:val="22"/>
        </w:rPr>
        <w:t xml:space="preserve">veral studies (e.g., Singh et al., 2022; Pal et al., 2021; Zhan et al., 2019) </w:t>
      </w:r>
      <w:r w:rsidR="000301DB">
        <w:rPr>
          <w:rFonts w:ascii="Arial" w:hAnsi="Arial" w:cs="Arial"/>
          <w:sz w:val="22"/>
          <w:szCs w:val="22"/>
        </w:rPr>
        <w:t>that</w:t>
      </w:r>
      <w:r w:rsidR="007D3475" w:rsidRPr="008D4747">
        <w:rPr>
          <w:rFonts w:ascii="Arial" w:hAnsi="Arial" w:cs="Arial"/>
          <w:sz w:val="22"/>
          <w:szCs w:val="22"/>
        </w:rPr>
        <w:t xml:space="preserve"> that GLDAS AET products hold significant potential for </w:t>
      </w:r>
      <w:r w:rsidR="000301DB">
        <w:rPr>
          <w:rFonts w:ascii="Arial" w:hAnsi="Arial" w:cs="Arial"/>
          <w:sz w:val="22"/>
          <w:szCs w:val="22"/>
        </w:rPr>
        <w:t>global, regional or local scale</w:t>
      </w:r>
      <w:r w:rsidR="007D3475" w:rsidRPr="008D4747">
        <w:rPr>
          <w:rFonts w:ascii="Arial" w:hAnsi="Arial" w:cs="Arial"/>
          <w:sz w:val="22"/>
          <w:szCs w:val="22"/>
        </w:rPr>
        <w:t>, especially in data-scarce regions like India.</w:t>
      </w:r>
      <w:r w:rsidR="00761F97">
        <w:rPr>
          <w:rFonts w:ascii="Arial" w:hAnsi="Arial" w:cs="Arial"/>
          <w:sz w:val="22"/>
          <w:szCs w:val="22"/>
        </w:rPr>
        <w:t xml:space="preserve"> </w:t>
      </w:r>
      <w:r w:rsidR="000301DB">
        <w:rPr>
          <w:rFonts w:ascii="Arial" w:hAnsi="Arial" w:cs="Arial"/>
          <w:sz w:val="22"/>
          <w:szCs w:val="22"/>
        </w:rPr>
        <w:t xml:space="preserve">For the </w:t>
      </w:r>
      <w:r w:rsidR="000301DB" w:rsidRPr="002A3BEB">
        <w:rPr>
          <w:rFonts w:ascii="Arial" w:hAnsi="Arial" w:cs="Arial"/>
          <w:sz w:val="22"/>
          <w:szCs w:val="22"/>
        </w:rPr>
        <w:t>pre-fire condition</w:t>
      </w:r>
      <w:r w:rsidRPr="002A3BEB">
        <w:rPr>
          <w:rFonts w:ascii="Arial" w:hAnsi="Arial" w:cs="Arial"/>
          <w:sz w:val="22"/>
          <w:szCs w:val="22"/>
        </w:rPr>
        <w:t xml:space="preserve"> GLDAS AET dataset</w:t>
      </w:r>
      <w:r w:rsidR="00147295" w:rsidRPr="002A3BEB">
        <w:rPr>
          <w:rFonts w:ascii="Arial" w:hAnsi="Arial" w:cs="Arial"/>
          <w:sz w:val="22"/>
          <w:szCs w:val="22"/>
        </w:rPr>
        <w:t xml:space="preserve"> w</w:t>
      </w:r>
      <w:r w:rsidR="000301DB" w:rsidRPr="002A3BEB">
        <w:rPr>
          <w:rFonts w:ascii="Arial" w:hAnsi="Arial" w:cs="Arial"/>
          <w:sz w:val="22"/>
          <w:szCs w:val="22"/>
        </w:rPr>
        <w:t>as</w:t>
      </w:r>
      <w:r w:rsidR="00147295" w:rsidRPr="002A3BEB">
        <w:rPr>
          <w:rFonts w:ascii="Arial" w:hAnsi="Arial" w:cs="Arial"/>
          <w:sz w:val="22"/>
          <w:szCs w:val="22"/>
        </w:rPr>
        <w:t xml:space="preserve"> </w:t>
      </w:r>
      <w:r w:rsidR="000301DB" w:rsidRPr="002A3BEB">
        <w:rPr>
          <w:rFonts w:ascii="Arial" w:hAnsi="Arial" w:cs="Arial"/>
          <w:sz w:val="22"/>
          <w:szCs w:val="22"/>
        </w:rPr>
        <w:t>utilized</w:t>
      </w:r>
      <w:r w:rsidRPr="002A3BEB">
        <w:rPr>
          <w:rFonts w:ascii="Arial" w:hAnsi="Arial" w:cs="Arial"/>
          <w:sz w:val="22"/>
          <w:szCs w:val="22"/>
        </w:rPr>
        <w:t xml:space="preserve">, and based on </w:t>
      </w:r>
      <w:r w:rsidR="007C6321" w:rsidRPr="002A3BEB">
        <w:rPr>
          <w:rFonts w:ascii="Arial" w:hAnsi="Arial" w:cs="Arial"/>
          <w:sz w:val="22"/>
          <w:szCs w:val="22"/>
        </w:rPr>
        <w:t xml:space="preserve">earlier </w:t>
      </w:r>
      <w:r w:rsidRPr="002A3BEB">
        <w:rPr>
          <w:rFonts w:ascii="Arial" w:hAnsi="Arial" w:cs="Arial"/>
          <w:sz w:val="22"/>
          <w:szCs w:val="22"/>
        </w:rPr>
        <w:t xml:space="preserve">research, it was found that </w:t>
      </w:r>
      <w:proofErr w:type="spellStart"/>
      <w:r w:rsidRPr="002A3BEB">
        <w:rPr>
          <w:rFonts w:ascii="Arial" w:hAnsi="Arial" w:cs="Arial"/>
          <w:sz w:val="22"/>
          <w:szCs w:val="22"/>
        </w:rPr>
        <w:t>ETa</w:t>
      </w:r>
      <w:proofErr w:type="spellEnd"/>
      <w:r w:rsidRPr="002A3BEB">
        <w:rPr>
          <w:rFonts w:ascii="Arial" w:hAnsi="Arial" w:cs="Arial"/>
          <w:sz w:val="22"/>
          <w:szCs w:val="22"/>
        </w:rPr>
        <w:t xml:space="preserve"> decreases </w:t>
      </w:r>
      <w:r w:rsidR="00761F97" w:rsidRPr="002A3BEB">
        <w:rPr>
          <w:rFonts w:ascii="Arial" w:hAnsi="Arial" w:cs="Arial"/>
          <w:sz w:val="22"/>
          <w:szCs w:val="22"/>
        </w:rPr>
        <w:t>after the forest fire and f</w:t>
      </w:r>
      <w:r w:rsidRPr="002A3BEB">
        <w:rPr>
          <w:rFonts w:ascii="Arial" w:hAnsi="Arial" w:cs="Arial"/>
          <w:sz w:val="22"/>
          <w:szCs w:val="22"/>
        </w:rPr>
        <w:t xml:space="preserve">or the post-fire condition, 15% </w:t>
      </w:r>
      <w:r w:rsidR="000301DB" w:rsidRPr="002A3BEB">
        <w:rPr>
          <w:rFonts w:ascii="Arial" w:hAnsi="Arial" w:cs="Arial"/>
          <w:sz w:val="22"/>
          <w:szCs w:val="22"/>
        </w:rPr>
        <w:t>reduction</w:t>
      </w:r>
      <w:r w:rsidRPr="002A3BEB">
        <w:rPr>
          <w:rFonts w:ascii="Arial" w:hAnsi="Arial" w:cs="Arial"/>
          <w:sz w:val="22"/>
          <w:szCs w:val="22"/>
        </w:rPr>
        <w:t xml:space="preserve"> in </w:t>
      </w:r>
      <w:proofErr w:type="spellStart"/>
      <w:r w:rsidRPr="002A3BEB">
        <w:rPr>
          <w:rFonts w:ascii="Arial" w:hAnsi="Arial" w:cs="Arial"/>
          <w:sz w:val="22"/>
          <w:szCs w:val="22"/>
        </w:rPr>
        <w:t>ETa</w:t>
      </w:r>
      <w:proofErr w:type="spellEnd"/>
      <w:r w:rsidRPr="002A3BEB">
        <w:rPr>
          <w:rFonts w:ascii="Arial" w:hAnsi="Arial" w:cs="Arial"/>
          <w:sz w:val="22"/>
          <w:szCs w:val="22"/>
        </w:rPr>
        <w:t xml:space="preserve"> was considered for this study (collar et al., 2023).</w:t>
      </w:r>
    </w:p>
    <w:p w14:paraId="44F85A81" w14:textId="6A9C2106" w:rsidR="006F72FE" w:rsidRDefault="00C23625" w:rsidP="000710E6">
      <w:pPr>
        <w:pStyle w:val="Heading1"/>
      </w:pPr>
      <w:r w:rsidRPr="008D4747">
        <w:t xml:space="preserve">3 </w:t>
      </w:r>
      <w:r w:rsidR="006F72FE" w:rsidRPr="008D4747">
        <w:t>Results and discussion</w:t>
      </w:r>
    </w:p>
    <w:p w14:paraId="0C3F2D1B" w14:textId="17AC9E7F" w:rsidR="008F3C24" w:rsidRDefault="008F3C24" w:rsidP="00BD36AC">
      <w:pPr>
        <w:ind w:firstLine="0"/>
        <w:rPr>
          <w:rFonts w:ascii="Arial" w:hAnsi="Arial" w:cs="Arial"/>
          <w:sz w:val="22"/>
          <w:szCs w:val="22"/>
        </w:rPr>
      </w:pPr>
      <w:r>
        <w:rPr>
          <w:rFonts w:ascii="Arial" w:hAnsi="Arial" w:cs="Arial"/>
          <w:sz w:val="22"/>
          <w:szCs w:val="22"/>
        </w:rPr>
        <w:t xml:space="preserve">The result indicates that </w:t>
      </w:r>
      <w:proofErr w:type="spellStart"/>
      <w:r>
        <w:rPr>
          <w:rFonts w:ascii="Arial" w:hAnsi="Arial" w:cs="Arial"/>
          <w:sz w:val="22"/>
          <w:szCs w:val="22"/>
        </w:rPr>
        <w:t>ETa</w:t>
      </w:r>
      <w:proofErr w:type="spellEnd"/>
      <w:r>
        <w:rPr>
          <w:rFonts w:ascii="Arial" w:hAnsi="Arial" w:cs="Arial"/>
          <w:sz w:val="22"/>
          <w:szCs w:val="22"/>
        </w:rPr>
        <w:t xml:space="preserve"> and change in storage during monsoon season (covering the four months from June to September) was calculated based on forest type. Five forest types with </w:t>
      </w:r>
      <w:r>
        <w:rPr>
          <w:rFonts w:ascii="Arial" w:hAnsi="Arial" w:cs="Arial"/>
          <w:sz w:val="22"/>
          <w:szCs w:val="22"/>
        </w:rPr>
        <w:lastRenderedPageBreak/>
        <w:t xml:space="preserve">varying numbers of burnt sites were considered: the first forest type, </w:t>
      </w:r>
      <w:r w:rsidR="00F24DCC">
        <w:rPr>
          <w:rFonts w:ascii="Arial" w:hAnsi="Arial" w:cs="Arial"/>
          <w:sz w:val="22"/>
          <w:szCs w:val="22"/>
        </w:rPr>
        <w:t>Subtropical Forest</w:t>
      </w:r>
      <w:r>
        <w:rPr>
          <w:rFonts w:ascii="Arial" w:hAnsi="Arial" w:cs="Arial"/>
          <w:sz w:val="22"/>
          <w:szCs w:val="22"/>
        </w:rPr>
        <w:t xml:space="preserve"> type (STP), includes 20 sites</w:t>
      </w:r>
      <w:r w:rsidR="00F24DCC">
        <w:rPr>
          <w:rFonts w:ascii="Arial" w:hAnsi="Arial" w:cs="Arial"/>
          <w:sz w:val="22"/>
          <w:szCs w:val="22"/>
        </w:rPr>
        <w:t xml:space="preserve">, </w:t>
      </w:r>
      <w:r>
        <w:rPr>
          <w:rFonts w:ascii="Arial" w:hAnsi="Arial" w:cs="Arial"/>
          <w:sz w:val="22"/>
          <w:szCs w:val="22"/>
        </w:rPr>
        <w:t>the second Himalayan Mo</w:t>
      </w:r>
      <w:r w:rsidR="00362145">
        <w:rPr>
          <w:rFonts w:ascii="Arial" w:hAnsi="Arial" w:cs="Arial"/>
          <w:sz w:val="22"/>
          <w:szCs w:val="22"/>
        </w:rPr>
        <w:t>ist</w:t>
      </w:r>
      <w:r>
        <w:rPr>
          <w:rFonts w:ascii="Arial" w:hAnsi="Arial" w:cs="Arial"/>
          <w:sz w:val="22"/>
          <w:szCs w:val="22"/>
        </w:rPr>
        <w:t xml:space="preserve"> Tropical Forest (HMT), include 11 sites, the third Tropical </w:t>
      </w:r>
      <w:r w:rsidR="00F24DCC">
        <w:rPr>
          <w:rFonts w:ascii="Arial" w:hAnsi="Arial" w:cs="Arial"/>
          <w:sz w:val="22"/>
          <w:szCs w:val="22"/>
        </w:rPr>
        <w:t>Moist Deciduous Forest</w:t>
      </w:r>
      <w:r>
        <w:rPr>
          <w:rFonts w:ascii="Arial" w:hAnsi="Arial" w:cs="Arial"/>
          <w:sz w:val="22"/>
          <w:szCs w:val="22"/>
        </w:rPr>
        <w:t xml:space="preserve"> TMD, includes 4 sites</w:t>
      </w:r>
      <w:r w:rsidR="00EA3962">
        <w:rPr>
          <w:rFonts w:ascii="Arial" w:hAnsi="Arial" w:cs="Arial"/>
          <w:sz w:val="22"/>
          <w:szCs w:val="22"/>
        </w:rPr>
        <w:t xml:space="preserve">, Tree outside </w:t>
      </w:r>
      <w:r w:rsidR="00F24DCC">
        <w:rPr>
          <w:rFonts w:ascii="Arial" w:hAnsi="Arial" w:cs="Arial"/>
          <w:sz w:val="22"/>
          <w:szCs w:val="22"/>
        </w:rPr>
        <w:t>f</w:t>
      </w:r>
      <w:r w:rsidR="00EA3962">
        <w:rPr>
          <w:rFonts w:ascii="Arial" w:hAnsi="Arial" w:cs="Arial"/>
          <w:sz w:val="22"/>
          <w:szCs w:val="22"/>
        </w:rPr>
        <w:t>orest (TOF), include 3 sites and the fifth tropical deciduous forest included had the least, 2 sites.</w:t>
      </w:r>
      <w:r>
        <w:rPr>
          <w:rFonts w:ascii="Arial" w:hAnsi="Arial" w:cs="Arial"/>
          <w:sz w:val="22"/>
          <w:szCs w:val="22"/>
        </w:rPr>
        <w:t xml:space="preserve"> </w:t>
      </w:r>
    </w:p>
    <w:p w14:paraId="666BB835" w14:textId="4044117C" w:rsidR="006F72FE" w:rsidRDefault="00C23625" w:rsidP="00C23625">
      <w:pPr>
        <w:pStyle w:val="Heading2"/>
        <w:numPr>
          <w:ilvl w:val="0"/>
          <w:numId w:val="0"/>
        </w:numPr>
        <w:ind w:left="284" w:hanging="284"/>
        <w:rPr>
          <w:sz w:val="22"/>
          <w:szCs w:val="22"/>
        </w:rPr>
      </w:pPr>
      <w:r w:rsidRPr="008D4747">
        <w:rPr>
          <w:sz w:val="22"/>
          <w:szCs w:val="22"/>
        </w:rPr>
        <w:t xml:space="preserve">3.1 </w:t>
      </w:r>
      <w:r w:rsidR="006F72FE" w:rsidRPr="008D4747">
        <w:rPr>
          <w:sz w:val="22"/>
          <w:szCs w:val="22"/>
        </w:rPr>
        <w:t>Monsoon Evapotranspiration Variations in Burnt and Unburnt Sites</w:t>
      </w:r>
    </w:p>
    <w:p w14:paraId="1D2AE603" w14:textId="48A822E9" w:rsidR="009B3A40" w:rsidRPr="008D4747" w:rsidRDefault="0056759F" w:rsidP="00C23625">
      <w:pPr>
        <w:ind w:firstLine="0"/>
        <w:rPr>
          <w:rFonts w:ascii="Arial" w:hAnsi="Arial" w:cs="Arial"/>
          <w:sz w:val="22"/>
          <w:szCs w:val="22"/>
        </w:rPr>
      </w:pPr>
      <w:r w:rsidRPr="008D4747">
        <w:rPr>
          <w:rFonts w:ascii="Arial" w:hAnsi="Arial" w:cs="Arial"/>
          <w:sz w:val="22"/>
          <w:szCs w:val="22"/>
        </w:rPr>
        <w:t xml:space="preserve">The </w:t>
      </w:r>
      <w:r w:rsidR="0035349B">
        <w:rPr>
          <w:rFonts w:ascii="Arial" w:hAnsi="Arial" w:cs="Arial"/>
          <w:sz w:val="22"/>
          <w:szCs w:val="22"/>
        </w:rPr>
        <w:t xml:space="preserve">results shows that </w:t>
      </w:r>
      <w:r w:rsidRPr="008D4747">
        <w:rPr>
          <w:rFonts w:ascii="Arial" w:hAnsi="Arial" w:cs="Arial"/>
          <w:sz w:val="22"/>
          <w:szCs w:val="22"/>
        </w:rPr>
        <w:t>highest ET values for each forest type at specific sites are as follows: in the STP forest type, sites S20 and S21 recorded the highest ET at 382.45 mm; in the HMT forest type, site S41 recorded 372.57 mm; in the TMD forest type, site S31 recorded 393.32 mm; in the TOF category, sites S26 and S32 recorded 389.19 mm; and in the TDD forest type, site S3 recorded 379.06 mm. The calculated ET for both pre- and post-fire conditions, based on forest type and corresponding burnt sites, is presented in the graph below</w:t>
      </w:r>
      <w:r w:rsidR="00FD4C01" w:rsidRPr="008D4747">
        <w:rPr>
          <w:rFonts w:ascii="Arial" w:hAnsi="Arial" w:cs="Arial"/>
          <w:sz w:val="22"/>
          <w:szCs w:val="22"/>
        </w:rPr>
        <w:t>.</w:t>
      </w:r>
    </w:p>
    <w:p w14:paraId="11C6CF78" w14:textId="77777777" w:rsidR="009B3A40" w:rsidRPr="000710E6" w:rsidRDefault="009B3A40" w:rsidP="009B3A40">
      <w:pPr>
        <w:ind w:right="-22"/>
        <w:rPr>
          <w:rFonts w:ascii="Arial" w:hAnsi="Arial" w:cs="Arial"/>
          <w:b/>
          <w:bCs/>
          <w:sz w:val="20"/>
        </w:rPr>
      </w:pPr>
    </w:p>
    <w:tbl>
      <w:tblPr>
        <w:tblStyle w:val="TableGrid"/>
        <w:tblW w:w="0" w:type="auto"/>
        <w:tblInd w:w="567" w:type="dxa"/>
        <w:tblLook w:val="04A0" w:firstRow="1" w:lastRow="0" w:firstColumn="1" w:lastColumn="0" w:noHBand="0" w:noVBand="1"/>
      </w:tblPr>
      <w:tblGrid>
        <w:gridCol w:w="8783"/>
      </w:tblGrid>
      <w:tr w:rsidR="009B3A40" w:rsidRPr="000710E6" w14:paraId="3014DE79" w14:textId="77777777">
        <w:tc>
          <w:tcPr>
            <w:tcW w:w="9016" w:type="dxa"/>
          </w:tcPr>
          <w:p w14:paraId="1311E1EC" w14:textId="77E06CC5" w:rsidR="009B3A40" w:rsidRPr="000710E6" w:rsidRDefault="00347D8A" w:rsidP="009B3A40">
            <w:pPr>
              <w:ind w:right="565" w:firstLine="0"/>
              <w:rPr>
                <w:rFonts w:ascii="Arial" w:hAnsi="Arial" w:cs="Arial"/>
                <w:bCs/>
                <w:sz w:val="20"/>
              </w:rPr>
            </w:pPr>
            <w:r>
              <w:rPr>
                <w:rFonts w:ascii="Arial" w:hAnsi="Arial" w:cs="Arial"/>
                <w:bCs/>
                <w:noProof/>
                <w:sz w:val="20"/>
                <w:lang w:val="en-US"/>
              </w:rPr>
              <w:drawing>
                <wp:inline distT="0" distB="0" distL="0" distR="0" wp14:anchorId="7EA3C093" wp14:editId="5F88054C">
                  <wp:extent cx="5431971" cy="3014980"/>
                  <wp:effectExtent l="0" t="0" r="0" b="0"/>
                  <wp:docPr id="46158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959" cy="3037175"/>
                          </a:xfrm>
                          <a:prstGeom prst="rect">
                            <a:avLst/>
                          </a:prstGeom>
                          <a:noFill/>
                        </pic:spPr>
                      </pic:pic>
                    </a:graphicData>
                  </a:graphic>
                </wp:inline>
              </w:drawing>
            </w:r>
          </w:p>
        </w:tc>
      </w:tr>
      <w:tr w:rsidR="009B3A40" w:rsidRPr="000710E6" w14:paraId="5462158C" w14:textId="77777777">
        <w:tc>
          <w:tcPr>
            <w:tcW w:w="9016" w:type="dxa"/>
          </w:tcPr>
          <w:p w14:paraId="2BA7833A" w14:textId="69CE4915" w:rsidR="009B3A40" w:rsidRPr="000710E6" w:rsidRDefault="00347D8A" w:rsidP="009B3A40">
            <w:pPr>
              <w:ind w:right="565" w:firstLine="0"/>
              <w:rPr>
                <w:rFonts w:ascii="Arial" w:hAnsi="Arial" w:cs="Arial"/>
                <w:bCs/>
                <w:sz w:val="20"/>
              </w:rPr>
            </w:pPr>
            <w:r>
              <w:rPr>
                <w:rFonts w:ascii="Arial" w:hAnsi="Arial" w:cs="Arial"/>
                <w:bCs/>
                <w:noProof/>
                <w:sz w:val="20"/>
                <w:lang w:val="en-US"/>
              </w:rPr>
              <w:lastRenderedPageBreak/>
              <w:drawing>
                <wp:inline distT="0" distB="0" distL="0" distR="0" wp14:anchorId="5D3828BC" wp14:editId="01D5C911">
                  <wp:extent cx="5377542" cy="3308985"/>
                  <wp:effectExtent l="0" t="0" r="0" b="5715"/>
                  <wp:docPr id="2068722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799" cy="3329449"/>
                          </a:xfrm>
                          <a:prstGeom prst="rect">
                            <a:avLst/>
                          </a:prstGeom>
                          <a:noFill/>
                        </pic:spPr>
                      </pic:pic>
                    </a:graphicData>
                  </a:graphic>
                </wp:inline>
              </w:drawing>
            </w:r>
          </w:p>
        </w:tc>
      </w:tr>
      <w:tr w:rsidR="009B3A40" w:rsidRPr="000710E6" w14:paraId="505EF1DB" w14:textId="77777777">
        <w:tc>
          <w:tcPr>
            <w:tcW w:w="9016" w:type="dxa"/>
          </w:tcPr>
          <w:p w14:paraId="51E16EA8" w14:textId="0B399EDD" w:rsidR="009B3A40" w:rsidRPr="000710E6" w:rsidRDefault="00347D8A" w:rsidP="009B3A40">
            <w:pPr>
              <w:ind w:right="565" w:firstLine="0"/>
              <w:rPr>
                <w:rFonts w:ascii="Arial" w:hAnsi="Arial" w:cs="Arial"/>
                <w:bCs/>
                <w:sz w:val="20"/>
              </w:rPr>
            </w:pPr>
            <w:r>
              <w:rPr>
                <w:rFonts w:ascii="Arial" w:hAnsi="Arial" w:cs="Arial"/>
                <w:bCs/>
                <w:noProof/>
                <w:sz w:val="20"/>
                <w:lang w:val="en-US"/>
              </w:rPr>
              <w:drawing>
                <wp:inline distT="0" distB="0" distL="0" distR="0" wp14:anchorId="23A43575" wp14:editId="3201178F">
                  <wp:extent cx="5403850" cy="3439886"/>
                  <wp:effectExtent l="0" t="0" r="6350" b="8255"/>
                  <wp:docPr id="18605149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397" cy="3451692"/>
                          </a:xfrm>
                          <a:prstGeom prst="rect">
                            <a:avLst/>
                          </a:prstGeom>
                          <a:noFill/>
                        </pic:spPr>
                      </pic:pic>
                    </a:graphicData>
                  </a:graphic>
                </wp:inline>
              </w:drawing>
            </w:r>
          </w:p>
        </w:tc>
      </w:tr>
    </w:tbl>
    <w:p w14:paraId="65713BB1" w14:textId="77777777" w:rsidR="009B3A40" w:rsidRPr="000710E6" w:rsidRDefault="009B3A40" w:rsidP="009B3A40">
      <w:pPr>
        <w:spacing w:line="240" w:lineRule="auto"/>
        <w:ind w:right="565"/>
        <w:rPr>
          <w:rFonts w:ascii="Arial" w:hAnsi="Arial" w:cs="Arial"/>
          <w:bCs/>
          <w:sz w:val="20"/>
        </w:rPr>
      </w:pPr>
    </w:p>
    <w:p w14:paraId="5AC4F5C8" w14:textId="021BD4D1" w:rsidR="00A47C1A" w:rsidRPr="008D4747" w:rsidRDefault="009B3A40" w:rsidP="00C23625">
      <w:pPr>
        <w:ind w:firstLine="0"/>
        <w:rPr>
          <w:rFonts w:ascii="Arial" w:hAnsi="Arial" w:cs="Arial"/>
          <w:b/>
          <w:bCs/>
          <w:sz w:val="22"/>
          <w:szCs w:val="22"/>
        </w:rPr>
      </w:pPr>
      <w:r w:rsidRPr="008D4747">
        <w:rPr>
          <w:rFonts w:ascii="Arial" w:hAnsi="Arial" w:cs="Arial"/>
          <w:b/>
          <w:bCs/>
          <w:sz w:val="22"/>
          <w:szCs w:val="22"/>
        </w:rPr>
        <w:t xml:space="preserve">Fig. </w:t>
      </w:r>
      <w:r w:rsidRPr="008D4747">
        <w:rPr>
          <w:rFonts w:ascii="Arial" w:hAnsi="Arial" w:cs="Arial"/>
          <w:b/>
          <w:bCs/>
          <w:sz w:val="22"/>
          <w:szCs w:val="22"/>
        </w:rPr>
        <w:fldChar w:fldCharType="begin"/>
      </w:r>
      <w:r w:rsidRPr="008D4747">
        <w:rPr>
          <w:rFonts w:ascii="Arial" w:hAnsi="Arial" w:cs="Arial"/>
          <w:b/>
          <w:bCs/>
          <w:sz w:val="22"/>
          <w:szCs w:val="22"/>
        </w:rPr>
        <w:instrText xml:space="preserve"> SEQ Fig. \* ARABIC </w:instrText>
      </w:r>
      <w:r w:rsidRPr="008D4747">
        <w:rPr>
          <w:rFonts w:ascii="Arial" w:hAnsi="Arial" w:cs="Arial"/>
          <w:b/>
          <w:bCs/>
          <w:sz w:val="22"/>
          <w:szCs w:val="22"/>
        </w:rPr>
        <w:fldChar w:fldCharType="separate"/>
      </w:r>
      <w:r w:rsidRPr="008D4747">
        <w:rPr>
          <w:rFonts w:ascii="Arial" w:hAnsi="Arial" w:cs="Arial"/>
          <w:b/>
          <w:bCs/>
          <w:noProof/>
          <w:sz w:val="22"/>
          <w:szCs w:val="22"/>
        </w:rPr>
        <w:t>2</w:t>
      </w:r>
      <w:r w:rsidRPr="008D4747">
        <w:rPr>
          <w:rFonts w:ascii="Arial" w:hAnsi="Arial" w:cs="Arial"/>
          <w:b/>
          <w:bCs/>
          <w:sz w:val="22"/>
          <w:szCs w:val="22"/>
        </w:rPr>
        <w:fldChar w:fldCharType="end"/>
      </w:r>
      <w:r w:rsidRPr="008D4747">
        <w:rPr>
          <w:rFonts w:ascii="Arial" w:hAnsi="Arial" w:cs="Arial"/>
          <w:b/>
          <w:bCs/>
          <w:sz w:val="22"/>
          <w:szCs w:val="22"/>
        </w:rPr>
        <w:t xml:space="preserve"> Monsoon Evapotranspiration variations in burnt and unburnt sites across 5 forest types</w:t>
      </w:r>
    </w:p>
    <w:p w14:paraId="23A90347" w14:textId="216ED411" w:rsidR="008F6AC3" w:rsidRPr="008D4747" w:rsidRDefault="00C23625" w:rsidP="00C23625">
      <w:pPr>
        <w:pStyle w:val="Heading2"/>
        <w:numPr>
          <w:ilvl w:val="0"/>
          <w:numId w:val="0"/>
        </w:numPr>
        <w:ind w:left="284" w:hanging="284"/>
        <w:rPr>
          <w:sz w:val="22"/>
          <w:szCs w:val="22"/>
        </w:rPr>
      </w:pPr>
      <w:r w:rsidRPr="008D4747">
        <w:rPr>
          <w:sz w:val="22"/>
          <w:szCs w:val="22"/>
        </w:rPr>
        <w:t xml:space="preserve">3.2 </w:t>
      </w:r>
      <w:r w:rsidR="006408DF" w:rsidRPr="008D4747">
        <w:rPr>
          <w:sz w:val="22"/>
          <w:szCs w:val="22"/>
        </w:rPr>
        <w:t>Monsoon Δ Storage Variations in Burnt and Unburnt Sites</w:t>
      </w:r>
    </w:p>
    <w:p w14:paraId="79FA7377" w14:textId="19FA55A8" w:rsidR="00475F4B" w:rsidRPr="006428E6" w:rsidRDefault="00E97A45" w:rsidP="00C23625">
      <w:pPr>
        <w:ind w:firstLine="0"/>
        <w:rPr>
          <w:rFonts w:ascii="Arial" w:hAnsi="Arial" w:cs="Arial"/>
          <w:sz w:val="22"/>
          <w:szCs w:val="22"/>
          <w:lang w:val="en-US"/>
        </w:rPr>
      </w:pPr>
      <w:r w:rsidRPr="008D4747">
        <w:rPr>
          <w:rFonts w:ascii="Arial" w:hAnsi="Arial" w:cs="Arial"/>
          <w:sz w:val="22"/>
          <w:szCs w:val="22"/>
          <w:lang w:val="en-US"/>
        </w:rPr>
        <w:t xml:space="preserve">The analysis was </w:t>
      </w:r>
      <w:r w:rsidR="00475F4B">
        <w:rPr>
          <w:rFonts w:ascii="Arial" w:hAnsi="Arial" w:cs="Arial"/>
          <w:sz w:val="22"/>
          <w:szCs w:val="22"/>
          <w:lang w:val="en-US"/>
        </w:rPr>
        <w:t>carried out for each</w:t>
      </w:r>
      <w:r w:rsidRPr="008D4747">
        <w:rPr>
          <w:rFonts w:ascii="Arial" w:hAnsi="Arial" w:cs="Arial"/>
          <w:sz w:val="22"/>
          <w:szCs w:val="22"/>
          <w:lang w:val="en-US"/>
        </w:rPr>
        <w:t xml:space="preserve"> </w:t>
      </w:r>
      <w:r w:rsidR="00475F4B">
        <w:rPr>
          <w:rFonts w:ascii="Arial" w:hAnsi="Arial" w:cs="Arial"/>
          <w:sz w:val="22"/>
          <w:szCs w:val="22"/>
          <w:lang w:val="en-US"/>
        </w:rPr>
        <w:t xml:space="preserve">specific </w:t>
      </w:r>
      <w:r w:rsidRPr="008D4747">
        <w:rPr>
          <w:rFonts w:ascii="Arial" w:hAnsi="Arial" w:cs="Arial"/>
          <w:sz w:val="22"/>
          <w:szCs w:val="22"/>
          <w:lang w:val="en-US"/>
        </w:rPr>
        <w:t xml:space="preserve">site and the results indicate </w:t>
      </w:r>
      <w:r w:rsidR="00475F4B">
        <w:rPr>
          <w:rFonts w:ascii="Arial" w:hAnsi="Arial" w:cs="Arial"/>
          <w:sz w:val="22"/>
          <w:szCs w:val="22"/>
          <w:lang w:val="en-US"/>
        </w:rPr>
        <w:t>reduction</w:t>
      </w:r>
      <w:r w:rsidRPr="008D4747">
        <w:rPr>
          <w:rFonts w:ascii="Arial" w:hAnsi="Arial" w:cs="Arial"/>
          <w:sz w:val="22"/>
          <w:szCs w:val="22"/>
          <w:lang w:val="en-US"/>
        </w:rPr>
        <w:t xml:space="preserve"> in</w:t>
      </w:r>
      <w:r w:rsidR="00475F4B">
        <w:rPr>
          <w:rFonts w:ascii="Arial" w:hAnsi="Arial" w:cs="Arial"/>
          <w:sz w:val="22"/>
          <w:szCs w:val="22"/>
          <w:lang w:val="en-US"/>
        </w:rPr>
        <w:t xml:space="preserve"> change in</w:t>
      </w:r>
      <w:r w:rsidRPr="008D4747">
        <w:rPr>
          <w:rFonts w:ascii="Arial" w:hAnsi="Arial" w:cs="Arial"/>
          <w:sz w:val="22"/>
          <w:szCs w:val="22"/>
          <w:lang w:val="en-US"/>
        </w:rPr>
        <w:t xml:space="preserve"> storage at </w:t>
      </w:r>
      <w:r w:rsidR="00475F4B">
        <w:rPr>
          <w:rFonts w:ascii="Arial" w:hAnsi="Arial" w:cs="Arial"/>
          <w:sz w:val="22"/>
          <w:szCs w:val="22"/>
          <w:lang w:val="en-US"/>
        </w:rPr>
        <w:t xml:space="preserve">every site which reflect the </w:t>
      </w:r>
      <w:r w:rsidRPr="008D4747">
        <w:rPr>
          <w:rFonts w:ascii="Arial" w:hAnsi="Arial" w:cs="Arial"/>
          <w:sz w:val="22"/>
          <w:szCs w:val="22"/>
          <w:lang w:val="en-US"/>
        </w:rPr>
        <w:t xml:space="preserve">seasonal </w:t>
      </w:r>
      <w:r w:rsidR="00475F4B">
        <w:rPr>
          <w:rFonts w:ascii="Arial" w:hAnsi="Arial" w:cs="Arial"/>
          <w:sz w:val="22"/>
          <w:szCs w:val="22"/>
          <w:lang w:val="en-US"/>
        </w:rPr>
        <w:t>variation</w:t>
      </w:r>
      <w:r w:rsidRPr="008D4747">
        <w:rPr>
          <w:rFonts w:ascii="Arial" w:hAnsi="Arial" w:cs="Arial"/>
          <w:sz w:val="22"/>
          <w:szCs w:val="22"/>
          <w:lang w:val="en-US"/>
        </w:rPr>
        <w:t xml:space="preserve"> o</w:t>
      </w:r>
      <w:r w:rsidR="00475F4B">
        <w:rPr>
          <w:rFonts w:ascii="Arial" w:hAnsi="Arial" w:cs="Arial"/>
          <w:sz w:val="22"/>
          <w:szCs w:val="22"/>
          <w:lang w:val="en-US"/>
        </w:rPr>
        <w:t>f</w:t>
      </w:r>
      <w:r w:rsidRPr="008D4747">
        <w:rPr>
          <w:rFonts w:ascii="Arial" w:hAnsi="Arial" w:cs="Arial"/>
          <w:sz w:val="22"/>
          <w:szCs w:val="22"/>
          <w:lang w:val="en-US"/>
        </w:rPr>
        <w:t xml:space="preserve"> the hydrological regime. In the STP forest type</w:t>
      </w:r>
      <w:r w:rsidR="00475F4B">
        <w:rPr>
          <w:rFonts w:ascii="Arial" w:hAnsi="Arial" w:cs="Arial"/>
          <w:sz w:val="22"/>
          <w:szCs w:val="22"/>
          <w:lang w:val="en-US"/>
        </w:rPr>
        <w:t xml:space="preserve"> (20 sites)</w:t>
      </w:r>
      <w:r w:rsidRPr="008D4747">
        <w:rPr>
          <w:rFonts w:ascii="Arial" w:hAnsi="Arial" w:cs="Arial"/>
          <w:sz w:val="22"/>
          <w:szCs w:val="22"/>
          <w:lang w:val="en-US"/>
        </w:rPr>
        <w:t xml:space="preserve">, the most pronounced </w:t>
      </w:r>
      <w:r w:rsidR="00155CC0">
        <w:rPr>
          <w:rFonts w:ascii="Arial" w:hAnsi="Arial" w:cs="Arial"/>
          <w:sz w:val="22"/>
          <w:szCs w:val="22"/>
          <w:lang w:val="en-US"/>
        </w:rPr>
        <w:t>decrease</w:t>
      </w:r>
      <w:r w:rsidRPr="008D4747">
        <w:rPr>
          <w:rFonts w:ascii="Arial" w:hAnsi="Arial" w:cs="Arial"/>
          <w:sz w:val="22"/>
          <w:szCs w:val="22"/>
          <w:lang w:val="en-US"/>
        </w:rPr>
        <w:t xml:space="preserve"> in</w:t>
      </w:r>
      <w:r w:rsidR="00155CC0">
        <w:rPr>
          <w:rFonts w:ascii="Arial" w:hAnsi="Arial" w:cs="Arial"/>
          <w:sz w:val="22"/>
          <w:szCs w:val="22"/>
          <w:lang w:val="en-US"/>
        </w:rPr>
        <w:t xml:space="preserve"> change in</w:t>
      </w:r>
      <w:r w:rsidRPr="008D4747">
        <w:rPr>
          <w:rFonts w:ascii="Arial" w:hAnsi="Arial" w:cs="Arial"/>
          <w:sz w:val="22"/>
          <w:szCs w:val="22"/>
          <w:lang w:val="en-US"/>
        </w:rPr>
        <w:t xml:space="preserve"> storage was </w:t>
      </w:r>
      <w:r w:rsidR="00155CC0">
        <w:rPr>
          <w:rFonts w:ascii="Arial" w:hAnsi="Arial" w:cs="Arial"/>
          <w:sz w:val="22"/>
          <w:szCs w:val="22"/>
          <w:lang w:val="en-US"/>
        </w:rPr>
        <w:t>found</w:t>
      </w:r>
      <w:r w:rsidRPr="008D4747">
        <w:rPr>
          <w:rFonts w:ascii="Arial" w:hAnsi="Arial" w:cs="Arial"/>
          <w:sz w:val="22"/>
          <w:szCs w:val="22"/>
          <w:lang w:val="en-US"/>
        </w:rPr>
        <w:t xml:space="preserve"> at site S35, </w:t>
      </w:r>
      <w:r w:rsidRPr="008D4747">
        <w:rPr>
          <w:rFonts w:ascii="Arial" w:hAnsi="Arial" w:cs="Arial"/>
          <w:sz w:val="22"/>
          <w:szCs w:val="22"/>
          <w:lang w:val="en-US"/>
        </w:rPr>
        <w:lastRenderedPageBreak/>
        <w:t xml:space="preserve">with a reduction of -59.85%, while the smallest </w:t>
      </w:r>
      <w:r w:rsidR="00155CC0">
        <w:rPr>
          <w:rFonts w:ascii="Arial" w:hAnsi="Arial" w:cs="Arial"/>
          <w:sz w:val="22"/>
          <w:szCs w:val="22"/>
          <w:lang w:val="en-US"/>
        </w:rPr>
        <w:t>decline</w:t>
      </w:r>
      <w:r w:rsidRPr="008D4747">
        <w:rPr>
          <w:rFonts w:ascii="Arial" w:hAnsi="Arial" w:cs="Arial"/>
          <w:sz w:val="22"/>
          <w:szCs w:val="22"/>
          <w:lang w:val="en-US"/>
        </w:rPr>
        <w:t xml:space="preserve"> was </w:t>
      </w:r>
      <w:r w:rsidR="00155CC0">
        <w:rPr>
          <w:rFonts w:ascii="Arial" w:hAnsi="Arial" w:cs="Arial"/>
          <w:sz w:val="22"/>
          <w:szCs w:val="22"/>
          <w:lang w:val="en-US"/>
        </w:rPr>
        <w:t>found</w:t>
      </w:r>
      <w:r w:rsidRPr="008D4747">
        <w:rPr>
          <w:rFonts w:ascii="Arial" w:hAnsi="Arial" w:cs="Arial"/>
          <w:sz w:val="22"/>
          <w:szCs w:val="22"/>
          <w:lang w:val="en-US"/>
        </w:rPr>
        <w:t xml:space="preserve"> at site S12 with a decline of -7.44%. </w:t>
      </w:r>
      <w:r w:rsidR="00155CC0">
        <w:rPr>
          <w:rFonts w:ascii="Arial" w:hAnsi="Arial" w:cs="Arial"/>
          <w:sz w:val="22"/>
          <w:szCs w:val="22"/>
          <w:lang w:val="en-US"/>
        </w:rPr>
        <w:t>I</w:t>
      </w:r>
      <w:r w:rsidRPr="008D4747">
        <w:rPr>
          <w:rFonts w:ascii="Arial" w:hAnsi="Arial" w:cs="Arial"/>
          <w:sz w:val="22"/>
          <w:szCs w:val="22"/>
          <w:lang w:val="en-US"/>
        </w:rPr>
        <w:t xml:space="preserve">n the HMT forest type, the </w:t>
      </w:r>
      <w:r w:rsidR="00155CC0">
        <w:rPr>
          <w:rFonts w:ascii="Arial" w:hAnsi="Arial" w:cs="Arial"/>
          <w:sz w:val="22"/>
          <w:szCs w:val="22"/>
          <w:lang w:val="en-US"/>
        </w:rPr>
        <w:t>greatest</w:t>
      </w:r>
      <w:r w:rsidRPr="008D4747">
        <w:rPr>
          <w:rFonts w:ascii="Arial" w:hAnsi="Arial" w:cs="Arial"/>
          <w:sz w:val="22"/>
          <w:szCs w:val="22"/>
          <w:lang w:val="en-US"/>
        </w:rPr>
        <w:t xml:space="preserve"> reduction</w:t>
      </w:r>
      <w:r w:rsidR="00155CC0">
        <w:rPr>
          <w:rFonts w:ascii="Arial" w:hAnsi="Arial" w:cs="Arial"/>
          <w:sz w:val="22"/>
          <w:szCs w:val="22"/>
          <w:lang w:val="en-US"/>
        </w:rPr>
        <w:t xml:space="preserve"> of </w:t>
      </w:r>
      <w:r w:rsidR="00155CC0" w:rsidRPr="008D4747">
        <w:rPr>
          <w:rFonts w:ascii="Arial" w:hAnsi="Arial" w:cs="Arial"/>
          <w:sz w:val="22"/>
          <w:szCs w:val="22"/>
          <w:lang w:val="en-US"/>
        </w:rPr>
        <w:t>-58.49%</w:t>
      </w:r>
      <w:r w:rsidR="00155CC0">
        <w:rPr>
          <w:rFonts w:ascii="Arial" w:hAnsi="Arial" w:cs="Arial"/>
          <w:sz w:val="22"/>
          <w:szCs w:val="22"/>
          <w:lang w:val="en-US"/>
        </w:rPr>
        <w:t xml:space="preserve"> </w:t>
      </w:r>
      <w:r w:rsidR="00155CC0" w:rsidRPr="008D4747">
        <w:rPr>
          <w:rFonts w:ascii="Arial" w:hAnsi="Arial" w:cs="Arial"/>
          <w:sz w:val="22"/>
          <w:szCs w:val="22"/>
          <w:lang w:val="en-US"/>
        </w:rPr>
        <w:t>was</w:t>
      </w:r>
      <w:r w:rsidRPr="008D4747">
        <w:rPr>
          <w:rFonts w:ascii="Arial" w:hAnsi="Arial" w:cs="Arial"/>
          <w:sz w:val="22"/>
          <w:szCs w:val="22"/>
          <w:lang w:val="en-US"/>
        </w:rPr>
        <w:t xml:space="preserve"> </w:t>
      </w:r>
      <w:r w:rsidR="00155CC0">
        <w:rPr>
          <w:rFonts w:ascii="Arial" w:hAnsi="Arial" w:cs="Arial"/>
          <w:sz w:val="22"/>
          <w:szCs w:val="22"/>
          <w:lang w:val="en-US"/>
        </w:rPr>
        <w:t>found</w:t>
      </w:r>
      <w:r w:rsidRPr="008D4747">
        <w:rPr>
          <w:rFonts w:ascii="Arial" w:hAnsi="Arial" w:cs="Arial"/>
          <w:sz w:val="22"/>
          <w:szCs w:val="22"/>
          <w:lang w:val="en-US"/>
        </w:rPr>
        <w:t xml:space="preserve"> at site S4, </w:t>
      </w:r>
      <w:r w:rsidR="00155CC0" w:rsidRPr="008D4747">
        <w:rPr>
          <w:rFonts w:ascii="Arial" w:hAnsi="Arial" w:cs="Arial"/>
          <w:sz w:val="22"/>
          <w:szCs w:val="22"/>
          <w:lang w:val="en-US"/>
        </w:rPr>
        <w:t>whereas the</w:t>
      </w:r>
      <w:r w:rsidRPr="008D4747">
        <w:rPr>
          <w:rFonts w:ascii="Arial" w:hAnsi="Arial" w:cs="Arial"/>
          <w:sz w:val="22"/>
          <w:szCs w:val="22"/>
          <w:lang w:val="en-US"/>
        </w:rPr>
        <w:t xml:space="preserve"> least decline of -14.09%</w:t>
      </w:r>
      <w:r w:rsidR="00155CC0">
        <w:rPr>
          <w:rFonts w:ascii="Arial" w:hAnsi="Arial" w:cs="Arial"/>
          <w:sz w:val="22"/>
          <w:szCs w:val="22"/>
          <w:lang w:val="en-US"/>
        </w:rPr>
        <w:t xml:space="preserve"> was at </w:t>
      </w:r>
      <w:r w:rsidR="00155CC0" w:rsidRPr="008D4747">
        <w:rPr>
          <w:rFonts w:ascii="Arial" w:hAnsi="Arial" w:cs="Arial"/>
          <w:sz w:val="22"/>
          <w:szCs w:val="22"/>
          <w:lang w:val="en-US"/>
        </w:rPr>
        <w:t>site S</w:t>
      </w:r>
      <w:r w:rsidR="002B4029" w:rsidRPr="008D4747">
        <w:rPr>
          <w:rFonts w:ascii="Arial" w:hAnsi="Arial" w:cs="Arial"/>
          <w:sz w:val="22"/>
          <w:szCs w:val="22"/>
          <w:lang w:val="en-US"/>
        </w:rPr>
        <w:t>7.</w:t>
      </w:r>
      <w:r w:rsidRPr="008D4747">
        <w:rPr>
          <w:rFonts w:ascii="Arial" w:hAnsi="Arial" w:cs="Arial"/>
          <w:sz w:val="22"/>
          <w:szCs w:val="22"/>
          <w:lang w:val="en-US"/>
        </w:rPr>
        <w:t xml:space="preserve"> For the TMD forest type, the highest decline was</w:t>
      </w:r>
      <w:r w:rsidR="00155CC0">
        <w:rPr>
          <w:rFonts w:ascii="Arial" w:hAnsi="Arial" w:cs="Arial"/>
          <w:sz w:val="22"/>
          <w:szCs w:val="22"/>
          <w:lang w:val="en-US"/>
        </w:rPr>
        <w:t xml:space="preserve"> </w:t>
      </w:r>
      <w:r w:rsidR="00155CC0" w:rsidRPr="008D4747">
        <w:rPr>
          <w:rFonts w:ascii="Arial" w:hAnsi="Arial" w:cs="Arial"/>
          <w:sz w:val="22"/>
          <w:szCs w:val="22"/>
          <w:lang w:val="en-US"/>
        </w:rPr>
        <w:t>at site S30</w:t>
      </w:r>
      <w:r w:rsidR="00155CC0">
        <w:rPr>
          <w:rFonts w:ascii="Arial" w:hAnsi="Arial" w:cs="Arial"/>
          <w:sz w:val="22"/>
          <w:szCs w:val="22"/>
          <w:lang w:val="en-US"/>
        </w:rPr>
        <w:t xml:space="preserve"> with a reduction of</w:t>
      </w:r>
      <w:r w:rsidRPr="008D4747">
        <w:rPr>
          <w:rFonts w:ascii="Arial" w:hAnsi="Arial" w:cs="Arial"/>
          <w:sz w:val="22"/>
          <w:szCs w:val="22"/>
          <w:lang w:val="en-US"/>
        </w:rPr>
        <w:t xml:space="preserve"> -34.26% and the smallest decline was</w:t>
      </w:r>
      <w:r w:rsidR="00155CC0">
        <w:rPr>
          <w:rFonts w:ascii="Arial" w:hAnsi="Arial" w:cs="Arial"/>
          <w:sz w:val="22"/>
          <w:szCs w:val="22"/>
          <w:lang w:val="en-US"/>
        </w:rPr>
        <w:t xml:space="preserve"> </w:t>
      </w:r>
      <w:r w:rsidR="00155CC0" w:rsidRPr="008D4747">
        <w:rPr>
          <w:rFonts w:ascii="Arial" w:hAnsi="Arial" w:cs="Arial"/>
          <w:sz w:val="22"/>
          <w:szCs w:val="22"/>
          <w:lang w:val="en-US"/>
        </w:rPr>
        <w:t>at site S8</w:t>
      </w:r>
      <w:r w:rsidR="00155CC0">
        <w:rPr>
          <w:rFonts w:ascii="Arial" w:hAnsi="Arial" w:cs="Arial"/>
          <w:sz w:val="22"/>
          <w:szCs w:val="22"/>
          <w:lang w:val="en-US"/>
        </w:rPr>
        <w:t xml:space="preserve"> with a reduction of</w:t>
      </w:r>
      <w:r w:rsidRPr="008D4747">
        <w:rPr>
          <w:rFonts w:ascii="Arial" w:hAnsi="Arial" w:cs="Arial"/>
          <w:sz w:val="22"/>
          <w:szCs w:val="22"/>
          <w:lang w:val="en-US"/>
        </w:rPr>
        <w:t xml:space="preserve"> </w:t>
      </w:r>
      <w:r w:rsidR="00155CC0">
        <w:rPr>
          <w:rFonts w:ascii="Arial" w:hAnsi="Arial" w:cs="Arial"/>
          <w:sz w:val="22"/>
          <w:szCs w:val="22"/>
          <w:lang w:val="en-US"/>
        </w:rPr>
        <w:t>-</w:t>
      </w:r>
      <w:r w:rsidRPr="008D4747">
        <w:rPr>
          <w:rFonts w:ascii="Arial" w:hAnsi="Arial" w:cs="Arial"/>
          <w:sz w:val="22"/>
          <w:szCs w:val="22"/>
          <w:lang w:val="en-US"/>
        </w:rPr>
        <w:t xml:space="preserve">19.4%. In the TOF forest type, storage decreased most significantly at site S33 </w:t>
      </w:r>
      <w:r w:rsidR="00155CC0">
        <w:rPr>
          <w:rFonts w:ascii="Arial" w:hAnsi="Arial" w:cs="Arial"/>
          <w:sz w:val="22"/>
          <w:szCs w:val="22"/>
          <w:lang w:val="en-US"/>
        </w:rPr>
        <w:t xml:space="preserve">with a decline of </w:t>
      </w:r>
      <w:r w:rsidRPr="008D4747">
        <w:rPr>
          <w:rFonts w:ascii="Arial" w:hAnsi="Arial" w:cs="Arial"/>
          <w:sz w:val="22"/>
          <w:szCs w:val="22"/>
          <w:lang w:val="en-US"/>
        </w:rPr>
        <w:t xml:space="preserve">-21.00%, while site S26 experienced a </w:t>
      </w:r>
      <w:r w:rsidR="00155CC0">
        <w:rPr>
          <w:rFonts w:ascii="Arial" w:hAnsi="Arial" w:cs="Arial"/>
          <w:sz w:val="22"/>
          <w:szCs w:val="22"/>
          <w:lang w:val="en-US"/>
        </w:rPr>
        <w:t>least</w:t>
      </w:r>
      <w:r w:rsidRPr="008D4747">
        <w:rPr>
          <w:rFonts w:ascii="Arial" w:hAnsi="Arial" w:cs="Arial"/>
          <w:sz w:val="22"/>
          <w:szCs w:val="22"/>
          <w:lang w:val="en-US"/>
        </w:rPr>
        <w:t xml:space="preserve"> decline of -4.08%. In the TDD forest type, the greatest reduction</w:t>
      </w:r>
      <w:r w:rsidR="00155CC0">
        <w:rPr>
          <w:rFonts w:ascii="Arial" w:hAnsi="Arial" w:cs="Arial"/>
          <w:sz w:val="22"/>
          <w:szCs w:val="22"/>
          <w:lang w:val="en-US"/>
        </w:rPr>
        <w:t xml:space="preserve"> of </w:t>
      </w:r>
      <w:r w:rsidR="00155CC0" w:rsidRPr="008D4747">
        <w:rPr>
          <w:rFonts w:ascii="Arial" w:hAnsi="Arial" w:cs="Arial"/>
          <w:sz w:val="22"/>
          <w:szCs w:val="22"/>
          <w:lang w:val="en-US"/>
        </w:rPr>
        <w:t>-34.04%</w:t>
      </w:r>
      <w:r w:rsidRPr="008D4747">
        <w:rPr>
          <w:rFonts w:ascii="Arial" w:hAnsi="Arial" w:cs="Arial"/>
          <w:sz w:val="22"/>
          <w:szCs w:val="22"/>
          <w:lang w:val="en-US"/>
        </w:rPr>
        <w:t xml:space="preserve"> occurred at site S3, and the least</w:t>
      </w:r>
      <w:r w:rsidR="00155CC0">
        <w:rPr>
          <w:rFonts w:ascii="Arial" w:hAnsi="Arial" w:cs="Arial"/>
          <w:sz w:val="22"/>
          <w:szCs w:val="22"/>
          <w:lang w:val="en-US"/>
        </w:rPr>
        <w:t xml:space="preserve"> of</w:t>
      </w:r>
      <w:r w:rsidRPr="008D4747">
        <w:rPr>
          <w:rFonts w:ascii="Arial" w:hAnsi="Arial" w:cs="Arial"/>
          <w:sz w:val="22"/>
          <w:szCs w:val="22"/>
          <w:lang w:val="en-US"/>
        </w:rPr>
        <w:t xml:space="preserve"> </w:t>
      </w:r>
      <w:r w:rsidR="00155CC0" w:rsidRPr="008D4747">
        <w:rPr>
          <w:rFonts w:ascii="Arial" w:hAnsi="Arial" w:cs="Arial"/>
          <w:sz w:val="22"/>
          <w:szCs w:val="22"/>
          <w:lang w:val="en-US"/>
        </w:rPr>
        <w:t>-22.72%</w:t>
      </w:r>
      <w:r w:rsidR="00155CC0">
        <w:rPr>
          <w:rFonts w:ascii="Arial" w:hAnsi="Arial" w:cs="Arial"/>
          <w:sz w:val="22"/>
          <w:szCs w:val="22"/>
          <w:lang w:val="en-US"/>
        </w:rPr>
        <w:t xml:space="preserve"> </w:t>
      </w:r>
      <w:r w:rsidRPr="008D4747">
        <w:rPr>
          <w:rFonts w:ascii="Arial" w:hAnsi="Arial" w:cs="Arial"/>
          <w:sz w:val="22"/>
          <w:szCs w:val="22"/>
          <w:lang w:val="en-US"/>
        </w:rPr>
        <w:t xml:space="preserve">was observed at site S9. These </w:t>
      </w:r>
      <w:r w:rsidR="002B4029">
        <w:rPr>
          <w:rFonts w:ascii="Arial" w:hAnsi="Arial" w:cs="Arial"/>
          <w:sz w:val="22"/>
          <w:szCs w:val="22"/>
          <w:lang w:val="en-US"/>
        </w:rPr>
        <w:t xml:space="preserve">enhances </w:t>
      </w:r>
      <w:r w:rsidR="002B4029" w:rsidRPr="008D4747">
        <w:rPr>
          <w:rFonts w:ascii="Arial" w:hAnsi="Arial" w:cs="Arial"/>
          <w:sz w:val="22"/>
          <w:szCs w:val="22"/>
          <w:lang w:val="en-US"/>
        </w:rPr>
        <w:t>the</w:t>
      </w:r>
      <w:r w:rsidRPr="008D4747">
        <w:rPr>
          <w:rFonts w:ascii="Arial" w:hAnsi="Arial" w:cs="Arial"/>
          <w:sz w:val="22"/>
          <w:szCs w:val="22"/>
          <w:lang w:val="en-US"/>
        </w:rPr>
        <w:t xml:space="preserve"> spatial variability </w:t>
      </w:r>
      <w:r w:rsidR="002B4029" w:rsidRPr="008D4747">
        <w:rPr>
          <w:rFonts w:ascii="Arial" w:hAnsi="Arial" w:cs="Arial"/>
          <w:sz w:val="22"/>
          <w:szCs w:val="22"/>
          <w:lang w:val="en-US"/>
        </w:rPr>
        <w:t xml:space="preserve">of </w:t>
      </w:r>
      <w:r w:rsidR="002B4029">
        <w:rPr>
          <w:rFonts w:ascii="Arial" w:hAnsi="Arial" w:cs="Arial"/>
          <w:sz w:val="22"/>
          <w:szCs w:val="22"/>
          <w:lang w:val="en-US"/>
        </w:rPr>
        <w:t xml:space="preserve">the reduction of </w:t>
      </w:r>
      <w:r w:rsidRPr="008D4747">
        <w:rPr>
          <w:rFonts w:ascii="Arial" w:hAnsi="Arial" w:cs="Arial"/>
          <w:sz w:val="22"/>
          <w:szCs w:val="22"/>
          <w:lang w:val="en-US"/>
        </w:rPr>
        <w:t xml:space="preserve">storage during the monsoon period, </w:t>
      </w:r>
      <w:r w:rsidR="002B4029" w:rsidRPr="006428E6">
        <w:rPr>
          <w:rFonts w:ascii="Arial" w:hAnsi="Arial" w:cs="Arial"/>
          <w:sz w:val="22"/>
          <w:szCs w:val="22"/>
        </w:rPr>
        <w:t xml:space="preserve">apparently due to variations in </w:t>
      </w:r>
      <w:r w:rsidR="002B4029" w:rsidRPr="006428E6">
        <w:rPr>
          <w:rFonts w:ascii="Arial" w:hAnsi="Arial" w:cs="Arial"/>
          <w:sz w:val="22"/>
          <w:szCs w:val="22"/>
          <w:lang w:val="en-US"/>
        </w:rPr>
        <w:t xml:space="preserve">soil properties, vegetation cover and </w:t>
      </w:r>
      <w:r w:rsidR="00155CC0" w:rsidRPr="006428E6">
        <w:rPr>
          <w:rFonts w:ascii="Arial" w:hAnsi="Arial" w:cs="Arial"/>
          <w:sz w:val="22"/>
          <w:szCs w:val="22"/>
          <w:lang w:val="en-US"/>
        </w:rPr>
        <w:t>hydrological processes</w:t>
      </w:r>
      <w:r w:rsidR="002B4029" w:rsidRPr="006428E6">
        <w:rPr>
          <w:rFonts w:ascii="Arial" w:hAnsi="Arial" w:cs="Arial"/>
          <w:sz w:val="22"/>
          <w:szCs w:val="22"/>
          <w:lang w:val="en-US"/>
        </w:rPr>
        <w:t xml:space="preserve"> between</w:t>
      </w:r>
      <w:r w:rsidRPr="006428E6">
        <w:rPr>
          <w:rFonts w:ascii="Arial" w:hAnsi="Arial" w:cs="Arial"/>
          <w:sz w:val="22"/>
          <w:szCs w:val="22"/>
          <w:lang w:val="en-US"/>
        </w:rPr>
        <w:t xml:space="preserve"> the forest types.</w:t>
      </w:r>
    </w:p>
    <w:p w14:paraId="00B9B440" w14:textId="77777777" w:rsidR="00475F4B" w:rsidRDefault="00475F4B" w:rsidP="00C23625">
      <w:pPr>
        <w:ind w:firstLine="0"/>
        <w:rPr>
          <w:rFonts w:ascii="Arial" w:hAnsi="Arial" w:cs="Arial"/>
          <w:sz w:val="22"/>
          <w:szCs w:val="22"/>
          <w:lang w:val="en-US"/>
        </w:rPr>
      </w:pPr>
    </w:p>
    <w:p w14:paraId="71AE1E97" w14:textId="77777777" w:rsidR="00667458" w:rsidRDefault="00667458" w:rsidP="00C23625">
      <w:pPr>
        <w:ind w:firstLine="0"/>
        <w:rPr>
          <w:rFonts w:ascii="Arial" w:hAnsi="Arial" w:cs="Arial"/>
          <w:sz w:val="22"/>
          <w:szCs w:val="22"/>
          <w:lang w:val="en-US"/>
        </w:rPr>
      </w:pPr>
    </w:p>
    <w:tbl>
      <w:tblPr>
        <w:tblStyle w:val="TableGrid"/>
        <w:tblW w:w="0" w:type="auto"/>
        <w:tblLook w:val="04A0" w:firstRow="1" w:lastRow="0" w:firstColumn="1" w:lastColumn="0" w:noHBand="0" w:noVBand="1"/>
      </w:tblPr>
      <w:tblGrid>
        <w:gridCol w:w="9350"/>
      </w:tblGrid>
      <w:tr w:rsidR="00912487" w14:paraId="129F566B" w14:textId="77777777" w:rsidTr="00912487">
        <w:tc>
          <w:tcPr>
            <w:tcW w:w="9350" w:type="dxa"/>
          </w:tcPr>
          <w:p w14:paraId="080A6A5E" w14:textId="4D8237C3" w:rsidR="00912487" w:rsidRDefault="00912487" w:rsidP="00C23625">
            <w:pPr>
              <w:ind w:firstLine="0"/>
              <w:rPr>
                <w:rFonts w:ascii="Arial" w:hAnsi="Arial" w:cs="Arial"/>
                <w:sz w:val="22"/>
                <w:szCs w:val="22"/>
                <w:lang w:val="en-US"/>
              </w:rPr>
            </w:pPr>
            <w:r>
              <w:rPr>
                <w:rFonts w:ascii="Arial" w:hAnsi="Arial" w:cs="Arial"/>
                <w:noProof/>
                <w:sz w:val="22"/>
                <w:szCs w:val="22"/>
                <w:lang w:val="en-US"/>
              </w:rPr>
              <w:drawing>
                <wp:inline distT="0" distB="0" distL="0" distR="0" wp14:anchorId="59E7FC2B" wp14:editId="5D23D34E">
                  <wp:extent cx="5812491" cy="3701143"/>
                  <wp:effectExtent l="0" t="0" r="0" b="0"/>
                  <wp:docPr id="9908427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6553" cy="3716465"/>
                          </a:xfrm>
                          <a:prstGeom prst="rect">
                            <a:avLst/>
                          </a:prstGeom>
                          <a:noFill/>
                        </pic:spPr>
                      </pic:pic>
                    </a:graphicData>
                  </a:graphic>
                </wp:inline>
              </w:drawing>
            </w:r>
          </w:p>
        </w:tc>
      </w:tr>
      <w:tr w:rsidR="00912487" w14:paraId="23B79DC2" w14:textId="77777777" w:rsidTr="00912487">
        <w:tc>
          <w:tcPr>
            <w:tcW w:w="9350" w:type="dxa"/>
          </w:tcPr>
          <w:p w14:paraId="05C2F82E" w14:textId="7F74B74C" w:rsidR="00912487" w:rsidRDefault="00912487" w:rsidP="00C23625">
            <w:pPr>
              <w:ind w:firstLine="0"/>
              <w:rPr>
                <w:rFonts w:ascii="Arial" w:hAnsi="Arial" w:cs="Arial"/>
                <w:sz w:val="22"/>
                <w:szCs w:val="22"/>
                <w:lang w:val="en-US"/>
              </w:rPr>
            </w:pPr>
            <w:r>
              <w:rPr>
                <w:rFonts w:ascii="Arial" w:hAnsi="Arial" w:cs="Arial"/>
                <w:noProof/>
                <w:sz w:val="22"/>
                <w:szCs w:val="22"/>
                <w:lang w:val="en-US"/>
              </w:rPr>
              <w:lastRenderedPageBreak/>
              <w:drawing>
                <wp:inline distT="0" distB="0" distL="0" distR="0" wp14:anchorId="410D25B3" wp14:editId="35BDBAD7">
                  <wp:extent cx="5775159" cy="3569970"/>
                  <wp:effectExtent l="0" t="0" r="0" b="0"/>
                  <wp:docPr id="13536847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446" cy="3580038"/>
                          </a:xfrm>
                          <a:prstGeom prst="rect">
                            <a:avLst/>
                          </a:prstGeom>
                          <a:noFill/>
                        </pic:spPr>
                      </pic:pic>
                    </a:graphicData>
                  </a:graphic>
                </wp:inline>
              </w:drawing>
            </w:r>
          </w:p>
        </w:tc>
      </w:tr>
      <w:tr w:rsidR="00912487" w14:paraId="709F811C" w14:textId="77777777" w:rsidTr="00912487">
        <w:tc>
          <w:tcPr>
            <w:tcW w:w="9350" w:type="dxa"/>
          </w:tcPr>
          <w:p w14:paraId="56A41AA8" w14:textId="68D690BE" w:rsidR="00912487" w:rsidRDefault="0086460D" w:rsidP="00C23625">
            <w:pPr>
              <w:ind w:firstLine="0"/>
              <w:rPr>
                <w:rFonts w:ascii="Arial" w:hAnsi="Arial" w:cs="Arial"/>
                <w:sz w:val="22"/>
                <w:szCs w:val="22"/>
                <w:lang w:val="en-US"/>
              </w:rPr>
            </w:pPr>
            <w:r>
              <w:rPr>
                <w:rFonts w:ascii="Arial" w:hAnsi="Arial" w:cs="Arial"/>
                <w:noProof/>
                <w:sz w:val="22"/>
                <w:szCs w:val="22"/>
                <w:lang w:val="en-US"/>
              </w:rPr>
              <w:drawing>
                <wp:inline distT="0" distB="0" distL="0" distR="0" wp14:anchorId="79F99665" wp14:editId="169D6D87">
                  <wp:extent cx="5801467" cy="3569970"/>
                  <wp:effectExtent l="0" t="0" r="8890" b="0"/>
                  <wp:docPr id="11268313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7497" cy="3579834"/>
                          </a:xfrm>
                          <a:prstGeom prst="rect">
                            <a:avLst/>
                          </a:prstGeom>
                          <a:noFill/>
                        </pic:spPr>
                      </pic:pic>
                    </a:graphicData>
                  </a:graphic>
                </wp:inline>
              </w:drawing>
            </w:r>
          </w:p>
        </w:tc>
      </w:tr>
      <w:tr w:rsidR="00912487" w14:paraId="6AE996EF" w14:textId="77777777" w:rsidTr="00912487">
        <w:tc>
          <w:tcPr>
            <w:tcW w:w="9350" w:type="dxa"/>
          </w:tcPr>
          <w:p w14:paraId="32290675" w14:textId="28EE4BD7" w:rsidR="00912487" w:rsidRDefault="0086460D" w:rsidP="00C23625">
            <w:pPr>
              <w:ind w:firstLine="0"/>
              <w:rPr>
                <w:rFonts w:ascii="Arial" w:hAnsi="Arial" w:cs="Arial"/>
                <w:sz w:val="22"/>
                <w:szCs w:val="22"/>
                <w:lang w:val="en-US"/>
              </w:rPr>
            </w:pPr>
            <w:r>
              <w:rPr>
                <w:rFonts w:ascii="Arial" w:hAnsi="Arial" w:cs="Arial"/>
                <w:noProof/>
                <w:sz w:val="22"/>
                <w:szCs w:val="22"/>
                <w:lang w:val="en-US"/>
              </w:rPr>
              <w:lastRenderedPageBreak/>
              <w:drawing>
                <wp:inline distT="0" distB="0" distL="0" distR="0" wp14:anchorId="58E04CAC" wp14:editId="3FA40983">
                  <wp:extent cx="5834499" cy="3395980"/>
                  <wp:effectExtent l="0" t="0" r="0" b="0"/>
                  <wp:docPr id="10357786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6848" cy="3403168"/>
                          </a:xfrm>
                          <a:prstGeom prst="rect">
                            <a:avLst/>
                          </a:prstGeom>
                          <a:noFill/>
                        </pic:spPr>
                      </pic:pic>
                    </a:graphicData>
                  </a:graphic>
                </wp:inline>
              </w:drawing>
            </w:r>
          </w:p>
        </w:tc>
      </w:tr>
    </w:tbl>
    <w:p w14:paraId="561E2F25" w14:textId="77777777" w:rsidR="00912487" w:rsidRDefault="00912487" w:rsidP="00C23625">
      <w:pPr>
        <w:ind w:firstLine="0"/>
        <w:rPr>
          <w:rFonts w:ascii="Arial" w:hAnsi="Arial" w:cs="Arial"/>
          <w:sz w:val="22"/>
          <w:szCs w:val="22"/>
          <w:lang w:val="en-US"/>
        </w:rPr>
      </w:pPr>
    </w:p>
    <w:p w14:paraId="0CB39550" w14:textId="54B236D6" w:rsidR="008864E2" w:rsidRPr="008D4747" w:rsidRDefault="000E5A41" w:rsidP="00134BAF">
      <w:pPr>
        <w:ind w:firstLine="0"/>
        <w:rPr>
          <w:rFonts w:ascii="Arial" w:hAnsi="Arial" w:cs="Arial"/>
          <w:b/>
          <w:bCs/>
          <w:sz w:val="22"/>
          <w:szCs w:val="22"/>
          <w:lang w:val="en-IN"/>
        </w:rPr>
      </w:pPr>
      <w:r w:rsidRPr="008D4747">
        <w:rPr>
          <w:rFonts w:ascii="Arial" w:hAnsi="Arial" w:cs="Arial"/>
          <w:b/>
          <w:bCs/>
          <w:sz w:val="22"/>
          <w:szCs w:val="18"/>
        </w:rPr>
        <w:t>Fig. 3</w:t>
      </w:r>
      <w:r w:rsidR="008D4747" w:rsidRPr="008D4747">
        <w:rPr>
          <w:rFonts w:ascii="Arial" w:hAnsi="Arial" w:cs="Arial"/>
          <w:b/>
          <w:bCs/>
          <w:sz w:val="22"/>
          <w:szCs w:val="18"/>
        </w:rPr>
        <w:t xml:space="preserve">. </w:t>
      </w:r>
      <w:r w:rsidR="00B97838" w:rsidRPr="008D4747">
        <w:rPr>
          <w:rFonts w:ascii="Arial" w:hAnsi="Arial" w:cs="Arial"/>
          <w:b/>
          <w:bCs/>
          <w:sz w:val="22"/>
          <w:szCs w:val="22"/>
        </w:rPr>
        <w:t>Monsoon change in storage variations with percent change in burnt and unburnt sites across 5 forest types</w:t>
      </w:r>
      <w:bookmarkStart w:id="4" w:name="_Hlk189253441"/>
    </w:p>
    <w:bookmarkEnd w:id="4"/>
    <w:p w14:paraId="1A71552D" w14:textId="4055DF46" w:rsidR="00A47C1A" w:rsidRPr="008D4747" w:rsidRDefault="0056641B" w:rsidP="000710E6">
      <w:pPr>
        <w:pStyle w:val="Heading1"/>
      </w:pPr>
      <w:r w:rsidRPr="008D4747">
        <w:t>4. CONCLUSION</w:t>
      </w:r>
    </w:p>
    <w:p w14:paraId="307CE4C1" w14:textId="77777777" w:rsidR="00BF4D12" w:rsidRPr="00BF4D12" w:rsidRDefault="00A049DA" w:rsidP="00BF4D12">
      <w:pPr>
        <w:ind w:firstLine="0"/>
        <w:rPr>
          <w:rFonts w:ascii="Arial" w:hAnsi="Arial" w:cs="Arial"/>
          <w:color w:val="000000" w:themeColor="text1"/>
          <w:sz w:val="22"/>
          <w:szCs w:val="22"/>
          <w:lang w:val="en-US"/>
        </w:rPr>
      </w:pPr>
      <w:r w:rsidRPr="008D4747">
        <w:rPr>
          <w:rFonts w:ascii="Arial" w:hAnsi="Arial" w:cs="Arial"/>
          <w:color w:val="000000" w:themeColor="text1"/>
          <w:sz w:val="22"/>
          <w:szCs w:val="22"/>
        </w:rPr>
        <w:t>The present study</w:t>
      </w:r>
      <w:r w:rsidR="005B7676" w:rsidRPr="008D4747">
        <w:rPr>
          <w:rFonts w:ascii="Arial" w:hAnsi="Arial" w:cs="Arial"/>
          <w:color w:val="000000" w:themeColor="text1"/>
          <w:sz w:val="22"/>
          <w:szCs w:val="22"/>
        </w:rPr>
        <w:t xml:space="preserve"> conclusively demonstrates a consistent decline in water storage across all 42 study sites following forest fire events. This decline underscores the substantial hydrological impact of forest fires on terrestrial ecosystems. The highest actual evapotranspiration (</w:t>
      </w:r>
      <w:proofErr w:type="spellStart"/>
      <w:r w:rsidR="005B7676" w:rsidRPr="008D4747">
        <w:rPr>
          <w:rFonts w:ascii="Arial" w:hAnsi="Arial" w:cs="Arial"/>
          <w:color w:val="000000" w:themeColor="text1"/>
          <w:sz w:val="22"/>
          <w:szCs w:val="22"/>
        </w:rPr>
        <w:t>ETa</w:t>
      </w:r>
      <w:proofErr w:type="spellEnd"/>
      <w:r w:rsidR="005B7676" w:rsidRPr="008D4747">
        <w:rPr>
          <w:rFonts w:ascii="Arial" w:hAnsi="Arial" w:cs="Arial"/>
          <w:color w:val="000000" w:themeColor="text1"/>
          <w:sz w:val="22"/>
          <w:szCs w:val="22"/>
        </w:rPr>
        <w:t xml:space="preserve">) values recorded post-fire for each forest type are as follows: STP forest sites S20 and S21 (382.45 mm), HMT forest site S41 (372.57 mm), TMD forest site S31 (393.32 mm), TOF forest sites S26 and S32 (389.19 mm), and TDD forest site S3 (379.06 mm). Despite these relatively high ET values, the overall trend was a significant reduction in change in storage across the landscape. The most pronounced reduction occurred at site S35 in the STP forest, with a decline of -59.85%, while the smallest decrease was observed at site S26 in the TOF forest (-4.08%). The reduction in water storage is primarily attributed to decreased infiltration capacity and fire-induced changes in soil structure and composition. The loss of vegetation further exacerbates this condition by diminishing canopy interception and root-mediated soil stability, both of which are critical for maintaining infiltration and soil moisture retention. </w:t>
      </w:r>
      <w:r w:rsidR="00BF4D12" w:rsidRPr="00BF4D12">
        <w:rPr>
          <w:rFonts w:ascii="Arial" w:hAnsi="Arial" w:cs="Arial"/>
          <w:color w:val="000000" w:themeColor="text1"/>
          <w:sz w:val="22"/>
          <w:szCs w:val="22"/>
          <w:lang w:val="en-US"/>
        </w:rPr>
        <w:t xml:space="preserve">These findings emphasize the important influence of forest fires on hydrological dynamics, particularly in fragile forest ecosystems. It also emphasizes the role of forest cover in controlling water storage, as well as the long-term consequences of fire disturbances on ecosystem water balance. It underlines the significance of </w:t>
      </w:r>
      <w:r w:rsidR="00BF4D12" w:rsidRPr="00BF4D12">
        <w:rPr>
          <w:rFonts w:ascii="Arial" w:hAnsi="Arial" w:cs="Arial"/>
          <w:color w:val="000000" w:themeColor="text1"/>
          <w:sz w:val="22"/>
          <w:szCs w:val="22"/>
          <w:lang w:val="en-US"/>
        </w:rPr>
        <w:lastRenderedPageBreak/>
        <w:t>integrated forest and water resource management approaches that include fire impacts, facilitate post-fire restoration, and enhance long-term ecosystem resilience.</w:t>
      </w:r>
    </w:p>
    <w:p w14:paraId="2A8338A9" w14:textId="0A6B1D84" w:rsidR="000B4D2B" w:rsidRPr="00C861F6" w:rsidRDefault="0035349B" w:rsidP="008D3F94">
      <w:pPr>
        <w:ind w:firstLine="0"/>
        <w:rPr>
          <w:rFonts w:ascii="Arial" w:hAnsi="Arial" w:cs="Arial"/>
          <w:b/>
        </w:rPr>
      </w:pPr>
      <w:r w:rsidRPr="0035349B">
        <w:rPr>
          <w:rFonts w:ascii="Arial" w:hAnsi="Arial" w:cs="Arial"/>
          <w:color w:val="000000" w:themeColor="text1"/>
          <w:sz w:val="22"/>
          <w:szCs w:val="22"/>
        </w:rPr>
        <w:br/>
      </w:r>
      <w:bookmarkStart w:id="5" w:name="_GoBack"/>
      <w:bookmarkEnd w:id="5"/>
    </w:p>
    <w:p w14:paraId="027FEBDB" w14:textId="77777777" w:rsidR="00AF2948" w:rsidRPr="000C26F2" w:rsidRDefault="00AF2948" w:rsidP="00AF2948">
      <w:pPr>
        <w:spacing w:after="200" w:line="276" w:lineRule="auto"/>
        <w:ind w:firstLine="0"/>
        <w:jc w:val="left"/>
        <w:rPr>
          <w:rFonts w:ascii="Arial" w:eastAsia="Calibri" w:hAnsi="Arial" w:cs="Arial"/>
          <w:b/>
          <w:kern w:val="2"/>
          <w:sz w:val="22"/>
          <w:szCs w:val="22"/>
          <w:lang w:val="en-US"/>
          <w14:ligatures w14:val="standardContextual"/>
        </w:rPr>
      </w:pPr>
      <w:bookmarkStart w:id="6" w:name="_Hlk192523178"/>
      <w:bookmarkStart w:id="7" w:name="_Hlk192511221"/>
      <w:bookmarkStart w:id="8" w:name="_Hlk193205233"/>
      <w:r w:rsidRPr="000C26F2">
        <w:rPr>
          <w:rFonts w:ascii="Arial" w:eastAsia="Calibri" w:hAnsi="Arial" w:cs="Arial"/>
          <w:b/>
          <w:kern w:val="2"/>
          <w:sz w:val="22"/>
          <w:szCs w:val="22"/>
          <w:lang w:val="en-US"/>
          <w14:ligatures w14:val="standardContextual"/>
        </w:rPr>
        <w:t>Disclaimer (Artificial intelligence)</w:t>
      </w:r>
    </w:p>
    <w:p w14:paraId="4BEB743A" w14:textId="20C8141D" w:rsidR="00AF2948" w:rsidRPr="007F1B4B" w:rsidRDefault="00AF2948" w:rsidP="007F1B4B">
      <w:pPr>
        <w:spacing w:after="200" w:line="276" w:lineRule="auto"/>
        <w:ind w:firstLine="0"/>
        <w:rPr>
          <w:rFonts w:ascii="Arial" w:eastAsia="Calibri" w:hAnsi="Arial" w:cs="Arial"/>
          <w:kern w:val="2"/>
          <w:sz w:val="22"/>
          <w:szCs w:val="22"/>
          <w:lang w:val="en-US"/>
          <w14:ligatures w14:val="standardContextual"/>
        </w:rPr>
      </w:pPr>
      <w:r w:rsidRPr="007F1B4B">
        <w:rPr>
          <w:rFonts w:ascii="Arial" w:eastAsia="Calibri" w:hAnsi="Arial" w:cs="Arial"/>
          <w:kern w:val="2"/>
          <w:sz w:val="22"/>
          <w:szCs w:val="22"/>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2D6A2B3" w14:textId="77777777" w:rsidR="00AF2948" w:rsidRPr="000B4D2B" w:rsidRDefault="00AF2948" w:rsidP="00AF2948">
      <w:pPr>
        <w:spacing w:after="200" w:line="276" w:lineRule="auto"/>
        <w:ind w:firstLine="0"/>
        <w:jc w:val="left"/>
        <w:rPr>
          <w:rFonts w:ascii="Calibri" w:eastAsia="Calibri" w:hAnsi="Calibri"/>
          <w:kern w:val="2"/>
          <w:sz w:val="22"/>
          <w:szCs w:val="22"/>
          <w:lang w:val="en-US"/>
          <w14:ligatures w14:val="standardContextual"/>
        </w:rPr>
      </w:pPr>
    </w:p>
    <w:bookmarkEnd w:id="6"/>
    <w:bookmarkEnd w:id="7"/>
    <w:bookmarkEnd w:id="8"/>
    <w:p w14:paraId="09683A75" w14:textId="4BF121F8" w:rsidR="00076A19" w:rsidRPr="00076A19" w:rsidRDefault="008D4747" w:rsidP="00076A19">
      <w:pPr>
        <w:pStyle w:val="Heading1"/>
      </w:pPr>
      <w:r w:rsidRPr="000710E6">
        <w:t>REFERENCES</w:t>
      </w:r>
    </w:p>
    <w:p w14:paraId="0F430984" w14:textId="77777777" w:rsidR="00076A19" w:rsidRDefault="00076A19" w:rsidP="00076A19">
      <w:pPr>
        <w:spacing w:before="120" w:after="120"/>
        <w:ind w:right="-23" w:firstLine="0"/>
        <w:rPr>
          <w:rFonts w:ascii="Arial" w:hAnsi="Arial" w:cs="Arial"/>
          <w:szCs w:val="24"/>
        </w:rPr>
      </w:pPr>
      <w:r w:rsidRPr="00076A19">
        <w:rPr>
          <w:rFonts w:ascii="Arial" w:hAnsi="Arial" w:cs="Arial"/>
          <w:szCs w:val="24"/>
        </w:rPr>
        <w:t xml:space="preserve">Atchley, A. L., Albright, T. P., &amp; Riffell, S. K. (2018). Effects of fire severity on hydrologic processes in forests: Implications for water management. </w:t>
      </w:r>
      <w:r w:rsidRPr="00076A19">
        <w:rPr>
          <w:rStyle w:val="Emphasis"/>
          <w:rFonts w:ascii="Arial" w:hAnsi="Arial" w:cs="Arial"/>
          <w:b w:val="0"/>
          <w:bCs w:val="0"/>
          <w:i/>
          <w:iCs/>
          <w:szCs w:val="24"/>
        </w:rPr>
        <w:t>Forest Ecology and Management</w:t>
      </w:r>
      <w:r w:rsidRPr="00076A19">
        <w:rPr>
          <w:rStyle w:val="Emphasis"/>
          <w:rFonts w:ascii="Arial" w:hAnsi="Arial" w:cs="Arial"/>
          <w:szCs w:val="24"/>
        </w:rPr>
        <w:t xml:space="preserve">, </w:t>
      </w:r>
      <w:r w:rsidRPr="00076A19">
        <w:rPr>
          <w:rStyle w:val="Emphasis"/>
          <w:rFonts w:ascii="Arial" w:hAnsi="Arial" w:cs="Arial"/>
          <w:b w:val="0"/>
          <w:bCs w:val="0"/>
          <w:szCs w:val="24"/>
        </w:rPr>
        <w:t>429</w:t>
      </w:r>
      <w:r w:rsidRPr="00076A19">
        <w:rPr>
          <w:rFonts w:ascii="Arial" w:hAnsi="Arial" w:cs="Arial"/>
          <w:szCs w:val="24"/>
        </w:rPr>
        <w:t>, 78-89.</w:t>
      </w:r>
    </w:p>
    <w:p w14:paraId="1BB38287" w14:textId="77777777" w:rsidR="00076A19" w:rsidRDefault="00076A19" w:rsidP="00076A19">
      <w:pPr>
        <w:spacing w:before="120" w:after="120"/>
        <w:ind w:right="-23" w:firstLine="0"/>
        <w:rPr>
          <w:rFonts w:ascii="Arial" w:hAnsi="Arial" w:cs="Arial"/>
          <w:szCs w:val="24"/>
          <w:shd w:val="clear" w:color="auto" w:fill="FFFFFF"/>
        </w:rPr>
      </w:pPr>
      <w:r w:rsidRPr="00076A19">
        <w:rPr>
          <w:rFonts w:ascii="Arial" w:hAnsi="Arial" w:cs="Arial"/>
          <w:szCs w:val="24"/>
          <w:shd w:val="clear" w:color="auto" w:fill="FFFFFF"/>
        </w:rPr>
        <w:t xml:space="preserve">Atchley, A.L., Kinoshita, A.M., Lopez, S.R., Trader, L., Middleton, R., (2018). Simulating surface and subsurface water balance changes due to burn severity. </w:t>
      </w:r>
      <w:r w:rsidRPr="00076A19">
        <w:rPr>
          <w:rFonts w:ascii="Arial" w:hAnsi="Arial" w:cs="Arial"/>
          <w:i/>
          <w:iCs/>
          <w:szCs w:val="24"/>
          <w:shd w:val="clear" w:color="auto" w:fill="FFFFFF"/>
        </w:rPr>
        <w:t>Vadose Zone Journal</w:t>
      </w:r>
      <w:r w:rsidRPr="00076A19">
        <w:rPr>
          <w:rFonts w:ascii="Arial" w:hAnsi="Arial" w:cs="Arial"/>
          <w:szCs w:val="24"/>
          <w:shd w:val="clear" w:color="auto" w:fill="FFFFFF"/>
        </w:rPr>
        <w:t xml:space="preserve"> 17 (1), 1–13.</w:t>
      </w:r>
    </w:p>
    <w:p w14:paraId="7F34003A" w14:textId="6FBC0909" w:rsidR="00076A19" w:rsidRDefault="00076A19" w:rsidP="00076A19">
      <w:pPr>
        <w:spacing w:before="120" w:after="120"/>
        <w:ind w:right="-22" w:firstLine="0"/>
        <w:rPr>
          <w:rFonts w:ascii="Arial" w:hAnsi="Arial" w:cs="Arial"/>
          <w:szCs w:val="24"/>
          <w:shd w:val="clear" w:color="auto" w:fill="FFFFFF"/>
        </w:rPr>
      </w:pPr>
      <w:r w:rsidRPr="00076A19">
        <w:rPr>
          <w:rFonts w:ascii="Arial" w:hAnsi="Arial" w:cs="Arial"/>
          <w:szCs w:val="24"/>
          <w:shd w:val="clear" w:color="auto" w:fill="FFFFFF"/>
        </w:rPr>
        <w:t xml:space="preserve">Bart, R.R., Tague, C.L., (2017). The impact of wildfire on baseflow recession rates in California. </w:t>
      </w:r>
      <w:r w:rsidRPr="00076A19">
        <w:rPr>
          <w:rFonts w:ascii="Arial" w:hAnsi="Arial" w:cs="Arial"/>
          <w:i/>
          <w:iCs/>
          <w:szCs w:val="24"/>
          <w:shd w:val="clear" w:color="auto" w:fill="FFFFFF"/>
        </w:rPr>
        <w:t>Hydrological Processes</w:t>
      </w:r>
      <w:r w:rsidRPr="00076A19">
        <w:rPr>
          <w:rFonts w:ascii="Arial" w:hAnsi="Arial" w:cs="Arial"/>
          <w:szCs w:val="24"/>
          <w:shd w:val="clear" w:color="auto" w:fill="FFFFFF"/>
        </w:rPr>
        <w:t xml:space="preserve"> 31 (8), 1662–1673.</w:t>
      </w:r>
    </w:p>
    <w:p w14:paraId="535F864B" w14:textId="1C9AF19E" w:rsidR="00076A19" w:rsidRPr="00076A19" w:rsidRDefault="00076A19" w:rsidP="00076A19">
      <w:pPr>
        <w:spacing w:before="120" w:after="120"/>
        <w:ind w:firstLine="0"/>
        <w:rPr>
          <w:rFonts w:ascii="Arial" w:hAnsi="Arial" w:cs="Arial"/>
          <w:szCs w:val="24"/>
          <w:shd w:val="clear" w:color="auto" w:fill="FFFFFF"/>
        </w:rPr>
      </w:pPr>
      <w:r w:rsidRPr="00076A19">
        <w:rPr>
          <w:rFonts w:ascii="Arial" w:hAnsi="Arial" w:cs="Arial"/>
          <w:szCs w:val="24"/>
          <w:shd w:val="clear" w:color="auto" w:fill="FFFFFF"/>
        </w:rPr>
        <w:t xml:space="preserve">Biederman, J.A., Harpold, A.A., Gochis, D.J., Ewers, B.E., Reed, D.E., Papuga, S.A., Brooks, P.D., (2014). Increased evaporation following widespread tree mortality limits streamflow response. </w:t>
      </w:r>
      <w:r w:rsidRPr="00076A19">
        <w:rPr>
          <w:rFonts w:ascii="Arial" w:hAnsi="Arial" w:cs="Arial"/>
          <w:i/>
          <w:iCs/>
          <w:szCs w:val="24"/>
          <w:shd w:val="clear" w:color="auto" w:fill="FFFFFF"/>
        </w:rPr>
        <w:t>Water Resources Research</w:t>
      </w:r>
      <w:r w:rsidRPr="00076A19">
        <w:rPr>
          <w:rFonts w:ascii="Arial" w:hAnsi="Arial" w:cs="Arial"/>
          <w:szCs w:val="24"/>
          <w:shd w:val="clear" w:color="auto" w:fill="FFFFFF"/>
        </w:rPr>
        <w:t xml:space="preserve"> 50 (7), 5395–5409.</w:t>
      </w:r>
    </w:p>
    <w:p w14:paraId="12AFD4AC"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Champion, H. G., &amp; Seth, S. K. (1968). A revised survey of the forest types of India. Manager of publications.</w:t>
      </w:r>
    </w:p>
    <w:p w14:paraId="7E7E93C3"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 xml:space="preserve">Collar, N. M., Ebel, B. A., Saxe, S., Rust, A. J., &amp; Hogue, T. S. (2023). Implications of fire-induced evapotranspiration shifts for recharge-runoff generation and vegetation conversion in the western United States. </w:t>
      </w:r>
      <w:r w:rsidRPr="00076A19">
        <w:rPr>
          <w:rFonts w:ascii="Arial" w:hAnsi="Arial" w:cs="Arial"/>
          <w:i/>
          <w:iCs/>
          <w:szCs w:val="24"/>
          <w:shd w:val="clear" w:color="auto" w:fill="FFFFFF"/>
        </w:rPr>
        <w:t>Journal of Hydrology</w:t>
      </w:r>
      <w:r w:rsidRPr="00076A19">
        <w:rPr>
          <w:rFonts w:ascii="Arial" w:hAnsi="Arial" w:cs="Arial"/>
          <w:szCs w:val="24"/>
          <w:shd w:val="clear" w:color="auto" w:fill="FFFFFF"/>
        </w:rPr>
        <w:t>, 621, 129646.</w:t>
      </w:r>
    </w:p>
    <w:p w14:paraId="58F79267" w14:textId="77777777" w:rsidR="00076A19" w:rsidRPr="00076A19" w:rsidRDefault="00076A19" w:rsidP="00076A19">
      <w:pPr>
        <w:spacing w:after="240"/>
        <w:ind w:firstLine="0"/>
        <w:rPr>
          <w:rFonts w:ascii="Arial" w:hAnsi="Arial" w:cs="Arial"/>
          <w:szCs w:val="24"/>
          <w:shd w:val="clear" w:color="auto" w:fill="FFFFFF"/>
        </w:rPr>
      </w:pPr>
      <w:proofErr w:type="spellStart"/>
      <w:r w:rsidRPr="00076A19">
        <w:rPr>
          <w:rFonts w:ascii="Arial" w:hAnsi="Arial" w:cs="Arial"/>
          <w:szCs w:val="24"/>
          <w:shd w:val="clear" w:color="auto" w:fill="FFFFFF"/>
        </w:rPr>
        <w:t>DeBano</w:t>
      </w:r>
      <w:proofErr w:type="spellEnd"/>
      <w:r w:rsidRPr="00076A19">
        <w:rPr>
          <w:rFonts w:ascii="Arial" w:hAnsi="Arial" w:cs="Arial"/>
          <w:szCs w:val="24"/>
          <w:shd w:val="clear" w:color="auto" w:fill="FFFFFF"/>
        </w:rPr>
        <w:t xml:space="preserve">, L. F., Neary, D. G., &amp; Ffolliott, P. F. (1998). Fire effects on ecosystems. </w:t>
      </w:r>
      <w:r w:rsidRPr="00076A19">
        <w:rPr>
          <w:rFonts w:ascii="Arial" w:hAnsi="Arial" w:cs="Arial"/>
          <w:i/>
          <w:iCs/>
          <w:szCs w:val="24"/>
          <w:shd w:val="clear" w:color="auto" w:fill="FFFFFF"/>
        </w:rPr>
        <w:t>John Wiley &amp; Sons</w:t>
      </w:r>
      <w:r w:rsidRPr="00076A19">
        <w:rPr>
          <w:rFonts w:ascii="Arial" w:hAnsi="Arial" w:cs="Arial"/>
          <w:szCs w:val="24"/>
          <w:shd w:val="clear" w:color="auto" w:fill="FFFFFF"/>
        </w:rPr>
        <w:t>.</w:t>
      </w:r>
    </w:p>
    <w:p w14:paraId="2CB86F48"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Eagleson, P. S. (2005). Ecohydrology: Darwinian expression of vegetation form and function. Cambridge University Press.</w:t>
      </w:r>
    </w:p>
    <w:p w14:paraId="3A91EC48"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lastRenderedPageBreak/>
        <w:t xml:space="preserve">Ebel, B. A. (2013). Wildfire and aspect effects on hydrologic states after the 2010 Fourmile Canyon Fire. </w:t>
      </w:r>
      <w:r w:rsidRPr="00076A19">
        <w:rPr>
          <w:rFonts w:ascii="Arial" w:hAnsi="Arial" w:cs="Arial"/>
          <w:i/>
          <w:iCs/>
          <w:szCs w:val="24"/>
          <w:shd w:val="clear" w:color="auto" w:fill="FFFFFF"/>
        </w:rPr>
        <w:t>Vadose Zone Journal</w:t>
      </w:r>
      <w:r w:rsidRPr="00076A19">
        <w:rPr>
          <w:rFonts w:ascii="Arial" w:hAnsi="Arial" w:cs="Arial"/>
          <w:szCs w:val="24"/>
          <w:shd w:val="clear" w:color="auto" w:fill="FFFFFF"/>
        </w:rPr>
        <w:t>, 12(1), vzj2012-0089.</w:t>
      </w:r>
    </w:p>
    <w:p w14:paraId="0B2258CE" w14:textId="77777777" w:rsidR="00076A19" w:rsidRPr="00076A19" w:rsidRDefault="00076A19" w:rsidP="001C65E8">
      <w:pPr>
        <w:spacing w:before="120" w:after="120"/>
        <w:ind w:firstLine="0"/>
        <w:rPr>
          <w:rFonts w:ascii="Arial" w:hAnsi="Arial" w:cs="Arial"/>
          <w:szCs w:val="24"/>
        </w:rPr>
      </w:pPr>
      <w:proofErr w:type="spellStart"/>
      <w:r w:rsidRPr="00076A19">
        <w:rPr>
          <w:rFonts w:ascii="Arial" w:hAnsi="Arial" w:cs="Arial"/>
          <w:szCs w:val="24"/>
        </w:rPr>
        <w:t>Ensafi</w:t>
      </w:r>
      <w:proofErr w:type="spellEnd"/>
      <w:r w:rsidRPr="00076A19">
        <w:rPr>
          <w:rFonts w:ascii="Arial" w:hAnsi="Arial" w:cs="Arial"/>
          <w:szCs w:val="24"/>
        </w:rPr>
        <w:t xml:space="preserve"> </w:t>
      </w:r>
      <w:proofErr w:type="spellStart"/>
      <w:r w:rsidRPr="00076A19">
        <w:rPr>
          <w:rFonts w:ascii="Arial" w:hAnsi="Arial" w:cs="Arial"/>
          <w:szCs w:val="24"/>
        </w:rPr>
        <w:t>Moghaddam</w:t>
      </w:r>
      <w:proofErr w:type="spellEnd"/>
      <w:r w:rsidRPr="00076A19">
        <w:rPr>
          <w:rFonts w:ascii="Arial" w:hAnsi="Arial" w:cs="Arial"/>
          <w:szCs w:val="24"/>
        </w:rPr>
        <w:t xml:space="preserve">, T., &amp; </w:t>
      </w:r>
      <w:proofErr w:type="spellStart"/>
      <w:r w:rsidRPr="00076A19">
        <w:rPr>
          <w:rFonts w:ascii="Arial" w:hAnsi="Arial" w:cs="Arial"/>
          <w:szCs w:val="24"/>
        </w:rPr>
        <w:t>Mohammadkhan</w:t>
      </w:r>
      <w:proofErr w:type="spellEnd"/>
      <w:r w:rsidRPr="00076A19">
        <w:rPr>
          <w:rFonts w:ascii="Arial" w:hAnsi="Arial" w:cs="Arial"/>
          <w:szCs w:val="24"/>
        </w:rPr>
        <w:t xml:space="preserve">, S. (2017). An estimation of Thornthwaite monthly water-balance in </w:t>
      </w:r>
      <w:proofErr w:type="spellStart"/>
      <w:r w:rsidRPr="00076A19">
        <w:rPr>
          <w:rFonts w:ascii="Arial" w:hAnsi="Arial" w:cs="Arial"/>
          <w:szCs w:val="24"/>
        </w:rPr>
        <w:t>Mighan</w:t>
      </w:r>
      <w:proofErr w:type="spellEnd"/>
      <w:r w:rsidRPr="00076A19">
        <w:rPr>
          <w:rFonts w:ascii="Arial" w:hAnsi="Arial" w:cs="Arial"/>
          <w:szCs w:val="24"/>
        </w:rPr>
        <w:t xml:space="preserve"> sub-basin. </w:t>
      </w:r>
      <w:r w:rsidRPr="00076A19">
        <w:rPr>
          <w:rFonts w:ascii="Arial" w:hAnsi="Arial" w:cs="Arial"/>
          <w:i/>
          <w:iCs/>
          <w:szCs w:val="24"/>
        </w:rPr>
        <w:t>Natural Environment Change</w:t>
      </w:r>
      <w:r w:rsidRPr="00076A19">
        <w:rPr>
          <w:rFonts w:ascii="Arial" w:hAnsi="Arial" w:cs="Arial"/>
          <w:szCs w:val="24"/>
        </w:rPr>
        <w:t>, </w:t>
      </w:r>
      <w:r w:rsidRPr="00076A19">
        <w:rPr>
          <w:rFonts w:ascii="Arial" w:hAnsi="Arial" w:cs="Arial"/>
          <w:i/>
          <w:iCs/>
          <w:szCs w:val="24"/>
        </w:rPr>
        <w:t>3</w:t>
      </w:r>
      <w:r w:rsidRPr="00076A19">
        <w:rPr>
          <w:rFonts w:ascii="Arial" w:hAnsi="Arial" w:cs="Arial"/>
          <w:szCs w:val="24"/>
        </w:rPr>
        <w:t>(1), 71-80.</w:t>
      </w:r>
    </w:p>
    <w:p w14:paraId="3FB597B9" w14:textId="77777777" w:rsidR="00076A19" w:rsidRPr="00076A19" w:rsidRDefault="00076A19" w:rsidP="001C65E8">
      <w:pPr>
        <w:spacing w:before="120" w:after="120"/>
        <w:ind w:firstLine="0"/>
        <w:rPr>
          <w:rFonts w:ascii="Arial" w:hAnsi="Arial" w:cs="Arial"/>
          <w:szCs w:val="24"/>
          <w:shd w:val="clear" w:color="auto" w:fill="FFFFFF"/>
        </w:rPr>
      </w:pPr>
      <w:r w:rsidRPr="00076A19">
        <w:rPr>
          <w:rFonts w:ascii="Arial" w:hAnsi="Arial" w:cs="Arial"/>
          <w:szCs w:val="24"/>
          <w:shd w:val="clear" w:color="auto" w:fill="FFFFFF"/>
        </w:rPr>
        <w:t>Forest Survey of India. (2021). India State of Forest Report. MOEF, Govt. of India.</w:t>
      </w:r>
    </w:p>
    <w:p w14:paraId="348A7996" w14:textId="77777777" w:rsidR="00076A19" w:rsidRPr="00076A19" w:rsidRDefault="00076A19" w:rsidP="00076A19">
      <w:pPr>
        <w:spacing w:after="240"/>
        <w:ind w:firstLine="0"/>
        <w:rPr>
          <w:rFonts w:ascii="Arial" w:hAnsi="Arial" w:cs="Arial"/>
          <w:szCs w:val="24"/>
          <w:shd w:val="clear" w:color="auto" w:fill="FFFFFF"/>
        </w:rPr>
      </w:pPr>
      <w:proofErr w:type="spellStart"/>
      <w:r w:rsidRPr="00076A19">
        <w:rPr>
          <w:rFonts w:ascii="Arial" w:hAnsi="Arial" w:cs="Arial"/>
          <w:szCs w:val="24"/>
          <w:shd w:val="clear" w:color="auto" w:fill="FFFFFF"/>
        </w:rPr>
        <w:t>Goeking</w:t>
      </w:r>
      <w:proofErr w:type="spellEnd"/>
      <w:r w:rsidRPr="00076A19">
        <w:rPr>
          <w:rFonts w:ascii="Arial" w:hAnsi="Arial" w:cs="Arial"/>
          <w:szCs w:val="24"/>
          <w:shd w:val="clear" w:color="auto" w:fill="FFFFFF"/>
        </w:rPr>
        <w:t xml:space="preserve">, S. A., &amp; Tarboton, D. G. (2020). Forests and water yield: A synthesis of disturbance effects on streamflow and snowpack in western coniferous forests. </w:t>
      </w:r>
      <w:r w:rsidRPr="00076A19">
        <w:rPr>
          <w:rFonts w:ascii="Arial" w:hAnsi="Arial" w:cs="Arial"/>
          <w:i/>
          <w:iCs/>
          <w:szCs w:val="24"/>
          <w:shd w:val="clear" w:color="auto" w:fill="FFFFFF"/>
        </w:rPr>
        <w:t>Journal of Forestry</w:t>
      </w:r>
      <w:r w:rsidRPr="00076A19">
        <w:rPr>
          <w:rFonts w:ascii="Arial" w:hAnsi="Arial" w:cs="Arial"/>
          <w:szCs w:val="24"/>
          <w:shd w:val="clear" w:color="auto" w:fill="FFFFFF"/>
        </w:rPr>
        <w:t>, 118(2), 172-192.</w:t>
      </w:r>
    </w:p>
    <w:p w14:paraId="3F67401E"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 xml:space="preserve">Hallema, D. W., Sun, G., Bladon, K. D., Norman, S. P., Caldwell, P. V., Liu, Y., &amp; McNulty, S. G. (2017). Regional patterns of </w:t>
      </w:r>
      <w:proofErr w:type="spellStart"/>
      <w:r w:rsidRPr="00076A19">
        <w:rPr>
          <w:rFonts w:ascii="Arial" w:hAnsi="Arial" w:cs="Arial"/>
          <w:szCs w:val="24"/>
          <w:shd w:val="clear" w:color="auto" w:fill="FFFFFF"/>
        </w:rPr>
        <w:t>postwildfire</w:t>
      </w:r>
      <w:proofErr w:type="spellEnd"/>
      <w:r w:rsidRPr="00076A19">
        <w:rPr>
          <w:rFonts w:ascii="Arial" w:hAnsi="Arial" w:cs="Arial"/>
          <w:szCs w:val="24"/>
          <w:shd w:val="clear" w:color="auto" w:fill="FFFFFF"/>
        </w:rPr>
        <w:t xml:space="preserve"> streamflow response in the Western United States: The importance of scale</w:t>
      </w:r>
      <w:r w:rsidRPr="00076A19">
        <w:rPr>
          <w:rFonts w:ascii="Cambria Math" w:hAnsi="Cambria Math" w:cs="Cambria Math"/>
          <w:szCs w:val="24"/>
          <w:shd w:val="clear" w:color="auto" w:fill="FFFFFF"/>
        </w:rPr>
        <w:t>‐</w:t>
      </w:r>
      <w:r w:rsidRPr="00076A19">
        <w:rPr>
          <w:rFonts w:ascii="Arial" w:hAnsi="Arial" w:cs="Arial"/>
          <w:szCs w:val="24"/>
          <w:shd w:val="clear" w:color="auto" w:fill="FFFFFF"/>
        </w:rPr>
        <w:t xml:space="preserve">specific connectivity. </w:t>
      </w:r>
      <w:r w:rsidRPr="00076A19">
        <w:rPr>
          <w:rFonts w:ascii="Arial" w:hAnsi="Arial" w:cs="Arial"/>
          <w:i/>
          <w:iCs/>
          <w:szCs w:val="24"/>
          <w:shd w:val="clear" w:color="auto" w:fill="FFFFFF"/>
        </w:rPr>
        <w:t>Hydrological Processes</w:t>
      </w:r>
      <w:r w:rsidRPr="00076A19">
        <w:rPr>
          <w:rFonts w:ascii="Arial" w:hAnsi="Arial" w:cs="Arial"/>
          <w:szCs w:val="24"/>
          <w:shd w:val="clear" w:color="auto" w:fill="FFFFFF"/>
        </w:rPr>
        <w:t>, 31(14), 2582-2598</w:t>
      </w:r>
    </w:p>
    <w:p w14:paraId="77138374"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ICFRE, (2013). Forest Types of India: Revisited, Indian Council of Forestry Research and Education, Dehradun, India, pp. 484</w:t>
      </w:r>
    </w:p>
    <w:p w14:paraId="42A70110"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 xml:space="preserve">Keeley, J. E. (2009). Fire intensity, fire severity and burn severity: a brief review and suggested usage. </w:t>
      </w:r>
      <w:r w:rsidRPr="00076A19">
        <w:rPr>
          <w:rFonts w:ascii="Arial" w:hAnsi="Arial" w:cs="Arial"/>
          <w:i/>
          <w:iCs/>
          <w:szCs w:val="24"/>
          <w:shd w:val="clear" w:color="auto" w:fill="FFFFFF"/>
        </w:rPr>
        <w:t>International journal of wildland fire</w:t>
      </w:r>
      <w:r w:rsidRPr="00076A19">
        <w:rPr>
          <w:rFonts w:ascii="Arial" w:hAnsi="Arial" w:cs="Arial"/>
          <w:szCs w:val="24"/>
          <w:shd w:val="clear" w:color="auto" w:fill="FFFFFF"/>
        </w:rPr>
        <w:t>, 18(1), 116-126.</w:t>
      </w:r>
    </w:p>
    <w:p w14:paraId="1BE08979"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 xml:space="preserve">Khan, M. S., Liaqat, U. W., Baik, J., &amp; Choi, M. (2018). Stand-alone uncertainty characterization of GLEAM, GLDAS and MOD16 evapotranspiration products using an extended triple collocation approach. </w:t>
      </w:r>
      <w:r w:rsidRPr="00076A19">
        <w:rPr>
          <w:rFonts w:ascii="Arial" w:hAnsi="Arial" w:cs="Arial"/>
          <w:i/>
          <w:iCs/>
          <w:szCs w:val="24"/>
          <w:shd w:val="clear" w:color="auto" w:fill="FFFFFF"/>
        </w:rPr>
        <w:t>Agricultural and Forest Meteorology</w:t>
      </w:r>
      <w:r w:rsidRPr="00076A19">
        <w:rPr>
          <w:rFonts w:ascii="Arial" w:hAnsi="Arial" w:cs="Arial"/>
          <w:szCs w:val="24"/>
          <w:shd w:val="clear" w:color="auto" w:fill="FFFFFF"/>
        </w:rPr>
        <w:t>, 252, 256-268.</w:t>
      </w:r>
    </w:p>
    <w:p w14:paraId="1006A573"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 xml:space="preserve">Littell, J. S., Peterson, D. L., Riley, K. L., Liu, Y., &amp; Luce, C. H. (2016). A review of the relationships between drought and forest fire in the United States. </w:t>
      </w:r>
      <w:r w:rsidRPr="00076A19">
        <w:rPr>
          <w:rFonts w:ascii="Arial" w:hAnsi="Arial" w:cs="Arial"/>
          <w:i/>
          <w:iCs/>
          <w:szCs w:val="24"/>
          <w:shd w:val="clear" w:color="auto" w:fill="FFFFFF"/>
        </w:rPr>
        <w:t>Global change biology</w:t>
      </w:r>
      <w:r w:rsidRPr="00076A19">
        <w:rPr>
          <w:rFonts w:ascii="Arial" w:hAnsi="Arial" w:cs="Arial"/>
          <w:szCs w:val="24"/>
          <w:shd w:val="clear" w:color="auto" w:fill="FFFFFF"/>
        </w:rPr>
        <w:t>, 22(7), 2353-2369.</w:t>
      </w:r>
    </w:p>
    <w:p w14:paraId="6A05F2FC" w14:textId="77777777" w:rsidR="00076A19" w:rsidRPr="00076A19" w:rsidRDefault="00076A19" w:rsidP="00124583">
      <w:pPr>
        <w:spacing w:before="120" w:after="120"/>
        <w:ind w:firstLine="0"/>
        <w:rPr>
          <w:rFonts w:ascii="Arial" w:hAnsi="Arial" w:cs="Arial"/>
          <w:szCs w:val="24"/>
        </w:rPr>
      </w:pPr>
      <w:r w:rsidRPr="00076A19">
        <w:rPr>
          <w:rFonts w:ascii="Arial" w:hAnsi="Arial" w:cs="Arial"/>
          <w:szCs w:val="24"/>
        </w:rPr>
        <w:t xml:space="preserve">Mammoliti, E., </w:t>
      </w:r>
      <w:proofErr w:type="spellStart"/>
      <w:r w:rsidRPr="00076A19">
        <w:rPr>
          <w:rFonts w:ascii="Arial" w:hAnsi="Arial" w:cs="Arial"/>
          <w:szCs w:val="24"/>
        </w:rPr>
        <w:t>Fronzi</w:t>
      </w:r>
      <w:proofErr w:type="spellEnd"/>
      <w:r w:rsidRPr="00076A19">
        <w:rPr>
          <w:rFonts w:ascii="Arial" w:hAnsi="Arial" w:cs="Arial"/>
          <w:szCs w:val="24"/>
        </w:rPr>
        <w:t xml:space="preserve">, D., Mancini, A., </w:t>
      </w:r>
      <w:proofErr w:type="spellStart"/>
      <w:r w:rsidRPr="00076A19">
        <w:rPr>
          <w:rFonts w:ascii="Arial" w:hAnsi="Arial" w:cs="Arial"/>
          <w:szCs w:val="24"/>
        </w:rPr>
        <w:t>Valigi</w:t>
      </w:r>
      <w:proofErr w:type="spellEnd"/>
      <w:r w:rsidRPr="00076A19">
        <w:rPr>
          <w:rFonts w:ascii="Arial" w:hAnsi="Arial" w:cs="Arial"/>
          <w:szCs w:val="24"/>
        </w:rPr>
        <w:t xml:space="preserve">, D., &amp; </w:t>
      </w:r>
      <w:proofErr w:type="spellStart"/>
      <w:r w:rsidRPr="00076A19">
        <w:rPr>
          <w:rFonts w:ascii="Arial" w:hAnsi="Arial" w:cs="Arial"/>
          <w:szCs w:val="24"/>
        </w:rPr>
        <w:t>Tazioli</w:t>
      </w:r>
      <w:proofErr w:type="spellEnd"/>
      <w:r w:rsidRPr="00076A19">
        <w:rPr>
          <w:rFonts w:ascii="Arial" w:hAnsi="Arial" w:cs="Arial"/>
          <w:szCs w:val="24"/>
        </w:rPr>
        <w:t xml:space="preserve">, A. (2021). </w:t>
      </w:r>
      <w:proofErr w:type="spellStart"/>
      <w:r w:rsidRPr="00076A19">
        <w:rPr>
          <w:rFonts w:ascii="Arial" w:hAnsi="Arial" w:cs="Arial"/>
          <w:szCs w:val="24"/>
        </w:rPr>
        <w:t>WaterbalANce</w:t>
      </w:r>
      <w:proofErr w:type="spellEnd"/>
      <w:r w:rsidRPr="00076A19">
        <w:rPr>
          <w:rFonts w:ascii="Arial" w:hAnsi="Arial" w:cs="Arial"/>
          <w:szCs w:val="24"/>
        </w:rPr>
        <w:t xml:space="preserve">, a </w:t>
      </w:r>
      <w:proofErr w:type="spellStart"/>
      <w:r w:rsidRPr="00076A19">
        <w:rPr>
          <w:rFonts w:ascii="Arial" w:hAnsi="Arial" w:cs="Arial"/>
          <w:szCs w:val="24"/>
        </w:rPr>
        <w:t>WebApp</w:t>
      </w:r>
      <w:proofErr w:type="spellEnd"/>
      <w:r w:rsidRPr="00076A19">
        <w:rPr>
          <w:rFonts w:ascii="Arial" w:hAnsi="Arial" w:cs="Arial"/>
          <w:szCs w:val="24"/>
        </w:rPr>
        <w:t xml:space="preserve"> for Thornthwaite–Mather Water Balance Computation: comparison of applications in two European watersheds. </w:t>
      </w:r>
      <w:r w:rsidRPr="00076A19">
        <w:rPr>
          <w:rFonts w:ascii="Arial" w:hAnsi="Arial" w:cs="Arial"/>
          <w:i/>
          <w:iCs/>
          <w:szCs w:val="24"/>
        </w:rPr>
        <w:t>Hydrology</w:t>
      </w:r>
      <w:r w:rsidRPr="00076A19">
        <w:rPr>
          <w:rFonts w:ascii="Arial" w:hAnsi="Arial" w:cs="Arial"/>
          <w:szCs w:val="24"/>
        </w:rPr>
        <w:t>, </w:t>
      </w:r>
      <w:r w:rsidRPr="00076A19">
        <w:rPr>
          <w:rFonts w:ascii="Arial" w:hAnsi="Arial" w:cs="Arial"/>
          <w:i/>
          <w:iCs/>
          <w:szCs w:val="24"/>
        </w:rPr>
        <w:t>8</w:t>
      </w:r>
      <w:r w:rsidRPr="00076A19">
        <w:rPr>
          <w:rFonts w:ascii="Arial" w:hAnsi="Arial" w:cs="Arial"/>
          <w:szCs w:val="24"/>
        </w:rPr>
        <w:t>(1), 34.</w:t>
      </w:r>
    </w:p>
    <w:p w14:paraId="01478EF5" w14:textId="77777777" w:rsidR="00076A19" w:rsidRPr="00076A19" w:rsidRDefault="00076A19" w:rsidP="00124583">
      <w:pPr>
        <w:spacing w:before="120" w:after="120"/>
        <w:ind w:right="-22" w:firstLine="0"/>
        <w:rPr>
          <w:rFonts w:ascii="Arial" w:hAnsi="Arial" w:cs="Arial"/>
          <w:szCs w:val="24"/>
        </w:rPr>
      </w:pPr>
      <w:r w:rsidRPr="00076A19">
        <w:rPr>
          <w:rFonts w:ascii="Arial" w:hAnsi="Arial" w:cs="Arial"/>
          <w:szCs w:val="24"/>
        </w:rPr>
        <w:t xml:space="preserve">Mishra, S. K., Sahu, R. K., Eldho, T. I., &amp; Jain, M. K. (2006). An improved </w:t>
      </w:r>
      <w:proofErr w:type="spellStart"/>
      <w:r w:rsidRPr="00076A19">
        <w:rPr>
          <w:rFonts w:ascii="Arial" w:hAnsi="Arial" w:cs="Arial"/>
          <w:szCs w:val="24"/>
        </w:rPr>
        <w:t>I</w:t>
      </w:r>
      <w:r w:rsidRPr="00076A19">
        <w:rPr>
          <w:rFonts w:ascii="Arial" w:hAnsi="Arial" w:cs="Arial"/>
          <w:szCs w:val="24"/>
          <w:vertAlign w:val="subscript"/>
        </w:rPr>
        <w:t>a</w:t>
      </w:r>
      <w:r w:rsidRPr="00076A19">
        <w:rPr>
          <w:rFonts w:ascii="Arial" w:hAnsi="Arial" w:cs="Arial"/>
          <w:szCs w:val="24"/>
        </w:rPr>
        <w:t>S</w:t>
      </w:r>
      <w:proofErr w:type="spellEnd"/>
      <w:r w:rsidRPr="00076A19">
        <w:rPr>
          <w:rFonts w:ascii="Arial" w:hAnsi="Arial" w:cs="Arial"/>
          <w:szCs w:val="24"/>
        </w:rPr>
        <w:t xml:space="preserve"> relation incorporating antecedent moisture in SCS-CN methodology. </w:t>
      </w:r>
      <w:r w:rsidRPr="00076A19">
        <w:rPr>
          <w:rFonts w:ascii="Arial" w:hAnsi="Arial" w:cs="Arial"/>
          <w:i/>
          <w:iCs/>
          <w:szCs w:val="24"/>
        </w:rPr>
        <w:t>Water Resources Management</w:t>
      </w:r>
      <w:r w:rsidRPr="00076A19">
        <w:rPr>
          <w:rFonts w:ascii="Arial" w:hAnsi="Arial" w:cs="Arial"/>
          <w:szCs w:val="24"/>
        </w:rPr>
        <w:t>, </w:t>
      </w:r>
      <w:r w:rsidRPr="00076A19">
        <w:rPr>
          <w:rFonts w:ascii="Arial" w:hAnsi="Arial" w:cs="Arial"/>
          <w:i/>
          <w:iCs/>
          <w:szCs w:val="24"/>
        </w:rPr>
        <w:t>20</w:t>
      </w:r>
      <w:r w:rsidRPr="00076A19">
        <w:rPr>
          <w:rFonts w:ascii="Arial" w:hAnsi="Arial" w:cs="Arial"/>
          <w:szCs w:val="24"/>
        </w:rPr>
        <w:t>, 643-660.</w:t>
      </w:r>
    </w:p>
    <w:p w14:paraId="31440593" w14:textId="77777777" w:rsidR="00076A19" w:rsidRPr="00076A19" w:rsidRDefault="00076A19" w:rsidP="00124583">
      <w:pPr>
        <w:spacing w:before="120" w:after="120"/>
        <w:ind w:right="-22" w:firstLine="0"/>
        <w:rPr>
          <w:rFonts w:ascii="Arial" w:hAnsi="Arial" w:cs="Arial"/>
          <w:szCs w:val="24"/>
        </w:rPr>
      </w:pPr>
      <w:r w:rsidRPr="00076A19">
        <w:rPr>
          <w:rFonts w:ascii="Arial" w:hAnsi="Arial" w:cs="Arial"/>
          <w:szCs w:val="24"/>
        </w:rPr>
        <w:lastRenderedPageBreak/>
        <w:t>Mishra, S. K., Singh, V. P., &amp; Singh, P. K. (2018). Revisiting the soil conservation service curve number method. In </w:t>
      </w:r>
      <w:r w:rsidRPr="00076A19">
        <w:rPr>
          <w:rFonts w:ascii="Arial" w:hAnsi="Arial" w:cs="Arial"/>
          <w:i/>
          <w:iCs/>
          <w:szCs w:val="24"/>
        </w:rPr>
        <w:t xml:space="preserve">Hydrologic </w:t>
      </w:r>
      <w:proofErr w:type="spellStart"/>
      <w:r w:rsidRPr="00076A19">
        <w:rPr>
          <w:rFonts w:ascii="Arial" w:hAnsi="Arial" w:cs="Arial"/>
          <w:i/>
          <w:iCs/>
          <w:szCs w:val="24"/>
        </w:rPr>
        <w:t>Modeling</w:t>
      </w:r>
      <w:proofErr w:type="spellEnd"/>
      <w:r w:rsidRPr="00076A19">
        <w:rPr>
          <w:rFonts w:ascii="Arial" w:hAnsi="Arial" w:cs="Arial"/>
          <w:i/>
          <w:iCs/>
          <w:szCs w:val="24"/>
        </w:rPr>
        <w:t>: Select Proceedings of ICWEES-2016</w:t>
      </w:r>
      <w:r w:rsidRPr="00076A19">
        <w:rPr>
          <w:rFonts w:ascii="Arial" w:hAnsi="Arial" w:cs="Arial"/>
          <w:szCs w:val="24"/>
        </w:rPr>
        <w:t> (pp. 667-693). Springer Singapore.</w:t>
      </w:r>
    </w:p>
    <w:p w14:paraId="1996B791" w14:textId="77777777" w:rsidR="00076A19" w:rsidRPr="00076A19" w:rsidRDefault="00076A19" w:rsidP="00124583">
      <w:pPr>
        <w:spacing w:before="120" w:after="120"/>
        <w:ind w:firstLine="0"/>
        <w:rPr>
          <w:rFonts w:ascii="Arial" w:hAnsi="Arial" w:cs="Arial"/>
          <w:szCs w:val="24"/>
        </w:rPr>
      </w:pPr>
      <w:r w:rsidRPr="00076A19">
        <w:rPr>
          <w:rFonts w:ascii="Arial" w:hAnsi="Arial" w:cs="Arial"/>
          <w:szCs w:val="24"/>
        </w:rPr>
        <w:t xml:space="preserve">Nugroho, A. R., Tamagawa, I., </w:t>
      </w:r>
      <w:proofErr w:type="spellStart"/>
      <w:r w:rsidRPr="00076A19">
        <w:rPr>
          <w:rFonts w:ascii="Arial" w:hAnsi="Arial" w:cs="Arial"/>
          <w:szCs w:val="24"/>
        </w:rPr>
        <w:t>Riandraswari</w:t>
      </w:r>
      <w:proofErr w:type="spellEnd"/>
      <w:r w:rsidRPr="00076A19">
        <w:rPr>
          <w:rFonts w:ascii="Arial" w:hAnsi="Arial" w:cs="Arial"/>
          <w:szCs w:val="24"/>
        </w:rPr>
        <w:t xml:space="preserve">, A., &amp; </w:t>
      </w:r>
      <w:proofErr w:type="spellStart"/>
      <w:r w:rsidRPr="00076A19">
        <w:rPr>
          <w:rFonts w:ascii="Arial" w:hAnsi="Arial" w:cs="Arial"/>
          <w:szCs w:val="24"/>
        </w:rPr>
        <w:t>Febrianti</w:t>
      </w:r>
      <w:proofErr w:type="spellEnd"/>
      <w:r w:rsidRPr="00076A19">
        <w:rPr>
          <w:rFonts w:ascii="Arial" w:hAnsi="Arial" w:cs="Arial"/>
          <w:szCs w:val="24"/>
        </w:rPr>
        <w:t xml:space="preserve">, T. (2019). Thornthwaite-Mather water balance analysis in </w:t>
      </w:r>
      <w:proofErr w:type="spellStart"/>
      <w:r w:rsidRPr="00076A19">
        <w:rPr>
          <w:rFonts w:ascii="Arial" w:hAnsi="Arial" w:cs="Arial"/>
          <w:szCs w:val="24"/>
        </w:rPr>
        <w:t>Tambakbayan</w:t>
      </w:r>
      <w:proofErr w:type="spellEnd"/>
      <w:r w:rsidRPr="00076A19">
        <w:rPr>
          <w:rFonts w:ascii="Arial" w:hAnsi="Arial" w:cs="Arial"/>
          <w:szCs w:val="24"/>
        </w:rPr>
        <w:t xml:space="preserve"> watershed, Yogyakarta, Indonesia. In </w:t>
      </w:r>
      <w:r w:rsidRPr="00076A19">
        <w:rPr>
          <w:rFonts w:ascii="Arial" w:hAnsi="Arial" w:cs="Arial"/>
          <w:i/>
          <w:iCs/>
          <w:szCs w:val="24"/>
        </w:rPr>
        <w:t>MATEC Web of Conferences</w:t>
      </w:r>
      <w:r w:rsidRPr="00076A19">
        <w:rPr>
          <w:rFonts w:ascii="Arial" w:hAnsi="Arial" w:cs="Arial"/>
          <w:szCs w:val="24"/>
        </w:rPr>
        <w:t> (Vol. 280, p. 05007). EDP Sciences.</w:t>
      </w:r>
    </w:p>
    <w:p w14:paraId="23873B2B" w14:textId="77777777" w:rsidR="00124583" w:rsidRPr="000D5AFD" w:rsidRDefault="00124583" w:rsidP="00076A19">
      <w:pPr>
        <w:spacing w:after="240"/>
        <w:ind w:firstLine="0"/>
        <w:rPr>
          <w:rFonts w:ascii="Arial" w:hAnsi="Arial" w:cs="Arial"/>
          <w:szCs w:val="24"/>
          <w:shd w:val="clear" w:color="auto" w:fill="FFFFFF"/>
        </w:rPr>
      </w:pPr>
      <w:r w:rsidRPr="000D5AFD">
        <w:rPr>
          <w:rFonts w:ascii="Arial" w:hAnsi="Arial" w:cs="Arial"/>
          <w:szCs w:val="24"/>
          <w:shd w:val="clear" w:color="auto" w:fill="FFFFFF"/>
        </w:rPr>
        <w:t xml:space="preserve">Pal, L., Ojha, C. S. P., &amp; Kumar, A. (2021). Characteristics of </w:t>
      </w:r>
      <w:proofErr w:type="spellStart"/>
      <w:r w:rsidRPr="000D5AFD">
        <w:rPr>
          <w:rFonts w:ascii="Arial" w:hAnsi="Arial" w:cs="Arial"/>
          <w:szCs w:val="24"/>
          <w:shd w:val="clear" w:color="auto" w:fill="FFFFFF"/>
        </w:rPr>
        <w:t>Gldas</w:t>
      </w:r>
      <w:proofErr w:type="spellEnd"/>
      <w:r w:rsidRPr="000D5AFD">
        <w:rPr>
          <w:rFonts w:ascii="Arial" w:hAnsi="Arial" w:cs="Arial"/>
          <w:szCs w:val="24"/>
          <w:shd w:val="clear" w:color="auto" w:fill="FFFFFF"/>
        </w:rPr>
        <w:t xml:space="preserve"> Evapotranspiration and Its Response to Climate Variability Across Ganga Basin, India. </w:t>
      </w:r>
      <w:r w:rsidRPr="000D5AFD">
        <w:rPr>
          <w:rFonts w:ascii="Arial" w:hAnsi="Arial" w:cs="Arial"/>
          <w:i/>
          <w:iCs/>
          <w:szCs w:val="24"/>
          <w:shd w:val="clear" w:color="auto" w:fill="FFFFFF"/>
        </w:rPr>
        <w:t>Climate Change Impacts on Water Resources: Hydraulics, Water Resources and Coastal Engineering</w:t>
      </w:r>
      <w:r w:rsidRPr="000D5AFD">
        <w:rPr>
          <w:rFonts w:ascii="Arial" w:hAnsi="Arial" w:cs="Arial"/>
          <w:szCs w:val="24"/>
          <w:shd w:val="clear" w:color="auto" w:fill="FFFFFF"/>
        </w:rPr>
        <w:t>, 241-251.</w:t>
      </w:r>
    </w:p>
    <w:p w14:paraId="7840DFF0" w14:textId="6B3D237C" w:rsidR="00076A19" w:rsidRPr="00076A19" w:rsidRDefault="00076A19" w:rsidP="00076A19">
      <w:pPr>
        <w:spacing w:after="240"/>
        <w:ind w:firstLine="0"/>
        <w:rPr>
          <w:rFonts w:ascii="Arial" w:hAnsi="Arial" w:cs="Arial"/>
          <w:szCs w:val="24"/>
          <w:shd w:val="clear" w:color="auto" w:fill="FFFFFF"/>
        </w:rPr>
      </w:pPr>
      <w:proofErr w:type="spellStart"/>
      <w:r w:rsidRPr="00076A19">
        <w:rPr>
          <w:rFonts w:ascii="Arial" w:hAnsi="Arial" w:cs="Arial"/>
          <w:szCs w:val="24"/>
          <w:shd w:val="clear" w:color="auto" w:fill="FFFFFF"/>
        </w:rPr>
        <w:t>Pechony</w:t>
      </w:r>
      <w:proofErr w:type="spellEnd"/>
      <w:r w:rsidRPr="00076A19">
        <w:rPr>
          <w:rFonts w:ascii="Arial" w:hAnsi="Arial" w:cs="Arial"/>
          <w:szCs w:val="24"/>
          <w:shd w:val="clear" w:color="auto" w:fill="FFFFFF"/>
        </w:rPr>
        <w:t xml:space="preserve">, O., &amp; Shindell, D. T. (2010). Driving forces of global wildfires over the past millennium and the forthcoming century. </w:t>
      </w:r>
      <w:r w:rsidRPr="00076A19">
        <w:rPr>
          <w:rFonts w:ascii="Arial" w:hAnsi="Arial" w:cs="Arial"/>
          <w:i/>
          <w:iCs/>
          <w:szCs w:val="24"/>
          <w:shd w:val="clear" w:color="auto" w:fill="FFFFFF"/>
        </w:rPr>
        <w:t>Proceedings of the National Academy of Sciences</w:t>
      </w:r>
      <w:r w:rsidRPr="00076A19">
        <w:rPr>
          <w:rFonts w:ascii="Arial" w:hAnsi="Arial" w:cs="Arial"/>
          <w:szCs w:val="24"/>
          <w:shd w:val="clear" w:color="auto" w:fill="FFFFFF"/>
        </w:rPr>
        <w:t>, 107(45), 19167-19170.</w:t>
      </w:r>
    </w:p>
    <w:p w14:paraId="6BDBE362"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Perry, T. D., &amp; Jones, J. A. (2017). Summer streamflow deficits from regenerating Douglas</w:t>
      </w:r>
      <w:r w:rsidRPr="00076A19">
        <w:rPr>
          <w:rFonts w:ascii="Cambria Math" w:hAnsi="Cambria Math" w:cs="Cambria Math"/>
          <w:szCs w:val="24"/>
          <w:shd w:val="clear" w:color="auto" w:fill="FFFFFF"/>
        </w:rPr>
        <w:t>‐</w:t>
      </w:r>
      <w:r w:rsidRPr="00076A19">
        <w:rPr>
          <w:rFonts w:ascii="Arial" w:hAnsi="Arial" w:cs="Arial"/>
          <w:szCs w:val="24"/>
          <w:shd w:val="clear" w:color="auto" w:fill="FFFFFF"/>
        </w:rPr>
        <w:t xml:space="preserve">fir forest in the Pacific Northwest, USA. </w:t>
      </w:r>
      <w:r w:rsidRPr="00076A19">
        <w:rPr>
          <w:rFonts w:ascii="Arial" w:hAnsi="Arial" w:cs="Arial"/>
          <w:i/>
          <w:iCs/>
          <w:szCs w:val="24"/>
          <w:shd w:val="clear" w:color="auto" w:fill="FFFFFF"/>
        </w:rPr>
        <w:t>Ecohydrology</w:t>
      </w:r>
      <w:r w:rsidRPr="00076A19">
        <w:rPr>
          <w:rFonts w:ascii="Arial" w:hAnsi="Arial" w:cs="Arial"/>
          <w:szCs w:val="24"/>
          <w:shd w:val="clear" w:color="auto" w:fill="FFFFFF"/>
        </w:rPr>
        <w:t>, 10(2), e1790.</w:t>
      </w:r>
    </w:p>
    <w:p w14:paraId="6DAF27B3"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 xml:space="preserve">Poon, P. K., &amp; Kinoshita, A. M. (2018). Spatial and temporal evapotranspiration trends after wildfire in semi-arid landscapes. </w:t>
      </w:r>
      <w:r w:rsidRPr="00076A19">
        <w:rPr>
          <w:rFonts w:ascii="Arial" w:hAnsi="Arial" w:cs="Arial"/>
          <w:i/>
          <w:iCs/>
          <w:szCs w:val="24"/>
          <w:shd w:val="clear" w:color="auto" w:fill="FFFFFF"/>
        </w:rPr>
        <w:t>Journal of hydrology</w:t>
      </w:r>
      <w:r w:rsidRPr="00076A19">
        <w:rPr>
          <w:rFonts w:ascii="Arial" w:hAnsi="Arial" w:cs="Arial"/>
          <w:szCs w:val="24"/>
          <w:shd w:val="clear" w:color="auto" w:fill="FFFFFF"/>
        </w:rPr>
        <w:t>, 559, 71-83.</w:t>
      </w:r>
    </w:p>
    <w:p w14:paraId="7392FD07" w14:textId="77777777" w:rsidR="00076A19" w:rsidRPr="00076A19" w:rsidRDefault="00076A19" w:rsidP="00F75509">
      <w:pPr>
        <w:spacing w:before="120" w:after="120"/>
        <w:ind w:right="-22" w:firstLine="0"/>
        <w:rPr>
          <w:rFonts w:ascii="Arial" w:hAnsi="Arial" w:cs="Arial"/>
          <w:szCs w:val="24"/>
        </w:rPr>
      </w:pPr>
      <w:r w:rsidRPr="00076A19">
        <w:rPr>
          <w:rFonts w:ascii="Arial" w:hAnsi="Arial" w:cs="Arial"/>
          <w:szCs w:val="24"/>
        </w:rPr>
        <w:t>Singh, V. P. (2013). SCS-CN method revisited using entropy theory. </w:t>
      </w:r>
      <w:r w:rsidRPr="00076A19">
        <w:rPr>
          <w:rFonts w:ascii="Arial" w:hAnsi="Arial" w:cs="Arial"/>
          <w:i/>
          <w:iCs/>
          <w:szCs w:val="24"/>
        </w:rPr>
        <w:t>Transactions of the ASABE</w:t>
      </w:r>
      <w:r w:rsidRPr="00076A19">
        <w:rPr>
          <w:rFonts w:ascii="Arial" w:hAnsi="Arial" w:cs="Arial"/>
          <w:szCs w:val="24"/>
        </w:rPr>
        <w:t>, </w:t>
      </w:r>
      <w:r w:rsidRPr="00076A19">
        <w:rPr>
          <w:rFonts w:ascii="Arial" w:hAnsi="Arial" w:cs="Arial"/>
          <w:i/>
          <w:iCs/>
          <w:szCs w:val="24"/>
        </w:rPr>
        <w:t>56</w:t>
      </w:r>
      <w:r w:rsidRPr="00076A19">
        <w:rPr>
          <w:rFonts w:ascii="Arial" w:hAnsi="Arial" w:cs="Arial"/>
          <w:szCs w:val="24"/>
        </w:rPr>
        <w:t>(5), 1805-1820.</w:t>
      </w:r>
    </w:p>
    <w:p w14:paraId="6901F13F" w14:textId="77777777" w:rsidR="00076A19" w:rsidRPr="00076A19" w:rsidRDefault="00076A19" w:rsidP="00F75509">
      <w:pPr>
        <w:spacing w:before="120" w:after="120"/>
        <w:ind w:firstLine="0"/>
        <w:rPr>
          <w:rFonts w:ascii="Arial" w:hAnsi="Arial" w:cs="Arial"/>
          <w:szCs w:val="24"/>
          <w:shd w:val="clear" w:color="auto" w:fill="FFFFFF"/>
        </w:rPr>
      </w:pPr>
      <w:r w:rsidRPr="00076A19">
        <w:rPr>
          <w:rFonts w:ascii="Arial" w:hAnsi="Arial" w:cs="Arial"/>
          <w:szCs w:val="24"/>
          <w:shd w:val="clear" w:color="auto" w:fill="FFFFFF"/>
        </w:rPr>
        <w:t xml:space="preserve">Singh, V., Singh, P. K., Jain, S. K., Jain, S. K., Cudennec, C., &amp; Hessels, T. (2022). Examining evaporative demand and water availability in recent past for sustainable agricultural water management in India at sub-basin scale. </w:t>
      </w:r>
      <w:r w:rsidRPr="00076A19">
        <w:rPr>
          <w:rFonts w:ascii="Arial" w:hAnsi="Arial" w:cs="Arial"/>
          <w:i/>
          <w:iCs/>
          <w:szCs w:val="24"/>
          <w:shd w:val="clear" w:color="auto" w:fill="FFFFFF"/>
        </w:rPr>
        <w:t>Journal of Cleaner Production</w:t>
      </w:r>
      <w:r w:rsidRPr="00076A19">
        <w:rPr>
          <w:rFonts w:ascii="Arial" w:hAnsi="Arial" w:cs="Arial"/>
          <w:szCs w:val="24"/>
          <w:shd w:val="clear" w:color="auto" w:fill="FFFFFF"/>
        </w:rPr>
        <w:t>, 346, 130993.</w:t>
      </w:r>
    </w:p>
    <w:p w14:paraId="0A90F9E6" w14:textId="7E28B1DF" w:rsidR="00076A19" w:rsidRPr="000D5AFD" w:rsidRDefault="00124583" w:rsidP="00076A19">
      <w:pPr>
        <w:spacing w:after="240"/>
        <w:ind w:firstLine="0"/>
        <w:rPr>
          <w:rFonts w:ascii="Arial" w:hAnsi="Arial" w:cs="Arial"/>
          <w:szCs w:val="24"/>
          <w:shd w:val="clear" w:color="auto" w:fill="FFFFFF"/>
        </w:rPr>
      </w:pPr>
      <w:r w:rsidRPr="000D5AFD">
        <w:rPr>
          <w:rFonts w:ascii="Arial" w:hAnsi="Arial" w:cs="Arial"/>
          <w:szCs w:val="24"/>
          <w:shd w:val="clear" w:color="auto" w:fill="FFFFFF"/>
        </w:rPr>
        <w:t>Tague, C. L., Moritz, M., &amp; Hanan, E. (2019). The changing water cycle: The eco</w:t>
      </w:r>
      <w:r w:rsidRPr="000D5AFD">
        <w:rPr>
          <w:rFonts w:ascii="Cambria Math" w:hAnsi="Cambria Math" w:cs="Cambria Math"/>
          <w:szCs w:val="24"/>
          <w:shd w:val="clear" w:color="auto" w:fill="FFFFFF"/>
        </w:rPr>
        <w:t>‐</w:t>
      </w:r>
      <w:r w:rsidRPr="000D5AFD">
        <w:rPr>
          <w:rFonts w:ascii="Arial" w:hAnsi="Arial" w:cs="Arial"/>
          <w:szCs w:val="24"/>
          <w:shd w:val="clear" w:color="auto" w:fill="FFFFFF"/>
        </w:rPr>
        <w:t>hydrologic impacts of forest density reduction in Mediterranean (seasonally dry) regions. </w:t>
      </w:r>
      <w:r w:rsidRPr="000D5AFD">
        <w:rPr>
          <w:rFonts w:ascii="Arial" w:hAnsi="Arial" w:cs="Arial"/>
          <w:i/>
          <w:iCs/>
          <w:szCs w:val="24"/>
          <w:shd w:val="clear" w:color="auto" w:fill="FFFFFF"/>
        </w:rPr>
        <w:t>Wiley Interdisciplinary Reviews: Water</w:t>
      </w:r>
      <w:r w:rsidRPr="000D5AFD">
        <w:rPr>
          <w:rFonts w:ascii="Arial" w:hAnsi="Arial" w:cs="Arial"/>
          <w:szCs w:val="24"/>
          <w:shd w:val="clear" w:color="auto" w:fill="FFFFFF"/>
        </w:rPr>
        <w:t>, </w:t>
      </w:r>
      <w:r w:rsidRPr="000D5AFD">
        <w:rPr>
          <w:rFonts w:ascii="Arial" w:hAnsi="Arial" w:cs="Arial"/>
          <w:i/>
          <w:iCs/>
          <w:szCs w:val="24"/>
          <w:shd w:val="clear" w:color="auto" w:fill="FFFFFF"/>
        </w:rPr>
        <w:t>6</w:t>
      </w:r>
      <w:r w:rsidRPr="000D5AFD">
        <w:rPr>
          <w:rFonts w:ascii="Arial" w:hAnsi="Arial" w:cs="Arial"/>
          <w:szCs w:val="24"/>
          <w:shd w:val="clear" w:color="auto" w:fill="FFFFFF"/>
        </w:rPr>
        <w:t>(4), e1350</w:t>
      </w:r>
      <w:r w:rsidR="00076A19" w:rsidRPr="000D5AFD">
        <w:rPr>
          <w:rFonts w:ascii="Arial" w:hAnsi="Arial" w:cs="Arial"/>
          <w:szCs w:val="24"/>
          <w:shd w:val="clear" w:color="auto" w:fill="FFFFFF"/>
        </w:rPr>
        <w:t>.</w:t>
      </w:r>
    </w:p>
    <w:p w14:paraId="7E0BE0C8" w14:textId="77777777" w:rsidR="00124583" w:rsidRPr="000D5AFD" w:rsidRDefault="00124583" w:rsidP="00076A19">
      <w:pPr>
        <w:spacing w:after="240"/>
        <w:ind w:firstLine="0"/>
        <w:rPr>
          <w:rFonts w:ascii="Arial" w:hAnsi="Arial" w:cs="Arial"/>
          <w:szCs w:val="24"/>
          <w:shd w:val="clear" w:color="auto" w:fill="FFFFFF"/>
        </w:rPr>
      </w:pPr>
      <w:r w:rsidRPr="000D5AFD">
        <w:rPr>
          <w:rFonts w:ascii="Arial" w:hAnsi="Arial" w:cs="Arial"/>
          <w:szCs w:val="24"/>
          <w:shd w:val="clear" w:color="auto" w:fill="FFFFFF"/>
        </w:rPr>
        <w:t>Thornthwaite, C. W. (1955). The water balance. </w:t>
      </w:r>
      <w:r w:rsidRPr="000D5AFD">
        <w:rPr>
          <w:rFonts w:ascii="Arial" w:hAnsi="Arial" w:cs="Arial"/>
          <w:i/>
          <w:iCs/>
          <w:szCs w:val="24"/>
          <w:shd w:val="clear" w:color="auto" w:fill="FFFFFF"/>
        </w:rPr>
        <w:t xml:space="preserve">Public. in </w:t>
      </w:r>
      <w:proofErr w:type="spellStart"/>
      <w:r w:rsidRPr="000D5AFD">
        <w:rPr>
          <w:rFonts w:ascii="Arial" w:hAnsi="Arial" w:cs="Arial"/>
          <w:i/>
          <w:iCs/>
          <w:szCs w:val="24"/>
          <w:shd w:val="clear" w:color="auto" w:fill="FFFFFF"/>
        </w:rPr>
        <w:t>Climatol</w:t>
      </w:r>
      <w:proofErr w:type="spellEnd"/>
      <w:r w:rsidRPr="000D5AFD">
        <w:rPr>
          <w:rFonts w:ascii="Arial" w:hAnsi="Arial" w:cs="Arial"/>
          <w:i/>
          <w:iCs/>
          <w:szCs w:val="24"/>
          <w:shd w:val="clear" w:color="auto" w:fill="FFFFFF"/>
        </w:rPr>
        <w:t>.</w:t>
      </w:r>
      <w:r w:rsidRPr="000D5AFD">
        <w:rPr>
          <w:rFonts w:ascii="Arial" w:hAnsi="Arial" w:cs="Arial"/>
          <w:szCs w:val="24"/>
          <w:shd w:val="clear" w:color="auto" w:fill="FFFFFF"/>
        </w:rPr>
        <w:t>, </w:t>
      </w:r>
      <w:r w:rsidRPr="000D5AFD">
        <w:rPr>
          <w:rFonts w:ascii="Arial" w:hAnsi="Arial" w:cs="Arial"/>
          <w:i/>
          <w:iCs/>
          <w:szCs w:val="24"/>
          <w:shd w:val="clear" w:color="auto" w:fill="FFFFFF"/>
        </w:rPr>
        <w:t>8</w:t>
      </w:r>
      <w:r w:rsidRPr="000D5AFD">
        <w:rPr>
          <w:rFonts w:ascii="Arial" w:hAnsi="Arial" w:cs="Arial"/>
          <w:szCs w:val="24"/>
          <w:shd w:val="clear" w:color="auto" w:fill="FFFFFF"/>
        </w:rPr>
        <w:t>(1), 1-104.</w:t>
      </w:r>
    </w:p>
    <w:p w14:paraId="1404DE0F" w14:textId="10CC05EC"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lastRenderedPageBreak/>
        <w:t>Thornthwaite, C. W., &amp; Mather, J. R. (1957). Instructions and tables for computing potential evapotranspiration and the water balance.</w:t>
      </w:r>
    </w:p>
    <w:p w14:paraId="19C79EC6" w14:textId="77777777" w:rsidR="00076A19" w:rsidRPr="00076A19" w:rsidRDefault="00076A19" w:rsidP="00124583">
      <w:pPr>
        <w:spacing w:before="120" w:after="120"/>
        <w:ind w:right="-22" w:firstLine="0"/>
        <w:rPr>
          <w:rFonts w:ascii="Arial" w:hAnsi="Arial" w:cs="Arial"/>
          <w:szCs w:val="24"/>
        </w:rPr>
      </w:pPr>
      <w:r w:rsidRPr="00076A19">
        <w:rPr>
          <w:rFonts w:ascii="Arial" w:hAnsi="Arial" w:cs="Arial"/>
          <w:szCs w:val="24"/>
        </w:rPr>
        <w:t xml:space="preserve">Venkatesh, C., Shivanand, T. R., &amp; Srikant, B. B. (2019). Impact of periodic wildfires on hydrology and landscape of </w:t>
      </w:r>
      <w:proofErr w:type="spellStart"/>
      <w:r w:rsidRPr="00076A19">
        <w:rPr>
          <w:rFonts w:ascii="Arial" w:hAnsi="Arial" w:cs="Arial"/>
          <w:szCs w:val="24"/>
        </w:rPr>
        <w:t>Kudremukh</w:t>
      </w:r>
      <w:proofErr w:type="spellEnd"/>
      <w:r w:rsidRPr="00076A19">
        <w:rPr>
          <w:rFonts w:ascii="Arial" w:hAnsi="Arial" w:cs="Arial"/>
          <w:szCs w:val="24"/>
        </w:rPr>
        <w:t xml:space="preserve"> National Park, Western Ghats, India. </w:t>
      </w:r>
      <w:r w:rsidRPr="00076A19">
        <w:rPr>
          <w:rStyle w:val="Emphasis"/>
          <w:rFonts w:ascii="Arial" w:hAnsi="Arial" w:cs="Arial"/>
          <w:b w:val="0"/>
          <w:bCs w:val="0"/>
          <w:i/>
          <w:iCs/>
          <w:szCs w:val="24"/>
        </w:rPr>
        <w:t>Environmental Monitoring and Assessment</w:t>
      </w:r>
      <w:r w:rsidRPr="00076A19">
        <w:rPr>
          <w:rStyle w:val="Emphasis"/>
          <w:rFonts w:ascii="Arial" w:hAnsi="Arial" w:cs="Arial"/>
          <w:b w:val="0"/>
          <w:bCs w:val="0"/>
          <w:szCs w:val="24"/>
        </w:rPr>
        <w:t>, 191</w:t>
      </w:r>
      <w:r w:rsidRPr="00076A19">
        <w:rPr>
          <w:rFonts w:ascii="Arial" w:hAnsi="Arial" w:cs="Arial"/>
          <w:szCs w:val="24"/>
        </w:rPr>
        <w:t xml:space="preserve">(10), 651. </w:t>
      </w:r>
    </w:p>
    <w:p w14:paraId="1A22C3AF" w14:textId="77777777" w:rsidR="00076A19" w:rsidRPr="00076A19" w:rsidRDefault="00076A19" w:rsidP="00124583">
      <w:pPr>
        <w:spacing w:before="120" w:after="120"/>
        <w:ind w:firstLine="0"/>
        <w:rPr>
          <w:rFonts w:ascii="Arial" w:hAnsi="Arial" w:cs="Arial"/>
          <w:szCs w:val="24"/>
          <w:shd w:val="clear" w:color="auto" w:fill="FFFFFF"/>
        </w:rPr>
      </w:pPr>
      <w:r w:rsidRPr="00076A19">
        <w:rPr>
          <w:rFonts w:ascii="Arial" w:hAnsi="Arial" w:cs="Arial"/>
          <w:szCs w:val="24"/>
          <w:shd w:val="clear" w:color="auto" w:fill="FFFFFF"/>
        </w:rPr>
        <w:t>Westerling, A. L., Hidalgo, H. G., Cayan, D. R., &amp; Swetnam, T. W. (2006). Warming and earlier spring increase western US forest wildfire activity. science, 313(5789), 940-943.</w:t>
      </w:r>
    </w:p>
    <w:p w14:paraId="42B9DB6E"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 xml:space="preserve">Wotton, B. M., Nock, C. A., &amp; Flannigan, M. D. (2010). Forest fire occurrence and climate change in Canada. </w:t>
      </w:r>
      <w:r w:rsidRPr="00076A19">
        <w:rPr>
          <w:rFonts w:ascii="Arial" w:hAnsi="Arial" w:cs="Arial"/>
          <w:i/>
          <w:iCs/>
          <w:szCs w:val="24"/>
          <w:shd w:val="clear" w:color="auto" w:fill="FFFFFF"/>
        </w:rPr>
        <w:t>International Journal of Wildland Fire</w:t>
      </w:r>
      <w:r w:rsidRPr="00076A19">
        <w:rPr>
          <w:rFonts w:ascii="Arial" w:hAnsi="Arial" w:cs="Arial"/>
          <w:szCs w:val="24"/>
          <w:shd w:val="clear" w:color="auto" w:fill="FFFFFF"/>
        </w:rPr>
        <w:t>, 19(3), 253-271.</w:t>
      </w:r>
    </w:p>
    <w:p w14:paraId="6F23D00B" w14:textId="77777777" w:rsidR="00076A19" w:rsidRPr="00076A19" w:rsidRDefault="00076A19" w:rsidP="00076A19">
      <w:pPr>
        <w:spacing w:after="240"/>
        <w:ind w:firstLine="0"/>
        <w:rPr>
          <w:rFonts w:ascii="Arial" w:hAnsi="Arial" w:cs="Arial"/>
          <w:szCs w:val="24"/>
          <w:shd w:val="clear" w:color="auto" w:fill="FFFFFF"/>
        </w:rPr>
      </w:pPr>
      <w:r w:rsidRPr="00076A19">
        <w:rPr>
          <w:rFonts w:ascii="Arial" w:hAnsi="Arial" w:cs="Arial"/>
          <w:szCs w:val="24"/>
          <w:shd w:val="clear" w:color="auto" w:fill="FFFFFF"/>
        </w:rPr>
        <w:t xml:space="preserve">Zhan, S., Song, C., Wang, J., Sheng, Y., &amp; Quan, J. (2019). A global assessment of terrestrial evapotranspiration increase due to surface water area change. </w:t>
      </w:r>
      <w:r w:rsidRPr="00076A19">
        <w:rPr>
          <w:rFonts w:ascii="Arial" w:hAnsi="Arial" w:cs="Arial"/>
          <w:i/>
          <w:iCs/>
          <w:szCs w:val="24"/>
          <w:shd w:val="clear" w:color="auto" w:fill="FFFFFF"/>
        </w:rPr>
        <w:t>Earth's future</w:t>
      </w:r>
      <w:r w:rsidRPr="00076A19">
        <w:rPr>
          <w:rFonts w:ascii="Arial" w:hAnsi="Arial" w:cs="Arial"/>
          <w:szCs w:val="24"/>
          <w:shd w:val="clear" w:color="auto" w:fill="FFFFFF"/>
        </w:rPr>
        <w:t>, 7(3), 266-282.</w:t>
      </w:r>
    </w:p>
    <w:p w14:paraId="13BEA808" w14:textId="77777777" w:rsidR="00076A19" w:rsidRPr="00265A81" w:rsidRDefault="00076A19" w:rsidP="00076A19">
      <w:pPr>
        <w:ind w:right="-22" w:firstLine="0"/>
        <w:rPr>
          <w:szCs w:val="24"/>
        </w:rPr>
      </w:pPr>
    </w:p>
    <w:p w14:paraId="12641D93" w14:textId="77777777" w:rsidR="00076A19" w:rsidRPr="00265A81" w:rsidRDefault="00076A19" w:rsidP="00EF7B7B">
      <w:pPr>
        <w:ind w:right="-22" w:firstLine="0"/>
        <w:rPr>
          <w:szCs w:val="24"/>
        </w:rPr>
      </w:pPr>
    </w:p>
    <w:p w14:paraId="02EB30EE" w14:textId="77777777" w:rsidR="00EF7B7B" w:rsidRPr="000710E6" w:rsidRDefault="00EF7B7B" w:rsidP="007E695D">
      <w:pPr>
        <w:spacing w:after="240"/>
        <w:ind w:firstLine="0"/>
        <w:rPr>
          <w:rFonts w:ascii="Arial" w:hAnsi="Arial" w:cs="Arial"/>
          <w:szCs w:val="24"/>
          <w:shd w:val="clear" w:color="auto" w:fill="FFFFFF"/>
        </w:rPr>
      </w:pPr>
    </w:p>
    <w:sectPr w:rsidR="00EF7B7B" w:rsidRPr="000710E6" w:rsidSect="00A74042">
      <w:headerReference w:type="even" r:id="rId16"/>
      <w:headerReference w:type="default" r:id="rId17"/>
      <w:footerReference w:type="even" r:id="rId18"/>
      <w:footerReference w:type="default" r:id="rId19"/>
      <w:headerReference w:type="first" r:id="rId20"/>
      <w:footerReference w:type="first" r:id="rId21"/>
      <w:pgSz w:w="12240" w:h="15840" w:code="1"/>
      <w:pgMar w:top="709" w:right="1440" w:bottom="1276" w:left="1440" w:header="426"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C4B82" w14:textId="77777777" w:rsidR="00225015" w:rsidRDefault="00225015">
      <w:r>
        <w:separator/>
      </w:r>
    </w:p>
  </w:endnote>
  <w:endnote w:type="continuationSeparator" w:id="0">
    <w:p w14:paraId="3B21C06D" w14:textId="77777777" w:rsidR="00225015" w:rsidRDefault="0022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4DD6" w14:textId="77777777" w:rsidR="00DE3B3D" w:rsidRDefault="00DE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2076"/>
      <w:docPartObj>
        <w:docPartGallery w:val="Page Numbers (Bottom of Page)"/>
        <w:docPartUnique/>
      </w:docPartObj>
    </w:sdtPr>
    <w:sdtEndPr>
      <w:rPr>
        <w:noProof/>
      </w:rPr>
    </w:sdtEndPr>
    <w:sdtContent>
      <w:p w14:paraId="0290C848" w14:textId="67571C25" w:rsidR="00BE58C2" w:rsidRDefault="00BE58C2">
        <w:pPr>
          <w:pStyle w:val="Footer"/>
          <w:jc w:val="center"/>
        </w:pPr>
        <w:r>
          <w:fldChar w:fldCharType="begin"/>
        </w:r>
        <w:r>
          <w:instrText xml:space="preserve"> PAGE   \* MERGEFORMAT </w:instrText>
        </w:r>
        <w:r>
          <w:fldChar w:fldCharType="separate"/>
        </w:r>
        <w:r w:rsidR="008D3F94">
          <w:rPr>
            <w:noProof/>
          </w:rPr>
          <w:t>10</w:t>
        </w:r>
        <w:r>
          <w:rPr>
            <w:noProof/>
          </w:rPr>
          <w:fldChar w:fldCharType="end"/>
        </w:r>
      </w:p>
    </w:sdtContent>
  </w:sdt>
  <w:p w14:paraId="471FCF34" w14:textId="77777777" w:rsidR="00BE58C2" w:rsidRDefault="00BE5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11375"/>
      <w:docPartObj>
        <w:docPartGallery w:val="Page Numbers (Bottom of Page)"/>
        <w:docPartUnique/>
      </w:docPartObj>
    </w:sdtPr>
    <w:sdtEndPr>
      <w:rPr>
        <w:noProof/>
      </w:rPr>
    </w:sdtEndPr>
    <w:sdtContent>
      <w:p w14:paraId="51410732" w14:textId="09CF6BB8" w:rsidR="00BE58C2" w:rsidRDefault="00BE58C2">
        <w:pPr>
          <w:pStyle w:val="Footer"/>
          <w:jc w:val="center"/>
        </w:pPr>
        <w:r>
          <w:fldChar w:fldCharType="begin"/>
        </w:r>
        <w:r>
          <w:instrText xml:space="preserve"> PAGE   \* MERGEFORMAT </w:instrText>
        </w:r>
        <w:r>
          <w:fldChar w:fldCharType="separate"/>
        </w:r>
        <w:r w:rsidR="008D3F94">
          <w:rPr>
            <w:noProof/>
          </w:rPr>
          <w:t>1</w:t>
        </w:r>
        <w:r>
          <w:rPr>
            <w:noProof/>
          </w:rPr>
          <w:fldChar w:fldCharType="end"/>
        </w:r>
      </w:p>
    </w:sdtContent>
  </w:sdt>
  <w:p w14:paraId="5E0A6E94" w14:textId="77777777" w:rsidR="00BE58C2" w:rsidRDefault="00BE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27B4" w14:textId="77777777" w:rsidR="00225015" w:rsidRDefault="00225015">
      <w:r>
        <w:separator/>
      </w:r>
    </w:p>
  </w:footnote>
  <w:footnote w:type="continuationSeparator" w:id="0">
    <w:p w14:paraId="24A82D3E" w14:textId="77777777" w:rsidR="00225015" w:rsidRDefault="0022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FCE5" w14:textId="2B6E394F" w:rsidR="00DE3B3D" w:rsidRDefault="00225015">
    <w:pPr>
      <w:pStyle w:val="Header"/>
    </w:pPr>
    <w:r>
      <w:rPr>
        <w:noProof/>
      </w:rPr>
      <w:pict w14:anchorId="12DC6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0731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C7D65" w14:textId="238C9899" w:rsidR="00DE3B3D" w:rsidRDefault="00225015">
    <w:pPr>
      <w:pStyle w:val="Header"/>
    </w:pPr>
    <w:r>
      <w:rPr>
        <w:noProof/>
      </w:rPr>
      <w:pict w14:anchorId="52626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0731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7122" w14:textId="6486E3A9" w:rsidR="00DE3B3D" w:rsidRDefault="00225015">
    <w:pPr>
      <w:pStyle w:val="Header"/>
    </w:pPr>
    <w:r>
      <w:rPr>
        <w:noProof/>
      </w:rPr>
      <w:pict w14:anchorId="28A1D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073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422E58"/>
    <w:multiLevelType w:val="hybridMultilevel"/>
    <w:tmpl w:val="1FE4BA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CD30CE2"/>
    <w:multiLevelType w:val="multilevel"/>
    <w:tmpl w:val="08DC54F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2D31D6"/>
    <w:multiLevelType w:val="multilevel"/>
    <w:tmpl w:val="21E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3EA5053"/>
    <w:multiLevelType w:val="multilevel"/>
    <w:tmpl w:val="AC9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F062F"/>
    <w:multiLevelType w:val="multilevel"/>
    <w:tmpl w:val="DF041674"/>
    <w:lvl w:ilvl="0">
      <w:start w:val="1"/>
      <w:numFmt w:val="decimal"/>
      <w:lvlText w:val="%1"/>
      <w:lvlJc w:val="left"/>
      <w:pPr>
        <w:tabs>
          <w:tab w:val="num" w:pos="855"/>
        </w:tabs>
        <w:ind w:left="510" w:hanging="510"/>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6669FD"/>
    <w:multiLevelType w:val="multilevel"/>
    <w:tmpl w:val="01CC5B46"/>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4AD665A"/>
    <w:multiLevelType w:val="multilevel"/>
    <w:tmpl w:val="68BA287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4500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22C85"/>
    <w:multiLevelType w:val="hybridMultilevel"/>
    <w:tmpl w:val="E292A290"/>
    <w:lvl w:ilvl="0" w:tplc="E8886262">
      <w:start w:val="1"/>
      <w:numFmt w:val="decimal"/>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3"/>
  </w:num>
  <w:num w:numId="15">
    <w:abstractNumId w:val="15"/>
  </w:num>
  <w:num w:numId="16">
    <w:abstractNumId w:val="5"/>
  </w:num>
  <w:num w:numId="17">
    <w:abstractNumId w:val="15"/>
  </w:num>
  <w:num w:numId="18">
    <w:abstractNumId w:val="15"/>
  </w:num>
  <w:num w:numId="19">
    <w:abstractNumId w:val="5"/>
  </w:num>
  <w:num w:numId="20">
    <w:abstractNumId w:val="12"/>
  </w:num>
  <w:num w:numId="21">
    <w:abstractNumId w:val="14"/>
  </w:num>
  <w:num w:numId="22">
    <w:abstractNumId w:val="19"/>
  </w:num>
  <w:num w:numId="23">
    <w:abstractNumId w:val="10"/>
  </w:num>
  <w:num w:numId="24">
    <w:abstractNumId w:val="18"/>
  </w:num>
  <w:num w:numId="25">
    <w:abstractNumId w:val="11"/>
  </w:num>
  <w:num w:numId="26">
    <w:abstractNumId w:val="1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MzQzNzc0tDQ1MbBQ0lEKTi0uzszPAykwrAUAXz0BpSwAAAA="/>
  </w:docVars>
  <w:rsids>
    <w:rsidRoot w:val="008D4882"/>
    <w:rsid w:val="000002C1"/>
    <w:rsid w:val="00000AD9"/>
    <w:rsid w:val="000031A0"/>
    <w:rsid w:val="00004189"/>
    <w:rsid w:val="00004871"/>
    <w:rsid w:val="00005954"/>
    <w:rsid w:val="00006634"/>
    <w:rsid w:val="00007826"/>
    <w:rsid w:val="00010E65"/>
    <w:rsid w:val="00011405"/>
    <w:rsid w:val="000118C2"/>
    <w:rsid w:val="00012BD2"/>
    <w:rsid w:val="000131D1"/>
    <w:rsid w:val="00013CB5"/>
    <w:rsid w:val="0001501B"/>
    <w:rsid w:val="00016133"/>
    <w:rsid w:val="00017334"/>
    <w:rsid w:val="00024DDA"/>
    <w:rsid w:val="00025BF1"/>
    <w:rsid w:val="00026C22"/>
    <w:rsid w:val="00026D13"/>
    <w:rsid w:val="00026FF3"/>
    <w:rsid w:val="00027616"/>
    <w:rsid w:val="00030031"/>
    <w:rsid w:val="000301DB"/>
    <w:rsid w:val="00031BEE"/>
    <w:rsid w:val="00032565"/>
    <w:rsid w:val="0003379E"/>
    <w:rsid w:val="000338B7"/>
    <w:rsid w:val="00033945"/>
    <w:rsid w:val="00033CA4"/>
    <w:rsid w:val="000358A5"/>
    <w:rsid w:val="00036B77"/>
    <w:rsid w:val="00036F66"/>
    <w:rsid w:val="00037AA3"/>
    <w:rsid w:val="00037DEF"/>
    <w:rsid w:val="000442A5"/>
    <w:rsid w:val="00044AC6"/>
    <w:rsid w:val="00044CAD"/>
    <w:rsid w:val="00046B55"/>
    <w:rsid w:val="00052850"/>
    <w:rsid w:val="000532D2"/>
    <w:rsid w:val="00055B57"/>
    <w:rsid w:val="000561F4"/>
    <w:rsid w:val="000569C6"/>
    <w:rsid w:val="0006047C"/>
    <w:rsid w:val="000617BB"/>
    <w:rsid w:val="000634D1"/>
    <w:rsid w:val="00064542"/>
    <w:rsid w:val="000650E3"/>
    <w:rsid w:val="00065607"/>
    <w:rsid w:val="00065E57"/>
    <w:rsid w:val="00067FD1"/>
    <w:rsid w:val="000702CD"/>
    <w:rsid w:val="00070A0B"/>
    <w:rsid w:val="000710E6"/>
    <w:rsid w:val="00072F0A"/>
    <w:rsid w:val="00073564"/>
    <w:rsid w:val="00074836"/>
    <w:rsid w:val="00074A39"/>
    <w:rsid w:val="00076A19"/>
    <w:rsid w:val="0008054D"/>
    <w:rsid w:val="000848AF"/>
    <w:rsid w:val="00084B47"/>
    <w:rsid w:val="000858B0"/>
    <w:rsid w:val="000876E0"/>
    <w:rsid w:val="00090775"/>
    <w:rsid w:val="00090EED"/>
    <w:rsid w:val="000920C3"/>
    <w:rsid w:val="00094902"/>
    <w:rsid w:val="00095027"/>
    <w:rsid w:val="000957BE"/>
    <w:rsid w:val="000958F3"/>
    <w:rsid w:val="00095DE1"/>
    <w:rsid w:val="00096D33"/>
    <w:rsid w:val="0009733F"/>
    <w:rsid w:val="00097B34"/>
    <w:rsid w:val="000A013C"/>
    <w:rsid w:val="000A28ED"/>
    <w:rsid w:val="000A2F65"/>
    <w:rsid w:val="000A34BA"/>
    <w:rsid w:val="000A3836"/>
    <w:rsid w:val="000A4C5F"/>
    <w:rsid w:val="000A65CB"/>
    <w:rsid w:val="000B19D1"/>
    <w:rsid w:val="000B4BF8"/>
    <w:rsid w:val="000B4D2B"/>
    <w:rsid w:val="000B4D96"/>
    <w:rsid w:val="000B50E6"/>
    <w:rsid w:val="000B5685"/>
    <w:rsid w:val="000C0875"/>
    <w:rsid w:val="000C26F2"/>
    <w:rsid w:val="000C2ADD"/>
    <w:rsid w:val="000C3067"/>
    <w:rsid w:val="000C39BA"/>
    <w:rsid w:val="000C43CE"/>
    <w:rsid w:val="000C47D0"/>
    <w:rsid w:val="000C5967"/>
    <w:rsid w:val="000C6273"/>
    <w:rsid w:val="000C7E60"/>
    <w:rsid w:val="000D0A5D"/>
    <w:rsid w:val="000D2506"/>
    <w:rsid w:val="000D32D6"/>
    <w:rsid w:val="000D3BB0"/>
    <w:rsid w:val="000D3F28"/>
    <w:rsid w:val="000D5AFD"/>
    <w:rsid w:val="000D6182"/>
    <w:rsid w:val="000D6DD3"/>
    <w:rsid w:val="000D77D6"/>
    <w:rsid w:val="000E0327"/>
    <w:rsid w:val="000E2088"/>
    <w:rsid w:val="000E222D"/>
    <w:rsid w:val="000E3E9F"/>
    <w:rsid w:val="000E4316"/>
    <w:rsid w:val="000E432D"/>
    <w:rsid w:val="000E47FC"/>
    <w:rsid w:val="000E4A93"/>
    <w:rsid w:val="000E5A41"/>
    <w:rsid w:val="000E5B2F"/>
    <w:rsid w:val="000F1DF3"/>
    <w:rsid w:val="000F1F7F"/>
    <w:rsid w:val="000F24D1"/>
    <w:rsid w:val="000F268D"/>
    <w:rsid w:val="000F4B28"/>
    <w:rsid w:val="000F6406"/>
    <w:rsid w:val="001004EE"/>
    <w:rsid w:val="00100DBA"/>
    <w:rsid w:val="00103E90"/>
    <w:rsid w:val="00103F4D"/>
    <w:rsid w:val="00106F47"/>
    <w:rsid w:val="0010732D"/>
    <w:rsid w:val="00112BED"/>
    <w:rsid w:val="001136E9"/>
    <w:rsid w:val="001138FE"/>
    <w:rsid w:val="00113B4A"/>
    <w:rsid w:val="00114649"/>
    <w:rsid w:val="001155BB"/>
    <w:rsid w:val="0011741F"/>
    <w:rsid w:val="001178F3"/>
    <w:rsid w:val="00121160"/>
    <w:rsid w:val="001213D8"/>
    <w:rsid w:val="00121E63"/>
    <w:rsid w:val="001239F7"/>
    <w:rsid w:val="00123A7B"/>
    <w:rsid w:val="00124352"/>
    <w:rsid w:val="00124583"/>
    <w:rsid w:val="00124FC1"/>
    <w:rsid w:val="001257E6"/>
    <w:rsid w:val="00125960"/>
    <w:rsid w:val="00125AB9"/>
    <w:rsid w:val="00125FCB"/>
    <w:rsid w:val="0013043C"/>
    <w:rsid w:val="00131A78"/>
    <w:rsid w:val="00132437"/>
    <w:rsid w:val="001348D8"/>
    <w:rsid w:val="00134BAF"/>
    <w:rsid w:val="00135208"/>
    <w:rsid w:val="00135687"/>
    <w:rsid w:val="00136AD4"/>
    <w:rsid w:val="00140BCE"/>
    <w:rsid w:val="001455A8"/>
    <w:rsid w:val="00147295"/>
    <w:rsid w:val="00152337"/>
    <w:rsid w:val="00152577"/>
    <w:rsid w:val="001535DB"/>
    <w:rsid w:val="001538FE"/>
    <w:rsid w:val="00155CC0"/>
    <w:rsid w:val="00161862"/>
    <w:rsid w:val="00161FB9"/>
    <w:rsid w:val="001646D2"/>
    <w:rsid w:val="001648F1"/>
    <w:rsid w:val="001651A3"/>
    <w:rsid w:val="001722E7"/>
    <w:rsid w:val="0017495C"/>
    <w:rsid w:val="00174CAF"/>
    <w:rsid w:val="001751B6"/>
    <w:rsid w:val="0017634A"/>
    <w:rsid w:val="001768B4"/>
    <w:rsid w:val="00180476"/>
    <w:rsid w:val="00181762"/>
    <w:rsid w:val="00181A46"/>
    <w:rsid w:val="00184E27"/>
    <w:rsid w:val="0018679E"/>
    <w:rsid w:val="0019087B"/>
    <w:rsid w:val="0019431A"/>
    <w:rsid w:val="001973DE"/>
    <w:rsid w:val="001A0019"/>
    <w:rsid w:val="001A49B2"/>
    <w:rsid w:val="001A4A23"/>
    <w:rsid w:val="001B16E1"/>
    <w:rsid w:val="001B2839"/>
    <w:rsid w:val="001B3E6A"/>
    <w:rsid w:val="001B5100"/>
    <w:rsid w:val="001B65F8"/>
    <w:rsid w:val="001B6C18"/>
    <w:rsid w:val="001C0883"/>
    <w:rsid w:val="001C0CF0"/>
    <w:rsid w:val="001C1CB8"/>
    <w:rsid w:val="001C2FB7"/>
    <w:rsid w:val="001C39A5"/>
    <w:rsid w:val="001C48BD"/>
    <w:rsid w:val="001C5509"/>
    <w:rsid w:val="001C65E8"/>
    <w:rsid w:val="001C7683"/>
    <w:rsid w:val="001C7C86"/>
    <w:rsid w:val="001D218A"/>
    <w:rsid w:val="001D3C6E"/>
    <w:rsid w:val="001D6881"/>
    <w:rsid w:val="001D7B72"/>
    <w:rsid w:val="001E0B62"/>
    <w:rsid w:val="001E2912"/>
    <w:rsid w:val="001E3908"/>
    <w:rsid w:val="001E43D3"/>
    <w:rsid w:val="001E50E3"/>
    <w:rsid w:val="001E7BE4"/>
    <w:rsid w:val="001F1086"/>
    <w:rsid w:val="001F24E7"/>
    <w:rsid w:val="001F285A"/>
    <w:rsid w:val="001F4771"/>
    <w:rsid w:val="001F492D"/>
    <w:rsid w:val="001F4C3D"/>
    <w:rsid w:val="001F4CF9"/>
    <w:rsid w:val="001F4F03"/>
    <w:rsid w:val="001F57B9"/>
    <w:rsid w:val="001F7EAE"/>
    <w:rsid w:val="00201EE8"/>
    <w:rsid w:val="00205BC0"/>
    <w:rsid w:val="00205CB9"/>
    <w:rsid w:val="00206663"/>
    <w:rsid w:val="00207F36"/>
    <w:rsid w:val="002107B1"/>
    <w:rsid w:val="00211717"/>
    <w:rsid w:val="002118E2"/>
    <w:rsid w:val="002118EB"/>
    <w:rsid w:val="00211B9B"/>
    <w:rsid w:val="002131DA"/>
    <w:rsid w:val="002145DC"/>
    <w:rsid w:val="00214764"/>
    <w:rsid w:val="00216772"/>
    <w:rsid w:val="002167A5"/>
    <w:rsid w:val="00216BD5"/>
    <w:rsid w:val="00216BE2"/>
    <w:rsid w:val="00217B89"/>
    <w:rsid w:val="00220591"/>
    <w:rsid w:val="00222A8E"/>
    <w:rsid w:val="00223E0B"/>
    <w:rsid w:val="00225015"/>
    <w:rsid w:val="00225E1F"/>
    <w:rsid w:val="0023158D"/>
    <w:rsid w:val="00231D76"/>
    <w:rsid w:val="00240815"/>
    <w:rsid w:val="00243A47"/>
    <w:rsid w:val="00243E58"/>
    <w:rsid w:val="0024718D"/>
    <w:rsid w:val="00250479"/>
    <w:rsid w:val="002520DC"/>
    <w:rsid w:val="002527A1"/>
    <w:rsid w:val="00252C70"/>
    <w:rsid w:val="00252FC6"/>
    <w:rsid w:val="00254C4B"/>
    <w:rsid w:val="00254CCF"/>
    <w:rsid w:val="00260407"/>
    <w:rsid w:val="002608B4"/>
    <w:rsid w:val="002615FD"/>
    <w:rsid w:val="00263647"/>
    <w:rsid w:val="002712DE"/>
    <w:rsid w:val="00271381"/>
    <w:rsid w:val="00273E3A"/>
    <w:rsid w:val="00273F67"/>
    <w:rsid w:val="00274F12"/>
    <w:rsid w:val="00276F8A"/>
    <w:rsid w:val="00277A20"/>
    <w:rsid w:val="00277C28"/>
    <w:rsid w:val="0028154F"/>
    <w:rsid w:val="002818D4"/>
    <w:rsid w:val="002825D3"/>
    <w:rsid w:val="00282C23"/>
    <w:rsid w:val="00283302"/>
    <w:rsid w:val="00283314"/>
    <w:rsid w:val="002844D3"/>
    <w:rsid w:val="002858D2"/>
    <w:rsid w:val="00287AF9"/>
    <w:rsid w:val="0029088B"/>
    <w:rsid w:val="002922D3"/>
    <w:rsid w:val="0029388D"/>
    <w:rsid w:val="00293F6F"/>
    <w:rsid w:val="00297A31"/>
    <w:rsid w:val="00297C43"/>
    <w:rsid w:val="002A0206"/>
    <w:rsid w:val="002A0376"/>
    <w:rsid w:val="002A12B3"/>
    <w:rsid w:val="002A265F"/>
    <w:rsid w:val="002A3BEB"/>
    <w:rsid w:val="002A428F"/>
    <w:rsid w:val="002A4AF6"/>
    <w:rsid w:val="002A5B07"/>
    <w:rsid w:val="002A622C"/>
    <w:rsid w:val="002A694D"/>
    <w:rsid w:val="002B1374"/>
    <w:rsid w:val="002B4029"/>
    <w:rsid w:val="002B402F"/>
    <w:rsid w:val="002B4890"/>
    <w:rsid w:val="002B6C94"/>
    <w:rsid w:val="002B7F9C"/>
    <w:rsid w:val="002C1B55"/>
    <w:rsid w:val="002C43FD"/>
    <w:rsid w:val="002C56D0"/>
    <w:rsid w:val="002C5F36"/>
    <w:rsid w:val="002C78C0"/>
    <w:rsid w:val="002C790E"/>
    <w:rsid w:val="002C7A82"/>
    <w:rsid w:val="002D3FD4"/>
    <w:rsid w:val="002D400B"/>
    <w:rsid w:val="002D4943"/>
    <w:rsid w:val="002D7C57"/>
    <w:rsid w:val="002D7C95"/>
    <w:rsid w:val="002E068B"/>
    <w:rsid w:val="002E0F14"/>
    <w:rsid w:val="002E2750"/>
    <w:rsid w:val="002E34BC"/>
    <w:rsid w:val="002E4832"/>
    <w:rsid w:val="002E4D26"/>
    <w:rsid w:val="002E4EB6"/>
    <w:rsid w:val="002E4F4F"/>
    <w:rsid w:val="002E57D2"/>
    <w:rsid w:val="002E59E5"/>
    <w:rsid w:val="002E5C6D"/>
    <w:rsid w:val="002E7C69"/>
    <w:rsid w:val="002F0B6D"/>
    <w:rsid w:val="002F1553"/>
    <w:rsid w:val="002F23E7"/>
    <w:rsid w:val="002F412A"/>
    <w:rsid w:val="002F5A7E"/>
    <w:rsid w:val="002F5CD0"/>
    <w:rsid w:val="002F5E77"/>
    <w:rsid w:val="002F5F69"/>
    <w:rsid w:val="002F7F55"/>
    <w:rsid w:val="0030143C"/>
    <w:rsid w:val="00301768"/>
    <w:rsid w:val="00301F1C"/>
    <w:rsid w:val="0030251D"/>
    <w:rsid w:val="00305FF9"/>
    <w:rsid w:val="0031123A"/>
    <w:rsid w:val="00311C3A"/>
    <w:rsid w:val="00313B39"/>
    <w:rsid w:val="00314068"/>
    <w:rsid w:val="00315B9B"/>
    <w:rsid w:val="00315CE3"/>
    <w:rsid w:val="00317682"/>
    <w:rsid w:val="00320C06"/>
    <w:rsid w:val="00320EFC"/>
    <w:rsid w:val="00321A15"/>
    <w:rsid w:val="00322C87"/>
    <w:rsid w:val="003261F1"/>
    <w:rsid w:val="00326CEB"/>
    <w:rsid w:val="00327429"/>
    <w:rsid w:val="0033079A"/>
    <w:rsid w:val="00331F71"/>
    <w:rsid w:val="003334CE"/>
    <w:rsid w:val="003349C2"/>
    <w:rsid w:val="00334A70"/>
    <w:rsid w:val="00340954"/>
    <w:rsid w:val="00340DEF"/>
    <w:rsid w:val="00342292"/>
    <w:rsid w:val="00342619"/>
    <w:rsid w:val="0034290D"/>
    <w:rsid w:val="00343353"/>
    <w:rsid w:val="00344B8F"/>
    <w:rsid w:val="003453FA"/>
    <w:rsid w:val="00347D8A"/>
    <w:rsid w:val="00351A52"/>
    <w:rsid w:val="00351F60"/>
    <w:rsid w:val="0035349B"/>
    <w:rsid w:val="00353D5F"/>
    <w:rsid w:val="0035451F"/>
    <w:rsid w:val="00354D7F"/>
    <w:rsid w:val="0035606E"/>
    <w:rsid w:val="00361648"/>
    <w:rsid w:val="00361B82"/>
    <w:rsid w:val="00362145"/>
    <w:rsid w:val="003638A8"/>
    <w:rsid w:val="0036413B"/>
    <w:rsid w:val="00364FFD"/>
    <w:rsid w:val="003668CC"/>
    <w:rsid w:val="00371A6E"/>
    <w:rsid w:val="00372403"/>
    <w:rsid w:val="00375397"/>
    <w:rsid w:val="00375A6A"/>
    <w:rsid w:val="003775A9"/>
    <w:rsid w:val="00377FD2"/>
    <w:rsid w:val="00380D60"/>
    <w:rsid w:val="00382308"/>
    <w:rsid w:val="0038259F"/>
    <w:rsid w:val="0038280C"/>
    <w:rsid w:val="00382F2C"/>
    <w:rsid w:val="00383E4A"/>
    <w:rsid w:val="003876DA"/>
    <w:rsid w:val="00387B4F"/>
    <w:rsid w:val="00387E79"/>
    <w:rsid w:val="00390B53"/>
    <w:rsid w:val="00391617"/>
    <w:rsid w:val="00392071"/>
    <w:rsid w:val="00393051"/>
    <w:rsid w:val="00393D37"/>
    <w:rsid w:val="00394DDD"/>
    <w:rsid w:val="00395046"/>
    <w:rsid w:val="00396F1E"/>
    <w:rsid w:val="00397475"/>
    <w:rsid w:val="003A024D"/>
    <w:rsid w:val="003A242F"/>
    <w:rsid w:val="003A2FDE"/>
    <w:rsid w:val="003A3F7D"/>
    <w:rsid w:val="003A4099"/>
    <w:rsid w:val="003A455C"/>
    <w:rsid w:val="003A5EFB"/>
    <w:rsid w:val="003A6196"/>
    <w:rsid w:val="003A67B3"/>
    <w:rsid w:val="003A6885"/>
    <w:rsid w:val="003A7A28"/>
    <w:rsid w:val="003A7EF7"/>
    <w:rsid w:val="003B1959"/>
    <w:rsid w:val="003B23F8"/>
    <w:rsid w:val="003B2404"/>
    <w:rsid w:val="003B2A28"/>
    <w:rsid w:val="003B313A"/>
    <w:rsid w:val="003B35B9"/>
    <w:rsid w:val="003B422B"/>
    <w:rsid w:val="003B501F"/>
    <w:rsid w:val="003B7403"/>
    <w:rsid w:val="003B740A"/>
    <w:rsid w:val="003C03B9"/>
    <w:rsid w:val="003C0500"/>
    <w:rsid w:val="003C1FB5"/>
    <w:rsid w:val="003C25BF"/>
    <w:rsid w:val="003C2B4D"/>
    <w:rsid w:val="003C5FF4"/>
    <w:rsid w:val="003D1524"/>
    <w:rsid w:val="003D1AEE"/>
    <w:rsid w:val="003D3D50"/>
    <w:rsid w:val="003D4314"/>
    <w:rsid w:val="003D60A4"/>
    <w:rsid w:val="003D766C"/>
    <w:rsid w:val="003E03BC"/>
    <w:rsid w:val="003E1FFC"/>
    <w:rsid w:val="003E3AE5"/>
    <w:rsid w:val="003E6798"/>
    <w:rsid w:val="003E7077"/>
    <w:rsid w:val="003E7BF9"/>
    <w:rsid w:val="003F2F80"/>
    <w:rsid w:val="003F3532"/>
    <w:rsid w:val="003F484D"/>
    <w:rsid w:val="003F5259"/>
    <w:rsid w:val="003F5614"/>
    <w:rsid w:val="003F574A"/>
    <w:rsid w:val="003F6013"/>
    <w:rsid w:val="00400EB6"/>
    <w:rsid w:val="00403F59"/>
    <w:rsid w:val="00404E89"/>
    <w:rsid w:val="00405D17"/>
    <w:rsid w:val="00407609"/>
    <w:rsid w:val="00410974"/>
    <w:rsid w:val="00411955"/>
    <w:rsid w:val="00411FFB"/>
    <w:rsid w:val="0041430C"/>
    <w:rsid w:val="00414702"/>
    <w:rsid w:val="00417B27"/>
    <w:rsid w:val="00420DCE"/>
    <w:rsid w:val="0042361F"/>
    <w:rsid w:val="00423E19"/>
    <w:rsid w:val="00424A7F"/>
    <w:rsid w:val="00425A49"/>
    <w:rsid w:val="004304D2"/>
    <w:rsid w:val="00430649"/>
    <w:rsid w:val="00430EED"/>
    <w:rsid w:val="0043131E"/>
    <w:rsid w:val="004316A0"/>
    <w:rsid w:val="00431704"/>
    <w:rsid w:val="004317F1"/>
    <w:rsid w:val="00432659"/>
    <w:rsid w:val="00432DE2"/>
    <w:rsid w:val="004334AC"/>
    <w:rsid w:val="0043372F"/>
    <w:rsid w:val="00436D51"/>
    <w:rsid w:val="004371F5"/>
    <w:rsid w:val="004378D4"/>
    <w:rsid w:val="00441FE5"/>
    <w:rsid w:val="004437CE"/>
    <w:rsid w:val="004438AD"/>
    <w:rsid w:val="00446BC8"/>
    <w:rsid w:val="004474B4"/>
    <w:rsid w:val="00450036"/>
    <w:rsid w:val="0045039C"/>
    <w:rsid w:val="004522BB"/>
    <w:rsid w:val="0045349A"/>
    <w:rsid w:val="00455627"/>
    <w:rsid w:val="004557EA"/>
    <w:rsid w:val="00457AF8"/>
    <w:rsid w:val="00457F0E"/>
    <w:rsid w:val="0046056B"/>
    <w:rsid w:val="004605FF"/>
    <w:rsid w:val="00460F92"/>
    <w:rsid w:val="004625CF"/>
    <w:rsid w:val="004630A2"/>
    <w:rsid w:val="0046383A"/>
    <w:rsid w:val="00463C95"/>
    <w:rsid w:val="00463DE6"/>
    <w:rsid w:val="00464870"/>
    <w:rsid w:val="00464BF7"/>
    <w:rsid w:val="00470706"/>
    <w:rsid w:val="00471A51"/>
    <w:rsid w:val="00473152"/>
    <w:rsid w:val="00474D97"/>
    <w:rsid w:val="00475E76"/>
    <w:rsid w:val="00475F4B"/>
    <w:rsid w:val="004762B3"/>
    <w:rsid w:val="004772E2"/>
    <w:rsid w:val="00477905"/>
    <w:rsid w:val="00480169"/>
    <w:rsid w:val="0048032B"/>
    <w:rsid w:val="0048312F"/>
    <w:rsid w:val="00484AF2"/>
    <w:rsid w:val="00486BDA"/>
    <w:rsid w:val="004928C1"/>
    <w:rsid w:val="00495324"/>
    <w:rsid w:val="00495648"/>
    <w:rsid w:val="004966ED"/>
    <w:rsid w:val="00496CDB"/>
    <w:rsid w:val="00497654"/>
    <w:rsid w:val="004A0B66"/>
    <w:rsid w:val="004A439D"/>
    <w:rsid w:val="004A53B1"/>
    <w:rsid w:val="004B0034"/>
    <w:rsid w:val="004B12B9"/>
    <w:rsid w:val="004B1585"/>
    <w:rsid w:val="004B1A51"/>
    <w:rsid w:val="004B224E"/>
    <w:rsid w:val="004B3CF3"/>
    <w:rsid w:val="004B4C6F"/>
    <w:rsid w:val="004B52AB"/>
    <w:rsid w:val="004B5DF4"/>
    <w:rsid w:val="004C0802"/>
    <w:rsid w:val="004C0B3D"/>
    <w:rsid w:val="004C17F5"/>
    <w:rsid w:val="004C1DF9"/>
    <w:rsid w:val="004C1ED9"/>
    <w:rsid w:val="004C2D33"/>
    <w:rsid w:val="004C36E9"/>
    <w:rsid w:val="004C4989"/>
    <w:rsid w:val="004C561C"/>
    <w:rsid w:val="004C62C9"/>
    <w:rsid w:val="004C7200"/>
    <w:rsid w:val="004C73F3"/>
    <w:rsid w:val="004D0C4B"/>
    <w:rsid w:val="004D144B"/>
    <w:rsid w:val="004D15E7"/>
    <w:rsid w:val="004D1DEC"/>
    <w:rsid w:val="004D28E6"/>
    <w:rsid w:val="004D293A"/>
    <w:rsid w:val="004D2B3E"/>
    <w:rsid w:val="004D3703"/>
    <w:rsid w:val="004D3C2A"/>
    <w:rsid w:val="004D40CE"/>
    <w:rsid w:val="004D66EA"/>
    <w:rsid w:val="004D7015"/>
    <w:rsid w:val="004D7EF6"/>
    <w:rsid w:val="004E3E91"/>
    <w:rsid w:val="004E477E"/>
    <w:rsid w:val="004E6118"/>
    <w:rsid w:val="004E7069"/>
    <w:rsid w:val="004F2D30"/>
    <w:rsid w:val="004F6E5D"/>
    <w:rsid w:val="0050037E"/>
    <w:rsid w:val="00500888"/>
    <w:rsid w:val="00501BA3"/>
    <w:rsid w:val="0050367B"/>
    <w:rsid w:val="00505AD2"/>
    <w:rsid w:val="0051121A"/>
    <w:rsid w:val="005112B5"/>
    <w:rsid w:val="00511DC4"/>
    <w:rsid w:val="0051319F"/>
    <w:rsid w:val="00513DE2"/>
    <w:rsid w:val="00514FE3"/>
    <w:rsid w:val="00516FFE"/>
    <w:rsid w:val="00520380"/>
    <w:rsid w:val="00521891"/>
    <w:rsid w:val="005221CA"/>
    <w:rsid w:val="005223DD"/>
    <w:rsid w:val="00522BEF"/>
    <w:rsid w:val="0052399B"/>
    <w:rsid w:val="005239B0"/>
    <w:rsid w:val="00525570"/>
    <w:rsid w:val="00525638"/>
    <w:rsid w:val="00525694"/>
    <w:rsid w:val="00525C68"/>
    <w:rsid w:val="00525D26"/>
    <w:rsid w:val="00526F38"/>
    <w:rsid w:val="0052792F"/>
    <w:rsid w:val="00527E08"/>
    <w:rsid w:val="00530120"/>
    <w:rsid w:val="005316B4"/>
    <w:rsid w:val="005317D5"/>
    <w:rsid w:val="00531CE8"/>
    <w:rsid w:val="005339C3"/>
    <w:rsid w:val="00534033"/>
    <w:rsid w:val="00534648"/>
    <w:rsid w:val="00535272"/>
    <w:rsid w:val="00536834"/>
    <w:rsid w:val="0054057C"/>
    <w:rsid w:val="0054245B"/>
    <w:rsid w:val="00550102"/>
    <w:rsid w:val="00551E37"/>
    <w:rsid w:val="00552CD4"/>
    <w:rsid w:val="00554130"/>
    <w:rsid w:val="005549A4"/>
    <w:rsid w:val="0055505F"/>
    <w:rsid w:val="00555244"/>
    <w:rsid w:val="00555E79"/>
    <w:rsid w:val="00556AD4"/>
    <w:rsid w:val="00557F8C"/>
    <w:rsid w:val="0056526D"/>
    <w:rsid w:val="00565AA3"/>
    <w:rsid w:val="00565B4A"/>
    <w:rsid w:val="0056641B"/>
    <w:rsid w:val="00566ADE"/>
    <w:rsid w:val="005671F1"/>
    <w:rsid w:val="00567553"/>
    <w:rsid w:val="0056759F"/>
    <w:rsid w:val="00571B58"/>
    <w:rsid w:val="00573351"/>
    <w:rsid w:val="005746C7"/>
    <w:rsid w:val="00575F99"/>
    <w:rsid w:val="00580C55"/>
    <w:rsid w:val="005811C4"/>
    <w:rsid w:val="005811E2"/>
    <w:rsid w:val="00581B24"/>
    <w:rsid w:val="005825DD"/>
    <w:rsid w:val="00582DCB"/>
    <w:rsid w:val="005837AD"/>
    <w:rsid w:val="005840CE"/>
    <w:rsid w:val="00584544"/>
    <w:rsid w:val="00584815"/>
    <w:rsid w:val="00585141"/>
    <w:rsid w:val="00585519"/>
    <w:rsid w:val="00585C72"/>
    <w:rsid w:val="00586C33"/>
    <w:rsid w:val="0058789B"/>
    <w:rsid w:val="005878BB"/>
    <w:rsid w:val="00587CFD"/>
    <w:rsid w:val="0059033E"/>
    <w:rsid w:val="0059121E"/>
    <w:rsid w:val="0059436E"/>
    <w:rsid w:val="00595541"/>
    <w:rsid w:val="005969B1"/>
    <w:rsid w:val="005976AC"/>
    <w:rsid w:val="00597950"/>
    <w:rsid w:val="005A0BA2"/>
    <w:rsid w:val="005A1B03"/>
    <w:rsid w:val="005A1C8E"/>
    <w:rsid w:val="005A2142"/>
    <w:rsid w:val="005A2A0E"/>
    <w:rsid w:val="005A3865"/>
    <w:rsid w:val="005A3D07"/>
    <w:rsid w:val="005A4080"/>
    <w:rsid w:val="005A41DF"/>
    <w:rsid w:val="005A6E6A"/>
    <w:rsid w:val="005B0F0A"/>
    <w:rsid w:val="005B2EDD"/>
    <w:rsid w:val="005B32C5"/>
    <w:rsid w:val="005B3468"/>
    <w:rsid w:val="005B37E9"/>
    <w:rsid w:val="005B5A28"/>
    <w:rsid w:val="005B6C0E"/>
    <w:rsid w:val="005B7676"/>
    <w:rsid w:val="005C02BF"/>
    <w:rsid w:val="005C0AE4"/>
    <w:rsid w:val="005C1D6C"/>
    <w:rsid w:val="005C278D"/>
    <w:rsid w:val="005C2998"/>
    <w:rsid w:val="005C327D"/>
    <w:rsid w:val="005C4A6A"/>
    <w:rsid w:val="005C5B88"/>
    <w:rsid w:val="005C665A"/>
    <w:rsid w:val="005C67E3"/>
    <w:rsid w:val="005C6FB6"/>
    <w:rsid w:val="005C7F52"/>
    <w:rsid w:val="005D0292"/>
    <w:rsid w:val="005D07BE"/>
    <w:rsid w:val="005D0EB1"/>
    <w:rsid w:val="005D1085"/>
    <w:rsid w:val="005D1273"/>
    <w:rsid w:val="005D13A7"/>
    <w:rsid w:val="005D200D"/>
    <w:rsid w:val="005D2AC4"/>
    <w:rsid w:val="005D2C60"/>
    <w:rsid w:val="005D2E2D"/>
    <w:rsid w:val="005D4424"/>
    <w:rsid w:val="005D48BA"/>
    <w:rsid w:val="005D631D"/>
    <w:rsid w:val="005D6F99"/>
    <w:rsid w:val="005E04D4"/>
    <w:rsid w:val="005E106F"/>
    <w:rsid w:val="005E1911"/>
    <w:rsid w:val="005E1FE4"/>
    <w:rsid w:val="005E378F"/>
    <w:rsid w:val="005E398A"/>
    <w:rsid w:val="005E4DE2"/>
    <w:rsid w:val="005E651B"/>
    <w:rsid w:val="005F1037"/>
    <w:rsid w:val="005F3B20"/>
    <w:rsid w:val="005F6EAD"/>
    <w:rsid w:val="00603D48"/>
    <w:rsid w:val="00605DF5"/>
    <w:rsid w:val="00606DEF"/>
    <w:rsid w:val="00607499"/>
    <w:rsid w:val="00607EDB"/>
    <w:rsid w:val="00610A65"/>
    <w:rsid w:val="00611CA5"/>
    <w:rsid w:val="00613C73"/>
    <w:rsid w:val="00617894"/>
    <w:rsid w:val="00620B83"/>
    <w:rsid w:val="00621415"/>
    <w:rsid w:val="0062193B"/>
    <w:rsid w:val="00622D5B"/>
    <w:rsid w:val="00623755"/>
    <w:rsid w:val="00623772"/>
    <w:rsid w:val="00623BA9"/>
    <w:rsid w:val="006245BA"/>
    <w:rsid w:val="00625D7C"/>
    <w:rsid w:val="00625DBA"/>
    <w:rsid w:val="00627BA3"/>
    <w:rsid w:val="00630A2E"/>
    <w:rsid w:val="00631870"/>
    <w:rsid w:val="0063263D"/>
    <w:rsid w:val="00632EFB"/>
    <w:rsid w:val="006335F2"/>
    <w:rsid w:val="0063389D"/>
    <w:rsid w:val="006348C3"/>
    <w:rsid w:val="00635277"/>
    <w:rsid w:val="006352CD"/>
    <w:rsid w:val="00635807"/>
    <w:rsid w:val="0063589C"/>
    <w:rsid w:val="00636EB5"/>
    <w:rsid w:val="00636F77"/>
    <w:rsid w:val="006374D9"/>
    <w:rsid w:val="006408DF"/>
    <w:rsid w:val="006428E6"/>
    <w:rsid w:val="00642915"/>
    <w:rsid w:val="0064346D"/>
    <w:rsid w:val="006435FA"/>
    <w:rsid w:val="00647529"/>
    <w:rsid w:val="00651862"/>
    <w:rsid w:val="006527FE"/>
    <w:rsid w:val="00652B14"/>
    <w:rsid w:val="0065325E"/>
    <w:rsid w:val="00653756"/>
    <w:rsid w:val="006562F5"/>
    <w:rsid w:val="006567E0"/>
    <w:rsid w:val="0066050C"/>
    <w:rsid w:val="00660CF2"/>
    <w:rsid w:val="00661696"/>
    <w:rsid w:val="00662DD9"/>
    <w:rsid w:val="006636EE"/>
    <w:rsid w:val="00666292"/>
    <w:rsid w:val="006667C1"/>
    <w:rsid w:val="00667458"/>
    <w:rsid w:val="006703C7"/>
    <w:rsid w:val="00670E3C"/>
    <w:rsid w:val="006716AC"/>
    <w:rsid w:val="00671D86"/>
    <w:rsid w:val="00673B2C"/>
    <w:rsid w:val="00674BF7"/>
    <w:rsid w:val="006764BC"/>
    <w:rsid w:val="00680E76"/>
    <w:rsid w:val="00686B6D"/>
    <w:rsid w:val="006929D6"/>
    <w:rsid w:val="00692D4C"/>
    <w:rsid w:val="006942FB"/>
    <w:rsid w:val="00695A80"/>
    <w:rsid w:val="006A0A11"/>
    <w:rsid w:val="006A4915"/>
    <w:rsid w:val="006A574C"/>
    <w:rsid w:val="006A7C75"/>
    <w:rsid w:val="006B081D"/>
    <w:rsid w:val="006B0CF6"/>
    <w:rsid w:val="006B1AFE"/>
    <w:rsid w:val="006B1B3A"/>
    <w:rsid w:val="006B2CD3"/>
    <w:rsid w:val="006B4681"/>
    <w:rsid w:val="006B5162"/>
    <w:rsid w:val="006B5C2C"/>
    <w:rsid w:val="006B63F4"/>
    <w:rsid w:val="006B64F4"/>
    <w:rsid w:val="006B734C"/>
    <w:rsid w:val="006C00BE"/>
    <w:rsid w:val="006C06EE"/>
    <w:rsid w:val="006C081C"/>
    <w:rsid w:val="006C0BC6"/>
    <w:rsid w:val="006C196D"/>
    <w:rsid w:val="006C2FA2"/>
    <w:rsid w:val="006C3FF8"/>
    <w:rsid w:val="006C7E16"/>
    <w:rsid w:val="006D0CC5"/>
    <w:rsid w:val="006D1A11"/>
    <w:rsid w:val="006D30CC"/>
    <w:rsid w:val="006D3706"/>
    <w:rsid w:val="006D3DC0"/>
    <w:rsid w:val="006D437E"/>
    <w:rsid w:val="006D5692"/>
    <w:rsid w:val="006D7649"/>
    <w:rsid w:val="006D793A"/>
    <w:rsid w:val="006E3116"/>
    <w:rsid w:val="006E3375"/>
    <w:rsid w:val="006E4144"/>
    <w:rsid w:val="006E50BE"/>
    <w:rsid w:val="006E6568"/>
    <w:rsid w:val="006E7E6F"/>
    <w:rsid w:val="006F17E9"/>
    <w:rsid w:val="006F1E79"/>
    <w:rsid w:val="006F23D2"/>
    <w:rsid w:val="006F320A"/>
    <w:rsid w:val="006F3A9E"/>
    <w:rsid w:val="006F57AC"/>
    <w:rsid w:val="006F603C"/>
    <w:rsid w:val="006F72FE"/>
    <w:rsid w:val="007001DC"/>
    <w:rsid w:val="00701FBE"/>
    <w:rsid w:val="007023F0"/>
    <w:rsid w:val="0070247B"/>
    <w:rsid w:val="0070372C"/>
    <w:rsid w:val="00705C25"/>
    <w:rsid w:val="0070714B"/>
    <w:rsid w:val="00710DF1"/>
    <w:rsid w:val="00710E85"/>
    <w:rsid w:val="0071134E"/>
    <w:rsid w:val="00712C0A"/>
    <w:rsid w:val="00714008"/>
    <w:rsid w:val="00714038"/>
    <w:rsid w:val="00714298"/>
    <w:rsid w:val="00715640"/>
    <w:rsid w:val="00720C81"/>
    <w:rsid w:val="0072185E"/>
    <w:rsid w:val="0072196E"/>
    <w:rsid w:val="00721C10"/>
    <w:rsid w:val="00721F46"/>
    <w:rsid w:val="00723010"/>
    <w:rsid w:val="0072356C"/>
    <w:rsid w:val="00724B9B"/>
    <w:rsid w:val="00726C3A"/>
    <w:rsid w:val="007312B8"/>
    <w:rsid w:val="007322E6"/>
    <w:rsid w:val="00733E33"/>
    <w:rsid w:val="007347D0"/>
    <w:rsid w:val="00735590"/>
    <w:rsid w:val="00735F80"/>
    <w:rsid w:val="007379F7"/>
    <w:rsid w:val="007402D2"/>
    <w:rsid w:val="00741ECF"/>
    <w:rsid w:val="00742B60"/>
    <w:rsid w:val="00743444"/>
    <w:rsid w:val="00747528"/>
    <w:rsid w:val="00750A59"/>
    <w:rsid w:val="00750FA3"/>
    <w:rsid w:val="00751557"/>
    <w:rsid w:val="00752440"/>
    <w:rsid w:val="0075272F"/>
    <w:rsid w:val="0075343D"/>
    <w:rsid w:val="00753DF9"/>
    <w:rsid w:val="00755186"/>
    <w:rsid w:val="00755498"/>
    <w:rsid w:val="00755962"/>
    <w:rsid w:val="00755DF3"/>
    <w:rsid w:val="00756F55"/>
    <w:rsid w:val="00757E0E"/>
    <w:rsid w:val="00760A83"/>
    <w:rsid w:val="00761F97"/>
    <w:rsid w:val="00764600"/>
    <w:rsid w:val="0076591C"/>
    <w:rsid w:val="00770148"/>
    <w:rsid w:val="00770346"/>
    <w:rsid w:val="00770452"/>
    <w:rsid w:val="0077048F"/>
    <w:rsid w:val="00771E4D"/>
    <w:rsid w:val="00772021"/>
    <w:rsid w:val="0077268D"/>
    <w:rsid w:val="00772DEC"/>
    <w:rsid w:val="00772FDD"/>
    <w:rsid w:val="007736D2"/>
    <w:rsid w:val="00774318"/>
    <w:rsid w:val="007755D8"/>
    <w:rsid w:val="00780032"/>
    <w:rsid w:val="0078324C"/>
    <w:rsid w:val="007847F6"/>
    <w:rsid w:val="00785BE4"/>
    <w:rsid w:val="00786C6E"/>
    <w:rsid w:val="00787966"/>
    <w:rsid w:val="007965FF"/>
    <w:rsid w:val="007A0AA7"/>
    <w:rsid w:val="007A2E01"/>
    <w:rsid w:val="007A3911"/>
    <w:rsid w:val="007A595F"/>
    <w:rsid w:val="007B02D3"/>
    <w:rsid w:val="007B03C7"/>
    <w:rsid w:val="007B0E42"/>
    <w:rsid w:val="007B14A5"/>
    <w:rsid w:val="007B7489"/>
    <w:rsid w:val="007B75E8"/>
    <w:rsid w:val="007C0CE6"/>
    <w:rsid w:val="007C1710"/>
    <w:rsid w:val="007C19D8"/>
    <w:rsid w:val="007C4F0C"/>
    <w:rsid w:val="007C631A"/>
    <w:rsid w:val="007C6321"/>
    <w:rsid w:val="007C644B"/>
    <w:rsid w:val="007C7A8F"/>
    <w:rsid w:val="007D011A"/>
    <w:rsid w:val="007D2141"/>
    <w:rsid w:val="007D3475"/>
    <w:rsid w:val="007D4D53"/>
    <w:rsid w:val="007D51B4"/>
    <w:rsid w:val="007D7091"/>
    <w:rsid w:val="007E06DE"/>
    <w:rsid w:val="007E085B"/>
    <w:rsid w:val="007E3BD1"/>
    <w:rsid w:val="007E56F2"/>
    <w:rsid w:val="007E5FD4"/>
    <w:rsid w:val="007E695D"/>
    <w:rsid w:val="007E7149"/>
    <w:rsid w:val="007F0187"/>
    <w:rsid w:val="007F1B4B"/>
    <w:rsid w:val="007F206B"/>
    <w:rsid w:val="007F22C8"/>
    <w:rsid w:val="007F244C"/>
    <w:rsid w:val="007F2F23"/>
    <w:rsid w:val="007F3469"/>
    <w:rsid w:val="007F3677"/>
    <w:rsid w:val="007F40B7"/>
    <w:rsid w:val="007F5965"/>
    <w:rsid w:val="007F5FBC"/>
    <w:rsid w:val="007F6793"/>
    <w:rsid w:val="007F714D"/>
    <w:rsid w:val="00800ACA"/>
    <w:rsid w:val="00801F12"/>
    <w:rsid w:val="00802753"/>
    <w:rsid w:val="00802851"/>
    <w:rsid w:val="00806569"/>
    <w:rsid w:val="00811DF7"/>
    <w:rsid w:val="008127EB"/>
    <w:rsid w:val="00814AFC"/>
    <w:rsid w:val="008152DA"/>
    <w:rsid w:val="008154EF"/>
    <w:rsid w:val="00815536"/>
    <w:rsid w:val="008158DE"/>
    <w:rsid w:val="0081626D"/>
    <w:rsid w:val="008172F9"/>
    <w:rsid w:val="00820304"/>
    <w:rsid w:val="008213B0"/>
    <w:rsid w:val="00821D41"/>
    <w:rsid w:val="008221A2"/>
    <w:rsid w:val="00823E1D"/>
    <w:rsid w:val="00825637"/>
    <w:rsid w:val="00825DC8"/>
    <w:rsid w:val="00827B0D"/>
    <w:rsid w:val="00830854"/>
    <w:rsid w:val="00831B5D"/>
    <w:rsid w:val="00831BB5"/>
    <w:rsid w:val="008326C6"/>
    <w:rsid w:val="008332BC"/>
    <w:rsid w:val="0083396B"/>
    <w:rsid w:val="00834059"/>
    <w:rsid w:val="00840706"/>
    <w:rsid w:val="00840F72"/>
    <w:rsid w:val="00841391"/>
    <w:rsid w:val="008414C6"/>
    <w:rsid w:val="00843FEA"/>
    <w:rsid w:val="00844811"/>
    <w:rsid w:val="00844B4F"/>
    <w:rsid w:val="00846500"/>
    <w:rsid w:val="008474FE"/>
    <w:rsid w:val="0084764D"/>
    <w:rsid w:val="00854136"/>
    <w:rsid w:val="00856379"/>
    <w:rsid w:val="008565DF"/>
    <w:rsid w:val="0085762A"/>
    <w:rsid w:val="00857EEB"/>
    <w:rsid w:val="00860A75"/>
    <w:rsid w:val="00864233"/>
    <w:rsid w:val="008645E3"/>
    <w:rsid w:val="0086460D"/>
    <w:rsid w:val="0086483F"/>
    <w:rsid w:val="00866011"/>
    <w:rsid w:val="00870181"/>
    <w:rsid w:val="00872371"/>
    <w:rsid w:val="00873332"/>
    <w:rsid w:val="00875339"/>
    <w:rsid w:val="00880393"/>
    <w:rsid w:val="008804E8"/>
    <w:rsid w:val="00882A2D"/>
    <w:rsid w:val="008831F2"/>
    <w:rsid w:val="00883F59"/>
    <w:rsid w:val="008841D0"/>
    <w:rsid w:val="008864E2"/>
    <w:rsid w:val="008901EA"/>
    <w:rsid w:val="00890885"/>
    <w:rsid w:val="00890F6D"/>
    <w:rsid w:val="00891EE3"/>
    <w:rsid w:val="008939FB"/>
    <w:rsid w:val="00895DE1"/>
    <w:rsid w:val="008A021A"/>
    <w:rsid w:val="008A1024"/>
    <w:rsid w:val="008A13C0"/>
    <w:rsid w:val="008A3897"/>
    <w:rsid w:val="008A437B"/>
    <w:rsid w:val="008A464D"/>
    <w:rsid w:val="008A636B"/>
    <w:rsid w:val="008A6F54"/>
    <w:rsid w:val="008B2440"/>
    <w:rsid w:val="008B2FA4"/>
    <w:rsid w:val="008B311A"/>
    <w:rsid w:val="008B5599"/>
    <w:rsid w:val="008B5C46"/>
    <w:rsid w:val="008B7329"/>
    <w:rsid w:val="008B7A15"/>
    <w:rsid w:val="008C1E3A"/>
    <w:rsid w:val="008C2396"/>
    <w:rsid w:val="008C24B2"/>
    <w:rsid w:val="008C4414"/>
    <w:rsid w:val="008C4B0D"/>
    <w:rsid w:val="008C7338"/>
    <w:rsid w:val="008C7C2D"/>
    <w:rsid w:val="008D04CE"/>
    <w:rsid w:val="008D20C0"/>
    <w:rsid w:val="008D29C3"/>
    <w:rsid w:val="008D3F94"/>
    <w:rsid w:val="008D40C4"/>
    <w:rsid w:val="008D4747"/>
    <w:rsid w:val="008D4882"/>
    <w:rsid w:val="008D4DD5"/>
    <w:rsid w:val="008D51E2"/>
    <w:rsid w:val="008D6135"/>
    <w:rsid w:val="008D6385"/>
    <w:rsid w:val="008E024B"/>
    <w:rsid w:val="008E17B5"/>
    <w:rsid w:val="008E1EF5"/>
    <w:rsid w:val="008E5238"/>
    <w:rsid w:val="008E57BB"/>
    <w:rsid w:val="008E5BF5"/>
    <w:rsid w:val="008F086A"/>
    <w:rsid w:val="008F0DE3"/>
    <w:rsid w:val="008F3C24"/>
    <w:rsid w:val="008F4502"/>
    <w:rsid w:val="008F6AC3"/>
    <w:rsid w:val="008F6E36"/>
    <w:rsid w:val="009022B3"/>
    <w:rsid w:val="00903ACD"/>
    <w:rsid w:val="00903BDD"/>
    <w:rsid w:val="00905C12"/>
    <w:rsid w:val="00906CC4"/>
    <w:rsid w:val="00912487"/>
    <w:rsid w:val="009124FB"/>
    <w:rsid w:val="009126B7"/>
    <w:rsid w:val="00912C0E"/>
    <w:rsid w:val="00912D4F"/>
    <w:rsid w:val="00912FFC"/>
    <w:rsid w:val="009155D0"/>
    <w:rsid w:val="00915D10"/>
    <w:rsid w:val="00915E5D"/>
    <w:rsid w:val="00916DDB"/>
    <w:rsid w:val="00920215"/>
    <w:rsid w:val="0092067A"/>
    <w:rsid w:val="00921161"/>
    <w:rsid w:val="0092222D"/>
    <w:rsid w:val="0092401D"/>
    <w:rsid w:val="00924BDC"/>
    <w:rsid w:val="00925665"/>
    <w:rsid w:val="00925FA1"/>
    <w:rsid w:val="00926D58"/>
    <w:rsid w:val="00927791"/>
    <w:rsid w:val="009278C8"/>
    <w:rsid w:val="00930732"/>
    <w:rsid w:val="00930BAB"/>
    <w:rsid w:val="00930CE9"/>
    <w:rsid w:val="00931D5F"/>
    <w:rsid w:val="009326A7"/>
    <w:rsid w:val="00932DCB"/>
    <w:rsid w:val="0093380C"/>
    <w:rsid w:val="009348CA"/>
    <w:rsid w:val="00935E09"/>
    <w:rsid w:val="00940949"/>
    <w:rsid w:val="00942145"/>
    <w:rsid w:val="009427CA"/>
    <w:rsid w:val="00942A3F"/>
    <w:rsid w:val="009457EA"/>
    <w:rsid w:val="00946185"/>
    <w:rsid w:val="0094756B"/>
    <w:rsid w:val="009504ED"/>
    <w:rsid w:val="00950A10"/>
    <w:rsid w:val="00952754"/>
    <w:rsid w:val="0095487D"/>
    <w:rsid w:val="00954BEA"/>
    <w:rsid w:val="00954BF5"/>
    <w:rsid w:val="0095636A"/>
    <w:rsid w:val="009578CE"/>
    <w:rsid w:val="009613F4"/>
    <w:rsid w:val="00962F24"/>
    <w:rsid w:val="00964E86"/>
    <w:rsid w:val="00967A6E"/>
    <w:rsid w:val="00967AAD"/>
    <w:rsid w:val="00967D0E"/>
    <w:rsid w:val="009704B2"/>
    <w:rsid w:val="00970F94"/>
    <w:rsid w:val="009719F8"/>
    <w:rsid w:val="00971B22"/>
    <w:rsid w:val="00971EEA"/>
    <w:rsid w:val="00973984"/>
    <w:rsid w:val="009743D3"/>
    <w:rsid w:val="0097527A"/>
    <w:rsid w:val="009753EC"/>
    <w:rsid w:val="00977180"/>
    <w:rsid w:val="0097781F"/>
    <w:rsid w:val="0097794A"/>
    <w:rsid w:val="00980CE2"/>
    <w:rsid w:val="009869A5"/>
    <w:rsid w:val="00986D86"/>
    <w:rsid w:val="0098757D"/>
    <w:rsid w:val="009910D0"/>
    <w:rsid w:val="00991108"/>
    <w:rsid w:val="0099230E"/>
    <w:rsid w:val="009940C7"/>
    <w:rsid w:val="00995C23"/>
    <w:rsid w:val="00995F8B"/>
    <w:rsid w:val="00997173"/>
    <w:rsid w:val="0099754C"/>
    <w:rsid w:val="009A0DD6"/>
    <w:rsid w:val="009A1604"/>
    <w:rsid w:val="009A1B7A"/>
    <w:rsid w:val="009A22E2"/>
    <w:rsid w:val="009A32EC"/>
    <w:rsid w:val="009A3B6A"/>
    <w:rsid w:val="009A42CF"/>
    <w:rsid w:val="009A56B8"/>
    <w:rsid w:val="009A74EF"/>
    <w:rsid w:val="009B20D4"/>
    <w:rsid w:val="009B340B"/>
    <w:rsid w:val="009B3A40"/>
    <w:rsid w:val="009B3E48"/>
    <w:rsid w:val="009B4DA5"/>
    <w:rsid w:val="009B6AF8"/>
    <w:rsid w:val="009B73F1"/>
    <w:rsid w:val="009C0722"/>
    <w:rsid w:val="009C114A"/>
    <w:rsid w:val="009C3525"/>
    <w:rsid w:val="009C485F"/>
    <w:rsid w:val="009C6A0D"/>
    <w:rsid w:val="009D2D09"/>
    <w:rsid w:val="009D4486"/>
    <w:rsid w:val="009D482F"/>
    <w:rsid w:val="009D665D"/>
    <w:rsid w:val="009D6C63"/>
    <w:rsid w:val="009D7607"/>
    <w:rsid w:val="009D778B"/>
    <w:rsid w:val="009E0E54"/>
    <w:rsid w:val="009E71F6"/>
    <w:rsid w:val="009E77FE"/>
    <w:rsid w:val="009F19A4"/>
    <w:rsid w:val="009F253C"/>
    <w:rsid w:val="009F284D"/>
    <w:rsid w:val="009F3766"/>
    <w:rsid w:val="009F3C60"/>
    <w:rsid w:val="00A009CD"/>
    <w:rsid w:val="00A00C32"/>
    <w:rsid w:val="00A00D52"/>
    <w:rsid w:val="00A01BC6"/>
    <w:rsid w:val="00A0328C"/>
    <w:rsid w:val="00A0381A"/>
    <w:rsid w:val="00A046E9"/>
    <w:rsid w:val="00A049DA"/>
    <w:rsid w:val="00A05003"/>
    <w:rsid w:val="00A063EB"/>
    <w:rsid w:val="00A12788"/>
    <w:rsid w:val="00A134EE"/>
    <w:rsid w:val="00A13E77"/>
    <w:rsid w:val="00A14263"/>
    <w:rsid w:val="00A14D36"/>
    <w:rsid w:val="00A14DFE"/>
    <w:rsid w:val="00A153FA"/>
    <w:rsid w:val="00A1761F"/>
    <w:rsid w:val="00A17702"/>
    <w:rsid w:val="00A17CAF"/>
    <w:rsid w:val="00A22D72"/>
    <w:rsid w:val="00A26858"/>
    <w:rsid w:val="00A27083"/>
    <w:rsid w:val="00A27AD7"/>
    <w:rsid w:val="00A30275"/>
    <w:rsid w:val="00A30B06"/>
    <w:rsid w:val="00A3161E"/>
    <w:rsid w:val="00A31EF3"/>
    <w:rsid w:val="00A31F39"/>
    <w:rsid w:val="00A33166"/>
    <w:rsid w:val="00A35902"/>
    <w:rsid w:val="00A3648A"/>
    <w:rsid w:val="00A3729F"/>
    <w:rsid w:val="00A408E6"/>
    <w:rsid w:val="00A41E82"/>
    <w:rsid w:val="00A41F08"/>
    <w:rsid w:val="00A4350F"/>
    <w:rsid w:val="00A43959"/>
    <w:rsid w:val="00A444D8"/>
    <w:rsid w:val="00A44835"/>
    <w:rsid w:val="00A44CF0"/>
    <w:rsid w:val="00A47C1A"/>
    <w:rsid w:val="00A51947"/>
    <w:rsid w:val="00A527C4"/>
    <w:rsid w:val="00A52CEC"/>
    <w:rsid w:val="00A52F79"/>
    <w:rsid w:val="00A539EA"/>
    <w:rsid w:val="00A55C7E"/>
    <w:rsid w:val="00A561CE"/>
    <w:rsid w:val="00A562E5"/>
    <w:rsid w:val="00A5775D"/>
    <w:rsid w:val="00A579C2"/>
    <w:rsid w:val="00A6039A"/>
    <w:rsid w:val="00A607BF"/>
    <w:rsid w:val="00A6171B"/>
    <w:rsid w:val="00A619DB"/>
    <w:rsid w:val="00A62C00"/>
    <w:rsid w:val="00A62DEE"/>
    <w:rsid w:val="00A63202"/>
    <w:rsid w:val="00A66CA1"/>
    <w:rsid w:val="00A66E39"/>
    <w:rsid w:val="00A70E2A"/>
    <w:rsid w:val="00A71D84"/>
    <w:rsid w:val="00A71DD0"/>
    <w:rsid w:val="00A73048"/>
    <w:rsid w:val="00A74042"/>
    <w:rsid w:val="00A74279"/>
    <w:rsid w:val="00A74942"/>
    <w:rsid w:val="00A749EF"/>
    <w:rsid w:val="00A759DB"/>
    <w:rsid w:val="00A76109"/>
    <w:rsid w:val="00A761CD"/>
    <w:rsid w:val="00A77868"/>
    <w:rsid w:val="00A80874"/>
    <w:rsid w:val="00A81714"/>
    <w:rsid w:val="00A83C8B"/>
    <w:rsid w:val="00A83E2F"/>
    <w:rsid w:val="00A8600C"/>
    <w:rsid w:val="00A871DC"/>
    <w:rsid w:val="00A87E62"/>
    <w:rsid w:val="00A907DA"/>
    <w:rsid w:val="00A90EF8"/>
    <w:rsid w:val="00A91535"/>
    <w:rsid w:val="00A9305F"/>
    <w:rsid w:val="00A93879"/>
    <w:rsid w:val="00A95A71"/>
    <w:rsid w:val="00A95BD3"/>
    <w:rsid w:val="00A960E1"/>
    <w:rsid w:val="00A9630D"/>
    <w:rsid w:val="00A96ADD"/>
    <w:rsid w:val="00A96C7E"/>
    <w:rsid w:val="00AA0CAC"/>
    <w:rsid w:val="00AA15E7"/>
    <w:rsid w:val="00AA16E3"/>
    <w:rsid w:val="00AA1AA8"/>
    <w:rsid w:val="00AA37F7"/>
    <w:rsid w:val="00AA39A1"/>
    <w:rsid w:val="00AA62EA"/>
    <w:rsid w:val="00AA6669"/>
    <w:rsid w:val="00AA7B74"/>
    <w:rsid w:val="00AB2165"/>
    <w:rsid w:val="00AB21E8"/>
    <w:rsid w:val="00AB3114"/>
    <w:rsid w:val="00AB378A"/>
    <w:rsid w:val="00AB607C"/>
    <w:rsid w:val="00AB6220"/>
    <w:rsid w:val="00AB7ACD"/>
    <w:rsid w:val="00AC0167"/>
    <w:rsid w:val="00AC09BD"/>
    <w:rsid w:val="00AC15F4"/>
    <w:rsid w:val="00AC22DE"/>
    <w:rsid w:val="00AC3B92"/>
    <w:rsid w:val="00AC6DD0"/>
    <w:rsid w:val="00AD0CCA"/>
    <w:rsid w:val="00AD0F2B"/>
    <w:rsid w:val="00AD1735"/>
    <w:rsid w:val="00AD2838"/>
    <w:rsid w:val="00AD5267"/>
    <w:rsid w:val="00AD6EA3"/>
    <w:rsid w:val="00AE02BE"/>
    <w:rsid w:val="00AE2136"/>
    <w:rsid w:val="00AE2EBB"/>
    <w:rsid w:val="00AE69B8"/>
    <w:rsid w:val="00AE7632"/>
    <w:rsid w:val="00AF0CAE"/>
    <w:rsid w:val="00AF2948"/>
    <w:rsid w:val="00AF35DF"/>
    <w:rsid w:val="00AF52A8"/>
    <w:rsid w:val="00AF58E2"/>
    <w:rsid w:val="00AF7BD4"/>
    <w:rsid w:val="00B00D37"/>
    <w:rsid w:val="00B018B1"/>
    <w:rsid w:val="00B027A4"/>
    <w:rsid w:val="00B03685"/>
    <w:rsid w:val="00B0519B"/>
    <w:rsid w:val="00B05D62"/>
    <w:rsid w:val="00B062D7"/>
    <w:rsid w:val="00B06CB8"/>
    <w:rsid w:val="00B074C7"/>
    <w:rsid w:val="00B07867"/>
    <w:rsid w:val="00B07E17"/>
    <w:rsid w:val="00B11D2D"/>
    <w:rsid w:val="00B1227C"/>
    <w:rsid w:val="00B1291F"/>
    <w:rsid w:val="00B137DB"/>
    <w:rsid w:val="00B1456E"/>
    <w:rsid w:val="00B16C89"/>
    <w:rsid w:val="00B1771E"/>
    <w:rsid w:val="00B17995"/>
    <w:rsid w:val="00B231FF"/>
    <w:rsid w:val="00B239F6"/>
    <w:rsid w:val="00B23FA1"/>
    <w:rsid w:val="00B24490"/>
    <w:rsid w:val="00B24726"/>
    <w:rsid w:val="00B24A1A"/>
    <w:rsid w:val="00B24AFE"/>
    <w:rsid w:val="00B25899"/>
    <w:rsid w:val="00B26AD4"/>
    <w:rsid w:val="00B305A2"/>
    <w:rsid w:val="00B30F65"/>
    <w:rsid w:val="00B311C5"/>
    <w:rsid w:val="00B312D6"/>
    <w:rsid w:val="00B3190E"/>
    <w:rsid w:val="00B32118"/>
    <w:rsid w:val="00B32AC6"/>
    <w:rsid w:val="00B3422B"/>
    <w:rsid w:val="00B3614C"/>
    <w:rsid w:val="00B36ACF"/>
    <w:rsid w:val="00B402DD"/>
    <w:rsid w:val="00B40D07"/>
    <w:rsid w:val="00B4190E"/>
    <w:rsid w:val="00B42E1F"/>
    <w:rsid w:val="00B43C34"/>
    <w:rsid w:val="00B4402E"/>
    <w:rsid w:val="00B44255"/>
    <w:rsid w:val="00B444F2"/>
    <w:rsid w:val="00B463CF"/>
    <w:rsid w:val="00B4674A"/>
    <w:rsid w:val="00B4679D"/>
    <w:rsid w:val="00B46A74"/>
    <w:rsid w:val="00B50567"/>
    <w:rsid w:val="00B524E9"/>
    <w:rsid w:val="00B531F2"/>
    <w:rsid w:val="00B615F9"/>
    <w:rsid w:val="00B61ECA"/>
    <w:rsid w:val="00B622BA"/>
    <w:rsid w:val="00B63672"/>
    <w:rsid w:val="00B66696"/>
    <w:rsid w:val="00B679E5"/>
    <w:rsid w:val="00B71060"/>
    <w:rsid w:val="00B7115D"/>
    <w:rsid w:val="00B7149B"/>
    <w:rsid w:val="00B71E60"/>
    <w:rsid w:val="00B72D9B"/>
    <w:rsid w:val="00B74567"/>
    <w:rsid w:val="00B771C1"/>
    <w:rsid w:val="00B81BC3"/>
    <w:rsid w:val="00B8282E"/>
    <w:rsid w:val="00B8345E"/>
    <w:rsid w:val="00B84F16"/>
    <w:rsid w:val="00B867F0"/>
    <w:rsid w:val="00B86D87"/>
    <w:rsid w:val="00B8706C"/>
    <w:rsid w:val="00B8710B"/>
    <w:rsid w:val="00B87610"/>
    <w:rsid w:val="00B906B1"/>
    <w:rsid w:val="00B90C27"/>
    <w:rsid w:val="00B91CC3"/>
    <w:rsid w:val="00B937C4"/>
    <w:rsid w:val="00B93F0A"/>
    <w:rsid w:val="00B94B38"/>
    <w:rsid w:val="00B94CC2"/>
    <w:rsid w:val="00B950E2"/>
    <w:rsid w:val="00B954DD"/>
    <w:rsid w:val="00B97838"/>
    <w:rsid w:val="00BA059C"/>
    <w:rsid w:val="00BA0F0E"/>
    <w:rsid w:val="00BA131F"/>
    <w:rsid w:val="00BA31B6"/>
    <w:rsid w:val="00BA3DDE"/>
    <w:rsid w:val="00BA42DF"/>
    <w:rsid w:val="00BA4A58"/>
    <w:rsid w:val="00BA4C7E"/>
    <w:rsid w:val="00BA53BC"/>
    <w:rsid w:val="00BA66CD"/>
    <w:rsid w:val="00BA7291"/>
    <w:rsid w:val="00BB1E96"/>
    <w:rsid w:val="00BB2340"/>
    <w:rsid w:val="00BB45D8"/>
    <w:rsid w:val="00BB7568"/>
    <w:rsid w:val="00BB764C"/>
    <w:rsid w:val="00BC0C65"/>
    <w:rsid w:val="00BC2C6C"/>
    <w:rsid w:val="00BC5DF0"/>
    <w:rsid w:val="00BC676C"/>
    <w:rsid w:val="00BC7D22"/>
    <w:rsid w:val="00BD126C"/>
    <w:rsid w:val="00BD2ADB"/>
    <w:rsid w:val="00BD34F0"/>
    <w:rsid w:val="00BD36AC"/>
    <w:rsid w:val="00BD3ABD"/>
    <w:rsid w:val="00BD3D56"/>
    <w:rsid w:val="00BD425A"/>
    <w:rsid w:val="00BD46C9"/>
    <w:rsid w:val="00BE013F"/>
    <w:rsid w:val="00BE1396"/>
    <w:rsid w:val="00BE4B2A"/>
    <w:rsid w:val="00BE58C2"/>
    <w:rsid w:val="00BF235B"/>
    <w:rsid w:val="00BF4ACE"/>
    <w:rsid w:val="00BF4D12"/>
    <w:rsid w:val="00BF4D38"/>
    <w:rsid w:val="00BF502E"/>
    <w:rsid w:val="00BF6289"/>
    <w:rsid w:val="00BF69C3"/>
    <w:rsid w:val="00BF7AE8"/>
    <w:rsid w:val="00C035E0"/>
    <w:rsid w:val="00C0387D"/>
    <w:rsid w:val="00C04253"/>
    <w:rsid w:val="00C05746"/>
    <w:rsid w:val="00C064AE"/>
    <w:rsid w:val="00C10B67"/>
    <w:rsid w:val="00C1158B"/>
    <w:rsid w:val="00C1214A"/>
    <w:rsid w:val="00C12383"/>
    <w:rsid w:val="00C12EFF"/>
    <w:rsid w:val="00C13164"/>
    <w:rsid w:val="00C14E75"/>
    <w:rsid w:val="00C15D5F"/>
    <w:rsid w:val="00C162B9"/>
    <w:rsid w:val="00C21366"/>
    <w:rsid w:val="00C226E2"/>
    <w:rsid w:val="00C22C0E"/>
    <w:rsid w:val="00C23625"/>
    <w:rsid w:val="00C26350"/>
    <w:rsid w:val="00C2665D"/>
    <w:rsid w:val="00C26875"/>
    <w:rsid w:val="00C318F2"/>
    <w:rsid w:val="00C31E95"/>
    <w:rsid w:val="00C33008"/>
    <w:rsid w:val="00C33418"/>
    <w:rsid w:val="00C346BA"/>
    <w:rsid w:val="00C369E0"/>
    <w:rsid w:val="00C36D99"/>
    <w:rsid w:val="00C408CD"/>
    <w:rsid w:val="00C432A4"/>
    <w:rsid w:val="00C43571"/>
    <w:rsid w:val="00C46196"/>
    <w:rsid w:val="00C47590"/>
    <w:rsid w:val="00C47F04"/>
    <w:rsid w:val="00C50A4E"/>
    <w:rsid w:val="00C5255E"/>
    <w:rsid w:val="00C532F7"/>
    <w:rsid w:val="00C53F2D"/>
    <w:rsid w:val="00C568D7"/>
    <w:rsid w:val="00C57200"/>
    <w:rsid w:val="00C60EA0"/>
    <w:rsid w:val="00C62EEB"/>
    <w:rsid w:val="00C652F9"/>
    <w:rsid w:val="00C65740"/>
    <w:rsid w:val="00C659E9"/>
    <w:rsid w:val="00C70E41"/>
    <w:rsid w:val="00C7109A"/>
    <w:rsid w:val="00C7198D"/>
    <w:rsid w:val="00C728AB"/>
    <w:rsid w:val="00C73254"/>
    <w:rsid w:val="00C73E01"/>
    <w:rsid w:val="00C740D6"/>
    <w:rsid w:val="00C80D0C"/>
    <w:rsid w:val="00C81C8F"/>
    <w:rsid w:val="00C83964"/>
    <w:rsid w:val="00C83AD3"/>
    <w:rsid w:val="00C861F6"/>
    <w:rsid w:val="00C86D9E"/>
    <w:rsid w:val="00C90BEB"/>
    <w:rsid w:val="00C9166E"/>
    <w:rsid w:val="00C91A1A"/>
    <w:rsid w:val="00C93B7C"/>
    <w:rsid w:val="00C95FB2"/>
    <w:rsid w:val="00C971BF"/>
    <w:rsid w:val="00C978A7"/>
    <w:rsid w:val="00CA21B2"/>
    <w:rsid w:val="00CA47B0"/>
    <w:rsid w:val="00CA6457"/>
    <w:rsid w:val="00CB0C3D"/>
    <w:rsid w:val="00CB15DE"/>
    <w:rsid w:val="00CB23F9"/>
    <w:rsid w:val="00CB4E00"/>
    <w:rsid w:val="00CB709C"/>
    <w:rsid w:val="00CB75AA"/>
    <w:rsid w:val="00CB7B5A"/>
    <w:rsid w:val="00CC02A8"/>
    <w:rsid w:val="00CC1441"/>
    <w:rsid w:val="00CC28EB"/>
    <w:rsid w:val="00CC370C"/>
    <w:rsid w:val="00CC48BE"/>
    <w:rsid w:val="00CC5D7A"/>
    <w:rsid w:val="00CC620F"/>
    <w:rsid w:val="00CC6538"/>
    <w:rsid w:val="00CC7520"/>
    <w:rsid w:val="00CC7F56"/>
    <w:rsid w:val="00CC7F9A"/>
    <w:rsid w:val="00CD1B90"/>
    <w:rsid w:val="00CD218F"/>
    <w:rsid w:val="00CD356C"/>
    <w:rsid w:val="00CD6133"/>
    <w:rsid w:val="00CD635A"/>
    <w:rsid w:val="00CD6892"/>
    <w:rsid w:val="00CD71FD"/>
    <w:rsid w:val="00CE1FDD"/>
    <w:rsid w:val="00CE2DFB"/>
    <w:rsid w:val="00CE341B"/>
    <w:rsid w:val="00CE3CDF"/>
    <w:rsid w:val="00CE42BC"/>
    <w:rsid w:val="00CE7583"/>
    <w:rsid w:val="00CF381E"/>
    <w:rsid w:val="00CF3D8C"/>
    <w:rsid w:val="00CF49B9"/>
    <w:rsid w:val="00CF4C94"/>
    <w:rsid w:val="00CF6C02"/>
    <w:rsid w:val="00CF7690"/>
    <w:rsid w:val="00CF7DD0"/>
    <w:rsid w:val="00D019A2"/>
    <w:rsid w:val="00D021AC"/>
    <w:rsid w:val="00D0320E"/>
    <w:rsid w:val="00D03F9F"/>
    <w:rsid w:val="00D07B30"/>
    <w:rsid w:val="00D10733"/>
    <w:rsid w:val="00D13DF1"/>
    <w:rsid w:val="00D1411A"/>
    <w:rsid w:val="00D141AC"/>
    <w:rsid w:val="00D144C9"/>
    <w:rsid w:val="00D149AD"/>
    <w:rsid w:val="00D152E4"/>
    <w:rsid w:val="00D17E36"/>
    <w:rsid w:val="00D2003A"/>
    <w:rsid w:val="00D20D84"/>
    <w:rsid w:val="00D22B42"/>
    <w:rsid w:val="00D22DAB"/>
    <w:rsid w:val="00D231D2"/>
    <w:rsid w:val="00D2465C"/>
    <w:rsid w:val="00D25700"/>
    <w:rsid w:val="00D2604A"/>
    <w:rsid w:val="00D27C05"/>
    <w:rsid w:val="00D31671"/>
    <w:rsid w:val="00D31682"/>
    <w:rsid w:val="00D3285C"/>
    <w:rsid w:val="00D32FFE"/>
    <w:rsid w:val="00D3430E"/>
    <w:rsid w:val="00D350F3"/>
    <w:rsid w:val="00D3530E"/>
    <w:rsid w:val="00D354CC"/>
    <w:rsid w:val="00D366A1"/>
    <w:rsid w:val="00D402D1"/>
    <w:rsid w:val="00D40D1B"/>
    <w:rsid w:val="00D43A36"/>
    <w:rsid w:val="00D45ADD"/>
    <w:rsid w:val="00D45B56"/>
    <w:rsid w:val="00D460FD"/>
    <w:rsid w:val="00D477AB"/>
    <w:rsid w:val="00D47D12"/>
    <w:rsid w:val="00D51F97"/>
    <w:rsid w:val="00D537CD"/>
    <w:rsid w:val="00D53E67"/>
    <w:rsid w:val="00D543CA"/>
    <w:rsid w:val="00D60208"/>
    <w:rsid w:val="00D60A86"/>
    <w:rsid w:val="00D60EB3"/>
    <w:rsid w:val="00D61A17"/>
    <w:rsid w:val="00D62047"/>
    <w:rsid w:val="00D6220B"/>
    <w:rsid w:val="00D64A22"/>
    <w:rsid w:val="00D660DC"/>
    <w:rsid w:val="00D66330"/>
    <w:rsid w:val="00D668D9"/>
    <w:rsid w:val="00D675BD"/>
    <w:rsid w:val="00D67BBF"/>
    <w:rsid w:val="00D722C9"/>
    <w:rsid w:val="00D724C0"/>
    <w:rsid w:val="00D73001"/>
    <w:rsid w:val="00D735DA"/>
    <w:rsid w:val="00D73E8A"/>
    <w:rsid w:val="00D76A8E"/>
    <w:rsid w:val="00D76E22"/>
    <w:rsid w:val="00D7716D"/>
    <w:rsid w:val="00D80959"/>
    <w:rsid w:val="00D811F7"/>
    <w:rsid w:val="00D81B72"/>
    <w:rsid w:val="00D82A00"/>
    <w:rsid w:val="00D832C4"/>
    <w:rsid w:val="00D841EF"/>
    <w:rsid w:val="00D844CF"/>
    <w:rsid w:val="00D8773B"/>
    <w:rsid w:val="00D91371"/>
    <w:rsid w:val="00D918BB"/>
    <w:rsid w:val="00D93F42"/>
    <w:rsid w:val="00D949CE"/>
    <w:rsid w:val="00D9523C"/>
    <w:rsid w:val="00D95E9D"/>
    <w:rsid w:val="00D960AB"/>
    <w:rsid w:val="00D96434"/>
    <w:rsid w:val="00D96706"/>
    <w:rsid w:val="00D970CF"/>
    <w:rsid w:val="00D97569"/>
    <w:rsid w:val="00DA0673"/>
    <w:rsid w:val="00DA1592"/>
    <w:rsid w:val="00DB0EF2"/>
    <w:rsid w:val="00DB18F7"/>
    <w:rsid w:val="00DB26C8"/>
    <w:rsid w:val="00DB2F03"/>
    <w:rsid w:val="00DB410A"/>
    <w:rsid w:val="00DB4E83"/>
    <w:rsid w:val="00DB504D"/>
    <w:rsid w:val="00DB5FE0"/>
    <w:rsid w:val="00DB691F"/>
    <w:rsid w:val="00DB70B4"/>
    <w:rsid w:val="00DC18CD"/>
    <w:rsid w:val="00DC2FFF"/>
    <w:rsid w:val="00DC3282"/>
    <w:rsid w:val="00DC33F7"/>
    <w:rsid w:val="00DC3C6A"/>
    <w:rsid w:val="00DC3FD8"/>
    <w:rsid w:val="00DC4232"/>
    <w:rsid w:val="00DD223B"/>
    <w:rsid w:val="00DD25B7"/>
    <w:rsid w:val="00DD2617"/>
    <w:rsid w:val="00DD3063"/>
    <w:rsid w:val="00DE14CC"/>
    <w:rsid w:val="00DE16BD"/>
    <w:rsid w:val="00DE1AF6"/>
    <w:rsid w:val="00DE2472"/>
    <w:rsid w:val="00DE2829"/>
    <w:rsid w:val="00DE2F10"/>
    <w:rsid w:val="00DE30C1"/>
    <w:rsid w:val="00DE3B3D"/>
    <w:rsid w:val="00DE4094"/>
    <w:rsid w:val="00DE591E"/>
    <w:rsid w:val="00DE68E3"/>
    <w:rsid w:val="00DE7776"/>
    <w:rsid w:val="00DF053D"/>
    <w:rsid w:val="00DF0558"/>
    <w:rsid w:val="00DF2813"/>
    <w:rsid w:val="00DF2CEE"/>
    <w:rsid w:val="00DF343B"/>
    <w:rsid w:val="00DF3A7F"/>
    <w:rsid w:val="00DF4236"/>
    <w:rsid w:val="00DF5770"/>
    <w:rsid w:val="00DF63F0"/>
    <w:rsid w:val="00DF7384"/>
    <w:rsid w:val="00E00152"/>
    <w:rsid w:val="00E002D9"/>
    <w:rsid w:val="00E022F6"/>
    <w:rsid w:val="00E025A5"/>
    <w:rsid w:val="00E04509"/>
    <w:rsid w:val="00E06B55"/>
    <w:rsid w:val="00E1157E"/>
    <w:rsid w:val="00E12C4B"/>
    <w:rsid w:val="00E15683"/>
    <w:rsid w:val="00E1658B"/>
    <w:rsid w:val="00E1754B"/>
    <w:rsid w:val="00E20331"/>
    <w:rsid w:val="00E20F06"/>
    <w:rsid w:val="00E2338D"/>
    <w:rsid w:val="00E23420"/>
    <w:rsid w:val="00E238BA"/>
    <w:rsid w:val="00E238C5"/>
    <w:rsid w:val="00E2476F"/>
    <w:rsid w:val="00E24AC1"/>
    <w:rsid w:val="00E24E60"/>
    <w:rsid w:val="00E255FA"/>
    <w:rsid w:val="00E25890"/>
    <w:rsid w:val="00E25D0B"/>
    <w:rsid w:val="00E260F1"/>
    <w:rsid w:val="00E26791"/>
    <w:rsid w:val="00E26C7D"/>
    <w:rsid w:val="00E26E79"/>
    <w:rsid w:val="00E352BD"/>
    <w:rsid w:val="00E35563"/>
    <w:rsid w:val="00E371B1"/>
    <w:rsid w:val="00E40983"/>
    <w:rsid w:val="00E40EC5"/>
    <w:rsid w:val="00E41D2E"/>
    <w:rsid w:val="00E436D6"/>
    <w:rsid w:val="00E43DD0"/>
    <w:rsid w:val="00E44021"/>
    <w:rsid w:val="00E51DC4"/>
    <w:rsid w:val="00E523B3"/>
    <w:rsid w:val="00E53185"/>
    <w:rsid w:val="00E562F2"/>
    <w:rsid w:val="00E5717C"/>
    <w:rsid w:val="00E608A9"/>
    <w:rsid w:val="00E60CAB"/>
    <w:rsid w:val="00E62D6B"/>
    <w:rsid w:val="00E6492D"/>
    <w:rsid w:val="00E6565B"/>
    <w:rsid w:val="00E67E4D"/>
    <w:rsid w:val="00E7021A"/>
    <w:rsid w:val="00E70E90"/>
    <w:rsid w:val="00E71918"/>
    <w:rsid w:val="00E728E2"/>
    <w:rsid w:val="00E74541"/>
    <w:rsid w:val="00E74733"/>
    <w:rsid w:val="00E758F5"/>
    <w:rsid w:val="00E76590"/>
    <w:rsid w:val="00E76A60"/>
    <w:rsid w:val="00E81034"/>
    <w:rsid w:val="00E81269"/>
    <w:rsid w:val="00E81416"/>
    <w:rsid w:val="00E84F08"/>
    <w:rsid w:val="00E865B7"/>
    <w:rsid w:val="00E86DBB"/>
    <w:rsid w:val="00E91736"/>
    <w:rsid w:val="00E93CA8"/>
    <w:rsid w:val="00E95213"/>
    <w:rsid w:val="00E96667"/>
    <w:rsid w:val="00E97A45"/>
    <w:rsid w:val="00EA0C10"/>
    <w:rsid w:val="00EA1194"/>
    <w:rsid w:val="00EA23D0"/>
    <w:rsid w:val="00EA31B0"/>
    <w:rsid w:val="00EA375B"/>
    <w:rsid w:val="00EA3962"/>
    <w:rsid w:val="00EA5E82"/>
    <w:rsid w:val="00EA6DDC"/>
    <w:rsid w:val="00EB4FB0"/>
    <w:rsid w:val="00EB6983"/>
    <w:rsid w:val="00EC154F"/>
    <w:rsid w:val="00EC474E"/>
    <w:rsid w:val="00EC4841"/>
    <w:rsid w:val="00EC5617"/>
    <w:rsid w:val="00EC5E77"/>
    <w:rsid w:val="00EC70DC"/>
    <w:rsid w:val="00ED18F7"/>
    <w:rsid w:val="00ED1D35"/>
    <w:rsid w:val="00ED21A2"/>
    <w:rsid w:val="00ED2813"/>
    <w:rsid w:val="00ED3E91"/>
    <w:rsid w:val="00EE38B1"/>
    <w:rsid w:val="00EE401F"/>
    <w:rsid w:val="00EE464F"/>
    <w:rsid w:val="00EE5255"/>
    <w:rsid w:val="00EE5330"/>
    <w:rsid w:val="00EE574B"/>
    <w:rsid w:val="00EE753C"/>
    <w:rsid w:val="00EF0195"/>
    <w:rsid w:val="00EF09F7"/>
    <w:rsid w:val="00EF2215"/>
    <w:rsid w:val="00EF29C1"/>
    <w:rsid w:val="00EF317D"/>
    <w:rsid w:val="00EF4507"/>
    <w:rsid w:val="00EF63A9"/>
    <w:rsid w:val="00EF706B"/>
    <w:rsid w:val="00EF7AE0"/>
    <w:rsid w:val="00EF7B7B"/>
    <w:rsid w:val="00F0058C"/>
    <w:rsid w:val="00F01C74"/>
    <w:rsid w:val="00F040A7"/>
    <w:rsid w:val="00F05738"/>
    <w:rsid w:val="00F06518"/>
    <w:rsid w:val="00F07773"/>
    <w:rsid w:val="00F078D8"/>
    <w:rsid w:val="00F1205A"/>
    <w:rsid w:val="00F137B6"/>
    <w:rsid w:val="00F14CE1"/>
    <w:rsid w:val="00F16BE2"/>
    <w:rsid w:val="00F20893"/>
    <w:rsid w:val="00F21211"/>
    <w:rsid w:val="00F2123F"/>
    <w:rsid w:val="00F21E4F"/>
    <w:rsid w:val="00F22431"/>
    <w:rsid w:val="00F22F4D"/>
    <w:rsid w:val="00F233F7"/>
    <w:rsid w:val="00F235B1"/>
    <w:rsid w:val="00F24DCC"/>
    <w:rsid w:val="00F24FC6"/>
    <w:rsid w:val="00F26270"/>
    <w:rsid w:val="00F26296"/>
    <w:rsid w:val="00F267BD"/>
    <w:rsid w:val="00F2776B"/>
    <w:rsid w:val="00F27C1D"/>
    <w:rsid w:val="00F3091B"/>
    <w:rsid w:val="00F30A30"/>
    <w:rsid w:val="00F336B1"/>
    <w:rsid w:val="00F33A33"/>
    <w:rsid w:val="00F34151"/>
    <w:rsid w:val="00F346F4"/>
    <w:rsid w:val="00F355CF"/>
    <w:rsid w:val="00F35B90"/>
    <w:rsid w:val="00F362D0"/>
    <w:rsid w:val="00F3636A"/>
    <w:rsid w:val="00F36723"/>
    <w:rsid w:val="00F40BFD"/>
    <w:rsid w:val="00F40CDF"/>
    <w:rsid w:val="00F41D24"/>
    <w:rsid w:val="00F4285F"/>
    <w:rsid w:val="00F42BF5"/>
    <w:rsid w:val="00F42C44"/>
    <w:rsid w:val="00F44E2E"/>
    <w:rsid w:val="00F45660"/>
    <w:rsid w:val="00F45B43"/>
    <w:rsid w:val="00F47712"/>
    <w:rsid w:val="00F51E7C"/>
    <w:rsid w:val="00F54900"/>
    <w:rsid w:val="00F555AD"/>
    <w:rsid w:val="00F57427"/>
    <w:rsid w:val="00F62A0F"/>
    <w:rsid w:val="00F62FEB"/>
    <w:rsid w:val="00F63425"/>
    <w:rsid w:val="00F64EDB"/>
    <w:rsid w:val="00F6680B"/>
    <w:rsid w:val="00F67DAF"/>
    <w:rsid w:val="00F70302"/>
    <w:rsid w:val="00F7314B"/>
    <w:rsid w:val="00F73500"/>
    <w:rsid w:val="00F75195"/>
    <w:rsid w:val="00F75343"/>
    <w:rsid w:val="00F75509"/>
    <w:rsid w:val="00F761BE"/>
    <w:rsid w:val="00F77C4D"/>
    <w:rsid w:val="00F80F44"/>
    <w:rsid w:val="00F81851"/>
    <w:rsid w:val="00F81B18"/>
    <w:rsid w:val="00F83658"/>
    <w:rsid w:val="00F83E2C"/>
    <w:rsid w:val="00F84EA4"/>
    <w:rsid w:val="00F84EB6"/>
    <w:rsid w:val="00F8528B"/>
    <w:rsid w:val="00F85A45"/>
    <w:rsid w:val="00F866DE"/>
    <w:rsid w:val="00F8696C"/>
    <w:rsid w:val="00F9161B"/>
    <w:rsid w:val="00F94F0C"/>
    <w:rsid w:val="00F95891"/>
    <w:rsid w:val="00F97AD3"/>
    <w:rsid w:val="00F97B5C"/>
    <w:rsid w:val="00F97BF0"/>
    <w:rsid w:val="00FA14A8"/>
    <w:rsid w:val="00FA214E"/>
    <w:rsid w:val="00FA2D24"/>
    <w:rsid w:val="00FA3025"/>
    <w:rsid w:val="00FA3D0B"/>
    <w:rsid w:val="00FA6578"/>
    <w:rsid w:val="00FA7DDA"/>
    <w:rsid w:val="00FB2623"/>
    <w:rsid w:val="00FB29AF"/>
    <w:rsid w:val="00FB3DB4"/>
    <w:rsid w:val="00FB4E40"/>
    <w:rsid w:val="00FB512D"/>
    <w:rsid w:val="00FB60BB"/>
    <w:rsid w:val="00FB7626"/>
    <w:rsid w:val="00FC0112"/>
    <w:rsid w:val="00FC1963"/>
    <w:rsid w:val="00FC1992"/>
    <w:rsid w:val="00FC2F83"/>
    <w:rsid w:val="00FC3D5D"/>
    <w:rsid w:val="00FC50AB"/>
    <w:rsid w:val="00FC5131"/>
    <w:rsid w:val="00FC51F0"/>
    <w:rsid w:val="00FC56C9"/>
    <w:rsid w:val="00FC5EB2"/>
    <w:rsid w:val="00FC6021"/>
    <w:rsid w:val="00FC6DB1"/>
    <w:rsid w:val="00FC742F"/>
    <w:rsid w:val="00FD0CE8"/>
    <w:rsid w:val="00FD18B3"/>
    <w:rsid w:val="00FD1A4D"/>
    <w:rsid w:val="00FD23D5"/>
    <w:rsid w:val="00FD2DFA"/>
    <w:rsid w:val="00FD30D9"/>
    <w:rsid w:val="00FD4C01"/>
    <w:rsid w:val="00FD51A8"/>
    <w:rsid w:val="00FD6BDE"/>
    <w:rsid w:val="00FD7F75"/>
    <w:rsid w:val="00FE03C9"/>
    <w:rsid w:val="00FE11C3"/>
    <w:rsid w:val="00FE2BEF"/>
    <w:rsid w:val="00FE2E07"/>
    <w:rsid w:val="00FE3BA2"/>
    <w:rsid w:val="00FE55A1"/>
    <w:rsid w:val="00FE64B5"/>
    <w:rsid w:val="00FF15EA"/>
    <w:rsid w:val="00FF2B8E"/>
    <w:rsid w:val="00FF3FC9"/>
    <w:rsid w:val="00FF6E93"/>
    <w:rsid w:val="00FF7F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BF9C39"/>
  <w15:chartTrackingRefBased/>
  <w15:docId w15:val="{4B9A688D-75BE-4546-95CD-335104A5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91C"/>
    <w:pPr>
      <w:spacing w:line="360" w:lineRule="auto"/>
      <w:ind w:firstLine="562"/>
      <w:jc w:val="both"/>
    </w:pPr>
    <w:rPr>
      <w:sz w:val="24"/>
      <w:lang w:val="en-GB"/>
    </w:rPr>
  </w:style>
  <w:style w:type="paragraph" w:styleId="Heading1">
    <w:name w:val="heading 1"/>
    <w:next w:val="Normal"/>
    <w:autoRedefine/>
    <w:qFormat/>
    <w:rsid w:val="000710E6"/>
    <w:pPr>
      <w:keepNext/>
      <w:tabs>
        <w:tab w:val="left" w:pos="567"/>
      </w:tabs>
      <w:spacing w:before="240" w:after="240" w:line="276" w:lineRule="auto"/>
      <w:jc w:val="both"/>
      <w:outlineLvl w:val="0"/>
    </w:pPr>
    <w:rPr>
      <w:rFonts w:ascii="Arial" w:hAnsi="Arial" w:cs="Arial"/>
      <w:b/>
      <w:noProof/>
      <w:sz w:val="22"/>
      <w:szCs w:val="22"/>
      <w:lang w:val="en-US"/>
    </w:rPr>
  </w:style>
  <w:style w:type="paragraph" w:styleId="Heading2">
    <w:name w:val="heading 2"/>
    <w:basedOn w:val="Normal"/>
    <w:next w:val="Normal"/>
    <w:autoRedefine/>
    <w:qFormat/>
    <w:rsid w:val="000710E6"/>
    <w:pPr>
      <w:keepNext/>
      <w:numPr>
        <w:numId w:val="27"/>
      </w:numPr>
      <w:tabs>
        <w:tab w:val="left" w:pos="567"/>
      </w:tabs>
      <w:spacing w:before="120" w:after="120"/>
      <w:ind w:left="284"/>
      <w:outlineLvl w:val="1"/>
    </w:pPr>
    <w:rPr>
      <w:rFonts w:ascii="Arial" w:hAnsi="Arial" w:cs="Arial"/>
      <w:b/>
      <w:iCs/>
      <w:szCs w:val="24"/>
      <w:lang w:val="en-US"/>
    </w:rPr>
  </w:style>
  <w:style w:type="paragraph" w:styleId="Heading3">
    <w:name w:val="heading 3"/>
    <w:basedOn w:val="Normal"/>
    <w:next w:val="Normal"/>
    <w:qFormat/>
    <w:rsid w:val="00C80D0C"/>
    <w:pPr>
      <w:keepNext/>
      <w:numPr>
        <w:ilvl w:val="2"/>
        <w:numId w:val="26"/>
      </w:numPr>
      <w:spacing w:before="120" w:after="120"/>
      <w:outlineLvl w:val="2"/>
    </w:pPr>
    <w:rPr>
      <w:b/>
    </w:rPr>
  </w:style>
  <w:style w:type="paragraph" w:styleId="Heading4">
    <w:name w:val="heading 4"/>
    <w:basedOn w:val="Normal"/>
    <w:next w:val="Normal"/>
    <w:qFormat/>
    <w:pPr>
      <w:keepNext/>
      <w:numPr>
        <w:ilvl w:val="3"/>
        <w:numId w:val="26"/>
      </w:numPr>
      <w:spacing w:before="240" w:after="60"/>
      <w:outlineLvl w:val="3"/>
    </w:pPr>
    <w:rPr>
      <w:rFonts w:ascii="Arial" w:hAnsi="Arial"/>
      <w:b/>
    </w:rPr>
  </w:style>
  <w:style w:type="paragraph" w:styleId="Heading5">
    <w:name w:val="heading 5"/>
    <w:basedOn w:val="Normal"/>
    <w:next w:val="Normal"/>
    <w:qFormat/>
    <w:pPr>
      <w:numPr>
        <w:ilvl w:val="4"/>
        <w:numId w:val="26"/>
      </w:numPr>
      <w:spacing w:before="240" w:after="60"/>
      <w:outlineLvl w:val="4"/>
    </w:pPr>
    <w:rPr>
      <w:sz w:val="22"/>
    </w:rPr>
  </w:style>
  <w:style w:type="paragraph" w:styleId="Heading6">
    <w:name w:val="heading 6"/>
    <w:basedOn w:val="Normal"/>
    <w:next w:val="Normal"/>
    <w:qFormat/>
    <w:pPr>
      <w:numPr>
        <w:ilvl w:val="5"/>
        <w:numId w:val="26"/>
      </w:numPr>
      <w:spacing w:before="240" w:after="60"/>
      <w:outlineLvl w:val="5"/>
    </w:pPr>
    <w:rPr>
      <w:i/>
      <w:sz w:val="22"/>
    </w:rPr>
  </w:style>
  <w:style w:type="paragraph" w:styleId="Heading7">
    <w:name w:val="heading 7"/>
    <w:basedOn w:val="Normal"/>
    <w:next w:val="Normal"/>
    <w:qFormat/>
    <w:pPr>
      <w:numPr>
        <w:ilvl w:val="6"/>
        <w:numId w:val="26"/>
      </w:numPr>
      <w:spacing w:before="240" w:after="60"/>
      <w:outlineLvl w:val="6"/>
    </w:pPr>
    <w:rPr>
      <w:rFonts w:ascii="Arial" w:hAnsi="Arial"/>
      <w:sz w:val="20"/>
    </w:rPr>
  </w:style>
  <w:style w:type="paragraph" w:styleId="Heading8">
    <w:name w:val="heading 8"/>
    <w:basedOn w:val="Normal"/>
    <w:next w:val="Normal"/>
    <w:qFormat/>
    <w:pPr>
      <w:numPr>
        <w:ilvl w:val="7"/>
        <w:numId w:val="26"/>
      </w:numPr>
      <w:spacing w:before="240" w:after="60"/>
      <w:outlineLvl w:val="7"/>
    </w:pPr>
    <w:rPr>
      <w:rFonts w:ascii="Arial" w:hAnsi="Arial"/>
      <w:i/>
      <w:sz w:val="20"/>
    </w:rPr>
  </w:style>
  <w:style w:type="paragraph" w:styleId="Heading9">
    <w:name w:val="heading 9"/>
    <w:basedOn w:val="Normal"/>
    <w:next w:val="Normal"/>
    <w:qFormat/>
    <w:pPr>
      <w:numPr>
        <w:ilvl w:val="8"/>
        <w:numId w:val="2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rPr>
  </w:style>
  <w:style w:type="paragraph" w:customStyle="1" w:styleId="Authorname">
    <w:name w:val="Author name"/>
    <w:pPr>
      <w:spacing w:before="240"/>
      <w:jc w:val="center"/>
    </w:pPr>
    <w:rPr>
      <w:b/>
      <w:sz w:val="24"/>
      <w:lang w:val="en-US"/>
    </w:rPr>
  </w:style>
  <w:style w:type="paragraph" w:customStyle="1" w:styleId="AuthorAffilliation">
    <w:name w:val="Author Affilliation"/>
    <w:pPr>
      <w:jc w:val="center"/>
    </w:pPr>
    <w:rPr>
      <w:noProof/>
      <w:sz w:val="24"/>
      <w:lang w:val="en-US"/>
    </w:rPr>
  </w:style>
  <w:style w:type="paragraph" w:customStyle="1" w:styleId="HeaderAbs">
    <w:name w:val="Header (Abs."/>
    <w:aliases w:val="Ref.,Ack.)"/>
    <w:basedOn w:val="Heading1"/>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styleId="Emphasis">
    <w:name w:val="Emphasis"/>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link w:val="CommentText"/>
    <w:semiHidden/>
    <w:rsid w:val="008D04CE"/>
    <w:rPr>
      <w:lang w:val="en-GB"/>
    </w:rPr>
  </w:style>
  <w:style w:type="character" w:customStyle="1" w:styleId="CommentSubjectChar">
    <w:name w:val="Comment Subject Char"/>
    <w:link w:val="CommentSubject"/>
    <w:rsid w:val="008D04CE"/>
    <w:rPr>
      <w:lang w:val="en-GB"/>
    </w:rPr>
  </w:style>
  <w:style w:type="character" w:customStyle="1" w:styleId="HeaderChar">
    <w:name w:val="Header Char"/>
    <w:link w:val="Header"/>
    <w:rsid w:val="005339C3"/>
    <w:rPr>
      <w:sz w:val="18"/>
      <w:lang w:val="en-US" w:eastAsia="en-US"/>
    </w:rPr>
  </w:style>
  <w:style w:type="character" w:customStyle="1" w:styleId="FooterChar">
    <w:name w:val="Footer Char"/>
    <w:link w:val="Footer"/>
    <w:uiPriority w:val="99"/>
    <w:rsid w:val="005339C3"/>
    <w:rPr>
      <w:sz w:val="18"/>
      <w:lang w:val="en-US" w:eastAsia="en-US"/>
    </w:rPr>
  </w:style>
  <w:style w:type="character" w:styleId="Strong">
    <w:name w:val="Strong"/>
    <w:basedOn w:val="DefaultParagraphFont"/>
    <w:uiPriority w:val="22"/>
    <w:qFormat/>
    <w:rsid w:val="00E53185"/>
    <w:rPr>
      <w:b/>
      <w:bCs/>
    </w:rPr>
  </w:style>
  <w:style w:type="character" w:customStyle="1" w:styleId="mord">
    <w:name w:val="mord"/>
    <w:basedOn w:val="DefaultParagraphFont"/>
    <w:rsid w:val="00E53185"/>
  </w:style>
  <w:style w:type="character" w:customStyle="1" w:styleId="mrel">
    <w:name w:val="mrel"/>
    <w:basedOn w:val="DefaultParagraphFont"/>
    <w:rsid w:val="00E53185"/>
  </w:style>
  <w:style w:type="character" w:customStyle="1" w:styleId="mbin">
    <w:name w:val="mbin"/>
    <w:basedOn w:val="DefaultParagraphFont"/>
    <w:rsid w:val="00E53185"/>
  </w:style>
  <w:style w:type="character" w:customStyle="1" w:styleId="mpunct">
    <w:name w:val="mpunct"/>
    <w:basedOn w:val="DefaultParagraphFont"/>
    <w:rsid w:val="00E53185"/>
  </w:style>
  <w:style w:type="character" w:customStyle="1" w:styleId="vlist-s">
    <w:name w:val="vlist-s"/>
    <w:basedOn w:val="DefaultParagraphFont"/>
    <w:rsid w:val="00E53185"/>
  </w:style>
  <w:style w:type="character" w:styleId="PlaceholderText">
    <w:name w:val="Placeholder Text"/>
    <w:basedOn w:val="DefaultParagraphFont"/>
    <w:uiPriority w:val="99"/>
    <w:semiHidden/>
    <w:rsid w:val="00E53185"/>
    <w:rPr>
      <w:color w:val="808080"/>
    </w:rPr>
  </w:style>
  <w:style w:type="table" w:customStyle="1" w:styleId="TableGrid1">
    <w:name w:val="Table Grid1"/>
    <w:basedOn w:val="TableNormal"/>
    <w:next w:val="TableGrid"/>
    <w:uiPriority w:val="39"/>
    <w:rsid w:val="00A91535"/>
    <w:rPr>
      <w:rFonts w:ascii="Calibri" w:eastAsia="Calibri" w:hAnsi="Calibri" w:cs="Mangal"/>
      <w:sz w:val="22"/>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1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A51"/>
    <w:pPr>
      <w:spacing w:after="160" w:line="259" w:lineRule="auto"/>
      <w:ind w:left="720" w:firstLine="0"/>
      <w:contextualSpacing/>
      <w:jc w:val="left"/>
    </w:pPr>
    <w:rPr>
      <w:rFonts w:asciiTheme="minorHAnsi" w:eastAsiaTheme="minorHAnsi" w:hAnsiTheme="minorHAnsi" w:cstheme="minorBidi"/>
      <w:sz w:val="22"/>
      <w:lang w:val="en-IN" w:bidi="hi-IN"/>
    </w:rPr>
  </w:style>
  <w:style w:type="character" w:customStyle="1" w:styleId="UnresolvedMention1">
    <w:name w:val="Unresolved Mention1"/>
    <w:basedOn w:val="DefaultParagraphFont"/>
    <w:uiPriority w:val="99"/>
    <w:semiHidden/>
    <w:unhideWhenUsed/>
    <w:rsid w:val="00E6492D"/>
    <w:rPr>
      <w:color w:val="605E5C"/>
      <w:shd w:val="clear" w:color="auto" w:fill="E1DFDD"/>
    </w:rPr>
  </w:style>
  <w:style w:type="paragraph" w:styleId="Revision">
    <w:name w:val="Revision"/>
    <w:hidden/>
    <w:uiPriority w:val="99"/>
    <w:semiHidden/>
    <w:rsid w:val="00F30A30"/>
    <w:rPr>
      <w:sz w:val="24"/>
      <w:lang w:val="en-GB"/>
    </w:rPr>
  </w:style>
  <w:style w:type="character" w:customStyle="1" w:styleId="UnresolvedMention2">
    <w:name w:val="Unresolved Mention2"/>
    <w:basedOn w:val="DefaultParagraphFont"/>
    <w:uiPriority w:val="99"/>
    <w:semiHidden/>
    <w:unhideWhenUsed/>
    <w:rsid w:val="00A43959"/>
    <w:rPr>
      <w:color w:val="605E5C"/>
      <w:shd w:val="clear" w:color="auto" w:fill="E1DFDD"/>
    </w:rPr>
  </w:style>
  <w:style w:type="paragraph" w:customStyle="1" w:styleId="ReferHead">
    <w:name w:val="Refer Head"/>
    <w:basedOn w:val="Normal"/>
    <w:rsid w:val="00C861F6"/>
    <w:pPr>
      <w:keepNext/>
      <w:spacing w:after="240" w:line="240" w:lineRule="auto"/>
      <w:ind w:firstLine="0"/>
      <w:jc w:val="left"/>
    </w:pPr>
    <w:rPr>
      <w:rFonts w:ascii="Helvetica" w:hAnsi="Helvetica"/>
      <w:b/>
      <w:caps/>
      <w:sz w:val="22"/>
      <w:lang w:val="en-US"/>
    </w:rPr>
  </w:style>
  <w:style w:type="paragraph" w:styleId="NormalWeb">
    <w:name w:val="Normal (Web)"/>
    <w:basedOn w:val="Normal"/>
    <w:uiPriority w:val="99"/>
    <w:unhideWhenUsed/>
    <w:rsid w:val="00F35B90"/>
    <w:pPr>
      <w:spacing w:before="100" w:beforeAutospacing="1" w:after="100" w:afterAutospacing="1" w:line="240" w:lineRule="auto"/>
      <w:ind w:firstLine="0"/>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2104">
      <w:bodyDiv w:val="1"/>
      <w:marLeft w:val="0"/>
      <w:marRight w:val="0"/>
      <w:marTop w:val="0"/>
      <w:marBottom w:val="0"/>
      <w:divBdr>
        <w:top w:val="none" w:sz="0" w:space="0" w:color="auto"/>
        <w:left w:val="none" w:sz="0" w:space="0" w:color="auto"/>
        <w:bottom w:val="none" w:sz="0" w:space="0" w:color="auto"/>
        <w:right w:val="none" w:sz="0" w:space="0" w:color="auto"/>
      </w:divBdr>
    </w:div>
    <w:div w:id="256209705">
      <w:bodyDiv w:val="1"/>
      <w:marLeft w:val="0"/>
      <w:marRight w:val="0"/>
      <w:marTop w:val="0"/>
      <w:marBottom w:val="0"/>
      <w:divBdr>
        <w:top w:val="none" w:sz="0" w:space="0" w:color="auto"/>
        <w:left w:val="none" w:sz="0" w:space="0" w:color="auto"/>
        <w:bottom w:val="none" w:sz="0" w:space="0" w:color="auto"/>
        <w:right w:val="none" w:sz="0" w:space="0" w:color="auto"/>
      </w:divBdr>
      <w:divsChild>
        <w:div w:id="579679353">
          <w:marLeft w:val="0"/>
          <w:marRight w:val="0"/>
          <w:marTop w:val="0"/>
          <w:marBottom w:val="0"/>
          <w:divBdr>
            <w:top w:val="none" w:sz="0" w:space="0" w:color="auto"/>
            <w:left w:val="none" w:sz="0" w:space="0" w:color="auto"/>
            <w:bottom w:val="none" w:sz="0" w:space="0" w:color="auto"/>
            <w:right w:val="none" w:sz="0" w:space="0" w:color="auto"/>
          </w:divBdr>
          <w:divsChild>
            <w:div w:id="1629242747">
              <w:marLeft w:val="0"/>
              <w:marRight w:val="0"/>
              <w:marTop w:val="0"/>
              <w:marBottom w:val="0"/>
              <w:divBdr>
                <w:top w:val="none" w:sz="0" w:space="0" w:color="auto"/>
                <w:left w:val="none" w:sz="0" w:space="0" w:color="auto"/>
                <w:bottom w:val="none" w:sz="0" w:space="0" w:color="auto"/>
                <w:right w:val="none" w:sz="0" w:space="0" w:color="auto"/>
              </w:divBdr>
              <w:divsChild>
                <w:div w:id="17432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5710">
      <w:bodyDiv w:val="1"/>
      <w:marLeft w:val="0"/>
      <w:marRight w:val="0"/>
      <w:marTop w:val="0"/>
      <w:marBottom w:val="0"/>
      <w:divBdr>
        <w:top w:val="none" w:sz="0" w:space="0" w:color="auto"/>
        <w:left w:val="none" w:sz="0" w:space="0" w:color="auto"/>
        <w:bottom w:val="none" w:sz="0" w:space="0" w:color="auto"/>
        <w:right w:val="none" w:sz="0" w:space="0" w:color="auto"/>
      </w:divBdr>
    </w:div>
    <w:div w:id="319426588">
      <w:bodyDiv w:val="1"/>
      <w:marLeft w:val="0"/>
      <w:marRight w:val="0"/>
      <w:marTop w:val="0"/>
      <w:marBottom w:val="0"/>
      <w:divBdr>
        <w:top w:val="none" w:sz="0" w:space="0" w:color="auto"/>
        <w:left w:val="none" w:sz="0" w:space="0" w:color="auto"/>
        <w:bottom w:val="none" w:sz="0" w:space="0" w:color="auto"/>
        <w:right w:val="none" w:sz="0" w:space="0" w:color="auto"/>
      </w:divBdr>
    </w:div>
    <w:div w:id="411856351">
      <w:bodyDiv w:val="1"/>
      <w:marLeft w:val="0"/>
      <w:marRight w:val="0"/>
      <w:marTop w:val="0"/>
      <w:marBottom w:val="0"/>
      <w:divBdr>
        <w:top w:val="none" w:sz="0" w:space="0" w:color="auto"/>
        <w:left w:val="none" w:sz="0" w:space="0" w:color="auto"/>
        <w:bottom w:val="none" w:sz="0" w:space="0" w:color="auto"/>
        <w:right w:val="none" w:sz="0" w:space="0" w:color="auto"/>
      </w:divBdr>
    </w:div>
    <w:div w:id="449665630">
      <w:bodyDiv w:val="1"/>
      <w:marLeft w:val="0"/>
      <w:marRight w:val="0"/>
      <w:marTop w:val="0"/>
      <w:marBottom w:val="0"/>
      <w:divBdr>
        <w:top w:val="none" w:sz="0" w:space="0" w:color="auto"/>
        <w:left w:val="none" w:sz="0" w:space="0" w:color="auto"/>
        <w:bottom w:val="none" w:sz="0" w:space="0" w:color="auto"/>
        <w:right w:val="none" w:sz="0" w:space="0" w:color="auto"/>
      </w:divBdr>
    </w:div>
    <w:div w:id="473639214">
      <w:bodyDiv w:val="1"/>
      <w:marLeft w:val="0"/>
      <w:marRight w:val="0"/>
      <w:marTop w:val="0"/>
      <w:marBottom w:val="0"/>
      <w:divBdr>
        <w:top w:val="none" w:sz="0" w:space="0" w:color="auto"/>
        <w:left w:val="none" w:sz="0" w:space="0" w:color="auto"/>
        <w:bottom w:val="none" w:sz="0" w:space="0" w:color="auto"/>
        <w:right w:val="none" w:sz="0" w:space="0" w:color="auto"/>
      </w:divBdr>
    </w:div>
    <w:div w:id="475414277">
      <w:bodyDiv w:val="1"/>
      <w:marLeft w:val="0"/>
      <w:marRight w:val="0"/>
      <w:marTop w:val="0"/>
      <w:marBottom w:val="0"/>
      <w:divBdr>
        <w:top w:val="none" w:sz="0" w:space="0" w:color="auto"/>
        <w:left w:val="none" w:sz="0" w:space="0" w:color="auto"/>
        <w:bottom w:val="none" w:sz="0" w:space="0" w:color="auto"/>
        <w:right w:val="none" w:sz="0" w:space="0" w:color="auto"/>
      </w:divBdr>
    </w:div>
    <w:div w:id="523903349">
      <w:bodyDiv w:val="1"/>
      <w:marLeft w:val="0"/>
      <w:marRight w:val="0"/>
      <w:marTop w:val="0"/>
      <w:marBottom w:val="0"/>
      <w:divBdr>
        <w:top w:val="none" w:sz="0" w:space="0" w:color="auto"/>
        <w:left w:val="none" w:sz="0" w:space="0" w:color="auto"/>
        <w:bottom w:val="none" w:sz="0" w:space="0" w:color="auto"/>
        <w:right w:val="none" w:sz="0" w:space="0" w:color="auto"/>
      </w:divBdr>
      <w:divsChild>
        <w:div w:id="149758322">
          <w:marLeft w:val="0"/>
          <w:marRight w:val="0"/>
          <w:marTop w:val="0"/>
          <w:marBottom w:val="0"/>
          <w:divBdr>
            <w:top w:val="none" w:sz="0" w:space="0" w:color="auto"/>
            <w:left w:val="none" w:sz="0" w:space="0" w:color="auto"/>
            <w:bottom w:val="none" w:sz="0" w:space="0" w:color="auto"/>
            <w:right w:val="none" w:sz="0" w:space="0" w:color="auto"/>
          </w:divBdr>
        </w:div>
      </w:divsChild>
    </w:div>
    <w:div w:id="588545554">
      <w:bodyDiv w:val="1"/>
      <w:marLeft w:val="0"/>
      <w:marRight w:val="0"/>
      <w:marTop w:val="0"/>
      <w:marBottom w:val="0"/>
      <w:divBdr>
        <w:top w:val="none" w:sz="0" w:space="0" w:color="auto"/>
        <w:left w:val="none" w:sz="0" w:space="0" w:color="auto"/>
        <w:bottom w:val="none" w:sz="0" w:space="0" w:color="auto"/>
        <w:right w:val="none" w:sz="0" w:space="0" w:color="auto"/>
      </w:divBdr>
    </w:div>
    <w:div w:id="619528537">
      <w:bodyDiv w:val="1"/>
      <w:marLeft w:val="0"/>
      <w:marRight w:val="0"/>
      <w:marTop w:val="0"/>
      <w:marBottom w:val="0"/>
      <w:divBdr>
        <w:top w:val="none" w:sz="0" w:space="0" w:color="auto"/>
        <w:left w:val="none" w:sz="0" w:space="0" w:color="auto"/>
        <w:bottom w:val="none" w:sz="0" w:space="0" w:color="auto"/>
        <w:right w:val="none" w:sz="0" w:space="0" w:color="auto"/>
      </w:divBdr>
    </w:div>
    <w:div w:id="870920208">
      <w:bodyDiv w:val="1"/>
      <w:marLeft w:val="0"/>
      <w:marRight w:val="0"/>
      <w:marTop w:val="0"/>
      <w:marBottom w:val="0"/>
      <w:divBdr>
        <w:top w:val="none" w:sz="0" w:space="0" w:color="auto"/>
        <w:left w:val="none" w:sz="0" w:space="0" w:color="auto"/>
        <w:bottom w:val="none" w:sz="0" w:space="0" w:color="auto"/>
        <w:right w:val="none" w:sz="0" w:space="0" w:color="auto"/>
      </w:divBdr>
    </w:div>
    <w:div w:id="985863067">
      <w:bodyDiv w:val="1"/>
      <w:marLeft w:val="0"/>
      <w:marRight w:val="0"/>
      <w:marTop w:val="0"/>
      <w:marBottom w:val="0"/>
      <w:divBdr>
        <w:top w:val="none" w:sz="0" w:space="0" w:color="auto"/>
        <w:left w:val="none" w:sz="0" w:space="0" w:color="auto"/>
        <w:bottom w:val="none" w:sz="0" w:space="0" w:color="auto"/>
        <w:right w:val="none" w:sz="0" w:space="0" w:color="auto"/>
      </w:divBdr>
    </w:div>
    <w:div w:id="1011107369">
      <w:bodyDiv w:val="1"/>
      <w:marLeft w:val="0"/>
      <w:marRight w:val="0"/>
      <w:marTop w:val="0"/>
      <w:marBottom w:val="0"/>
      <w:divBdr>
        <w:top w:val="none" w:sz="0" w:space="0" w:color="auto"/>
        <w:left w:val="none" w:sz="0" w:space="0" w:color="auto"/>
        <w:bottom w:val="none" w:sz="0" w:space="0" w:color="auto"/>
        <w:right w:val="none" w:sz="0" w:space="0" w:color="auto"/>
      </w:divBdr>
    </w:div>
    <w:div w:id="1305233628">
      <w:bodyDiv w:val="1"/>
      <w:marLeft w:val="0"/>
      <w:marRight w:val="0"/>
      <w:marTop w:val="0"/>
      <w:marBottom w:val="0"/>
      <w:divBdr>
        <w:top w:val="none" w:sz="0" w:space="0" w:color="auto"/>
        <w:left w:val="none" w:sz="0" w:space="0" w:color="auto"/>
        <w:bottom w:val="none" w:sz="0" w:space="0" w:color="auto"/>
        <w:right w:val="none" w:sz="0" w:space="0" w:color="auto"/>
      </w:divBdr>
    </w:div>
    <w:div w:id="1521698681">
      <w:bodyDiv w:val="1"/>
      <w:marLeft w:val="0"/>
      <w:marRight w:val="0"/>
      <w:marTop w:val="0"/>
      <w:marBottom w:val="0"/>
      <w:divBdr>
        <w:top w:val="none" w:sz="0" w:space="0" w:color="auto"/>
        <w:left w:val="none" w:sz="0" w:space="0" w:color="auto"/>
        <w:bottom w:val="none" w:sz="0" w:space="0" w:color="auto"/>
        <w:right w:val="none" w:sz="0" w:space="0" w:color="auto"/>
      </w:divBdr>
    </w:div>
    <w:div w:id="1568107749">
      <w:bodyDiv w:val="1"/>
      <w:marLeft w:val="0"/>
      <w:marRight w:val="0"/>
      <w:marTop w:val="0"/>
      <w:marBottom w:val="0"/>
      <w:divBdr>
        <w:top w:val="none" w:sz="0" w:space="0" w:color="auto"/>
        <w:left w:val="none" w:sz="0" w:space="0" w:color="auto"/>
        <w:bottom w:val="none" w:sz="0" w:space="0" w:color="auto"/>
        <w:right w:val="none" w:sz="0" w:space="0" w:color="auto"/>
      </w:divBdr>
    </w:div>
    <w:div w:id="1676417942">
      <w:bodyDiv w:val="1"/>
      <w:marLeft w:val="0"/>
      <w:marRight w:val="0"/>
      <w:marTop w:val="0"/>
      <w:marBottom w:val="0"/>
      <w:divBdr>
        <w:top w:val="none" w:sz="0" w:space="0" w:color="auto"/>
        <w:left w:val="none" w:sz="0" w:space="0" w:color="auto"/>
        <w:bottom w:val="none" w:sz="0" w:space="0" w:color="auto"/>
        <w:right w:val="none" w:sz="0" w:space="0" w:color="auto"/>
      </w:divBdr>
    </w:div>
    <w:div w:id="1728334752">
      <w:bodyDiv w:val="1"/>
      <w:marLeft w:val="0"/>
      <w:marRight w:val="0"/>
      <w:marTop w:val="0"/>
      <w:marBottom w:val="0"/>
      <w:divBdr>
        <w:top w:val="none" w:sz="0" w:space="0" w:color="auto"/>
        <w:left w:val="none" w:sz="0" w:space="0" w:color="auto"/>
        <w:bottom w:val="none" w:sz="0" w:space="0" w:color="auto"/>
        <w:right w:val="none" w:sz="0" w:space="0" w:color="auto"/>
      </w:divBdr>
    </w:div>
    <w:div w:id="1742950365">
      <w:bodyDiv w:val="1"/>
      <w:marLeft w:val="0"/>
      <w:marRight w:val="0"/>
      <w:marTop w:val="0"/>
      <w:marBottom w:val="0"/>
      <w:divBdr>
        <w:top w:val="none" w:sz="0" w:space="0" w:color="auto"/>
        <w:left w:val="none" w:sz="0" w:space="0" w:color="auto"/>
        <w:bottom w:val="none" w:sz="0" w:space="0" w:color="auto"/>
        <w:right w:val="none" w:sz="0" w:space="0" w:color="auto"/>
      </w:divBdr>
    </w:div>
    <w:div w:id="1760248079">
      <w:bodyDiv w:val="1"/>
      <w:marLeft w:val="0"/>
      <w:marRight w:val="0"/>
      <w:marTop w:val="0"/>
      <w:marBottom w:val="0"/>
      <w:divBdr>
        <w:top w:val="none" w:sz="0" w:space="0" w:color="auto"/>
        <w:left w:val="none" w:sz="0" w:space="0" w:color="auto"/>
        <w:bottom w:val="none" w:sz="0" w:space="0" w:color="auto"/>
        <w:right w:val="none" w:sz="0" w:space="0" w:color="auto"/>
      </w:divBdr>
    </w:div>
    <w:div w:id="1985506826">
      <w:bodyDiv w:val="1"/>
      <w:marLeft w:val="0"/>
      <w:marRight w:val="0"/>
      <w:marTop w:val="0"/>
      <w:marBottom w:val="0"/>
      <w:divBdr>
        <w:top w:val="none" w:sz="0" w:space="0" w:color="auto"/>
        <w:left w:val="none" w:sz="0" w:space="0" w:color="auto"/>
        <w:bottom w:val="none" w:sz="0" w:space="0" w:color="auto"/>
        <w:right w:val="none" w:sz="0" w:space="0" w:color="auto"/>
      </w:divBdr>
    </w:div>
    <w:div w:id="2052728247">
      <w:bodyDiv w:val="1"/>
      <w:marLeft w:val="0"/>
      <w:marRight w:val="0"/>
      <w:marTop w:val="0"/>
      <w:marBottom w:val="0"/>
      <w:divBdr>
        <w:top w:val="none" w:sz="0" w:space="0" w:color="auto"/>
        <w:left w:val="none" w:sz="0" w:space="0" w:color="auto"/>
        <w:bottom w:val="none" w:sz="0" w:space="0" w:color="auto"/>
        <w:right w:val="none" w:sz="0" w:space="0" w:color="auto"/>
      </w:divBdr>
      <w:divsChild>
        <w:div w:id="2095584771">
          <w:marLeft w:val="0"/>
          <w:marRight w:val="0"/>
          <w:marTop w:val="0"/>
          <w:marBottom w:val="0"/>
          <w:divBdr>
            <w:top w:val="none" w:sz="0" w:space="0" w:color="auto"/>
            <w:left w:val="none" w:sz="0" w:space="0" w:color="auto"/>
            <w:bottom w:val="none" w:sz="0" w:space="0" w:color="auto"/>
            <w:right w:val="none" w:sz="0" w:space="0" w:color="auto"/>
          </w:divBdr>
          <w:divsChild>
            <w:div w:id="802112984">
              <w:marLeft w:val="0"/>
              <w:marRight w:val="0"/>
              <w:marTop w:val="0"/>
              <w:marBottom w:val="0"/>
              <w:divBdr>
                <w:top w:val="none" w:sz="0" w:space="0" w:color="auto"/>
                <w:left w:val="none" w:sz="0" w:space="0" w:color="auto"/>
                <w:bottom w:val="none" w:sz="0" w:space="0" w:color="auto"/>
                <w:right w:val="none" w:sz="0" w:space="0" w:color="auto"/>
              </w:divBdr>
              <w:divsChild>
                <w:div w:id="3349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4954">
      <w:bodyDiv w:val="1"/>
      <w:marLeft w:val="0"/>
      <w:marRight w:val="0"/>
      <w:marTop w:val="0"/>
      <w:marBottom w:val="0"/>
      <w:divBdr>
        <w:top w:val="none" w:sz="0" w:space="0" w:color="auto"/>
        <w:left w:val="none" w:sz="0" w:space="0" w:color="auto"/>
        <w:bottom w:val="none" w:sz="0" w:space="0" w:color="auto"/>
        <w:right w:val="none" w:sz="0" w:space="0" w:color="auto"/>
      </w:divBdr>
    </w:div>
    <w:div w:id="2134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D0EC8-3B00-4C13-ACE8-FE01EF75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1982</TotalTime>
  <Pages>14</Pages>
  <Words>3368</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22527</CharactersWithSpaces>
  <SharedDoc>false</SharedDoc>
  <HLinks>
    <vt:vector size="6" baseType="variant">
      <vt:variant>
        <vt:i4>6357108</vt:i4>
      </vt:variant>
      <vt:variant>
        <vt:i4>18</vt:i4>
      </vt:variant>
      <vt:variant>
        <vt:i4>0</vt:i4>
      </vt:variant>
      <vt:variant>
        <vt:i4>5</vt:i4>
      </vt:variant>
      <vt:variant>
        <vt:lpwstr>https://easychair.org/conferences/?conf=pdcube2021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PDCUBE</dc:subject>
  <dc:creator>Renold</dc:creator>
  <cp:keywords>PDCUBE</cp:keywords>
  <dc:description/>
  <cp:lastModifiedBy>CPU SDI 1080</cp:lastModifiedBy>
  <cp:revision>63</cp:revision>
  <cp:lastPrinted>2025-02-09T18:09:00Z</cp:lastPrinted>
  <dcterms:created xsi:type="dcterms:W3CDTF">2025-02-18T12:18:00Z</dcterms:created>
  <dcterms:modified xsi:type="dcterms:W3CDTF">2025-05-08T07:08:00Z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8b06681a59abb1c2063a0e57c01d0367e036ac6517496fa3973f28cd7a65ff5b</vt:lpwstr>
  </property>
</Properties>
</file>