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281" w:rsidRDefault="00A2032C">
      <w:pPr>
        <w:ind w:right="-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Incidence of Leaf Rot Disease of Coconut in Southern Kerala and its management</w:t>
      </w:r>
    </w:p>
    <w:p w:rsidR="00C92281" w:rsidRDefault="00C92281">
      <w:pPr>
        <w:ind w:right="-46"/>
        <w:jc w:val="center"/>
        <w:rPr>
          <w:rFonts w:ascii="Times New Roman" w:eastAsia="Times New Roman" w:hAnsi="Times New Roman" w:cs="Times New Roman"/>
          <w:b/>
          <w:sz w:val="28"/>
          <w:szCs w:val="28"/>
        </w:rPr>
      </w:pPr>
    </w:p>
    <w:p w:rsidR="00C92281" w:rsidRDefault="00C92281">
      <w:pPr>
        <w:pBdr>
          <w:top w:val="nil"/>
          <w:left w:val="nil"/>
          <w:bottom w:val="nil"/>
          <w:right w:val="nil"/>
          <w:between w:val="nil"/>
        </w:pBdr>
        <w:spacing w:after="0"/>
        <w:ind w:right="-46"/>
        <w:jc w:val="both"/>
        <w:rPr>
          <w:rFonts w:ascii="Times New Roman" w:eastAsia="Times New Roman" w:hAnsi="Times New Roman" w:cs="Times New Roman"/>
          <w:b/>
          <w:color w:val="000000"/>
          <w:sz w:val="24"/>
          <w:szCs w:val="24"/>
        </w:rPr>
      </w:pPr>
    </w:p>
    <w:p w:rsidR="00C92281" w:rsidRDefault="00A2032C">
      <w:pPr>
        <w:pBdr>
          <w:top w:val="nil"/>
          <w:left w:val="nil"/>
          <w:bottom w:val="nil"/>
          <w:right w:val="nil"/>
          <w:between w:val="nil"/>
        </w:pBdr>
        <w:spacing w:after="0"/>
        <w:ind w:right="-4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rsidR="00C92281" w:rsidRDefault="00A2032C">
      <w:pPr>
        <w:pBdr>
          <w:top w:val="nil"/>
          <w:left w:val="nil"/>
          <w:bottom w:val="nil"/>
          <w:right w:val="nil"/>
          <w:between w:val="nil"/>
        </w:pBdr>
        <w:spacing w:after="0" w:line="360" w:lineRule="auto"/>
        <w:ind w:right="-4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coconut is an important crop in Kerala and contributes substantially to the region's economy. However, its productivity is significantly threatened by leaf rot disease (LRD), primarily caused by major fungal pathogens, such as </w:t>
      </w:r>
      <w:r>
        <w:rPr>
          <w:rFonts w:ascii="Times New Roman" w:eastAsia="Times New Roman" w:hAnsi="Times New Roman" w:cs="Times New Roman"/>
          <w:i/>
          <w:color w:val="000000"/>
          <w:sz w:val="24"/>
          <w:szCs w:val="24"/>
        </w:rPr>
        <w:t xml:space="preserve">Colletotrichum </w:t>
      </w:r>
      <w:r>
        <w:rPr>
          <w:rFonts w:ascii="Times New Roman" w:eastAsia="Times New Roman" w:hAnsi="Times New Roman" w:cs="Times New Roman"/>
          <w:color w:val="000000"/>
          <w:sz w:val="24"/>
          <w:szCs w:val="24"/>
        </w:rPr>
        <w:t xml:space="preserve">sp., </w:t>
      </w:r>
      <w:r>
        <w:rPr>
          <w:rFonts w:ascii="Times New Roman" w:eastAsia="Times New Roman" w:hAnsi="Times New Roman" w:cs="Times New Roman"/>
          <w:i/>
          <w:color w:val="000000"/>
          <w:sz w:val="24"/>
          <w:szCs w:val="24"/>
        </w:rPr>
        <w:t>Fusar</w:t>
      </w:r>
      <w:r>
        <w:rPr>
          <w:rFonts w:ascii="Times New Roman" w:eastAsia="Times New Roman" w:hAnsi="Times New Roman" w:cs="Times New Roman"/>
          <w:i/>
          <w:color w:val="000000"/>
          <w:sz w:val="24"/>
          <w:szCs w:val="24"/>
        </w:rPr>
        <w:t xml:space="preserve">ium </w:t>
      </w:r>
      <w:r>
        <w:rPr>
          <w:rFonts w:ascii="Times New Roman" w:eastAsia="Times New Roman" w:hAnsi="Times New Roman" w:cs="Times New Roman"/>
          <w:color w:val="000000"/>
          <w:sz w:val="24"/>
          <w:szCs w:val="24"/>
        </w:rPr>
        <w:t xml:space="preserve">sp., and </w:t>
      </w:r>
      <w:proofErr w:type="spellStart"/>
      <w:r>
        <w:rPr>
          <w:rFonts w:ascii="Times New Roman" w:eastAsia="Times New Roman" w:hAnsi="Times New Roman" w:cs="Times New Roman"/>
          <w:i/>
          <w:color w:val="000000"/>
          <w:sz w:val="24"/>
          <w:szCs w:val="24"/>
        </w:rPr>
        <w:t>Exserohilum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rostratum</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This study investigated the incidence and management of LRD and Root (wild) disease (RWD) in coconut palms across the southern districts of Kerala, namely, Thiruvananthapuram, Kollam, and </w:t>
      </w:r>
      <w:proofErr w:type="spellStart"/>
      <w:r>
        <w:rPr>
          <w:rFonts w:ascii="Times New Roman" w:eastAsia="Times New Roman" w:hAnsi="Times New Roman" w:cs="Times New Roman"/>
          <w:color w:val="000000"/>
          <w:sz w:val="24"/>
          <w:szCs w:val="24"/>
        </w:rPr>
        <w:t>Pathanamthitta</w:t>
      </w:r>
      <w:proofErr w:type="spellEnd"/>
      <w:r>
        <w:rPr>
          <w:rFonts w:ascii="Times New Roman" w:eastAsia="Times New Roman" w:hAnsi="Times New Roman" w:cs="Times New Roman"/>
          <w:color w:val="000000"/>
          <w:sz w:val="24"/>
          <w:szCs w:val="24"/>
        </w:rPr>
        <w:t>. A detailed surve</w:t>
      </w:r>
      <w:r>
        <w:rPr>
          <w:rFonts w:ascii="Times New Roman" w:eastAsia="Times New Roman" w:hAnsi="Times New Roman" w:cs="Times New Roman"/>
          <w:color w:val="000000"/>
          <w:sz w:val="24"/>
          <w:szCs w:val="24"/>
        </w:rPr>
        <w:t xml:space="preserve">y revealed significant regional variations in disease incidence, with Thiruvananthapuram showing the highest rates of LRD and RWD. This study identified </w:t>
      </w:r>
      <w:r>
        <w:rPr>
          <w:rFonts w:ascii="Times New Roman" w:eastAsia="Times New Roman" w:hAnsi="Times New Roman" w:cs="Times New Roman"/>
          <w:i/>
          <w:color w:val="000000"/>
          <w:sz w:val="24"/>
          <w:szCs w:val="24"/>
        </w:rPr>
        <w:t>Colletotrichum</w:t>
      </w:r>
      <w:r>
        <w:rPr>
          <w:rFonts w:ascii="Times New Roman" w:eastAsia="Times New Roman" w:hAnsi="Times New Roman" w:cs="Times New Roman"/>
          <w:color w:val="000000"/>
          <w:sz w:val="24"/>
          <w:szCs w:val="24"/>
        </w:rPr>
        <w:t xml:space="preserve"> sp., </w:t>
      </w:r>
      <w:r>
        <w:rPr>
          <w:rFonts w:ascii="Times New Roman" w:eastAsia="Times New Roman" w:hAnsi="Times New Roman" w:cs="Times New Roman"/>
          <w:i/>
          <w:color w:val="000000"/>
          <w:sz w:val="24"/>
          <w:szCs w:val="24"/>
        </w:rPr>
        <w:t xml:space="preserve">Fusarium </w:t>
      </w:r>
      <w:r>
        <w:rPr>
          <w:rFonts w:ascii="Times New Roman" w:eastAsia="Times New Roman" w:hAnsi="Times New Roman" w:cs="Times New Roman"/>
          <w:color w:val="000000"/>
          <w:sz w:val="24"/>
          <w:szCs w:val="24"/>
        </w:rPr>
        <w:t xml:space="preserve">sp., and </w:t>
      </w:r>
      <w:proofErr w:type="spellStart"/>
      <w:r>
        <w:rPr>
          <w:rFonts w:ascii="Times New Roman" w:eastAsia="Times New Roman" w:hAnsi="Times New Roman" w:cs="Times New Roman"/>
          <w:i/>
          <w:color w:val="000000"/>
          <w:sz w:val="24"/>
          <w:szCs w:val="24"/>
        </w:rPr>
        <w:t>Exserohilum</w:t>
      </w:r>
      <w:proofErr w:type="spellEnd"/>
      <w:r>
        <w:rPr>
          <w:rFonts w:ascii="Times New Roman" w:eastAsia="Times New Roman" w:hAnsi="Times New Roman" w:cs="Times New Roman"/>
          <w:color w:val="000000"/>
          <w:sz w:val="24"/>
          <w:szCs w:val="24"/>
        </w:rPr>
        <w:t xml:space="preserve"> sp. as the primary pathogens responsible for LRD, pre</w:t>
      </w:r>
      <w:r>
        <w:rPr>
          <w:rFonts w:ascii="Times New Roman" w:eastAsia="Times New Roman" w:hAnsi="Times New Roman" w:cs="Times New Roman"/>
          <w:color w:val="000000"/>
          <w:sz w:val="24"/>
          <w:szCs w:val="24"/>
        </w:rPr>
        <w:t xml:space="preserve">dominantly affecting spindle leaves. </w:t>
      </w:r>
      <w:proofErr w:type="spellStart"/>
      <w:r>
        <w:rPr>
          <w:rFonts w:ascii="Times New Roman" w:eastAsia="Times New Roman" w:hAnsi="Times New Roman" w:cs="Times New Roman"/>
          <w:color w:val="000000"/>
          <w:sz w:val="24"/>
          <w:szCs w:val="24"/>
        </w:rPr>
        <w:t>Symptomatological</w:t>
      </w:r>
      <w:proofErr w:type="spellEnd"/>
      <w:r>
        <w:rPr>
          <w:rFonts w:ascii="Times New Roman" w:eastAsia="Times New Roman" w:hAnsi="Times New Roman" w:cs="Times New Roman"/>
          <w:color w:val="000000"/>
          <w:sz w:val="24"/>
          <w:szCs w:val="24"/>
        </w:rPr>
        <w:t xml:space="preserve"> observations showed the progression of LRD from initial water-soaked lesions on young leaves to forming a characteristic fan-like appearance of the palm crown. Pathogenicity tests on detached leaves co</w:t>
      </w:r>
      <w:r>
        <w:rPr>
          <w:rFonts w:ascii="Times New Roman" w:eastAsia="Times New Roman" w:hAnsi="Times New Roman" w:cs="Times New Roman"/>
          <w:color w:val="000000"/>
          <w:sz w:val="24"/>
          <w:szCs w:val="24"/>
        </w:rPr>
        <w:t xml:space="preserve">nfirmed the involvement of the identified pathogens, satisfying Koch’s postulates. The study also explored the efficacy of biocontrol agents, such as </w:t>
      </w:r>
      <w:r>
        <w:rPr>
          <w:rFonts w:ascii="Times New Roman" w:eastAsia="Times New Roman" w:hAnsi="Times New Roman" w:cs="Times New Roman"/>
          <w:i/>
          <w:color w:val="000000"/>
          <w:sz w:val="24"/>
          <w:szCs w:val="24"/>
        </w:rPr>
        <w:t>Trichoderma</w:t>
      </w:r>
      <w:r>
        <w:rPr>
          <w:rFonts w:ascii="Times New Roman" w:eastAsia="Times New Roman" w:hAnsi="Times New Roman" w:cs="Times New Roman"/>
          <w:color w:val="000000"/>
          <w:sz w:val="24"/>
          <w:szCs w:val="24"/>
        </w:rPr>
        <w:t xml:space="preserve"> sp. and </w:t>
      </w:r>
      <w:r>
        <w:rPr>
          <w:rFonts w:ascii="Times New Roman" w:eastAsia="Times New Roman" w:hAnsi="Times New Roman" w:cs="Times New Roman"/>
          <w:i/>
          <w:color w:val="000000"/>
          <w:sz w:val="24"/>
          <w:szCs w:val="24"/>
        </w:rPr>
        <w:t xml:space="preserve">Bacillus </w:t>
      </w:r>
      <w:proofErr w:type="spellStart"/>
      <w:r>
        <w:rPr>
          <w:rFonts w:ascii="Times New Roman" w:eastAsia="Times New Roman" w:hAnsi="Times New Roman" w:cs="Times New Roman"/>
          <w:i/>
          <w:color w:val="000000"/>
          <w:sz w:val="24"/>
          <w:szCs w:val="24"/>
        </w:rPr>
        <w:t>amyloliquefaciens</w:t>
      </w:r>
      <w:proofErr w:type="spellEnd"/>
      <w:r>
        <w:rPr>
          <w:rFonts w:ascii="Times New Roman" w:eastAsia="Times New Roman" w:hAnsi="Times New Roman" w:cs="Times New Roman"/>
          <w:color w:val="000000"/>
          <w:sz w:val="24"/>
          <w:szCs w:val="24"/>
        </w:rPr>
        <w:t>, which showed significant antagonistic effects on pathogens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Trichoderma </w:t>
      </w:r>
      <w:r>
        <w:rPr>
          <w:rFonts w:ascii="Times New Roman" w:eastAsia="Times New Roman" w:hAnsi="Times New Roman" w:cs="Times New Roman"/>
          <w:color w:val="000000"/>
          <w:sz w:val="24"/>
          <w:szCs w:val="24"/>
        </w:rPr>
        <w:t>sp. (NW2) exhibited the highest inhibition rates among all pathogens, making it a promising candidate for sustainable disease management. These findings highlight the potential of integrated disease management to effectively control LRD in co</w:t>
      </w:r>
      <w:r>
        <w:rPr>
          <w:rFonts w:ascii="Times New Roman" w:eastAsia="Times New Roman" w:hAnsi="Times New Roman" w:cs="Times New Roman"/>
          <w:color w:val="000000"/>
          <w:sz w:val="24"/>
          <w:szCs w:val="24"/>
        </w:rPr>
        <w:t>conut plantations. This approach can significantly improve coconut productivity while minimizing environmental impact.</w:t>
      </w:r>
    </w:p>
    <w:p w:rsidR="00C92281" w:rsidRDefault="00A2032C">
      <w:pPr>
        <w:pBdr>
          <w:top w:val="nil"/>
          <w:left w:val="nil"/>
          <w:bottom w:val="nil"/>
          <w:right w:val="nil"/>
          <w:between w:val="nil"/>
        </w:pBdr>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Leaf Rot Disease; Root (Wilt) Disease; Coconut; Biocontrol Agents; Pathogen Management.</w:t>
      </w:r>
    </w:p>
    <w:p w:rsidR="00C92281" w:rsidRDefault="00C92281">
      <w:pPr>
        <w:ind w:right="-46"/>
        <w:jc w:val="both"/>
        <w:rPr>
          <w:rFonts w:ascii="Times New Roman" w:eastAsia="Times New Roman" w:hAnsi="Times New Roman" w:cs="Times New Roman"/>
          <w:b/>
          <w:sz w:val="24"/>
          <w:szCs w:val="24"/>
        </w:rPr>
      </w:pPr>
    </w:p>
    <w:p w:rsidR="00C92281" w:rsidRDefault="00C92281">
      <w:pPr>
        <w:ind w:right="-46"/>
        <w:jc w:val="both"/>
        <w:rPr>
          <w:rFonts w:ascii="Times New Roman" w:eastAsia="Times New Roman" w:hAnsi="Times New Roman" w:cs="Times New Roman"/>
          <w:b/>
          <w:sz w:val="24"/>
          <w:szCs w:val="24"/>
        </w:rPr>
      </w:pP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Coconut (</w:t>
      </w:r>
      <w:r>
        <w:rPr>
          <w:rFonts w:ascii="Times New Roman" w:eastAsia="Times New Roman" w:hAnsi="Times New Roman" w:cs="Times New Roman"/>
          <w:i/>
          <w:sz w:val="24"/>
          <w:szCs w:val="24"/>
        </w:rPr>
        <w:t xml:space="preserve">Cocos </w:t>
      </w:r>
      <w:r>
        <w:rPr>
          <w:rFonts w:ascii="Times New Roman" w:eastAsia="Times New Roman" w:hAnsi="Times New Roman" w:cs="Times New Roman"/>
          <w:i/>
          <w:sz w:val="24"/>
          <w:szCs w:val="24"/>
        </w:rPr>
        <w:t>nucifera</w:t>
      </w:r>
      <w:r>
        <w:rPr>
          <w:rFonts w:ascii="Times New Roman" w:eastAsia="Times New Roman" w:hAnsi="Times New Roman" w:cs="Times New Roman"/>
          <w:sz w:val="24"/>
          <w:szCs w:val="24"/>
        </w:rPr>
        <w:t xml:space="preserve"> L.) is a crucial perennial crop that forms the backbone of the agricultural economy in Kerala, India, a region often termed the “Land of Coconuts.” This tree holds not only economic importance, but also cultural and ecological significance. Coconu</w:t>
      </w:r>
      <w:r>
        <w:rPr>
          <w:rFonts w:ascii="Times New Roman" w:eastAsia="Times New Roman" w:hAnsi="Times New Roman" w:cs="Times New Roman"/>
          <w:sz w:val="24"/>
          <w:szCs w:val="24"/>
        </w:rPr>
        <w:t xml:space="preserve">t cultivation supports the livelihoods of millions of people and provides raw materials for various industries, including food, cosmetics, and textiles [1]. However, growing coconut plantations </w:t>
      </w:r>
      <w:r>
        <w:rPr>
          <w:rFonts w:ascii="Times New Roman" w:eastAsia="Times New Roman" w:hAnsi="Times New Roman" w:cs="Times New Roman"/>
          <w:sz w:val="24"/>
          <w:szCs w:val="24"/>
        </w:rPr>
        <w:lastRenderedPageBreak/>
        <w:t>faces increasing challenges due to plant diseases, particularl</w:t>
      </w:r>
      <w:r>
        <w:rPr>
          <w:rFonts w:ascii="Times New Roman" w:eastAsia="Times New Roman" w:hAnsi="Times New Roman" w:cs="Times New Roman"/>
          <w:sz w:val="24"/>
          <w:szCs w:val="24"/>
        </w:rPr>
        <w:t xml:space="preserve">y leaf rot disease (LRD) and root (wild) disease (RWD). LRD, primarily caused by fungi such as </w:t>
      </w:r>
      <w:r>
        <w:rPr>
          <w:rFonts w:ascii="Times New Roman" w:eastAsia="Times New Roman" w:hAnsi="Times New Roman" w:cs="Times New Roman"/>
          <w:i/>
          <w:sz w:val="24"/>
          <w:szCs w:val="24"/>
        </w:rPr>
        <w:t>Colletotrichum</w:t>
      </w:r>
      <w:r>
        <w:rPr>
          <w:rFonts w:ascii="Times New Roman" w:eastAsia="Times New Roman" w:hAnsi="Times New Roman" w:cs="Times New Roman"/>
          <w:sz w:val="24"/>
          <w:szCs w:val="24"/>
        </w:rPr>
        <w:t xml:space="preserve"> spp.,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spp.,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rostratum</w:t>
      </w:r>
      <w:proofErr w:type="spellEnd"/>
      <w:r>
        <w:rPr>
          <w:rFonts w:ascii="Times New Roman" w:eastAsia="Times New Roman" w:hAnsi="Times New Roman" w:cs="Times New Roman"/>
          <w:sz w:val="24"/>
          <w:szCs w:val="24"/>
        </w:rPr>
        <w:t>, damages leaf tissues, thereby impairing photosynthesis and reducing productivity [2]. Concurrently</w:t>
      </w:r>
      <w:r>
        <w:rPr>
          <w:rFonts w:ascii="Times New Roman" w:eastAsia="Times New Roman" w:hAnsi="Times New Roman" w:cs="Times New Roman"/>
          <w:sz w:val="24"/>
          <w:szCs w:val="24"/>
        </w:rPr>
        <w:t>, RWD continues to proliferate across Kerala, complicating disease management efforts [3]. These diseases are often interrelated, and their concurrent presence exacerbates the condition of the affected palms [4]. The warm and humid climate in Kerala’s sout</w:t>
      </w:r>
      <w:r>
        <w:rPr>
          <w:rFonts w:ascii="Times New Roman" w:eastAsia="Times New Roman" w:hAnsi="Times New Roman" w:cs="Times New Roman"/>
          <w:sz w:val="24"/>
          <w:szCs w:val="24"/>
        </w:rPr>
        <w:t>hern districts facilitates the rapid spread of these pathogens. Despite its prevalence, studies focusing on the incidence and progression of LRD are limited. Historically, LRD was first identified in the 1880s by Travancore and Cochin [5, 6]. Butler (1908)</w:t>
      </w:r>
      <w:r>
        <w:rPr>
          <w:rFonts w:ascii="Times New Roman" w:eastAsia="Times New Roman" w:hAnsi="Times New Roman" w:cs="Times New Roman"/>
          <w:sz w:val="24"/>
          <w:szCs w:val="24"/>
        </w:rPr>
        <w:t xml:space="preserve"> [7] reported spindle symptoms without identifying any specific pathogens. Collectively, these diseases result in significant losses, with Menon and Nair (1948) [5] estimating the annual damage to Rs. 5.6 million due to RWD alone, and documented an average</w:t>
      </w:r>
      <w:r>
        <w:rPr>
          <w:rFonts w:ascii="Times New Roman" w:eastAsia="Times New Roman" w:hAnsi="Times New Roman" w:cs="Times New Roman"/>
          <w:sz w:val="24"/>
          <w:szCs w:val="24"/>
        </w:rPr>
        <w:t xml:space="preserve"> yield reduction of 20% owing to RWD. Radha et al. (1962) [9] reported that LRD could decrease yields by up to 70% and RWD by 43–82%. Subsequently, Radha and Lal (1968) [8] observed LRD in 16–40% of palms in RWD-affected areas. A study by the Central Plant</w:t>
      </w:r>
      <w:r>
        <w:rPr>
          <w:rFonts w:ascii="Times New Roman" w:eastAsia="Times New Roman" w:hAnsi="Times New Roman" w:cs="Times New Roman"/>
          <w:sz w:val="24"/>
          <w:szCs w:val="24"/>
        </w:rPr>
        <w:t>ation Crops Research Institute [10] recorded annual RWD-related losses of 968 million coconuts with a disease incidence of 26.444%. The Department of Agriculture, Kerala (1997) [11], later observed a disease incidence of 24.05%, attributed to improved dise</w:t>
      </w:r>
      <w:r>
        <w:rPr>
          <w:rFonts w:ascii="Times New Roman" w:eastAsia="Times New Roman" w:hAnsi="Times New Roman" w:cs="Times New Roman"/>
          <w:sz w:val="24"/>
          <w:szCs w:val="24"/>
        </w:rPr>
        <w:t>ase management and replanting practices. Nonetheless, quantifying losses from LRD remains challenging because of their overlap with RWD symptoms and progression, highlighting the necessity for integrated research and management.</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LRD is predominantly induce</w:t>
      </w:r>
      <w:r>
        <w:rPr>
          <w:rFonts w:ascii="Times New Roman" w:eastAsia="Times New Roman" w:hAnsi="Times New Roman" w:cs="Times New Roman"/>
          <w:sz w:val="24"/>
          <w:szCs w:val="24"/>
        </w:rPr>
        <w:t xml:space="preserve">d by fungal pathogens, including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 xml:space="preserve">sp.,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rostratum</w:t>
      </w:r>
      <w:proofErr w:type="spellEnd"/>
      <w:r>
        <w:rPr>
          <w:rFonts w:ascii="Times New Roman" w:eastAsia="Times New Roman" w:hAnsi="Times New Roman" w:cs="Times New Roman"/>
          <w:sz w:val="24"/>
          <w:szCs w:val="24"/>
        </w:rPr>
        <w:t xml:space="preserve"> [9]. These pathogens cause necrosis in the spindle leaves, resulting in a decline in the photosynthetic capacity and yield of the palm. This condition is exacerbat</w:t>
      </w:r>
      <w:r>
        <w:rPr>
          <w:rFonts w:ascii="Times New Roman" w:eastAsia="Times New Roman" w:hAnsi="Times New Roman" w:cs="Times New Roman"/>
          <w:sz w:val="24"/>
          <w:szCs w:val="24"/>
        </w:rPr>
        <w:t>ed in palms already afflicted by RWD, as compromised plants are more vulnerable to fungal invasion. The severity of LRD is significantly influenced by climatic factors such as humidity, rainfall, and temperature. The monsoon season in Kerala, characterized</w:t>
      </w:r>
      <w:r>
        <w:rPr>
          <w:rFonts w:ascii="Times New Roman" w:eastAsia="Times New Roman" w:hAnsi="Times New Roman" w:cs="Times New Roman"/>
          <w:sz w:val="24"/>
          <w:szCs w:val="24"/>
        </w:rPr>
        <w:t xml:space="preserve"> by high humidity, provides optimal conditions for fungal proliferation. Radha and Lal (1968) [8] noted that even palms not visibly affected by RWD may subsequently develop LRD, indicating the need for further investigation into the LRD-RWD disease complex</w:t>
      </w:r>
      <w:r>
        <w:rPr>
          <w:rFonts w:ascii="Times New Roman" w:eastAsia="Times New Roman" w:hAnsi="Times New Roman" w:cs="Times New Roman"/>
          <w:sz w:val="24"/>
          <w:szCs w:val="24"/>
        </w:rPr>
        <w:t>. Recent trends suggest that climate change and alterations in agricultural practices may contribute to the resurgence of LRD in certain regions [2]. Initial management strategies for LRD predominantly rely on chemical fungicides. However, concerns regardi</w:t>
      </w:r>
      <w:r>
        <w:rPr>
          <w:rFonts w:ascii="Times New Roman" w:eastAsia="Times New Roman" w:hAnsi="Times New Roman" w:cs="Times New Roman"/>
          <w:sz w:val="24"/>
          <w:szCs w:val="24"/>
        </w:rPr>
        <w:t xml:space="preserve">ng sustainability, environmental impact, and pathogen </w:t>
      </w:r>
      <w:r>
        <w:rPr>
          <w:rFonts w:ascii="Times New Roman" w:eastAsia="Times New Roman" w:hAnsi="Times New Roman" w:cs="Times New Roman"/>
          <w:sz w:val="24"/>
          <w:szCs w:val="24"/>
        </w:rPr>
        <w:lastRenderedPageBreak/>
        <w:t xml:space="preserve">resistance have prompted a transition towards Integrated Disease Management (IDM) approaches [12]. The application of biological control agents, such as </w:t>
      </w:r>
      <w:r>
        <w:rPr>
          <w:rFonts w:ascii="Times New Roman" w:eastAsia="Times New Roman" w:hAnsi="Times New Roman" w:cs="Times New Roman"/>
          <w:i/>
          <w:sz w:val="24"/>
          <w:szCs w:val="24"/>
        </w:rPr>
        <w:t xml:space="preserve">Trichoderma </w:t>
      </w:r>
      <w:r>
        <w:rPr>
          <w:rFonts w:ascii="Times New Roman" w:eastAsia="Times New Roman" w:hAnsi="Times New Roman" w:cs="Times New Roman"/>
          <w:sz w:val="24"/>
          <w:szCs w:val="24"/>
        </w:rPr>
        <w:t xml:space="preserve">spp. isolates (NW2 and KAU) and </w:t>
      </w:r>
      <w:r>
        <w:rPr>
          <w:rFonts w:ascii="Times New Roman" w:eastAsia="Times New Roman" w:hAnsi="Times New Roman" w:cs="Times New Roman"/>
          <w:i/>
          <w:sz w:val="24"/>
          <w:szCs w:val="24"/>
        </w:rPr>
        <w:t>Bacil</w:t>
      </w:r>
      <w:r>
        <w:rPr>
          <w:rFonts w:ascii="Times New Roman" w:eastAsia="Times New Roman" w:hAnsi="Times New Roman" w:cs="Times New Roman"/>
          <w:i/>
          <w:sz w:val="24"/>
          <w:szCs w:val="24"/>
        </w:rPr>
        <w:t xml:space="preserve">lus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(VLY24), is recognized for their ability to suppress fungal pathogens and enhance plant resilience. This study aimed to assess the incidence of LRD, identify the primary fungal pathogens responsible for this disease, and examine its s</w:t>
      </w:r>
      <w:r>
        <w:rPr>
          <w:rFonts w:ascii="Times New Roman" w:eastAsia="Times New Roman" w:hAnsi="Times New Roman" w:cs="Times New Roman"/>
          <w:sz w:val="24"/>
          <w:szCs w:val="24"/>
        </w:rPr>
        <w:t xml:space="preserve">ymptoms and progression. To assess the efficacy of biocontrol agents such as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 and </w:t>
      </w:r>
      <w:r>
        <w:rPr>
          <w:rFonts w:ascii="Times New Roman" w:eastAsia="Times New Roman" w:hAnsi="Times New Roman" w:cs="Times New Roman"/>
          <w:i/>
          <w:sz w:val="24"/>
          <w:szCs w:val="24"/>
        </w:rPr>
        <w:t xml:space="preserve">Bacillus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in managing these diseases. Ultimately, the objective is to develop an integrated disease management approach that combines biocontr</w:t>
      </w:r>
      <w:r>
        <w:rPr>
          <w:rFonts w:ascii="Times New Roman" w:eastAsia="Times New Roman" w:hAnsi="Times New Roman" w:cs="Times New Roman"/>
          <w:sz w:val="24"/>
          <w:szCs w:val="24"/>
        </w:rPr>
        <w:t>ol and chemical treatments to improve coconut productivity while minimizing environmental impact.</w:t>
      </w: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Materials and Methods</w:t>
      </w: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survey and collection of leaf rot disease specimens </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roving survey was conducted from 2021 to 2023 across three districts of so</w:t>
      </w:r>
      <w:r>
        <w:rPr>
          <w:rFonts w:ascii="Times New Roman" w:eastAsia="Times New Roman" w:hAnsi="Times New Roman" w:cs="Times New Roman"/>
          <w:sz w:val="24"/>
          <w:szCs w:val="24"/>
        </w:rPr>
        <w:t xml:space="preserve">uthern Kerala to identify the incidence of LRD. The survey focused on the southern districts of Kerala, Thiruvananthapuram, Kollam, and </w:t>
      </w:r>
      <w:proofErr w:type="spellStart"/>
      <w:r>
        <w:rPr>
          <w:rFonts w:ascii="Times New Roman" w:eastAsia="Times New Roman" w:hAnsi="Times New Roman" w:cs="Times New Roman"/>
          <w:sz w:val="24"/>
          <w:szCs w:val="24"/>
        </w:rPr>
        <w:t>Pathanamthitta</w:t>
      </w:r>
      <w:proofErr w:type="spellEnd"/>
      <w:r>
        <w:rPr>
          <w:rFonts w:ascii="Times New Roman" w:eastAsia="Times New Roman" w:hAnsi="Times New Roman" w:cs="Times New Roman"/>
          <w:sz w:val="24"/>
          <w:szCs w:val="24"/>
        </w:rPr>
        <w:t>, and recorded the varieties of infected palms at each location. Coconut palms exhibiting leaf rot symptom</w:t>
      </w:r>
      <w:r>
        <w:rPr>
          <w:rFonts w:ascii="Times New Roman" w:eastAsia="Times New Roman" w:hAnsi="Times New Roman" w:cs="Times New Roman"/>
          <w:sz w:val="24"/>
          <w:szCs w:val="24"/>
        </w:rPr>
        <w:t xml:space="preserve">s were identified, and disease incidence was determined using a standard formula. Disease symptoms under natural conditions were documented by examining the affected palms and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rotten spindle leaf samples collected from the surveyed locations. Thi</w:t>
      </w:r>
      <w:r>
        <w:rPr>
          <w:rFonts w:ascii="Times New Roman" w:eastAsia="Times New Roman" w:hAnsi="Times New Roman" w:cs="Times New Roman"/>
          <w:sz w:val="24"/>
          <w:szCs w:val="24"/>
        </w:rPr>
        <w:t>s study also explored the association between RWD and LRD in coconut palms.</w:t>
      </w:r>
    </w:p>
    <w:p w:rsidR="00C92281" w:rsidRDefault="00A2032C">
      <w:pPr>
        <w:spacing w:line="36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 disease incidence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r>
              <w:rPr>
                <w:rFonts w:ascii="Cambria Math" w:eastAsia="Cambria Math" w:hAnsi="Cambria Math" w:cs="Cambria Math"/>
                <w:sz w:val="24"/>
                <w:szCs w:val="24"/>
              </w:rPr>
              <m:t>Number</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infected</m:t>
            </m:r>
            <m:r>
              <w:rPr>
                <w:rFonts w:ascii="Cambria Math" w:eastAsia="Cambria Math" w:hAnsi="Cambria Math" w:cs="Cambria Math"/>
                <w:sz w:val="24"/>
                <w:szCs w:val="24"/>
              </w:rPr>
              <m:t xml:space="preserve"> </m:t>
            </m:r>
            <m:r>
              <w:rPr>
                <w:rFonts w:ascii="Cambria Math" w:eastAsia="Cambria Math" w:hAnsi="Cambria Math" w:cs="Cambria Math"/>
                <w:sz w:val="24"/>
                <w:szCs w:val="24"/>
              </w:rPr>
              <m:t>palms</m:t>
            </m:r>
            <m:r>
              <w:rPr>
                <w:rFonts w:ascii="Cambria Math" w:eastAsia="Cambria Math" w:hAnsi="Cambria Math" w:cs="Cambria Math"/>
                <w:sz w:val="24"/>
                <w:szCs w:val="24"/>
              </w:rPr>
              <m:t>)</m:t>
            </m:r>
          </m:num>
          <m:den>
            <m:r>
              <w:rPr>
                <w:rFonts w:ascii="Cambria Math" w:eastAsia="Cambria Math" w:hAnsi="Cambria Math" w:cs="Cambria Math"/>
                <w:sz w:val="24"/>
                <w:szCs w:val="24"/>
              </w:rPr>
              <m:t>(</m:t>
            </m:r>
            <m:r>
              <w:rPr>
                <w:rFonts w:ascii="Cambria Math" w:eastAsia="Cambria Math" w:hAnsi="Cambria Math" w:cs="Cambria Math"/>
                <w:sz w:val="24"/>
                <w:szCs w:val="24"/>
              </w:rPr>
              <m:t>Total</m:t>
            </m:r>
            <m:r>
              <w:rPr>
                <w:rFonts w:ascii="Cambria Math" w:eastAsia="Cambria Math" w:hAnsi="Cambria Math" w:cs="Cambria Math"/>
                <w:sz w:val="24"/>
                <w:szCs w:val="24"/>
              </w:rPr>
              <m:t xml:space="preserve"> </m:t>
            </m:r>
            <m:r>
              <w:rPr>
                <w:rFonts w:ascii="Cambria Math" w:eastAsia="Cambria Math" w:hAnsi="Cambria Math" w:cs="Cambria Math"/>
                <w:sz w:val="24"/>
                <w:szCs w:val="24"/>
              </w:rPr>
              <m:t>number</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palms</m:t>
            </m:r>
            <m:r>
              <w:rPr>
                <w:rFonts w:ascii="Cambria Math" w:eastAsia="Cambria Math" w:hAnsi="Cambria Math" w:cs="Cambria Math"/>
                <w:sz w:val="24"/>
                <w:szCs w:val="24"/>
              </w:rPr>
              <m:t>)</m:t>
            </m:r>
          </m:den>
        </m:f>
      </m:oMath>
      <w:r>
        <w:rPr>
          <w:rFonts w:ascii="Times New Roman" w:eastAsia="Times New Roman" w:hAnsi="Times New Roman" w:cs="Times New Roman"/>
          <w:sz w:val="24"/>
          <w:szCs w:val="24"/>
        </w:rPr>
        <w:t xml:space="preserve"> ×100</w:t>
      </w:r>
    </w:p>
    <w:p w:rsidR="00C92281" w:rsidRDefault="00A2032C">
      <w:pPr>
        <w:spacing w:line="36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5594350" cy="28879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2393" b="10419"/>
                    <a:stretch>
                      <a:fillRect/>
                    </a:stretch>
                  </pic:blipFill>
                  <pic:spPr>
                    <a:xfrm>
                      <a:off x="0" y="0"/>
                      <a:ext cx="5594350" cy="2887980"/>
                    </a:xfrm>
                    <a:prstGeom prst="rect">
                      <a:avLst/>
                    </a:prstGeom>
                    <a:ln/>
                  </pic:spPr>
                </pic:pic>
              </a:graphicData>
            </a:graphic>
          </wp:inline>
        </w:drawing>
      </w:r>
    </w:p>
    <w:p w:rsidR="00C92281" w:rsidRDefault="00A2032C">
      <w:pPr>
        <w:spacing w:line="360" w:lineRule="auto"/>
        <w:ind w:right="-4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1 </w:t>
      </w:r>
      <w:r>
        <w:rPr>
          <w:rFonts w:ascii="Times New Roman" w:eastAsia="Times New Roman" w:hAnsi="Times New Roman" w:cs="Times New Roman"/>
          <w:i/>
          <w:sz w:val="24"/>
          <w:szCs w:val="24"/>
        </w:rPr>
        <w:t>Map showing the southern districts of Kerala (</w:t>
      </w:r>
      <w:r>
        <w:rPr>
          <w:rFonts w:ascii="Times New Roman" w:eastAsia="Times New Roman" w:hAnsi="Times New Roman" w:cs="Times New Roman"/>
          <w:i/>
          <w:sz w:val="24"/>
          <w:szCs w:val="24"/>
        </w:rPr>
        <w:t xml:space="preserve">Thiruvananthapuram, Kollam, and </w:t>
      </w:r>
      <w:proofErr w:type="spellStart"/>
      <w:r>
        <w:rPr>
          <w:rFonts w:ascii="Times New Roman" w:eastAsia="Times New Roman" w:hAnsi="Times New Roman" w:cs="Times New Roman"/>
          <w:i/>
          <w:sz w:val="24"/>
          <w:szCs w:val="24"/>
        </w:rPr>
        <w:t>Pathanamthitta</w:t>
      </w:r>
      <w:proofErr w:type="spellEnd"/>
      <w:r>
        <w:rPr>
          <w:rFonts w:ascii="Times New Roman" w:eastAsia="Times New Roman" w:hAnsi="Times New Roman" w:cs="Times New Roman"/>
          <w:i/>
          <w:sz w:val="24"/>
          <w:szCs w:val="24"/>
        </w:rPr>
        <w:t>) highlighted for the roving survey conducted to assess LRD incidence</w:t>
      </w: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Symptomatology</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 were conducted on the coconut palms that exhibited symptoms of LRD. This study focused on symptom progression, lesion development, and extent of crown infection under natural environmental conditions. Field surveys were conducted in RWD-endemi</w:t>
      </w:r>
      <w:r>
        <w:rPr>
          <w:rFonts w:ascii="Times New Roman" w:eastAsia="Times New Roman" w:hAnsi="Times New Roman" w:cs="Times New Roman"/>
          <w:sz w:val="24"/>
          <w:szCs w:val="24"/>
        </w:rPr>
        <w:t xml:space="preserve">c regions to quantify the distribution of LRD symptoms across different leaf whorls. </w:t>
      </w: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Isolation and pathogenicity</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Rotting spear leaves from the inner whorl of the palm were collected and transported to the laboratory for analysis. For pathogen isolatio</w:t>
      </w:r>
      <w:r>
        <w:rPr>
          <w:rFonts w:ascii="Times New Roman" w:eastAsia="Times New Roman" w:hAnsi="Times New Roman" w:cs="Times New Roman"/>
          <w:sz w:val="24"/>
          <w:szCs w:val="24"/>
        </w:rPr>
        <w:t>n, infected spear leaf samples showing progressive symptoms were selected and rinsed under running tap water to remove any surface debris. Tissue segments (approximately 0.5 cm), including both healthy and diseased portions, were excised and surface-steril</w:t>
      </w:r>
      <w:r>
        <w:rPr>
          <w:rFonts w:ascii="Times New Roman" w:eastAsia="Times New Roman" w:hAnsi="Times New Roman" w:cs="Times New Roman"/>
          <w:sz w:val="24"/>
          <w:szCs w:val="24"/>
        </w:rPr>
        <w:t>ized using 1% sodium hypochlorite for 60 s, followed by three rinses with sterile distilled water. The sterilized tissue segments were then placed on sterilized Petri dishes containing potato dextrose agar (PDA) medium supplemented with a trace amount of c</w:t>
      </w:r>
      <w:r>
        <w:rPr>
          <w:rFonts w:ascii="Times New Roman" w:eastAsia="Times New Roman" w:hAnsi="Times New Roman" w:cs="Times New Roman"/>
          <w:sz w:val="24"/>
          <w:szCs w:val="24"/>
        </w:rPr>
        <w:t>ephalosporin. The plates were incubated at room temperature (28 ± 2°C) for 4–5 days. After incubation, hyphal tips from emerging fungal colonies were aseptically transferred to fresh PDA-amended plates. Subsequent subculturing was performed to establish pu</w:t>
      </w:r>
      <w:r>
        <w:rPr>
          <w:rFonts w:ascii="Times New Roman" w:eastAsia="Times New Roman" w:hAnsi="Times New Roman" w:cs="Times New Roman"/>
          <w:sz w:val="24"/>
          <w:szCs w:val="24"/>
        </w:rPr>
        <w:t xml:space="preserve">re cultures. The presence of major leaf rot pathogens was confirmed by microscopy. </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isolates were cultured on PDA and evaluated for colony characteristics. Mycelial discs, each 8 mm in diameter, were excised from 7-day-old cultures of each isolate and </w:t>
      </w:r>
      <w:r>
        <w:rPr>
          <w:rFonts w:ascii="Times New Roman" w:eastAsia="Times New Roman" w:hAnsi="Times New Roman" w:cs="Times New Roman"/>
          <w:sz w:val="24"/>
          <w:szCs w:val="24"/>
        </w:rPr>
        <w:t>transferred to PDA Petri dishes. The plates were incubated at 28±1°C for one week. The mean radial growth (mm per day) and colony colour of each isolate were recorded. The conidial characteristics were examined using a Leica DM 500 microscope equipped with</w:t>
      </w:r>
      <w:r>
        <w:rPr>
          <w:rFonts w:ascii="Times New Roman" w:eastAsia="Times New Roman" w:hAnsi="Times New Roman" w:cs="Times New Roman"/>
          <w:sz w:val="24"/>
          <w:szCs w:val="24"/>
        </w:rPr>
        <w:t xml:space="preserve"> a digital camera (Leica Microsystems, Germany). Conidia were mounted in 100% lactic acid. Preliminary identification of the isolates was based on colony colour, morphology, and shape, size, and growth patterns of the conidia. </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Pure cultures of the isolate</w:t>
      </w:r>
      <w:r>
        <w:rPr>
          <w:rFonts w:ascii="Times New Roman" w:eastAsia="Times New Roman" w:hAnsi="Times New Roman" w:cs="Times New Roman"/>
          <w:sz w:val="24"/>
          <w:szCs w:val="24"/>
        </w:rPr>
        <w:t xml:space="preserve">d fungi were subjected to pathogenicity assessment. Healthy, unopened, spindle leaves of the coconuts were collected from the field. The pathogens were inoculated by placing 5 mm diameter mycelial bits from seven-day-old cultures onto the inner surface of </w:t>
      </w:r>
      <w:r>
        <w:rPr>
          <w:rFonts w:ascii="Times New Roman" w:eastAsia="Times New Roman" w:hAnsi="Times New Roman" w:cs="Times New Roman"/>
          <w:sz w:val="24"/>
          <w:szCs w:val="24"/>
        </w:rPr>
        <w:t xml:space="preserve">the leaflet after creating pinpricks with a sterilized needle. To maintain adequate moisture and humidity, moistened cotton was placed over the inoculated area, and the leaflets were covered with a polyethylene sheet, labelled, tied, and incubated at room </w:t>
      </w:r>
      <w:r>
        <w:rPr>
          <w:rFonts w:ascii="Times New Roman" w:eastAsia="Times New Roman" w:hAnsi="Times New Roman" w:cs="Times New Roman"/>
          <w:sz w:val="24"/>
          <w:szCs w:val="24"/>
        </w:rPr>
        <w:t>temperature (28 ± 2°C). Leaflets exhibiting disease symptoms were used for pathogen re-isolation. The re-isolated pathogens were compared with the original isolates to confirm Koch’s postulates. To evaluate the virulence of the major LRD pathogen isolates,</w:t>
      </w:r>
      <w:r>
        <w:rPr>
          <w:rFonts w:ascii="Times New Roman" w:eastAsia="Times New Roman" w:hAnsi="Times New Roman" w:cs="Times New Roman"/>
          <w:sz w:val="24"/>
          <w:szCs w:val="24"/>
        </w:rPr>
        <w:t xml:space="preserve"> seven-day-old cultures of the isolates were inoculated onto detached spindle leaflets. Each isolate was inoculated onto a healthy leaflet in triplicate. Among the major pathogens, the most virulent isolate was selected for further study.</w:t>
      </w: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i/>
          <w:sz w:val="24"/>
          <w:szCs w:val="24"/>
        </w:rPr>
        <w:t xml:space="preserve"> In vitro </w:t>
      </w:r>
      <w:r>
        <w:rPr>
          <w:rFonts w:ascii="Times New Roman" w:eastAsia="Times New Roman" w:hAnsi="Times New Roman" w:cs="Times New Roman"/>
          <w:b/>
          <w:sz w:val="24"/>
          <w:szCs w:val="24"/>
        </w:rPr>
        <w:t>mana</w:t>
      </w:r>
      <w:r>
        <w:rPr>
          <w:rFonts w:ascii="Times New Roman" w:eastAsia="Times New Roman" w:hAnsi="Times New Roman" w:cs="Times New Roman"/>
          <w:b/>
          <w:sz w:val="24"/>
          <w:szCs w:val="24"/>
        </w:rPr>
        <w:t>gement</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direct antagonistic effects of phylloplane microflora on LRD pathogens were assessed using the dual-culture technique. The assay incorporated three promising biocontrol agents: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(VLY24), two native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isolates (NW2 and KAU), and chemical fungicide control (COC). For the assay, seven-day-old cultures of the LRD pathogens and three-day-old cultures of the selected biocontrol agents were employed. To evaluate the antagonistic effects, 5 mm culture discs w</w:t>
      </w:r>
      <w:r>
        <w:rPr>
          <w:rFonts w:ascii="Times New Roman" w:eastAsia="Times New Roman" w:hAnsi="Times New Roman" w:cs="Times New Roman"/>
          <w:sz w:val="24"/>
          <w:szCs w:val="24"/>
        </w:rPr>
        <w:t xml:space="preserve">ere excised from the actively growing mycelial tips of the pathogens and positioned at the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of 1:1 NA+PDA amended plates. A loopful of bacteria was streaked at 2 cm from the periphery of the plate on both sides of the pathogen disc. Pathogen cultures</w:t>
      </w:r>
      <w:r>
        <w:rPr>
          <w:rFonts w:ascii="Times New Roman" w:eastAsia="Times New Roman" w:hAnsi="Times New Roman" w:cs="Times New Roman"/>
          <w:sz w:val="24"/>
          <w:szCs w:val="24"/>
        </w:rPr>
        <w:t xml:space="preserve"> without any treatment were used as the controls. </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fungal biocontrol agents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isolates NW2 and KAU), a 5 mm culture disc of each biocontrol agent was placed opposite the pathogen disc (2 cm from the periphery of the </w:t>
      </w:r>
      <w:r>
        <w:rPr>
          <w:rFonts w:ascii="Times New Roman" w:eastAsia="Times New Roman" w:hAnsi="Times New Roman" w:cs="Times New Roman"/>
          <w:sz w:val="24"/>
          <w:szCs w:val="24"/>
        </w:rPr>
        <w:lastRenderedPageBreak/>
        <w:t>same PDA plate). The pois</w:t>
      </w:r>
      <w:r>
        <w:rPr>
          <w:rFonts w:ascii="Times New Roman" w:eastAsia="Times New Roman" w:hAnsi="Times New Roman" w:cs="Times New Roman"/>
          <w:sz w:val="24"/>
          <w:szCs w:val="24"/>
        </w:rPr>
        <w:t xml:space="preserve">oned food technique was used to compare the effectiveness of fungal biocontrol agents with that of COC. In this method, 0.2 g) was dissolved in 50 ml sterile water and mixed with 50 ml of melted, cooled double-strength PDA medium. This poisoned medium was </w:t>
      </w:r>
      <w:r>
        <w:rPr>
          <w:rFonts w:ascii="Times New Roman" w:eastAsia="Times New Roman" w:hAnsi="Times New Roman" w:cs="Times New Roman"/>
          <w:sz w:val="24"/>
          <w:szCs w:val="24"/>
        </w:rPr>
        <w:t xml:space="preserve">poured into sterile petri plates, and the pathogen discs were placed at the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Plates containing untreated pathogens were used as the controls. Each treatment had ten replications, and all plates were incubated at room temperature (27 ± 2°C). Observat</w:t>
      </w:r>
      <w:r>
        <w:rPr>
          <w:rFonts w:ascii="Times New Roman" w:eastAsia="Times New Roman" w:hAnsi="Times New Roman" w:cs="Times New Roman"/>
          <w:sz w:val="24"/>
          <w:szCs w:val="24"/>
        </w:rPr>
        <w:t>ions of radial growth of leaf rot pathogens and biocontrol agents were recorded on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and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days after inoculation. The percentage inhibition of pathogen growth by the biocontrol agents was calculated using the following formula [13]. </w:t>
      </w: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 of Perc</w:t>
      </w:r>
      <w:r>
        <w:rPr>
          <w:rFonts w:ascii="Times New Roman" w:eastAsia="Times New Roman" w:hAnsi="Times New Roman" w:cs="Times New Roman"/>
          <w:b/>
          <w:sz w:val="24"/>
          <w:szCs w:val="24"/>
        </w:rPr>
        <w:t xml:space="preserve">ent Inhibition (I): </w:t>
      </w:r>
    </w:p>
    <w:p w:rsidR="00C92281" w:rsidRDefault="00A203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I</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C</m:t>
              </m:r>
              <m:r>
                <w:rPr>
                  <w:rFonts w:ascii="Cambria Math" w:eastAsia="Cambria Math" w:hAnsi="Cambria Math" w:cs="Cambria Math"/>
                  <w:sz w:val="24"/>
                  <w:szCs w:val="24"/>
                </w:rPr>
                <m:t>-</m:t>
              </m:r>
              <m:r>
                <w:rPr>
                  <w:rFonts w:ascii="Cambria Math" w:eastAsia="Cambria Math" w:hAnsi="Cambria Math" w:cs="Cambria Math"/>
                  <w:sz w:val="24"/>
                  <w:szCs w:val="24"/>
                </w:rPr>
                <m:t>T</m:t>
              </m:r>
            </m:num>
            <m:den>
              <m:r>
                <w:rPr>
                  <w:rFonts w:ascii="Cambria Math" w:eastAsia="Cambria Math" w:hAnsi="Cambria Math" w:cs="Cambria Math"/>
                  <w:sz w:val="24"/>
                  <w:szCs w:val="24"/>
                </w:rPr>
                <m:t>C</m:t>
              </m:r>
            </m:den>
          </m:f>
          <m:r>
            <w:rPr>
              <w:rFonts w:ascii="Cambria Math" w:eastAsia="Cambria Math" w:hAnsi="Cambria Math" w:cs="Cambria Math"/>
              <w:sz w:val="24"/>
              <w:szCs w:val="24"/>
            </w:rPr>
            <m:t xml:space="preserve"> ×100</m:t>
          </m:r>
        </m:oMath>
      </m:oMathPara>
    </w:p>
    <w:p w:rsidR="00C92281" w:rsidRDefault="00A2032C">
      <w:pPr>
        <w:spacing w:line="360" w:lineRule="auto"/>
        <w:ind w:right="-4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I is the percentage inhibition, C is the Growth of the test pathogen in the absence of treatment (cm), and T is the Growth of the test pathogen in the presence of treatment(cm).</w:t>
      </w:r>
    </w:p>
    <w:p w:rsidR="00C92281" w:rsidRDefault="00A2032C">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 Statistical Analysis</w:t>
      </w:r>
    </w:p>
    <w:p w:rsidR="00C92281" w:rsidRDefault="00A2032C">
      <w:pPr>
        <w:spacing w:line="360" w:lineRule="auto"/>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experimental design was completely randomized design (CRD) for all experiments. Statistical analysis was performed using analysis of variance at a significance level of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=0.05) using Grapes 1.1.0 software </w:t>
      </w:r>
      <w:r>
        <w:rPr>
          <w:rFonts w:ascii="Times New Roman" w:eastAsia="Times New Roman" w:hAnsi="Times New Roman" w:cs="Times New Roman"/>
          <w:sz w:val="24"/>
          <w:szCs w:val="24"/>
        </w:rPr>
        <w:t>[14]</w:t>
      </w:r>
      <w:r>
        <w:rPr>
          <w:rFonts w:ascii="Times New Roman" w:eastAsia="Times New Roman" w:hAnsi="Times New Roman" w:cs="Times New Roman"/>
          <w:color w:val="000000"/>
          <w:sz w:val="24"/>
          <w:szCs w:val="24"/>
        </w:rPr>
        <w:t>. Each experiment was conducted with appropria</w:t>
      </w:r>
      <w:r>
        <w:rPr>
          <w:rFonts w:ascii="Times New Roman" w:eastAsia="Times New Roman" w:hAnsi="Times New Roman" w:cs="Times New Roman"/>
          <w:color w:val="000000"/>
          <w:sz w:val="24"/>
          <w:szCs w:val="24"/>
        </w:rPr>
        <w:t xml:space="preserve">te replicates, and the data were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using standard statistical procedures </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w:t>
      </w: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Results</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 Survey</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survey conducted across the districts of Thiruvananthapuram, Kollam, and </w:t>
      </w:r>
      <w:proofErr w:type="spellStart"/>
      <w:r>
        <w:rPr>
          <w:rFonts w:ascii="Times New Roman" w:eastAsia="Times New Roman" w:hAnsi="Times New Roman" w:cs="Times New Roman"/>
          <w:sz w:val="24"/>
          <w:szCs w:val="24"/>
        </w:rPr>
        <w:t>Pathanamthitta</w:t>
      </w:r>
      <w:proofErr w:type="spellEnd"/>
      <w:r>
        <w:rPr>
          <w:rFonts w:ascii="Times New Roman" w:eastAsia="Times New Roman" w:hAnsi="Times New Roman" w:cs="Times New Roman"/>
          <w:sz w:val="24"/>
          <w:szCs w:val="24"/>
        </w:rPr>
        <w:t xml:space="preserve"> has provided comprehensive data on the incidence of LRD an</w:t>
      </w:r>
      <w:r>
        <w:rPr>
          <w:rFonts w:ascii="Times New Roman" w:eastAsia="Times New Roman" w:hAnsi="Times New Roman" w:cs="Times New Roman"/>
          <w:sz w:val="24"/>
          <w:szCs w:val="24"/>
        </w:rPr>
        <w:t xml:space="preserve">d RWD, along with the prevalence of these diseases across various varieties. The data, collected from 50 palms from each location and five locations from </w:t>
      </w:r>
      <w:proofErr w:type="gramStart"/>
      <w:r>
        <w:rPr>
          <w:rFonts w:ascii="Times New Roman" w:eastAsia="Times New Roman" w:hAnsi="Times New Roman" w:cs="Times New Roman"/>
          <w:sz w:val="24"/>
          <w:szCs w:val="24"/>
        </w:rPr>
        <w:t>each  block</w:t>
      </w:r>
      <w:proofErr w:type="gramEnd"/>
      <w:r>
        <w:rPr>
          <w:rFonts w:ascii="Times New Roman" w:eastAsia="Times New Roman" w:hAnsi="Times New Roman" w:cs="Times New Roman"/>
          <w:sz w:val="24"/>
          <w:szCs w:val="24"/>
        </w:rPr>
        <w:t xml:space="preserve"> within these districts, revealed significant variation in disease occurrences, with specif</w:t>
      </w:r>
      <w:r>
        <w:rPr>
          <w:rFonts w:ascii="Times New Roman" w:eastAsia="Times New Roman" w:hAnsi="Times New Roman" w:cs="Times New Roman"/>
          <w:sz w:val="24"/>
          <w:szCs w:val="24"/>
        </w:rPr>
        <w:t>ic blocks exhibiting higher disease incidences. The disease incidence percentages for both LRD and RWD were recorded for each block, highlighting the prevalence of these diseases and the crop varieties observed. The incidences of LRD and RWD varied substan</w:t>
      </w:r>
      <w:r>
        <w:rPr>
          <w:rFonts w:ascii="Times New Roman" w:eastAsia="Times New Roman" w:hAnsi="Times New Roman" w:cs="Times New Roman"/>
          <w:sz w:val="24"/>
          <w:szCs w:val="24"/>
        </w:rPr>
        <w:t xml:space="preserve">tially across the surveyed regions. In Thiruvananthapuram, the highest disease incidence was recorded in </w:t>
      </w:r>
      <w:proofErr w:type="spellStart"/>
      <w:r>
        <w:rPr>
          <w:rFonts w:ascii="Times New Roman" w:eastAsia="Times New Roman" w:hAnsi="Times New Roman" w:cs="Times New Roman"/>
          <w:sz w:val="24"/>
          <w:szCs w:val="24"/>
        </w:rPr>
        <w:t>Athiyannur</w:t>
      </w:r>
      <w:proofErr w:type="spellEnd"/>
      <w:r>
        <w:rPr>
          <w:rFonts w:ascii="Times New Roman" w:eastAsia="Times New Roman" w:hAnsi="Times New Roman" w:cs="Times New Roman"/>
          <w:sz w:val="24"/>
          <w:szCs w:val="24"/>
        </w:rPr>
        <w:t xml:space="preserve"> (47.1%), whereas the lowest was observed in </w:t>
      </w:r>
      <w:proofErr w:type="spellStart"/>
      <w:r>
        <w:rPr>
          <w:rFonts w:ascii="Times New Roman" w:eastAsia="Times New Roman" w:hAnsi="Times New Roman" w:cs="Times New Roman"/>
          <w:sz w:val="24"/>
          <w:szCs w:val="24"/>
        </w:rPr>
        <w:t>Mallapally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Pathanamthitta</w:t>
      </w:r>
      <w:proofErr w:type="spellEnd"/>
      <w:r>
        <w:rPr>
          <w:rFonts w:ascii="Times New Roman" w:eastAsia="Times New Roman" w:hAnsi="Times New Roman" w:cs="Times New Roman"/>
          <w:sz w:val="24"/>
          <w:szCs w:val="24"/>
        </w:rPr>
        <w:t xml:space="preserve"> (22.6%). RWD prevalence also varied, with </w:t>
      </w:r>
      <w:proofErr w:type="spellStart"/>
      <w:r>
        <w:rPr>
          <w:rFonts w:ascii="Times New Roman" w:eastAsia="Times New Roman" w:hAnsi="Times New Roman" w:cs="Times New Roman"/>
          <w:sz w:val="24"/>
          <w:szCs w:val="24"/>
        </w:rPr>
        <w:t>Athiyannur</w:t>
      </w:r>
      <w:proofErr w:type="spellEnd"/>
      <w:r>
        <w:rPr>
          <w:rFonts w:ascii="Times New Roman" w:eastAsia="Times New Roman" w:hAnsi="Times New Roman" w:cs="Times New Roman"/>
          <w:sz w:val="24"/>
          <w:szCs w:val="24"/>
        </w:rPr>
        <w:t xml:space="preserve"> exhibiting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highest occurrence at 28.2%, </w:t>
      </w:r>
      <w:proofErr w:type="spellStart"/>
      <w:r>
        <w:rPr>
          <w:rFonts w:ascii="Times New Roman" w:eastAsia="Times New Roman" w:hAnsi="Times New Roman" w:cs="Times New Roman"/>
          <w:sz w:val="24"/>
          <w:szCs w:val="24"/>
        </w:rPr>
        <w:t>Nedumangad</w:t>
      </w:r>
      <w:proofErr w:type="spellEnd"/>
      <w:r>
        <w:rPr>
          <w:rFonts w:ascii="Times New Roman" w:eastAsia="Times New Roman" w:hAnsi="Times New Roman" w:cs="Times New Roman"/>
          <w:sz w:val="24"/>
          <w:szCs w:val="24"/>
        </w:rPr>
        <w:t xml:space="preserve"> and Thiruvananthapuram, while it had the lowest prevalence (20.8%).</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specific disease incidences, Thiruvananthapuram showed disease rates ranging from 41.8% in Vamanapuram to 47.1% in </w:t>
      </w:r>
      <w:proofErr w:type="spellStart"/>
      <w:r>
        <w:rPr>
          <w:rFonts w:ascii="Times New Roman" w:eastAsia="Times New Roman" w:hAnsi="Times New Roman" w:cs="Times New Roman"/>
          <w:sz w:val="24"/>
          <w:szCs w:val="24"/>
        </w:rPr>
        <w:t>Athiyannur</w:t>
      </w:r>
      <w:proofErr w:type="spellEnd"/>
      <w:r>
        <w:rPr>
          <w:rFonts w:ascii="Times New Roman" w:eastAsia="Times New Roman" w:hAnsi="Times New Roman" w:cs="Times New Roman"/>
          <w:sz w:val="24"/>
          <w:szCs w:val="24"/>
        </w:rPr>
        <w:t>. The prev</w:t>
      </w:r>
      <w:r>
        <w:rPr>
          <w:rFonts w:ascii="Times New Roman" w:eastAsia="Times New Roman" w:hAnsi="Times New Roman" w:cs="Times New Roman"/>
          <w:sz w:val="24"/>
          <w:szCs w:val="24"/>
        </w:rPr>
        <w:t xml:space="preserve">alence of RWD in this district ranges from 20.8% in </w:t>
      </w:r>
      <w:proofErr w:type="spellStart"/>
      <w:r>
        <w:rPr>
          <w:rFonts w:ascii="Times New Roman" w:eastAsia="Times New Roman" w:hAnsi="Times New Roman" w:cs="Times New Roman"/>
          <w:sz w:val="24"/>
          <w:szCs w:val="24"/>
        </w:rPr>
        <w:t>Nedumangad</w:t>
      </w:r>
      <w:proofErr w:type="spellEnd"/>
      <w:r>
        <w:rPr>
          <w:rFonts w:ascii="Times New Roman" w:eastAsia="Times New Roman" w:hAnsi="Times New Roman" w:cs="Times New Roman"/>
          <w:sz w:val="24"/>
          <w:szCs w:val="24"/>
        </w:rPr>
        <w:t xml:space="preserve"> to 28.2% in </w:t>
      </w:r>
      <w:proofErr w:type="spellStart"/>
      <w:r>
        <w:rPr>
          <w:rFonts w:ascii="Times New Roman" w:eastAsia="Times New Roman" w:hAnsi="Times New Roman" w:cs="Times New Roman"/>
          <w:sz w:val="24"/>
          <w:szCs w:val="24"/>
        </w:rPr>
        <w:t>Athiyannur</w:t>
      </w:r>
      <w:proofErr w:type="spellEnd"/>
      <w:r>
        <w:rPr>
          <w:rFonts w:ascii="Times New Roman" w:eastAsia="Times New Roman" w:hAnsi="Times New Roman" w:cs="Times New Roman"/>
          <w:sz w:val="24"/>
          <w:szCs w:val="24"/>
        </w:rPr>
        <w:t xml:space="preserve">. In Kollam, the disease incidence was generally low, ranging from 36.5% in </w:t>
      </w:r>
      <w:proofErr w:type="spellStart"/>
      <w:r>
        <w:rPr>
          <w:rFonts w:ascii="Times New Roman" w:eastAsia="Times New Roman" w:hAnsi="Times New Roman" w:cs="Times New Roman"/>
          <w:sz w:val="24"/>
          <w:szCs w:val="24"/>
        </w:rPr>
        <w:t>Vettikad</w:t>
      </w:r>
      <w:proofErr w:type="spellEnd"/>
      <w:r>
        <w:rPr>
          <w:rFonts w:ascii="Times New Roman" w:eastAsia="Times New Roman" w:hAnsi="Times New Roman" w:cs="Times New Roman"/>
          <w:sz w:val="24"/>
          <w:szCs w:val="24"/>
        </w:rPr>
        <w:t xml:space="preserve"> to 45.2% in </w:t>
      </w:r>
      <w:proofErr w:type="spellStart"/>
      <w:r>
        <w:rPr>
          <w:rFonts w:ascii="Times New Roman" w:eastAsia="Times New Roman" w:hAnsi="Times New Roman" w:cs="Times New Roman"/>
          <w:sz w:val="24"/>
          <w:szCs w:val="24"/>
        </w:rPr>
        <w:t>Makathala</w:t>
      </w:r>
      <w:proofErr w:type="spellEnd"/>
      <w:r>
        <w:rPr>
          <w:rFonts w:ascii="Times New Roman" w:eastAsia="Times New Roman" w:hAnsi="Times New Roman" w:cs="Times New Roman"/>
          <w:sz w:val="24"/>
          <w:szCs w:val="24"/>
        </w:rPr>
        <w:t xml:space="preserve">. The RWD prevalence in Kollam ranged from 24.5% in </w:t>
      </w:r>
      <w:proofErr w:type="spellStart"/>
      <w:r>
        <w:rPr>
          <w:rFonts w:ascii="Times New Roman" w:eastAsia="Times New Roman" w:hAnsi="Times New Roman" w:cs="Times New Roman"/>
          <w:sz w:val="24"/>
          <w:szCs w:val="24"/>
        </w:rPr>
        <w:t>Makathala</w:t>
      </w:r>
      <w:proofErr w:type="spellEnd"/>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 xml:space="preserve">27.6% in </w:t>
      </w:r>
      <w:proofErr w:type="spellStart"/>
      <w:r>
        <w:rPr>
          <w:rFonts w:ascii="Times New Roman" w:eastAsia="Times New Roman" w:hAnsi="Times New Roman" w:cs="Times New Roman"/>
          <w:sz w:val="24"/>
          <w:szCs w:val="24"/>
        </w:rPr>
        <w:t>Chadayamangalam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Pathanamthitta</w:t>
      </w:r>
      <w:proofErr w:type="spellEnd"/>
      <w:r>
        <w:rPr>
          <w:rFonts w:ascii="Times New Roman" w:eastAsia="Times New Roman" w:hAnsi="Times New Roman" w:cs="Times New Roman"/>
          <w:sz w:val="24"/>
          <w:szCs w:val="24"/>
        </w:rPr>
        <w:t xml:space="preserve"> had the lowest disease incidence, recorded at 38.2% in </w:t>
      </w:r>
      <w:proofErr w:type="spellStart"/>
      <w:r>
        <w:rPr>
          <w:rFonts w:ascii="Times New Roman" w:eastAsia="Times New Roman" w:hAnsi="Times New Roman" w:cs="Times New Roman"/>
          <w:sz w:val="24"/>
          <w:szCs w:val="24"/>
        </w:rPr>
        <w:t>Elanthur</w:t>
      </w:r>
      <w:proofErr w:type="spellEnd"/>
      <w:r>
        <w:rPr>
          <w:rFonts w:ascii="Times New Roman" w:eastAsia="Times New Roman" w:hAnsi="Times New Roman" w:cs="Times New Roman"/>
          <w:sz w:val="24"/>
          <w:szCs w:val="24"/>
        </w:rPr>
        <w:t xml:space="preserve"> and 22.6% in </w:t>
      </w:r>
      <w:proofErr w:type="spellStart"/>
      <w:r>
        <w:rPr>
          <w:rFonts w:ascii="Times New Roman" w:eastAsia="Times New Roman" w:hAnsi="Times New Roman" w:cs="Times New Roman"/>
          <w:sz w:val="24"/>
          <w:szCs w:val="24"/>
        </w:rPr>
        <w:t>Mallapally</w:t>
      </w:r>
      <w:proofErr w:type="spellEnd"/>
      <w:r>
        <w:rPr>
          <w:rFonts w:ascii="Times New Roman" w:eastAsia="Times New Roman" w:hAnsi="Times New Roman" w:cs="Times New Roman"/>
          <w:sz w:val="24"/>
          <w:szCs w:val="24"/>
        </w:rPr>
        <w:t xml:space="preserve">. The prevalence of RWD in this district ranges from 22.5% in </w:t>
      </w:r>
      <w:proofErr w:type="spellStart"/>
      <w:r>
        <w:rPr>
          <w:rFonts w:ascii="Times New Roman" w:eastAsia="Times New Roman" w:hAnsi="Times New Roman" w:cs="Times New Roman"/>
          <w:sz w:val="24"/>
          <w:szCs w:val="24"/>
        </w:rPr>
        <w:t>Pandalam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Koipuram</w:t>
      </w:r>
      <w:proofErr w:type="spellEnd"/>
      <w:r>
        <w:rPr>
          <w:rFonts w:ascii="Times New Roman" w:eastAsia="Times New Roman" w:hAnsi="Times New Roman" w:cs="Times New Roman"/>
          <w:sz w:val="24"/>
          <w:szCs w:val="24"/>
        </w:rPr>
        <w:t xml:space="preserve"> to 27.8% in </w:t>
      </w:r>
      <w:proofErr w:type="spellStart"/>
      <w:r>
        <w:rPr>
          <w:rFonts w:ascii="Times New Roman" w:eastAsia="Times New Roman" w:hAnsi="Times New Roman" w:cs="Times New Roman"/>
          <w:sz w:val="24"/>
          <w:szCs w:val="24"/>
        </w:rPr>
        <w:t>Elanthur</w:t>
      </w:r>
      <w:proofErr w:type="spellEnd"/>
      <w:r>
        <w:rPr>
          <w:rFonts w:ascii="Times New Roman" w:eastAsia="Times New Roman" w:hAnsi="Times New Roman" w:cs="Times New Roman"/>
          <w:sz w:val="24"/>
          <w:szCs w:val="24"/>
        </w:rPr>
        <w:t>. Across all blocks, the</w:t>
      </w:r>
      <w:r>
        <w:rPr>
          <w:rFonts w:ascii="Times New Roman" w:eastAsia="Times New Roman" w:hAnsi="Times New Roman" w:cs="Times New Roman"/>
          <w:sz w:val="24"/>
          <w:szCs w:val="24"/>
        </w:rPr>
        <w:t xml:space="preserve"> varieties observed included WCT, T×D, and COD, with varying levels of disease susceptibility noted across these varieties.</w:t>
      </w: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Disease incidence of leaf rot of coconut in surveyed locations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2128"/>
        <w:gridCol w:w="1568"/>
        <w:gridCol w:w="1675"/>
        <w:gridCol w:w="1344"/>
      </w:tblGrid>
      <w:tr w:rsidR="00C92281">
        <w:trPr>
          <w:trHeight w:val="592"/>
        </w:trPr>
        <w:tc>
          <w:tcPr>
            <w:tcW w:w="2301"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bookmarkStart w:id="0" w:name="_8ha8p2fcj02b" w:colFirst="0" w:colLast="0"/>
            <w:bookmarkEnd w:id="0"/>
            <w:r>
              <w:rPr>
                <w:rFonts w:ascii="Times New Roman" w:eastAsia="Times New Roman" w:hAnsi="Times New Roman" w:cs="Times New Roman"/>
                <w:sz w:val="24"/>
                <w:szCs w:val="24"/>
              </w:rPr>
              <w:t>District</w:t>
            </w: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Block</w:t>
            </w:r>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LRD Disease incidence (%)</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Root (wilt) diseas</w:t>
            </w:r>
            <w:r>
              <w:rPr>
                <w:rFonts w:ascii="Times New Roman" w:eastAsia="Times New Roman" w:hAnsi="Times New Roman" w:cs="Times New Roman"/>
                <w:sz w:val="24"/>
                <w:szCs w:val="24"/>
              </w:rPr>
              <w:t>e incidence (%)</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Varieties observed</w:t>
            </w:r>
          </w:p>
        </w:tc>
      </w:tr>
      <w:tr w:rsidR="00C92281">
        <w:trPr>
          <w:trHeight w:val="134"/>
        </w:trPr>
        <w:tc>
          <w:tcPr>
            <w:tcW w:w="2301" w:type="dxa"/>
            <w:vMerge w:val="restart"/>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Thiruvananthapuram</w:t>
            </w:r>
          </w:p>
          <w:p w:rsidR="00C92281" w:rsidRDefault="00C92281">
            <w:pPr>
              <w:pBdr>
                <w:top w:val="nil"/>
                <w:left w:val="nil"/>
                <w:bottom w:val="nil"/>
                <w:right w:val="nil"/>
                <w:between w:val="nil"/>
              </w:pBdr>
              <w:spacing w:before="280" w:line="240" w:lineRule="auto"/>
              <w:jc w:val="center"/>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Pothencode</w:t>
            </w:r>
            <w:proofErr w:type="spellEnd"/>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COD, WCT</w:t>
            </w:r>
          </w:p>
        </w:tc>
      </w:tr>
      <w:tr w:rsidR="00C92281">
        <w:trPr>
          <w:trHeight w:val="20"/>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Chirayinkeezhu</w:t>
            </w:r>
            <w:proofErr w:type="spellEnd"/>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T×D, WCT</w:t>
            </w:r>
          </w:p>
        </w:tc>
      </w:tr>
      <w:tr w:rsidR="00C92281">
        <w:trPr>
          <w:trHeight w:val="20"/>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Varkala</w:t>
            </w:r>
            <w:proofErr w:type="spellEnd"/>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WCT</w:t>
            </w:r>
          </w:p>
        </w:tc>
      </w:tr>
      <w:tr w:rsidR="00C92281">
        <w:trPr>
          <w:trHeight w:val="20"/>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Athiyannur</w:t>
            </w:r>
            <w:proofErr w:type="spellEnd"/>
          </w:p>
        </w:tc>
        <w:tc>
          <w:tcPr>
            <w:tcW w:w="156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w:t>
            </w:r>
          </w:p>
        </w:tc>
        <w:tc>
          <w:tcPr>
            <w:tcW w:w="1675"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w:t>
            </w:r>
          </w:p>
        </w:tc>
        <w:tc>
          <w:tcPr>
            <w:tcW w:w="1344"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T×D, WCT</w:t>
            </w:r>
          </w:p>
        </w:tc>
      </w:tr>
      <w:tr w:rsidR="00C92281">
        <w:trPr>
          <w:trHeight w:val="470"/>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Nemom</w:t>
            </w:r>
            <w:proofErr w:type="spellEnd"/>
          </w:p>
        </w:tc>
        <w:tc>
          <w:tcPr>
            <w:tcW w:w="156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w:t>
            </w:r>
          </w:p>
        </w:tc>
        <w:tc>
          <w:tcPr>
            <w:tcW w:w="1675"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c>
          <w:tcPr>
            <w:tcW w:w="1344"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w:t>
            </w:r>
          </w:p>
        </w:tc>
      </w:tr>
      <w:tr w:rsidR="00C92281">
        <w:trPr>
          <w:trHeight w:val="183"/>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Parassala</w:t>
            </w:r>
            <w:proofErr w:type="spellEnd"/>
          </w:p>
        </w:tc>
        <w:tc>
          <w:tcPr>
            <w:tcW w:w="156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42.5</w:t>
            </w:r>
          </w:p>
        </w:tc>
        <w:tc>
          <w:tcPr>
            <w:tcW w:w="1675"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c>
          <w:tcPr>
            <w:tcW w:w="1344"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331"/>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Perumkadavila</w:t>
            </w:r>
            <w:proofErr w:type="spellEnd"/>
          </w:p>
        </w:tc>
        <w:tc>
          <w:tcPr>
            <w:tcW w:w="156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w:t>
            </w:r>
          </w:p>
        </w:tc>
        <w:tc>
          <w:tcPr>
            <w:tcW w:w="1675"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w:t>
            </w:r>
          </w:p>
        </w:tc>
        <w:tc>
          <w:tcPr>
            <w:tcW w:w="1344"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w:t>
            </w:r>
          </w:p>
        </w:tc>
      </w:tr>
      <w:tr w:rsidR="00C92281">
        <w:trPr>
          <w:trHeight w:val="173"/>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Vellanad</w:t>
            </w:r>
            <w:proofErr w:type="spellEnd"/>
          </w:p>
        </w:tc>
        <w:tc>
          <w:tcPr>
            <w:tcW w:w="156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w:t>
            </w:r>
          </w:p>
        </w:tc>
        <w:tc>
          <w:tcPr>
            <w:tcW w:w="1675"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1344"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173"/>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Kilimanoor</w:t>
            </w:r>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w:t>
            </w:r>
          </w:p>
        </w:tc>
      </w:tr>
      <w:tr w:rsidR="00C92281">
        <w:trPr>
          <w:trHeight w:val="173"/>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Nedumangad</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 T×D</w:t>
            </w:r>
          </w:p>
        </w:tc>
      </w:tr>
      <w:tr w:rsidR="00C92281">
        <w:trPr>
          <w:trHeight w:val="173"/>
        </w:trPr>
        <w:tc>
          <w:tcPr>
            <w:tcW w:w="2301" w:type="dxa"/>
            <w:vMerge/>
            <w:shd w:val="clear" w:color="auto" w:fill="auto"/>
            <w:tcMar>
              <w:top w:w="72" w:type="dxa"/>
              <w:left w:w="144" w:type="dxa"/>
              <w:bottom w:w="72" w:type="dxa"/>
              <w:right w:w="144" w:type="dxa"/>
            </w:tcMar>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Vamanapuram</w:t>
            </w:r>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173"/>
        </w:trPr>
        <w:tc>
          <w:tcPr>
            <w:tcW w:w="2301" w:type="dxa"/>
            <w:vMerge w:val="restart"/>
            <w:shd w:val="clear" w:color="auto" w:fill="auto"/>
            <w:vAlign w:val="center"/>
          </w:tcPr>
          <w:p w:rsidR="00C92281" w:rsidRDefault="00A2032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Kollam</w:t>
            </w: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Chittumala</w:t>
            </w:r>
            <w:proofErr w:type="spellEnd"/>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Ithikkara</w:t>
            </w:r>
            <w:proofErr w:type="spellEnd"/>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T×D, 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Makathala</w:t>
            </w:r>
            <w:proofErr w:type="spellEnd"/>
          </w:p>
        </w:tc>
        <w:tc>
          <w:tcPr>
            <w:tcW w:w="1568"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c>
          <w:tcPr>
            <w:tcW w:w="1675"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44" w:type="dxa"/>
            <w:shd w:val="clear" w:color="auto" w:fill="auto"/>
            <w:tcMar>
              <w:top w:w="72" w:type="dxa"/>
              <w:left w:w="144" w:type="dxa"/>
              <w:bottom w:w="72" w:type="dxa"/>
              <w:right w:w="144" w:type="dxa"/>
            </w:tcMar>
            <w:vAlign w:val="center"/>
          </w:tcPr>
          <w:p w:rsidR="00C92281" w:rsidRDefault="00A2032C">
            <w:pPr>
              <w:spacing w:after="0"/>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Chadayamangalam</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Kottarakkara</w:t>
            </w:r>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Vettikad</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w:t>
            </w:r>
          </w:p>
        </w:tc>
      </w:tr>
      <w:tr w:rsidR="00C92281">
        <w:trPr>
          <w:trHeight w:val="173"/>
        </w:trPr>
        <w:tc>
          <w:tcPr>
            <w:tcW w:w="2301" w:type="dxa"/>
            <w:vMerge w:val="restart"/>
            <w:shd w:val="clear" w:color="auto" w:fill="auto"/>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Pathanamthitta</w:t>
            </w:r>
            <w:proofErr w:type="spellEnd"/>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Elanthur</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Koipuram</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Mallapally</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Pandalam</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 WCT</w:t>
            </w:r>
          </w:p>
        </w:tc>
      </w:tr>
      <w:tr w:rsidR="00C92281">
        <w:trPr>
          <w:trHeight w:val="173"/>
        </w:trPr>
        <w:tc>
          <w:tcPr>
            <w:tcW w:w="2301" w:type="dxa"/>
            <w:vMerge/>
            <w:shd w:val="clear" w:color="auto" w:fill="auto"/>
            <w:vAlign w:val="center"/>
          </w:tcPr>
          <w:p w:rsidR="00C92281" w:rsidRDefault="00C922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128" w:type="dxa"/>
            <w:shd w:val="clear" w:color="auto" w:fill="auto"/>
            <w:tcMar>
              <w:top w:w="72" w:type="dxa"/>
              <w:left w:w="144" w:type="dxa"/>
              <w:bottom w:w="72" w:type="dxa"/>
              <w:right w:w="144" w:type="dxa"/>
            </w:tcMar>
            <w:vAlign w:val="cente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Parakode</w:t>
            </w:r>
            <w:proofErr w:type="spellEnd"/>
          </w:p>
        </w:tc>
        <w:tc>
          <w:tcPr>
            <w:tcW w:w="1568"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c>
          <w:tcPr>
            <w:tcW w:w="1675"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tc>
        <w:tc>
          <w:tcPr>
            <w:tcW w:w="1344" w:type="dxa"/>
            <w:shd w:val="clear" w:color="auto" w:fill="auto"/>
            <w:tcMar>
              <w:top w:w="72" w:type="dxa"/>
              <w:left w:w="144" w:type="dxa"/>
              <w:bottom w:w="72" w:type="dxa"/>
              <w:right w:w="144" w:type="dxa"/>
            </w:tcMar>
          </w:tcPr>
          <w:p w:rsidR="00C92281" w:rsidRDefault="00A2032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WCT</w:t>
            </w:r>
          </w:p>
        </w:tc>
      </w:tr>
    </w:tbl>
    <w:p w:rsidR="00C92281" w:rsidRDefault="00C92281">
      <w:pPr>
        <w:ind w:right="-46"/>
        <w:jc w:val="both"/>
        <w:rPr>
          <w:rFonts w:ascii="Times New Roman" w:eastAsia="Times New Roman" w:hAnsi="Times New Roman" w:cs="Times New Roman"/>
          <w:b/>
          <w:sz w:val="24"/>
          <w:szCs w:val="24"/>
        </w:rPr>
      </w:pP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Symptomatology</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survey of </w:t>
      </w:r>
      <w:r>
        <w:rPr>
          <w:rFonts w:ascii="Times New Roman" w:eastAsia="Times New Roman" w:hAnsi="Times New Roman" w:cs="Times New Roman"/>
          <w:sz w:val="24"/>
          <w:szCs w:val="24"/>
        </w:rPr>
        <w:t>coconut palms, LRD symptoms were predominantly observed in spindle leaves, which are the youngest unopened leaves of the palm. The initial symptom was sp</w:t>
      </w:r>
      <w:r w:rsidR="00B45621">
        <w:rPr>
          <w:rFonts w:ascii="Times New Roman" w:eastAsia="Times New Roman" w:hAnsi="Times New Roman" w:cs="Times New Roman"/>
          <w:sz w:val="24"/>
          <w:szCs w:val="24"/>
        </w:rPr>
        <w:t>indle-leaf deterioration (Fig. 2</w:t>
      </w:r>
      <w:r>
        <w:rPr>
          <w:rFonts w:ascii="Times New Roman" w:eastAsia="Times New Roman" w:hAnsi="Times New Roman" w:cs="Times New Roman"/>
          <w:sz w:val="24"/>
          <w:szCs w:val="24"/>
        </w:rPr>
        <w:t>A), characterized by whitening and softening of leaflets. These comprom</w:t>
      </w:r>
      <w:r>
        <w:rPr>
          <w:rFonts w:ascii="Times New Roman" w:eastAsia="Times New Roman" w:hAnsi="Times New Roman" w:cs="Times New Roman"/>
          <w:sz w:val="24"/>
          <w:szCs w:val="24"/>
        </w:rPr>
        <w:t>ised leaflets became highly susceptible to LRD, which initially presented as small, water-soaked lesions on the leaf surface. Under conditions of high humidity, rainfall, and low temperature, the lesions gradually enlarged and coalesced, particularly on th</w:t>
      </w:r>
      <w:r>
        <w:rPr>
          <w:rFonts w:ascii="Times New Roman" w:eastAsia="Times New Roman" w:hAnsi="Times New Roman" w:cs="Times New Roman"/>
          <w:sz w:val="24"/>
          <w:szCs w:val="24"/>
        </w:rPr>
        <w:t>e soft, tender leaflets of the spindle. As the disease progresses, extensive rotting occurs, often spreading to the interior of the spindle. The lesions expanded rapidly, particularly when infection occurred early during spindle emergence. A tender, unopen</w:t>
      </w:r>
      <w:r>
        <w:rPr>
          <w:rFonts w:ascii="Times New Roman" w:eastAsia="Times New Roman" w:hAnsi="Times New Roman" w:cs="Times New Roman"/>
          <w:sz w:val="24"/>
          <w:szCs w:val="24"/>
        </w:rPr>
        <w:t>ed spindle leaf with a thinner epidermal layer and a high moisture content became the primary site of infection.</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disease progressed, the infected spindle leaf began to decay, and the tips of the leaflets adhered together. These tips dried, turned bl</w:t>
      </w:r>
      <w:r>
        <w:rPr>
          <w:rFonts w:ascii="Times New Roman" w:eastAsia="Times New Roman" w:hAnsi="Times New Roman" w:cs="Times New Roman"/>
          <w:sz w:val="24"/>
          <w:szCs w:val="24"/>
        </w:rPr>
        <w:t xml:space="preserve">ack, and eventually detached. In addition, the tips and midribs of the leaflets often </w:t>
      </w:r>
      <w:r w:rsidR="00B45621">
        <w:rPr>
          <w:rFonts w:ascii="Times New Roman" w:eastAsia="Times New Roman" w:hAnsi="Times New Roman" w:cs="Times New Roman"/>
          <w:sz w:val="24"/>
          <w:szCs w:val="24"/>
        </w:rPr>
        <w:t>shrivelled and blackened (Fig. 2</w:t>
      </w:r>
      <w:r>
        <w:rPr>
          <w:rFonts w:ascii="Times New Roman" w:eastAsia="Times New Roman" w:hAnsi="Times New Roman" w:cs="Times New Roman"/>
          <w:sz w:val="24"/>
          <w:szCs w:val="24"/>
        </w:rPr>
        <w:t>B). In more mature leaves, the disease progressed more slowly, with rotting primarily affecting the upper portions of the leaves while lea</w:t>
      </w:r>
      <w:r>
        <w:rPr>
          <w:rFonts w:ascii="Times New Roman" w:eastAsia="Times New Roman" w:hAnsi="Times New Roman" w:cs="Times New Roman"/>
          <w:sz w:val="24"/>
          <w:szCs w:val="24"/>
        </w:rPr>
        <w:t>ving some basal portions symptom-free. This resulted in a fan-like appe</w:t>
      </w:r>
      <w:r w:rsidR="00B45621">
        <w:rPr>
          <w:rFonts w:ascii="Times New Roman" w:eastAsia="Times New Roman" w:hAnsi="Times New Roman" w:cs="Times New Roman"/>
          <w:sz w:val="24"/>
          <w:szCs w:val="24"/>
        </w:rPr>
        <w:t>arance of the palm crown (Fig. 2</w:t>
      </w:r>
      <w:bookmarkStart w:id="1" w:name="_GoBack"/>
      <w:bookmarkEnd w:id="1"/>
      <w:r>
        <w:rPr>
          <w:rFonts w:ascii="Times New Roman" w:eastAsia="Times New Roman" w:hAnsi="Times New Roman" w:cs="Times New Roman"/>
          <w:sz w:val="24"/>
          <w:szCs w:val="24"/>
        </w:rPr>
        <w:t>C), which is a characteristic feature of this disease. The fan-like structure indicates that LRD affected the palm in succession, with varying degrees of</w:t>
      </w:r>
      <w:r>
        <w:rPr>
          <w:rFonts w:ascii="Times New Roman" w:eastAsia="Times New Roman" w:hAnsi="Times New Roman" w:cs="Times New Roman"/>
          <w:sz w:val="24"/>
          <w:szCs w:val="24"/>
        </w:rPr>
        <w:t xml:space="preserve"> rot across different </w:t>
      </w:r>
      <w:r>
        <w:rPr>
          <w:rFonts w:ascii="Times New Roman" w:eastAsia="Times New Roman" w:hAnsi="Times New Roman" w:cs="Times New Roman"/>
          <w:sz w:val="24"/>
          <w:szCs w:val="24"/>
        </w:rPr>
        <w:lastRenderedPageBreak/>
        <w:t xml:space="preserve">leaves. In severe cases, rotting leads to a significant decline in the photosynthetic capacity of the palm, resulting in reduced vigour, stunted growth, and fruit yield. If left unmanaged, the disease can eventually lead to the death </w:t>
      </w:r>
      <w:r>
        <w:rPr>
          <w:rFonts w:ascii="Times New Roman" w:eastAsia="Times New Roman" w:hAnsi="Times New Roman" w:cs="Times New Roman"/>
          <w:sz w:val="24"/>
          <w:szCs w:val="24"/>
        </w:rPr>
        <w:t>of the palm.</w:t>
      </w:r>
      <w:r>
        <w:rPr>
          <w:noProof/>
          <w:lang w:val="en-US"/>
        </w:rPr>
        <w:drawing>
          <wp:anchor distT="0" distB="0" distL="114300" distR="114300" simplePos="0" relativeHeight="251658240" behindDoc="0" locked="0" layoutInCell="1" hidden="0" allowOverlap="1">
            <wp:simplePos x="0" y="0"/>
            <wp:positionH relativeFrom="column">
              <wp:posOffset>102871</wp:posOffset>
            </wp:positionH>
            <wp:positionV relativeFrom="paragraph">
              <wp:posOffset>777240</wp:posOffset>
            </wp:positionV>
            <wp:extent cx="5730240" cy="2814955"/>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6963" b="5734"/>
                    <a:stretch>
                      <a:fillRect/>
                    </a:stretch>
                  </pic:blipFill>
                  <pic:spPr>
                    <a:xfrm>
                      <a:off x="0" y="0"/>
                      <a:ext cx="5730240" cy="2814955"/>
                    </a:xfrm>
                    <a:prstGeom prst="rect">
                      <a:avLst/>
                    </a:prstGeom>
                    <a:ln/>
                  </pic:spPr>
                </pic:pic>
              </a:graphicData>
            </a:graphic>
          </wp:anchor>
        </w:drawing>
      </w:r>
    </w:p>
    <w:p w:rsidR="00C92281" w:rsidRDefault="00A2032C">
      <w:pPr>
        <w:spacing w:line="360" w:lineRule="auto"/>
        <w:ind w:right="-46"/>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2. Symptoms of LRD</w:t>
      </w:r>
      <w:r>
        <w:rPr>
          <w:rFonts w:ascii="Times New Roman" w:eastAsia="Times New Roman" w:hAnsi="Times New Roman" w:cs="Times New Roman"/>
          <w:i/>
          <w:sz w:val="24"/>
          <w:szCs w:val="24"/>
        </w:rPr>
        <w:t xml:space="preserve"> (A) Deterioration of the spindle leaves, (B) Rotten tips of the leaflets, (C) fan-like appearance of the crown</w:t>
      </w: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Isolation and pathogenicity </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Isolation was performed using infected symptomatic leaves, leading to the identification of the primary pathogens responsible for LRD, including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 xml:space="preserve">sp.,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 xml:space="preserve">sp.,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sp. These isolates were subsequently selected for pathogenici</w:t>
      </w:r>
      <w:r>
        <w:rPr>
          <w:rFonts w:ascii="Times New Roman" w:eastAsia="Times New Roman" w:hAnsi="Times New Roman" w:cs="Times New Roman"/>
          <w:sz w:val="24"/>
          <w:szCs w:val="24"/>
        </w:rPr>
        <w:t>ty assessment and detailed characterization. For pathogenicity testing, the pathogens were artificially inoculated onto detached leaves. Each isolate induced disease symptoms that closely mirrored those observed in the field, including development of lesio</w:t>
      </w:r>
      <w:r>
        <w:rPr>
          <w:rFonts w:ascii="Times New Roman" w:eastAsia="Times New Roman" w:hAnsi="Times New Roman" w:cs="Times New Roman"/>
          <w:sz w:val="24"/>
          <w:szCs w:val="24"/>
        </w:rPr>
        <w:t>ns and leaf rot. Koch's postulates were successfully satisfied, as the pathogens isolated from the artificially infected symptomatic stems produced symptoms identical to those observed in the field.</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isolates were morphologically characterized using lig</w:t>
      </w:r>
      <w:r>
        <w:rPr>
          <w:rFonts w:ascii="Times New Roman" w:eastAsia="Times New Roman" w:hAnsi="Times New Roman" w:cs="Times New Roman"/>
          <w:sz w:val="24"/>
          <w:szCs w:val="24"/>
        </w:rPr>
        <w:t xml:space="preserve">ht microscopy. </w:t>
      </w:r>
      <w:r>
        <w:rPr>
          <w:rFonts w:ascii="Times New Roman" w:eastAsia="Times New Roman" w:hAnsi="Times New Roman" w:cs="Times New Roman"/>
          <w:i/>
          <w:sz w:val="24"/>
          <w:szCs w:val="24"/>
        </w:rPr>
        <w:t>Colletotrichum</w:t>
      </w:r>
      <w:r>
        <w:rPr>
          <w:rFonts w:ascii="Times New Roman" w:eastAsia="Times New Roman" w:hAnsi="Times New Roman" w:cs="Times New Roman"/>
          <w:sz w:val="24"/>
          <w:szCs w:val="24"/>
        </w:rPr>
        <w:t xml:space="preserve"> cultures grown on PDA medium exhibited a dense, cottony morphology, with the colony colour ranging from white to grey on the obverse and white to dark green on the reverse. The aerial mycelium appeared white to greyish-white a</w:t>
      </w:r>
      <w:r>
        <w:rPr>
          <w:rFonts w:ascii="Times New Roman" w:eastAsia="Times New Roman" w:hAnsi="Times New Roman" w:cs="Times New Roman"/>
          <w:sz w:val="24"/>
          <w:szCs w:val="24"/>
        </w:rPr>
        <w:t xml:space="preserve">nd consisted of hyaline, septate, and branched hyphae. The conidia were hyaline, straight, single-celled, with central constriction, cylindrical in shape, and contained a central oil globule. Similarly,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isolates demonstrated dense cottony colony m</w:t>
      </w:r>
      <w:r>
        <w:rPr>
          <w:rFonts w:ascii="Times New Roman" w:eastAsia="Times New Roman" w:hAnsi="Times New Roman" w:cs="Times New Roman"/>
          <w:sz w:val="24"/>
          <w:szCs w:val="24"/>
        </w:rPr>
        <w:t xml:space="preserve">orphology on the PDA medium. Colony colour varied from white to off-white on the upper surface and from off-white to light yellow on the underside. The mycelia were </w:t>
      </w:r>
      <w:r>
        <w:rPr>
          <w:rFonts w:ascii="Times New Roman" w:eastAsia="Times New Roman" w:hAnsi="Times New Roman" w:cs="Times New Roman"/>
          <w:sz w:val="24"/>
          <w:szCs w:val="24"/>
        </w:rPr>
        <w:lastRenderedPageBreak/>
        <w:t>hyaline, septate, and branched, producing both macroconidia and microconidia. The macroconi</w:t>
      </w:r>
      <w:r>
        <w:rPr>
          <w:rFonts w:ascii="Times New Roman" w:eastAsia="Times New Roman" w:hAnsi="Times New Roman" w:cs="Times New Roman"/>
          <w:sz w:val="24"/>
          <w:szCs w:val="24"/>
        </w:rPr>
        <w:t xml:space="preserve">dia were hyaline, septate, sickle-shaped, and comprised 2-4 cells in length, whereas the microconidia were hyaline, single-celled, and clavate.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sz w:val="24"/>
          <w:szCs w:val="24"/>
        </w:rPr>
        <w:t xml:space="preserve"> isolates exhibited cottony colony morphology, with coloration ranging from off-white to grey. The my</w:t>
      </w:r>
      <w:r>
        <w:rPr>
          <w:rFonts w:ascii="Times New Roman" w:eastAsia="Times New Roman" w:hAnsi="Times New Roman" w:cs="Times New Roman"/>
          <w:sz w:val="24"/>
          <w:szCs w:val="24"/>
        </w:rPr>
        <w:t>celia varied from light to deep brown, featuring a distinct protruding, truncate hilum. The conidia displayed bipolar germination and were fusiform, cylindrical, pyriform, or oval, with 2-4 septa. All isolates were incubated at 28±1°C under a 12:12-hour li</w:t>
      </w:r>
      <w:r>
        <w:rPr>
          <w:rFonts w:ascii="Times New Roman" w:eastAsia="Times New Roman" w:hAnsi="Times New Roman" w:cs="Times New Roman"/>
          <w:sz w:val="24"/>
          <w:szCs w:val="24"/>
        </w:rPr>
        <w:t xml:space="preserve">ght: dark photoperiod. Based on their morphological and conidial characteristics [16], the isolates were identified as </w:t>
      </w:r>
      <w:r>
        <w:rPr>
          <w:rFonts w:ascii="Times New Roman" w:eastAsia="Times New Roman" w:hAnsi="Times New Roman" w:cs="Times New Roman"/>
          <w:i/>
          <w:sz w:val="24"/>
          <w:szCs w:val="24"/>
        </w:rPr>
        <w:t>Colletotrichum</w:t>
      </w:r>
      <w:r>
        <w:rPr>
          <w:rFonts w:ascii="Times New Roman" w:eastAsia="Times New Roman" w:hAnsi="Times New Roman" w:cs="Times New Roman"/>
          <w:sz w:val="24"/>
          <w:szCs w:val="24"/>
        </w:rPr>
        <w:t xml:space="preserve"> sp.,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sz w:val="24"/>
          <w:szCs w:val="24"/>
        </w:rPr>
        <w:t xml:space="preserve"> sp.</w:t>
      </w:r>
      <w:r>
        <w:rPr>
          <w:noProof/>
          <w:lang w:val="en-US"/>
        </w:rPr>
        <w:drawing>
          <wp:anchor distT="0" distB="0" distL="114300" distR="114300" simplePos="0" relativeHeight="251659264" behindDoc="0" locked="0" layoutInCell="1" hidden="0" allowOverlap="1">
            <wp:simplePos x="0" y="0"/>
            <wp:positionH relativeFrom="column">
              <wp:posOffset>1324610</wp:posOffset>
            </wp:positionH>
            <wp:positionV relativeFrom="paragraph">
              <wp:posOffset>2460625</wp:posOffset>
            </wp:positionV>
            <wp:extent cx="3810635" cy="353060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2239" r="17081"/>
                    <a:stretch>
                      <a:fillRect/>
                    </a:stretch>
                  </pic:blipFill>
                  <pic:spPr>
                    <a:xfrm>
                      <a:off x="0" y="0"/>
                      <a:ext cx="3810635" cy="3530600"/>
                    </a:xfrm>
                    <a:prstGeom prst="rect">
                      <a:avLst/>
                    </a:prstGeom>
                    <a:ln/>
                  </pic:spPr>
                </pic:pic>
              </a:graphicData>
            </a:graphic>
          </wp:anchor>
        </w:drawing>
      </w:r>
    </w:p>
    <w:p w:rsidR="00C92281" w:rsidRDefault="00C92281">
      <w:pPr>
        <w:spacing w:line="360" w:lineRule="auto"/>
        <w:ind w:right="-46"/>
        <w:jc w:val="both"/>
        <w:rPr>
          <w:rFonts w:ascii="Times New Roman" w:eastAsia="Times New Roman" w:hAnsi="Times New Roman" w:cs="Times New Roman"/>
          <w:sz w:val="24"/>
          <w:szCs w:val="24"/>
        </w:rPr>
      </w:pPr>
    </w:p>
    <w:p w:rsidR="00C92281" w:rsidRDefault="00A2032C">
      <w:pPr>
        <w:spacing w:line="360" w:lineRule="auto"/>
        <w:ind w:right="-46"/>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3. </w:t>
      </w:r>
      <w:r w:rsidRPr="0014467D">
        <w:rPr>
          <w:rFonts w:ascii="Times New Roman" w:eastAsia="Times New Roman" w:hAnsi="Times New Roman" w:cs="Times New Roman"/>
          <w:i/>
          <w:sz w:val="24"/>
          <w:szCs w:val="24"/>
        </w:rPr>
        <w:t>Cultural and morphological</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Characteristics of major LRD pathogens</w:t>
      </w:r>
    </w:p>
    <w:p w:rsidR="00C92281" w:rsidRDefault="00A2032C">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r>
        <w:rPr>
          <w:rFonts w:ascii="Times New Roman" w:eastAsia="Times New Roman" w:hAnsi="Times New Roman" w:cs="Times New Roman"/>
          <w:b/>
          <w:i/>
          <w:sz w:val="24"/>
          <w:szCs w:val="24"/>
        </w:rPr>
        <w:t xml:space="preserve"> I</w:t>
      </w:r>
      <w:r>
        <w:rPr>
          <w:rFonts w:ascii="Times New Roman" w:eastAsia="Times New Roman" w:hAnsi="Times New Roman" w:cs="Times New Roman"/>
          <w:b/>
          <w:i/>
          <w:sz w:val="24"/>
          <w:szCs w:val="24"/>
        </w:rPr>
        <w:t xml:space="preserve">n vitro </w:t>
      </w:r>
      <w:r>
        <w:rPr>
          <w:rFonts w:ascii="Times New Roman" w:eastAsia="Times New Roman" w:hAnsi="Times New Roman" w:cs="Times New Roman"/>
          <w:b/>
          <w:sz w:val="24"/>
          <w:szCs w:val="24"/>
        </w:rPr>
        <w:t>management</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antagonistic effects of the biocontrol agents on the three LRD pathogens were assessed using a dual-culture technique. </w:t>
      </w:r>
      <w:r>
        <w:rPr>
          <w:rFonts w:ascii="Times New Roman" w:eastAsia="Times New Roman" w:hAnsi="Times New Roman" w:cs="Times New Roman"/>
          <w:i/>
          <w:sz w:val="24"/>
          <w:szCs w:val="24"/>
        </w:rPr>
        <w:t xml:space="preserve">Trichoderma </w:t>
      </w:r>
      <w:r>
        <w:rPr>
          <w:rFonts w:ascii="Times New Roman" w:eastAsia="Times New Roman" w:hAnsi="Times New Roman" w:cs="Times New Roman"/>
          <w:sz w:val="24"/>
          <w:szCs w:val="24"/>
        </w:rPr>
        <w:t>sp.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(NW2) strongly inhibited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 xml:space="preserve">sp. (72.58%),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 xml:space="preserve">sp. (75.43%),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 (74.65%). </w:t>
      </w:r>
      <w:r>
        <w:rPr>
          <w:rFonts w:ascii="Times New Roman" w:eastAsia="Times New Roman" w:hAnsi="Times New Roman" w:cs="Times New Roman"/>
          <w:i/>
          <w:sz w:val="24"/>
          <w:szCs w:val="24"/>
        </w:rPr>
        <w:t xml:space="preserve">Trichoderma </w:t>
      </w:r>
      <w:r>
        <w:rPr>
          <w:rFonts w:ascii="Times New Roman" w:eastAsia="Times New Roman" w:hAnsi="Times New Roman" w:cs="Times New Roman"/>
          <w:sz w:val="24"/>
          <w:szCs w:val="24"/>
        </w:rPr>
        <w:t xml:space="preserve">sp. (KAU) also showed significant inhibition, with 75.48% inhibition against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 xml:space="preserve">sp., 71.92% against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 xml:space="preserve">sp., and 65.69% against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 Both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isolates effectively suppressed all three pathogens,</w:t>
      </w:r>
      <w:r>
        <w:rPr>
          <w:rFonts w:ascii="Times New Roman" w:eastAsia="Times New Roman" w:hAnsi="Times New Roman" w:cs="Times New Roman"/>
          <w:sz w:val="24"/>
          <w:szCs w:val="24"/>
        </w:rPr>
        <w:t xml:space="preserve"> although </w:t>
      </w:r>
      <w:r>
        <w:rPr>
          <w:rFonts w:ascii="Times New Roman" w:eastAsia="Times New Roman" w:hAnsi="Times New Roman" w:cs="Times New Roman"/>
          <w:i/>
          <w:sz w:val="24"/>
          <w:szCs w:val="24"/>
        </w:rPr>
        <w:t xml:space="preserve">Trichoderma </w:t>
      </w:r>
      <w:r>
        <w:rPr>
          <w:rFonts w:ascii="Times New Roman" w:eastAsia="Times New Roman" w:hAnsi="Times New Roman" w:cs="Times New Roman"/>
          <w:sz w:val="24"/>
          <w:szCs w:val="24"/>
        </w:rPr>
        <w:t>sp.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(NW2) showed a slightly higher inhibition across pathogens, particularly against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sp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(VLY24) was highly effective against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sp., with 79.33% inhibition, and exhibited 74.19% inhibition again</w:t>
      </w:r>
      <w:r>
        <w:rPr>
          <w:rFonts w:ascii="Times New Roman" w:eastAsia="Times New Roman" w:hAnsi="Times New Roman" w:cs="Times New Roman"/>
          <w:sz w:val="24"/>
          <w:szCs w:val="24"/>
        </w:rPr>
        <w:t xml:space="preserve">st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 xml:space="preserve">sp. and 73.68% inhibition against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 xml:space="preserve">sp. The chemical fungicide COC resulted in complete inhibition of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 xml:space="preserve">sp. (100%) but was less effective against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 (44.63%). It showed 91.93% inhibition against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 indicating its potent control over some pathogens but less effective against others. However, no inhibition was observed in the control group. These results highlight the potential of both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isolates and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as effective bioc</w:t>
      </w:r>
      <w:r>
        <w:rPr>
          <w:rFonts w:ascii="Times New Roman" w:eastAsia="Times New Roman" w:hAnsi="Times New Roman" w:cs="Times New Roman"/>
          <w:sz w:val="24"/>
          <w:szCs w:val="24"/>
        </w:rPr>
        <w:t>ontrol agents for managing LRD pathogens.</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i/>
          <w:sz w:val="24"/>
          <w:szCs w:val="24"/>
        </w:rPr>
        <w:t xml:space="preserve"> In vitro </w:t>
      </w:r>
      <w:r>
        <w:rPr>
          <w:rFonts w:ascii="Times New Roman" w:eastAsia="Times New Roman" w:hAnsi="Times New Roman" w:cs="Times New Roman"/>
          <w:b/>
          <w:sz w:val="24"/>
          <w:szCs w:val="24"/>
        </w:rPr>
        <w:t>dual culture plate assay against major LRD pathogens</w:t>
      </w:r>
    </w:p>
    <w:tbl>
      <w:tblPr>
        <w:tblStyle w:val="a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1"/>
        <w:gridCol w:w="2066"/>
        <w:gridCol w:w="2418"/>
        <w:gridCol w:w="2410"/>
      </w:tblGrid>
      <w:tr w:rsidR="00C92281">
        <w:tc>
          <w:tcPr>
            <w:tcW w:w="2731" w:type="dxa"/>
            <w:vMerge w:val="restart"/>
          </w:tcPr>
          <w:p w:rsidR="00C92281" w:rsidRDefault="00A2032C">
            <w:pPr>
              <w:spacing w:line="360" w:lineRule="auto"/>
              <w:ind w:right="-46"/>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Treatment</w:t>
            </w:r>
          </w:p>
        </w:tc>
        <w:tc>
          <w:tcPr>
            <w:tcW w:w="2066" w:type="dxa"/>
          </w:tcPr>
          <w:p w:rsidR="00C92281" w:rsidRDefault="00A2032C">
            <w:pPr>
              <w:spacing w:line="360" w:lineRule="auto"/>
              <w:ind w:right="-46"/>
              <w:jc w:val="center"/>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Colletotrichum</w:t>
            </w:r>
            <w:r>
              <w:rPr>
                <w:rFonts w:ascii="Times New Roman" w:eastAsia="Times New Roman" w:hAnsi="Times New Roman" w:cs="Times New Roman"/>
                <w:b/>
                <w:sz w:val="20"/>
                <w:szCs w:val="20"/>
              </w:rPr>
              <w:t xml:space="preserve"> sp.</w:t>
            </w:r>
          </w:p>
        </w:tc>
        <w:tc>
          <w:tcPr>
            <w:tcW w:w="2418" w:type="dxa"/>
          </w:tcPr>
          <w:p w:rsidR="00C92281" w:rsidRDefault="00A2032C">
            <w:pPr>
              <w:spacing w:line="360" w:lineRule="auto"/>
              <w:ind w:right="-46"/>
              <w:jc w:val="center"/>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 xml:space="preserve">Fusarium </w:t>
            </w:r>
            <w:r>
              <w:rPr>
                <w:rFonts w:ascii="Times New Roman" w:eastAsia="Times New Roman" w:hAnsi="Times New Roman" w:cs="Times New Roman"/>
                <w:b/>
                <w:sz w:val="20"/>
                <w:szCs w:val="20"/>
              </w:rPr>
              <w:t>sp.</w:t>
            </w:r>
          </w:p>
        </w:tc>
        <w:tc>
          <w:tcPr>
            <w:tcW w:w="2410" w:type="dxa"/>
          </w:tcPr>
          <w:p w:rsidR="00C92281" w:rsidRDefault="00A2032C">
            <w:pPr>
              <w:spacing w:line="360" w:lineRule="auto"/>
              <w:ind w:right="-46"/>
              <w:jc w:val="center"/>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0"/>
                <w:szCs w:val="20"/>
              </w:rPr>
              <w:t>Exserohilum</w:t>
            </w:r>
            <w:proofErr w:type="spellEnd"/>
            <w:r>
              <w:rPr>
                <w:rFonts w:ascii="Times New Roman" w:eastAsia="Times New Roman" w:hAnsi="Times New Roman" w:cs="Times New Roman"/>
                <w:b/>
                <w:i/>
                <w:sz w:val="20"/>
                <w:szCs w:val="20"/>
              </w:rPr>
              <w:t xml:space="preserve"> </w:t>
            </w:r>
            <w:r>
              <w:rPr>
                <w:rFonts w:ascii="Times New Roman" w:eastAsia="Times New Roman" w:hAnsi="Times New Roman" w:cs="Times New Roman"/>
                <w:b/>
                <w:sz w:val="20"/>
                <w:szCs w:val="20"/>
              </w:rPr>
              <w:t>sp.</w:t>
            </w:r>
          </w:p>
        </w:tc>
      </w:tr>
      <w:tr w:rsidR="00C92281">
        <w:tc>
          <w:tcPr>
            <w:tcW w:w="2731" w:type="dxa"/>
            <w:vMerge/>
          </w:tcPr>
          <w:p w:rsidR="00C92281" w:rsidRDefault="00C92281">
            <w:pPr>
              <w:widowControl w:val="0"/>
              <w:pBdr>
                <w:top w:val="nil"/>
                <w:left w:val="nil"/>
                <w:bottom w:val="nil"/>
                <w:right w:val="nil"/>
                <w:between w:val="nil"/>
              </w:pBdr>
              <w:spacing w:line="276" w:lineRule="auto"/>
              <w:rPr>
                <w:rFonts w:ascii="Times New Roman" w:eastAsia="Times New Roman" w:hAnsi="Times New Roman" w:cs="Times New Roman"/>
                <w:b/>
                <w:i/>
                <w:sz w:val="20"/>
                <w:szCs w:val="20"/>
              </w:rPr>
            </w:pPr>
          </w:p>
        </w:tc>
        <w:tc>
          <w:tcPr>
            <w:tcW w:w="2066" w:type="dxa"/>
          </w:tcPr>
          <w:p w:rsidR="00C92281" w:rsidRDefault="00A2032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Per cent inhibition of mycelial growth (%)*</w:t>
            </w:r>
          </w:p>
        </w:tc>
        <w:tc>
          <w:tcPr>
            <w:tcW w:w="2418" w:type="dxa"/>
          </w:tcPr>
          <w:p w:rsidR="00C92281" w:rsidRDefault="00A2032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Per cent inhibition of mycelial growth (%)</w:t>
            </w:r>
          </w:p>
        </w:tc>
        <w:tc>
          <w:tcPr>
            <w:tcW w:w="2410" w:type="dxa"/>
          </w:tcPr>
          <w:p w:rsidR="00C92281" w:rsidRDefault="00A2032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Per cent inhibition of mycelial growth (%)</w:t>
            </w:r>
          </w:p>
        </w:tc>
      </w:tr>
      <w:tr w:rsidR="00C92281">
        <w:tc>
          <w:tcPr>
            <w:tcW w:w="2731" w:type="dxa"/>
          </w:tcPr>
          <w:p w:rsidR="00C92281" w:rsidRDefault="00A2032C">
            <w:pPr>
              <w:spacing w:line="360" w:lineRule="auto"/>
              <w:ind w:right="-46"/>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Trichoderma</w:t>
            </w:r>
            <w:r>
              <w:rPr>
                <w:rFonts w:ascii="Times New Roman" w:eastAsia="Times New Roman" w:hAnsi="Times New Roman" w:cs="Times New Roman"/>
                <w:sz w:val="20"/>
                <w:szCs w:val="20"/>
              </w:rPr>
              <w:t xml:space="preserve"> sp. (NW2)</w:t>
            </w:r>
          </w:p>
        </w:tc>
        <w:tc>
          <w:tcPr>
            <w:tcW w:w="2066"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72.58 (60.53)**</w:t>
            </w:r>
          </w:p>
        </w:tc>
        <w:tc>
          <w:tcPr>
            <w:tcW w:w="2418"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75.43 (60.29)</w:t>
            </w:r>
          </w:p>
        </w:tc>
        <w:tc>
          <w:tcPr>
            <w:tcW w:w="2410"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74.65 (59.68)</w:t>
            </w:r>
          </w:p>
        </w:tc>
      </w:tr>
      <w:tr w:rsidR="00C92281">
        <w:tc>
          <w:tcPr>
            <w:tcW w:w="2731" w:type="dxa"/>
          </w:tcPr>
          <w:p w:rsidR="00C92281" w:rsidRDefault="00A2032C">
            <w:pPr>
              <w:spacing w:line="360" w:lineRule="auto"/>
              <w:ind w:right="-46"/>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Trichoderma</w:t>
            </w:r>
            <w:r>
              <w:rPr>
                <w:rFonts w:ascii="Times New Roman" w:eastAsia="Times New Roman" w:hAnsi="Times New Roman" w:cs="Times New Roman"/>
                <w:sz w:val="20"/>
                <w:szCs w:val="20"/>
              </w:rPr>
              <w:t xml:space="preserve"> sp. (KAU)</w:t>
            </w:r>
          </w:p>
        </w:tc>
        <w:tc>
          <w:tcPr>
            <w:tcW w:w="2066"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75.48 (60.32)</w:t>
            </w:r>
          </w:p>
        </w:tc>
        <w:tc>
          <w:tcPr>
            <w:tcW w:w="2418"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71.92 (58.00)</w:t>
            </w:r>
          </w:p>
        </w:tc>
        <w:tc>
          <w:tcPr>
            <w:tcW w:w="2410"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65.69 (54.02)</w:t>
            </w:r>
          </w:p>
        </w:tc>
      </w:tr>
      <w:tr w:rsidR="00C92281">
        <w:tc>
          <w:tcPr>
            <w:tcW w:w="2731" w:type="dxa"/>
          </w:tcPr>
          <w:p w:rsidR="00C92281" w:rsidRDefault="00A2032C">
            <w:pPr>
              <w:spacing w:line="360" w:lineRule="auto"/>
              <w:ind w:right="-46"/>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B. </w:t>
            </w:r>
            <w:proofErr w:type="spellStart"/>
            <w:r>
              <w:rPr>
                <w:rFonts w:ascii="Times New Roman" w:eastAsia="Times New Roman" w:hAnsi="Times New Roman" w:cs="Times New Roman"/>
                <w:i/>
                <w:sz w:val="20"/>
                <w:szCs w:val="20"/>
              </w:rPr>
              <w:t>amyloliquifaciens</w:t>
            </w:r>
            <w:proofErr w:type="spellEnd"/>
            <w:r>
              <w:rPr>
                <w:rFonts w:ascii="Times New Roman" w:eastAsia="Times New Roman" w:hAnsi="Times New Roman" w:cs="Times New Roman"/>
                <w:sz w:val="20"/>
                <w:szCs w:val="20"/>
              </w:rPr>
              <w:t xml:space="preserve"> (VLY24)</w:t>
            </w:r>
          </w:p>
        </w:tc>
        <w:tc>
          <w:tcPr>
            <w:tcW w:w="2066"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74.19 </w:t>
            </w:r>
            <w:r>
              <w:rPr>
                <w:rFonts w:ascii="Times New Roman" w:eastAsia="Times New Roman" w:hAnsi="Times New Roman" w:cs="Times New Roman"/>
                <w:sz w:val="20"/>
                <w:szCs w:val="20"/>
              </w:rPr>
              <w:t>(59.46)</w:t>
            </w:r>
          </w:p>
        </w:tc>
        <w:tc>
          <w:tcPr>
            <w:tcW w:w="2418"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73.68 (59.13)</w:t>
            </w:r>
          </w:p>
        </w:tc>
        <w:tc>
          <w:tcPr>
            <w:tcW w:w="2410"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79.33 (62.88)</w:t>
            </w:r>
          </w:p>
        </w:tc>
      </w:tr>
      <w:tr w:rsidR="00C92281">
        <w:tc>
          <w:tcPr>
            <w:tcW w:w="2731" w:type="dxa"/>
          </w:tcPr>
          <w:p w:rsidR="00C92281" w:rsidRDefault="00A2032C">
            <w:pPr>
              <w:spacing w:line="360" w:lineRule="auto"/>
              <w:ind w:right="-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COC</w:t>
            </w:r>
          </w:p>
        </w:tc>
        <w:tc>
          <w:tcPr>
            <w:tcW w:w="2066"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91.93 (73.50)</w:t>
            </w:r>
          </w:p>
        </w:tc>
        <w:tc>
          <w:tcPr>
            <w:tcW w:w="2418"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 (90)</w:t>
            </w:r>
          </w:p>
        </w:tc>
        <w:tc>
          <w:tcPr>
            <w:tcW w:w="2410"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44.63 (41.73)</w:t>
            </w:r>
          </w:p>
        </w:tc>
      </w:tr>
      <w:tr w:rsidR="00C92281">
        <w:tc>
          <w:tcPr>
            <w:tcW w:w="2731" w:type="dxa"/>
          </w:tcPr>
          <w:p w:rsidR="00C92281" w:rsidRDefault="00A2032C">
            <w:pPr>
              <w:spacing w:line="360" w:lineRule="auto"/>
              <w:ind w:right="-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Control</w:t>
            </w:r>
          </w:p>
        </w:tc>
        <w:tc>
          <w:tcPr>
            <w:tcW w:w="2066"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w:t>
            </w:r>
          </w:p>
        </w:tc>
        <w:tc>
          <w:tcPr>
            <w:tcW w:w="2418"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w:t>
            </w:r>
          </w:p>
        </w:tc>
        <w:tc>
          <w:tcPr>
            <w:tcW w:w="2410" w:type="dxa"/>
          </w:tcPr>
          <w:p w:rsidR="00C92281" w:rsidRDefault="00A2032C">
            <w:pPr>
              <w:spacing w:line="360" w:lineRule="auto"/>
              <w:ind w:right="-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w:t>
            </w:r>
          </w:p>
        </w:tc>
      </w:tr>
    </w:tbl>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of 10 replicates **Values in parenthesis are arc sine transformed values</w:t>
      </w:r>
      <w:r>
        <w:rPr>
          <w:noProof/>
          <w:lang w:val="en-US"/>
        </w:rPr>
        <w:drawing>
          <wp:anchor distT="0" distB="0" distL="114300" distR="114300" simplePos="0" relativeHeight="251660288" behindDoc="0" locked="0" layoutInCell="1" hidden="0" allowOverlap="1">
            <wp:simplePos x="0" y="0"/>
            <wp:positionH relativeFrom="column">
              <wp:posOffset>373379</wp:posOffset>
            </wp:positionH>
            <wp:positionV relativeFrom="paragraph">
              <wp:posOffset>391795</wp:posOffset>
            </wp:positionV>
            <wp:extent cx="5189220" cy="326136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987" r="3430"/>
                    <a:stretch>
                      <a:fillRect/>
                    </a:stretch>
                  </pic:blipFill>
                  <pic:spPr>
                    <a:xfrm>
                      <a:off x="0" y="0"/>
                      <a:ext cx="5189220" cy="3261360"/>
                    </a:xfrm>
                    <a:prstGeom prst="rect">
                      <a:avLst/>
                    </a:prstGeom>
                    <a:ln/>
                  </pic:spPr>
                </pic:pic>
              </a:graphicData>
            </a:graphic>
          </wp:anchor>
        </w:drawing>
      </w:r>
    </w:p>
    <w:p w:rsidR="00C92281" w:rsidRDefault="00C92281">
      <w:pPr>
        <w:spacing w:line="360" w:lineRule="auto"/>
        <w:ind w:right="-46"/>
        <w:jc w:val="center"/>
        <w:rPr>
          <w:rFonts w:ascii="Times New Roman" w:eastAsia="Times New Roman" w:hAnsi="Times New Roman" w:cs="Times New Roman"/>
          <w:b/>
          <w:sz w:val="24"/>
          <w:szCs w:val="24"/>
        </w:rPr>
      </w:pPr>
    </w:p>
    <w:p w:rsidR="00C92281" w:rsidRDefault="00A2032C">
      <w:pPr>
        <w:spacing w:line="360" w:lineRule="auto"/>
        <w:ind w:right="-46"/>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 4.</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In vitro evaluations of the biocontrol agents and COC </w:t>
      </w:r>
      <w:r>
        <w:rPr>
          <w:rFonts w:ascii="Times New Roman" w:eastAsia="Times New Roman" w:hAnsi="Times New Roman" w:cs="Times New Roman"/>
          <w:i/>
          <w:sz w:val="24"/>
          <w:szCs w:val="24"/>
        </w:rPr>
        <w:t>against major LRD pathogens</w:t>
      </w: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Discussion</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this study provide a comprehensive overview of the incidence and management of LRD in coconut palms in Southern Kerala. A roving survey conducted across the districts of Thiruvananthapuram, Kollam, a</w:t>
      </w:r>
      <w:r>
        <w:rPr>
          <w:rFonts w:ascii="Times New Roman" w:eastAsia="Times New Roman" w:hAnsi="Times New Roman" w:cs="Times New Roman"/>
          <w:sz w:val="24"/>
          <w:szCs w:val="24"/>
        </w:rPr>
        <w:t xml:space="preserve">nd </w:t>
      </w:r>
      <w:proofErr w:type="spellStart"/>
      <w:r>
        <w:rPr>
          <w:rFonts w:ascii="Times New Roman" w:eastAsia="Times New Roman" w:hAnsi="Times New Roman" w:cs="Times New Roman"/>
          <w:sz w:val="24"/>
          <w:szCs w:val="24"/>
        </w:rPr>
        <w:t>Pathanamthitta</w:t>
      </w:r>
      <w:proofErr w:type="spellEnd"/>
      <w:r>
        <w:rPr>
          <w:rFonts w:ascii="Times New Roman" w:eastAsia="Times New Roman" w:hAnsi="Times New Roman" w:cs="Times New Roman"/>
          <w:sz w:val="24"/>
          <w:szCs w:val="24"/>
        </w:rPr>
        <w:t xml:space="preserve"> revealed significant regional variation in disease incidence (Figure 5). Higher incidences of LRD were reported in the blocks of Thiruvananthapuram, with the highest incidence in </w:t>
      </w:r>
      <w:proofErr w:type="spellStart"/>
      <w:r>
        <w:rPr>
          <w:rFonts w:ascii="Times New Roman" w:eastAsia="Times New Roman" w:hAnsi="Times New Roman" w:cs="Times New Roman"/>
          <w:sz w:val="24"/>
          <w:szCs w:val="24"/>
        </w:rPr>
        <w:t>Athiyannur</w:t>
      </w:r>
      <w:proofErr w:type="spellEnd"/>
      <w:r>
        <w:rPr>
          <w:rFonts w:ascii="Times New Roman" w:eastAsia="Times New Roman" w:hAnsi="Times New Roman" w:cs="Times New Roman"/>
          <w:sz w:val="24"/>
          <w:szCs w:val="24"/>
        </w:rPr>
        <w:t xml:space="preserve"> (47.1%) and the lowest in </w:t>
      </w:r>
      <w:proofErr w:type="spellStart"/>
      <w:r>
        <w:rPr>
          <w:rFonts w:ascii="Times New Roman" w:eastAsia="Times New Roman" w:hAnsi="Times New Roman" w:cs="Times New Roman"/>
          <w:sz w:val="24"/>
          <w:szCs w:val="24"/>
        </w:rPr>
        <w:t>Mallapally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Pathana</w:t>
      </w:r>
      <w:r>
        <w:rPr>
          <w:rFonts w:ascii="Times New Roman" w:eastAsia="Times New Roman" w:hAnsi="Times New Roman" w:cs="Times New Roman"/>
          <w:sz w:val="24"/>
          <w:szCs w:val="24"/>
        </w:rPr>
        <w:t>mthitta</w:t>
      </w:r>
      <w:proofErr w:type="spellEnd"/>
      <w:r>
        <w:rPr>
          <w:rFonts w:ascii="Times New Roman" w:eastAsia="Times New Roman" w:hAnsi="Times New Roman" w:cs="Times New Roman"/>
          <w:sz w:val="24"/>
          <w:szCs w:val="24"/>
        </w:rPr>
        <w:t xml:space="preserve"> (22.6%). These variations highlight the patchy distribution of LRD across the coconut-growing regions, which could be attributed to the diverse environmental conditions, soil types, and farming practices in each district. Notably, Thiruvananthapura</w:t>
      </w:r>
      <w:r>
        <w:rPr>
          <w:rFonts w:ascii="Times New Roman" w:eastAsia="Times New Roman" w:hAnsi="Times New Roman" w:cs="Times New Roman"/>
          <w:sz w:val="24"/>
          <w:szCs w:val="24"/>
        </w:rPr>
        <w:t>m showed the highest disease incidence for both LRD and RWD, which may indicate environmental factors such as high humidity and rainfall prevalent in coastal areas, which favour the spread of these diseases. In conclusion, the incidence of LRD is higher th</w:t>
      </w:r>
      <w:r>
        <w:rPr>
          <w:rFonts w:ascii="Times New Roman" w:eastAsia="Times New Roman" w:hAnsi="Times New Roman" w:cs="Times New Roman"/>
          <w:sz w:val="24"/>
          <w:szCs w:val="24"/>
        </w:rPr>
        <w:t>an that in earlier surveys [4, 5, 8].</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observed variation in disease incidence across different coconut varieties further supports the hypothesis that certain varieties may exhibit differential susceptibilities to LRD and RWD. Among the varieties, WCT, </w:t>
      </w:r>
      <w:r>
        <w:rPr>
          <w:rFonts w:ascii="Times New Roman" w:eastAsia="Times New Roman" w:hAnsi="Times New Roman" w:cs="Times New Roman"/>
          <w:color w:val="000000"/>
          <w:sz w:val="24"/>
          <w:szCs w:val="24"/>
        </w:rPr>
        <w:t xml:space="preserve">T×D, </w:t>
      </w:r>
      <w:r>
        <w:rPr>
          <w:rFonts w:ascii="Times New Roman" w:eastAsia="Times New Roman" w:hAnsi="Times New Roman" w:cs="Times New Roman"/>
          <w:sz w:val="24"/>
          <w:szCs w:val="24"/>
        </w:rPr>
        <w:t>and COD were commonly observed in the survey areas, and their susceptibility to LRD was significant in several blocks, particularly Thiruvananthapuram and Kollam. However, there was no clear pattern linking a particular variety to consistently high or</w:t>
      </w:r>
      <w:r>
        <w:rPr>
          <w:rFonts w:ascii="Times New Roman" w:eastAsia="Times New Roman" w:hAnsi="Times New Roman" w:cs="Times New Roman"/>
          <w:sz w:val="24"/>
          <w:szCs w:val="24"/>
        </w:rPr>
        <w:t xml:space="preserve"> low disease incidence across all blocks, suggesting that varietal resistance may be influenced by local conditions rather than being a universal trait.</w:t>
      </w:r>
      <w:r>
        <w:rPr>
          <w:noProof/>
          <w:lang w:val="en-US"/>
        </w:rPr>
        <w:drawing>
          <wp:anchor distT="0" distB="0" distL="114300" distR="114300" simplePos="0" relativeHeight="251661312" behindDoc="0" locked="0" layoutInCell="1" hidden="0" allowOverlap="1">
            <wp:simplePos x="0" y="0"/>
            <wp:positionH relativeFrom="column">
              <wp:posOffset>541020</wp:posOffset>
            </wp:positionH>
            <wp:positionV relativeFrom="paragraph">
              <wp:posOffset>1886585</wp:posOffset>
            </wp:positionV>
            <wp:extent cx="4686300" cy="2705100"/>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27330"/>
                    <a:stretch>
                      <a:fillRect/>
                    </a:stretch>
                  </pic:blipFill>
                  <pic:spPr>
                    <a:xfrm>
                      <a:off x="0" y="0"/>
                      <a:ext cx="4686300" cy="2705100"/>
                    </a:xfrm>
                    <a:prstGeom prst="rect">
                      <a:avLst/>
                    </a:prstGeom>
                    <a:ln/>
                  </pic:spPr>
                </pic:pic>
              </a:graphicData>
            </a:graphic>
          </wp:anchor>
        </w:drawing>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5.</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Bar chart showing the disease incidence percentage for LRD and RWD across different blocks in the districts of Thiruvananthapuram, Kollam, and </w:t>
      </w:r>
      <w:proofErr w:type="spellStart"/>
      <w:r>
        <w:rPr>
          <w:rFonts w:ascii="Times New Roman" w:eastAsia="Times New Roman" w:hAnsi="Times New Roman" w:cs="Times New Roman"/>
          <w:i/>
          <w:sz w:val="24"/>
          <w:szCs w:val="24"/>
        </w:rPr>
        <w:t>Pathanamthitta</w:t>
      </w:r>
      <w:proofErr w:type="spellEnd"/>
      <w:r>
        <w:rPr>
          <w:rFonts w:ascii="Times New Roman" w:eastAsia="Times New Roman" w:hAnsi="Times New Roman" w:cs="Times New Roman"/>
          <w:i/>
          <w:sz w:val="24"/>
          <w:szCs w:val="24"/>
        </w:rPr>
        <w:t>. The bars are color-coded by district and disease type, with blue representing Thiruvananthapuram,</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 xml:space="preserve">green representing Kollam, and red representing </w:t>
      </w:r>
      <w:proofErr w:type="spellStart"/>
      <w:r>
        <w:rPr>
          <w:rFonts w:ascii="Times New Roman" w:eastAsia="Times New Roman" w:hAnsi="Times New Roman" w:cs="Times New Roman"/>
          <w:i/>
          <w:sz w:val="24"/>
          <w:szCs w:val="24"/>
        </w:rPr>
        <w:t>Pathanamthitta</w:t>
      </w:r>
      <w:proofErr w:type="spellEnd"/>
      <w:r>
        <w:rPr>
          <w:rFonts w:ascii="Times New Roman" w:eastAsia="Times New Roman" w:hAnsi="Times New Roman" w:cs="Times New Roman"/>
          <w:i/>
          <w:sz w:val="24"/>
          <w:szCs w:val="24"/>
        </w:rPr>
        <w:t>. Disease incidence is broken down into LRD and Root Wilt, illustrating regional variations in disease prevalence at the block level.</w:t>
      </w:r>
    </w:p>
    <w:p w:rsidR="00C92281" w:rsidRDefault="00A2032C">
      <w:pPr>
        <w:spacing w:line="360" w:lineRule="auto"/>
        <w:ind w:right="-4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Symptomatological</w:t>
      </w:r>
      <w:proofErr w:type="spellEnd"/>
      <w:r>
        <w:rPr>
          <w:rFonts w:ascii="Times New Roman" w:eastAsia="Times New Roman" w:hAnsi="Times New Roman" w:cs="Times New Roman"/>
          <w:sz w:val="24"/>
          <w:szCs w:val="24"/>
        </w:rPr>
        <w:t xml:space="preserve"> observations confirmed the nature of LRD, with spindle leaves being the most affected. The disease was initiated as small water-soaked lesions on the spindle leaves, which then enlarged and merged under humid conditions, leading to extensive rotting. This</w:t>
      </w:r>
      <w:r>
        <w:rPr>
          <w:rFonts w:ascii="Times New Roman" w:eastAsia="Times New Roman" w:hAnsi="Times New Roman" w:cs="Times New Roman"/>
          <w:sz w:val="24"/>
          <w:szCs w:val="24"/>
        </w:rPr>
        <w:t xml:space="preserve"> progression highlights the role of environmental factors in the spread and severity of LRD. In the advanced stages, rotting leads to a characteristic fan-like appearance of the palm crown, which is indicative of the sequential impact of LRD on the palm. T</w:t>
      </w:r>
      <w:r>
        <w:rPr>
          <w:rFonts w:ascii="Times New Roman" w:eastAsia="Times New Roman" w:hAnsi="Times New Roman" w:cs="Times New Roman"/>
          <w:sz w:val="24"/>
          <w:szCs w:val="24"/>
        </w:rPr>
        <w:t xml:space="preserve">he visual symptoms observed, including blackened and </w:t>
      </w:r>
      <w:proofErr w:type="spellStart"/>
      <w:r>
        <w:rPr>
          <w:rFonts w:ascii="Times New Roman" w:eastAsia="Times New Roman" w:hAnsi="Times New Roman" w:cs="Times New Roman"/>
          <w:sz w:val="24"/>
          <w:szCs w:val="24"/>
        </w:rPr>
        <w:t>shriveled</w:t>
      </w:r>
      <w:proofErr w:type="spellEnd"/>
      <w:r>
        <w:rPr>
          <w:rFonts w:ascii="Times New Roman" w:eastAsia="Times New Roman" w:hAnsi="Times New Roman" w:cs="Times New Roman"/>
          <w:sz w:val="24"/>
          <w:szCs w:val="24"/>
        </w:rPr>
        <w:t xml:space="preserve"> tips of leaflets, directly impacted the photosynthetic efficiency of the palm, resulting in reduced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and fruit yield. This finding is consistent with previous studies linking LRD to signif</w:t>
      </w:r>
      <w:r>
        <w:rPr>
          <w:rFonts w:ascii="Times New Roman" w:eastAsia="Times New Roman" w:hAnsi="Times New Roman" w:cs="Times New Roman"/>
          <w:sz w:val="24"/>
          <w:szCs w:val="24"/>
        </w:rPr>
        <w:t>icant crop losses in coconut production [16, 4, 17].</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Pathogenicity tests confirmed that </w:t>
      </w:r>
      <w:r>
        <w:rPr>
          <w:rFonts w:ascii="Times New Roman" w:eastAsia="Times New Roman" w:hAnsi="Times New Roman" w:cs="Times New Roman"/>
          <w:i/>
          <w:sz w:val="24"/>
          <w:szCs w:val="24"/>
        </w:rPr>
        <w:t xml:space="preserve">Colletotrichum </w:t>
      </w:r>
      <w:r>
        <w:rPr>
          <w:rFonts w:ascii="Times New Roman" w:eastAsia="Times New Roman" w:hAnsi="Times New Roman" w:cs="Times New Roman"/>
          <w:sz w:val="24"/>
          <w:szCs w:val="24"/>
        </w:rPr>
        <w:t xml:space="preserve">sp.,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sz w:val="24"/>
          <w:szCs w:val="24"/>
        </w:rPr>
        <w:t xml:space="preserve"> sp. were the primary causal agents of LRD, and Koch’s postulates were successfully fulfilled. Pathogenicity testing an</w:t>
      </w:r>
      <w:r>
        <w:rPr>
          <w:rFonts w:ascii="Times New Roman" w:eastAsia="Times New Roman" w:hAnsi="Times New Roman" w:cs="Times New Roman"/>
          <w:sz w:val="24"/>
          <w:szCs w:val="24"/>
        </w:rPr>
        <w:t xml:space="preserve">d subsequent morphological identification of these pathogens underline the complexity of the </w:t>
      </w:r>
      <w:proofErr w:type="spellStart"/>
      <w:r>
        <w:rPr>
          <w:rFonts w:ascii="Times New Roman" w:eastAsia="Times New Roman" w:hAnsi="Times New Roman" w:cs="Times New Roman"/>
          <w:sz w:val="24"/>
          <w:szCs w:val="24"/>
        </w:rPr>
        <w:t>etiology</w:t>
      </w:r>
      <w:proofErr w:type="spellEnd"/>
      <w:r>
        <w:rPr>
          <w:rFonts w:ascii="Times New Roman" w:eastAsia="Times New Roman" w:hAnsi="Times New Roman" w:cs="Times New Roman"/>
          <w:sz w:val="24"/>
          <w:szCs w:val="24"/>
        </w:rPr>
        <w:t xml:space="preserve"> of LRD. The distinct colony morphologies and conidial characteristics of the three pathogens identified in this study provide critical insights into diagn</w:t>
      </w:r>
      <w:r>
        <w:rPr>
          <w:rFonts w:ascii="Times New Roman" w:eastAsia="Times New Roman" w:hAnsi="Times New Roman" w:cs="Times New Roman"/>
          <w:sz w:val="24"/>
          <w:szCs w:val="24"/>
        </w:rPr>
        <w:t>ostic purposes and future disease management strategies. When inoculated onto detached leaves, these pathogens cause lesions and leaf rot that mirror those observed in field conditions, reinforcing their role as the primary agents of LRD in the region [16,</w:t>
      </w:r>
      <w:r>
        <w:rPr>
          <w:rFonts w:ascii="Times New Roman" w:eastAsia="Times New Roman" w:hAnsi="Times New Roman" w:cs="Times New Roman"/>
          <w:sz w:val="24"/>
          <w:szCs w:val="24"/>
        </w:rPr>
        <w:t xml:space="preserve"> 17].</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Biocontrol agents have demonstrated promising results in terms of management strategies.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 isolates (NW2 and KAU) exhibited strong antagonistic effects on the three LRD pathogens, with inhibition percentages ranging from 65.69% to 75.48</w:t>
      </w:r>
      <w:r>
        <w:rPr>
          <w:rFonts w:ascii="Times New Roman" w:eastAsia="Times New Roman" w:hAnsi="Times New Roman" w:cs="Times New Roman"/>
          <w:sz w:val="24"/>
          <w:szCs w:val="24"/>
        </w:rPr>
        <w:t xml:space="preserve">%. The effectiveness of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 against </w:t>
      </w:r>
      <w:r>
        <w:rPr>
          <w:rFonts w:ascii="Times New Roman" w:eastAsia="Times New Roman" w:hAnsi="Times New Roman" w:cs="Times New Roman"/>
          <w:i/>
          <w:sz w:val="24"/>
          <w:szCs w:val="24"/>
        </w:rPr>
        <w:t>Colletotrichum</w:t>
      </w:r>
      <w:r>
        <w:rPr>
          <w:rFonts w:ascii="Times New Roman" w:eastAsia="Times New Roman" w:hAnsi="Times New Roman" w:cs="Times New Roman"/>
          <w:sz w:val="24"/>
          <w:szCs w:val="24"/>
        </w:rPr>
        <w:t xml:space="preserve"> sp. and </w:t>
      </w:r>
      <w:r>
        <w:rPr>
          <w:rFonts w:ascii="Times New Roman" w:eastAsia="Times New Roman" w:hAnsi="Times New Roman" w:cs="Times New Roman"/>
          <w:i/>
          <w:sz w:val="24"/>
          <w:szCs w:val="24"/>
        </w:rPr>
        <w:t xml:space="preserve">Fusarium </w:t>
      </w:r>
      <w:r>
        <w:rPr>
          <w:rFonts w:ascii="Times New Roman" w:eastAsia="Times New Roman" w:hAnsi="Times New Roman" w:cs="Times New Roman"/>
          <w:sz w:val="24"/>
          <w:szCs w:val="24"/>
        </w:rPr>
        <w:t xml:space="preserve">sp. suggests that it could be a viable biocontrol option for integrated disease management. Additionally,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(VLY24) showed excellent inhibition, especially a</w:t>
      </w:r>
      <w:r>
        <w:rPr>
          <w:rFonts w:ascii="Times New Roman" w:eastAsia="Times New Roman" w:hAnsi="Times New Roman" w:cs="Times New Roman"/>
          <w:sz w:val="24"/>
          <w:szCs w:val="24"/>
        </w:rPr>
        <w:t xml:space="preserve">gainst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sz w:val="24"/>
          <w:szCs w:val="24"/>
        </w:rPr>
        <w:t xml:space="preserve"> sp., with an inhibition rate of 79.33%. The high efficacy of these biocontrol agents suggests that they could potentially be utilized in sustainable disease management practices, reducing reliance on chemical fungicides [12].</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w:t>
      </w:r>
      <w:r>
        <w:rPr>
          <w:rFonts w:ascii="Times New Roman" w:eastAsia="Times New Roman" w:hAnsi="Times New Roman" w:cs="Times New Roman"/>
          <w:sz w:val="24"/>
          <w:szCs w:val="24"/>
        </w:rPr>
        <w:t xml:space="preserve">e chemical fungicide COC, while effective against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 showed varying degrees of success against other pathogens, with only 44.63% inhibition against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 xml:space="preserve">sp. and 91.93% inhibition against </w:t>
      </w:r>
      <w:r>
        <w:rPr>
          <w:rFonts w:ascii="Times New Roman" w:eastAsia="Times New Roman" w:hAnsi="Times New Roman" w:cs="Times New Roman"/>
          <w:i/>
          <w:sz w:val="24"/>
          <w:szCs w:val="24"/>
        </w:rPr>
        <w:t>Colletotrichum</w:t>
      </w:r>
      <w:r>
        <w:rPr>
          <w:rFonts w:ascii="Times New Roman" w:eastAsia="Times New Roman" w:hAnsi="Times New Roman" w:cs="Times New Roman"/>
          <w:sz w:val="24"/>
          <w:szCs w:val="24"/>
        </w:rPr>
        <w:t xml:space="preserve"> sp. These results point to the poten</w:t>
      </w:r>
      <w:r>
        <w:rPr>
          <w:rFonts w:ascii="Times New Roman" w:eastAsia="Times New Roman" w:hAnsi="Times New Roman" w:cs="Times New Roman"/>
          <w:sz w:val="24"/>
          <w:szCs w:val="24"/>
        </w:rPr>
        <w:t xml:space="preserve">tial for a targeted approach using specific fungicides for particular pathogens, while integrating biocontrol agents such as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 and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for broader pathogen suppression. This integrated approach could help reduce the environme</w:t>
      </w:r>
      <w:r>
        <w:rPr>
          <w:rFonts w:ascii="Times New Roman" w:eastAsia="Times New Roman" w:hAnsi="Times New Roman" w:cs="Times New Roman"/>
          <w:sz w:val="24"/>
          <w:szCs w:val="24"/>
        </w:rPr>
        <w:t>ntal impact of fungicide use while maintaining effective disease control.</w:t>
      </w:r>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Conclusion</w:t>
      </w:r>
    </w:p>
    <w:p w:rsidR="00C92281" w:rsidRDefault="00A2032C">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highlights the varying incidences of LRD and RWD across Southern Kerala, with significant regional differences observed in Thiruvananthapuram, Kollam, and </w:t>
      </w:r>
      <w:proofErr w:type="spellStart"/>
      <w:r>
        <w:rPr>
          <w:rFonts w:ascii="Times New Roman" w:eastAsia="Times New Roman" w:hAnsi="Times New Roman" w:cs="Times New Roman"/>
          <w:sz w:val="24"/>
          <w:szCs w:val="24"/>
        </w:rPr>
        <w:t>Pa</w:t>
      </w:r>
      <w:r>
        <w:rPr>
          <w:rFonts w:ascii="Times New Roman" w:eastAsia="Times New Roman" w:hAnsi="Times New Roman" w:cs="Times New Roman"/>
          <w:sz w:val="24"/>
          <w:szCs w:val="24"/>
        </w:rPr>
        <w:t>thanamthitta</w:t>
      </w:r>
      <w:proofErr w:type="spellEnd"/>
      <w:r>
        <w:rPr>
          <w:rFonts w:ascii="Times New Roman" w:eastAsia="Times New Roman" w:hAnsi="Times New Roman" w:cs="Times New Roman"/>
          <w:sz w:val="24"/>
          <w:szCs w:val="24"/>
        </w:rPr>
        <w:t xml:space="preserve">. This study identified </w:t>
      </w:r>
      <w:r>
        <w:rPr>
          <w:rFonts w:ascii="Times New Roman" w:eastAsia="Times New Roman" w:hAnsi="Times New Roman" w:cs="Times New Roman"/>
          <w:i/>
          <w:sz w:val="24"/>
          <w:szCs w:val="24"/>
        </w:rPr>
        <w:t>Colletotrichum</w:t>
      </w:r>
      <w:r>
        <w:rPr>
          <w:rFonts w:ascii="Times New Roman" w:eastAsia="Times New Roman" w:hAnsi="Times New Roman" w:cs="Times New Roman"/>
          <w:sz w:val="24"/>
          <w:szCs w:val="24"/>
        </w:rPr>
        <w:t xml:space="preserve"> sp.,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 and </w:t>
      </w:r>
      <w:proofErr w:type="spellStart"/>
      <w:r>
        <w:rPr>
          <w:rFonts w:ascii="Times New Roman" w:eastAsia="Times New Roman" w:hAnsi="Times New Roman" w:cs="Times New Roman"/>
          <w:i/>
          <w:sz w:val="24"/>
          <w:szCs w:val="24"/>
        </w:rPr>
        <w:t>Exserohilum</w:t>
      </w:r>
      <w:proofErr w:type="spellEnd"/>
      <w:r>
        <w:rPr>
          <w:rFonts w:ascii="Times New Roman" w:eastAsia="Times New Roman" w:hAnsi="Times New Roman" w:cs="Times New Roman"/>
          <w:sz w:val="24"/>
          <w:szCs w:val="24"/>
        </w:rPr>
        <w:t xml:space="preserve"> sp. as the primary pathogens responsible for LRD, and </w:t>
      </w:r>
      <w:proofErr w:type="spellStart"/>
      <w:r>
        <w:rPr>
          <w:rFonts w:ascii="Times New Roman" w:eastAsia="Times New Roman" w:hAnsi="Times New Roman" w:cs="Times New Roman"/>
          <w:sz w:val="24"/>
          <w:szCs w:val="24"/>
        </w:rPr>
        <w:t>symptomological</w:t>
      </w:r>
      <w:proofErr w:type="spellEnd"/>
      <w:r>
        <w:rPr>
          <w:rFonts w:ascii="Times New Roman" w:eastAsia="Times New Roman" w:hAnsi="Times New Roman" w:cs="Times New Roman"/>
          <w:sz w:val="24"/>
          <w:szCs w:val="24"/>
        </w:rPr>
        <w:t xml:space="preserve"> observations confirmed the detrimental effects of the disease on coconut palms. These findings under</w:t>
      </w:r>
      <w:r>
        <w:rPr>
          <w:rFonts w:ascii="Times New Roman" w:eastAsia="Times New Roman" w:hAnsi="Times New Roman" w:cs="Times New Roman"/>
          <w:sz w:val="24"/>
          <w:szCs w:val="24"/>
        </w:rPr>
        <w:t xml:space="preserve">score the potential of biocontrol agents, such as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 and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as effective alternatives to chemical fungicides, offering sustainable solutions for disease management. The integration of these biocontrol agents with targeted ch</w:t>
      </w:r>
      <w:r>
        <w:rPr>
          <w:rFonts w:ascii="Times New Roman" w:eastAsia="Times New Roman" w:hAnsi="Times New Roman" w:cs="Times New Roman"/>
          <w:sz w:val="24"/>
          <w:szCs w:val="24"/>
        </w:rPr>
        <w:t>emical treatments could significantly reduce disease impact and enhance coconut productivity in the region. Future research should focus on refining these biocontrol methods for large-scale applications to ensure the long-term health of coconut crops in So</w:t>
      </w:r>
      <w:r>
        <w:rPr>
          <w:rFonts w:ascii="Times New Roman" w:eastAsia="Times New Roman" w:hAnsi="Times New Roman" w:cs="Times New Roman"/>
          <w:sz w:val="24"/>
          <w:szCs w:val="24"/>
        </w:rPr>
        <w:t>uthern Kerala.</w:t>
      </w:r>
    </w:p>
    <w:p w:rsidR="00C92281" w:rsidRPr="0014467D" w:rsidRDefault="00A2032C">
      <w:r w:rsidRPr="0014467D">
        <w:t>Disclaimer (Artificial intelligence)</w:t>
      </w:r>
      <w:bookmarkStart w:id="2" w:name="_xl7q68pbsnnk" w:colFirst="0" w:colLast="0"/>
      <w:bookmarkEnd w:id="2"/>
    </w:p>
    <w:p w:rsidR="00C92281" w:rsidRPr="0014467D" w:rsidRDefault="00A2032C">
      <w:r w:rsidRPr="0014467D">
        <w:t>Author(s) hereby declare that NO generative AI technologies such as Large Language Models (ChatGPT, COPILOT, etc.) and text-to-image generators have been used during the writing or editing of this manuscr</w:t>
      </w:r>
      <w:r w:rsidRPr="0014467D">
        <w:t xml:space="preserve">ipt. </w:t>
      </w:r>
    </w:p>
    <w:p w:rsidR="00C92281" w:rsidRDefault="00C92281">
      <w:pPr>
        <w:spacing w:line="360" w:lineRule="auto"/>
        <w:ind w:right="-46"/>
        <w:jc w:val="both"/>
        <w:rPr>
          <w:rFonts w:ascii="Times New Roman" w:eastAsia="Times New Roman" w:hAnsi="Times New Roman" w:cs="Times New Roman"/>
          <w:sz w:val="24"/>
          <w:szCs w:val="24"/>
        </w:rPr>
      </w:pPr>
      <w:bookmarkStart w:id="3" w:name="_w2oj1sxgepbf" w:colFirst="0" w:colLast="0"/>
      <w:bookmarkEnd w:id="3"/>
    </w:p>
    <w:p w:rsidR="00C92281" w:rsidRDefault="00A2032C">
      <w:pPr>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Kappil</w:t>
      </w:r>
      <w:proofErr w:type="spellEnd"/>
      <w:r>
        <w:rPr>
          <w:rFonts w:ascii="Times New Roman" w:eastAsia="Times New Roman" w:hAnsi="Times New Roman" w:cs="Times New Roman"/>
          <w:color w:val="000000"/>
          <w:sz w:val="24"/>
          <w:szCs w:val="24"/>
        </w:rPr>
        <w:t xml:space="preserve"> SR, </w:t>
      </w:r>
      <w:proofErr w:type="spellStart"/>
      <w:r>
        <w:rPr>
          <w:rFonts w:ascii="Times New Roman" w:eastAsia="Times New Roman" w:hAnsi="Times New Roman" w:cs="Times New Roman"/>
          <w:color w:val="000000"/>
          <w:sz w:val="24"/>
          <w:szCs w:val="24"/>
        </w:rPr>
        <w:t>Aneja</w:t>
      </w:r>
      <w:proofErr w:type="spellEnd"/>
      <w:r>
        <w:rPr>
          <w:rFonts w:ascii="Times New Roman" w:eastAsia="Times New Roman" w:hAnsi="Times New Roman" w:cs="Times New Roman"/>
          <w:color w:val="000000"/>
          <w:sz w:val="24"/>
          <w:szCs w:val="24"/>
        </w:rPr>
        <w:t xml:space="preserve"> R, Rani P (2021) Decomposing the performance metrics of coconut cultivation in the South Indian States. </w:t>
      </w:r>
      <w:proofErr w:type="spellStart"/>
      <w:r>
        <w:rPr>
          <w:rFonts w:ascii="Times New Roman" w:eastAsia="Times New Roman" w:hAnsi="Times New Roman" w:cs="Times New Roman"/>
          <w:color w:val="000000"/>
          <w:sz w:val="24"/>
          <w:szCs w:val="24"/>
        </w:rPr>
        <w:t>Humanit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Commun</w:t>
      </w:r>
      <w:proofErr w:type="spellEnd"/>
      <w:r>
        <w:rPr>
          <w:rFonts w:ascii="Times New Roman" w:eastAsia="Times New Roman" w:hAnsi="Times New Roman" w:cs="Times New Roman"/>
          <w:color w:val="000000"/>
          <w:sz w:val="24"/>
          <w:szCs w:val="24"/>
        </w:rPr>
        <w:t xml:space="preserve"> 8:114. https://doi.org/10.1057/s41599-021-00783-0</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Rithesh L, N V R, Thara SS, et al (2024) A Centenary Review on Leaf Rot Disease of Coconut. J </w:t>
      </w:r>
      <w:proofErr w:type="spellStart"/>
      <w:r>
        <w:rPr>
          <w:rFonts w:ascii="Times New Roman" w:eastAsia="Times New Roman" w:hAnsi="Times New Roman" w:cs="Times New Roman"/>
          <w:color w:val="000000"/>
          <w:sz w:val="24"/>
          <w:szCs w:val="24"/>
        </w:rPr>
        <w:t>Adv</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Biotechnol</w:t>
      </w:r>
      <w:proofErr w:type="spellEnd"/>
      <w:r>
        <w:rPr>
          <w:rFonts w:ascii="Times New Roman" w:eastAsia="Times New Roman" w:hAnsi="Times New Roman" w:cs="Times New Roman"/>
          <w:color w:val="000000"/>
          <w:sz w:val="24"/>
          <w:szCs w:val="24"/>
        </w:rPr>
        <w:t xml:space="preserve"> 27:993–1005. https://doi.org/10.9734/jabb/2024/v27i111684</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Ramjegathesh</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Rajendran</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Karthikeyan</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Raguchander</w:t>
      </w:r>
      <w:proofErr w:type="spellEnd"/>
      <w:r>
        <w:rPr>
          <w:rFonts w:ascii="Times New Roman" w:eastAsia="Times New Roman" w:hAnsi="Times New Roman" w:cs="Times New Roman"/>
          <w:color w:val="000000"/>
          <w:sz w:val="24"/>
          <w:szCs w:val="24"/>
        </w:rPr>
        <w:t xml:space="preserve"> T (2022) Coconut (Cocos </w:t>
      </w:r>
      <w:r>
        <w:rPr>
          <w:rFonts w:ascii="Times New Roman" w:eastAsia="Times New Roman" w:hAnsi="Times New Roman" w:cs="Times New Roman"/>
          <w:color w:val="000000"/>
          <w:sz w:val="24"/>
          <w:szCs w:val="24"/>
        </w:rPr>
        <w:t>Nucifera Linn.) Diseases And Management Strategies. In: Diseases of Horticultural Crops, 1st ed. Apple Academic Press, Boca Raton, pp 73–96</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ab/>
        <w:t>Srinivasan N, Gunasekaran M (1999) COCONUT LEAF ROT DISEASE COMPLEX A REVIEW. CORD 15:34. https://doi.org/10.378</w:t>
      </w:r>
      <w:r>
        <w:rPr>
          <w:rFonts w:ascii="Times New Roman" w:eastAsia="Times New Roman" w:hAnsi="Times New Roman" w:cs="Times New Roman"/>
          <w:color w:val="000000"/>
          <w:sz w:val="24"/>
          <w:szCs w:val="24"/>
        </w:rPr>
        <w:t>33/cord.v15i01.323</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 </w:t>
      </w:r>
      <w:r>
        <w:rPr>
          <w:rFonts w:ascii="Times New Roman" w:eastAsia="Times New Roman" w:hAnsi="Times New Roman" w:cs="Times New Roman"/>
          <w:color w:val="000000"/>
          <w:sz w:val="24"/>
          <w:szCs w:val="24"/>
        </w:rPr>
        <w:tab/>
        <w:t xml:space="preserve">Menon KPV, Nair UK (1948) The leaf rot disease of coconut in Travancore and Cochin. Indian </w:t>
      </w:r>
      <w:proofErr w:type="spellStart"/>
      <w:r>
        <w:rPr>
          <w:rFonts w:ascii="Times New Roman" w:eastAsia="Times New Roman" w:hAnsi="Times New Roman" w:cs="Times New Roman"/>
          <w:color w:val="000000"/>
          <w:sz w:val="24"/>
          <w:szCs w:val="24"/>
        </w:rPr>
        <w:t>Cocon</w:t>
      </w:r>
      <w:proofErr w:type="spellEnd"/>
      <w:r>
        <w:rPr>
          <w:rFonts w:ascii="Times New Roman" w:eastAsia="Times New Roman" w:hAnsi="Times New Roman" w:cs="Times New Roman"/>
          <w:color w:val="000000"/>
          <w:sz w:val="24"/>
          <w:szCs w:val="24"/>
        </w:rPr>
        <w:t xml:space="preserve"> J 1:33–39</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sz w:val="24"/>
          <w:szCs w:val="24"/>
        </w:rPr>
        <w:tab/>
        <w:t xml:space="preserve">MENON, KV, NAIR, UK (1951) </w:t>
      </w:r>
      <w:proofErr w:type="spellStart"/>
      <w:r>
        <w:rPr>
          <w:rFonts w:ascii="Times New Roman" w:eastAsia="Times New Roman" w:hAnsi="Times New Roman" w:cs="Times New Roman"/>
          <w:color w:val="000000"/>
          <w:sz w:val="24"/>
          <w:szCs w:val="24"/>
        </w:rPr>
        <w:t>Scherne</w:t>
      </w:r>
      <w:proofErr w:type="spellEnd"/>
      <w:r>
        <w:rPr>
          <w:rFonts w:ascii="Times New Roman" w:eastAsia="Times New Roman" w:hAnsi="Times New Roman" w:cs="Times New Roman"/>
          <w:color w:val="000000"/>
          <w:sz w:val="24"/>
          <w:szCs w:val="24"/>
        </w:rPr>
        <w:t xml:space="preserve"> for the investigation of the root and leaf diseases of the coconut palm in South India.</w:t>
      </w:r>
      <w:r>
        <w:rPr>
          <w:rFonts w:ascii="Times New Roman" w:eastAsia="Times New Roman" w:hAnsi="Times New Roman" w:cs="Times New Roman"/>
          <w:color w:val="000000"/>
          <w:sz w:val="24"/>
          <w:szCs w:val="24"/>
        </w:rPr>
        <w:t xml:space="preserve"> Consolidated final report of the work done from 8th March 193 7 to 3 1 </w:t>
      </w:r>
      <w:proofErr w:type="spellStart"/>
      <w:r>
        <w:rPr>
          <w:rFonts w:ascii="Times New Roman" w:eastAsia="Times New Roman" w:hAnsi="Times New Roman" w:cs="Times New Roman"/>
          <w:color w:val="000000"/>
          <w:sz w:val="24"/>
          <w:szCs w:val="24"/>
        </w:rPr>
        <w:t>st</w:t>
      </w:r>
      <w:proofErr w:type="spellEnd"/>
      <w:r>
        <w:rPr>
          <w:rFonts w:ascii="Times New Roman" w:eastAsia="Times New Roman" w:hAnsi="Times New Roman" w:cs="Times New Roman"/>
          <w:color w:val="000000"/>
          <w:sz w:val="24"/>
          <w:szCs w:val="24"/>
        </w:rPr>
        <w:t xml:space="preserve"> March 1948. Indian </w:t>
      </w:r>
      <w:proofErr w:type="spellStart"/>
      <w:r>
        <w:rPr>
          <w:rFonts w:ascii="Times New Roman" w:eastAsia="Times New Roman" w:hAnsi="Times New Roman" w:cs="Times New Roman"/>
          <w:color w:val="000000"/>
          <w:sz w:val="24"/>
          <w:szCs w:val="24"/>
        </w:rPr>
        <w:t>Cocon</w:t>
      </w:r>
      <w:proofErr w:type="spellEnd"/>
      <w:r>
        <w:rPr>
          <w:rFonts w:ascii="Times New Roman" w:eastAsia="Times New Roman" w:hAnsi="Times New Roman" w:cs="Times New Roman"/>
          <w:color w:val="000000"/>
          <w:sz w:val="24"/>
          <w:szCs w:val="24"/>
        </w:rPr>
        <w:t xml:space="preserve"> J 5:5–19</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color w:val="000000"/>
          <w:sz w:val="24"/>
          <w:szCs w:val="24"/>
        </w:rPr>
        <w:tab/>
        <w:t>Butler E (1908) Report on coconut palm disease in Travancore. Agric Res Inst Pusa Bull 9:23</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color w:val="000000"/>
          <w:sz w:val="24"/>
          <w:szCs w:val="24"/>
        </w:rPr>
        <w:tab/>
        <w:t>Radha, K, Lal, SB (1968) Some observations on t</w:t>
      </w:r>
      <w:r>
        <w:rPr>
          <w:rFonts w:ascii="Times New Roman" w:eastAsia="Times New Roman" w:hAnsi="Times New Roman" w:cs="Times New Roman"/>
          <w:color w:val="000000"/>
          <w:sz w:val="24"/>
          <w:szCs w:val="24"/>
        </w:rPr>
        <w:t xml:space="preserve">he occurrence of </w:t>
      </w:r>
      <w:proofErr w:type="spellStart"/>
      <w:r>
        <w:rPr>
          <w:rFonts w:ascii="Times New Roman" w:eastAsia="Times New Roman" w:hAnsi="Times New Roman" w:cs="Times New Roman"/>
          <w:color w:val="000000"/>
          <w:sz w:val="24"/>
          <w:szCs w:val="24"/>
        </w:rPr>
        <w:t>leaft</w:t>
      </w:r>
      <w:proofErr w:type="spellEnd"/>
      <w:r>
        <w:rPr>
          <w:rFonts w:ascii="Times New Roman" w:eastAsia="Times New Roman" w:hAnsi="Times New Roman" w:cs="Times New Roman"/>
          <w:color w:val="000000"/>
          <w:sz w:val="24"/>
          <w:szCs w:val="24"/>
        </w:rPr>
        <w:t xml:space="preserve"> rot disease of coconut and associated factors. </w:t>
      </w:r>
      <w:proofErr w:type="spellStart"/>
      <w:r>
        <w:rPr>
          <w:rFonts w:ascii="Times New Roman" w:eastAsia="Times New Roman" w:hAnsi="Times New Roman" w:cs="Times New Roman"/>
          <w:color w:val="000000"/>
          <w:sz w:val="24"/>
          <w:szCs w:val="24"/>
        </w:rPr>
        <w:t>jakarta</w:t>
      </w:r>
      <w:proofErr w:type="spellEnd"/>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Radha</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Sahasranaman</w:t>
      </w:r>
      <w:proofErr w:type="spellEnd"/>
      <w:r>
        <w:rPr>
          <w:rFonts w:ascii="Times New Roman" w:eastAsia="Times New Roman" w:hAnsi="Times New Roman" w:cs="Times New Roman"/>
          <w:color w:val="000000"/>
          <w:sz w:val="24"/>
          <w:szCs w:val="24"/>
        </w:rPr>
        <w:t xml:space="preserve"> KN, Menon, K. P. V (1962) A note on the yield of coconut in relation to rainfall and leaf rot and root (wilt) diseases. Indian </w:t>
      </w:r>
      <w:proofErr w:type="spellStart"/>
      <w:r>
        <w:rPr>
          <w:rFonts w:ascii="Times New Roman" w:eastAsia="Times New Roman" w:hAnsi="Times New Roman" w:cs="Times New Roman"/>
          <w:color w:val="000000"/>
          <w:sz w:val="24"/>
          <w:szCs w:val="24"/>
        </w:rPr>
        <w:t>Cocon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Jx</w:t>
      </w:r>
      <w:proofErr w:type="spellEnd"/>
      <w:r>
        <w:rPr>
          <w:rFonts w:ascii="Times New Roman" w:eastAsia="Times New Roman" w:hAnsi="Times New Roman" w:cs="Times New Roman"/>
          <w:color w:val="000000"/>
          <w:sz w:val="24"/>
          <w:szCs w:val="24"/>
        </w:rPr>
        <w:t xml:space="preserve"> 16:3–11</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CPCRI (1985) Coconut Root (wilt) Disease- Intensity, Production Loss and Future Strategy, A Survey Report</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color w:val="000000"/>
          <w:sz w:val="24"/>
          <w:szCs w:val="24"/>
        </w:rPr>
        <w:tab/>
        <w:t>DEPARTMENT OF AGRICULTURE, GOVERNMENT OF KERALA (1997) Coconut root (wilt) survey</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color w:val="000000"/>
          <w:sz w:val="24"/>
          <w:szCs w:val="24"/>
        </w:rPr>
        <w:tab/>
        <w:t xml:space="preserve">Srinivasan N, </w:t>
      </w:r>
      <w:proofErr w:type="spellStart"/>
      <w:r>
        <w:rPr>
          <w:rFonts w:ascii="Times New Roman" w:eastAsia="Times New Roman" w:hAnsi="Times New Roman" w:cs="Times New Roman"/>
          <w:color w:val="000000"/>
          <w:sz w:val="24"/>
          <w:szCs w:val="24"/>
        </w:rPr>
        <w:t>Chandramohanan</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Bharathi</w:t>
      </w:r>
      <w:proofErr w:type="spellEnd"/>
      <w:r>
        <w:rPr>
          <w:rFonts w:ascii="Times New Roman" w:eastAsia="Times New Roman" w:hAnsi="Times New Roman" w:cs="Times New Roman"/>
          <w:color w:val="000000"/>
          <w:sz w:val="24"/>
          <w:szCs w:val="24"/>
        </w:rPr>
        <w:t xml:space="preserve"> R, et al (2014) D</w:t>
      </w:r>
      <w:r>
        <w:rPr>
          <w:rFonts w:ascii="Times New Roman" w:eastAsia="Times New Roman" w:hAnsi="Times New Roman" w:cs="Times New Roman"/>
          <w:color w:val="000000"/>
          <w:sz w:val="24"/>
          <w:szCs w:val="24"/>
        </w:rPr>
        <w:t>evelopment of Technology and Popularization of Biological Control Agents for Integrated Management of Coconut Leaf Rot Disease. CORD 27:13. https://doi.org/10.37833/cord.v27i1.123</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Pr>
          <w:rFonts w:ascii="Times New Roman" w:eastAsia="Times New Roman" w:hAnsi="Times New Roman" w:cs="Times New Roman"/>
          <w:color w:val="000000"/>
          <w:sz w:val="24"/>
          <w:szCs w:val="24"/>
        </w:rPr>
        <w:tab/>
        <w:t xml:space="preserve">Vincent JM (1947) Distortion of Fungal </w:t>
      </w:r>
      <w:proofErr w:type="spellStart"/>
      <w:r>
        <w:rPr>
          <w:rFonts w:ascii="Times New Roman" w:eastAsia="Times New Roman" w:hAnsi="Times New Roman" w:cs="Times New Roman"/>
          <w:color w:val="000000"/>
          <w:sz w:val="24"/>
          <w:szCs w:val="24"/>
        </w:rPr>
        <w:t>Hyphæ</w:t>
      </w:r>
      <w:proofErr w:type="spellEnd"/>
      <w:r>
        <w:rPr>
          <w:rFonts w:ascii="Times New Roman" w:eastAsia="Times New Roman" w:hAnsi="Times New Roman" w:cs="Times New Roman"/>
          <w:color w:val="000000"/>
          <w:sz w:val="24"/>
          <w:szCs w:val="24"/>
        </w:rPr>
        <w:t xml:space="preserve"> in the Presence of Certain</w:t>
      </w:r>
      <w:r>
        <w:rPr>
          <w:rFonts w:ascii="Times New Roman" w:eastAsia="Times New Roman" w:hAnsi="Times New Roman" w:cs="Times New Roman"/>
          <w:color w:val="000000"/>
          <w:sz w:val="24"/>
          <w:szCs w:val="24"/>
        </w:rPr>
        <w:t xml:space="preserve"> Inhibitors. Nature 159:850–850. https://doi.org/10.1038/159850b0</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Pr>
          <w:rFonts w:ascii="Times New Roman" w:eastAsia="Times New Roman" w:hAnsi="Times New Roman" w:cs="Times New Roman"/>
          <w:color w:val="000000"/>
          <w:sz w:val="24"/>
          <w:szCs w:val="24"/>
        </w:rPr>
        <w:tab/>
        <w:t>Gopinath PP, Parsad R, Joseph B, Adarsh V. S (2021) grapesAgri1: Collection of Shiny Apps for Data Analysis in Agriculture</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z w:val="24"/>
          <w:szCs w:val="24"/>
        </w:rPr>
        <w:tab/>
        <w:t>Gomez KA, Gomez AA (1984) Statistical procedures for agri</w:t>
      </w:r>
      <w:r>
        <w:rPr>
          <w:rFonts w:ascii="Times New Roman" w:eastAsia="Times New Roman" w:hAnsi="Times New Roman" w:cs="Times New Roman"/>
          <w:color w:val="000000"/>
          <w:sz w:val="24"/>
          <w:szCs w:val="24"/>
        </w:rPr>
        <w:t>cultural research, 2.ed. Wiley, New York</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000000"/>
          <w:sz w:val="24"/>
          <w:szCs w:val="24"/>
        </w:rPr>
        <w:tab/>
        <w:t>Srinivasan N, Gunasekaran M (1996) Incidence of fungal species associated with leaf rot disease of coconut palms in relation to weather and the stage of lesion development. Annals of Applied Biology 129:433–449</w:t>
      </w:r>
      <w:r>
        <w:rPr>
          <w:rFonts w:ascii="Times New Roman" w:eastAsia="Times New Roman" w:hAnsi="Times New Roman" w:cs="Times New Roman"/>
          <w:color w:val="000000"/>
          <w:sz w:val="24"/>
          <w:szCs w:val="24"/>
        </w:rPr>
        <w:t>. https://doi.org/10.1111/j.1744-7348.1996.tb05766.x</w:t>
      </w:r>
    </w:p>
    <w:p w:rsidR="00C92281" w:rsidRDefault="00A2032C">
      <w:pPr>
        <w:pBdr>
          <w:top w:val="nil"/>
          <w:left w:val="nil"/>
          <w:bottom w:val="nil"/>
          <w:right w:val="nil"/>
          <w:between w:val="nil"/>
        </w:pBdr>
        <w:tabs>
          <w:tab w:val="left" w:pos="384"/>
        </w:tabs>
        <w:spacing w:after="240" w:line="240" w:lineRule="auto"/>
        <w:ind w:left="384" w:hanging="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color w:val="000000"/>
          <w:sz w:val="24"/>
          <w:szCs w:val="24"/>
        </w:rPr>
        <w:tab/>
        <w:t xml:space="preserve">Srinivasan N, </w:t>
      </w:r>
      <w:proofErr w:type="spellStart"/>
      <w:r>
        <w:rPr>
          <w:rFonts w:ascii="Times New Roman" w:eastAsia="Times New Roman" w:hAnsi="Times New Roman" w:cs="Times New Roman"/>
          <w:color w:val="000000"/>
          <w:sz w:val="24"/>
          <w:szCs w:val="24"/>
        </w:rPr>
        <w:t>Gunasekaran</w:t>
      </w:r>
      <w:proofErr w:type="spellEnd"/>
      <w:r>
        <w:rPr>
          <w:rFonts w:ascii="Times New Roman" w:eastAsia="Times New Roman" w:hAnsi="Times New Roman" w:cs="Times New Roman"/>
          <w:color w:val="000000"/>
          <w:sz w:val="24"/>
          <w:szCs w:val="24"/>
        </w:rPr>
        <w:t xml:space="preserve"> M (1996) </w:t>
      </w:r>
      <w:proofErr w:type="spellStart"/>
      <w:r>
        <w:rPr>
          <w:rFonts w:ascii="Times New Roman" w:eastAsia="Times New Roman" w:hAnsi="Times New Roman" w:cs="Times New Roman"/>
          <w:color w:val="000000"/>
          <w:sz w:val="24"/>
          <w:szCs w:val="24"/>
        </w:rPr>
        <w:t>Pathogenecity</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preponclent</w:t>
      </w:r>
      <w:proofErr w:type="spellEnd"/>
      <w:r>
        <w:rPr>
          <w:rFonts w:ascii="Times New Roman" w:eastAsia="Times New Roman" w:hAnsi="Times New Roman" w:cs="Times New Roman"/>
          <w:color w:val="000000"/>
          <w:sz w:val="24"/>
          <w:szCs w:val="24"/>
        </w:rPr>
        <w:t xml:space="preserve"> fungi associated with leaf rot disease of coconut. Indian </w:t>
      </w:r>
      <w:proofErr w:type="spellStart"/>
      <w:r>
        <w:rPr>
          <w:rFonts w:ascii="Times New Roman" w:eastAsia="Times New Roman" w:hAnsi="Times New Roman" w:cs="Times New Roman"/>
          <w:color w:val="000000"/>
          <w:sz w:val="24"/>
          <w:szCs w:val="24"/>
        </w:rPr>
        <w:t>Cocon</w:t>
      </w:r>
      <w:proofErr w:type="spellEnd"/>
      <w:r>
        <w:rPr>
          <w:rFonts w:ascii="Times New Roman" w:eastAsia="Times New Roman" w:hAnsi="Times New Roman" w:cs="Times New Roman"/>
          <w:color w:val="000000"/>
          <w:sz w:val="24"/>
          <w:szCs w:val="24"/>
        </w:rPr>
        <w:t xml:space="preserve"> J 27:2–4</w:t>
      </w:r>
    </w:p>
    <w:p w:rsidR="00C92281" w:rsidRDefault="00C92281">
      <w:pPr>
        <w:ind w:right="-46"/>
        <w:jc w:val="both"/>
        <w:rPr>
          <w:rFonts w:ascii="Times New Roman" w:eastAsia="Times New Roman" w:hAnsi="Times New Roman" w:cs="Times New Roman"/>
          <w:sz w:val="24"/>
          <w:szCs w:val="24"/>
        </w:rPr>
      </w:pPr>
    </w:p>
    <w:sectPr w:rsidR="00C9228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32C" w:rsidRDefault="00A2032C">
      <w:pPr>
        <w:spacing w:after="0" w:line="240" w:lineRule="auto"/>
      </w:pPr>
      <w:r>
        <w:separator/>
      </w:r>
    </w:p>
  </w:endnote>
  <w:endnote w:type="continuationSeparator" w:id="0">
    <w:p w:rsidR="00A2032C" w:rsidRDefault="00A20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281" w:rsidRDefault="00C9228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281" w:rsidRDefault="00C9228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281" w:rsidRDefault="00C9228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32C" w:rsidRDefault="00A2032C">
      <w:pPr>
        <w:spacing w:after="0" w:line="240" w:lineRule="auto"/>
      </w:pPr>
      <w:r>
        <w:separator/>
      </w:r>
    </w:p>
  </w:footnote>
  <w:footnote w:type="continuationSeparator" w:id="0">
    <w:p w:rsidR="00A2032C" w:rsidRDefault="00A20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281" w:rsidRDefault="00A2032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281" w:rsidRDefault="00A2032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281" w:rsidRDefault="00A2032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3NrEwNLMwtTQ1M7NQ0lEKTi0uzszPAykwrAUAqQ4FPSwAAAA="/>
  </w:docVars>
  <w:rsids>
    <w:rsidRoot w:val="00C92281"/>
    <w:rsid w:val="0014467D"/>
    <w:rsid w:val="00A2032C"/>
    <w:rsid w:val="00B45621"/>
    <w:rsid w:val="00B76618"/>
    <w:rsid w:val="00C92281"/>
    <w:rsid w:val="00CC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DF3140"/>
  <w15:docId w15:val="{8134E1E0-87EA-43AE-BA2C-B2907F1A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4561</Words>
  <Characters>26003</Characters>
  <Application>Microsoft Office Word</Application>
  <DocSecurity>0</DocSecurity>
  <Lines>216</Lines>
  <Paragraphs>61</Paragraphs>
  <ScaleCrop>false</ScaleCrop>
  <Company/>
  <LinksUpToDate>false</LinksUpToDate>
  <CharactersWithSpaces>30503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CPU SDI 1080</cp:lastModifiedBy>
  <cp:revision>3</cp:revision>
  <dcterms:created xsi:type="dcterms:W3CDTF">2025-05-01T08:10:00Z</dcterms:created>
  <dcterms:modified xsi:type="dcterms:W3CDTF">2025-05-03T08:36:00Z</dcterms:modified>
</cp:coreProperties>
</file>