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7F187" w14:textId="40DAB2D7" w:rsidR="00754C9A" w:rsidRDefault="000B4199" w:rsidP="000B4199">
      <w:pPr>
        <w:pStyle w:val="Title"/>
        <w:spacing w:after="0"/>
        <w:jc w:val="left"/>
        <w:rPr>
          <w:rFonts w:ascii="Arial" w:hAnsi="Arial" w:cs="Arial"/>
          <w:sz w:val="28"/>
          <w:szCs w:val="16"/>
          <w:u w:val="single"/>
        </w:rPr>
      </w:pPr>
      <w:r w:rsidRPr="000B4199">
        <w:rPr>
          <w:rFonts w:ascii="Arial" w:hAnsi="Arial" w:cs="Arial"/>
          <w:sz w:val="28"/>
          <w:szCs w:val="16"/>
          <w:u w:val="single"/>
        </w:rPr>
        <w:t>Original Research Article</w:t>
      </w:r>
    </w:p>
    <w:p w14:paraId="732E008A" w14:textId="77777777" w:rsidR="00C62249" w:rsidRPr="000B4199" w:rsidRDefault="00C62249" w:rsidP="000B4199">
      <w:pPr>
        <w:pStyle w:val="Title"/>
        <w:spacing w:after="0"/>
        <w:jc w:val="left"/>
        <w:rPr>
          <w:rFonts w:ascii="Arial" w:hAnsi="Arial" w:cs="Arial"/>
          <w:sz w:val="28"/>
          <w:szCs w:val="16"/>
          <w:u w:val="single"/>
        </w:rPr>
      </w:pPr>
    </w:p>
    <w:p w14:paraId="1C69ADB9" w14:textId="5A90894D" w:rsidR="00163BC4" w:rsidRPr="00163BC4" w:rsidRDefault="00920B96" w:rsidP="00920B96">
      <w:pPr>
        <w:pStyle w:val="Author"/>
        <w:spacing w:line="240" w:lineRule="auto"/>
        <w:jc w:val="left"/>
        <w:rPr>
          <w:rFonts w:ascii="Arial" w:hAnsi="Arial" w:cs="Arial"/>
          <w:bCs/>
          <w:iCs/>
          <w:kern w:val="28"/>
          <w:sz w:val="36"/>
        </w:rPr>
      </w:pPr>
      <w:r w:rsidRPr="00920B96">
        <w:rPr>
          <w:rFonts w:ascii="Arial" w:hAnsi="Arial" w:cs="Arial"/>
          <w:bCs/>
          <w:iCs/>
          <w:kern w:val="28"/>
          <w:sz w:val="36"/>
        </w:rPr>
        <w:t xml:space="preserve">Nutrient management for targeted yield for the groundnut crop in lateritic soils </w:t>
      </w:r>
    </w:p>
    <w:p w14:paraId="1D3A5858" w14:textId="77777777" w:rsidR="00A258C3" w:rsidRPr="00790ADA" w:rsidRDefault="00A258C3" w:rsidP="00441B6F">
      <w:pPr>
        <w:pStyle w:val="Author"/>
        <w:spacing w:line="240" w:lineRule="auto"/>
        <w:jc w:val="both"/>
        <w:rPr>
          <w:rFonts w:ascii="Arial" w:hAnsi="Arial" w:cs="Arial"/>
          <w:sz w:val="36"/>
        </w:rPr>
      </w:pPr>
    </w:p>
    <w:p w14:paraId="62FDDAF0" w14:textId="77777777" w:rsidR="004A5100" w:rsidRDefault="004A5100" w:rsidP="00441B6F">
      <w:pPr>
        <w:pStyle w:val="Copyright"/>
        <w:spacing w:after="0" w:line="240" w:lineRule="auto"/>
        <w:jc w:val="both"/>
        <w:rPr>
          <w:rFonts w:ascii="Arial" w:hAnsi="Arial" w:cs="Arial"/>
        </w:rPr>
      </w:pPr>
    </w:p>
    <w:p w14:paraId="1E527A62" w14:textId="5CFFF8EF" w:rsidR="00B01FCD" w:rsidRPr="00FB3A86" w:rsidRDefault="00034B7F" w:rsidP="00441B6F">
      <w:pPr>
        <w:pStyle w:val="Copyright"/>
        <w:spacing w:after="0" w:line="240" w:lineRule="auto"/>
        <w:jc w:val="both"/>
        <w:rPr>
          <w:rFonts w:ascii="Arial" w:hAnsi="Arial" w:cs="Arial"/>
        </w:rPr>
        <w:sectPr w:rsidR="00B01FCD" w:rsidRPr="00FB3A86" w:rsidSect="0064552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6702341" wp14:editId="264F681A">
                <wp:extent cx="5303520" cy="635"/>
                <wp:effectExtent l="13335" t="15875" r="17145" b="12700"/>
                <wp:docPr id="102085004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499A0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D2DD24C" w14:textId="6AE9C6A7" w:rsidR="00B01FCD" w:rsidRDefault="00B01FCD" w:rsidP="00441B6F">
      <w:pPr>
        <w:pStyle w:val="AbstHead"/>
        <w:spacing w:after="0"/>
        <w:jc w:val="both"/>
        <w:rPr>
          <w:rFonts w:ascii="Arial" w:hAnsi="Arial" w:cs="Arial"/>
        </w:rPr>
      </w:pPr>
      <w:r w:rsidRPr="00920B96">
        <w:rPr>
          <w:rFonts w:ascii="Arial" w:hAnsi="Arial" w:cs="Arial"/>
        </w:rPr>
        <w:t>ABSTRACT</w:t>
      </w:r>
      <w:r w:rsidR="0066510A">
        <w:rPr>
          <w:rFonts w:ascii="Arial" w:hAnsi="Arial" w:cs="Arial"/>
        </w:rPr>
        <w:t xml:space="preserve"> </w:t>
      </w:r>
    </w:p>
    <w:p w14:paraId="41E99F8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F263F9B" w14:textId="77777777" w:rsidTr="001E44FE">
        <w:tc>
          <w:tcPr>
            <w:tcW w:w="9576" w:type="dxa"/>
            <w:shd w:val="clear" w:color="auto" w:fill="F2F2F2"/>
          </w:tcPr>
          <w:p w14:paraId="370E6ADC" w14:textId="172EE8C5" w:rsidR="00505F06" w:rsidRPr="00BA1B01" w:rsidRDefault="00920B96" w:rsidP="00920B96">
            <w:pPr>
              <w:pStyle w:val="Body"/>
              <w:spacing w:after="0"/>
              <w:rPr>
                <w:rFonts w:ascii="Arial" w:eastAsia="Calibri" w:hAnsi="Arial" w:cs="Arial"/>
                <w:szCs w:val="22"/>
              </w:rPr>
            </w:pPr>
            <w:r w:rsidRPr="00920B96">
              <w:rPr>
                <w:rFonts w:ascii="Arial" w:eastAsia="Calibri" w:hAnsi="Arial" w:cs="Arial"/>
                <w:szCs w:val="22"/>
              </w:rPr>
              <w:t>A study was conducted in the southern lateritic soils of Kerala to test and verify the STCR-based targeted yield equation for groundnut, which was developed under the AICRP on STCR. The experiment was conducted at a latitude of 8</w:t>
            </w:r>
            <w:r w:rsidRPr="00A72C75">
              <w:rPr>
                <w:rFonts w:ascii="Arial" w:eastAsia="Calibri" w:hAnsi="Arial" w:cs="Arial"/>
                <w:szCs w:val="22"/>
                <w:vertAlign w:val="superscript"/>
              </w:rPr>
              <w:t>o</w:t>
            </w:r>
            <w:r w:rsidRPr="00920B96">
              <w:rPr>
                <w:rFonts w:ascii="Arial" w:eastAsia="Calibri" w:hAnsi="Arial" w:cs="Arial"/>
                <w:szCs w:val="22"/>
              </w:rPr>
              <w:t xml:space="preserve"> 25’ 46’’ N and 76</w:t>
            </w:r>
            <w:r w:rsidRPr="00A72C75">
              <w:rPr>
                <w:rFonts w:ascii="Arial" w:eastAsia="Calibri" w:hAnsi="Arial" w:cs="Arial"/>
                <w:szCs w:val="22"/>
                <w:vertAlign w:val="superscript"/>
              </w:rPr>
              <w:t>o</w:t>
            </w:r>
            <w:r w:rsidRPr="00920B96">
              <w:rPr>
                <w:rFonts w:ascii="Arial" w:eastAsia="Calibri" w:hAnsi="Arial" w:cs="Arial"/>
                <w:szCs w:val="22"/>
              </w:rPr>
              <w:t xml:space="preserve"> 59’ 21’’ E longitude, at 36.16 m above mean sea level in 2023. The crop variety used in the experiment was CO-7. The study followed a </w:t>
            </w:r>
            <w:proofErr w:type="spellStart"/>
            <w:r w:rsidRPr="00920B96">
              <w:rPr>
                <w:rFonts w:ascii="Arial" w:eastAsia="Calibri" w:hAnsi="Arial" w:cs="Arial"/>
                <w:szCs w:val="22"/>
              </w:rPr>
              <w:t>randomised</w:t>
            </w:r>
            <w:proofErr w:type="spellEnd"/>
            <w:r w:rsidRPr="00920B96">
              <w:rPr>
                <w:rFonts w:ascii="Arial" w:eastAsia="Calibri" w:hAnsi="Arial" w:cs="Arial"/>
                <w:szCs w:val="22"/>
              </w:rPr>
              <w:t xml:space="preserve"> block design (RBD) involving four replications and six treatments. The treatments included- T</w:t>
            </w:r>
            <w:r w:rsidRPr="00A72C75">
              <w:rPr>
                <w:rFonts w:ascii="Arial" w:eastAsia="Calibri" w:hAnsi="Arial" w:cs="Arial"/>
                <w:szCs w:val="22"/>
                <w:vertAlign w:val="subscript"/>
              </w:rPr>
              <w:t>1</w:t>
            </w:r>
            <w:r w:rsidRPr="00920B96">
              <w:rPr>
                <w:rFonts w:ascii="Arial" w:eastAsia="Calibri" w:hAnsi="Arial" w:cs="Arial"/>
                <w:szCs w:val="22"/>
              </w:rPr>
              <w:t>–where nutrient management was carried out under organic management practices, T</w:t>
            </w:r>
            <w:r w:rsidRPr="00A72C75">
              <w:rPr>
                <w:rFonts w:ascii="Arial" w:eastAsia="Calibri" w:hAnsi="Arial" w:cs="Arial"/>
                <w:szCs w:val="22"/>
                <w:vertAlign w:val="subscript"/>
              </w:rPr>
              <w:t>2</w:t>
            </w:r>
            <w:r w:rsidRPr="00920B96">
              <w:rPr>
                <w:rFonts w:ascii="Arial" w:eastAsia="Calibri" w:hAnsi="Arial" w:cs="Arial"/>
                <w:szCs w:val="22"/>
              </w:rPr>
              <w:t xml:space="preserve">-Kerala </w:t>
            </w:r>
            <w:r w:rsidR="0023152F">
              <w:rPr>
                <w:rFonts w:ascii="Arial" w:eastAsia="Calibri" w:hAnsi="Arial" w:cs="Arial"/>
                <w:szCs w:val="22"/>
              </w:rPr>
              <w:t>A</w:t>
            </w:r>
            <w:r w:rsidRPr="00920B96">
              <w:rPr>
                <w:rFonts w:ascii="Arial" w:eastAsia="Calibri" w:hAnsi="Arial" w:cs="Arial"/>
                <w:szCs w:val="22"/>
              </w:rPr>
              <w:t xml:space="preserve">gricultural </w:t>
            </w:r>
            <w:r w:rsidR="0023152F">
              <w:rPr>
                <w:rFonts w:ascii="Arial" w:eastAsia="Calibri" w:hAnsi="Arial" w:cs="Arial"/>
                <w:szCs w:val="22"/>
              </w:rPr>
              <w:t>U</w:t>
            </w:r>
            <w:r w:rsidRPr="00920B96">
              <w:rPr>
                <w:rFonts w:ascii="Arial" w:eastAsia="Calibri" w:hAnsi="Arial" w:cs="Arial"/>
                <w:szCs w:val="22"/>
              </w:rPr>
              <w:t>niversity Package of Practices Recommendations: crops (KAU, 2016) based soil test recommendations, T</w:t>
            </w:r>
            <w:r w:rsidRPr="00A72C75">
              <w:rPr>
                <w:rFonts w:ascii="Arial" w:eastAsia="Calibri" w:hAnsi="Arial" w:cs="Arial"/>
                <w:szCs w:val="22"/>
                <w:vertAlign w:val="subscript"/>
              </w:rPr>
              <w:t>3</w:t>
            </w:r>
            <w:r w:rsidRPr="00920B96">
              <w:rPr>
                <w:rFonts w:ascii="Arial" w:eastAsia="Calibri" w:hAnsi="Arial" w:cs="Arial"/>
                <w:szCs w:val="22"/>
              </w:rPr>
              <w:t>, T</w:t>
            </w:r>
            <w:r w:rsidRPr="00A72C75">
              <w:rPr>
                <w:rFonts w:ascii="Arial" w:eastAsia="Calibri" w:hAnsi="Arial" w:cs="Arial"/>
                <w:szCs w:val="22"/>
                <w:vertAlign w:val="subscript"/>
              </w:rPr>
              <w:t>4</w:t>
            </w:r>
            <w:r w:rsidRPr="00920B96">
              <w:rPr>
                <w:rFonts w:ascii="Arial" w:eastAsia="Calibri" w:hAnsi="Arial" w:cs="Arial"/>
                <w:szCs w:val="22"/>
              </w:rPr>
              <w:t>, T</w:t>
            </w:r>
            <w:r w:rsidRPr="00A72C75">
              <w:rPr>
                <w:rFonts w:ascii="Arial" w:eastAsia="Calibri" w:hAnsi="Arial" w:cs="Arial"/>
                <w:szCs w:val="22"/>
                <w:vertAlign w:val="subscript"/>
              </w:rPr>
              <w:t>5</w:t>
            </w:r>
            <w:r w:rsidRPr="00920B96">
              <w:rPr>
                <w:rFonts w:ascii="Arial" w:eastAsia="Calibri" w:hAnsi="Arial" w:cs="Arial"/>
                <w:szCs w:val="22"/>
              </w:rPr>
              <w:t xml:space="preserve"> and T</w:t>
            </w:r>
            <w:r w:rsidRPr="00A72C75">
              <w:rPr>
                <w:rFonts w:ascii="Arial" w:eastAsia="Calibri" w:hAnsi="Arial" w:cs="Arial"/>
                <w:szCs w:val="22"/>
                <w:vertAlign w:val="subscript"/>
              </w:rPr>
              <w:t>6</w:t>
            </w:r>
            <w:r w:rsidRPr="00920B96">
              <w:rPr>
                <w:rFonts w:ascii="Arial" w:eastAsia="Calibri" w:hAnsi="Arial" w:cs="Arial"/>
                <w:szCs w:val="22"/>
              </w:rPr>
              <w:t xml:space="preserve"> were based on STCR–driven fertilizer prescription for yield targets of 2.6, 3, 3.4 and 3.8 </w:t>
            </w:r>
            <w:proofErr w:type="spellStart"/>
            <w:r w:rsidRPr="00920B96">
              <w:rPr>
                <w:rFonts w:ascii="Arial" w:eastAsia="Calibri" w:hAnsi="Arial" w:cs="Arial"/>
                <w:szCs w:val="22"/>
              </w:rPr>
              <w:t>tonnes</w:t>
            </w:r>
            <w:proofErr w:type="spellEnd"/>
            <w:r w:rsidRPr="00920B96">
              <w:rPr>
                <w:rFonts w:ascii="Arial" w:eastAsia="Calibri" w:hAnsi="Arial" w:cs="Arial"/>
                <w:szCs w:val="22"/>
              </w:rPr>
              <w:t xml:space="preserve"> respectively. The fertilizer applied for a yield target of 3.8 </w:t>
            </w:r>
            <w:proofErr w:type="spellStart"/>
            <w:r w:rsidRPr="00920B96">
              <w:rPr>
                <w:rFonts w:ascii="Arial" w:eastAsia="Calibri" w:hAnsi="Arial" w:cs="Arial"/>
                <w:szCs w:val="22"/>
              </w:rPr>
              <w:t>tonnes</w:t>
            </w:r>
            <w:proofErr w:type="spellEnd"/>
            <w:r w:rsidRPr="00920B96">
              <w:rPr>
                <w:rFonts w:ascii="Arial" w:eastAsia="Calibri" w:hAnsi="Arial" w:cs="Arial"/>
                <w:szCs w:val="22"/>
              </w:rPr>
              <w:t>, i.e., T</w:t>
            </w:r>
            <w:r w:rsidRPr="00A72C75">
              <w:rPr>
                <w:rFonts w:ascii="Arial" w:eastAsia="Calibri" w:hAnsi="Arial" w:cs="Arial"/>
                <w:szCs w:val="22"/>
                <w:vertAlign w:val="subscript"/>
              </w:rPr>
              <w:t>6</w:t>
            </w:r>
            <w:r w:rsidRPr="00920B96">
              <w:rPr>
                <w:rFonts w:ascii="Arial" w:eastAsia="Calibri" w:hAnsi="Arial" w:cs="Arial"/>
                <w:szCs w:val="22"/>
              </w:rPr>
              <w:t xml:space="preserve"> recorded a significantly higher plant height, number of branches per plant and dry matter production. Yield parameters such as the number of pods per plant, test weight, pod length, and pod girth were highest in treatment T</w:t>
            </w:r>
            <w:r w:rsidRPr="00A72C75">
              <w:rPr>
                <w:rFonts w:ascii="Arial" w:eastAsia="Calibri" w:hAnsi="Arial" w:cs="Arial"/>
                <w:szCs w:val="22"/>
                <w:vertAlign w:val="subscript"/>
              </w:rPr>
              <w:t>5</w:t>
            </w:r>
            <w:r w:rsidRPr="00920B96">
              <w:rPr>
                <w:rFonts w:ascii="Arial" w:eastAsia="Calibri" w:hAnsi="Arial" w:cs="Arial"/>
                <w:szCs w:val="22"/>
              </w:rPr>
              <w:t>. The treatments T</w:t>
            </w:r>
            <w:r w:rsidRPr="00A72C75">
              <w:rPr>
                <w:rFonts w:ascii="Arial" w:eastAsia="Calibri" w:hAnsi="Arial" w:cs="Arial"/>
                <w:szCs w:val="22"/>
                <w:vertAlign w:val="subscript"/>
              </w:rPr>
              <w:t xml:space="preserve">3 </w:t>
            </w:r>
            <w:r w:rsidRPr="00920B96">
              <w:rPr>
                <w:rFonts w:ascii="Arial" w:eastAsia="Calibri" w:hAnsi="Arial" w:cs="Arial"/>
                <w:szCs w:val="22"/>
              </w:rPr>
              <w:t>and T</w:t>
            </w:r>
            <w:r w:rsidRPr="00A72C75">
              <w:rPr>
                <w:rFonts w:ascii="Arial" w:eastAsia="Calibri" w:hAnsi="Arial" w:cs="Arial"/>
                <w:szCs w:val="22"/>
                <w:vertAlign w:val="subscript"/>
              </w:rPr>
              <w:t>4</w:t>
            </w:r>
            <w:r w:rsidRPr="00920B96">
              <w:rPr>
                <w:rFonts w:ascii="Arial" w:eastAsia="Calibri" w:hAnsi="Arial" w:cs="Arial"/>
                <w:szCs w:val="22"/>
              </w:rPr>
              <w:t xml:space="preserve"> attained their respective yield targets. However, even though treatment T</w:t>
            </w:r>
            <w:r w:rsidRPr="00A72C75">
              <w:rPr>
                <w:rFonts w:ascii="Arial" w:eastAsia="Calibri" w:hAnsi="Arial" w:cs="Arial"/>
                <w:szCs w:val="22"/>
                <w:vertAlign w:val="subscript"/>
              </w:rPr>
              <w:t>5</w:t>
            </w:r>
            <w:r w:rsidRPr="00920B96">
              <w:rPr>
                <w:rFonts w:ascii="Arial" w:eastAsia="Calibri" w:hAnsi="Arial" w:cs="Arial"/>
                <w:szCs w:val="22"/>
              </w:rPr>
              <w:t xml:space="preserve"> recorded the highest yield, a superior B: C ratio of 2.65 compared to other treatments, it failed in attaining the expected targeted yield. Further supplementation of fertilizers as in treatment T</w:t>
            </w:r>
            <w:r w:rsidRPr="00A72C75">
              <w:rPr>
                <w:rFonts w:ascii="Arial" w:eastAsia="Calibri" w:hAnsi="Arial" w:cs="Arial"/>
                <w:szCs w:val="22"/>
                <w:vertAlign w:val="subscript"/>
              </w:rPr>
              <w:t>6</w:t>
            </w:r>
            <w:r w:rsidRPr="00920B96">
              <w:rPr>
                <w:rFonts w:ascii="Arial" w:eastAsia="Calibri" w:hAnsi="Arial" w:cs="Arial"/>
                <w:szCs w:val="22"/>
              </w:rPr>
              <w:t xml:space="preserve"> led to a reduction in yield and the same was also unsuccessful in fulfilling the yield target.</w:t>
            </w:r>
            <w:r w:rsidR="00CB634E">
              <w:rPr>
                <w:rFonts w:ascii="Arial" w:eastAsia="Calibri" w:hAnsi="Arial" w:cs="Arial"/>
                <w:szCs w:val="22"/>
              </w:rPr>
              <w:t xml:space="preserve"> T</w:t>
            </w:r>
            <w:r w:rsidRPr="00920B96">
              <w:rPr>
                <w:rFonts w:ascii="Arial" w:eastAsia="Calibri" w:hAnsi="Arial" w:cs="Arial"/>
                <w:szCs w:val="22"/>
              </w:rPr>
              <w:t xml:space="preserve">he STCR–based targeted yield equation can be used up to a target of 3 </w:t>
            </w:r>
            <w:proofErr w:type="spellStart"/>
            <w:r w:rsidRPr="00920B96">
              <w:rPr>
                <w:rFonts w:ascii="Arial" w:eastAsia="Calibri" w:hAnsi="Arial" w:cs="Arial"/>
                <w:szCs w:val="22"/>
              </w:rPr>
              <w:t>tonnes</w:t>
            </w:r>
            <w:proofErr w:type="spellEnd"/>
            <w:r w:rsidRPr="00920B96">
              <w:rPr>
                <w:rFonts w:ascii="Arial" w:eastAsia="Calibri" w:hAnsi="Arial" w:cs="Arial"/>
                <w:szCs w:val="22"/>
              </w:rPr>
              <w:t xml:space="preserve">, and since a higher yield of 3.31 </w:t>
            </w:r>
            <w:proofErr w:type="spellStart"/>
            <w:r w:rsidRPr="00920B96">
              <w:rPr>
                <w:rFonts w:ascii="Arial" w:eastAsia="Calibri" w:hAnsi="Arial" w:cs="Arial"/>
                <w:szCs w:val="22"/>
              </w:rPr>
              <w:t>tonnes</w:t>
            </w:r>
            <w:proofErr w:type="spellEnd"/>
            <w:r w:rsidRPr="00920B96">
              <w:rPr>
                <w:rFonts w:ascii="Arial" w:eastAsia="Calibri" w:hAnsi="Arial" w:cs="Arial"/>
                <w:szCs w:val="22"/>
              </w:rPr>
              <w:t xml:space="preserve"> in treatment T</w:t>
            </w:r>
            <w:r w:rsidRPr="00A72C75">
              <w:rPr>
                <w:rFonts w:ascii="Arial" w:eastAsia="Calibri" w:hAnsi="Arial" w:cs="Arial"/>
                <w:szCs w:val="22"/>
                <w:vertAlign w:val="subscript"/>
              </w:rPr>
              <w:t>5</w:t>
            </w:r>
            <w:r w:rsidRPr="00920B96">
              <w:rPr>
                <w:rFonts w:ascii="Arial" w:eastAsia="Calibri" w:hAnsi="Arial" w:cs="Arial"/>
                <w:szCs w:val="22"/>
              </w:rPr>
              <w:t xml:space="preserve">, a yield target of 3.4 </w:t>
            </w:r>
            <w:proofErr w:type="spellStart"/>
            <w:r w:rsidRPr="00920B96">
              <w:rPr>
                <w:rFonts w:ascii="Arial" w:eastAsia="Calibri" w:hAnsi="Arial" w:cs="Arial"/>
                <w:szCs w:val="22"/>
              </w:rPr>
              <w:t>tonnes</w:t>
            </w:r>
            <w:proofErr w:type="spellEnd"/>
            <w:r w:rsidRPr="00920B96">
              <w:rPr>
                <w:rFonts w:ascii="Arial" w:eastAsia="Calibri" w:hAnsi="Arial" w:cs="Arial"/>
                <w:szCs w:val="22"/>
              </w:rPr>
              <w:t xml:space="preserve"> can also be utilized.</w:t>
            </w:r>
            <w:r w:rsidR="00CB634E">
              <w:rPr>
                <w:rFonts w:ascii="Arial" w:eastAsia="Calibri" w:hAnsi="Arial" w:cs="Arial"/>
                <w:szCs w:val="22"/>
              </w:rPr>
              <w:t xml:space="preserve"> Therefore, adopting this technology </w:t>
            </w:r>
            <w:r w:rsidR="00CB634E">
              <w:rPr>
                <w:rFonts w:ascii="Arial" w:hAnsi="Arial" w:cs="Arial"/>
              </w:rPr>
              <w:t>would aid in proper utilization of resources and enhance the productivity of groundnut thereby, helping farmers get better economic returns.</w:t>
            </w:r>
          </w:p>
        </w:tc>
      </w:tr>
    </w:tbl>
    <w:p w14:paraId="3962F44D" w14:textId="77777777" w:rsidR="00636EB2" w:rsidRDefault="00636EB2" w:rsidP="00441B6F">
      <w:pPr>
        <w:pStyle w:val="Body"/>
        <w:spacing w:after="0"/>
        <w:rPr>
          <w:rFonts w:ascii="Arial" w:hAnsi="Arial" w:cs="Arial"/>
          <w:i/>
        </w:rPr>
      </w:pPr>
    </w:p>
    <w:p w14:paraId="18F58517" w14:textId="6BAD49A5" w:rsidR="0024282C" w:rsidRPr="00920B96" w:rsidRDefault="00920B96" w:rsidP="00920B96">
      <w:pPr>
        <w:pStyle w:val="Body"/>
        <w:spacing w:after="0"/>
        <w:rPr>
          <w:rFonts w:ascii="Arial" w:hAnsi="Arial" w:cs="Arial"/>
          <w:i/>
        </w:rPr>
      </w:pPr>
      <w:r w:rsidRPr="00920B96">
        <w:rPr>
          <w:rFonts w:ascii="Arial" w:hAnsi="Arial" w:cs="Arial"/>
          <w:i/>
        </w:rPr>
        <w:t>Keywords: [groundnut, Targeted yield, prescription-based, soil test, crop response to fertilizer]</w:t>
      </w:r>
    </w:p>
    <w:p w14:paraId="1DFF8273" w14:textId="77777777" w:rsidR="00505F06" w:rsidRPr="00A24E7E" w:rsidRDefault="00505F06" w:rsidP="00441B6F">
      <w:pPr>
        <w:pStyle w:val="Body"/>
        <w:spacing w:after="0"/>
        <w:rPr>
          <w:rFonts w:ascii="Arial" w:hAnsi="Arial" w:cs="Arial"/>
          <w:i/>
        </w:rPr>
      </w:pPr>
    </w:p>
    <w:p w14:paraId="6E3C2701" w14:textId="15E0C4C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4B1382B" w14:textId="77777777" w:rsidR="00790ADA" w:rsidRPr="00FB3A86" w:rsidRDefault="00790ADA" w:rsidP="00441B6F">
      <w:pPr>
        <w:pStyle w:val="AbstHead"/>
        <w:spacing w:after="0"/>
        <w:jc w:val="both"/>
        <w:rPr>
          <w:rFonts w:ascii="Arial" w:hAnsi="Arial" w:cs="Arial"/>
        </w:rPr>
      </w:pPr>
    </w:p>
    <w:p w14:paraId="6DD1E6D7" w14:textId="79C52B6A" w:rsidR="00B01FCD" w:rsidRDefault="00920B96" w:rsidP="00920B96">
      <w:pPr>
        <w:pStyle w:val="Body"/>
        <w:spacing w:after="0"/>
        <w:rPr>
          <w:rFonts w:ascii="Arial" w:hAnsi="Arial" w:cs="Arial"/>
        </w:rPr>
      </w:pPr>
      <w:r w:rsidRPr="00920B96">
        <w:rPr>
          <w:rFonts w:ascii="Arial" w:hAnsi="Arial" w:cs="Arial"/>
        </w:rPr>
        <w:t>Oilseed crops are a vital component of world agriculture. They include various crop species predominantly cultivated to produce edible oil. About 40 oilseeds belong to multiple families and genera and are consumable</w:t>
      </w:r>
      <w:r w:rsidR="008F6C85">
        <w:rPr>
          <w:rFonts w:ascii="Arial" w:hAnsi="Arial" w:cs="Arial"/>
        </w:rPr>
        <w:t xml:space="preserve"> [1]</w:t>
      </w:r>
      <w:r w:rsidRPr="00920B96">
        <w:rPr>
          <w:rFonts w:ascii="Arial" w:hAnsi="Arial" w:cs="Arial"/>
        </w:rPr>
        <w:t xml:space="preserve"> (</w:t>
      </w:r>
      <w:proofErr w:type="spellStart"/>
      <w:r w:rsidRPr="00920B96">
        <w:rPr>
          <w:rFonts w:ascii="Arial" w:hAnsi="Arial" w:cs="Arial"/>
        </w:rPr>
        <w:t>Lennerts</w:t>
      </w:r>
      <w:proofErr w:type="spellEnd"/>
      <w:r w:rsidRPr="00920B96">
        <w:rPr>
          <w:rFonts w:ascii="Arial" w:hAnsi="Arial" w:cs="Arial"/>
        </w:rPr>
        <w:t xml:space="preserve">, 1983). Among them, groundnut is one of India's most significant oilseed crops. According to </w:t>
      </w:r>
      <w:r w:rsidR="008F6C85">
        <w:rPr>
          <w:rFonts w:ascii="Arial" w:hAnsi="Arial" w:cs="Arial"/>
        </w:rPr>
        <w:t xml:space="preserve">[2] </w:t>
      </w:r>
      <w:r w:rsidRPr="00920B96">
        <w:rPr>
          <w:rFonts w:ascii="Arial" w:hAnsi="Arial" w:cs="Arial"/>
        </w:rPr>
        <w:t xml:space="preserve">DOD, 2024, in India, groundnut was cultivated in an area of 47.02 lakh ha with a production of 101.801 lakh </w:t>
      </w:r>
      <w:proofErr w:type="spellStart"/>
      <w:r w:rsidRPr="00920B96">
        <w:rPr>
          <w:rFonts w:ascii="Arial" w:hAnsi="Arial" w:cs="Arial"/>
        </w:rPr>
        <w:t>tonnes</w:t>
      </w:r>
      <w:proofErr w:type="spellEnd"/>
      <w:r w:rsidRPr="00920B96">
        <w:rPr>
          <w:rFonts w:ascii="Arial" w:hAnsi="Arial" w:cs="Arial"/>
        </w:rPr>
        <w:t xml:space="preserve"> and an average yield of 2163 kg ha</w:t>
      </w:r>
      <w:r w:rsidRPr="004C6444">
        <w:rPr>
          <w:rFonts w:ascii="Arial" w:hAnsi="Arial" w:cs="Arial"/>
          <w:vertAlign w:val="superscript"/>
        </w:rPr>
        <w:t>-1</w:t>
      </w:r>
      <w:r w:rsidRPr="00920B96">
        <w:rPr>
          <w:rFonts w:ascii="Arial" w:hAnsi="Arial" w:cs="Arial"/>
        </w:rPr>
        <w:t xml:space="preserve"> in 2023-24. Groundnut, also called peanut or monkey nut, is a significant protein-rich legume crop grown mainly under rainfed conditions in India. Groundnut seeds are rich in oil (45%), protein (26-28%), </w:t>
      </w:r>
      <w:proofErr w:type="spellStart"/>
      <w:r w:rsidRPr="00920B96">
        <w:rPr>
          <w:rFonts w:ascii="Arial" w:hAnsi="Arial" w:cs="Arial"/>
        </w:rPr>
        <w:t>fibre</w:t>
      </w:r>
      <w:proofErr w:type="spellEnd"/>
      <w:r w:rsidRPr="00920B96">
        <w:rPr>
          <w:rFonts w:ascii="Arial" w:hAnsi="Arial" w:cs="Arial"/>
        </w:rPr>
        <w:t xml:space="preserve"> (5%) and carbohydrate (20%) </w:t>
      </w:r>
      <w:r w:rsidR="008F6C85">
        <w:rPr>
          <w:rFonts w:ascii="Arial" w:hAnsi="Arial" w:cs="Arial"/>
        </w:rPr>
        <w:t xml:space="preserve">[3] </w:t>
      </w:r>
      <w:r w:rsidRPr="00920B96">
        <w:rPr>
          <w:rFonts w:ascii="Arial" w:hAnsi="Arial" w:cs="Arial"/>
        </w:rPr>
        <w:t>(</w:t>
      </w:r>
      <w:proofErr w:type="spellStart"/>
      <w:r w:rsidRPr="00920B96">
        <w:rPr>
          <w:rFonts w:ascii="Arial" w:hAnsi="Arial" w:cs="Arial"/>
        </w:rPr>
        <w:t>Fageria</w:t>
      </w:r>
      <w:proofErr w:type="spellEnd"/>
      <w:r w:rsidRPr="00920B96">
        <w:rPr>
          <w:rFonts w:ascii="Arial" w:hAnsi="Arial" w:cs="Arial"/>
        </w:rPr>
        <w:t xml:space="preserve"> </w:t>
      </w:r>
      <w:r w:rsidRPr="0023152F">
        <w:rPr>
          <w:rFonts w:ascii="Arial" w:hAnsi="Arial" w:cs="Arial"/>
          <w:i/>
          <w:iCs/>
        </w:rPr>
        <w:t>et al</w:t>
      </w:r>
      <w:r w:rsidRPr="00920B96">
        <w:rPr>
          <w:rFonts w:ascii="Arial" w:hAnsi="Arial" w:cs="Arial"/>
        </w:rPr>
        <w:t xml:space="preserve">., 1997). Apart from oil production, it is also used in various oleochemical industries. With agriculture becoming more intensive, extensive fertilizer application and rising crop demands, it has become important to ensure optimal productivity levels. However, the management and maintenance of soil fertility is a major concern in attaining increased production. Reduced organic matter content, poor soil fertility and imbalanced fertilizer utilization without organic amendments had resulted in the limited productivity of groundnut </w:t>
      </w:r>
      <w:r w:rsidR="008F6C85">
        <w:rPr>
          <w:rFonts w:ascii="Arial" w:hAnsi="Arial" w:cs="Arial"/>
        </w:rPr>
        <w:t xml:space="preserve">[4] </w:t>
      </w:r>
      <w:r w:rsidRPr="00920B96">
        <w:rPr>
          <w:rFonts w:ascii="Arial" w:hAnsi="Arial" w:cs="Arial"/>
        </w:rPr>
        <w:t xml:space="preserve">(Akbari, 2011). Therefore, </w:t>
      </w:r>
      <w:r w:rsidRPr="00920B96">
        <w:rPr>
          <w:rFonts w:ascii="Arial" w:hAnsi="Arial" w:cs="Arial"/>
        </w:rPr>
        <w:lastRenderedPageBreak/>
        <w:t xml:space="preserve">balanced nutrition is significant for enhancing the productivity of the crop. Soil testing enables speedy assessment of nutrient contents and aids in interpreting the results of tests conducted, along with formulation of fertilizer recommendations based on crop responses and economic attributes </w:t>
      </w:r>
      <w:r w:rsidR="008F6C85">
        <w:rPr>
          <w:rFonts w:ascii="Arial" w:hAnsi="Arial" w:cs="Arial"/>
        </w:rPr>
        <w:t xml:space="preserve">[5] </w:t>
      </w:r>
      <w:r w:rsidRPr="00920B96">
        <w:rPr>
          <w:rFonts w:ascii="Arial" w:hAnsi="Arial" w:cs="Arial"/>
        </w:rPr>
        <w:t xml:space="preserve">(Dwivedi </w:t>
      </w:r>
      <w:r w:rsidRPr="0023152F">
        <w:rPr>
          <w:rFonts w:ascii="Arial" w:hAnsi="Arial" w:cs="Arial"/>
          <w:i/>
          <w:iCs/>
        </w:rPr>
        <w:t>et al</w:t>
      </w:r>
      <w:r w:rsidRPr="00920B96">
        <w:rPr>
          <w:rFonts w:ascii="Arial" w:hAnsi="Arial" w:cs="Arial"/>
        </w:rPr>
        <w:t xml:space="preserve">., 2015). The soil test-based fertilizer prescription concept is a promising and profitable technique for obtaining good crop yield. This method ensures the supply of nutrients to the crop in the required and proper quantity. The target yield approach is gaining more attention with the shift in agricultural trends. </w:t>
      </w:r>
      <w:r w:rsidR="008F6C85">
        <w:rPr>
          <w:rFonts w:ascii="Arial" w:hAnsi="Arial" w:cs="Arial"/>
        </w:rPr>
        <w:t xml:space="preserve">[6] </w:t>
      </w:r>
      <w:r w:rsidR="00BC4D8A">
        <w:rPr>
          <w:rFonts w:ascii="Arial" w:hAnsi="Arial" w:cs="Arial"/>
        </w:rPr>
        <w:t>(</w:t>
      </w:r>
      <w:r w:rsidRPr="00920B96">
        <w:rPr>
          <w:rFonts w:ascii="Arial" w:hAnsi="Arial" w:cs="Arial"/>
        </w:rPr>
        <w:t>Troug</w:t>
      </w:r>
      <w:r w:rsidR="00BC4D8A">
        <w:rPr>
          <w:rFonts w:ascii="Arial" w:hAnsi="Arial" w:cs="Arial"/>
        </w:rPr>
        <w:t>,</w:t>
      </w:r>
      <w:r w:rsidRPr="00920B96">
        <w:rPr>
          <w:rFonts w:ascii="Arial" w:hAnsi="Arial" w:cs="Arial"/>
        </w:rPr>
        <w:t xml:space="preserve">1960) and </w:t>
      </w:r>
      <w:r w:rsidR="008F6C85">
        <w:rPr>
          <w:rFonts w:ascii="Arial" w:hAnsi="Arial" w:cs="Arial"/>
        </w:rPr>
        <w:t xml:space="preserve">[7] </w:t>
      </w:r>
      <w:r w:rsidR="00BC4D8A">
        <w:rPr>
          <w:rFonts w:ascii="Arial" w:hAnsi="Arial" w:cs="Arial"/>
        </w:rPr>
        <w:t>(</w:t>
      </w:r>
      <w:r w:rsidRPr="00920B96">
        <w:rPr>
          <w:rFonts w:ascii="Arial" w:hAnsi="Arial" w:cs="Arial"/>
        </w:rPr>
        <w:t xml:space="preserve">Ramamoorthy </w:t>
      </w:r>
      <w:r w:rsidRPr="0023152F">
        <w:rPr>
          <w:rFonts w:ascii="Arial" w:hAnsi="Arial" w:cs="Arial"/>
          <w:i/>
          <w:iCs/>
        </w:rPr>
        <w:t>et al</w:t>
      </w:r>
      <w:r w:rsidRPr="00920B96">
        <w:rPr>
          <w:rFonts w:ascii="Arial" w:hAnsi="Arial" w:cs="Arial"/>
        </w:rPr>
        <w:t>., 1967</w:t>
      </w:r>
      <w:r w:rsidR="00BC4D8A">
        <w:rPr>
          <w:rFonts w:ascii="Arial" w:hAnsi="Arial" w:cs="Arial"/>
        </w:rPr>
        <w:t>)</w:t>
      </w:r>
      <w:r w:rsidRPr="00920B96">
        <w:rPr>
          <w:rFonts w:ascii="Arial" w:hAnsi="Arial" w:cs="Arial"/>
        </w:rPr>
        <w:t xml:space="preserve"> introduced the targeted yield approach which focuses on balance between applied and soil nutrients available in the soil. The All India Coordinated Research (AICRP) on Soil Test Crop Response (STCR), initiated by ICAR in 1967-68, evolved STCR-based crop fertilizer recommendations. A notable benefit of this method is that yield targets can be altered based on the availability of resources. Various field experiments have been conducted based on STCR on different crops. In most cases, better responses and B: C ratios were obtained compared to the conventional method.</w:t>
      </w:r>
      <w:r w:rsidR="009D63AC">
        <w:rPr>
          <w:rFonts w:ascii="Arial" w:hAnsi="Arial" w:cs="Arial"/>
        </w:rPr>
        <w:t xml:space="preserve"> This will benefit the farming community in deciding the type and level of soil nutrient management based on the initial soil test values and fertilizer to be procured to decide a targeted yield of the crop.</w:t>
      </w:r>
      <w:r w:rsidRPr="00920B96">
        <w:rPr>
          <w:rFonts w:ascii="Arial" w:hAnsi="Arial" w:cs="Arial"/>
        </w:rPr>
        <w:t xml:space="preserve"> In the light of this context, a field study was carried out to test and verify the STCR-based targeted yield equation for groundnuts in southern laterites of Kerala. </w:t>
      </w:r>
    </w:p>
    <w:p w14:paraId="2891CABB" w14:textId="77777777" w:rsidR="00790ADA" w:rsidRPr="00FB3A86" w:rsidRDefault="00790ADA" w:rsidP="00441B6F">
      <w:pPr>
        <w:pStyle w:val="Body"/>
        <w:spacing w:after="0"/>
        <w:rPr>
          <w:rFonts w:ascii="Arial" w:hAnsi="Arial" w:cs="Arial"/>
        </w:rPr>
      </w:pPr>
    </w:p>
    <w:p w14:paraId="39E2BB31" w14:textId="6C46A75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D8EAF1C" w14:textId="77777777" w:rsidR="008F6C85" w:rsidRPr="00FB3A86" w:rsidRDefault="008F6C85" w:rsidP="00441B6F">
      <w:pPr>
        <w:pStyle w:val="AbstHead"/>
        <w:spacing w:after="0"/>
        <w:jc w:val="both"/>
        <w:rPr>
          <w:rFonts w:ascii="Arial" w:hAnsi="Arial" w:cs="Arial"/>
        </w:rPr>
      </w:pPr>
    </w:p>
    <w:p w14:paraId="4A34230A" w14:textId="24BC978F" w:rsidR="00640A1E" w:rsidRPr="006B57D0" w:rsidRDefault="00640A1E" w:rsidP="00640A1E">
      <w:pPr>
        <w:pStyle w:val="Body"/>
        <w:spacing w:after="0"/>
        <w:rPr>
          <w:rFonts w:ascii="Arial" w:hAnsi="Arial" w:cs="Arial"/>
        </w:rPr>
      </w:pPr>
      <w:r w:rsidRPr="00640A1E">
        <w:rPr>
          <w:rFonts w:ascii="Arial" w:hAnsi="Arial" w:cs="Arial"/>
        </w:rPr>
        <w:t xml:space="preserve">A field study was conducted on the groundnut crop to evaluate the STCR-based targeted yield equation developed by AIRCP for STCR at </w:t>
      </w:r>
      <w:proofErr w:type="spellStart"/>
      <w:r w:rsidRPr="00640A1E">
        <w:rPr>
          <w:rFonts w:ascii="Arial" w:hAnsi="Arial" w:cs="Arial"/>
        </w:rPr>
        <w:t>Vellanikkara</w:t>
      </w:r>
      <w:proofErr w:type="spellEnd"/>
      <w:r w:rsidRPr="00640A1E">
        <w:rPr>
          <w:rFonts w:ascii="Arial" w:hAnsi="Arial" w:cs="Arial"/>
        </w:rPr>
        <w:t xml:space="preserve">. The location of the experiment was at the Department of Soil Science and Agricultural Chemistry, </w:t>
      </w:r>
      <w:proofErr w:type="spellStart"/>
      <w:r w:rsidRPr="00640A1E">
        <w:rPr>
          <w:rFonts w:ascii="Arial" w:hAnsi="Arial" w:cs="Arial"/>
        </w:rPr>
        <w:t>Vellayani</w:t>
      </w:r>
      <w:proofErr w:type="spellEnd"/>
      <w:r w:rsidRPr="00640A1E">
        <w:rPr>
          <w:rFonts w:ascii="Arial" w:hAnsi="Arial" w:cs="Arial"/>
        </w:rPr>
        <w:t>, AEU 8, situated at a geographical site of 8o25 46’’ N latitude and 76o59’21’’ E longitude, with an elevation of 36.16 m above mean sea level. This region has soils with low activity, laterite clays, and is devoid of gravel and plinthite. Agroecological unit 8 covers an area of 38,727 ha, which accounts for 1.02% of the total area of Kerala. The cropping period experienced tropical sub-humid weather with mean atmospheric temperature ranging from 23.60 to 31.93 °c and relative humidity between 79.23 and 89.19%. 370.7 mm of rainfall was recorded during the crop growing period. The soil in the study area had a sandy clay loam texture with sand (57.76 %), silt (16%) and clay (26.24%) and initial soil available N, P and K were 253.38, 9.25</w:t>
      </w:r>
      <w:r w:rsidR="00A72C75">
        <w:rPr>
          <w:rFonts w:ascii="Arial" w:hAnsi="Arial" w:cs="Arial"/>
        </w:rPr>
        <w:t xml:space="preserve"> </w:t>
      </w:r>
      <w:r w:rsidRPr="00640A1E">
        <w:rPr>
          <w:rFonts w:ascii="Arial" w:hAnsi="Arial" w:cs="Arial"/>
        </w:rPr>
        <w:t>and 138.88 kg ha</w:t>
      </w:r>
      <w:r w:rsidRPr="00A72C75">
        <w:rPr>
          <w:rFonts w:ascii="Arial" w:hAnsi="Arial" w:cs="Arial"/>
          <w:vertAlign w:val="superscript"/>
        </w:rPr>
        <w:t>-1</w:t>
      </w:r>
      <w:r w:rsidRPr="00640A1E">
        <w:rPr>
          <w:rFonts w:ascii="Arial" w:hAnsi="Arial" w:cs="Arial"/>
        </w:rPr>
        <w:t>, respectively. The organic carbon level in the soil was 0.66%. The experiment was carried out following randomized block design method involving six treatments and four replications. Treatment T</w:t>
      </w:r>
      <w:r w:rsidRPr="00A72C75">
        <w:rPr>
          <w:rFonts w:ascii="Arial" w:hAnsi="Arial" w:cs="Arial"/>
          <w:vertAlign w:val="subscript"/>
        </w:rPr>
        <w:t>1</w:t>
      </w:r>
      <w:r w:rsidRPr="00640A1E">
        <w:rPr>
          <w:rFonts w:ascii="Arial" w:hAnsi="Arial" w:cs="Arial"/>
        </w:rPr>
        <w:t xml:space="preserve"> followed organic management practices which received FYM (2 t ha</w:t>
      </w:r>
      <w:r w:rsidRPr="00A72C75">
        <w:rPr>
          <w:rFonts w:ascii="Arial" w:hAnsi="Arial" w:cs="Arial"/>
          <w:vertAlign w:val="superscript"/>
        </w:rPr>
        <w:t>-1</w:t>
      </w:r>
      <w:r w:rsidRPr="00640A1E">
        <w:rPr>
          <w:rFonts w:ascii="Arial" w:hAnsi="Arial" w:cs="Arial"/>
        </w:rPr>
        <w:t>), Vermicompost (2.5 t ha</w:t>
      </w:r>
      <w:r w:rsidRPr="00A72C75">
        <w:rPr>
          <w:rFonts w:ascii="Arial" w:hAnsi="Arial" w:cs="Arial"/>
          <w:vertAlign w:val="superscript"/>
        </w:rPr>
        <w:t>-1</w:t>
      </w:r>
      <w:r w:rsidRPr="00640A1E">
        <w:rPr>
          <w:rFonts w:ascii="Arial" w:hAnsi="Arial" w:cs="Arial"/>
        </w:rPr>
        <w:t>), Neem cake (250 kg ha</w:t>
      </w:r>
      <w:r w:rsidRPr="00A72C75">
        <w:rPr>
          <w:rFonts w:ascii="Arial" w:hAnsi="Arial" w:cs="Arial"/>
          <w:vertAlign w:val="superscript"/>
        </w:rPr>
        <w:t>-1</w:t>
      </w:r>
      <w:r w:rsidRPr="00640A1E">
        <w:rPr>
          <w:rFonts w:ascii="Arial" w:hAnsi="Arial" w:cs="Arial"/>
        </w:rPr>
        <w:t>), Bone meal (350 kg ha</w:t>
      </w:r>
      <w:r w:rsidRPr="00A72C75">
        <w:rPr>
          <w:rFonts w:ascii="Arial" w:hAnsi="Arial" w:cs="Arial"/>
          <w:vertAlign w:val="superscript"/>
        </w:rPr>
        <w:t>-1</w:t>
      </w:r>
      <w:r w:rsidRPr="00640A1E">
        <w:rPr>
          <w:rFonts w:ascii="Arial" w:hAnsi="Arial" w:cs="Arial"/>
        </w:rPr>
        <w:t xml:space="preserve">), </w:t>
      </w:r>
      <w:proofErr w:type="spellStart"/>
      <w:r w:rsidRPr="00640A1E">
        <w:rPr>
          <w:rFonts w:ascii="Arial" w:hAnsi="Arial" w:cs="Arial"/>
        </w:rPr>
        <w:t>Panchagavyya</w:t>
      </w:r>
      <w:proofErr w:type="spellEnd"/>
      <w:r w:rsidRPr="00640A1E">
        <w:rPr>
          <w:rFonts w:ascii="Arial" w:hAnsi="Arial" w:cs="Arial"/>
        </w:rPr>
        <w:t xml:space="preserve"> (3%) and Cow urine (10%) spray both at 45 and 60 DAS </w:t>
      </w:r>
      <w:r w:rsidR="008F6C85">
        <w:rPr>
          <w:rFonts w:ascii="Arial" w:hAnsi="Arial" w:cs="Arial"/>
        </w:rPr>
        <w:t xml:space="preserve">[8] </w:t>
      </w:r>
      <w:r w:rsidRPr="00640A1E">
        <w:rPr>
          <w:rFonts w:ascii="Arial" w:hAnsi="Arial" w:cs="Arial"/>
        </w:rPr>
        <w:t>(Ravisankar et al., 2017), while treatment T</w:t>
      </w:r>
      <w:r w:rsidRPr="00A72C75">
        <w:rPr>
          <w:rFonts w:ascii="Arial" w:hAnsi="Arial" w:cs="Arial"/>
          <w:vertAlign w:val="subscript"/>
        </w:rPr>
        <w:t>2</w:t>
      </w:r>
      <w:r w:rsidRPr="00640A1E">
        <w:rPr>
          <w:rFonts w:ascii="Arial" w:hAnsi="Arial" w:cs="Arial"/>
        </w:rPr>
        <w:t xml:space="preserve"> was according to Kerala </w:t>
      </w:r>
      <w:r w:rsidR="0023152F">
        <w:rPr>
          <w:rFonts w:ascii="Arial" w:hAnsi="Arial" w:cs="Arial"/>
        </w:rPr>
        <w:t>A</w:t>
      </w:r>
      <w:r w:rsidRPr="00640A1E">
        <w:rPr>
          <w:rFonts w:ascii="Arial" w:hAnsi="Arial" w:cs="Arial"/>
        </w:rPr>
        <w:t xml:space="preserve">gricultural </w:t>
      </w:r>
      <w:r w:rsidR="0023152F">
        <w:rPr>
          <w:rFonts w:ascii="Arial" w:hAnsi="Arial" w:cs="Arial"/>
        </w:rPr>
        <w:t>U</w:t>
      </w:r>
      <w:r w:rsidRPr="00640A1E">
        <w:rPr>
          <w:rFonts w:ascii="Arial" w:hAnsi="Arial" w:cs="Arial"/>
        </w:rPr>
        <w:t>niversity Package of Practices Recommendations: crops and based on soil test values, where the recommendation for the crop is 10: 75: 75 kg ha</w:t>
      </w:r>
      <w:r w:rsidRPr="00A72C75">
        <w:rPr>
          <w:rFonts w:ascii="Arial" w:hAnsi="Arial" w:cs="Arial"/>
          <w:vertAlign w:val="superscript"/>
        </w:rPr>
        <w:t>-1</w:t>
      </w:r>
      <w:r w:rsidRPr="00640A1E">
        <w:rPr>
          <w:rFonts w:ascii="Arial" w:hAnsi="Arial" w:cs="Arial"/>
        </w:rPr>
        <w:t xml:space="preserve"> (N: P</w:t>
      </w:r>
      <w:r w:rsidRPr="00A72C75">
        <w:rPr>
          <w:rFonts w:ascii="Arial" w:hAnsi="Arial" w:cs="Arial"/>
          <w:vertAlign w:val="subscript"/>
        </w:rPr>
        <w:t>2</w:t>
      </w:r>
      <w:r w:rsidRPr="00640A1E">
        <w:rPr>
          <w:rFonts w:ascii="Arial" w:hAnsi="Arial" w:cs="Arial"/>
        </w:rPr>
        <w:t>O</w:t>
      </w:r>
      <w:r w:rsidRPr="00A72C75">
        <w:rPr>
          <w:rFonts w:ascii="Arial" w:hAnsi="Arial" w:cs="Arial"/>
          <w:vertAlign w:val="subscript"/>
        </w:rPr>
        <w:t>5</w:t>
      </w:r>
      <w:r w:rsidRPr="00640A1E">
        <w:rPr>
          <w:rFonts w:ascii="Arial" w:hAnsi="Arial" w:cs="Arial"/>
        </w:rPr>
        <w:t>: K</w:t>
      </w:r>
      <w:r w:rsidRPr="00A72C75">
        <w:rPr>
          <w:rFonts w:ascii="Arial" w:hAnsi="Arial" w:cs="Arial"/>
          <w:vertAlign w:val="subscript"/>
        </w:rPr>
        <w:t>2</w:t>
      </w:r>
      <w:r w:rsidRPr="00640A1E">
        <w:rPr>
          <w:rFonts w:ascii="Arial" w:hAnsi="Arial" w:cs="Arial"/>
        </w:rPr>
        <w:t xml:space="preserve">O) </w:t>
      </w:r>
      <w:r w:rsidR="008F6C85">
        <w:rPr>
          <w:rFonts w:ascii="Arial" w:hAnsi="Arial" w:cs="Arial"/>
        </w:rPr>
        <w:t xml:space="preserve">[9] </w:t>
      </w:r>
      <w:r w:rsidRPr="00640A1E">
        <w:rPr>
          <w:rFonts w:ascii="Arial" w:hAnsi="Arial" w:cs="Arial"/>
        </w:rPr>
        <w:t xml:space="preserve"> (KAU, 2016). Treatments T</w:t>
      </w:r>
      <w:r w:rsidRPr="00A72C75">
        <w:rPr>
          <w:rFonts w:ascii="Arial" w:hAnsi="Arial" w:cs="Arial"/>
          <w:vertAlign w:val="subscript"/>
        </w:rPr>
        <w:t>3</w:t>
      </w:r>
      <w:r w:rsidRPr="00640A1E">
        <w:rPr>
          <w:rFonts w:ascii="Arial" w:hAnsi="Arial" w:cs="Arial"/>
        </w:rPr>
        <w:t>, T</w:t>
      </w:r>
      <w:r w:rsidRPr="00A72C75">
        <w:rPr>
          <w:rFonts w:ascii="Arial" w:hAnsi="Arial" w:cs="Arial"/>
          <w:vertAlign w:val="subscript"/>
        </w:rPr>
        <w:t>4</w:t>
      </w:r>
      <w:r w:rsidRPr="00640A1E">
        <w:rPr>
          <w:rFonts w:ascii="Arial" w:hAnsi="Arial" w:cs="Arial"/>
        </w:rPr>
        <w:t>, T</w:t>
      </w:r>
      <w:r w:rsidRPr="00A72C75">
        <w:rPr>
          <w:rFonts w:ascii="Arial" w:hAnsi="Arial" w:cs="Arial"/>
          <w:vertAlign w:val="subscript"/>
        </w:rPr>
        <w:t>5</w:t>
      </w:r>
      <w:r w:rsidRPr="00640A1E">
        <w:rPr>
          <w:rFonts w:ascii="Arial" w:hAnsi="Arial" w:cs="Arial"/>
        </w:rPr>
        <w:t xml:space="preserve"> and T</w:t>
      </w:r>
      <w:r w:rsidRPr="00A72C75">
        <w:rPr>
          <w:rFonts w:ascii="Arial" w:hAnsi="Arial" w:cs="Arial"/>
          <w:vertAlign w:val="subscript"/>
        </w:rPr>
        <w:t>6</w:t>
      </w:r>
      <w:r w:rsidRPr="00640A1E">
        <w:rPr>
          <w:rFonts w:ascii="Arial" w:hAnsi="Arial" w:cs="Arial"/>
        </w:rPr>
        <w:t xml:space="preserve"> were based on STCR-based targeted yield recommendations for targets 2.6, 3.4 and 3.8 </w:t>
      </w:r>
      <w:proofErr w:type="spellStart"/>
      <w:r w:rsidRPr="00640A1E">
        <w:rPr>
          <w:rFonts w:ascii="Arial" w:hAnsi="Arial" w:cs="Arial"/>
        </w:rPr>
        <w:t>tonnes</w:t>
      </w:r>
      <w:proofErr w:type="spellEnd"/>
      <w:r w:rsidRPr="00640A1E">
        <w:rPr>
          <w:rFonts w:ascii="Arial" w:hAnsi="Arial" w:cs="Arial"/>
        </w:rPr>
        <w:t>, respectively. All the treatments received FYM at the rate of 2 t ha</w:t>
      </w:r>
      <w:r w:rsidRPr="00A72C75">
        <w:rPr>
          <w:rFonts w:ascii="Arial" w:hAnsi="Arial" w:cs="Arial"/>
          <w:vertAlign w:val="superscript"/>
        </w:rPr>
        <w:t>-1</w:t>
      </w:r>
      <w:r w:rsidRPr="00640A1E">
        <w:rPr>
          <w:rFonts w:ascii="Arial" w:hAnsi="Arial" w:cs="Arial"/>
        </w:rPr>
        <w:t>. Treatments T</w:t>
      </w:r>
      <w:r w:rsidRPr="00A72C75">
        <w:rPr>
          <w:rFonts w:ascii="Arial" w:hAnsi="Arial" w:cs="Arial"/>
          <w:vertAlign w:val="subscript"/>
        </w:rPr>
        <w:t>3</w:t>
      </w:r>
      <w:r w:rsidRPr="00640A1E">
        <w:rPr>
          <w:rFonts w:ascii="Arial" w:hAnsi="Arial" w:cs="Arial"/>
        </w:rPr>
        <w:t>, T</w:t>
      </w:r>
      <w:r w:rsidRPr="00A72C75">
        <w:rPr>
          <w:rFonts w:ascii="Arial" w:hAnsi="Arial" w:cs="Arial"/>
          <w:vertAlign w:val="subscript"/>
        </w:rPr>
        <w:t>4</w:t>
      </w:r>
      <w:r w:rsidRPr="00640A1E">
        <w:rPr>
          <w:rFonts w:ascii="Arial" w:hAnsi="Arial" w:cs="Arial"/>
        </w:rPr>
        <w:t>, T</w:t>
      </w:r>
      <w:r w:rsidRPr="00A72C75">
        <w:rPr>
          <w:rFonts w:ascii="Arial" w:hAnsi="Arial" w:cs="Arial"/>
          <w:vertAlign w:val="subscript"/>
        </w:rPr>
        <w:t>5</w:t>
      </w:r>
      <w:r w:rsidRPr="00640A1E">
        <w:rPr>
          <w:rFonts w:ascii="Arial" w:hAnsi="Arial" w:cs="Arial"/>
        </w:rPr>
        <w:t xml:space="preserve"> and T</w:t>
      </w:r>
      <w:r w:rsidRPr="00A72C75">
        <w:rPr>
          <w:rFonts w:ascii="Arial" w:hAnsi="Arial" w:cs="Arial"/>
          <w:vertAlign w:val="subscript"/>
        </w:rPr>
        <w:t>6</w:t>
      </w:r>
      <w:r w:rsidRPr="00640A1E">
        <w:rPr>
          <w:rFonts w:ascii="Arial" w:hAnsi="Arial" w:cs="Arial"/>
        </w:rPr>
        <w:t xml:space="preserve"> were selected to evaluate the equation against the</w:t>
      </w:r>
      <w:r w:rsidR="00CD57D8">
        <w:rPr>
          <w:rFonts w:ascii="Arial" w:hAnsi="Arial" w:cs="Arial"/>
        </w:rPr>
        <w:t xml:space="preserve"> Kerala state</w:t>
      </w:r>
      <w:r w:rsidRPr="00640A1E">
        <w:rPr>
          <w:rFonts w:ascii="Arial" w:hAnsi="Arial" w:cs="Arial"/>
        </w:rPr>
        <w:t xml:space="preserve"> average yield of 1444 kg ha</w:t>
      </w:r>
      <w:r w:rsidRPr="00A72C75">
        <w:rPr>
          <w:rFonts w:ascii="Arial" w:hAnsi="Arial" w:cs="Arial"/>
          <w:vertAlign w:val="superscript"/>
        </w:rPr>
        <w:t>-1</w:t>
      </w:r>
      <w:r w:rsidR="00CD57D8">
        <w:rPr>
          <w:rFonts w:ascii="Arial" w:hAnsi="Arial" w:cs="Arial"/>
        </w:rPr>
        <w:t xml:space="preserve"> in the kharif season [2] (DOD, 2024)</w:t>
      </w:r>
      <w:r w:rsidRPr="00640A1E">
        <w:rPr>
          <w:rFonts w:ascii="Arial" w:hAnsi="Arial" w:cs="Arial"/>
        </w:rPr>
        <w:t xml:space="preserve">. The test values of the initial soil samples were used to determine the fertilizer doses required for achieving the respective yield targets. Proper management practices like amendment for soil pH amelioration were followed as per </w:t>
      </w:r>
      <w:r w:rsidR="008F6C85">
        <w:rPr>
          <w:rFonts w:ascii="Arial" w:hAnsi="Arial" w:cs="Arial"/>
        </w:rPr>
        <w:t xml:space="preserve">[9] </w:t>
      </w:r>
      <w:r w:rsidRPr="00640A1E">
        <w:rPr>
          <w:rFonts w:ascii="Arial" w:hAnsi="Arial" w:cs="Arial"/>
        </w:rPr>
        <w:t xml:space="preserve">KAU, 2016, weeding, irrigation and need based plant protection were followed for the crop. </w:t>
      </w:r>
    </w:p>
    <w:p w14:paraId="526A6F83" w14:textId="77777777" w:rsidR="00242EE0" w:rsidRDefault="00242EE0" w:rsidP="00640A1E">
      <w:pPr>
        <w:pStyle w:val="Body"/>
        <w:rPr>
          <w:rFonts w:ascii="Arial" w:hAnsi="Arial" w:cs="Arial"/>
        </w:rPr>
      </w:pPr>
    </w:p>
    <w:p w14:paraId="5E2190F8" w14:textId="22B7FAB0" w:rsidR="00640A1E" w:rsidRPr="00640A1E" w:rsidRDefault="00640A1E" w:rsidP="00640A1E">
      <w:pPr>
        <w:pStyle w:val="Body"/>
        <w:rPr>
          <w:rFonts w:ascii="Arial" w:hAnsi="Arial" w:cs="Arial"/>
        </w:rPr>
      </w:pPr>
      <w:r w:rsidRPr="00640A1E">
        <w:rPr>
          <w:rFonts w:ascii="Arial" w:hAnsi="Arial" w:cs="Arial"/>
        </w:rPr>
        <w:t xml:space="preserve">STCR-based fertilizer prescription equation for targeted yield in groundnut </w:t>
      </w:r>
      <w:r w:rsidR="008F6C85">
        <w:rPr>
          <w:rFonts w:ascii="Arial" w:hAnsi="Arial" w:cs="Arial"/>
        </w:rPr>
        <w:t xml:space="preserve">[10] </w:t>
      </w:r>
      <w:r w:rsidRPr="00640A1E">
        <w:rPr>
          <w:rFonts w:ascii="Arial" w:hAnsi="Arial" w:cs="Arial"/>
        </w:rPr>
        <w:t>(KAU, 2014).</w:t>
      </w:r>
    </w:p>
    <w:p w14:paraId="48C37128" w14:textId="77777777" w:rsidR="00640A1E" w:rsidRPr="00640A1E" w:rsidRDefault="00640A1E" w:rsidP="00640A1E">
      <w:pPr>
        <w:pStyle w:val="Body"/>
        <w:rPr>
          <w:rFonts w:ascii="Arial" w:hAnsi="Arial" w:cs="Arial"/>
        </w:rPr>
      </w:pPr>
      <w:r w:rsidRPr="00640A1E">
        <w:rPr>
          <w:rFonts w:ascii="Arial" w:hAnsi="Arial" w:cs="Arial"/>
        </w:rPr>
        <w:t>FN = 108.44T – 0.616SN – 1.561ON</w:t>
      </w:r>
    </w:p>
    <w:p w14:paraId="0CD8D710" w14:textId="77777777" w:rsidR="00640A1E" w:rsidRPr="00640A1E" w:rsidRDefault="00640A1E" w:rsidP="00640A1E">
      <w:pPr>
        <w:pStyle w:val="Body"/>
        <w:rPr>
          <w:rFonts w:ascii="Arial" w:hAnsi="Arial" w:cs="Arial"/>
        </w:rPr>
      </w:pPr>
      <w:r w:rsidRPr="00640A1E">
        <w:rPr>
          <w:rFonts w:ascii="Arial" w:hAnsi="Arial" w:cs="Arial"/>
        </w:rPr>
        <w:lastRenderedPageBreak/>
        <w:t>FP</w:t>
      </w:r>
      <w:r w:rsidRPr="004C6444">
        <w:rPr>
          <w:rFonts w:ascii="Arial" w:hAnsi="Arial" w:cs="Arial"/>
          <w:vertAlign w:val="subscript"/>
        </w:rPr>
        <w:t>2</w:t>
      </w:r>
      <w:r w:rsidRPr="00640A1E">
        <w:rPr>
          <w:rFonts w:ascii="Arial" w:hAnsi="Arial" w:cs="Arial"/>
        </w:rPr>
        <w:t>O</w:t>
      </w:r>
      <w:r w:rsidRPr="004C6444">
        <w:rPr>
          <w:rFonts w:ascii="Arial" w:hAnsi="Arial" w:cs="Arial"/>
          <w:vertAlign w:val="subscript"/>
        </w:rPr>
        <w:t>5</w:t>
      </w:r>
      <w:r w:rsidRPr="00640A1E">
        <w:rPr>
          <w:rFonts w:ascii="Arial" w:hAnsi="Arial" w:cs="Arial"/>
        </w:rPr>
        <w:t xml:space="preserve"> = 38.01T – 1.577SP – 1.87OP</w:t>
      </w:r>
    </w:p>
    <w:p w14:paraId="75BF37E2" w14:textId="77777777" w:rsidR="00640A1E" w:rsidRPr="00640A1E" w:rsidRDefault="00640A1E" w:rsidP="00640A1E">
      <w:pPr>
        <w:pStyle w:val="Body"/>
        <w:rPr>
          <w:rFonts w:ascii="Arial" w:hAnsi="Arial" w:cs="Arial"/>
        </w:rPr>
      </w:pPr>
      <w:r w:rsidRPr="00640A1E">
        <w:rPr>
          <w:rFonts w:ascii="Arial" w:hAnsi="Arial" w:cs="Arial"/>
        </w:rPr>
        <w:t>FK</w:t>
      </w:r>
      <w:r w:rsidRPr="004C6444">
        <w:rPr>
          <w:rFonts w:ascii="Arial" w:hAnsi="Arial" w:cs="Arial"/>
          <w:vertAlign w:val="subscript"/>
        </w:rPr>
        <w:t>2</w:t>
      </w:r>
      <w:r w:rsidRPr="00640A1E">
        <w:rPr>
          <w:rFonts w:ascii="Arial" w:hAnsi="Arial" w:cs="Arial"/>
        </w:rPr>
        <w:t>O = 71.43T – 0.305SK – 1.853OK</w:t>
      </w:r>
    </w:p>
    <w:p w14:paraId="43CFC659" w14:textId="77777777" w:rsidR="00640A1E" w:rsidRPr="00640A1E" w:rsidRDefault="00640A1E" w:rsidP="00640A1E">
      <w:pPr>
        <w:pStyle w:val="Body"/>
        <w:rPr>
          <w:rFonts w:ascii="Arial" w:hAnsi="Arial" w:cs="Arial"/>
        </w:rPr>
      </w:pPr>
      <w:r w:rsidRPr="00640A1E">
        <w:rPr>
          <w:rFonts w:ascii="Arial" w:hAnsi="Arial" w:cs="Arial"/>
        </w:rPr>
        <w:t xml:space="preserve">T = Targeted yield </w:t>
      </w:r>
    </w:p>
    <w:p w14:paraId="14F917E1" w14:textId="77777777" w:rsidR="00640A1E" w:rsidRPr="00640A1E" w:rsidRDefault="00640A1E" w:rsidP="00640A1E">
      <w:pPr>
        <w:pStyle w:val="Body"/>
        <w:rPr>
          <w:rFonts w:ascii="Arial" w:hAnsi="Arial" w:cs="Arial"/>
        </w:rPr>
      </w:pPr>
      <w:r w:rsidRPr="00640A1E">
        <w:rPr>
          <w:rFonts w:ascii="Arial" w:hAnsi="Arial" w:cs="Arial"/>
        </w:rPr>
        <w:t>FN = Nitrogen supply from fertilizer</w:t>
      </w:r>
    </w:p>
    <w:p w14:paraId="3315DA85" w14:textId="77777777" w:rsidR="00640A1E" w:rsidRPr="00640A1E" w:rsidRDefault="00640A1E" w:rsidP="00640A1E">
      <w:pPr>
        <w:pStyle w:val="Body"/>
        <w:rPr>
          <w:rFonts w:ascii="Arial" w:hAnsi="Arial" w:cs="Arial"/>
        </w:rPr>
      </w:pPr>
      <w:r w:rsidRPr="00640A1E">
        <w:rPr>
          <w:rFonts w:ascii="Arial" w:hAnsi="Arial" w:cs="Arial"/>
        </w:rPr>
        <w:t xml:space="preserve">SN = Nitrogen supply from soil </w:t>
      </w:r>
    </w:p>
    <w:p w14:paraId="686CFA9A" w14:textId="77777777" w:rsidR="00640A1E" w:rsidRPr="00640A1E" w:rsidRDefault="00640A1E" w:rsidP="00640A1E">
      <w:pPr>
        <w:pStyle w:val="Body"/>
        <w:rPr>
          <w:rFonts w:ascii="Arial" w:hAnsi="Arial" w:cs="Arial"/>
        </w:rPr>
      </w:pPr>
      <w:r w:rsidRPr="00640A1E">
        <w:rPr>
          <w:rFonts w:ascii="Arial" w:hAnsi="Arial" w:cs="Arial"/>
        </w:rPr>
        <w:t>ON = Nitrogen supply from an organic source</w:t>
      </w:r>
    </w:p>
    <w:p w14:paraId="37D6E16E" w14:textId="77777777" w:rsidR="00640A1E" w:rsidRPr="00640A1E" w:rsidRDefault="00640A1E" w:rsidP="00640A1E">
      <w:pPr>
        <w:pStyle w:val="Body"/>
        <w:rPr>
          <w:rFonts w:ascii="Arial" w:hAnsi="Arial" w:cs="Arial"/>
        </w:rPr>
      </w:pPr>
      <w:r w:rsidRPr="00640A1E">
        <w:rPr>
          <w:rFonts w:ascii="Arial" w:hAnsi="Arial" w:cs="Arial"/>
        </w:rPr>
        <w:t>FP</w:t>
      </w:r>
      <w:r w:rsidRPr="00E776AC">
        <w:rPr>
          <w:rFonts w:ascii="Arial" w:hAnsi="Arial" w:cs="Arial"/>
          <w:vertAlign w:val="subscript"/>
        </w:rPr>
        <w:t>2</w:t>
      </w:r>
      <w:r w:rsidRPr="00640A1E">
        <w:rPr>
          <w:rFonts w:ascii="Arial" w:hAnsi="Arial" w:cs="Arial"/>
        </w:rPr>
        <w:t>O5 = Phosphorus supply from fertilizer</w:t>
      </w:r>
    </w:p>
    <w:p w14:paraId="4992F9A0" w14:textId="77777777" w:rsidR="00640A1E" w:rsidRPr="00640A1E" w:rsidRDefault="00640A1E" w:rsidP="00640A1E">
      <w:pPr>
        <w:pStyle w:val="Body"/>
        <w:rPr>
          <w:rFonts w:ascii="Arial" w:hAnsi="Arial" w:cs="Arial"/>
        </w:rPr>
      </w:pPr>
      <w:r w:rsidRPr="00640A1E">
        <w:rPr>
          <w:rFonts w:ascii="Arial" w:hAnsi="Arial" w:cs="Arial"/>
        </w:rPr>
        <w:t>SP = Phosphorus supply from soil</w:t>
      </w:r>
    </w:p>
    <w:p w14:paraId="267F3F9A" w14:textId="77777777" w:rsidR="00640A1E" w:rsidRPr="00640A1E" w:rsidRDefault="00640A1E" w:rsidP="00640A1E">
      <w:pPr>
        <w:pStyle w:val="Body"/>
        <w:rPr>
          <w:rFonts w:ascii="Arial" w:hAnsi="Arial" w:cs="Arial"/>
        </w:rPr>
      </w:pPr>
      <w:r w:rsidRPr="00640A1E">
        <w:rPr>
          <w:rFonts w:ascii="Arial" w:hAnsi="Arial" w:cs="Arial"/>
        </w:rPr>
        <w:t>OP = Phosphorus supply from organic source</w:t>
      </w:r>
    </w:p>
    <w:p w14:paraId="7AB7AD91" w14:textId="77777777" w:rsidR="00640A1E" w:rsidRPr="00640A1E" w:rsidRDefault="00640A1E" w:rsidP="00640A1E">
      <w:pPr>
        <w:pStyle w:val="Body"/>
        <w:rPr>
          <w:rFonts w:ascii="Arial" w:hAnsi="Arial" w:cs="Arial"/>
        </w:rPr>
      </w:pPr>
      <w:r w:rsidRPr="00640A1E">
        <w:rPr>
          <w:rFonts w:ascii="Arial" w:hAnsi="Arial" w:cs="Arial"/>
        </w:rPr>
        <w:t>FK</w:t>
      </w:r>
      <w:r w:rsidRPr="00E776AC">
        <w:rPr>
          <w:rFonts w:ascii="Arial" w:hAnsi="Arial" w:cs="Arial"/>
          <w:vertAlign w:val="subscript"/>
        </w:rPr>
        <w:t>2</w:t>
      </w:r>
      <w:r w:rsidRPr="00640A1E">
        <w:rPr>
          <w:rFonts w:ascii="Arial" w:hAnsi="Arial" w:cs="Arial"/>
        </w:rPr>
        <w:t>O = Potassium supply from fertilizer</w:t>
      </w:r>
    </w:p>
    <w:p w14:paraId="738A7D79" w14:textId="77777777" w:rsidR="00640A1E" w:rsidRPr="00640A1E" w:rsidRDefault="00640A1E" w:rsidP="00640A1E">
      <w:pPr>
        <w:pStyle w:val="Body"/>
        <w:rPr>
          <w:rFonts w:ascii="Arial" w:hAnsi="Arial" w:cs="Arial"/>
        </w:rPr>
      </w:pPr>
      <w:r w:rsidRPr="00640A1E">
        <w:rPr>
          <w:rFonts w:ascii="Arial" w:hAnsi="Arial" w:cs="Arial"/>
        </w:rPr>
        <w:t>SK = Potassium supply from soil</w:t>
      </w:r>
    </w:p>
    <w:p w14:paraId="3221F4A0" w14:textId="7AF4643B" w:rsidR="00A03B96" w:rsidRDefault="00640A1E" w:rsidP="00640A1E">
      <w:pPr>
        <w:pStyle w:val="Body"/>
        <w:spacing w:after="0"/>
        <w:rPr>
          <w:rFonts w:ascii="Arial" w:hAnsi="Arial" w:cs="Arial"/>
        </w:rPr>
      </w:pPr>
      <w:r w:rsidRPr="00640A1E">
        <w:rPr>
          <w:rFonts w:ascii="Arial" w:hAnsi="Arial" w:cs="Arial"/>
        </w:rPr>
        <w:t xml:space="preserve">OK = Potassium supply from organic sources </w:t>
      </w:r>
    </w:p>
    <w:p w14:paraId="340D5BB0" w14:textId="77777777" w:rsidR="00640A1E" w:rsidRDefault="00640A1E" w:rsidP="00441B6F">
      <w:pPr>
        <w:pStyle w:val="Body"/>
        <w:spacing w:after="0"/>
        <w:rPr>
          <w:rFonts w:ascii="Arial" w:eastAsia="Calibri" w:hAnsi="Arial" w:cs="Arial"/>
          <w:color w:val="FF0000"/>
          <w:szCs w:val="22"/>
        </w:rPr>
      </w:pPr>
    </w:p>
    <w:p w14:paraId="1F744DC3" w14:textId="77777777" w:rsidR="00640A1E" w:rsidRPr="00554FE8" w:rsidRDefault="00640A1E" w:rsidP="00640A1E">
      <w:pPr>
        <w:spacing w:after="200"/>
        <w:jc w:val="both"/>
        <w:rPr>
          <w:rFonts w:ascii="Arial" w:hAnsi="Arial" w:cs="Arial"/>
          <w:b/>
          <w:bCs/>
        </w:rPr>
      </w:pPr>
      <w:r w:rsidRPr="00554FE8">
        <w:rPr>
          <w:rFonts w:ascii="Arial" w:hAnsi="Arial" w:cs="Arial"/>
          <w:b/>
          <w:bCs/>
        </w:rPr>
        <w:t>Table 1: Quantification of nutrients applied through various resources</w:t>
      </w:r>
    </w:p>
    <w:tbl>
      <w:tblPr>
        <w:tblStyle w:val="TableGrid"/>
        <w:tblW w:w="8424" w:type="dxa"/>
        <w:tblInd w:w="250" w:type="dxa"/>
        <w:tblLook w:val="04A0" w:firstRow="1" w:lastRow="0" w:firstColumn="1" w:lastColumn="0" w:noHBand="0" w:noVBand="1"/>
      </w:tblPr>
      <w:tblGrid>
        <w:gridCol w:w="5041"/>
        <w:gridCol w:w="1222"/>
        <w:gridCol w:w="959"/>
        <w:gridCol w:w="1202"/>
      </w:tblGrid>
      <w:tr w:rsidR="00640A1E" w:rsidRPr="00B646CE" w14:paraId="23BD62ED" w14:textId="77777777" w:rsidTr="00640A1E">
        <w:tc>
          <w:tcPr>
            <w:tcW w:w="5041" w:type="dxa"/>
          </w:tcPr>
          <w:p w14:paraId="177C2E93" w14:textId="77777777" w:rsidR="00640A1E" w:rsidRPr="00B646CE" w:rsidRDefault="00640A1E">
            <w:pPr>
              <w:spacing w:after="200"/>
              <w:jc w:val="both"/>
              <w:rPr>
                <w:rFonts w:ascii="Arial" w:hAnsi="Arial" w:cs="Arial"/>
                <w:sz w:val="20"/>
                <w:szCs w:val="20"/>
              </w:rPr>
            </w:pPr>
            <w:r w:rsidRPr="00B646CE">
              <w:rPr>
                <w:rFonts w:ascii="Arial" w:hAnsi="Arial" w:cs="Arial"/>
                <w:sz w:val="20"/>
                <w:szCs w:val="20"/>
              </w:rPr>
              <w:t xml:space="preserve">Treatments </w:t>
            </w:r>
          </w:p>
        </w:tc>
        <w:tc>
          <w:tcPr>
            <w:tcW w:w="1222" w:type="dxa"/>
          </w:tcPr>
          <w:p w14:paraId="12136F02" w14:textId="77777777" w:rsidR="00640A1E" w:rsidRPr="00B646CE" w:rsidRDefault="00640A1E">
            <w:pPr>
              <w:spacing w:after="200"/>
              <w:jc w:val="both"/>
              <w:rPr>
                <w:rFonts w:ascii="Arial" w:hAnsi="Arial" w:cs="Arial"/>
                <w:sz w:val="20"/>
                <w:szCs w:val="20"/>
              </w:rPr>
            </w:pPr>
            <w:r w:rsidRPr="00B646CE">
              <w:rPr>
                <w:rFonts w:ascii="Arial" w:hAnsi="Arial" w:cs="Arial"/>
                <w:sz w:val="20"/>
                <w:szCs w:val="20"/>
              </w:rPr>
              <w:t>N (kg ha</w:t>
            </w:r>
            <w:r w:rsidRPr="00B646CE">
              <w:rPr>
                <w:rFonts w:ascii="Arial" w:hAnsi="Arial" w:cs="Arial"/>
                <w:sz w:val="20"/>
                <w:szCs w:val="20"/>
                <w:vertAlign w:val="superscript"/>
              </w:rPr>
              <w:t>-1</w:t>
            </w:r>
            <w:r w:rsidRPr="00B646CE">
              <w:rPr>
                <w:rFonts w:ascii="Arial" w:hAnsi="Arial" w:cs="Arial"/>
                <w:sz w:val="20"/>
                <w:szCs w:val="20"/>
              </w:rPr>
              <w:t>)</w:t>
            </w:r>
          </w:p>
        </w:tc>
        <w:tc>
          <w:tcPr>
            <w:tcW w:w="959" w:type="dxa"/>
          </w:tcPr>
          <w:p w14:paraId="0E965CA6" w14:textId="77777777" w:rsidR="00640A1E" w:rsidRPr="00B646CE" w:rsidRDefault="00640A1E">
            <w:pPr>
              <w:spacing w:after="200"/>
              <w:jc w:val="both"/>
              <w:rPr>
                <w:rFonts w:ascii="Arial" w:hAnsi="Arial" w:cs="Arial"/>
                <w:sz w:val="20"/>
                <w:szCs w:val="20"/>
              </w:rPr>
            </w:pPr>
            <w:r w:rsidRPr="00B646CE">
              <w:rPr>
                <w:rFonts w:ascii="Arial" w:hAnsi="Arial" w:cs="Arial"/>
                <w:sz w:val="20"/>
                <w:szCs w:val="20"/>
              </w:rPr>
              <w:t>P (kg ha</w:t>
            </w:r>
            <w:r w:rsidRPr="00B646CE">
              <w:rPr>
                <w:rFonts w:ascii="Arial" w:hAnsi="Arial" w:cs="Arial"/>
                <w:sz w:val="20"/>
                <w:szCs w:val="20"/>
                <w:vertAlign w:val="superscript"/>
              </w:rPr>
              <w:t>-1</w:t>
            </w:r>
            <w:r w:rsidRPr="00B646CE">
              <w:rPr>
                <w:rFonts w:ascii="Arial" w:hAnsi="Arial" w:cs="Arial"/>
                <w:sz w:val="20"/>
                <w:szCs w:val="20"/>
              </w:rPr>
              <w:t>)</w:t>
            </w:r>
          </w:p>
        </w:tc>
        <w:tc>
          <w:tcPr>
            <w:tcW w:w="1202" w:type="dxa"/>
          </w:tcPr>
          <w:p w14:paraId="396CF345" w14:textId="77777777" w:rsidR="00640A1E" w:rsidRPr="00B646CE" w:rsidRDefault="00640A1E">
            <w:pPr>
              <w:spacing w:after="200"/>
              <w:jc w:val="both"/>
              <w:rPr>
                <w:rFonts w:ascii="Arial" w:hAnsi="Arial" w:cs="Arial"/>
                <w:sz w:val="20"/>
                <w:szCs w:val="20"/>
              </w:rPr>
            </w:pPr>
            <w:r w:rsidRPr="00B646CE">
              <w:rPr>
                <w:rFonts w:ascii="Arial" w:hAnsi="Arial" w:cs="Arial"/>
                <w:sz w:val="20"/>
                <w:szCs w:val="20"/>
              </w:rPr>
              <w:t>K (kg ha</w:t>
            </w:r>
            <w:r w:rsidRPr="00B646CE">
              <w:rPr>
                <w:rFonts w:ascii="Arial" w:hAnsi="Arial" w:cs="Arial"/>
                <w:sz w:val="20"/>
                <w:szCs w:val="20"/>
                <w:vertAlign w:val="superscript"/>
              </w:rPr>
              <w:t>-1</w:t>
            </w:r>
            <w:r w:rsidRPr="00B646CE">
              <w:rPr>
                <w:rFonts w:ascii="Arial" w:hAnsi="Arial" w:cs="Arial"/>
                <w:sz w:val="20"/>
                <w:szCs w:val="20"/>
              </w:rPr>
              <w:t>)</w:t>
            </w:r>
          </w:p>
        </w:tc>
      </w:tr>
      <w:tr w:rsidR="00640A1E" w:rsidRPr="00B646CE" w14:paraId="4FA928FB" w14:textId="77777777" w:rsidTr="00640A1E">
        <w:tc>
          <w:tcPr>
            <w:tcW w:w="5041" w:type="dxa"/>
          </w:tcPr>
          <w:p w14:paraId="3388F52A"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T</w:t>
            </w:r>
            <w:r w:rsidRPr="00B646CE">
              <w:rPr>
                <w:rFonts w:ascii="Arial" w:hAnsi="Arial" w:cs="Arial"/>
                <w:sz w:val="20"/>
                <w:szCs w:val="20"/>
                <w:vertAlign w:val="subscript"/>
              </w:rPr>
              <w:t>1</w:t>
            </w:r>
            <w:r>
              <w:rPr>
                <w:rFonts w:ascii="Arial" w:hAnsi="Arial" w:cs="Arial"/>
                <w:sz w:val="20"/>
                <w:szCs w:val="20"/>
                <w:vertAlign w:val="subscript"/>
              </w:rPr>
              <w:t xml:space="preserve"> </w:t>
            </w:r>
            <w:r>
              <w:rPr>
                <w:rFonts w:ascii="Arial" w:hAnsi="Arial" w:cs="Arial"/>
                <w:sz w:val="20"/>
                <w:szCs w:val="20"/>
                <w:vertAlign w:val="superscript"/>
              </w:rPr>
              <w:t>*</w:t>
            </w:r>
            <w:r>
              <w:rPr>
                <w:rFonts w:ascii="Arial" w:hAnsi="Arial" w:cs="Arial"/>
                <w:sz w:val="20"/>
                <w:szCs w:val="20"/>
              </w:rPr>
              <w:t>(Organically managed)</w:t>
            </w:r>
          </w:p>
        </w:tc>
        <w:tc>
          <w:tcPr>
            <w:tcW w:w="1222" w:type="dxa"/>
          </w:tcPr>
          <w:p w14:paraId="283228A5"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72.78</w:t>
            </w:r>
          </w:p>
        </w:tc>
        <w:tc>
          <w:tcPr>
            <w:tcW w:w="959" w:type="dxa"/>
          </w:tcPr>
          <w:p w14:paraId="274E1A5C"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23.15</w:t>
            </w:r>
          </w:p>
        </w:tc>
        <w:tc>
          <w:tcPr>
            <w:tcW w:w="1202" w:type="dxa"/>
          </w:tcPr>
          <w:p w14:paraId="7A55FBC8"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21.44</w:t>
            </w:r>
          </w:p>
        </w:tc>
      </w:tr>
      <w:tr w:rsidR="00640A1E" w:rsidRPr="00B646CE" w14:paraId="15030604" w14:textId="77777777" w:rsidTr="00640A1E">
        <w:tc>
          <w:tcPr>
            <w:tcW w:w="5041" w:type="dxa"/>
          </w:tcPr>
          <w:p w14:paraId="279612CE" w14:textId="77777777" w:rsidR="00640A1E" w:rsidRPr="00FF5D36" w:rsidRDefault="00640A1E">
            <w:pPr>
              <w:spacing w:after="200" w:line="360" w:lineRule="auto"/>
              <w:jc w:val="both"/>
              <w:rPr>
                <w:rFonts w:ascii="Arial" w:hAnsi="Arial" w:cs="Arial"/>
                <w:sz w:val="20"/>
                <w:szCs w:val="20"/>
              </w:rPr>
            </w:pPr>
            <w:r w:rsidRPr="00B646CE">
              <w:rPr>
                <w:rFonts w:ascii="Arial" w:hAnsi="Arial" w:cs="Arial"/>
                <w:sz w:val="20"/>
                <w:szCs w:val="20"/>
              </w:rPr>
              <w:t>T</w:t>
            </w:r>
            <w:r w:rsidRPr="00B646CE">
              <w:rPr>
                <w:rFonts w:ascii="Arial" w:hAnsi="Arial" w:cs="Arial"/>
                <w:sz w:val="20"/>
                <w:szCs w:val="20"/>
                <w:vertAlign w:val="subscript"/>
              </w:rPr>
              <w:t>2</w:t>
            </w:r>
            <w:r>
              <w:rPr>
                <w:rFonts w:ascii="Arial" w:hAnsi="Arial" w:cs="Arial"/>
                <w:sz w:val="20"/>
                <w:szCs w:val="20"/>
              </w:rPr>
              <w:t xml:space="preserve"> (KAU-POP based on soil test values)</w:t>
            </w:r>
          </w:p>
        </w:tc>
        <w:tc>
          <w:tcPr>
            <w:tcW w:w="1222" w:type="dxa"/>
          </w:tcPr>
          <w:p w14:paraId="435C38B6"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34.50</w:t>
            </w:r>
          </w:p>
        </w:tc>
        <w:tc>
          <w:tcPr>
            <w:tcW w:w="959" w:type="dxa"/>
          </w:tcPr>
          <w:p w14:paraId="43F869B8"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43.46</w:t>
            </w:r>
          </w:p>
        </w:tc>
        <w:tc>
          <w:tcPr>
            <w:tcW w:w="1202" w:type="dxa"/>
          </w:tcPr>
          <w:p w14:paraId="2BFC9C40"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65.77</w:t>
            </w:r>
          </w:p>
        </w:tc>
      </w:tr>
      <w:tr w:rsidR="00640A1E" w:rsidRPr="00B646CE" w14:paraId="1C34481E" w14:textId="77777777" w:rsidTr="00640A1E">
        <w:tc>
          <w:tcPr>
            <w:tcW w:w="5041" w:type="dxa"/>
          </w:tcPr>
          <w:p w14:paraId="300A74DC" w14:textId="77777777" w:rsidR="00640A1E" w:rsidRPr="00FF5D36" w:rsidRDefault="00640A1E">
            <w:pPr>
              <w:spacing w:after="200" w:line="360" w:lineRule="auto"/>
              <w:jc w:val="both"/>
              <w:rPr>
                <w:rFonts w:ascii="Arial" w:hAnsi="Arial" w:cs="Arial"/>
                <w:sz w:val="20"/>
                <w:szCs w:val="20"/>
              </w:rPr>
            </w:pPr>
            <w:r w:rsidRPr="00B646CE">
              <w:rPr>
                <w:rFonts w:ascii="Arial" w:hAnsi="Arial" w:cs="Arial"/>
                <w:sz w:val="20"/>
                <w:szCs w:val="20"/>
              </w:rPr>
              <w:t>T</w:t>
            </w:r>
            <w:r w:rsidRPr="00B646CE">
              <w:rPr>
                <w:rFonts w:ascii="Arial" w:hAnsi="Arial" w:cs="Arial"/>
                <w:sz w:val="20"/>
                <w:szCs w:val="20"/>
                <w:vertAlign w:val="subscript"/>
              </w:rPr>
              <w:t>3</w:t>
            </w:r>
            <w:r>
              <w:rPr>
                <w:rFonts w:ascii="Arial" w:hAnsi="Arial" w:cs="Arial"/>
                <w:sz w:val="20"/>
                <w:szCs w:val="20"/>
                <w:vertAlign w:val="subscript"/>
              </w:rPr>
              <w:t xml:space="preserve"> </w:t>
            </w:r>
            <w:r>
              <w:rPr>
                <w:rFonts w:ascii="Arial" w:hAnsi="Arial" w:cs="Arial"/>
                <w:sz w:val="20"/>
                <w:szCs w:val="20"/>
              </w:rPr>
              <w:t xml:space="preserve">(STCR recommendation for a yield target of 2.6 </w:t>
            </w:r>
            <w:proofErr w:type="spellStart"/>
            <w:r>
              <w:rPr>
                <w:rFonts w:ascii="Arial" w:hAnsi="Arial" w:cs="Arial"/>
                <w:sz w:val="20"/>
                <w:szCs w:val="20"/>
              </w:rPr>
              <w:t>tonnes</w:t>
            </w:r>
            <w:proofErr w:type="spellEnd"/>
            <w:r>
              <w:rPr>
                <w:rFonts w:ascii="Arial" w:hAnsi="Arial" w:cs="Arial"/>
                <w:sz w:val="20"/>
                <w:szCs w:val="20"/>
              </w:rPr>
              <w:t>)</w:t>
            </w:r>
          </w:p>
        </w:tc>
        <w:tc>
          <w:tcPr>
            <w:tcW w:w="1222" w:type="dxa"/>
          </w:tcPr>
          <w:p w14:paraId="1C31F89C"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111.71</w:t>
            </w:r>
          </w:p>
        </w:tc>
        <w:tc>
          <w:tcPr>
            <w:tcW w:w="959" w:type="dxa"/>
          </w:tcPr>
          <w:p w14:paraId="441B4699"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36.27</w:t>
            </w:r>
          </w:p>
        </w:tc>
        <w:tc>
          <w:tcPr>
            <w:tcW w:w="1202" w:type="dxa"/>
          </w:tcPr>
          <w:p w14:paraId="657031D3"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123.07</w:t>
            </w:r>
          </w:p>
        </w:tc>
      </w:tr>
      <w:tr w:rsidR="00640A1E" w:rsidRPr="00B646CE" w14:paraId="7C6AD83F" w14:textId="77777777" w:rsidTr="00640A1E">
        <w:tc>
          <w:tcPr>
            <w:tcW w:w="5041" w:type="dxa"/>
          </w:tcPr>
          <w:p w14:paraId="1CBF5FEC" w14:textId="77777777" w:rsidR="00640A1E" w:rsidRPr="00FF5D36" w:rsidRDefault="00640A1E">
            <w:pPr>
              <w:spacing w:after="200" w:line="360" w:lineRule="auto"/>
              <w:jc w:val="both"/>
              <w:rPr>
                <w:rFonts w:ascii="Arial" w:hAnsi="Arial" w:cs="Arial"/>
                <w:sz w:val="20"/>
                <w:szCs w:val="20"/>
              </w:rPr>
            </w:pPr>
            <w:r w:rsidRPr="00B646CE">
              <w:rPr>
                <w:rFonts w:ascii="Arial" w:hAnsi="Arial" w:cs="Arial"/>
                <w:sz w:val="20"/>
                <w:szCs w:val="20"/>
              </w:rPr>
              <w:t>T</w:t>
            </w:r>
            <w:r w:rsidRPr="00B646CE">
              <w:rPr>
                <w:rFonts w:ascii="Arial" w:hAnsi="Arial" w:cs="Arial"/>
                <w:sz w:val="20"/>
                <w:szCs w:val="20"/>
                <w:vertAlign w:val="subscript"/>
              </w:rPr>
              <w:t>4</w:t>
            </w:r>
            <w:r>
              <w:rPr>
                <w:rFonts w:ascii="Arial" w:hAnsi="Arial" w:cs="Arial"/>
                <w:sz w:val="20"/>
                <w:szCs w:val="20"/>
              </w:rPr>
              <w:t xml:space="preserve"> (STCR recommendation for a yield target of 3 </w:t>
            </w:r>
            <w:proofErr w:type="spellStart"/>
            <w:r>
              <w:rPr>
                <w:rFonts w:ascii="Arial" w:hAnsi="Arial" w:cs="Arial"/>
                <w:sz w:val="20"/>
                <w:szCs w:val="20"/>
              </w:rPr>
              <w:t>tonnes</w:t>
            </w:r>
            <w:proofErr w:type="spellEnd"/>
            <w:r>
              <w:rPr>
                <w:rFonts w:ascii="Arial" w:hAnsi="Arial" w:cs="Arial"/>
                <w:sz w:val="20"/>
                <w:szCs w:val="20"/>
              </w:rPr>
              <w:t>)</w:t>
            </w:r>
          </w:p>
        </w:tc>
        <w:tc>
          <w:tcPr>
            <w:tcW w:w="1222" w:type="dxa"/>
          </w:tcPr>
          <w:p w14:paraId="74CF9CF9"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154.98</w:t>
            </w:r>
          </w:p>
        </w:tc>
        <w:tc>
          <w:tcPr>
            <w:tcW w:w="959" w:type="dxa"/>
          </w:tcPr>
          <w:p w14:paraId="5BC5FE28"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42.21</w:t>
            </w:r>
          </w:p>
        </w:tc>
        <w:tc>
          <w:tcPr>
            <w:tcW w:w="1202" w:type="dxa"/>
          </w:tcPr>
          <w:p w14:paraId="55B42E8E"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139.01</w:t>
            </w:r>
          </w:p>
        </w:tc>
      </w:tr>
      <w:tr w:rsidR="00640A1E" w:rsidRPr="00B646CE" w14:paraId="3B40A117" w14:textId="77777777" w:rsidTr="00640A1E">
        <w:tc>
          <w:tcPr>
            <w:tcW w:w="5041" w:type="dxa"/>
          </w:tcPr>
          <w:p w14:paraId="29F6E0D9" w14:textId="77777777" w:rsidR="00640A1E" w:rsidRPr="00FF5D36" w:rsidRDefault="00640A1E">
            <w:pPr>
              <w:spacing w:after="200" w:line="360" w:lineRule="auto"/>
              <w:jc w:val="both"/>
              <w:rPr>
                <w:rFonts w:ascii="Arial" w:hAnsi="Arial" w:cs="Arial"/>
                <w:sz w:val="20"/>
                <w:szCs w:val="20"/>
              </w:rPr>
            </w:pPr>
            <w:r w:rsidRPr="00B646CE">
              <w:rPr>
                <w:rFonts w:ascii="Arial" w:hAnsi="Arial" w:cs="Arial"/>
                <w:sz w:val="20"/>
                <w:szCs w:val="20"/>
              </w:rPr>
              <w:t>T</w:t>
            </w:r>
            <w:r w:rsidRPr="00B646CE">
              <w:rPr>
                <w:rFonts w:ascii="Arial" w:hAnsi="Arial" w:cs="Arial"/>
                <w:sz w:val="20"/>
                <w:szCs w:val="20"/>
                <w:vertAlign w:val="subscript"/>
              </w:rPr>
              <w:t>5</w:t>
            </w:r>
            <w:r>
              <w:rPr>
                <w:rFonts w:ascii="Arial" w:hAnsi="Arial" w:cs="Arial"/>
                <w:sz w:val="20"/>
                <w:szCs w:val="20"/>
              </w:rPr>
              <w:t xml:space="preserve"> (STCR recommendation for a yield target of 3.4 </w:t>
            </w:r>
            <w:proofErr w:type="spellStart"/>
            <w:r>
              <w:rPr>
                <w:rFonts w:ascii="Arial" w:hAnsi="Arial" w:cs="Arial"/>
                <w:sz w:val="20"/>
                <w:szCs w:val="20"/>
              </w:rPr>
              <w:t>tonnes</w:t>
            </w:r>
            <w:proofErr w:type="spellEnd"/>
            <w:r>
              <w:rPr>
                <w:rFonts w:ascii="Arial" w:hAnsi="Arial" w:cs="Arial"/>
                <w:sz w:val="20"/>
                <w:szCs w:val="20"/>
              </w:rPr>
              <w:t>)</w:t>
            </w:r>
          </w:p>
        </w:tc>
        <w:tc>
          <w:tcPr>
            <w:tcW w:w="1222" w:type="dxa"/>
          </w:tcPr>
          <w:p w14:paraId="7F1CB753"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199.36</w:t>
            </w:r>
          </w:p>
        </w:tc>
        <w:tc>
          <w:tcPr>
            <w:tcW w:w="959" w:type="dxa"/>
          </w:tcPr>
          <w:p w14:paraId="0BB1EAD5"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48.41</w:t>
            </w:r>
          </w:p>
        </w:tc>
        <w:tc>
          <w:tcPr>
            <w:tcW w:w="1202" w:type="dxa"/>
          </w:tcPr>
          <w:p w14:paraId="438AB4A3"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162.33</w:t>
            </w:r>
          </w:p>
        </w:tc>
      </w:tr>
      <w:tr w:rsidR="00640A1E" w:rsidRPr="00B646CE" w14:paraId="6A3BD68E" w14:textId="77777777" w:rsidTr="00640A1E">
        <w:tc>
          <w:tcPr>
            <w:tcW w:w="5041" w:type="dxa"/>
          </w:tcPr>
          <w:p w14:paraId="167199C5" w14:textId="77777777" w:rsidR="00640A1E" w:rsidRDefault="00640A1E">
            <w:pPr>
              <w:spacing w:after="200" w:line="360" w:lineRule="auto"/>
              <w:jc w:val="both"/>
              <w:rPr>
                <w:rFonts w:ascii="Arial" w:hAnsi="Arial" w:cs="Arial"/>
                <w:sz w:val="20"/>
                <w:szCs w:val="20"/>
              </w:rPr>
            </w:pPr>
            <w:r w:rsidRPr="00B646CE">
              <w:rPr>
                <w:rFonts w:ascii="Arial" w:hAnsi="Arial" w:cs="Arial"/>
                <w:sz w:val="20"/>
                <w:szCs w:val="20"/>
              </w:rPr>
              <w:t>T</w:t>
            </w:r>
            <w:r w:rsidRPr="00B646CE">
              <w:rPr>
                <w:rFonts w:ascii="Arial" w:hAnsi="Arial" w:cs="Arial"/>
                <w:sz w:val="20"/>
                <w:szCs w:val="20"/>
                <w:vertAlign w:val="subscript"/>
              </w:rPr>
              <w:t>6</w:t>
            </w:r>
            <w:r>
              <w:rPr>
                <w:rFonts w:ascii="Arial" w:hAnsi="Arial" w:cs="Arial"/>
                <w:sz w:val="20"/>
                <w:szCs w:val="20"/>
              </w:rPr>
              <w:t xml:space="preserve"> (STCR recommendation for a yield target of 3.8 </w:t>
            </w:r>
            <w:proofErr w:type="spellStart"/>
            <w:r>
              <w:rPr>
                <w:rFonts w:ascii="Arial" w:hAnsi="Arial" w:cs="Arial"/>
                <w:sz w:val="20"/>
                <w:szCs w:val="20"/>
              </w:rPr>
              <w:t>tonnes</w:t>
            </w:r>
            <w:proofErr w:type="spellEnd"/>
            <w:r>
              <w:rPr>
                <w:rFonts w:ascii="Arial" w:hAnsi="Arial" w:cs="Arial"/>
                <w:sz w:val="20"/>
                <w:szCs w:val="20"/>
              </w:rPr>
              <w:t>)</w:t>
            </w:r>
          </w:p>
          <w:p w14:paraId="6126D77F" w14:textId="77777777" w:rsidR="00640A1E" w:rsidRPr="00640A1E" w:rsidRDefault="00640A1E" w:rsidP="00640A1E">
            <w:pPr>
              <w:rPr>
                <w:rFonts w:ascii="Arial" w:hAnsi="Arial" w:cs="Arial"/>
                <w:sz w:val="20"/>
                <w:szCs w:val="20"/>
              </w:rPr>
            </w:pPr>
          </w:p>
          <w:p w14:paraId="3970BAF5" w14:textId="1F24C85A" w:rsidR="00640A1E" w:rsidRPr="00640A1E" w:rsidRDefault="00640A1E" w:rsidP="00640A1E">
            <w:pPr>
              <w:jc w:val="center"/>
              <w:rPr>
                <w:rFonts w:ascii="Arial" w:hAnsi="Arial" w:cs="Arial"/>
                <w:sz w:val="20"/>
                <w:szCs w:val="20"/>
              </w:rPr>
            </w:pPr>
          </w:p>
        </w:tc>
        <w:tc>
          <w:tcPr>
            <w:tcW w:w="1222" w:type="dxa"/>
          </w:tcPr>
          <w:p w14:paraId="34C12D69"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241.73</w:t>
            </w:r>
          </w:p>
        </w:tc>
        <w:tc>
          <w:tcPr>
            <w:tcW w:w="959" w:type="dxa"/>
          </w:tcPr>
          <w:p w14:paraId="71F7D7E7"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54.11</w:t>
            </w:r>
          </w:p>
        </w:tc>
        <w:tc>
          <w:tcPr>
            <w:tcW w:w="1202" w:type="dxa"/>
          </w:tcPr>
          <w:p w14:paraId="4C22B30D" w14:textId="77777777" w:rsidR="00640A1E" w:rsidRPr="00B646CE" w:rsidRDefault="00640A1E">
            <w:pPr>
              <w:spacing w:after="200" w:line="360" w:lineRule="auto"/>
              <w:jc w:val="both"/>
              <w:rPr>
                <w:rFonts w:ascii="Arial" w:hAnsi="Arial" w:cs="Arial"/>
                <w:sz w:val="20"/>
                <w:szCs w:val="20"/>
              </w:rPr>
            </w:pPr>
            <w:r w:rsidRPr="00B646CE">
              <w:rPr>
                <w:rFonts w:ascii="Arial" w:hAnsi="Arial" w:cs="Arial"/>
                <w:sz w:val="20"/>
                <w:szCs w:val="20"/>
              </w:rPr>
              <w:t>186.87</w:t>
            </w:r>
          </w:p>
        </w:tc>
      </w:tr>
    </w:tbl>
    <w:p w14:paraId="1DCE11A4" w14:textId="775B9B85" w:rsidR="00640A1E" w:rsidRPr="00640A1E" w:rsidRDefault="00640A1E" w:rsidP="00645529">
      <w:pPr>
        <w:spacing w:after="200"/>
        <w:ind w:left="284"/>
        <w:jc w:val="both"/>
        <w:rPr>
          <w:rFonts w:ascii="Arial" w:hAnsi="Arial" w:cs="Arial"/>
        </w:rPr>
      </w:pPr>
      <w:r w:rsidRPr="00B646CE">
        <w:rPr>
          <w:rFonts w:ascii="Arial" w:hAnsi="Arial" w:cs="Arial"/>
        </w:rPr>
        <w:t>* T</w:t>
      </w:r>
      <w:r w:rsidRPr="00B646CE">
        <w:rPr>
          <w:rFonts w:ascii="Arial" w:hAnsi="Arial" w:cs="Arial"/>
          <w:vertAlign w:val="subscript"/>
        </w:rPr>
        <w:t>1</w:t>
      </w:r>
      <w:r>
        <w:rPr>
          <w:rFonts w:ascii="Arial" w:hAnsi="Arial" w:cs="Arial"/>
        </w:rPr>
        <w:t>-</w:t>
      </w:r>
      <w:r w:rsidRPr="00B646CE">
        <w:rPr>
          <w:rFonts w:ascii="Arial" w:hAnsi="Arial" w:cs="Arial"/>
        </w:rPr>
        <w:t xml:space="preserve">(includes FYM, vermicompost, neem cake, bone meal, </w:t>
      </w:r>
      <w:proofErr w:type="spellStart"/>
      <w:r w:rsidRPr="00B646CE">
        <w:rPr>
          <w:rFonts w:ascii="Arial" w:hAnsi="Arial" w:cs="Arial"/>
        </w:rPr>
        <w:t>panchagavyya</w:t>
      </w:r>
      <w:proofErr w:type="spellEnd"/>
      <w:r w:rsidRPr="00B646CE">
        <w:rPr>
          <w:rFonts w:ascii="Arial" w:hAnsi="Arial" w:cs="Arial"/>
        </w:rPr>
        <w:t xml:space="preserve"> spray and cow </w:t>
      </w:r>
      <w:r w:rsidR="00645529">
        <w:rPr>
          <w:rFonts w:ascii="Arial" w:hAnsi="Arial" w:cs="Arial"/>
        </w:rPr>
        <w:t xml:space="preserve">   </w:t>
      </w:r>
      <w:r w:rsidRPr="00B646CE">
        <w:rPr>
          <w:rFonts w:ascii="Arial" w:hAnsi="Arial" w:cs="Arial"/>
        </w:rPr>
        <w:t>urine spray)</w:t>
      </w:r>
      <w:r>
        <w:rPr>
          <w:rFonts w:ascii="Arial" w:hAnsi="Arial" w:cs="Arial"/>
        </w:rPr>
        <w:t>-</w:t>
      </w:r>
      <w:r w:rsidRPr="00B646CE">
        <w:rPr>
          <w:rFonts w:ascii="Arial" w:hAnsi="Arial" w:cs="Arial"/>
        </w:rPr>
        <w:t>Organically managed treatment</w:t>
      </w:r>
      <w:r>
        <w:rPr>
          <w:rFonts w:ascii="Arial" w:hAnsi="Arial" w:cs="Arial"/>
        </w:rPr>
        <w:t xml:space="preserve"> </w:t>
      </w:r>
      <w:r w:rsidRPr="00CE10CF">
        <w:rPr>
          <w:rFonts w:ascii="Arial" w:hAnsi="Arial" w:cs="Arial"/>
        </w:rPr>
        <w:t xml:space="preserve">(Ravisankar </w:t>
      </w:r>
      <w:r w:rsidRPr="0023152F">
        <w:rPr>
          <w:rFonts w:ascii="Arial" w:hAnsi="Arial" w:cs="Arial"/>
          <w:i/>
          <w:iCs/>
        </w:rPr>
        <w:t>et al</w:t>
      </w:r>
      <w:r w:rsidRPr="00CE10CF">
        <w:rPr>
          <w:rFonts w:ascii="Arial" w:hAnsi="Arial" w:cs="Arial"/>
        </w:rPr>
        <w:t>., 2017)</w:t>
      </w:r>
      <w:r>
        <w:rPr>
          <w:rFonts w:ascii="Arial" w:hAnsi="Arial" w:cs="Arial"/>
        </w:rPr>
        <w:t>.</w:t>
      </w:r>
    </w:p>
    <w:p w14:paraId="349D81CA" w14:textId="2576F5FF" w:rsidR="00640A1E" w:rsidRDefault="00AA74E0" w:rsidP="00640A1E">
      <w:pPr>
        <w:rPr>
          <w:rFonts w:ascii="Arial" w:hAnsi="Arial" w:cs="Arial"/>
          <w:b/>
          <w:caps/>
          <w:sz w:val="22"/>
        </w:rPr>
      </w:pPr>
      <w:r w:rsidRPr="00C30A0F">
        <w:rPr>
          <w:rFonts w:ascii="Arial" w:hAnsi="Arial" w:cs="Arial"/>
          <w:b/>
          <w:caps/>
          <w:sz w:val="22"/>
        </w:rPr>
        <w:lastRenderedPageBreak/>
        <w:t xml:space="preserve">2.1 </w:t>
      </w:r>
      <w:r w:rsidR="00640A1E" w:rsidRPr="00640A1E">
        <w:rPr>
          <w:rFonts w:ascii="Arial" w:hAnsi="Arial" w:cs="Arial"/>
          <w:b/>
          <w:caps/>
          <w:sz w:val="22"/>
        </w:rPr>
        <w:t>DATA COLLECTION</w:t>
      </w:r>
    </w:p>
    <w:p w14:paraId="5FC7FEE4" w14:textId="77777777" w:rsidR="008F6C85" w:rsidRDefault="008F6C85" w:rsidP="00640A1E">
      <w:pPr>
        <w:rPr>
          <w:rFonts w:ascii="Arial" w:hAnsi="Arial" w:cs="Arial"/>
          <w:b/>
          <w:caps/>
          <w:sz w:val="22"/>
        </w:rPr>
      </w:pPr>
    </w:p>
    <w:p w14:paraId="080095FC" w14:textId="1B1E9253" w:rsidR="00640A1E" w:rsidRPr="00640A1E" w:rsidRDefault="00640A1E" w:rsidP="00640A1E">
      <w:pPr>
        <w:jc w:val="both"/>
        <w:rPr>
          <w:rFonts w:ascii="Arial" w:hAnsi="Arial" w:cs="Arial"/>
          <w:bCs/>
          <w:caps/>
        </w:rPr>
      </w:pPr>
      <w:r w:rsidRPr="00640A1E">
        <w:rPr>
          <w:rFonts w:ascii="Arial" w:hAnsi="Arial" w:cs="Arial"/>
          <w:bCs/>
        </w:rPr>
        <w:t>Biometric observations of each treatment plot were made from 25 plants and used as representative samples. The representative samples were analyzed for nutrient uptake, yield and quality parameters. The plant samples collected, which included the shoot, root and pods, were oven dried at a temperature of 80°</w:t>
      </w:r>
      <w:r w:rsidR="00645529">
        <w:rPr>
          <w:rFonts w:ascii="Arial" w:hAnsi="Arial" w:cs="Arial"/>
          <w:bCs/>
        </w:rPr>
        <w:t xml:space="preserve"> </w:t>
      </w:r>
      <w:r w:rsidR="00645529" w:rsidRPr="00640A1E">
        <w:rPr>
          <w:rFonts w:ascii="Arial" w:hAnsi="Arial" w:cs="Arial"/>
          <w:bCs/>
        </w:rPr>
        <w:t>C</w:t>
      </w:r>
      <w:r w:rsidRPr="00640A1E">
        <w:rPr>
          <w:rFonts w:ascii="Arial" w:hAnsi="Arial" w:cs="Arial"/>
          <w:bCs/>
        </w:rPr>
        <w:t xml:space="preserve"> to a constant weight. The plant samples were then powdered, and analysis was performed using standard methods. Single acid digestion using </w:t>
      </w:r>
      <w:proofErr w:type="spellStart"/>
      <w:r w:rsidRPr="00640A1E">
        <w:rPr>
          <w:rFonts w:ascii="Arial" w:hAnsi="Arial" w:cs="Arial"/>
          <w:bCs/>
        </w:rPr>
        <w:t>sulphuric</w:t>
      </w:r>
      <w:proofErr w:type="spellEnd"/>
      <w:r w:rsidRPr="00640A1E">
        <w:rPr>
          <w:rFonts w:ascii="Arial" w:hAnsi="Arial" w:cs="Arial"/>
          <w:bCs/>
        </w:rPr>
        <w:t xml:space="preserve"> acid was followed for estimation of</w:t>
      </w:r>
      <w:r w:rsidR="0023152F">
        <w:rPr>
          <w:rFonts w:ascii="Arial" w:hAnsi="Arial" w:cs="Arial"/>
          <w:bCs/>
        </w:rPr>
        <w:t xml:space="preserve"> N</w:t>
      </w:r>
      <w:r w:rsidRPr="00640A1E">
        <w:rPr>
          <w:rFonts w:ascii="Arial" w:hAnsi="Arial" w:cs="Arial"/>
          <w:bCs/>
        </w:rPr>
        <w:t xml:space="preserve">. Diacid digestion was performed for the estimation of other nutrients using nitric acid and perchloric acid in the ratio 9:4. The nutrient contents in the shoot, root and pods were analyzed using their respective standard methods. The soil samples collected from the experimental plot were air dried, ground and sieved using a sieve of 2mm diameter and stored in a closed, air-tight container. N, </w:t>
      </w:r>
      <w:r w:rsidR="0023152F">
        <w:rPr>
          <w:rFonts w:ascii="Arial" w:hAnsi="Arial" w:cs="Arial"/>
          <w:bCs/>
        </w:rPr>
        <w:t>P</w:t>
      </w:r>
      <w:r w:rsidRPr="00640A1E">
        <w:rPr>
          <w:rFonts w:ascii="Arial" w:hAnsi="Arial" w:cs="Arial"/>
          <w:bCs/>
        </w:rPr>
        <w:t xml:space="preserve"> and </w:t>
      </w:r>
      <w:r w:rsidR="0023152F">
        <w:rPr>
          <w:rFonts w:ascii="Arial" w:hAnsi="Arial" w:cs="Arial"/>
          <w:bCs/>
        </w:rPr>
        <w:t>K</w:t>
      </w:r>
      <w:r w:rsidRPr="00640A1E">
        <w:rPr>
          <w:rFonts w:ascii="Arial" w:hAnsi="Arial" w:cs="Arial"/>
          <w:bCs/>
        </w:rPr>
        <w:t xml:space="preserve"> contents were analyzed following the standard analyzing procedures.</w:t>
      </w:r>
    </w:p>
    <w:p w14:paraId="1D34EA2B" w14:textId="77777777" w:rsidR="00640A1E" w:rsidRDefault="00640A1E" w:rsidP="00640A1E">
      <w:pPr>
        <w:pStyle w:val="Body"/>
        <w:spacing w:after="0"/>
        <w:rPr>
          <w:rFonts w:ascii="Arial" w:hAnsi="Arial" w:cs="Arial"/>
        </w:rPr>
      </w:pPr>
    </w:p>
    <w:p w14:paraId="743E85E4" w14:textId="168A6711" w:rsidR="00AA74E0" w:rsidRDefault="00640A1E" w:rsidP="00640A1E">
      <w:pPr>
        <w:pStyle w:val="Body"/>
        <w:spacing w:after="0"/>
        <w:rPr>
          <w:rFonts w:ascii="Arial" w:hAnsi="Arial" w:cs="Arial"/>
          <w:b/>
          <w:bCs/>
          <w:sz w:val="22"/>
          <w:szCs w:val="22"/>
        </w:rPr>
      </w:pPr>
      <w:r w:rsidRPr="00FE5A9A">
        <w:rPr>
          <w:rFonts w:ascii="Arial" w:hAnsi="Arial" w:cs="Arial"/>
          <w:b/>
          <w:bCs/>
          <w:sz w:val="22"/>
          <w:szCs w:val="22"/>
        </w:rPr>
        <w:t>2.2</w:t>
      </w:r>
      <w:r w:rsidRPr="00FE5A9A">
        <w:rPr>
          <w:rFonts w:ascii="Arial" w:hAnsi="Arial" w:cs="Arial"/>
          <w:sz w:val="22"/>
          <w:szCs w:val="22"/>
        </w:rPr>
        <w:t xml:space="preserve"> </w:t>
      </w:r>
      <w:r w:rsidRPr="00FE5A9A">
        <w:rPr>
          <w:rFonts w:ascii="Arial" w:hAnsi="Arial" w:cs="Arial"/>
          <w:b/>
          <w:bCs/>
          <w:sz w:val="22"/>
          <w:szCs w:val="22"/>
        </w:rPr>
        <w:t>STATISTICAL ANALYSIS</w:t>
      </w:r>
    </w:p>
    <w:p w14:paraId="56A0C2C7" w14:textId="77777777" w:rsidR="008F6C85" w:rsidRPr="00FE5A9A" w:rsidRDefault="008F6C85" w:rsidP="00640A1E">
      <w:pPr>
        <w:pStyle w:val="Body"/>
        <w:spacing w:after="0"/>
        <w:rPr>
          <w:rFonts w:ascii="Arial" w:hAnsi="Arial" w:cs="Arial"/>
          <w:sz w:val="22"/>
          <w:szCs w:val="22"/>
        </w:rPr>
      </w:pPr>
    </w:p>
    <w:p w14:paraId="4012D525" w14:textId="4F835313" w:rsidR="00640A1E" w:rsidRDefault="00640A1E" w:rsidP="00640A1E">
      <w:pPr>
        <w:pStyle w:val="Body"/>
        <w:spacing w:after="0"/>
        <w:rPr>
          <w:rFonts w:ascii="Arial" w:hAnsi="Arial" w:cs="Arial"/>
        </w:rPr>
      </w:pPr>
      <w:r w:rsidRPr="00640A1E">
        <w:rPr>
          <w:rFonts w:ascii="Arial" w:hAnsi="Arial" w:cs="Arial"/>
        </w:rPr>
        <w:t xml:space="preserve">The field experiment data were statistically analyzed using the software Grapes, developed by </w:t>
      </w:r>
      <w:r w:rsidR="008F6C85">
        <w:rPr>
          <w:rFonts w:ascii="Arial" w:hAnsi="Arial" w:cs="Arial"/>
        </w:rPr>
        <w:t xml:space="preserve">[11] </w:t>
      </w:r>
      <w:r w:rsidR="0023152F">
        <w:rPr>
          <w:rFonts w:ascii="Arial" w:hAnsi="Arial" w:cs="Arial"/>
        </w:rPr>
        <w:t>(</w:t>
      </w:r>
      <w:r w:rsidRPr="00640A1E">
        <w:rPr>
          <w:rFonts w:ascii="Arial" w:hAnsi="Arial" w:cs="Arial"/>
        </w:rPr>
        <w:t xml:space="preserve">Gopinath </w:t>
      </w:r>
      <w:r w:rsidRPr="0023152F">
        <w:rPr>
          <w:rFonts w:ascii="Arial" w:hAnsi="Arial" w:cs="Arial"/>
          <w:i/>
          <w:iCs/>
        </w:rPr>
        <w:t>et al</w:t>
      </w:r>
      <w:r w:rsidRPr="00640A1E">
        <w:rPr>
          <w:rFonts w:ascii="Arial" w:hAnsi="Arial" w:cs="Arial"/>
        </w:rPr>
        <w:t>.</w:t>
      </w:r>
      <w:r w:rsidR="0023152F">
        <w:rPr>
          <w:rFonts w:ascii="Arial" w:hAnsi="Arial" w:cs="Arial"/>
        </w:rPr>
        <w:t xml:space="preserve">, </w:t>
      </w:r>
      <w:r w:rsidRPr="00640A1E">
        <w:rPr>
          <w:rFonts w:ascii="Arial" w:hAnsi="Arial" w:cs="Arial"/>
        </w:rPr>
        <w:t>2021). The variance analysis, ANOVA and the F test were used to assess the significance.</w:t>
      </w:r>
    </w:p>
    <w:p w14:paraId="1DA3694D" w14:textId="77777777" w:rsidR="00790ADA" w:rsidRPr="00FB3A86" w:rsidRDefault="00790ADA" w:rsidP="00441B6F">
      <w:pPr>
        <w:pStyle w:val="Body"/>
        <w:spacing w:after="0"/>
        <w:rPr>
          <w:rFonts w:ascii="Arial" w:hAnsi="Arial" w:cs="Arial"/>
        </w:rPr>
      </w:pPr>
    </w:p>
    <w:p w14:paraId="210B70F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EFA4E5C" w14:textId="77777777" w:rsidR="00790ADA" w:rsidRPr="00FB3A86" w:rsidRDefault="00790ADA" w:rsidP="00441B6F">
      <w:pPr>
        <w:pStyle w:val="Head1"/>
        <w:spacing w:after="0"/>
        <w:jc w:val="both"/>
        <w:rPr>
          <w:rFonts w:ascii="Arial" w:hAnsi="Arial" w:cs="Arial"/>
        </w:rPr>
      </w:pPr>
    </w:p>
    <w:p w14:paraId="16B48EC4" w14:textId="3775C4B9" w:rsidR="00FE5A9A" w:rsidRDefault="00FE5A9A" w:rsidP="00441B6F">
      <w:pPr>
        <w:pStyle w:val="Body"/>
        <w:spacing w:after="0"/>
        <w:rPr>
          <w:rFonts w:ascii="Arial" w:hAnsi="Arial" w:cs="Arial"/>
          <w:b/>
          <w:bCs/>
          <w:sz w:val="22"/>
          <w:szCs w:val="22"/>
        </w:rPr>
      </w:pPr>
      <w:r w:rsidRPr="00FE5A9A">
        <w:rPr>
          <w:rFonts w:ascii="Arial" w:hAnsi="Arial" w:cs="Arial"/>
          <w:b/>
          <w:bCs/>
          <w:sz w:val="22"/>
          <w:szCs w:val="22"/>
        </w:rPr>
        <w:t xml:space="preserve">3.1 AVAILABLE N </w:t>
      </w:r>
    </w:p>
    <w:p w14:paraId="3C08ABB3" w14:textId="77777777" w:rsidR="008F6C85" w:rsidRPr="00FE5A9A" w:rsidRDefault="008F6C85" w:rsidP="00441B6F">
      <w:pPr>
        <w:pStyle w:val="Body"/>
        <w:spacing w:after="0"/>
        <w:rPr>
          <w:rFonts w:ascii="Arial" w:hAnsi="Arial" w:cs="Arial"/>
          <w:b/>
          <w:bCs/>
          <w:sz w:val="22"/>
          <w:szCs w:val="22"/>
        </w:rPr>
      </w:pPr>
    </w:p>
    <w:p w14:paraId="68EDC72E" w14:textId="36AAA044" w:rsidR="00790ADA" w:rsidRDefault="00FE5A9A" w:rsidP="00441B6F">
      <w:pPr>
        <w:pStyle w:val="Body"/>
        <w:spacing w:after="0"/>
        <w:rPr>
          <w:rFonts w:ascii="Arial" w:hAnsi="Arial" w:cs="Arial"/>
        </w:rPr>
      </w:pPr>
      <w:r w:rsidRPr="00FE5A9A">
        <w:rPr>
          <w:rFonts w:ascii="Arial" w:hAnsi="Arial" w:cs="Arial"/>
        </w:rPr>
        <w:t>The post-harvest available nitrogen in the soil ranged between 296.98 and 382.58 kg ha</w:t>
      </w:r>
      <w:r w:rsidRPr="00A72C75">
        <w:rPr>
          <w:rFonts w:ascii="Arial" w:hAnsi="Arial" w:cs="Arial"/>
          <w:vertAlign w:val="superscript"/>
        </w:rPr>
        <w:t>-1</w:t>
      </w:r>
      <w:r w:rsidR="00146EE5">
        <w:rPr>
          <w:rFonts w:ascii="Arial" w:hAnsi="Arial" w:cs="Arial"/>
        </w:rPr>
        <w:t xml:space="preserve"> as given in </w:t>
      </w:r>
      <w:r w:rsidR="00B1659F">
        <w:rPr>
          <w:rFonts w:ascii="Arial" w:hAnsi="Arial" w:cs="Arial"/>
        </w:rPr>
        <w:t>T</w:t>
      </w:r>
      <w:r w:rsidR="00146EE5">
        <w:rPr>
          <w:rFonts w:ascii="Arial" w:hAnsi="Arial" w:cs="Arial"/>
        </w:rPr>
        <w:t>able 2.</w:t>
      </w:r>
      <w:r w:rsidRPr="00FE5A9A">
        <w:rPr>
          <w:rFonts w:ascii="Arial" w:hAnsi="Arial" w:cs="Arial"/>
        </w:rPr>
        <w:t xml:space="preserve"> A significant variation was observed among all the treatments. Compared to the initial levels of soil available N, a general enhancement in nutrient status was observed across all the treatments after the crop harvest. The surge might be likely due to the integrated supply of organic and inorganic fertilizers, resulting in higher organic carbon content, which would have aided in attaining balanced nutrition, higher adsorption of ionic forms of nitrogen on the surface of soil clay minerals and a higher rate of mineralization of organic forms of nitrogen. The highest value for available N was recorded in treatment T</w:t>
      </w:r>
      <w:r w:rsidRPr="00A72C75">
        <w:rPr>
          <w:rFonts w:ascii="Arial" w:hAnsi="Arial" w:cs="Arial"/>
          <w:vertAlign w:val="subscript"/>
        </w:rPr>
        <w:t>6</w:t>
      </w:r>
      <w:r w:rsidRPr="00FE5A9A">
        <w:rPr>
          <w:rFonts w:ascii="Arial" w:hAnsi="Arial" w:cs="Arial"/>
        </w:rPr>
        <w:t xml:space="preserve"> and the least in treatment T</w:t>
      </w:r>
      <w:r w:rsidRPr="00A72C75">
        <w:rPr>
          <w:rFonts w:ascii="Arial" w:hAnsi="Arial" w:cs="Arial"/>
          <w:vertAlign w:val="subscript"/>
        </w:rPr>
        <w:t>1</w:t>
      </w:r>
      <w:r w:rsidRPr="00FE5A9A">
        <w:rPr>
          <w:rFonts w:ascii="Arial" w:hAnsi="Arial" w:cs="Arial"/>
        </w:rPr>
        <w:t xml:space="preserve">. Comparable </w:t>
      </w:r>
      <w:r w:rsidR="00673603">
        <w:rPr>
          <w:rFonts w:ascii="Arial" w:hAnsi="Arial" w:cs="Arial"/>
        </w:rPr>
        <w:t>trends</w:t>
      </w:r>
      <w:r w:rsidRPr="00FE5A9A">
        <w:rPr>
          <w:rFonts w:ascii="Arial" w:hAnsi="Arial" w:cs="Arial"/>
        </w:rPr>
        <w:t xml:space="preserve"> were observed by </w:t>
      </w:r>
      <w:r w:rsidR="008F6C85">
        <w:rPr>
          <w:rFonts w:ascii="Arial" w:hAnsi="Arial" w:cs="Arial"/>
        </w:rPr>
        <w:t xml:space="preserve">[12] </w:t>
      </w:r>
      <w:r w:rsidRPr="00FE5A9A">
        <w:rPr>
          <w:rFonts w:ascii="Arial" w:hAnsi="Arial" w:cs="Arial"/>
        </w:rPr>
        <w:t>Tiwar</w:t>
      </w:r>
      <w:r w:rsidR="00B85A95">
        <w:rPr>
          <w:rFonts w:ascii="Arial" w:hAnsi="Arial" w:cs="Arial"/>
        </w:rPr>
        <w:t>i</w:t>
      </w:r>
      <w:r w:rsidRPr="00FE5A9A">
        <w:rPr>
          <w:rFonts w:ascii="Arial" w:hAnsi="Arial" w:cs="Arial"/>
        </w:rPr>
        <w:t xml:space="preserve"> </w:t>
      </w:r>
      <w:r w:rsidRPr="00673603">
        <w:rPr>
          <w:rFonts w:ascii="Arial" w:hAnsi="Arial" w:cs="Arial"/>
          <w:i/>
          <w:iCs/>
        </w:rPr>
        <w:t>et al</w:t>
      </w:r>
      <w:r w:rsidRPr="00FE5A9A">
        <w:rPr>
          <w:rFonts w:ascii="Arial" w:hAnsi="Arial" w:cs="Arial"/>
        </w:rPr>
        <w:t>.</w:t>
      </w:r>
      <w:r w:rsidR="004805E3">
        <w:rPr>
          <w:rFonts w:ascii="Arial" w:hAnsi="Arial" w:cs="Arial"/>
        </w:rPr>
        <w:t xml:space="preserve">, </w:t>
      </w:r>
      <w:r w:rsidRPr="00FE5A9A">
        <w:rPr>
          <w:rFonts w:ascii="Arial" w:hAnsi="Arial" w:cs="Arial"/>
        </w:rPr>
        <w:t>2024</w:t>
      </w:r>
      <w:r w:rsidR="00673603">
        <w:rPr>
          <w:rFonts w:ascii="Arial" w:hAnsi="Arial" w:cs="Arial"/>
        </w:rPr>
        <w:t xml:space="preserve"> in soybean and [13] (Shyna, 2023) in cowpea were application of NPK fertilizers along with farm yard manure improved the nitrogen content in post-harvest soils.</w:t>
      </w:r>
    </w:p>
    <w:p w14:paraId="2F4215F1" w14:textId="77777777" w:rsidR="008F6C85" w:rsidRDefault="008F6C85" w:rsidP="00441B6F">
      <w:pPr>
        <w:pStyle w:val="Body"/>
        <w:spacing w:after="0"/>
        <w:rPr>
          <w:rFonts w:ascii="Arial" w:hAnsi="Arial" w:cs="Arial"/>
        </w:rPr>
      </w:pPr>
    </w:p>
    <w:p w14:paraId="71E1268B" w14:textId="77777777" w:rsidR="00FE5A9A" w:rsidRDefault="00FE5A9A" w:rsidP="00FE5A9A">
      <w:pPr>
        <w:tabs>
          <w:tab w:val="left" w:pos="1080"/>
        </w:tabs>
        <w:jc w:val="both"/>
        <w:rPr>
          <w:rFonts w:ascii="Arial" w:hAnsi="Arial"/>
          <w:b/>
        </w:rPr>
      </w:pPr>
      <w:r>
        <w:rPr>
          <w:rFonts w:ascii="Arial" w:hAnsi="Arial"/>
          <w:b/>
        </w:rPr>
        <w:t xml:space="preserve">Table 2. </w:t>
      </w:r>
      <w:r w:rsidRPr="00B375AD">
        <w:rPr>
          <w:rFonts w:ascii="Arial" w:hAnsi="Arial"/>
          <w:b/>
        </w:rPr>
        <w:t xml:space="preserve">Effect of treatments on </w:t>
      </w:r>
      <w:r>
        <w:rPr>
          <w:rFonts w:ascii="Arial" w:hAnsi="Arial"/>
          <w:b/>
        </w:rPr>
        <w:t>a</w:t>
      </w:r>
      <w:r w:rsidRPr="00B375AD">
        <w:rPr>
          <w:rFonts w:ascii="Arial" w:hAnsi="Arial"/>
          <w:b/>
        </w:rPr>
        <w:t>vailable N</w:t>
      </w:r>
      <w:r>
        <w:rPr>
          <w:rFonts w:ascii="Arial" w:hAnsi="Arial"/>
          <w:b/>
        </w:rPr>
        <w:t>,</w:t>
      </w:r>
      <w:r w:rsidRPr="00B375AD">
        <w:rPr>
          <w:rFonts w:ascii="Arial" w:hAnsi="Arial"/>
          <w:b/>
        </w:rPr>
        <w:t xml:space="preserve"> P</w:t>
      </w:r>
      <w:r>
        <w:rPr>
          <w:rFonts w:ascii="Arial" w:hAnsi="Arial"/>
          <w:b/>
        </w:rPr>
        <w:t xml:space="preserve"> and</w:t>
      </w:r>
      <w:r w:rsidRPr="00B375AD">
        <w:rPr>
          <w:rFonts w:ascii="Arial" w:hAnsi="Arial"/>
          <w:b/>
        </w:rPr>
        <w:t xml:space="preserve"> K in soil after the crop harvest </w:t>
      </w:r>
    </w:p>
    <w:tbl>
      <w:tblPr>
        <w:tblpPr w:leftFromText="180" w:rightFromText="180" w:vertAnchor="text" w:horzAnchor="margin" w:tblpXSpec="center" w:tblpY="109"/>
        <w:tblW w:w="7591" w:type="dxa"/>
        <w:tblBorders>
          <w:top w:val="single" w:sz="4" w:space="0" w:color="auto"/>
          <w:bottom w:val="single" w:sz="4" w:space="0" w:color="auto"/>
          <w:insideH w:val="single" w:sz="4" w:space="0" w:color="auto"/>
        </w:tblBorders>
        <w:tblLook w:val="01E0" w:firstRow="1" w:lastRow="1" w:firstColumn="1" w:lastColumn="1" w:noHBand="0" w:noVBand="0"/>
      </w:tblPr>
      <w:tblGrid>
        <w:gridCol w:w="1228"/>
        <w:gridCol w:w="2204"/>
        <w:gridCol w:w="2094"/>
        <w:gridCol w:w="2065"/>
      </w:tblGrid>
      <w:tr w:rsidR="00FE5A9A" w:rsidRPr="00DC3180" w14:paraId="5A877C43" w14:textId="77777777">
        <w:trPr>
          <w:trHeight w:val="257"/>
        </w:trPr>
        <w:tc>
          <w:tcPr>
            <w:tcW w:w="1129" w:type="dxa"/>
            <w:tcBorders>
              <w:bottom w:val="single" w:sz="4" w:space="0" w:color="auto"/>
            </w:tcBorders>
          </w:tcPr>
          <w:p w14:paraId="49887EED" w14:textId="77777777" w:rsidR="00FE5A9A" w:rsidRPr="00DC3180" w:rsidRDefault="00FE5A9A">
            <w:pPr>
              <w:jc w:val="both"/>
              <w:rPr>
                <w:rFonts w:ascii="Arial" w:hAnsi="Arial"/>
                <w:b/>
                <w:bCs/>
              </w:rPr>
            </w:pPr>
            <w:r w:rsidRPr="00187F1F">
              <w:t>Treatment</w:t>
            </w:r>
            <w:r>
              <w:t>s</w:t>
            </w:r>
          </w:p>
        </w:tc>
        <w:tc>
          <w:tcPr>
            <w:tcW w:w="2240" w:type="dxa"/>
            <w:tcBorders>
              <w:bottom w:val="single" w:sz="4" w:space="0" w:color="auto"/>
            </w:tcBorders>
          </w:tcPr>
          <w:p w14:paraId="147A28BC" w14:textId="77777777" w:rsidR="00FE5A9A" w:rsidRPr="00DC3180" w:rsidRDefault="00FE5A9A">
            <w:pPr>
              <w:jc w:val="both"/>
              <w:rPr>
                <w:rFonts w:ascii="Arial" w:hAnsi="Arial"/>
                <w:b/>
                <w:bCs/>
              </w:rPr>
            </w:pPr>
            <w:r w:rsidRPr="00187F1F">
              <w:t>Available N (kg ha</w:t>
            </w:r>
            <w:r w:rsidRPr="00E23360">
              <w:rPr>
                <w:vertAlign w:val="superscript"/>
              </w:rPr>
              <w:t>-1</w:t>
            </w:r>
            <w:r w:rsidRPr="00187F1F">
              <w:t>)</w:t>
            </w:r>
          </w:p>
        </w:tc>
        <w:tc>
          <w:tcPr>
            <w:tcW w:w="2126" w:type="dxa"/>
            <w:tcBorders>
              <w:bottom w:val="single" w:sz="4" w:space="0" w:color="auto"/>
            </w:tcBorders>
          </w:tcPr>
          <w:p w14:paraId="2D797795" w14:textId="77777777" w:rsidR="00FE5A9A" w:rsidRPr="00DC3180" w:rsidRDefault="00FE5A9A">
            <w:pPr>
              <w:jc w:val="both"/>
              <w:rPr>
                <w:rFonts w:ascii="Arial" w:hAnsi="Arial"/>
                <w:b/>
                <w:bCs/>
              </w:rPr>
            </w:pPr>
            <w:r w:rsidRPr="00187F1F">
              <w:t>Available P (kg ha</w:t>
            </w:r>
            <w:r w:rsidRPr="00E23360">
              <w:rPr>
                <w:vertAlign w:val="superscript"/>
              </w:rPr>
              <w:t>-1</w:t>
            </w:r>
            <w:r w:rsidRPr="00187F1F">
              <w:t>)</w:t>
            </w:r>
          </w:p>
        </w:tc>
        <w:tc>
          <w:tcPr>
            <w:tcW w:w="2096" w:type="dxa"/>
            <w:tcBorders>
              <w:bottom w:val="single" w:sz="4" w:space="0" w:color="auto"/>
            </w:tcBorders>
          </w:tcPr>
          <w:p w14:paraId="27ED6D51" w14:textId="77777777" w:rsidR="00FE5A9A" w:rsidRPr="00187F1F" w:rsidRDefault="00FE5A9A">
            <w:pPr>
              <w:jc w:val="both"/>
            </w:pPr>
            <w:r w:rsidRPr="00B646CE">
              <w:rPr>
                <w:rFonts w:ascii="Arial" w:hAnsi="Arial" w:cs="Arial"/>
              </w:rPr>
              <w:t>Available K (kg ha</w:t>
            </w:r>
            <w:r w:rsidRPr="00B646CE">
              <w:rPr>
                <w:rFonts w:ascii="Arial" w:hAnsi="Arial" w:cs="Arial"/>
                <w:vertAlign w:val="superscript"/>
              </w:rPr>
              <w:t>-1</w:t>
            </w:r>
            <w:r w:rsidRPr="00B646CE">
              <w:rPr>
                <w:rFonts w:ascii="Arial" w:hAnsi="Arial" w:cs="Arial"/>
              </w:rPr>
              <w:t>)</w:t>
            </w:r>
          </w:p>
        </w:tc>
      </w:tr>
      <w:tr w:rsidR="00FE5A9A" w:rsidRPr="00DC3180" w14:paraId="02DA314C" w14:textId="77777777">
        <w:trPr>
          <w:trHeight w:val="206"/>
        </w:trPr>
        <w:tc>
          <w:tcPr>
            <w:tcW w:w="1129" w:type="dxa"/>
            <w:tcBorders>
              <w:bottom w:val="nil"/>
            </w:tcBorders>
          </w:tcPr>
          <w:p w14:paraId="1AB70D41" w14:textId="77777777" w:rsidR="00FE5A9A" w:rsidRPr="00DC3180" w:rsidRDefault="00FE5A9A">
            <w:pPr>
              <w:jc w:val="both"/>
              <w:rPr>
                <w:rFonts w:ascii="Arial" w:hAnsi="Arial"/>
                <w:b/>
                <w:bCs/>
              </w:rPr>
            </w:pPr>
            <w:r w:rsidRPr="00187F1F">
              <w:t>T</w:t>
            </w:r>
            <w:r w:rsidRPr="006943D5">
              <w:rPr>
                <w:vertAlign w:val="subscript"/>
              </w:rPr>
              <w:t>1</w:t>
            </w:r>
          </w:p>
        </w:tc>
        <w:tc>
          <w:tcPr>
            <w:tcW w:w="2240" w:type="dxa"/>
            <w:tcBorders>
              <w:bottom w:val="nil"/>
            </w:tcBorders>
          </w:tcPr>
          <w:p w14:paraId="7B843433" w14:textId="77777777" w:rsidR="00FE5A9A" w:rsidRPr="006943D5" w:rsidRDefault="00FE5A9A">
            <w:pPr>
              <w:jc w:val="both"/>
              <w:rPr>
                <w:rFonts w:ascii="Arial" w:hAnsi="Arial" w:cs="Arial"/>
                <w:b/>
                <w:bCs/>
              </w:rPr>
            </w:pPr>
            <w:r w:rsidRPr="006943D5">
              <w:rPr>
                <w:rFonts w:ascii="Arial" w:hAnsi="Arial" w:cs="Arial"/>
              </w:rPr>
              <w:t>269.69</w:t>
            </w:r>
            <w:r w:rsidRPr="006943D5">
              <w:rPr>
                <w:rFonts w:ascii="Arial" w:hAnsi="Arial" w:cs="Arial"/>
                <w:vertAlign w:val="superscript"/>
              </w:rPr>
              <w:t>f</w:t>
            </w:r>
          </w:p>
        </w:tc>
        <w:tc>
          <w:tcPr>
            <w:tcW w:w="2126" w:type="dxa"/>
            <w:tcBorders>
              <w:bottom w:val="nil"/>
            </w:tcBorders>
          </w:tcPr>
          <w:p w14:paraId="19D39492" w14:textId="77777777" w:rsidR="00FE5A9A" w:rsidRPr="00DC3180" w:rsidRDefault="00FE5A9A">
            <w:pPr>
              <w:jc w:val="both"/>
              <w:rPr>
                <w:rFonts w:ascii="Arial" w:hAnsi="Arial"/>
                <w:b/>
                <w:bCs/>
              </w:rPr>
            </w:pPr>
            <w:r w:rsidRPr="00187F1F">
              <w:t>18.66</w:t>
            </w:r>
            <w:r w:rsidRPr="006943D5">
              <w:rPr>
                <w:vertAlign w:val="superscript"/>
              </w:rPr>
              <w:t>f</w:t>
            </w:r>
          </w:p>
        </w:tc>
        <w:tc>
          <w:tcPr>
            <w:tcW w:w="2096" w:type="dxa"/>
            <w:tcBorders>
              <w:bottom w:val="nil"/>
            </w:tcBorders>
          </w:tcPr>
          <w:p w14:paraId="64F76B3F" w14:textId="77777777" w:rsidR="00FE5A9A" w:rsidRPr="00187F1F" w:rsidRDefault="00FE5A9A">
            <w:pPr>
              <w:jc w:val="both"/>
            </w:pPr>
            <w:r w:rsidRPr="00B646CE">
              <w:rPr>
                <w:rFonts w:ascii="Arial" w:hAnsi="Arial" w:cs="Arial"/>
              </w:rPr>
              <w:t>148.40</w:t>
            </w:r>
            <w:r w:rsidRPr="00B646CE">
              <w:rPr>
                <w:rFonts w:ascii="Arial" w:hAnsi="Arial" w:cs="Arial"/>
                <w:vertAlign w:val="superscript"/>
              </w:rPr>
              <w:t>d</w:t>
            </w:r>
          </w:p>
        </w:tc>
      </w:tr>
      <w:tr w:rsidR="00FE5A9A" w:rsidRPr="00DC3180" w14:paraId="0F64AF00" w14:textId="77777777">
        <w:trPr>
          <w:trHeight w:val="257"/>
        </w:trPr>
        <w:tc>
          <w:tcPr>
            <w:tcW w:w="1129" w:type="dxa"/>
            <w:tcBorders>
              <w:top w:val="nil"/>
              <w:bottom w:val="nil"/>
            </w:tcBorders>
          </w:tcPr>
          <w:p w14:paraId="07A1E92F" w14:textId="77777777" w:rsidR="00FE5A9A" w:rsidRPr="00DC3180" w:rsidRDefault="00FE5A9A">
            <w:pPr>
              <w:jc w:val="both"/>
              <w:rPr>
                <w:rFonts w:ascii="Arial" w:hAnsi="Arial" w:cs="Arial"/>
              </w:rPr>
            </w:pPr>
            <w:r w:rsidRPr="00187F1F">
              <w:t>T</w:t>
            </w:r>
            <w:r w:rsidRPr="006943D5">
              <w:rPr>
                <w:vertAlign w:val="subscript"/>
              </w:rPr>
              <w:t>2</w:t>
            </w:r>
          </w:p>
        </w:tc>
        <w:tc>
          <w:tcPr>
            <w:tcW w:w="2240" w:type="dxa"/>
            <w:tcBorders>
              <w:top w:val="nil"/>
              <w:bottom w:val="nil"/>
            </w:tcBorders>
          </w:tcPr>
          <w:p w14:paraId="697B68DF" w14:textId="77777777" w:rsidR="00FE5A9A" w:rsidRPr="006943D5" w:rsidRDefault="00FE5A9A">
            <w:pPr>
              <w:jc w:val="both"/>
              <w:rPr>
                <w:rFonts w:ascii="Arial" w:hAnsi="Arial" w:cs="Arial"/>
              </w:rPr>
            </w:pPr>
            <w:r w:rsidRPr="006943D5">
              <w:rPr>
                <w:rFonts w:ascii="Arial" w:hAnsi="Arial" w:cs="Arial"/>
              </w:rPr>
              <w:t>291.64</w:t>
            </w:r>
            <w:r w:rsidRPr="006943D5">
              <w:rPr>
                <w:rFonts w:ascii="Arial" w:hAnsi="Arial" w:cs="Arial"/>
                <w:vertAlign w:val="superscript"/>
              </w:rPr>
              <w:t>e</w:t>
            </w:r>
          </w:p>
        </w:tc>
        <w:tc>
          <w:tcPr>
            <w:tcW w:w="2126" w:type="dxa"/>
            <w:tcBorders>
              <w:top w:val="nil"/>
              <w:bottom w:val="nil"/>
            </w:tcBorders>
          </w:tcPr>
          <w:p w14:paraId="3E7317B5" w14:textId="77777777" w:rsidR="00FE5A9A" w:rsidRPr="00DC3180" w:rsidRDefault="00FE5A9A">
            <w:pPr>
              <w:jc w:val="both"/>
              <w:rPr>
                <w:rFonts w:ascii="Arial" w:hAnsi="Arial"/>
              </w:rPr>
            </w:pPr>
            <w:r w:rsidRPr="00187F1F">
              <w:t>22.39</w:t>
            </w:r>
            <w:r w:rsidRPr="006943D5">
              <w:rPr>
                <w:vertAlign w:val="superscript"/>
              </w:rPr>
              <w:t>e</w:t>
            </w:r>
          </w:p>
        </w:tc>
        <w:tc>
          <w:tcPr>
            <w:tcW w:w="2096" w:type="dxa"/>
            <w:tcBorders>
              <w:top w:val="nil"/>
              <w:bottom w:val="nil"/>
            </w:tcBorders>
          </w:tcPr>
          <w:p w14:paraId="60614A1A" w14:textId="77777777" w:rsidR="00FE5A9A" w:rsidRPr="00187F1F" w:rsidRDefault="00FE5A9A">
            <w:pPr>
              <w:jc w:val="both"/>
            </w:pPr>
            <w:r w:rsidRPr="00B646CE">
              <w:rPr>
                <w:rFonts w:ascii="Arial" w:hAnsi="Arial" w:cs="Arial"/>
              </w:rPr>
              <w:t>126.00</w:t>
            </w:r>
            <w:r w:rsidRPr="00B646CE">
              <w:rPr>
                <w:rFonts w:ascii="Arial" w:hAnsi="Arial" w:cs="Arial"/>
                <w:vertAlign w:val="superscript"/>
              </w:rPr>
              <w:t>e</w:t>
            </w:r>
          </w:p>
        </w:tc>
      </w:tr>
      <w:tr w:rsidR="00FE5A9A" w:rsidRPr="00DC3180" w14:paraId="6DAEB59D" w14:textId="77777777">
        <w:trPr>
          <w:trHeight w:val="257"/>
        </w:trPr>
        <w:tc>
          <w:tcPr>
            <w:tcW w:w="1129" w:type="dxa"/>
            <w:tcBorders>
              <w:top w:val="nil"/>
              <w:bottom w:val="nil"/>
            </w:tcBorders>
          </w:tcPr>
          <w:p w14:paraId="249A4787" w14:textId="77777777" w:rsidR="00FE5A9A" w:rsidRPr="00DC3180" w:rsidRDefault="00FE5A9A">
            <w:pPr>
              <w:jc w:val="both"/>
              <w:rPr>
                <w:rFonts w:ascii="Arial" w:hAnsi="Arial"/>
              </w:rPr>
            </w:pPr>
            <w:r w:rsidRPr="00187F1F">
              <w:t>T</w:t>
            </w:r>
            <w:r w:rsidRPr="006943D5">
              <w:rPr>
                <w:vertAlign w:val="subscript"/>
              </w:rPr>
              <w:t>3</w:t>
            </w:r>
          </w:p>
        </w:tc>
        <w:tc>
          <w:tcPr>
            <w:tcW w:w="2240" w:type="dxa"/>
            <w:tcBorders>
              <w:top w:val="nil"/>
              <w:bottom w:val="nil"/>
            </w:tcBorders>
          </w:tcPr>
          <w:p w14:paraId="4DB6C62E" w14:textId="77777777" w:rsidR="00FE5A9A" w:rsidRPr="006943D5" w:rsidRDefault="00FE5A9A">
            <w:pPr>
              <w:jc w:val="both"/>
              <w:rPr>
                <w:rFonts w:ascii="Arial" w:hAnsi="Arial" w:cs="Arial"/>
              </w:rPr>
            </w:pPr>
            <w:r w:rsidRPr="006943D5">
              <w:rPr>
                <w:rFonts w:ascii="Arial" w:hAnsi="Arial" w:cs="Arial"/>
              </w:rPr>
              <w:t>310.46</w:t>
            </w:r>
            <w:r w:rsidRPr="006943D5">
              <w:rPr>
                <w:rFonts w:ascii="Arial" w:hAnsi="Arial" w:cs="Arial"/>
                <w:vertAlign w:val="superscript"/>
              </w:rPr>
              <w:t>d</w:t>
            </w:r>
          </w:p>
        </w:tc>
        <w:tc>
          <w:tcPr>
            <w:tcW w:w="2126" w:type="dxa"/>
            <w:tcBorders>
              <w:top w:val="nil"/>
              <w:bottom w:val="nil"/>
            </w:tcBorders>
          </w:tcPr>
          <w:p w14:paraId="77DDBF21" w14:textId="77777777" w:rsidR="00FE5A9A" w:rsidRPr="00DC3180" w:rsidRDefault="00FE5A9A">
            <w:pPr>
              <w:jc w:val="both"/>
              <w:rPr>
                <w:rFonts w:ascii="Arial" w:hAnsi="Arial" w:cs="Arial"/>
              </w:rPr>
            </w:pPr>
            <w:r w:rsidRPr="00187F1F">
              <w:t>30.14</w:t>
            </w:r>
            <w:r w:rsidRPr="006943D5">
              <w:rPr>
                <w:vertAlign w:val="superscript"/>
              </w:rPr>
              <w:t>d</w:t>
            </w:r>
          </w:p>
        </w:tc>
        <w:tc>
          <w:tcPr>
            <w:tcW w:w="2096" w:type="dxa"/>
            <w:tcBorders>
              <w:top w:val="nil"/>
              <w:bottom w:val="nil"/>
            </w:tcBorders>
          </w:tcPr>
          <w:p w14:paraId="10FA4ED3" w14:textId="77777777" w:rsidR="00FE5A9A" w:rsidRPr="00187F1F" w:rsidRDefault="00FE5A9A">
            <w:pPr>
              <w:jc w:val="both"/>
            </w:pPr>
            <w:r w:rsidRPr="00B646CE">
              <w:rPr>
                <w:rFonts w:ascii="Arial" w:hAnsi="Arial" w:cs="Arial"/>
              </w:rPr>
              <w:t>151.20</w:t>
            </w:r>
            <w:r w:rsidRPr="00B646CE">
              <w:rPr>
                <w:rFonts w:ascii="Arial" w:hAnsi="Arial" w:cs="Arial"/>
                <w:vertAlign w:val="superscript"/>
              </w:rPr>
              <w:t>d</w:t>
            </w:r>
          </w:p>
        </w:tc>
      </w:tr>
      <w:tr w:rsidR="00FE5A9A" w:rsidRPr="00DC3180" w14:paraId="4173831F" w14:textId="77777777">
        <w:trPr>
          <w:trHeight w:val="257"/>
        </w:trPr>
        <w:tc>
          <w:tcPr>
            <w:tcW w:w="1129" w:type="dxa"/>
            <w:tcBorders>
              <w:top w:val="nil"/>
              <w:bottom w:val="nil"/>
            </w:tcBorders>
          </w:tcPr>
          <w:p w14:paraId="627A3461" w14:textId="77777777" w:rsidR="00FE5A9A" w:rsidRPr="00DC3180" w:rsidRDefault="00FE5A9A">
            <w:pPr>
              <w:jc w:val="both"/>
              <w:rPr>
                <w:rFonts w:ascii="Arial" w:hAnsi="Arial"/>
              </w:rPr>
            </w:pPr>
            <w:r w:rsidRPr="00187F1F">
              <w:t>T</w:t>
            </w:r>
            <w:r w:rsidRPr="006943D5">
              <w:rPr>
                <w:vertAlign w:val="subscript"/>
              </w:rPr>
              <w:t>4</w:t>
            </w:r>
          </w:p>
        </w:tc>
        <w:tc>
          <w:tcPr>
            <w:tcW w:w="2240" w:type="dxa"/>
            <w:tcBorders>
              <w:top w:val="nil"/>
              <w:bottom w:val="nil"/>
            </w:tcBorders>
          </w:tcPr>
          <w:p w14:paraId="05386042" w14:textId="77777777" w:rsidR="00FE5A9A" w:rsidRPr="006943D5" w:rsidRDefault="00FE5A9A">
            <w:pPr>
              <w:jc w:val="both"/>
              <w:rPr>
                <w:rFonts w:ascii="Arial" w:hAnsi="Arial" w:cs="Arial"/>
              </w:rPr>
            </w:pPr>
            <w:r w:rsidRPr="006943D5">
              <w:rPr>
                <w:rFonts w:ascii="Arial" w:hAnsi="Arial" w:cs="Arial"/>
              </w:rPr>
              <w:t>332.41</w:t>
            </w:r>
            <w:r w:rsidRPr="006943D5">
              <w:rPr>
                <w:rFonts w:ascii="Arial" w:hAnsi="Arial" w:cs="Arial"/>
                <w:vertAlign w:val="superscript"/>
              </w:rPr>
              <w:t>c</w:t>
            </w:r>
          </w:p>
        </w:tc>
        <w:tc>
          <w:tcPr>
            <w:tcW w:w="2126" w:type="dxa"/>
            <w:tcBorders>
              <w:top w:val="nil"/>
              <w:bottom w:val="nil"/>
            </w:tcBorders>
          </w:tcPr>
          <w:p w14:paraId="5ED1707B" w14:textId="77777777" w:rsidR="00FE5A9A" w:rsidRPr="00DC3180" w:rsidRDefault="00FE5A9A">
            <w:pPr>
              <w:jc w:val="both"/>
              <w:rPr>
                <w:rFonts w:ascii="Arial" w:hAnsi="Arial" w:cs="Arial"/>
              </w:rPr>
            </w:pPr>
            <w:r w:rsidRPr="00187F1F">
              <w:t>26.45</w:t>
            </w:r>
            <w:r w:rsidRPr="006943D5">
              <w:rPr>
                <w:vertAlign w:val="superscript"/>
              </w:rPr>
              <w:t>d</w:t>
            </w:r>
          </w:p>
        </w:tc>
        <w:tc>
          <w:tcPr>
            <w:tcW w:w="2096" w:type="dxa"/>
            <w:tcBorders>
              <w:top w:val="nil"/>
              <w:bottom w:val="nil"/>
            </w:tcBorders>
          </w:tcPr>
          <w:p w14:paraId="23D51AD8" w14:textId="77777777" w:rsidR="00FE5A9A" w:rsidRPr="00187F1F" w:rsidRDefault="00FE5A9A">
            <w:pPr>
              <w:jc w:val="both"/>
            </w:pPr>
            <w:r w:rsidRPr="00B646CE">
              <w:rPr>
                <w:rFonts w:ascii="Arial" w:hAnsi="Arial" w:cs="Arial"/>
              </w:rPr>
              <w:t>179.20</w:t>
            </w:r>
            <w:r w:rsidRPr="00B646CE">
              <w:rPr>
                <w:rFonts w:ascii="Arial" w:hAnsi="Arial" w:cs="Arial"/>
                <w:vertAlign w:val="superscript"/>
              </w:rPr>
              <w:t>c</w:t>
            </w:r>
          </w:p>
        </w:tc>
      </w:tr>
      <w:tr w:rsidR="00FE5A9A" w:rsidRPr="00DC3180" w14:paraId="4E4CD3F1" w14:textId="77777777">
        <w:trPr>
          <w:trHeight w:val="257"/>
        </w:trPr>
        <w:tc>
          <w:tcPr>
            <w:tcW w:w="1129" w:type="dxa"/>
            <w:tcBorders>
              <w:top w:val="nil"/>
              <w:bottom w:val="nil"/>
            </w:tcBorders>
          </w:tcPr>
          <w:p w14:paraId="077A0E03" w14:textId="77777777" w:rsidR="00FE5A9A" w:rsidRPr="006943D5" w:rsidRDefault="00FE5A9A">
            <w:pPr>
              <w:jc w:val="both"/>
              <w:rPr>
                <w:rFonts w:ascii="Arial" w:hAnsi="Arial"/>
                <w:vertAlign w:val="subscript"/>
              </w:rPr>
            </w:pPr>
            <w:r>
              <w:rPr>
                <w:rFonts w:ascii="Arial" w:hAnsi="Arial"/>
              </w:rPr>
              <w:t>T</w:t>
            </w:r>
            <w:r>
              <w:rPr>
                <w:rFonts w:ascii="Arial" w:hAnsi="Arial"/>
                <w:vertAlign w:val="subscript"/>
              </w:rPr>
              <w:t>5</w:t>
            </w:r>
          </w:p>
        </w:tc>
        <w:tc>
          <w:tcPr>
            <w:tcW w:w="2240" w:type="dxa"/>
            <w:tcBorders>
              <w:top w:val="nil"/>
              <w:bottom w:val="nil"/>
            </w:tcBorders>
          </w:tcPr>
          <w:p w14:paraId="70784315" w14:textId="77777777" w:rsidR="00FE5A9A" w:rsidRPr="006943D5" w:rsidRDefault="00FE5A9A">
            <w:pPr>
              <w:jc w:val="both"/>
              <w:rPr>
                <w:rFonts w:ascii="Arial" w:hAnsi="Arial" w:cs="Arial"/>
              </w:rPr>
            </w:pPr>
            <w:r w:rsidRPr="006943D5">
              <w:rPr>
                <w:rFonts w:ascii="Arial" w:hAnsi="Arial" w:cs="Arial"/>
              </w:rPr>
              <w:t>357.50</w:t>
            </w:r>
            <w:r w:rsidRPr="006943D5">
              <w:rPr>
                <w:rFonts w:ascii="Arial" w:hAnsi="Arial" w:cs="Arial"/>
                <w:vertAlign w:val="superscript"/>
              </w:rPr>
              <w:t>b</w:t>
            </w:r>
          </w:p>
        </w:tc>
        <w:tc>
          <w:tcPr>
            <w:tcW w:w="2126" w:type="dxa"/>
            <w:tcBorders>
              <w:top w:val="nil"/>
              <w:bottom w:val="nil"/>
            </w:tcBorders>
          </w:tcPr>
          <w:p w14:paraId="50B26D18" w14:textId="77777777" w:rsidR="00FE5A9A" w:rsidRPr="00DC3180" w:rsidRDefault="00FE5A9A">
            <w:pPr>
              <w:jc w:val="both"/>
              <w:rPr>
                <w:rFonts w:ascii="Arial" w:hAnsi="Arial" w:cs="Arial"/>
              </w:rPr>
            </w:pPr>
            <w:r w:rsidRPr="00B646CE">
              <w:rPr>
                <w:rFonts w:ascii="Arial" w:hAnsi="Arial" w:cs="Arial"/>
              </w:rPr>
              <w:t>35.92</w:t>
            </w:r>
            <w:r w:rsidRPr="00B646CE">
              <w:rPr>
                <w:rFonts w:ascii="Arial" w:hAnsi="Arial" w:cs="Arial"/>
                <w:vertAlign w:val="superscript"/>
              </w:rPr>
              <w:t>b</w:t>
            </w:r>
          </w:p>
        </w:tc>
        <w:tc>
          <w:tcPr>
            <w:tcW w:w="2096" w:type="dxa"/>
            <w:tcBorders>
              <w:top w:val="nil"/>
              <w:bottom w:val="nil"/>
            </w:tcBorders>
          </w:tcPr>
          <w:p w14:paraId="68102448" w14:textId="77777777" w:rsidR="00FE5A9A" w:rsidRPr="00B646CE" w:rsidRDefault="00FE5A9A">
            <w:pPr>
              <w:jc w:val="both"/>
              <w:rPr>
                <w:rFonts w:ascii="Arial" w:hAnsi="Arial" w:cs="Arial"/>
              </w:rPr>
            </w:pPr>
            <w:r w:rsidRPr="00B646CE">
              <w:rPr>
                <w:rFonts w:ascii="Arial" w:hAnsi="Arial" w:cs="Arial"/>
              </w:rPr>
              <w:t>201.60</w:t>
            </w:r>
            <w:r w:rsidRPr="00B646CE">
              <w:rPr>
                <w:rFonts w:ascii="Arial" w:hAnsi="Arial" w:cs="Arial"/>
                <w:vertAlign w:val="superscript"/>
              </w:rPr>
              <w:t>b</w:t>
            </w:r>
          </w:p>
        </w:tc>
      </w:tr>
      <w:tr w:rsidR="00FE5A9A" w:rsidRPr="00DC3180" w14:paraId="595FDFF6" w14:textId="77777777">
        <w:trPr>
          <w:trHeight w:val="244"/>
        </w:trPr>
        <w:tc>
          <w:tcPr>
            <w:tcW w:w="1129" w:type="dxa"/>
            <w:tcBorders>
              <w:top w:val="nil"/>
              <w:bottom w:val="single" w:sz="4" w:space="0" w:color="auto"/>
            </w:tcBorders>
          </w:tcPr>
          <w:p w14:paraId="746BB311" w14:textId="77777777" w:rsidR="00FE5A9A" w:rsidRPr="006943D5" w:rsidRDefault="00FE5A9A">
            <w:pPr>
              <w:jc w:val="both"/>
              <w:rPr>
                <w:rFonts w:ascii="Arial" w:hAnsi="Arial"/>
                <w:vertAlign w:val="subscript"/>
              </w:rPr>
            </w:pPr>
            <w:r>
              <w:rPr>
                <w:rFonts w:ascii="Arial" w:hAnsi="Arial"/>
              </w:rPr>
              <w:t>T</w:t>
            </w:r>
            <w:r>
              <w:rPr>
                <w:rFonts w:ascii="Arial" w:hAnsi="Arial"/>
                <w:vertAlign w:val="subscript"/>
              </w:rPr>
              <w:t>6</w:t>
            </w:r>
          </w:p>
        </w:tc>
        <w:tc>
          <w:tcPr>
            <w:tcW w:w="2240" w:type="dxa"/>
            <w:tcBorders>
              <w:top w:val="nil"/>
              <w:bottom w:val="single" w:sz="4" w:space="0" w:color="auto"/>
            </w:tcBorders>
          </w:tcPr>
          <w:p w14:paraId="62C1904E" w14:textId="77777777" w:rsidR="00FE5A9A" w:rsidRPr="006943D5" w:rsidRDefault="00FE5A9A">
            <w:pPr>
              <w:jc w:val="both"/>
              <w:rPr>
                <w:rFonts w:ascii="Arial" w:hAnsi="Arial" w:cs="Arial"/>
              </w:rPr>
            </w:pPr>
            <w:r w:rsidRPr="006943D5">
              <w:rPr>
                <w:rFonts w:ascii="Arial" w:hAnsi="Arial" w:cs="Arial"/>
              </w:rPr>
              <w:t>382.58</w:t>
            </w:r>
            <w:r w:rsidRPr="006943D5">
              <w:rPr>
                <w:rFonts w:ascii="Arial" w:hAnsi="Arial" w:cs="Arial"/>
                <w:vertAlign w:val="superscript"/>
              </w:rPr>
              <w:t>a</w:t>
            </w:r>
          </w:p>
        </w:tc>
        <w:tc>
          <w:tcPr>
            <w:tcW w:w="2126" w:type="dxa"/>
            <w:tcBorders>
              <w:top w:val="nil"/>
              <w:bottom w:val="single" w:sz="4" w:space="0" w:color="auto"/>
            </w:tcBorders>
          </w:tcPr>
          <w:p w14:paraId="36C9E75D" w14:textId="77777777" w:rsidR="00FE5A9A" w:rsidRPr="00DC3180" w:rsidRDefault="00FE5A9A">
            <w:pPr>
              <w:jc w:val="both"/>
              <w:rPr>
                <w:rFonts w:ascii="Arial" w:hAnsi="Arial" w:cs="Arial"/>
              </w:rPr>
            </w:pPr>
            <w:r w:rsidRPr="00B646CE">
              <w:rPr>
                <w:rFonts w:ascii="Arial" w:hAnsi="Arial" w:cs="Arial"/>
              </w:rPr>
              <w:t>42.22</w:t>
            </w:r>
            <w:r w:rsidRPr="00B646CE">
              <w:rPr>
                <w:rFonts w:ascii="Arial" w:hAnsi="Arial" w:cs="Arial"/>
                <w:vertAlign w:val="superscript"/>
              </w:rPr>
              <w:t>a</w:t>
            </w:r>
          </w:p>
        </w:tc>
        <w:tc>
          <w:tcPr>
            <w:tcW w:w="2096" w:type="dxa"/>
            <w:tcBorders>
              <w:top w:val="nil"/>
              <w:bottom w:val="single" w:sz="4" w:space="0" w:color="auto"/>
            </w:tcBorders>
          </w:tcPr>
          <w:p w14:paraId="7ABDAB41" w14:textId="77777777" w:rsidR="00FE5A9A" w:rsidRPr="00B646CE" w:rsidRDefault="00FE5A9A">
            <w:pPr>
              <w:jc w:val="both"/>
              <w:rPr>
                <w:rFonts w:ascii="Arial" w:hAnsi="Arial" w:cs="Arial"/>
              </w:rPr>
            </w:pPr>
            <w:r w:rsidRPr="00B646CE">
              <w:rPr>
                <w:rFonts w:ascii="Arial" w:hAnsi="Arial" w:cs="Arial"/>
              </w:rPr>
              <w:t>224.00</w:t>
            </w:r>
            <w:r w:rsidRPr="00B646CE">
              <w:rPr>
                <w:rFonts w:ascii="Arial" w:hAnsi="Arial" w:cs="Arial"/>
                <w:vertAlign w:val="superscript"/>
              </w:rPr>
              <w:t>a</w:t>
            </w:r>
          </w:p>
        </w:tc>
      </w:tr>
      <w:tr w:rsidR="00FE5A9A" w:rsidRPr="00DC3180" w14:paraId="0FBAAFF0" w14:textId="77777777">
        <w:trPr>
          <w:trHeight w:val="257"/>
        </w:trPr>
        <w:tc>
          <w:tcPr>
            <w:tcW w:w="1129" w:type="dxa"/>
            <w:tcBorders>
              <w:top w:val="nil"/>
              <w:bottom w:val="single" w:sz="4" w:space="0" w:color="auto"/>
            </w:tcBorders>
          </w:tcPr>
          <w:p w14:paraId="4E1FCA3E" w14:textId="77777777" w:rsidR="00FE5A9A" w:rsidRPr="006943D5" w:rsidRDefault="00FE5A9A">
            <w:pPr>
              <w:jc w:val="both"/>
              <w:rPr>
                <w:rFonts w:ascii="Arial" w:hAnsi="Arial"/>
              </w:rPr>
            </w:pPr>
            <w:r>
              <w:rPr>
                <w:rFonts w:ascii="Arial" w:hAnsi="Arial"/>
              </w:rPr>
              <w:t>SE(m)</w:t>
            </w:r>
          </w:p>
        </w:tc>
        <w:tc>
          <w:tcPr>
            <w:tcW w:w="2240" w:type="dxa"/>
            <w:tcBorders>
              <w:top w:val="nil"/>
              <w:bottom w:val="single" w:sz="4" w:space="0" w:color="auto"/>
            </w:tcBorders>
          </w:tcPr>
          <w:p w14:paraId="349E7940" w14:textId="77777777" w:rsidR="00FE5A9A" w:rsidRPr="006943D5" w:rsidRDefault="00FE5A9A">
            <w:pPr>
              <w:jc w:val="both"/>
              <w:rPr>
                <w:rFonts w:ascii="Arial" w:hAnsi="Arial" w:cs="Arial"/>
              </w:rPr>
            </w:pPr>
            <w:r w:rsidRPr="006943D5">
              <w:rPr>
                <w:rFonts w:ascii="Arial" w:hAnsi="Arial" w:cs="Arial"/>
              </w:rPr>
              <w:t>4.721</w:t>
            </w:r>
          </w:p>
        </w:tc>
        <w:tc>
          <w:tcPr>
            <w:tcW w:w="2126" w:type="dxa"/>
            <w:tcBorders>
              <w:top w:val="nil"/>
              <w:bottom w:val="single" w:sz="4" w:space="0" w:color="auto"/>
            </w:tcBorders>
          </w:tcPr>
          <w:p w14:paraId="3E9E6617" w14:textId="77777777" w:rsidR="00FE5A9A" w:rsidRPr="00DC3180" w:rsidRDefault="00FE5A9A">
            <w:pPr>
              <w:jc w:val="both"/>
              <w:rPr>
                <w:rFonts w:ascii="Arial" w:hAnsi="Arial" w:cs="Arial"/>
              </w:rPr>
            </w:pPr>
            <w:r w:rsidRPr="00B646CE">
              <w:rPr>
                <w:rFonts w:ascii="Arial" w:hAnsi="Arial" w:cs="Arial"/>
              </w:rPr>
              <w:t>0.184</w:t>
            </w:r>
          </w:p>
        </w:tc>
        <w:tc>
          <w:tcPr>
            <w:tcW w:w="2096" w:type="dxa"/>
            <w:tcBorders>
              <w:top w:val="nil"/>
              <w:bottom w:val="single" w:sz="4" w:space="0" w:color="auto"/>
            </w:tcBorders>
          </w:tcPr>
          <w:p w14:paraId="5DBF5207" w14:textId="77777777" w:rsidR="00FE5A9A" w:rsidRPr="00B646CE" w:rsidRDefault="00FE5A9A">
            <w:pPr>
              <w:jc w:val="both"/>
              <w:rPr>
                <w:rFonts w:ascii="Arial" w:hAnsi="Arial" w:cs="Arial"/>
              </w:rPr>
            </w:pPr>
            <w:r w:rsidRPr="00B646CE">
              <w:rPr>
                <w:rFonts w:ascii="Arial" w:hAnsi="Arial" w:cs="Arial"/>
              </w:rPr>
              <w:t>4.61</w:t>
            </w:r>
          </w:p>
        </w:tc>
      </w:tr>
      <w:tr w:rsidR="00FE5A9A" w:rsidRPr="00DC3180" w14:paraId="18F56609" w14:textId="77777777">
        <w:trPr>
          <w:trHeight w:val="257"/>
        </w:trPr>
        <w:tc>
          <w:tcPr>
            <w:tcW w:w="1129" w:type="dxa"/>
            <w:tcBorders>
              <w:top w:val="nil"/>
              <w:bottom w:val="single" w:sz="4" w:space="0" w:color="auto"/>
            </w:tcBorders>
          </w:tcPr>
          <w:p w14:paraId="07FC320E" w14:textId="77777777" w:rsidR="00FE5A9A" w:rsidRPr="00DC3180" w:rsidRDefault="00FE5A9A">
            <w:pPr>
              <w:jc w:val="both"/>
              <w:rPr>
                <w:rFonts w:ascii="Arial" w:hAnsi="Arial"/>
              </w:rPr>
            </w:pPr>
            <w:r>
              <w:rPr>
                <w:rFonts w:ascii="Arial" w:hAnsi="Arial"/>
              </w:rPr>
              <w:t>CD</w:t>
            </w:r>
          </w:p>
        </w:tc>
        <w:tc>
          <w:tcPr>
            <w:tcW w:w="2240" w:type="dxa"/>
            <w:tcBorders>
              <w:top w:val="nil"/>
              <w:bottom w:val="single" w:sz="4" w:space="0" w:color="auto"/>
            </w:tcBorders>
          </w:tcPr>
          <w:p w14:paraId="7118E879" w14:textId="77777777" w:rsidR="00FE5A9A" w:rsidRPr="006943D5" w:rsidRDefault="00FE5A9A">
            <w:pPr>
              <w:jc w:val="both"/>
              <w:rPr>
                <w:rFonts w:ascii="Arial" w:hAnsi="Arial" w:cs="Arial"/>
              </w:rPr>
            </w:pPr>
            <w:r w:rsidRPr="006943D5">
              <w:rPr>
                <w:rFonts w:ascii="Arial" w:hAnsi="Arial" w:cs="Arial"/>
              </w:rPr>
              <w:t>14.23</w:t>
            </w:r>
          </w:p>
        </w:tc>
        <w:tc>
          <w:tcPr>
            <w:tcW w:w="2126" w:type="dxa"/>
            <w:tcBorders>
              <w:top w:val="nil"/>
              <w:bottom w:val="single" w:sz="4" w:space="0" w:color="auto"/>
            </w:tcBorders>
          </w:tcPr>
          <w:p w14:paraId="639B5C4C" w14:textId="77777777" w:rsidR="00FE5A9A" w:rsidRPr="00DC3180" w:rsidRDefault="00FE5A9A">
            <w:pPr>
              <w:jc w:val="both"/>
              <w:rPr>
                <w:rFonts w:ascii="Arial" w:hAnsi="Arial" w:cs="Arial"/>
              </w:rPr>
            </w:pPr>
            <w:r w:rsidRPr="00B646CE">
              <w:rPr>
                <w:rFonts w:ascii="Arial" w:hAnsi="Arial" w:cs="Arial"/>
              </w:rPr>
              <w:t>0.555</w:t>
            </w:r>
          </w:p>
        </w:tc>
        <w:tc>
          <w:tcPr>
            <w:tcW w:w="2096" w:type="dxa"/>
            <w:tcBorders>
              <w:top w:val="nil"/>
              <w:bottom w:val="single" w:sz="4" w:space="0" w:color="auto"/>
            </w:tcBorders>
          </w:tcPr>
          <w:p w14:paraId="5A30B0A4" w14:textId="77777777" w:rsidR="00FE5A9A" w:rsidRPr="00B646CE" w:rsidRDefault="00FE5A9A">
            <w:pPr>
              <w:jc w:val="both"/>
              <w:rPr>
                <w:rFonts w:ascii="Arial" w:hAnsi="Arial" w:cs="Arial"/>
              </w:rPr>
            </w:pPr>
            <w:r w:rsidRPr="00B646CE">
              <w:rPr>
                <w:rFonts w:ascii="Arial" w:hAnsi="Arial" w:cs="Arial"/>
              </w:rPr>
              <w:t>13.897</w:t>
            </w:r>
          </w:p>
        </w:tc>
      </w:tr>
      <w:tr w:rsidR="00FE5A9A" w:rsidRPr="00DC3180" w14:paraId="58C8134E" w14:textId="77777777">
        <w:trPr>
          <w:trHeight w:val="257"/>
        </w:trPr>
        <w:tc>
          <w:tcPr>
            <w:tcW w:w="1129" w:type="dxa"/>
            <w:tcBorders>
              <w:top w:val="nil"/>
              <w:bottom w:val="single" w:sz="4" w:space="0" w:color="auto"/>
            </w:tcBorders>
          </w:tcPr>
          <w:p w14:paraId="195834AC" w14:textId="77777777" w:rsidR="00FE5A9A" w:rsidRPr="00DC3180" w:rsidRDefault="00FE5A9A">
            <w:pPr>
              <w:jc w:val="both"/>
              <w:rPr>
                <w:rFonts w:ascii="Arial" w:hAnsi="Arial"/>
              </w:rPr>
            </w:pPr>
            <w:r>
              <w:rPr>
                <w:rFonts w:ascii="Arial" w:hAnsi="Arial"/>
              </w:rPr>
              <w:t>CV</w:t>
            </w:r>
          </w:p>
        </w:tc>
        <w:tc>
          <w:tcPr>
            <w:tcW w:w="2240" w:type="dxa"/>
            <w:tcBorders>
              <w:top w:val="nil"/>
              <w:bottom w:val="single" w:sz="4" w:space="0" w:color="auto"/>
            </w:tcBorders>
          </w:tcPr>
          <w:p w14:paraId="67E9764F" w14:textId="77777777" w:rsidR="00FE5A9A" w:rsidRPr="006943D5" w:rsidRDefault="00FE5A9A">
            <w:pPr>
              <w:jc w:val="both"/>
              <w:rPr>
                <w:rFonts w:ascii="Arial" w:hAnsi="Arial" w:cs="Arial"/>
              </w:rPr>
            </w:pPr>
            <w:r w:rsidRPr="006943D5">
              <w:rPr>
                <w:rFonts w:ascii="Arial" w:hAnsi="Arial" w:cs="Arial"/>
              </w:rPr>
              <w:t>2.914</w:t>
            </w:r>
          </w:p>
        </w:tc>
        <w:tc>
          <w:tcPr>
            <w:tcW w:w="2126" w:type="dxa"/>
            <w:tcBorders>
              <w:top w:val="nil"/>
              <w:bottom w:val="single" w:sz="4" w:space="0" w:color="auto"/>
            </w:tcBorders>
          </w:tcPr>
          <w:p w14:paraId="026CAE03" w14:textId="77777777" w:rsidR="00FE5A9A" w:rsidRPr="00DC3180" w:rsidRDefault="00FE5A9A">
            <w:pPr>
              <w:jc w:val="both"/>
              <w:rPr>
                <w:rFonts w:ascii="Arial" w:hAnsi="Arial" w:cs="Arial"/>
              </w:rPr>
            </w:pPr>
            <w:r w:rsidRPr="00B646CE">
              <w:rPr>
                <w:rFonts w:ascii="Arial" w:hAnsi="Arial" w:cs="Arial"/>
              </w:rPr>
              <w:t>1.256</w:t>
            </w:r>
          </w:p>
        </w:tc>
        <w:tc>
          <w:tcPr>
            <w:tcW w:w="2096" w:type="dxa"/>
            <w:tcBorders>
              <w:top w:val="nil"/>
              <w:bottom w:val="single" w:sz="4" w:space="0" w:color="auto"/>
            </w:tcBorders>
          </w:tcPr>
          <w:p w14:paraId="1E5C5F7D" w14:textId="77777777" w:rsidR="00FE5A9A" w:rsidRPr="00B646CE" w:rsidRDefault="00FE5A9A">
            <w:pPr>
              <w:jc w:val="both"/>
              <w:rPr>
                <w:rFonts w:ascii="Arial" w:hAnsi="Arial" w:cs="Arial"/>
              </w:rPr>
            </w:pPr>
            <w:r w:rsidRPr="00B646CE">
              <w:rPr>
                <w:rFonts w:ascii="Arial" w:hAnsi="Arial" w:cs="Arial"/>
              </w:rPr>
              <w:t>5.369</w:t>
            </w:r>
          </w:p>
        </w:tc>
      </w:tr>
    </w:tbl>
    <w:p w14:paraId="74B9E9D2" w14:textId="77777777" w:rsidR="00FE5A9A" w:rsidRDefault="00FE5A9A" w:rsidP="00441B6F">
      <w:pPr>
        <w:pStyle w:val="Body"/>
        <w:spacing w:after="0"/>
        <w:rPr>
          <w:rFonts w:ascii="Arial" w:hAnsi="Arial" w:cs="Arial"/>
        </w:rPr>
      </w:pPr>
    </w:p>
    <w:p w14:paraId="04CEDB75" w14:textId="77777777" w:rsidR="00FE5A9A" w:rsidRDefault="00FE5A9A" w:rsidP="00441B6F">
      <w:pPr>
        <w:pStyle w:val="Body"/>
        <w:spacing w:after="0"/>
        <w:rPr>
          <w:rFonts w:ascii="Arial" w:hAnsi="Arial" w:cs="Arial"/>
        </w:rPr>
      </w:pPr>
      <w:r w:rsidRPr="00FE5A9A">
        <w:rPr>
          <w:rFonts w:ascii="Arial" w:hAnsi="Arial" w:cs="Arial"/>
          <w:b/>
          <w:bCs/>
          <w:sz w:val="22"/>
          <w:szCs w:val="22"/>
        </w:rPr>
        <w:t>3.2 AVAILABLE P</w:t>
      </w:r>
      <w:r>
        <w:rPr>
          <w:rFonts w:ascii="Arial" w:hAnsi="Arial" w:cs="Arial"/>
        </w:rPr>
        <w:t xml:space="preserve"> </w:t>
      </w:r>
    </w:p>
    <w:p w14:paraId="3CBDBBC7" w14:textId="62D8D50D" w:rsidR="00FE5A9A" w:rsidRDefault="00FE5A9A" w:rsidP="00FE5A9A">
      <w:pPr>
        <w:pStyle w:val="Body"/>
        <w:rPr>
          <w:rFonts w:ascii="Arial" w:hAnsi="Arial" w:cs="Arial"/>
        </w:rPr>
      </w:pPr>
      <w:r w:rsidRPr="00FE5A9A">
        <w:rPr>
          <w:rFonts w:ascii="Arial" w:hAnsi="Arial" w:cs="Arial"/>
        </w:rPr>
        <w:t>After the crop harvest, the highest P levels in the soil were recorded in treatment T6 (42.22 kg ha</w:t>
      </w:r>
      <w:r w:rsidRPr="00A72C75">
        <w:rPr>
          <w:rFonts w:ascii="Arial" w:hAnsi="Arial" w:cs="Arial"/>
          <w:vertAlign w:val="superscript"/>
        </w:rPr>
        <w:t>-1</w:t>
      </w:r>
      <w:r w:rsidRPr="00FE5A9A">
        <w:rPr>
          <w:rFonts w:ascii="Arial" w:hAnsi="Arial" w:cs="Arial"/>
        </w:rPr>
        <w:t>) and the lowest value was registered in treatment T</w:t>
      </w:r>
      <w:r w:rsidRPr="00A72C75">
        <w:rPr>
          <w:rFonts w:ascii="Arial" w:hAnsi="Arial" w:cs="Arial"/>
          <w:vertAlign w:val="subscript"/>
        </w:rPr>
        <w:t>1</w:t>
      </w:r>
      <w:r w:rsidRPr="00FE5A9A">
        <w:rPr>
          <w:rFonts w:ascii="Arial" w:hAnsi="Arial" w:cs="Arial"/>
        </w:rPr>
        <w:t xml:space="preserve"> (18.66 kg ha</w:t>
      </w:r>
      <w:r w:rsidRPr="00A72C75">
        <w:rPr>
          <w:rFonts w:ascii="Arial" w:hAnsi="Arial" w:cs="Arial"/>
          <w:vertAlign w:val="superscript"/>
        </w:rPr>
        <w:t>-1</w:t>
      </w:r>
      <w:r w:rsidRPr="00FE5A9A">
        <w:rPr>
          <w:rFonts w:ascii="Arial" w:hAnsi="Arial" w:cs="Arial"/>
        </w:rPr>
        <w:t xml:space="preserve">), which is almost </w:t>
      </w:r>
      <w:r w:rsidRPr="00FE5A9A">
        <w:rPr>
          <w:rFonts w:ascii="Arial" w:hAnsi="Arial" w:cs="Arial"/>
        </w:rPr>
        <w:lastRenderedPageBreak/>
        <w:t>double the initial value</w:t>
      </w:r>
      <w:r w:rsidR="00146EE5">
        <w:rPr>
          <w:rFonts w:ascii="Arial" w:hAnsi="Arial" w:cs="Arial"/>
        </w:rPr>
        <w:t xml:space="preserve"> as depicted in table 2</w:t>
      </w:r>
      <w:r w:rsidRPr="00FE5A9A">
        <w:rPr>
          <w:rFonts w:ascii="Arial" w:hAnsi="Arial" w:cs="Arial"/>
        </w:rPr>
        <w:t xml:space="preserve">. Significant differences were observed between all the treatments. The increase in the P levels observed might be due to the combined application of organic and inorganic nutrients and this would have helped in the mineralization of P. </w:t>
      </w:r>
      <w:r w:rsidR="008F6C85">
        <w:rPr>
          <w:rFonts w:ascii="Arial" w:hAnsi="Arial" w:cs="Arial"/>
        </w:rPr>
        <w:t>[1</w:t>
      </w:r>
      <w:r w:rsidR="008B3C4C">
        <w:rPr>
          <w:rFonts w:ascii="Arial" w:hAnsi="Arial" w:cs="Arial"/>
        </w:rPr>
        <w:t>4</w:t>
      </w:r>
      <w:r w:rsidR="008F6C85">
        <w:rPr>
          <w:rFonts w:ascii="Arial" w:hAnsi="Arial" w:cs="Arial"/>
        </w:rPr>
        <w:t xml:space="preserve">] </w:t>
      </w:r>
      <w:r w:rsidR="004805E3">
        <w:rPr>
          <w:rFonts w:ascii="Arial" w:hAnsi="Arial" w:cs="Arial"/>
        </w:rPr>
        <w:t>(</w:t>
      </w:r>
      <w:r w:rsidRPr="00FE5A9A">
        <w:rPr>
          <w:rFonts w:ascii="Arial" w:hAnsi="Arial" w:cs="Arial"/>
        </w:rPr>
        <w:t>Arsalan et al.</w:t>
      </w:r>
      <w:r w:rsidR="004805E3">
        <w:rPr>
          <w:rFonts w:ascii="Arial" w:hAnsi="Arial" w:cs="Arial"/>
        </w:rPr>
        <w:t xml:space="preserve">, </w:t>
      </w:r>
      <w:r w:rsidRPr="00FE5A9A">
        <w:rPr>
          <w:rFonts w:ascii="Arial" w:hAnsi="Arial" w:cs="Arial"/>
        </w:rPr>
        <w:t xml:space="preserve">2024) and </w:t>
      </w:r>
      <w:r w:rsidR="008F6C85">
        <w:rPr>
          <w:rFonts w:ascii="Arial" w:hAnsi="Arial" w:cs="Arial"/>
        </w:rPr>
        <w:t xml:space="preserve">[12] </w:t>
      </w:r>
      <w:r w:rsidR="004805E3">
        <w:rPr>
          <w:rFonts w:ascii="Arial" w:hAnsi="Arial" w:cs="Arial"/>
        </w:rPr>
        <w:t>(</w:t>
      </w:r>
      <w:r w:rsidRPr="00FE5A9A">
        <w:rPr>
          <w:rFonts w:ascii="Arial" w:hAnsi="Arial" w:cs="Arial"/>
        </w:rPr>
        <w:t xml:space="preserve">Tiwari </w:t>
      </w:r>
      <w:r w:rsidRPr="0023152F">
        <w:rPr>
          <w:rFonts w:ascii="Arial" w:hAnsi="Arial" w:cs="Arial"/>
          <w:i/>
          <w:iCs/>
        </w:rPr>
        <w:t>et al</w:t>
      </w:r>
      <w:r w:rsidRPr="00FE5A9A">
        <w:rPr>
          <w:rFonts w:ascii="Arial" w:hAnsi="Arial" w:cs="Arial"/>
        </w:rPr>
        <w:t>.</w:t>
      </w:r>
      <w:r w:rsidR="004805E3">
        <w:rPr>
          <w:rFonts w:ascii="Arial" w:hAnsi="Arial" w:cs="Arial"/>
        </w:rPr>
        <w:t>,</w:t>
      </w:r>
      <w:r w:rsidRPr="00FE5A9A">
        <w:rPr>
          <w:rFonts w:ascii="Arial" w:hAnsi="Arial" w:cs="Arial"/>
        </w:rPr>
        <w:t xml:space="preserve"> 2024) reported a similar trend. In addition to serving as a readily available source of nutrients to the crop, the application of FYM might have aided in solubilizing the immobile phosphorous which is otherwise insoluble, through the release of different organic acids produced by its decomposition </w:t>
      </w:r>
      <w:r w:rsidR="008F6C85">
        <w:rPr>
          <w:rFonts w:ascii="Arial" w:hAnsi="Arial" w:cs="Arial"/>
        </w:rPr>
        <w:t>[1</w:t>
      </w:r>
      <w:r w:rsidR="008B3C4C">
        <w:rPr>
          <w:rFonts w:ascii="Arial" w:hAnsi="Arial" w:cs="Arial"/>
        </w:rPr>
        <w:t>5</w:t>
      </w:r>
      <w:r w:rsidR="008F6C85">
        <w:rPr>
          <w:rFonts w:ascii="Arial" w:hAnsi="Arial" w:cs="Arial"/>
        </w:rPr>
        <w:t xml:space="preserve">] </w:t>
      </w:r>
      <w:r w:rsidRPr="00FE5A9A">
        <w:rPr>
          <w:rFonts w:ascii="Arial" w:hAnsi="Arial" w:cs="Arial"/>
        </w:rPr>
        <w:t xml:space="preserve">(Thakur </w:t>
      </w:r>
      <w:r w:rsidRPr="0023152F">
        <w:rPr>
          <w:rFonts w:ascii="Arial" w:hAnsi="Arial" w:cs="Arial"/>
          <w:i/>
          <w:iCs/>
        </w:rPr>
        <w:t>et al</w:t>
      </w:r>
      <w:r w:rsidRPr="00FE5A9A">
        <w:rPr>
          <w:rFonts w:ascii="Arial" w:hAnsi="Arial" w:cs="Arial"/>
        </w:rPr>
        <w:t>., 2011).</w:t>
      </w:r>
      <w:r w:rsidR="007E753F">
        <w:rPr>
          <w:rFonts w:ascii="Arial" w:hAnsi="Arial" w:cs="Arial"/>
        </w:rPr>
        <w:t xml:space="preserve"> [16] </w:t>
      </w:r>
      <w:r w:rsidR="00C30965">
        <w:rPr>
          <w:rFonts w:ascii="Arial" w:hAnsi="Arial" w:cs="Arial"/>
        </w:rPr>
        <w:t xml:space="preserve">Eunice </w:t>
      </w:r>
      <w:r w:rsidR="00C30965" w:rsidRPr="00B54833">
        <w:rPr>
          <w:rFonts w:ascii="Arial" w:hAnsi="Arial" w:cs="Arial"/>
          <w:i/>
          <w:iCs/>
        </w:rPr>
        <w:t>et</w:t>
      </w:r>
      <w:r w:rsidR="00C30965">
        <w:rPr>
          <w:rFonts w:ascii="Arial" w:hAnsi="Arial" w:cs="Arial"/>
        </w:rPr>
        <w:t xml:space="preserve"> </w:t>
      </w:r>
      <w:r w:rsidR="00C30965" w:rsidRPr="00B54833">
        <w:rPr>
          <w:rFonts w:ascii="Arial" w:hAnsi="Arial" w:cs="Arial"/>
          <w:i/>
          <w:iCs/>
        </w:rPr>
        <w:t>al</w:t>
      </w:r>
      <w:r w:rsidR="00C30965">
        <w:rPr>
          <w:rFonts w:ascii="Arial" w:hAnsi="Arial" w:cs="Arial"/>
        </w:rPr>
        <w:t xml:space="preserve">., 2023 </w:t>
      </w:r>
      <w:r w:rsidR="007E753F">
        <w:rPr>
          <w:rFonts w:ascii="Arial" w:hAnsi="Arial" w:cs="Arial"/>
        </w:rPr>
        <w:t xml:space="preserve">too reported an improved level of soil P after harvest in </w:t>
      </w:r>
      <w:proofErr w:type="spellStart"/>
      <w:r w:rsidR="00C30965">
        <w:rPr>
          <w:rFonts w:ascii="Arial" w:hAnsi="Arial" w:cs="Arial"/>
        </w:rPr>
        <w:t>amaranthus</w:t>
      </w:r>
      <w:proofErr w:type="spellEnd"/>
      <w:r w:rsidR="00C30965">
        <w:rPr>
          <w:rFonts w:ascii="Arial" w:hAnsi="Arial" w:cs="Arial"/>
        </w:rPr>
        <w:t>.</w:t>
      </w:r>
    </w:p>
    <w:p w14:paraId="65D03380" w14:textId="77777777" w:rsidR="00FE5A9A" w:rsidRDefault="00FE5A9A" w:rsidP="00FE5A9A">
      <w:pPr>
        <w:pStyle w:val="Body"/>
        <w:rPr>
          <w:rFonts w:ascii="Arial" w:hAnsi="Arial" w:cs="Arial"/>
          <w:b/>
          <w:bCs/>
          <w:sz w:val="22"/>
          <w:szCs w:val="22"/>
        </w:rPr>
      </w:pPr>
      <w:r w:rsidRPr="00FE5A9A">
        <w:rPr>
          <w:rFonts w:ascii="Arial" w:hAnsi="Arial" w:cs="Arial"/>
          <w:b/>
          <w:bCs/>
          <w:sz w:val="22"/>
          <w:szCs w:val="22"/>
        </w:rPr>
        <w:t>3.3 AVAILABLE K</w:t>
      </w:r>
    </w:p>
    <w:p w14:paraId="17A1203C" w14:textId="3F2AF4E6" w:rsidR="00FE5A9A" w:rsidRDefault="00FE5A9A" w:rsidP="00FE5A9A">
      <w:pPr>
        <w:pStyle w:val="Body"/>
        <w:rPr>
          <w:rFonts w:ascii="Arial" w:hAnsi="Arial" w:cs="Arial"/>
        </w:rPr>
      </w:pPr>
      <w:r w:rsidRPr="00FE5A9A">
        <w:rPr>
          <w:rFonts w:ascii="Arial" w:hAnsi="Arial" w:cs="Arial"/>
        </w:rPr>
        <w:t>The available K status in the soil samples of different treatments ranged between 126 and 224 kg ha</w:t>
      </w:r>
      <w:r w:rsidRPr="008F6C85">
        <w:rPr>
          <w:rFonts w:ascii="Arial" w:hAnsi="Arial" w:cs="Arial"/>
          <w:vertAlign w:val="superscript"/>
        </w:rPr>
        <w:t>-1</w:t>
      </w:r>
      <w:r w:rsidR="00146EE5">
        <w:rPr>
          <w:rFonts w:ascii="Arial" w:hAnsi="Arial" w:cs="Arial"/>
          <w:vertAlign w:val="superscript"/>
        </w:rPr>
        <w:t xml:space="preserve"> </w:t>
      </w:r>
      <w:r w:rsidR="00146EE5">
        <w:rPr>
          <w:rFonts w:ascii="Arial" w:hAnsi="Arial" w:cs="Arial"/>
        </w:rPr>
        <w:t xml:space="preserve">as shown in </w:t>
      </w:r>
      <w:r w:rsidR="00B1659F">
        <w:rPr>
          <w:rFonts w:ascii="Arial" w:hAnsi="Arial" w:cs="Arial"/>
        </w:rPr>
        <w:t>T</w:t>
      </w:r>
      <w:r w:rsidR="00146EE5">
        <w:rPr>
          <w:rFonts w:ascii="Arial" w:hAnsi="Arial" w:cs="Arial"/>
        </w:rPr>
        <w:t>able 2</w:t>
      </w:r>
      <w:r w:rsidRPr="00FE5A9A">
        <w:rPr>
          <w:rFonts w:ascii="Arial" w:hAnsi="Arial" w:cs="Arial"/>
        </w:rPr>
        <w:t xml:space="preserve">. The post-harvest soils showed an enhancement in the K levels compared to the initial K. The supply of FYM along with inorganic nutrient supplements might have increased the availability of K in the soil. </w:t>
      </w:r>
      <w:r w:rsidR="007E753F">
        <w:rPr>
          <w:rFonts w:ascii="Arial" w:hAnsi="Arial" w:cs="Arial"/>
        </w:rPr>
        <w:t xml:space="preserve">[17] </w:t>
      </w:r>
      <w:r w:rsidR="00C30965">
        <w:rPr>
          <w:rFonts w:ascii="Arial" w:hAnsi="Arial" w:cs="Arial"/>
        </w:rPr>
        <w:t xml:space="preserve">Santosh, 2022 </w:t>
      </w:r>
      <w:r w:rsidR="007E753F">
        <w:rPr>
          <w:rFonts w:ascii="Arial" w:hAnsi="Arial" w:cs="Arial"/>
        </w:rPr>
        <w:t>observed a comparable trend in</w:t>
      </w:r>
      <w:r w:rsidR="00C30965">
        <w:rPr>
          <w:rFonts w:ascii="Arial" w:hAnsi="Arial" w:cs="Arial"/>
        </w:rPr>
        <w:t xml:space="preserve"> oriental pickling melon</w:t>
      </w:r>
      <w:r w:rsidR="007E753F">
        <w:rPr>
          <w:rFonts w:ascii="Arial" w:hAnsi="Arial" w:cs="Arial"/>
        </w:rPr>
        <w:t xml:space="preserve">. </w:t>
      </w:r>
      <w:r w:rsidRPr="00FE5A9A">
        <w:rPr>
          <w:rFonts w:ascii="Arial" w:hAnsi="Arial" w:cs="Arial"/>
        </w:rPr>
        <w:t>In the organically managed treatment T</w:t>
      </w:r>
      <w:r w:rsidRPr="00A72C75">
        <w:rPr>
          <w:rFonts w:ascii="Arial" w:hAnsi="Arial" w:cs="Arial"/>
          <w:vertAlign w:val="subscript"/>
        </w:rPr>
        <w:t>1</w:t>
      </w:r>
      <w:r w:rsidRPr="00FE5A9A">
        <w:rPr>
          <w:rFonts w:ascii="Arial" w:hAnsi="Arial" w:cs="Arial"/>
        </w:rPr>
        <w:t>, where SOP (K</w:t>
      </w:r>
      <w:r w:rsidRPr="00A72C75">
        <w:rPr>
          <w:rFonts w:ascii="Arial" w:hAnsi="Arial" w:cs="Arial"/>
          <w:vertAlign w:val="subscript"/>
        </w:rPr>
        <w:t>2</w:t>
      </w:r>
      <w:r w:rsidRPr="00FE5A9A">
        <w:rPr>
          <w:rFonts w:ascii="Arial" w:hAnsi="Arial" w:cs="Arial"/>
        </w:rPr>
        <w:t>SO</w:t>
      </w:r>
      <w:r w:rsidRPr="00A72C75">
        <w:rPr>
          <w:rFonts w:ascii="Arial" w:hAnsi="Arial" w:cs="Arial"/>
          <w:vertAlign w:val="subscript"/>
        </w:rPr>
        <w:t>4</w:t>
      </w:r>
      <w:r w:rsidRPr="00FE5A9A">
        <w:rPr>
          <w:rFonts w:ascii="Arial" w:hAnsi="Arial" w:cs="Arial"/>
        </w:rPr>
        <w:t>) was the major source of K, a higher amount of organic clay complexes formed, likely due to the supply of FYM, vermicompost, bonemeal, and neem cake, which might have played a role in retaining K.</w:t>
      </w:r>
    </w:p>
    <w:p w14:paraId="0C8D31BB" w14:textId="4636C1FC" w:rsidR="00FE5A9A" w:rsidRPr="00FE5A9A" w:rsidRDefault="00FE5A9A" w:rsidP="00FE5A9A">
      <w:pPr>
        <w:pStyle w:val="Body"/>
        <w:rPr>
          <w:rFonts w:ascii="Arial" w:hAnsi="Arial" w:cs="Arial"/>
          <w:b/>
          <w:bCs/>
          <w:sz w:val="22"/>
          <w:szCs w:val="22"/>
        </w:rPr>
      </w:pPr>
      <w:r w:rsidRPr="00FE5A9A">
        <w:rPr>
          <w:rFonts w:ascii="Arial" w:hAnsi="Arial" w:cs="Arial"/>
          <w:b/>
          <w:bCs/>
          <w:sz w:val="22"/>
          <w:szCs w:val="22"/>
        </w:rPr>
        <w:t>3.4 YIELD ATTRIBUTES</w:t>
      </w:r>
    </w:p>
    <w:p w14:paraId="06F94917" w14:textId="07BA351A" w:rsidR="00FE5A9A" w:rsidRDefault="00FE5A9A" w:rsidP="00FE5A9A">
      <w:pPr>
        <w:pStyle w:val="Body"/>
        <w:rPr>
          <w:rFonts w:ascii="Arial" w:hAnsi="Arial" w:cs="Arial"/>
        </w:rPr>
      </w:pPr>
      <w:r w:rsidRPr="00FE5A9A">
        <w:rPr>
          <w:rFonts w:ascii="Arial" w:hAnsi="Arial" w:cs="Arial"/>
        </w:rPr>
        <w:t>Findings from the data revealed a significant effect of various treatments on the yield attributes viz., number of pods per plant, number of seeds per pod, test weight (100 kernel weight) and yield plot</w:t>
      </w:r>
      <w:r w:rsidRPr="00A72C75">
        <w:rPr>
          <w:rFonts w:ascii="Arial" w:hAnsi="Arial" w:cs="Arial"/>
          <w:vertAlign w:val="superscript"/>
        </w:rPr>
        <w:t>-1</w:t>
      </w:r>
      <w:r w:rsidRPr="00FE5A9A">
        <w:rPr>
          <w:rFonts w:ascii="Arial" w:hAnsi="Arial" w:cs="Arial"/>
        </w:rPr>
        <w:t xml:space="preserve"> (t ha</w:t>
      </w:r>
      <w:r w:rsidRPr="00A72C75">
        <w:rPr>
          <w:rFonts w:ascii="Arial" w:hAnsi="Arial" w:cs="Arial"/>
          <w:vertAlign w:val="superscript"/>
        </w:rPr>
        <w:t>-1</w:t>
      </w:r>
      <w:r w:rsidRPr="00FE5A9A">
        <w:rPr>
          <w:rFonts w:ascii="Arial" w:hAnsi="Arial" w:cs="Arial"/>
        </w:rPr>
        <w:t>)</w:t>
      </w:r>
      <w:r w:rsidR="00146EE5">
        <w:rPr>
          <w:rFonts w:ascii="Arial" w:hAnsi="Arial" w:cs="Arial"/>
        </w:rPr>
        <w:t xml:space="preserve"> which are provided in </w:t>
      </w:r>
      <w:r w:rsidR="00B1659F">
        <w:rPr>
          <w:rFonts w:ascii="Arial" w:hAnsi="Arial" w:cs="Arial"/>
        </w:rPr>
        <w:t>T</w:t>
      </w:r>
      <w:r w:rsidR="00146EE5">
        <w:rPr>
          <w:rFonts w:ascii="Arial" w:hAnsi="Arial" w:cs="Arial"/>
        </w:rPr>
        <w:t xml:space="preserve">able </w:t>
      </w:r>
      <w:r w:rsidR="0023152F">
        <w:rPr>
          <w:rFonts w:ascii="Arial" w:hAnsi="Arial" w:cs="Arial"/>
        </w:rPr>
        <w:t>3</w:t>
      </w:r>
      <w:r w:rsidR="00146EE5">
        <w:rPr>
          <w:rFonts w:ascii="Arial" w:hAnsi="Arial" w:cs="Arial"/>
        </w:rPr>
        <w:t>.</w:t>
      </w:r>
      <w:r w:rsidRPr="00FE5A9A">
        <w:rPr>
          <w:rFonts w:ascii="Arial" w:hAnsi="Arial" w:cs="Arial"/>
        </w:rPr>
        <w:t xml:space="preserve"> The total number of pods per plant ranged from 10.72 to 16.97. Treatment T5 recorded the highest number of pods per plant, which was on par with treatment T6. This could be due to the improved nutrient concentration in the soil, which would have ultimately aided in better absorption of nutrients by the plant.  </w:t>
      </w:r>
      <w:r w:rsidR="008F6C85">
        <w:rPr>
          <w:rFonts w:ascii="Arial" w:hAnsi="Arial" w:cs="Arial"/>
        </w:rPr>
        <w:t>[1</w:t>
      </w:r>
      <w:r w:rsidR="008B3C4C">
        <w:rPr>
          <w:rFonts w:ascii="Arial" w:hAnsi="Arial" w:cs="Arial"/>
        </w:rPr>
        <w:t>8</w:t>
      </w:r>
      <w:r w:rsidR="008F6C85">
        <w:rPr>
          <w:rFonts w:ascii="Arial" w:hAnsi="Arial" w:cs="Arial"/>
        </w:rPr>
        <w:t xml:space="preserve">] </w:t>
      </w:r>
      <w:r w:rsidR="004805E3">
        <w:rPr>
          <w:rFonts w:ascii="Arial" w:hAnsi="Arial" w:cs="Arial"/>
        </w:rPr>
        <w:t>(</w:t>
      </w:r>
      <w:r w:rsidRPr="00FE5A9A">
        <w:rPr>
          <w:rFonts w:ascii="Arial" w:hAnsi="Arial" w:cs="Arial"/>
        </w:rPr>
        <w:t>Veeramani and Subramaniyan</w:t>
      </w:r>
      <w:r w:rsidR="004805E3">
        <w:rPr>
          <w:rFonts w:ascii="Arial" w:hAnsi="Arial" w:cs="Arial"/>
        </w:rPr>
        <w:t xml:space="preserve">, </w:t>
      </w:r>
      <w:r w:rsidRPr="00FE5A9A">
        <w:rPr>
          <w:rFonts w:ascii="Arial" w:hAnsi="Arial" w:cs="Arial"/>
        </w:rPr>
        <w:t>2012) also too noted comparable results, where an application of 175% RDF resulted in the highest number of pods per plant, followed by 200% RDF. A similar pattern for peak value for test weight was reflected in treatment T</w:t>
      </w:r>
      <w:r w:rsidRPr="00A72C75">
        <w:rPr>
          <w:rFonts w:ascii="Arial" w:hAnsi="Arial" w:cs="Arial"/>
          <w:vertAlign w:val="subscript"/>
        </w:rPr>
        <w:t>5</w:t>
      </w:r>
      <w:r w:rsidRPr="00FE5A9A">
        <w:rPr>
          <w:rFonts w:ascii="Arial" w:hAnsi="Arial" w:cs="Arial"/>
        </w:rPr>
        <w:t xml:space="preserve"> (38.60 g). In both cases, the lowest value was observed in treatment T</w:t>
      </w:r>
      <w:r w:rsidRPr="00A72C75">
        <w:rPr>
          <w:rFonts w:ascii="Arial" w:hAnsi="Arial" w:cs="Arial"/>
          <w:vertAlign w:val="subscript"/>
        </w:rPr>
        <w:t>1</w:t>
      </w:r>
      <w:r w:rsidRPr="00FE5A9A">
        <w:rPr>
          <w:rFonts w:ascii="Arial" w:hAnsi="Arial" w:cs="Arial"/>
        </w:rPr>
        <w:t xml:space="preserve">. This might be due to increased NPK levels supplied to the crops. In the case of test weight, </w:t>
      </w:r>
      <w:r w:rsidR="008F6C85">
        <w:rPr>
          <w:rFonts w:ascii="Arial" w:hAnsi="Arial" w:cs="Arial"/>
        </w:rPr>
        <w:t>[1</w:t>
      </w:r>
      <w:r w:rsidR="008B3C4C">
        <w:rPr>
          <w:rFonts w:ascii="Arial" w:hAnsi="Arial" w:cs="Arial"/>
        </w:rPr>
        <w:t>9</w:t>
      </w:r>
      <w:r w:rsidR="008F6C85">
        <w:rPr>
          <w:rFonts w:ascii="Arial" w:hAnsi="Arial" w:cs="Arial"/>
        </w:rPr>
        <w:t xml:space="preserve">] </w:t>
      </w:r>
      <w:r w:rsidR="004805E3">
        <w:rPr>
          <w:rFonts w:ascii="Arial" w:hAnsi="Arial" w:cs="Arial"/>
        </w:rPr>
        <w:t>(</w:t>
      </w:r>
      <w:r w:rsidRPr="00FE5A9A">
        <w:rPr>
          <w:rFonts w:ascii="Arial" w:hAnsi="Arial" w:cs="Arial"/>
        </w:rPr>
        <w:t xml:space="preserve">Kundu </w:t>
      </w:r>
      <w:r w:rsidRPr="0023152F">
        <w:rPr>
          <w:rFonts w:ascii="Arial" w:hAnsi="Arial" w:cs="Arial"/>
          <w:i/>
          <w:iCs/>
        </w:rPr>
        <w:t>et</w:t>
      </w:r>
      <w:r w:rsidRPr="00FE5A9A">
        <w:rPr>
          <w:rFonts w:ascii="Arial" w:hAnsi="Arial" w:cs="Arial"/>
        </w:rPr>
        <w:t xml:space="preserve"> </w:t>
      </w:r>
      <w:r w:rsidRPr="0023152F">
        <w:rPr>
          <w:rFonts w:ascii="Arial" w:hAnsi="Arial" w:cs="Arial"/>
          <w:i/>
          <w:iCs/>
        </w:rPr>
        <w:t>al</w:t>
      </w:r>
      <w:r w:rsidRPr="00FE5A9A">
        <w:rPr>
          <w:rFonts w:ascii="Arial" w:hAnsi="Arial" w:cs="Arial"/>
        </w:rPr>
        <w:t>.</w:t>
      </w:r>
      <w:r w:rsidR="004805E3">
        <w:rPr>
          <w:rFonts w:ascii="Arial" w:hAnsi="Arial" w:cs="Arial"/>
        </w:rPr>
        <w:t>,</w:t>
      </w:r>
      <w:r w:rsidRPr="00FE5A9A">
        <w:rPr>
          <w:rFonts w:ascii="Arial" w:hAnsi="Arial" w:cs="Arial"/>
        </w:rPr>
        <w:t xml:space="preserve"> 2023) reported a similar trend in groundnut, where enhanced NPK led to an increase in test weight. The number of seeds per pod recorded no significant variation among all the treatments.</w:t>
      </w:r>
    </w:p>
    <w:p w14:paraId="7E10FCCD" w14:textId="5A7B7BC4" w:rsidR="00FE5A9A" w:rsidRDefault="00FE5A9A" w:rsidP="00FE5A9A">
      <w:pPr>
        <w:pStyle w:val="Body"/>
        <w:rPr>
          <w:rFonts w:ascii="Arial" w:hAnsi="Arial" w:cs="Arial"/>
        </w:rPr>
      </w:pPr>
      <w:r>
        <w:rPr>
          <w:rFonts w:ascii="Arial" w:hAnsi="Arial"/>
          <w:b/>
        </w:rPr>
        <w:t xml:space="preserve">Table </w:t>
      </w:r>
      <w:r w:rsidR="0023152F">
        <w:rPr>
          <w:rFonts w:ascii="Arial" w:hAnsi="Arial"/>
          <w:b/>
        </w:rPr>
        <w:t>3</w:t>
      </w:r>
      <w:r>
        <w:rPr>
          <w:rFonts w:ascii="Arial" w:hAnsi="Arial"/>
          <w:b/>
        </w:rPr>
        <w:t xml:space="preserve">. </w:t>
      </w:r>
      <w:r w:rsidRPr="00B73FAC">
        <w:rPr>
          <w:rFonts w:ascii="Arial" w:hAnsi="Arial"/>
          <w:b/>
        </w:rPr>
        <w:t xml:space="preserve">Effect of treatments on Yield and Yield parameters and B: C </w:t>
      </w:r>
      <w:r>
        <w:rPr>
          <w:rFonts w:ascii="Arial" w:hAnsi="Arial"/>
          <w:b/>
        </w:rPr>
        <w:t>ratio</w:t>
      </w:r>
      <w:r w:rsidRPr="00502516">
        <w:rPr>
          <w:rFonts w:ascii="Arial" w:hAnsi="Arial" w:cs="Arial"/>
        </w:rPr>
        <w:t xml:space="preserve"> </w:t>
      </w:r>
    </w:p>
    <w:tbl>
      <w:tblPr>
        <w:tblpPr w:leftFromText="180" w:rightFromText="180" w:vertAnchor="text" w:horzAnchor="margin" w:tblpXSpec="center" w:tblpY="109"/>
        <w:tblW w:w="7615" w:type="dxa"/>
        <w:tblBorders>
          <w:top w:val="single" w:sz="4" w:space="0" w:color="auto"/>
          <w:bottom w:val="single" w:sz="4" w:space="0" w:color="auto"/>
          <w:insideH w:val="single" w:sz="4" w:space="0" w:color="auto"/>
        </w:tblBorders>
        <w:tblLook w:val="01E0" w:firstRow="1" w:lastRow="1" w:firstColumn="1" w:lastColumn="1" w:noHBand="0" w:noVBand="0"/>
      </w:tblPr>
      <w:tblGrid>
        <w:gridCol w:w="1229"/>
        <w:gridCol w:w="1234"/>
        <w:gridCol w:w="1086"/>
        <w:gridCol w:w="1356"/>
        <w:gridCol w:w="1355"/>
        <w:gridCol w:w="1355"/>
      </w:tblGrid>
      <w:tr w:rsidR="00FE5A9A" w:rsidRPr="00DC3180" w14:paraId="1731C9D0" w14:textId="77777777">
        <w:trPr>
          <w:trHeight w:val="240"/>
        </w:trPr>
        <w:tc>
          <w:tcPr>
            <w:tcW w:w="1183" w:type="dxa"/>
            <w:tcBorders>
              <w:bottom w:val="single" w:sz="4" w:space="0" w:color="auto"/>
            </w:tcBorders>
          </w:tcPr>
          <w:p w14:paraId="42D4E40C" w14:textId="77777777" w:rsidR="00FE5A9A" w:rsidRPr="00DC3180" w:rsidRDefault="00FE5A9A">
            <w:pPr>
              <w:jc w:val="both"/>
              <w:rPr>
                <w:rFonts w:ascii="Arial" w:hAnsi="Arial"/>
                <w:b/>
                <w:bCs/>
              </w:rPr>
            </w:pPr>
            <w:bookmarkStart w:id="0" w:name="_Hlk195640082"/>
            <w:r w:rsidRPr="00187F1F">
              <w:t>Treatment</w:t>
            </w:r>
            <w:r>
              <w:t>s</w:t>
            </w:r>
          </w:p>
        </w:tc>
        <w:tc>
          <w:tcPr>
            <w:tcW w:w="1242" w:type="dxa"/>
            <w:tcBorders>
              <w:bottom w:val="single" w:sz="4" w:space="0" w:color="auto"/>
            </w:tcBorders>
          </w:tcPr>
          <w:p w14:paraId="7C3D85BC" w14:textId="77777777" w:rsidR="00FE5A9A" w:rsidRPr="00187F1F" w:rsidRDefault="00FE5A9A">
            <w:pPr>
              <w:jc w:val="both"/>
            </w:pPr>
            <w:r w:rsidRPr="00B646CE">
              <w:rPr>
                <w:rFonts w:ascii="Arial" w:hAnsi="Arial" w:cs="Arial"/>
              </w:rPr>
              <w:t>No: of pods plant</w:t>
            </w:r>
            <w:r w:rsidRPr="00B646CE">
              <w:rPr>
                <w:rFonts w:ascii="Arial" w:hAnsi="Arial" w:cs="Arial"/>
                <w:vertAlign w:val="superscript"/>
              </w:rPr>
              <w:noBreakHyphen/>
              <w:t>1</w:t>
            </w:r>
          </w:p>
        </w:tc>
        <w:tc>
          <w:tcPr>
            <w:tcW w:w="1092" w:type="dxa"/>
            <w:tcBorders>
              <w:bottom w:val="single" w:sz="4" w:space="0" w:color="auto"/>
            </w:tcBorders>
          </w:tcPr>
          <w:p w14:paraId="5F407448" w14:textId="77777777" w:rsidR="00FE5A9A" w:rsidRPr="00187F1F" w:rsidRDefault="00FE5A9A">
            <w:pPr>
              <w:jc w:val="both"/>
            </w:pPr>
            <w:r w:rsidRPr="00B646CE">
              <w:rPr>
                <w:rFonts w:ascii="Arial" w:hAnsi="Arial" w:cs="Arial"/>
              </w:rPr>
              <w:t xml:space="preserve">No: of seeds per pod </w:t>
            </w:r>
          </w:p>
        </w:tc>
        <w:tc>
          <w:tcPr>
            <w:tcW w:w="1366" w:type="dxa"/>
            <w:tcBorders>
              <w:bottom w:val="single" w:sz="4" w:space="0" w:color="auto"/>
            </w:tcBorders>
          </w:tcPr>
          <w:p w14:paraId="46B9D914" w14:textId="77777777" w:rsidR="00FE5A9A" w:rsidRPr="00187F1F" w:rsidRDefault="00FE5A9A">
            <w:pPr>
              <w:jc w:val="both"/>
            </w:pPr>
            <w:r w:rsidRPr="00B646CE">
              <w:rPr>
                <w:rFonts w:ascii="Arial" w:hAnsi="Arial" w:cs="Arial"/>
              </w:rPr>
              <w:t>Test weight (g)</w:t>
            </w:r>
          </w:p>
        </w:tc>
        <w:tc>
          <w:tcPr>
            <w:tcW w:w="1366" w:type="dxa"/>
            <w:tcBorders>
              <w:bottom w:val="single" w:sz="4" w:space="0" w:color="auto"/>
            </w:tcBorders>
          </w:tcPr>
          <w:p w14:paraId="62C9B5D2" w14:textId="77777777" w:rsidR="00FE5A9A" w:rsidRPr="00187F1F" w:rsidRDefault="00FE5A9A">
            <w:pPr>
              <w:jc w:val="both"/>
            </w:pPr>
            <w:r w:rsidRPr="00B646CE">
              <w:rPr>
                <w:rFonts w:ascii="Arial" w:hAnsi="Arial" w:cs="Arial"/>
              </w:rPr>
              <w:t>Yield (t ha</w:t>
            </w:r>
            <w:r w:rsidRPr="00B646CE">
              <w:rPr>
                <w:rFonts w:ascii="Arial" w:hAnsi="Arial" w:cs="Arial"/>
                <w:vertAlign w:val="superscript"/>
              </w:rPr>
              <w:t>-1</w:t>
            </w:r>
            <w:r w:rsidRPr="00B646CE">
              <w:rPr>
                <w:rFonts w:ascii="Arial" w:hAnsi="Arial" w:cs="Arial"/>
              </w:rPr>
              <w:t>)</w:t>
            </w:r>
          </w:p>
        </w:tc>
        <w:tc>
          <w:tcPr>
            <w:tcW w:w="1366" w:type="dxa"/>
            <w:tcBorders>
              <w:bottom w:val="single" w:sz="4" w:space="0" w:color="auto"/>
            </w:tcBorders>
          </w:tcPr>
          <w:p w14:paraId="6F512628" w14:textId="77777777" w:rsidR="00FE5A9A" w:rsidRPr="00187F1F" w:rsidRDefault="00FE5A9A">
            <w:pPr>
              <w:jc w:val="both"/>
            </w:pPr>
            <w:r w:rsidRPr="00B646CE">
              <w:rPr>
                <w:rFonts w:ascii="Arial" w:hAnsi="Arial" w:cs="Arial"/>
              </w:rPr>
              <w:t xml:space="preserve">B: C ratio </w:t>
            </w:r>
          </w:p>
        </w:tc>
      </w:tr>
      <w:tr w:rsidR="00FE5A9A" w:rsidRPr="00DC3180" w14:paraId="3A5EA3C5" w14:textId="77777777">
        <w:trPr>
          <w:trHeight w:val="192"/>
        </w:trPr>
        <w:tc>
          <w:tcPr>
            <w:tcW w:w="1183" w:type="dxa"/>
            <w:tcBorders>
              <w:bottom w:val="nil"/>
            </w:tcBorders>
          </w:tcPr>
          <w:p w14:paraId="6C17FF03" w14:textId="77777777" w:rsidR="00FE5A9A" w:rsidRPr="00DC3180" w:rsidRDefault="00FE5A9A">
            <w:pPr>
              <w:jc w:val="both"/>
              <w:rPr>
                <w:rFonts w:ascii="Arial" w:hAnsi="Arial"/>
                <w:b/>
                <w:bCs/>
              </w:rPr>
            </w:pPr>
            <w:r w:rsidRPr="00187F1F">
              <w:t>T</w:t>
            </w:r>
            <w:r w:rsidRPr="006943D5">
              <w:rPr>
                <w:vertAlign w:val="subscript"/>
              </w:rPr>
              <w:t>1</w:t>
            </w:r>
          </w:p>
        </w:tc>
        <w:tc>
          <w:tcPr>
            <w:tcW w:w="1242" w:type="dxa"/>
            <w:tcBorders>
              <w:bottom w:val="nil"/>
            </w:tcBorders>
          </w:tcPr>
          <w:p w14:paraId="6F9EF6BF" w14:textId="77777777" w:rsidR="00FE5A9A" w:rsidRPr="00187F1F" w:rsidRDefault="00FE5A9A">
            <w:pPr>
              <w:jc w:val="both"/>
            </w:pPr>
            <w:r w:rsidRPr="00B646CE">
              <w:rPr>
                <w:rFonts w:ascii="Arial" w:hAnsi="Arial" w:cs="Arial"/>
              </w:rPr>
              <w:t>10.72</w:t>
            </w:r>
            <w:r w:rsidRPr="00B646CE">
              <w:rPr>
                <w:rFonts w:ascii="Arial" w:hAnsi="Arial" w:cs="Arial"/>
                <w:vertAlign w:val="superscript"/>
              </w:rPr>
              <w:t>d</w:t>
            </w:r>
          </w:p>
        </w:tc>
        <w:tc>
          <w:tcPr>
            <w:tcW w:w="1092" w:type="dxa"/>
            <w:tcBorders>
              <w:bottom w:val="nil"/>
            </w:tcBorders>
          </w:tcPr>
          <w:p w14:paraId="406CE384" w14:textId="77777777" w:rsidR="00FE5A9A" w:rsidRPr="00187F1F" w:rsidRDefault="00FE5A9A">
            <w:pPr>
              <w:jc w:val="both"/>
            </w:pPr>
            <w:r w:rsidRPr="00B646CE">
              <w:rPr>
                <w:rFonts w:ascii="Arial" w:hAnsi="Arial" w:cs="Arial"/>
              </w:rPr>
              <w:t>1.95</w:t>
            </w:r>
          </w:p>
        </w:tc>
        <w:tc>
          <w:tcPr>
            <w:tcW w:w="1366" w:type="dxa"/>
            <w:tcBorders>
              <w:bottom w:val="nil"/>
            </w:tcBorders>
          </w:tcPr>
          <w:p w14:paraId="2C61089C" w14:textId="77777777" w:rsidR="00FE5A9A" w:rsidRPr="00187F1F" w:rsidRDefault="00FE5A9A">
            <w:pPr>
              <w:jc w:val="both"/>
            </w:pPr>
            <w:r w:rsidRPr="00B646CE">
              <w:rPr>
                <w:rFonts w:ascii="Arial" w:hAnsi="Arial" w:cs="Arial"/>
              </w:rPr>
              <w:t>36.65</w:t>
            </w:r>
            <w:r w:rsidRPr="00B646CE">
              <w:rPr>
                <w:rFonts w:ascii="Arial" w:hAnsi="Arial" w:cs="Arial"/>
                <w:vertAlign w:val="superscript"/>
              </w:rPr>
              <w:t>e</w:t>
            </w:r>
          </w:p>
        </w:tc>
        <w:tc>
          <w:tcPr>
            <w:tcW w:w="1366" w:type="dxa"/>
            <w:tcBorders>
              <w:bottom w:val="nil"/>
            </w:tcBorders>
          </w:tcPr>
          <w:p w14:paraId="2194115B" w14:textId="77777777" w:rsidR="00FE5A9A" w:rsidRPr="00187F1F" w:rsidRDefault="00FE5A9A">
            <w:pPr>
              <w:jc w:val="both"/>
            </w:pPr>
            <w:r w:rsidRPr="00B646CE">
              <w:rPr>
                <w:rFonts w:ascii="Arial" w:hAnsi="Arial" w:cs="Arial"/>
              </w:rPr>
              <w:t>1.78</w:t>
            </w:r>
            <w:r w:rsidRPr="00B646CE">
              <w:rPr>
                <w:rFonts w:ascii="Arial" w:hAnsi="Arial" w:cs="Arial"/>
                <w:vertAlign w:val="superscript"/>
              </w:rPr>
              <w:t>f</w:t>
            </w:r>
          </w:p>
        </w:tc>
        <w:tc>
          <w:tcPr>
            <w:tcW w:w="1366" w:type="dxa"/>
            <w:tcBorders>
              <w:bottom w:val="nil"/>
            </w:tcBorders>
          </w:tcPr>
          <w:p w14:paraId="486A8AE1" w14:textId="77777777" w:rsidR="00FE5A9A" w:rsidRPr="00187F1F" w:rsidRDefault="00FE5A9A">
            <w:pPr>
              <w:jc w:val="both"/>
            </w:pPr>
            <w:r w:rsidRPr="00B646CE">
              <w:rPr>
                <w:rFonts w:ascii="Arial" w:hAnsi="Arial" w:cs="Arial"/>
              </w:rPr>
              <w:t>1.24</w:t>
            </w:r>
            <w:r w:rsidRPr="00B646CE">
              <w:rPr>
                <w:rFonts w:ascii="Arial" w:hAnsi="Arial" w:cs="Arial"/>
                <w:vertAlign w:val="superscript"/>
              </w:rPr>
              <w:t>d</w:t>
            </w:r>
          </w:p>
        </w:tc>
      </w:tr>
      <w:tr w:rsidR="00FE5A9A" w:rsidRPr="00DC3180" w14:paraId="7D340DC5" w14:textId="77777777">
        <w:trPr>
          <w:trHeight w:val="240"/>
        </w:trPr>
        <w:tc>
          <w:tcPr>
            <w:tcW w:w="1183" w:type="dxa"/>
            <w:tcBorders>
              <w:top w:val="nil"/>
              <w:bottom w:val="nil"/>
            </w:tcBorders>
          </w:tcPr>
          <w:p w14:paraId="5BBD81B9" w14:textId="77777777" w:rsidR="00FE5A9A" w:rsidRPr="00DC3180" w:rsidRDefault="00FE5A9A">
            <w:pPr>
              <w:jc w:val="both"/>
              <w:rPr>
                <w:rFonts w:ascii="Arial" w:hAnsi="Arial" w:cs="Arial"/>
              </w:rPr>
            </w:pPr>
            <w:r w:rsidRPr="00187F1F">
              <w:t>T</w:t>
            </w:r>
            <w:r w:rsidRPr="006943D5">
              <w:rPr>
                <w:vertAlign w:val="subscript"/>
              </w:rPr>
              <w:t>2</w:t>
            </w:r>
          </w:p>
        </w:tc>
        <w:tc>
          <w:tcPr>
            <w:tcW w:w="1242" w:type="dxa"/>
            <w:tcBorders>
              <w:top w:val="nil"/>
              <w:bottom w:val="nil"/>
            </w:tcBorders>
          </w:tcPr>
          <w:p w14:paraId="10268926" w14:textId="77777777" w:rsidR="00FE5A9A" w:rsidRPr="00187F1F" w:rsidRDefault="00FE5A9A">
            <w:pPr>
              <w:jc w:val="both"/>
            </w:pPr>
            <w:r w:rsidRPr="00B646CE">
              <w:rPr>
                <w:rFonts w:ascii="Arial" w:hAnsi="Arial" w:cs="Arial"/>
              </w:rPr>
              <w:t>11.01</w:t>
            </w:r>
            <w:r w:rsidRPr="00B646CE">
              <w:rPr>
                <w:rFonts w:ascii="Arial" w:hAnsi="Arial" w:cs="Arial"/>
                <w:vertAlign w:val="superscript"/>
              </w:rPr>
              <w:t>d</w:t>
            </w:r>
          </w:p>
        </w:tc>
        <w:tc>
          <w:tcPr>
            <w:tcW w:w="1092" w:type="dxa"/>
            <w:tcBorders>
              <w:top w:val="nil"/>
              <w:bottom w:val="nil"/>
            </w:tcBorders>
          </w:tcPr>
          <w:p w14:paraId="316842B5" w14:textId="77777777" w:rsidR="00FE5A9A" w:rsidRPr="00187F1F" w:rsidRDefault="00FE5A9A">
            <w:pPr>
              <w:jc w:val="both"/>
            </w:pPr>
            <w:r w:rsidRPr="00B646CE">
              <w:rPr>
                <w:rFonts w:ascii="Arial" w:hAnsi="Arial" w:cs="Arial"/>
              </w:rPr>
              <w:t>1.98</w:t>
            </w:r>
          </w:p>
        </w:tc>
        <w:tc>
          <w:tcPr>
            <w:tcW w:w="1366" w:type="dxa"/>
            <w:tcBorders>
              <w:top w:val="nil"/>
              <w:bottom w:val="nil"/>
            </w:tcBorders>
          </w:tcPr>
          <w:p w14:paraId="07D3F3AC" w14:textId="77777777" w:rsidR="00FE5A9A" w:rsidRPr="00187F1F" w:rsidRDefault="00FE5A9A">
            <w:pPr>
              <w:jc w:val="both"/>
            </w:pPr>
            <w:r w:rsidRPr="00B646CE">
              <w:rPr>
                <w:rFonts w:ascii="Arial" w:hAnsi="Arial" w:cs="Arial"/>
              </w:rPr>
              <w:t>37.01</w:t>
            </w:r>
            <w:r w:rsidRPr="00B646CE">
              <w:rPr>
                <w:rFonts w:ascii="Arial" w:hAnsi="Arial" w:cs="Arial"/>
                <w:vertAlign w:val="superscript"/>
              </w:rPr>
              <w:t>d</w:t>
            </w:r>
          </w:p>
        </w:tc>
        <w:tc>
          <w:tcPr>
            <w:tcW w:w="1366" w:type="dxa"/>
            <w:tcBorders>
              <w:top w:val="nil"/>
              <w:bottom w:val="nil"/>
            </w:tcBorders>
          </w:tcPr>
          <w:p w14:paraId="6937BFC2" w14:textId="77777777" w:rsidR="00FE5A9A" w:rsidRPr="00187F1F" w:rsidRDefault="00FE5A9A">
            <w:pPr>
              <w:jc w:val="both"/>
            </w:pPr>
            <w:r w:rsidRPr="00B646CE">
              <w:rPr>
                <w:rFonts w:ascii="Arial" w:hAnsi="Arial" w:cs="Arial"/>
              </w:rPr>
              <w:t>1.91</w:t>
            </w:r>
            <w:r w:rsidRPr="00B646CE">
              <w:rPr>
                <w:rFonts w:ascii="Arial" w:hAnsi="Arial" w:cs="Arial"/>
                <w:vertAlign w:val="superscript"/>
              </w:rPr>
              <w:t>e</w:t>
            </w:r>
          </w:p>
        </w:tc>
        <w:tc>
          <w:tcPr>
            <w:tcW w:w="1366" w:type="dxa"/>
            <w:tcBorders>
              <w:top w:val="nil"/>
              <w:bottom w:val="nil"/>
            </w:tcBorders>
          </w:tcPr>
          <w:p w14:paraId="1AC4711C" w14:textId="77777777" w:rsidR="00FE5A9A" w:rsidRPr="00187F1F" w:rsidRDefault="00FE5A9A">
            <w:pPr>
              <w:jc w:val="both"/>
            </w:pPr>
            <w:r w:rsidRPr="00B646CE">
              <w:rPr>
                <w:rFonts w:ascii="Arial" w:hAnsi="Arial" w:cs="Arial"/>
              </w:rPr>
              <w:t>1.95</w:t>
            </w:r>
            <w:r w:rsidRPr="00B646CE">
              <w:rPr>
                <w:rFonts w:ascii="Arial" w:hAnsi="Arial" w:cs="Arial"/>
                <w:vertAlign w:val="superscript"/>
              </w:rPr>
              <w:t>c</w:t>
            </w:r>
          </w:p>
        </w:tc>
      </w:tr>
      <w:tr w:rsidR="00FE5A9A" w:rsidRPr="00DC3180" w14:paraId="343ED530" w14:textId="77777777">
        <w:trPr>
          <w:trHeight w:val="240"/>
        </w:trPr>
        <w:tc>
          <w:tcPr>
            <w:tcW w:w="1183" w:type="dxa"/>
            <w:tcBorders>
              <w:top w:val="nil"/>
              <w:bottom w:val="nil"/>
            </w:tcBorders>
          </w:tcPr>
          <w:p w14:paraId="51012D29" w14:textId="77777777" w:rsidR="00FE5A9A" w:rsidRPr="00DC3180" w:rsidRDefault="00FE5A9A">
            <w:pPr>
              <w:jc w:val="both"/>
              <w:rPr>
                <w:rFonts w:ascii="Arial" w:hAnsi="Arial"/>
              </w:rPr>
            </w:pPr>
            <w:r w:rsidRPr="00187F1F">
              <w:t>T</w:t>
            </w:r>
            <w:r w:rsidRPr="006943D5">
              <w:rPr>
                <w:vertAlign w:val="subscript"/>
              </w:rPr>
              <w:t>3</w:t>
            </w:r>
          </w:p>
        </w:tc>
        <w:tc>
          <w:tcPr>
            <w:tcW w:w="1242" w:type="dxa"/>
            <w:tcBorders>
              <w:top w:val="nil"/>
              <w:bottom w:val="nil"/>
            </w:tcBorders>
          </w:tcPr>
          <w:p w14:paraId="352E5BA1" w14:textId="77777777" w:rsidR="00FE5A9A" w:rsidRPr="00187F1F" w:rsidRDefault="00FE5A9A">
            <w:pPr>
              <w:jc w:val="both"/>
            </w:pPr>
            <w:r w:rsidRPr="00B646CE">
              <w:rPr>
                <w:rFonts w:ascii="Arial" w:hAnsi="Arial" w:cs="Arial"/>
              </w:rPr>
              <w:t>13.50</w:t>
            </w:r>
            <w:r w:rsidRPr="00B646CE">
              <w:rPr>
                <w:rFonts w:ascii="Arial" w:hAnsi="Arial" w:cs="Arial"/>
                <w:vertAlign w:val="superscript"/>
              </w:rPr>
              <w:t>c</w:t>
            </w:r>
          </w:p>
        </w:tc>
        <w:tc>
          <w:tcPr>
            <w:tcW w:w="1092" w:type="dxa"/>
            <w:tcBorders>
              <w:top w:val="nil"/>
              <w:bottom w:val="nil"/>
            </w:tcBorders>
          </w:tcPr>
          <w:p w14:paraId="4E7E123E" w14:textId="77777777" w:rsidR="00FE5A9A" w:rsidRPr="00187F1F" w:rsidRDefault="00FE5A9A">
            <w:pPr>
              <w:jc w:val="both"/>
            </w:pPr>
            <w:r w:rsidRPr="00B646CE">
              <w:rPr>
                <w:rFonts w:ascii="Arial" w:hAnsi="Arial" w:cs="Arial"/>
              </w:rPr>
              <w:t>1.97</w:t>
            </w:r>
          </w:p>
        </w:tc>
        <w:tc>
          <w:tcPr>
            <w:tcW w:w="1366" w:type="dxa"/>
            <w:tcBorders>
              <w:top w:val="nil"/>
              <w:bottom w:val="nil"/>
            </w:tcBorders>
          </w:tcPr>
          <w:p w14:paraId="558EBDCC" w14:textId="77777777" w:rsidR="00FE5A9A" w:rsidRPr="00187F1F" w:rsidRDefault="00FE5A9A">
            <w:pPr>
              <w:jc w:val="both"/>
            </w:pPr>
            <w:r w:rsidRPr="00B646CE">
              <w:rPr>
                <w:rFonts w:ascii="Arial" w:hAnsi="Arial" w:cs="Arial"/>
              </w:rPr>
              <w:t>37.26</w:t>
            </w:r>
            <w:r w:rsidRPr="00B646CE">
              <w:rPr>
                <w:rFonts w:ascii="Arial" w:hAnsi="Arial" w:cs="Arial"/>
                <w:vertAlign w:val="superscript"/>
              </w:rPr>
              <w:t>d</w:t>
            </w:r>
          </w:p>
        </w:tc>
        <w:tc>
          <w:tcPr>
            <w:tcW w:w="1366" w:type="dxa"/>
            <w:tcBorders>
              <w:top w:val="nil"/>
              <w:bottom w:val="nil"/>
            </w:tcBorders>
          </w:tcPr>
          <w:p w14:paraId="60141CD0" w14:textId="77777777" w:rsidR="00FE5A9A" w:rsidRPr="00187F1F" w:rsidRDefault="00FE5A9A">
            <w:pPr>
              <w:jc w:val="both"/>
            </w:pPr>
            <w:r w:rsidRPr="00B646CE">
              <w:rPr>
                <w:rFonts w:ascii="Arial" w:hAnsi="Arial" w:cs="Arial"/>
              </w:rPr>
              <w:t>2.58</w:t>
            </w:r>
            <w:r w:rsidRPr="00B646CE">
              <w:rPr>
                <w:rFonts w:ascii="Arial" w:hAnsi="Arial" w:cs="Arial"/>
                <w:vertAlign w:val="superscript"/>
              </w:rPr>
              <w:t>d</w:t>
            </w:r>
          </w:p>
        </w:tc>
        <w:tc>
          <w:tcPr>
            <w:tcW w:w="1366" w:type="dxa"/>
            <w:tcBorders>
              <w:top w:val="nil"/>
              <w:bottom w:val="nil"/>
            </w:tcBorders>
          </w:tcPr>
          <w:p w14:paraId="7EA2525E" w14:textId="77777777" w:rsidR="00FE5A9A" w:rsidRPr="00187F1F" w:rsidRDefault="00FE5A9A">
            <w:pPr>
              <w:jc w:val="both"/>
            </w:pPr>
            <w:r w:rsidRPr="00B646CE">
              <w:rPr>
                <w:rFonts w:ascii="Arial" w:hAnsi="Arial" w:cs="Arial"/>
              </w:rPr>
              <w:t>2.42</w:t>
            </w:r>
            <w:r w:rsidRPr="00B646CE">
              <w:rPr>
                <w:rFonts w:ascii="Arial" w:hAnsi="Arial" w:cs="Arial"/>
                <w:vertAlign w:val="superscript"/>
              </w:rPr>
              <w:t>b</w:t>
            </w:r>
          </w:p>
        </w:tc>
      </w:tr>
      <w:tr w:rsidR="00FE5A9A" w:rsidRPr="00DC3180" w14:paraId="675E358E" w14:textId="77777777">
        <w:trPr>
          <w:trHeight w:val="240"/>
        </w:trPr>
        <w:tc>
          <w:tcPr>
            <w:tcW w:w="1183" w:type="dxa"/>
            <w:tcBorders>
              <w:top w:val="nil"/>
              <w:bottom w:val="nil"/>
            </w:tcBorders>
          </w:tcPr>
          <w:p w14:paraId="698561C9" w14:textId="77777777" w:rsidR="00FE5A9A" w:rsidRPr="00DC3180" w:rsidRDefault="00FE5A9A">
            <w:pPr>
              <w:jc w:val="both"/>
              <w:rPr>
                <w:rFonts w:ascii="Arial" w:hAnsi="Arial"/>
              </w:rPr>
            </w:pPr>
            <w:r w:rsidRPr="00187F1F">
              <w:t>T</w:t>
            </w:r>
            <w:r w:rsidRPr="006943D5">
              <w:rPr>
                <w:vertAlign w:val="subscript"/>
              </w:rPr>
              <w:t>4</w:t>
            </w:r>
          </w:p>
        </w:tc>
        <w:tc>
          <w:tcPr>
            <w:tcW w:w="1242" w:type="dxa"/>
            <w:tcBorders>
              <w:top w:val="nil"/>
              <w:bottom w:val="nil"/>
            </w:tcBorders>
          </w:tcPr>
          <w:p w14:paraId="3D054392" w14:textId="77777777" w:rsidR="00FE5A9A" w:rsidRPr="00187F1F" w:rsidRDefault="00FE5A9A">
            <w:pPr>
              <w:jc w:val="both"/>
            </w:pPr>
            <w:r w:rsidRPr="00B646CE">
              <w:rPr>
                <w:rFonts w:ascii="Arial" w:hAnsi="Arial" w:cs="Arial"/>
              </w:rPr>
              <w:t>14.71</w:t>
            </w:r>
            <w:r w:rsidRPr="00B646CE">
              <w:rPr>
                <w:rFonts w:ascii="Arial" w:hAnsi="Arial" w:cs="Arial"/>
                <w:vertAlign w:val="superscript"/>
              </w:rPr>
              <w:t>b</w:t>
            </w:r>
          </w:p>
        </w:tc>
        <w:tc>
          <w:tcPr>
            <w:tcW w:w="1092" w:type="dxa"/>
            <w:tcBorders>
              <w:top w:val="nil"/>
              <w:bottom w:val="nil"/>
            </w:tcBorders>
          </w:tcPr>
          <w:p w14:paraId="0DFE12EE" w14:textId="77777777" w:rsidR="00FE5A9A" w:rsidRPr="00187F1F" w:rsidRDefault="00FE5A9A">
            <w:pPr>
              <w:jc w:val="both"/>
            </w:pPr>
            <w:r w:rsidRPr="00B646CE">
              <w:rPr>
                <w:rFonts w:ascii="Arial" w:hAnsi="Arial" w:cs="Arial"/>
              </w:rPr>
              <w:t>1.99</w:t>
            </w:r>
          </w:p>
        </w:tc>
        <w:tc>
          <w:tcPr>
            <w:tcW w:w="1366" w:type="dxa"/>
            <w:tcBorders>
              <w:top w:val="nil"/>
              <w:bottom w:val="nil"/>
            </w:tcBorders>
          </w:tcPr>
          <w:p w14:paraId="6728F499" w14:textId="77777777" w:rsidR="00FE5A9A" w:rsidRPr="00187F1F" w:rsidRDefault="00FE5A9A">
            <w:pPr>
              <w:jc w:val="both"/>
            </w:pPr>
            <w:r w:rsidRPr="00B646CE">
              <w:rPr>
                <w:rFonts w:ascii="Arial" w:hAnsi="Arial" w:cs="Arial"/>
              </w:rPr>
              <w:t>37.76</w:t>
            </w:r>
            <w:r w:rsidRPr="00B646CE">
              <w:rPr>
                <w:rFonts w:ascii="Arial" w:hAnsi="Arial" w:cs="Arial"/>
                <w:vertAlign w:val="superscript"/>
              </w:rPr>
              <w:t>c</w:t>
            </w:r>
          </w:p>
        </w:tc>
        <w:tc>
          <w:tcPr>
            <w:tcW w:w="1366" w:type="dxa"/>
            <w:tcBorders>
              <w:top w:val="nil"/>
              <w:bottom w:val="nil"/>
            </w:tcBorders>
          </w:tcPr>
          <w:p w14:paraId="293C7E01" w14:textId="77777777" w:rsidR="00FE5A9A" w:rsidRPr="00187F1F" w:rsidRDefault="00FE5A9A">
            <w:pPr>
              <w:jc w:val="both"/>
            </w:pPr>
            <w:r w:rsidRPr="00B646CE">
              <w:rPr>
                <w:rFonts w:ascii="Arial" w:hAnsi="Arial" w:cs="Arial"/>
              </w:rPr>
              <w:t>2.96</w:t>
            </w:r>
            <w:r w:rsidRPr="00B646CE">
              <w:rPr>
                <w:rFonts w:ascii="Arial" w:hAnsi="Arial" w:cs="Arial"/>
                <w:vertAlign w:val="superscript"/>
              </w:rPr>
              <w:t>c</w:t>
            </w:r>
          </w:p>
        </w:tc>
        <w:tc>
          <w:tcPr>
            <w:tcW w:w="1366" w:type="dxa"/>
            <w:tcBorders>
              <w:top w:val="nil"/>
              <w:bottom w:val="nil"/>
            </w:tcBorders>
          </w:tcPr>
          <w:p w14:paraId="10BABFD6" w14:textId="77777777" w:rsidR="00FE5A9A" w:rsidRPr="00187F1F" w:rsidRDefault="00FE5A9A">
            <w:pPr>
              <w:jc w:val="both"/>
            </w:pPr>
            <w:r w:rsidRPr="00B646CE">
              <w:rPr>
                <w:rFonts w:ascii="Arial" w:hAnsi="Arial" w:cs="Arial"/>
              </w:rPr>
              <w:t>2.57</w:t>
            </w:r>
            <w:r w:rsidRPr="00B646CE">
              <w:rPr>
                <w:rFonts w:ascii="Arial" w:hAnsi="Arial" w:cs="Arial"/>
                <w:vertAlign w:val="superscript"/>
              </w:rPr>
              <w:t>a</w:t>
            </w:r>
          </w:p>
        </w:tc>
      </w:tr>
      <w:tr w:rsidR="00FE5A9A" w:rsidRPr="00DC3180" w14:paraId="163F6835" w14:textId="77777777">
        <w:trPr>
          <w:trHeight w:val="240"/>
        </w:trPr>
        <w:tc>
          <w:tcPr>
            <w:tcW w:w="1183" w:type="dxa"/>
            <w:tcBorders>
              <w:top w:val="nil"/>
              <w:bottom w:val="nil"/>
            </w:tcBorders>
          </w:tcPr>
          <w:p w14:paraId="243966FF" w14:textId="77777777" w:rsidR="00FE5A9A" w:rsidRPr="006943D5" w:rsidRDefault="00FE5A9A">
            <w:pPr>
              <w:jc w:val="both"/>
              <w:rPr>
                <w:rFonts w:ascii="Arial" w:hAnsi="Arial"/>
                <w:vertAlign w:val="subscript"/>
              </w:rPr>
            </w:pPr>
            <w:r>
              <w:rPr>
                <w:rFonts w:ascii="Arial" w:hAnsi="Arial"/>
              </w:rPr>
              <w:t>T</w:t>
            </w:r>
            <w:r>
              <w:rPr>
                <w:rFonts w:ascii="Arial" w:hAnsi="Arial"/>
                <w:vertAlign w:val="subscript"/>
              </w:rPr>
              <w:t>5</w:t>
            </w:r>
          </w:p>
        </w:tc>
        <w:tc>
          <w:tcPr>
            <w:tcW w:w="1242" w:type="dxa"/>
            <w:tcBorders>
              <w:top w:val="nil"/>
              <w:bottom w:val="nil"/>
            </w:tcBorders>
          </w:tcPr>
          <w:p w14:paraId="49311961" w14:textId="77777777" w:rsidR="00FE5A9A" w:rsidRPr="00B646CE" w:rsidRDefault="00FE5A9A">
            <w:pPr>
              <w:jc w:val="both"/>
              <w:rPr>
                <w:rFonts w:ascii="Arial" w:hAnsi="Arial" w:cs="Arial"/>
              </w:rPr>
            </w:pPr>
            <w:r w:rsidRPr="00B646CE">
              <w:rPr>
                <w:rFonts w:ascii="Arial" w:hAnsi="Arial" w:cs="Arial"/>
              </w:rPr>
              <w:t>16.97</w:t>
            </w:r>
            <w:r w:rsidRPr="00B646CE">
              <w:rPr>
                <w:rFonts w:ascii="Arial" w:hAnsi="Arial" w:cs="Arial"/>
                <w:vertAlign w:val="superscript"/>
              </w:rPr>
              <w:t>a</w:t>
            </w:r>
          </w:p>
        </w:tc>
        <w:tc>
          <w:tcPr>
            <w:tcW w:w="1092" w:type="dxa"/>
            <w:tcBorders>
              <w:top w:val="nil"/>
              <w:bottom w:val="nil"/>
            </w:tcBorders>
          </w:tcPr>
          <w:p w14:paraId="7BA788C8" w14:textId="77777777" w:rsidR="00FE5A9A" w:rsidRPr="00B646CE" w:rsidRDefault="00FE5A9A">
            <w:pPr>
              <w:jc w:val="both"/>
              <w:rPr>
                <w:rFonts w:ascii="Arial" w:hAnsi="Arial" w:cs="Arial"/>
              </w:rPr>
            </w:pPr>
            <w:r w:rsidRPr="00B646CE">
              <w:rPr>
                <w:rFonts w:ascii="Arial" w:hAnsi="Arial" w:cs="Arial"/>
              </w:rPr>
              <w:t>2.00</w:t>
            </w:r>
          </w:p>
        </w:tc>
        <w:tc>
          <w:tcPr>
            <w:tcW w:w="1366" w:type="dxa"/>
            <w:tcBorders>
              <w:top w:val="nil"/>
              <w:bottom w:val="nil"/>
            </w:tcBorders>
          </w:tcPr>
          <w:p w14:paraId="65376C19" w14:textId="77777777" w:rsidR="00FE5A9A" w:rsidRPr="00B646CE" w:rsidRDefault="00FE5A9A">
            <w:pPr>
              <w:jc w:val="both"/>
              <w:rPr>
                <w:rFonts w:ascii="Arial" w:hAnsi="Arial" w:cs="Arial"/>
              </w:rPr>
            </w:pPr>
            <w:r w:rsidRPr="00B646CE">
              <w:rPr>
                <w:rFonts w:ascii="Arial" w:hAnsi="Arial" w:cs="Arial"/>
              </w:rPr>
              <w:t>38.60</w:t>
            </w:r>
            <w:r w:rsidRPr="00B646CE">
              <w:rPr>
                <w:rFonts w:ascii="Arial" w:hAnsi="Arial" w:cs="Arial"/>
                <w:vertAlign w:val="superscript"/>
              </w:rPr>
              <w:t>a</w:t>
            </w:r>
          </w:p>
        </w:tc>
        <w:tc>
          <w:tcPr>
            <w:tcW w:w="1366" w:type="dxa"/>
            <w:tcBorders>
              <w:top w:val="nil"/>
              <w:bottom w:val="nil"/>
            </w:tcBorders>
          </w:tcPr>
          <w:p w14:paraId="1A3AD646" w14:textId="77777777" w:rsidR="00FE5A9A" w:rsidRPr="00B646CE" w:rsidRDefault="00FE5A9A">
            <w:pPr>
              <w:jc w:val="both"/>
              <w:rPr>
                <w:rFonts w:ascii="Arial" w:hAnsi="Arial" w:cs="Arial"/>
              </w:rPr>
            </w:pPr>
            <w:r w:rsidRPr="00B646CE">
              <w:rPr>
                <w:rFonts w:ascii="Arial" w:hAnsi="Arial" w:cs="Arial"/>
              </w:rPr>
              <w:t>3.31</w:t>
            </w:r>
            <w:r w:rsidRPr="00B646CE">
              <w:rPr>
                <w:rFonts w:ascii="Arial" w:hAnsi="Arial" w:cs="Arial"/>
                <w:vertAlign w:val="superscript"/>
              </w:rPr>
              <w:t>a</w:t>
            </w:r>
          </w:p>
        </w:tc>
        <w:tc>
          <w:tcPr>
            <w:tcW w:w="1366" w:type="dxa"/>
            <w:tcBorders>
              <w:top w:val="nil"/>
              <w:bottom w:val="nil"/>
            </w:tcBorders>
          </w:tcPr>
          <w:p w14:paraId="5E3AF114" w14:textId="77777777" w:rsidR="00FE5A9A" w:rsidRPr="00B646CE" w:rsidRDefault="00FE5A9A">
            <w:pPr>
              <w:jc w:val="both"/>
              <w:rPr>
                <w:rFonts w:ascii="Arial" w:hAnsi="Arial" w:cs="Arial"/>
              </w:rPr>
            </w:pPr>
            <w:r w:rsidRPr="00B646CE">
              <w:rPr>
                <w:rFonts w:ascii="Arial" w:hAnsi="Arial" w:cs="Arial"/>
              </w:rPr>
              <w:t>2.65</w:t>
            </w:r>
            <w:r w:rsidRPr="00B646CE">
              <w:rPr>
                <w:rFonts w:ascii="Arial" w:hAnsi="Arial" w:cs="Arial"/>
                <w:vertAlign w:val="superscript"/>
              </w:rPr>
              <w:t>a</w:t>
            </w:r>
          </w:p>
        </w:tc>
      </w:tr>
      <w:tr w:rsidR="00FE5A9A" w:rsidRPr="00DC3180" w14:paraId="53DCCC77" w14:textId="77777777">
        <w:trPr>
          <w:trHeight w:val="228"/>
        </w:trPr>
        <w:tc>
          <w:tcPr>
            <w:tcW w:w="1183" w:type="dxa"/>
            <w:tcBorders>
              <w:top w:val="nil"/>
              <w:bottom w:val="single" w:sz="4" w:space="0" w:color="auto"/>
            </w:tcBorders>
          </w:tcPr>
          <w:p w14:paraId="198D67DD" w14:textId="77777777" w:rsidR="00FE5A9A" w:rsidRPr="006943D5" w:rsidRDefault="00FE5A9A">
            <w:pPr>
              <w:jc w:val="both"/>
              <w:rPr>
                <w:rFonts w:ascii="Arial" w:hAnsi="Arial"/>
                <w:vertAlign w:val="subscript"/>
              </w:rPr>
            </w:pPr>
            <w:r>
              <w:rPr>
                <w:rFonts w:ascii="Arial" w:hAnsi="Arial"/>
              </w:rPr>
              <w:t>T</w:t>
            </w:r>
            <w:r>
              <w:rPr>
                <w:rFonts w:ascii="Arial" w:hAnsi="Arial"/>
                <w:vertAlign w:val="subscript"/>
              </w:rPr>
              <w:t>6</w:t>
            </w:r>
          </w:p>
        </w:tc>
        <w:tc>
          <w:tcPr>
            <w:tcW w:w="1242" w:type="dxa"/>
            <w:tcBorders>
              <w:top w:val="nil"/>
              <w:bottom w:val="single" w:sz="4" w:space="0" w:color="auto"/>
            </w:tcBorders>
          </w:tcPr>
          <w:p w14:paraId="60D63C03" w14:textId="77777777" w:rsidR="00FE5A9A" w:rsidRPr="00B646CE" w:rsidRDefault="00FE5A9A">
            <w:pPr>
              <w:jc w:val="both"/>
              <w:rPr>
                <w:rFonts w:ascii="Arial" w:hAnsi="Arial" w:cs="Arial"/>
              </w:rPr>
            </w:pPr>
            <w:r w:rsidRPr="00B646CE">
              <w:rPr>
                <w:rFonts w:ascii="Arial" w:hAnsi="Arial" w:cs="Arial"/>
              </w:rPr>
              <w:t>15.12</w:t>
            </w:r>
            <w:r w:rsidRPr="00B646CE">
              <w:rPr>
                <w:rFonts w:ascii="Arial" w:hAnsi="Arial" w:cs="Arial"/>
                <w:vertAlign w:val="superscript"/>
              </w:rPr>
              <w:t>a</w:t>
            </w:r>
          </w:p>
        </w:tc>
        <w:tc>
          <w:tcPr>
            <w:tcW w:w="1092" w:type="dxa"/>
            <w:tcBorders>
              <w:top w:val="nil"/>
              <w:bottom w:val="single" w:sz="4" w:space="0" w:color="auto"/>
            </w:tcBorders>
          </w:tcPr>
          <w:p w14:paraId="15C917CF" w14:textId="77777777" w:rsidR="00FE5A9A" w:rsidRPr="00B646CE" w:rsidRDefault="00FE5A9A">
            <w:pPr>
              <w:jc w:val="both"/>
              <w:rPr>
                <w:rFonts w:ascii="Arial" w:hAnsi="Arial" w:cs="Arial"/>
              </w:rPr>
            </w:pPr>
            <w:r w:rsidRPr="00B646CE">
              <w:rPr>
                <w:rFonts w:ascii="Arial" w:hAnsi="Arial" w:cs="Arial"/>
              </w:rPr>
              <w:t>2.00</w:t>
            </w:r>
          </w:p>
        </w:tc>
        <w:tc>
          <w:tcPr>
            <w:tcW w:w="1366" w:type="dxa"/>
            <w:tcBorders>
              <w:top w:val="nil"/>
              <w:bottom w:val="single" w:sz="4" w:space="0" w:color="auto"/>
            </w:tcBorders>
          </w:tcPr>
          <w:p w14:paraId="5EA31612" w14:textId="77777777" w:rsidR="00FE5A9A" w:rsidRPr="00B646CE" w:rsidRDefault="00FE5A9A">
            <w:pPr>
              <w:jc w:val="both"/>
              <w:rPr>
                <w:rFonts w:ascii="Arial" w:hAnsi="Arial" w:cs="Arial"/>
              </w:rPr>
            </w:pPr>
            <w:r w:rsidRPr="00B646CE">
              <w:rPr>
                <w:rFonts w:ascii="Arial" w:hAnsi="Arial" w:cs="Arial"/>
              </w:rPr>
              <w:t>38.16</w:t>
            </w:r>
            <w:r w:rsidRPr="00B646CE">
              <w:rPr>
                <w:rFonts w:ascii="Arial" w:hAnsi="Arial" w:cs="Arial"/>
                <w:vertAlign w:val="superscript"/>
              </w:rPr>
              <w:t>b</w:t>
            </w:r>
          </w:p>
        </w:tc>
        <w:tc>
          <w:tcPr>
            <w:tcW w:w="1366" w:type="dxa"/>
            <w:tcBorders>
              <w:top w:val="nil"/>
              <w:bottom w:val="single" w:sz="4" w:space="0" w:color="auto"/>
            </w:tcBorders>
          </w:tcPr>
          <w:p w14:paraId="3192A162" w14:textId="77777777" w:rsidR="00FE5A9A" w:rsidRPr="00B646CE" w:rsidRDefault="00FE5A9A">
            <w:pPr>
              <w:jc w:val="both"/>
              <w:rPr>
                <w:rFonts w:ascii="Arial" w:hAnsi="Arial" w:cs="Arial"/>
              </w:rPr>
            </w:pPr>
            <w:r w:rsidRPr="00B646CE">
              <w:rPr>
                <w:rFonts w:ascii="Arial" w:hAnsi="Arial" w:cs="Arial"/>
              </w:rPr>
              <w:t>3.20</w:t>
            </w:r>
            <w:r w:rsidRPr="00B646CE">
              <w:rPr>
                <w:rFonts w:ascii="Arial" w:hAnsi="Arial" w:cs="Arial"/>
                <w:vertAlign w:val="superscript"/>
              </w:rPr>
              <w:t>b</w:t>
            </w:r>
          </w:p>
        </w:tc>
        <w:tc>
          <w:tcPr>
            <w:tcW w:w="1366" w:type="dxa"/>
            <w:tcBorders>
              <w:top w:val="nil"/>
              <w:bottom w:val="single" w:sz="4" w:space="0" w:color="auto"/>
            </w:tcBorders>
          </w:tcPr>
          <w:p w14:paraId="6145F535" w14:textId="77777777" w:rsidR="00FE5A9A" w:rsidRPr="00B646CE" w:rsidRDefault="00FE5A9A">
            <w:pPr>
              <w:jc w:val="both"/>
              <w:rPr>
                <w:rFonts w:ascii="Arial" w:hAnsi="Arial" w:cs="Arial"/>
              </w:rPr>
            </w:pPr>
            <w:r w:rsidRPr="00B646CE">
              <w:rPr>
                <w:rFonts w:ascii="Arial" w:hAnsi="Arial" w:cs="Arial"/>
              </w:rPr>
              <w:t>2.38</w:t>
            </w:r>
            <w:r w:rsidRPr="00B646CE">
              <w:rPr>
                <w:rFonts w:ascii="Arial" w:hAnsi="Arial" w:cs="Arial"/>
                <w:vertAlign w:val="superscript"/>
              </w:rPr>
              <w:t>b</w:t>
            </w:r>
          </w:p>
        </w:tc>
      </w:tr>
      <w:tr w:rsidR="00FE5A9A" w:rsidRPr="00DC3180" w14:paraId="3956B3FE" w14:textId="77777777">
        <w:trPr>
          <w:trHeight w:val="240"/>
        </w:trPr>
        <w:tc>
          <w:tcPr>
            <w:tcW w:w="1183" w:type="dxa"/>
            <w:tcBorders>
              <w:top w:val="nil"/>
              <w:bottom w:val="single" w:sz="4" w:space="0" w:color="auto"/>
            </w:tcBorders>
          </w:tcPr>
          <w:p w14:paraId="589CE5BE" w14:textId="77777777" w:rsidR="00FE5A9A" w:rsidRPr="006943D5" w:rsidRDefault="00FE5A9A">
            <w:pPr>
              <w:jc w:val="both"/>
              <w:rPr>
                <w:rFonts w:ascii="Arial" w:hAnsi="Arial"/>
              </w:rPr>
            </w:pPr>
            <w:r>
              <w:rPr>
                <w:rFonts w:ascii="Arial" w:hAnsi="Arial"/>
              </w:rPr>
              <w:t>SE(m)</w:t>
            </w:r>
          </w:p>
        </w:tc>
        <w:tc>
          <w:tcPr>
            <w:tcW w:w="1242" w:type="dxa"/>
            <w:tcBorders>
              <w:top w:val="nil"/>
              <w:bottom w:val="single" w:sz="4" w:space="0" w:color="auto"/>
            </w:tcBorders>
          </w:tcPr>
          <w:p w14:paraId="1626952C" w14:textId="77777777" w:rsidR="00FE5A9A" w:rsidRPr="00B646CE" w:rsidRDefault="00FE5A9A">
            <w:pPr>
              <w:jc w:val="both"/>
              <w:rPr>
                <w:rFonts w:ascii="Arial" w:hAnsi="Arial" w:cs="Arial"/>
              </w:rPr>
            </w:pPr>
            <w:r w:rsidRPr="00B646CE">
              <w:rPr>
                <w:rFonts w:ascii="Arial" w:hAnsi="Arial" w:cs="Arial"/>
              </w:rPr>
              <w:t>0.386</w:t>
            </w:r>
          </w:p>
        </w:tc>
        <w:tc>
          <w:tcPr>
            <w:tcW w:w="1092" w:type="dxa"/>
            <w:tcBorders>
              <w:top w:val="nil"/>
              <w:bottom w:val="single" w:sz="4" w:space="0" w:color="auto"/>
            </w:tcBorders>
          </w:tcPr>
          <w:p w14:paraId="61358915" w14:textId="77777777" w:rsidR="00FE5A9A" w:rsidRPr="00B646CE" w:rsidRDefault="00FE5A9A">
            <w:pPr>
              <w:jc w:val="both"/>
              <w:rPr>
                <w:rFonts w:ascii="Arial" w:hAnsi="Arial" w:cs="Arial"/>
              </w:rPr>
            </w:pPr>
            <w:r w:rsidRPr="00B646CE">
              <w:rPr>
                <w:rFonts w:ascii="Arial" w:hAnsi="Arial" w:cs="Arial"/>
              </w:rPr>
              <w:t>0.015</w:t>
            </w:r>
          </w:p>
        </w:tc>
        <w:tc>
          <w:tcPr>
            <w:tcW w:w="1366" w:type="dxa"/>
            <w:tcBorders>
              <w:top w:val="nil"/>
              <w:bottom w:val="single" w:sz="4" w:space="0" w:color="auto"/>
            </w:tcBorders>
          </w:tcPr>
          <w:p w14:paraId="5DD8CB23" w14:textId="77777777" w:rsidR="00FE5A9A" w:rsidRPr="00B646CE" w:rsidRDefault="00FE5A9A">
            <w:pPr>
              <w:jc w:val="both"/>
              <w:rPr>
                <w:rFonts w:ascii="Arial" w:hAnsi="Arial" w:cs="Arial"/>
              </w:rPr>
            </w:pPr>
            <w:r w:rsidRPr="00B646CE">
              <w:rPr>
                <w:rFonts w:ascii="Arial" w:hAnsi="Arial" w:cs="Arial"/>
              </w:rPr>
              <w:t>0.087</w:t>
            </w:r>
          </w:p>
        </w:tc>
        <w:tc>
          <w:tcPr>
            <w:tcW w:w="1366" w:type="dxa"/>
            <w:tcBorders>
              <w:top w:val="nil"/>
              <w:bottom w:val="single" w:sz="4" w:space="0" w:color="auto"/>
            </w:tcBorders>
          </w:tcPr>
          <w:p w14:paraId="60F5D5C1" w14:textId="77777777" w:rsidR="00FE5A9A" w:rsidRPr="00B646CE" w:rsidRDefault="00FE5A9A">
            <w:pPr>
              <w:jc w:val="both"/>
              <w:rPr>
                <w:rFonts w:ascii="Arial" w:hAnsi="Arial" w:cs="Arial"/>
              </w:rPr>
            </w:pPr>
            <w:r w:rsidRPr="00B646CE">
              <w:rPr>
                <w:rFonts w:ascii="Arial" w:hAnsi="Arial" w:cs="Arial"/>
              </w:rPr>
              <w:t>0.030</w:t>
            </w:r>
          </w:p>
        </w:tc>
        <w:tc>
          <w:tcPr>
            <w:tcW w:w="1366" w:type="dxa"/>
            <w:tcBorders>
              <w:top w:val="nil"/>
              <w:bottom w:val="single" w:sz="4" w:space="0" w:color="auto"/>
            </w:tcBorders>
          </w:tcPr>
          <w:p w14:paraId="5216375C" w14:textId="77777777" w:rsidR="00FE5A9A" w:rsidRPr="00B646CE" w:rsidRDefault="00FE5A9A">
            <w:pPr>
              <w:jc w:val="both"/>
              <w:rPr>
                <w:rFonts w:ascii="Arial" w:hAnsi="Arial" w:cs="Arial"/>
              </w:rPr>
            </w:pPr>
            <w:r w:rsidRPr="00B646CE">
              <w:rPr>
                <w:rFonts w:ascii="Arial" w:hAnsi="Arial" w:cs="Arial"/>
              </w:rPr>
              <w:t>0.026</w:t>
            </w:r>
          </w:p>
        </w:tc>
      </w:tr>
      <w:tr w:rsidR="00FE5A9A" w:rsidRPr="00DC3180" w14:paraId="1B6D035E" w14:textId="77777777">
        <w:trPr>
          <w:trHeight w:val="240"/>
        </w:trPr>
        <w:tc>
          <w:tcPr>
            <w:tcW w:w="1183" w:type="dxa"/>
            <w:tcBorders>
              <w:top w:val="nil"/>
              <w:bottom w:val="single" w:sz="4" w:space="0" w:color="auto"/>
            </w:tcBorders>
          </w:tcPr>
          <w:p w14:paraId="4E43DC82" w14:textId="77777777" w:rsidR="00FE5A9A" w:rsidRPr="00DC3180" w:rsidRDefault="00FE5A9A">
            <w:pPr>
              <w:jc w:val="both"/>
              <w:rPr>
                <w:rFonts w:ascii="Arial" w:hAnsi="Arial"/>
              </w:rPr>
            </w:pPr>
            <w:r>
              <w:rPr>
                <w:rFonts w:ascii="Arial" w:hAnsi="Arial"/>
              </w:rPr>
              <w:t>CD</w:t>
            </w:r>
          </w:p>
        </w:tc>
        <w:tc>
          <w:tcPr>
            <w:tcW w:w="1242" w:type="dxa"/>
            <w:tcBorders>
              <w:top w:val="nil"/>
              <w:bottom w:val="single" w:sz="4" w:space="0" w:color="auto"/>
            </w:tcBorders>
          </w:tcPr>
          <w:p w14:paraId="1C6F3AC6" w14:textId="77777777" w:rsidR="00FE5A9A" w:rsidRPr="00B646CE" w:rsidRDefault="00FE5A9A">
            <w:pPr>
              <w:jc w:val="both"/>
              <w:rPr>
                <w:rFonts w:ascii="Arial" w:hAnsi="Arial" w:cs="Arial"/>
              </w:rPr>
            </w:pPr>
            <w:r w:rsidRPr="00B646CE">
              <w:rPr>
                <w:rFonts w:ascii="Arial" w:hAnsi="Arial" w:cs="Arial"/>
              </w:rPr>
              <w:t>1.163</w:t>
            </w:r>
          </w:p>
        </w:tc>
        <w:tc>
          <w:tcPr>
            <w:tcW w:w="1092" w:type="dxa"/>
            <w:tcBorders>
              <w:top w:val="nil"/>
              <w:bottom w:val="single" w:sz="4" w:space="0" w:color="auto"/>
            </w:tcBorders>
          </w:tcPr>
          <w:p w14:paraId="722E85B5" w14:textId="77777777" w:rsidR="00FE5A9A" w:rsidRPr="00B646CE" w:rsidRDefault="00FE5A9A">
            <w:pPr>
              <w:jc w:val="both"/>
              <w:rPr>
                <w:rFonts w:ascii="Arial" w:hAnsi="Arial" w:cs="Arial"/>
              </w:rPr>
            </w:pPr>
            <w:r w:rsidRPr="00B646CE">
              <w:rPr>
                <w:rFonts w:ascii="Arial" w:hAnsi="Arial" w:cs="Arial"/>
              </w:rPr>
              <w:t>NS</w:t>
            </w:r>
          </w:p>
        </w:tc>
        <w:tc>
          <w:tcPr>
            <w:tcW w:w="1366" w:type="dxa"/>
            <w:tcBorders>
              <w:top w:val="nil"/>
              <w:bottom w:val="single" w:sz="4" w:space="0" w:color="auto"/>
            </w:tcBorders>
          </w:tcPr>
          <w:p w14:paraId="7DCC7167" w14:textId="77777777" w:rsidR="00FE5A9A" w:rsidRPr="00B646CE" w:rsidRDefault="00FE5A9A">
            <w:pPr>
              <w:jc w:val="both"/>
              <w:rPr>
                <w:rFonts w:ascii="Arial" w:hAnsi="Arial" w:cs="Arial"/>
              </w:rPr>
            </w:pPr>
            <w:r w:rsidRPr="00B646CE">
              <w:rPr>
                <w:rFonts w:ascii="Arial" w:hAnsi="Arial" w:cs="Arial"/>
              </w:rPr>
              <w:t>0.263</w:t>
            </w:r>
          </w:p>
        </w:tc>
        <w:tc>
          <w:tcPr>
            <w:tcW w:w="1366" w:type="dxa"/>
            <w:tcBorders>
              <w:top w:val="nil"/>
              <w:bottom w:val="single" w:sz="4" w:space="0" w:color="auto"/>
            </w:tcBorders>
          </w:tcPr>
          <w:p w14:paraId="272777FA" w14:textId="77777777" w:rsidR="00FE5A9A" w:rsidRPr="00B646CE" w:rsidRDefault="00FE5A9A">
            <w:pPr>
              <w:jc w:val="both"/>
              <w:rPr>
                <w:rFonts w:ascii="Arial" w:hAnsi="Arial" w:cs="Arial"/>
              </w:rPr>
            </w:pPr>
            <w:r w:rsidRPr="00B646CE">
              <w:rPr>
                <w:rFonts w:ascii="Arial" w:hAnsi="Arial" w:cs="Arial"/>
              </w:rPr>
              <w:t>0.092</w:t>
            </w:r>
          </w:p>
        </w:tc>
        <w:tc>
          <w:tcPr>
            <w:tcW w:w="1366" w:type="dxa"/>
            <w:tcBorders>
              <w:top w:val="nil"/>
              <w:bottom w:val="single" w:sz="4" w:space="0" w:color="auto"/>
            </w:tcBorders>
          </w:tcPr>
          <w:p w14:paraId="30327987" w14:textId="77777777" w:rsidR="00FE5A9A" w:rsidRPr="00B646CE" w:rsidRDefault="00FE5A9A">
            <w:pPr>
              <w:jc w:val="both"/>
              <w:rPr>
                <w:rFonts w:ascii="Arial" w:hAnsi="Arial" w:cs="Arial"/>
              </w:rPr>
            </w:pPr>
            <w:r w:rsidRPr="00B646CE">
              <w:rPr>
                <w:rFonts w:ascii="Arial" w:hAnsi="Arial" w:cs="Arial"/>
              </w:rPr>
              <w:t>0.078</w:t>
            </w:r>
          </w:p>
        </w:tc>
      </w:tr>
      <w:tr w:rsidR="00FE5A9A" w:rsidRPr="00DC3180" w14:paraId="609DD681" w14:textId="77777777">
        <w:trPr>
          <w:trHeight w:val="240"/>
        </w:trPr>
        <w:tc>
          <w:tcPr>
            <w:tcW w:w="1183" w:type="dxa"/>
            <w:tcBorders>
              <w:top w:val="nil"/>
              <w:bottom w:val="single" w:sz="4" w:space="0" w:color="auto"/>
            </w:tcBorders>
          </w:tcPr>
          <w:p w14:paraId="4026E006" w14:textId="77777777" w:rsidR="00FE5A9A" w:rsidRPr="00DC3180" w:rsidRDefault="00FE5A9A">
            <w:pPr>
              <w:jc w:val="both"/>
              <w:rPr>
                <w:rFonts w:ascii="Arial" w:hAnsi="Arial"/>
              </w:rPr>
            </w:pPr>
            <w:r>
              <w:rPr>
                <w:rFonts w:ascii="Arial" w:hAnsi="Arial"/>
              </w:rPr>
              <w:t>CV</w:t>
            </w:r>
          </w:p>
        </w:tc>
        <w:tc>
          <w:tcPr>
            <w:tcW w:w="1242" w:type="dxa"/>
            <w:tcBorders>
              <w:top w:val="nil"/>
              <w:bottom w:val="single" w:sz="4" w:space="0" w:color="auto"/>
            </w:tcBorders>
          </w:tcPr>
          <w:p w14:paraId="2E6D2CD5" w14:textId="77777777" w:rsidR="00FE5A9A" w:rsidRPr="00B646CE" w:rsidRDefault="00FE5A9A">
            <w:pPr>
              <w:jc w:val="both"/>
              <w:rPr>
                <w:rFonts w:ascii="Arial" w:hAnsi="Arial" w:cs="Arial"/>
              </w:rPr>
            </w:pPr>
            <w:r w:rsidRPr="00B646CE">
              <w:rPr>
                <w:rFonts w:ascii="Arial" w:hAnsi="Arial" w:cs="Arial"/>
              </w:rPr>
              <w:t>5.645</w:t>
            </w:r>
          </w:p>
        </w:tc>
        <w:tc>
          <w:tcPr>
            <w:tcW w:w="1092" w:type="dxa"/>
            <w:tcBorders>
              <w:top w:val="nil"/>
              <w:bottom w:val="single" w:sz="4" w:space="0" w:color="auto"/>
            </w:tcBorders>
          </w:tcPr>
          <w:p w14:paraId="2D5DBB60" w14:textId="77777777" w:rsidR="00FE5A9A" w:rsidRPr="00B646CE" w:rsidRDefault="00FE5A9A">
            <w:pPr>
              <w:jc w:val="both"/>
              <w:rPr>
                <w:rFonts w:ascii="Arial" w:hAnsi="Arial" w:cs="Arial"/>
              </w:rPr>
            </w:pPr>
            <w:r w:rsidRPr="00B646CE">
              <w:rPr>
                <w:rFonts w:ascii="Arial" w:hAnsi="Arial" w:cs="Arial"/>
              </w:rPr>
              <w:t>1.470</w:t>
            </w:r>
          </w:p>
        </w:tc>
        <w:tc>
          <w:tcPr>
            <w:tcW w:w="1366" w:type="dxa"/>
            <w:tcBorders>
              <w:top w:val="nil"/>
              <w:bottom w:val="single" w:sz="4" w:space="0" w:color="auto"/>
            </w:tcBorders>
          </w:tcPr>
          <w:p w14:paraId="7FEA1D19" w14:textId="77777777" w:rsidR="00FE5A9A" w:rsidRPr="00B646CE" w:rsidRDefault="00FE5A9A">
            <w:pPr>
              <w:jc w:val="both"/>
              <w:rPr>
                <w:rFonts w:ascii="Arial" w:hAnsi="Arial" w:cs="Arial"/>
              </w:rPr>
            </w:pPr>
            <w:r w:rsidRPr="00B646CE">
              <w:rPr>
                <w:rFonts w:ascii="Arial" w:hAnsi="Arial" w:cs="Arial"/>
              </w:rPr>
              <w:t>0.465</w:t>
            </w:r>
          </w:p>
        </w:tc>
        <w:tc>
          <w:tcPr>
            <w:tcW w:w="1366" w:type="dxa"/>
            <w:tcBorders>
              <w:top w:val="nil"/>
              <w:bottom w:val="single" w:sz="4" w:space="0" w:color="auto"/>
            </w:tcBorders>
          </w:tcPr>
          <w:p w14:paraId="536B565F" w14:textId="77777777" w:rsidR="00FE5A9A" w:rsidRPr="00B646CE" w:rsidRDefault="00FE5A9A">
            <w:pPr>
              <w:jc w:val="both"/>
              <w:rPr>
                <w:rFonts w:ascii="Arial" w:hAnsi="Arial" w:cs="Arial"/>
              </w:rPr>
            </w:pPr>
            <w:r w:rsidRPr="00B646CE">
              <w:rPr>
                <w:rFonts w:ascii="Arial" w:hAnsi="Arial" w:cs="Arial"/>
              </w:rPr>
              <w:t>2.315</w:t>
            </w:r>
          </w:p>
        </w:tc>
        <w:tc>
          <w:tcPr>
            <w:tcW w:w="1366" w:type="dxa"/>
            <w:tcBorders>
              <w:top w:val="nil"/>
              <w:bottom w:val="single" w:sz="4" w:space="0" w:color="auto"/>
            </w:tcBorders>
          </w:tcPr>
          <w:p w14:paraId="57DD51F4" w14:textId="77777777" w:rsidR="00FE5A9A" w:rsidRPr="00B646CE" w:rsidRDefault="00FE5A9A">
            <w:pPr>
              <w:jc w:val="both"/>
              <w:rPr>
                <w:rFonts w:ascii="Arial" w:hAnsi="Arial" w:cs="Arial"/>
              </w:rPr>
            </w:pPr>
            <w:r w:rsidRPr="00B646CE">
              <w:rPr>
                <w:rFonts w:ascii="Arial" w:hAnsi="Arial" w:cs="Arial"/>
              </w:rPr>
              <w:t>2.334</w:t>
            </w:r>
          </w:p>
        </w:tc>
      </w:tr>
      <w:bookmarkEnd w:id="0"/>
    </w:tbl>
    <w:p w14:paraId="6504BF88" w14:textId="77777777" w:rsidR="00FE5A9A" w:rsidRDefault="00FE5A9A" w:rsidP="00FE5A9A">
      <w:pPr>
        <w:pStyle w:val="Body"/>
        <w:rPr>
          <w:rFonts w:ascii="Arial" w:hAnsi="Arial" w:cs="Arial"/>
        </w:rPr>
      </w:pPr>
    </w:p>
    <w:p w14:paraId="5F195706" w14:textId="521058D3" w:rsidR="00FE5A9A" w:rsidRDefault="00FE5A9A" w:rsidP="00FE5A9A">
      <w:pPr>
        <w:pStyle w:val="Body"/>
        <w:rPr>
          <w:rFonts w:ascii="Arial" w:hAnsi="Arial" w:cs="Arial"/>
        </w:rPr>
      </w:pPr>
      <w:r w:rsidRPr="00FE5A9A">
        <w:rPr>
          <w:rFonts w:ascii="Arial" w:hAnsi="Arial" w:cs="Arial"/>
        </w:rPr>
        <w:lastRenderedPageBreak/>
        <w:t>Pod yield per plot was recorded as the highest in treatment T</w:t>
      </w:r>
      <w:r w:rsidRPr="00A72C75">
        <w:rPr>
          <w:rFonts w:ascii="Arial" w:hAnsi="Arial" w:cs="Arial"/>
          <w:vertAlign w:val="subscript"/>
        </w:rPr>
        <w:t>5</w:t>
      </w:r>
      <w:r w:rsidRPr="00FE5A9A">
        <w:rPr>
          <w:rFonts w:ascii="Arial" w:hAnsi="Arial" w:cs="Arial"/>
        </w:rPr>
        <w:t xml:space="preserve"> despite failing to achieve the anticipated yield target of 3.4 t ha</w:t>
      </w:r>
      <w:r w:rsidRPr="00A72C75">
        <w:rPr>
          <w:rFonts w:ascii="Arial" w:hAnsi="Arial" w:cs="Arial"/>
          <w:vertAlign w:val="superscript"/>
        </w:rPr>
        <w:t>-1</w:t>
      </w:r>
      <w:r w:rsidRPr="00FE5A9A">
        <w:rPr>
          <w:rFonts w:ascii="Arial" w:hAnsi="Arial" w:cs="Arial"/>
        </w:rPr>
        <w:t>. Treatment T</w:t>
      </w:r>
      <w:r w:rsidRPr="00A72C75">
        <w:rPr>
          <w:rFonts w:ascii="Arial" w:hAnsi="Arial" w:cs="Arial"/>
          <w:vertAlign w:val="subscript"/>
        </w:rPr>
        <w:t>6</w:t>
      </w:r>
      <w:r w:rsidRPr="00FE5A9A">
        <w:rPr>
          <w:rFonts w:ascii="Arial" w:hAnsi="Arial" w:cs="Arial"/>
        </w:rPr>
        <w:t xml:space="preserve"> also failed in attaining its anticipated targeted yield of 3.8 t ha</w:t>
      </w:r>
      <w:r w:rsidRPr="00A72C75">
        <w:rPr>
          <w:rFonts w:ascii="Arial" w:hAnsi="Arial" w:cs="Arial"/>
          <w:vertAlign w:val="superscript"/>
        </w:rPr>
        <w:t>-1</w:t>
      </w:r>
      <w:r w:rsidRPr="00FE5A9A">
        <w:rPr>
          <w:rFonts w:ascii="Arial" w:hAnsi="Arial" w:cs="Arial"/>
        </w:rPr>
        <w:t>. However, treatments T</w:t>
      </w:r>
      <w:r w:rsidRPr="00A72C75">
        <w:rPr>
          <w:rFonts w:ascii="Arial" w:hAnsi="Arial" w:cs="Arial"/>
          <w:vertAlign w:val="subscript"/>
        </w:rPr>
        <w:t>3</w:t>
      </w:r>
      <w:r w:rsidRPr="00FE5A9A">
        <w:rPr>
          <w:rFonts w:ascii="Arial" w:hAnsi="Arial" w:cs="Arial"/>
        </w:rPr>
        <w:t xml:space="preserve"> and T</w:t>
      </w:r>
      <w:r w:rsidRPr="00A72C75">
        <w:rPr>
          <w:rFonts w:ascii="Arial" w:hAnsi="Arial" w:cs="Arial"/>
          <w:vertAlign w:val="subscript"/>
        </w:rPr>
        <w:t>4</w:t>
      </w:r>
      <w:r w:rsidRPr="00FE5A9A">
        <w:rPr>
          <w:rFonts w:ascii="Arial" w:hAnsi="Arial" w:cs="Arial"/>
        </w:rPr>
        <w:t xml:space="preserve"> effectively met their respective yield targets of 2.6 and 3 t ha</w:t>
      </w:r>
      <w:r w:rsidRPr="00A72C75">
        <w:rPr>
          <w:rFonts w:ascii="Arial" w:hAnsi="Arial" w:cs="Arial"/>
          <w:vertAlign w:val="superscript"/>
        </w:rPr>
        <w:t>-1</w:t>
      </w:r>
      <w:r w:rsidRPr="00FE5A9A">
        <w:rPr>
          <w:rFonts w:ascii="Arial" w:hAnsi="Arial" w:cs="Arial"/>
        </w:rPr>
        <w:t>. The drop in yield observed after treatment T</w:t>
      </w:r>
      <w:r w:rsidRPr="00A72C75">
        <w:rPr>
          <w:rFonts w:ascii="Arial" w:hAnsi="Arial" w:cs="Arial"/>
          <w:vertAlign w:val="subscript"/>
        </w:rPr>
        <w:t>5</w:t>
      </w:r>
      <w:r w:rsidRPr="00FE5A9A">
        <w:rPr>
          <w:rFonts w:ascii="Arial" w:hAnsi="Arial" w:cs="Arial"/>
        </w:rPr>
        <w:t xml:space="preserve"> might result from the principle embedded in the law of diminishing returns, as observed to be followed by the available soil nutrients. This could also be ascribed to a significant re-distribution of photosynthates to the vegetative parts when the available nutrient ratios of soil and ratios of total nutrient uptake reach an optimum level, resulting in higher growth rates and values of yield parameters. </w:t>
      </w:r>
      <w:r w:rsidR="008F6C85">
        <w:rPr>
          <w:rFonts w:ascii="Arial" w:hAnsi="Arial" w:cs="Arial"/>
        </w:rPr>
        <w:t>[</w:t>
      </w:r>
      <w:r w:rsidR="008B3C4C">
        <w:rPr>
          <w:rFonts w:ascii="Arial" w:hAnsi="Arial" w:cs="Arial"/>
        </w:rPr>
        <w:t>20</w:t>
      </w:r>
      <w:r w:rsidR="008F6C85">
        <w:rPr>
          <w:rFonts w:ascii="Arial" w:hAnsi="Arial" w:cs="Arial"/>
        </w:rPr>
        <w:t xml:space="preserve">] </w:t>
      </w:r>
      <w:r w:rsidRPr="00FE5A9A">
        <w:rPr>
          <w:rFonts w:ascii="Arial" w:hAnsi="Arial" w:cs="Arial"/>
        </w:rPr>
        <w:t>Lamina</w:t>
      </w:r>
      <w:r w:rsidR="007E753F">
        <w:rPr>
          <w:rFonts w:ascii="Arial" w:hAnsi="Arial" w:cs="Arial"/>
        </w:rPr>
        <w:t xml:space="preserve">, </w:t>
      </w:r>
      <w:r w:rsidRPr="00FE5A9A">
        <w:rPr>
          <w:rFonts w:ascii="Arial" w:hAnsi="Arial" w:cs="Arial"/>
        </w:rPr>
        <w:t xml:space="preserve">2009 also observed a similar trend. </w:t>
      </w:r>
    </w:p>
    <w:p w14:paraId="582C8A91" w14:textId="5D01152E" w:rsidR="008F4052" w:rsidRDefault="008F4052" w:rsidP="00FE5A9A">
      <w:pPr>
        <w:pStyle w:val="Body"/>
        <w:rPr>
          <w:rFonts w:ascii="Arial" w:hAnsi="Arial" w:cs="Arial"/>
        </w:rPr>
      </w:pPr>
      <w:r>
        <w:rPr>
          <w:rFonts w:ascii="Arial" w:hAnsi="Arial" w:cs="Arial"/>
        </w:rPr>
        <w:t xml:space="preserve"> </w:t>
      </w:r>
      <w:r w:rsidRPr="008F4052">
        <w:rPr>
          <w:rFonts w:ascii="Arial" w:hAnsi="Arial" w:cs="Arial"/>
          <w:noProof/>
        </w:rPr>
        <w:drawing>
          <wp:inline distT="0" distB="0" distL="0" distR="0" wp14:anchorId="0D967189" wp14:editId="5D76A41E">
            <wp:extent cx="5212080" cy="1582420"/>
            <wp:effectExtent l="0" t="0" r="7620" b="0"/>
            <wp:docPr id="5" name="Picture 1">
              <a:extLst xmlns:a="http://schemas.openxmlformats.org/drawingml/2006/main">
                <a:ext uri="{FF2B5EF4-FFF2-40B4-BE49-F238E27FC236}">
                  <a16:creationId xmlns:a16="http://schemas.microsoft.com/office/drawing/2014/main" id="{3F4B5531-D9CD-3054-7D30-16DB57A02F6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3F4B5531-D9CD-3054-7D30-16DB57A02F64}"/>
                        </a:ext>
                      </a:extLst>
                    </pic:cNvPr>
                    <pic:cNvPicPr>
                      <a:picLocks noGrp="1" noChangeAspect="1"/>
                    </pic:cNvPicPr>
                  </pic:nvPicPr>
                  <pic:blipFill rotWithShape="1">
                    <a:blip r:embed="rId14"/>
                    <a:srcRect l="8320" t="26924" r="5202" b="26377"/>
                    <a:stretch/>
                  </pic:blipFill>
                  <pic:spPr>
                    <a:xfrm>
                      <a:off x="0" y="0"/>
                      <a:ext cx="5212080" cy="1582420"/>
                    </a:xfrm>
                    <a:prstGeom prst="rect">
                      <a:avLst/>
                    </a:prstGeom>
                  </pic:spPr>
                </pic:pic>
              </a:graphicData>
            </a:graphic>
          </wp:inline>
        </w:drawing>
      </w:r>
    </w:p>
    <w:p w14:paraId="06AE2AA4" w14:textId="2908A132" w:rsidR="008F4052" w:rsidRDefault="008F4052" w:rsidP="000C50E5">
      <w:pPr>
        <w:pStyle w:val="Body"/>
        <w:spacing w:after="0"/>
        <w:jc w:val="center"/>
        <w:rPr>
          <w:rFonts w:ascii="Arial" w:hAnsi="Arial" w:cs="Arial"/>
          <w:b/>
          <w:bCs/>
          <w:sz w:val="22"/>
          <w:szCs w:val="22"/>
        </w:rPr>
      </w:pPr>
      <w:r>
        <w:rPr>
          <w:rFonts w:ascii="Arial" w:hAnsi="Arial" w:cs="Arial"/>
          <w:b/>
          <w:bCs/>
          <w:sz w:val="22"/>
          <w:szCs w:val="22"/>
        </w:rPr>
        <w:t>Fig</w:t>
      </w:r>
      <w:r w:rsidR="000C50E5">
        <w:rPr>
          <w:rFonts w:ascii="Arial" w:hAnsi="Arial" w:cs="Arial"/>
          <w:b/>
          <w:bCs/>
          <w:sz w:val="22"/>
          <w:szCs w:val="22"/>
        </w:rPr>
        <w:t xml:space="preserve"> 1</w:t>
      </w:r>
      <w:r>
        <w:rPr>
          <w:rFonts w:ascii="Arial" w:hAnsi="Arial" w:cs="Arial"/>
          <w:b/>
          <w:bCs/>
          <w:sz w:val="22"/>
          <w:szCs w:val="22"/>
        </w:rPr>
        <w:t>: Plants at harvest stage</w:t>
      </w:r>
    </w:p>
    <w:p w14:paraId="532F77C0" w14:textId="77777777" w:rsidR="000C50E5" w:rsidRDefault="000C50E5" w:rsidP="00FE5A9A">
      <w:pPr>
        <w:pStyle w:val="Body"/>
        <w:rPr>
          <w:rFonts w:ascii="Arial" w:hAnsi="Arial" w:cs="Arial"/>
          <w:b/>
          <w:bCs/>
          <w:sz w:val="22"/>
          <w:szCs w:val="22"/>
        </w:rPr>
      </w:pPr>
    </w:p>
    <w:p w14:paraId="60747A13" w14:textId="200DF9A8" w:rsidR="00FE5A9A" w:rsidRDefault="00FE5A9A" w:rsidP="00FE5A9A">
      <w:pPr>
        <w:pStyle w:val="Body"/>
        <w:rPr>
          <w:rFonts w:ascii="Arial" w:hAnsi="Arial" w:cs="Arial"/>
        </w:rPr>
      </w:pPr>
      <w:r w:rsidRPr="00FE5A9A">
        <w:rPr>
          <w:rFonts w:ascii="Arial" w:hAnsi="Arial" w:cs="Arial"/>
          <w:b/>
          <w:bCs/>
          <w:sz w:val="22"/>
          <w:szCs w:val="22"/>
        </w:rPr>
        <w:t>3.5 NPK UPTAKE</w:t>
      </w:r>
    </w:p>
    <w:p w14:paraId="72924C2C" w14:textId="1BBFD33D" w:rsidR="00EB5F6A" w:rsidRDefault="00EB5F6A" w:rsidP="00EB5F6A">
      <w:pPr>
        <w:pStyle w:val="Body"/>
        <w:rPr>
          <w:rFonts w:ascii="Arial" w:hAnsi="Arial" w:cs="Arial"/>
        </w:rPr>
      </w:pPr>
      <w:r w:rsidRPr="00EB5F6A">
        <w:rPr>
          <w:rFonts w:ascii="Arial" w:hAnsi="Arial" w:cs="Arial"/>
        </w:rPr>
        <w:t>The total N, P, and K uptake was highest in treatment T</w:t>
      </w:r>
      <w:r w:rsidRPr="00A72C75">
        <w:rPr>
          <w:rFonts w:ascii="Arial" w:hAnsi="Arial" w:cs="Arial"/>
          <w:vertAlign w:val="subscript"/>
        </w:rPr>
        <w:t>6</w:t>
      </w:r>
      <w:r w:rsidRPr="00EB5F6A">
        <w:rPr>
          <w:rFonts w:ascii="Arial" w:hAnsi="Arial" w:cs="Arial"/>
        </w:rPr>
        <w:t>, while treatment T</w:t>
      </w:r>
      <w:r w:rsidRPr="00A72C75">
        <w:rPr>
          <w:rFonts w:ascii="Arial" w:hAnsi="Arial" w:cs="Arial"/>
          <w:vertAlign w:val="subscript"/>
        </w:rPr>
        <w:t>1</w:t>
      </w:r>
      <w:r w:rsidRPr="00EB5F6A">
        <w:rPr>
          <w:rFonts w:ascii="Arial" w:hAnsi="Arial" w:cs="Arial"/>
        </w:rPr>
        <w:t xml:space="preserve"> registered the least</w:t>
      </w:r>
      <w:r w:rsidR="00146EE5">
        <w:rPr>
          <w:rFonts w:ascii="Arial" w:hAnsi="Arial" w:cs="Arial"/>
        </w:rPr>
        <w:t xml:space="preserve"> as indicated in table </w:t>
      </w:r>
      <w:r w:rsidR="0023152F">
        <w:rPr>
          <w:rFonts w:ascii="Arial" w:hAnsi="Arial" w:cs="Arial"/>
        </w:rPr>
        <w:t>4</w:t>
      </w:r>
      <w:r w:rsidR="00146EE5">
        <w:rPr>
          <w:rFonts w:ascii="Arial" w:hAnsi="Arial" w:cs="Arial"/>
        </w:rPr>
        <w:t>.</w:t>
      </w:r>
      <w:r w:rsidRPr="00EB5F6A">
        <w:rPr>
          <w:rFonts w:ascii="Arial" w:hAnsi="Arial" w:cs="Arial"/>
        </w:rPr>
        <w:t xml:space="preserve"> The highest uptake by the crop was for nitrogen, followed by potassium and phosphorus. However, the number of pods per plant, test weight and B: C ratio were highest in treatment T</w:t>
      </w:r>
      <w:r w:rsidRPr="00A72C75">
        <w:rPr>
          <w:rFonts w:ascii="Arial" w:hAnsi="Arial" w:cs="Arial"/>
          <w:vertAlign w:val="subscript"/>
        </w:rPr>
        <w:t>5</w:t>
      </w:r>
      <w:r w:rsidRPr="00EB5F6A">
        <w:rPr>
          <w:rFonts w:ascii="Arial" w:hAnsi="Arial" w:cs="Arial"/>
        </w:rPr>
        <w:t>. Although the nutrient availability in the soil was greater in treatment T</w:t>
      </w:r>
      <w:r w:rsidRPr="00A72C75">
        <w:rPr>
          <w:rFonts w:ascii="Arial" w:hAnsi="Arial" w:cs="Arial"/>
          <w:vertAlign w:val="subscript"/>
        </w:rPr>
        <w:t>6</w:t>
      </w:r>
      <w:r w:rsidRPr="00EB5F6A">
        <w:rPr>
          <w:rFonts w:ascii="Arial" w:hAnsi="Arial" w:cs="Arial"/>
        </w:rPr>
        <w:t xml:space="preserve">, the plants were inefficient in absorbing the nutrients, potentially due to multiple factors such as nutrient imbalance because of the ratio of N/P, N/K and P/K of both available soil nutrients and total nutrient uptake values or their saturation in the soil plant system. When these values exceeded a critical value, it may result in toxicity within the plant, resulting in reduced growth and yield, which again depends on the degree of deviation of such ratio. In general, enhanced dry matter production and improved nutrient content might have increased nutrient uptake. A similar trend can be seen in the findings of </w:t>
      </w:r>
      <w:r w:rsidR="008F6C85">
        <w:rPr>
          <w:rFonts w:ascii="Arial" w:hAnsi="Arial" w:cs="Arial"/>
        </w:rPr>
        <w:t>[</w:t>
      </w:r>
      <w:r w:rsidR="008B3C4C">
        <w:rPr>
          <w:rFonts w:ascii="Arial" w:hAnsi="Arial" w:cs="Arial"/>
        </w:rPr>
        <w:t>21</w:t>
      </w:r>
      <w:r w:rsidR="008F6C85">
        <w:rPr>
          <w:rFonts w:ascii="Arial" w:hAnsi="Arial" w:cs="Arial"/>
        </w:rPr>
        <w:t xml:space="preserve">] </w:t>
      </w:r>
      <w:r w:rsidRPr="00EB5F6A">
        <w:rPr>
          <w:rFonts w:ascii="Arial" w:hAnsi="Arial" w:cs="Arial"/>
        </w:rPr>
        <w:t xml:space="preserve">Satpute </w:t>
      </w:r>
      <w:r w:rsidRPr="0023152F">
        <w:rPr>
          <w:rFonts w:ascii="Arial" w:hAnsi="Arial" w:cs="Arial"/>
          <w:i/>
          <w:iCs/>
        </w:rPr>
        <w:t>et</w:t>
      </w:r>
      <w:r w:rsidRPr="00EB5F6A">
        <w:rPr>
          <w:rFonts w:ascii="Arial" w:hAnsi="Arial" w:cs="Arial"/>
        </w:rPr>
        <w:t xml:space="preserve"> </w:t>
      </w:r>
      <w:r w:rsidRPr="0023152F">
        <w:rPr>
          <w:rFonts w:ascii="Arial" w:hAnsi="Arial" w:cs="Arial"/>
          <w:i/>
          <w:iCs/>
        </w:rPr>
        <w:t>al</w:t>
      </w:r>
      <w:r w:rsidRPr="00EB5F6A">
        <w:rPr>
          <w:rFonts w:ascii="Arial" w:hAnsi="Arial" w:cs="Arial"/>
        </w:rPr>
        <w:t xml:space="preserve">. (2020) and </w:t>
      </w:r>
      <w:r w:rsidR="00D40A76">
        <w:rPr>
          <w:rFonts w:ascii="Arial" w:hAnsi="Arial" w:cs="Arial"/>
        </w:rPr>
        <w:t>[</w:t>
      </w:r>
      <w:r w:rsidR="008B3C4C">
        <w:rPr>
          <w:rFonts w:ascii="Arial" w:hAnsi="Arial" w:cs="Arial"/>
        </w:rPr>
        <w:t>22</w:t>
      </w:r>
      <w:r w:rsidR="00D40A76">
        <w:rPr>
          <w:rFonts w:ascii="Arial" w:hAnsi="Arial" w:cs="Arial"/>
        </w:rPr>
        <w:t xml:space="preserve">] </w:t>
      </w:r>
      <w:r w:rsidR="004805E3">
        <w:rPr>
          <w:rFonts w:ascii="Arial" w:hAnsi="Arial" w:cs="Arial"/>
        </w:rPr>
        <w:t>(</w:t>
      </w:r>
      <w:proofErr w:type="spellStart"/>
      <w:r w:rsidRPr="00EB5F6A">
        <w:rPr>
          <w:rFonts w:ascii="Arial" w:hAnsi="Arial" w:cs="Arial"/>
        </w:rPr>
        <w:t>Dekhane</w:t>
      </w:r>
      <w:proofErr w:type="spellEnd"/>
      <w:r w:rsidRPr="00EB5F6A">
        <w:rPr>
          <w:rFonts w:ascii="Arial" w:hAnsi="Arial" w:cs="Arial"/>
        </w:rPr>
        <w:t xml:space="preserve"> </w:t>
      </w:r>
      <w:r w:rsidRPr="0023152F">
        <w:rPr>
          <w:rFonts w:ascii="Arial" w:hAnsi="Arial" w:cs="Arial"/>
          <w:i/>
          <w:iCs/>
        </w:rPr>
        <w:t>et</w:t>
      </w:r>
      <w:r w:rsidRPr="00EB5F6A">
        <w:rPr>
          <w:rFonts w:ascii="Arial" w:hAnsi="Arial" w:cs="Arial"/>
        </w:rPr>
        <w:t xml:space="preserve"> </w:t>
      </w:r>
      <w:r w:rsidRPr="0023152F">
        <w:rPr>
          <w:rFonts w:ascii="Arial" w:hAnsi="Arial" w:cs="Arial"/>
          <w:i/>
          <w:iCs/>
        </w:rPr>
        <w:t>al</w:t>
      </w:r>
      <w:r w:rsidRPr="00EB5F6A">
        <w:rPr>
          <w:rFonts w:ascii="Arial" w:hAnsi="Arial" w:cs="Arial"/>
        </w:rPr>
        <w:t>.</w:t>
      </w:r>
      <w:r w:rsidR="004805E3">
        <w:rPr>
          <w:rFonts w:ascii="Arial" w:hAnsi="Arial" w:cs="Arial"/>
        </w:rPr>
        <w:t>,</w:t>
      </w:r>
      <w:r w:rsidRPr="00EB5F6A">
        <w:rPr>
          <w:rFonts w:ascii="Arial" w:hAnsi="Arial" w:cs="Arial"/>
        </w:rPr>
        <w:t xml:space="preserve"> 2011). </w:t>
      </w:r>
      <w:r w:rsidR="007E753F">
        <w:rPr>
          <w:rFonts w:ascii="Arial" w:hAnsi="Arial" w:cs="Arial"/>
        </w:rPr>
        <w:t xml:space="preserve">[23] </w:t>
      </w:r>
      <w:r w:rsidR="007E753F" w:rsidRPr="007E753F">
        <w:rPr>
          <w:rFonts w:ascii="Arial" w:hAnsi="Arial" w:cs="Arial"/>
          <w:color w:val="000000" w:themeColor="text1"/>
          <w:shd w:val="clear" w:color="auto" w:fill="FFFFFF"/>
        </w:rPr>
        <w:t>Choudhary</w:t>
      </w:r>
      <w:r w:rsidR="007E753F">
        <w:rPr>
          <w:rFonts w:ascii="Arial" w:hAnsi="Arial" w:cs="Arial"/>
        </w:rPr>
        <w:t xml:space="preserve"> </w:t>
      </w:r>
      <w:r w:rsidR="007E753F" w:rsidRPr="00B54833">
        <w:rPr>
          <w:rFonts w:ascii="Arial" w:hAnsi="Arial" w:cs="Arial"/>
          <w:i/>
          <w:iCs/>
        </w:rPr>
        <w:t>et</w:t>
      </w:r>
      <w:r w:rsidR="007E753F">
        <w:rPr>
          <w:rFonts w:ascii="Arial" w:hAnsi="Arial" w:cs="Arial"/>
        </w:rPr>
        <w:t xml:space="preserve"> </w:t>
      </w:r>
      <w:r w:rsidR="007E753F" w:rsidRPr="00B54833">
        <w:rPr>
          <w:rFonts w:ascii="Arial" w:hAnsi="Arial" w:cs="Arial"/>
          <w:i/>
          <w:iCs/>
        </w:rPr>
        <w:t>al</w:t>
      </w:r>
      <w:r w:rsidR="007E753F">
        <w:rPr>
          <w:rFonts w:ascii="Arial" w:hAnsi="Arial" w:cs="Arial"/>
        </w:rPr>
        <w:t>., 2022 also observed a comparable trend when NPK fertilizers were applied along with FYM in rice crop.</w:t>
      </w:r>
    </w:p>
    <w:p w14:paraId="3ADE56A2" w14:textId="66878608" w:rsidR="00EB5F6A" w:rsidRDefault="00EB5F6A" w:rsidP="00EB5F6A">
      <w:pPr>
        <w:pStyle w:val="Body"/>
        <w:rPr>
          <w:rFonts w:ascii="Arial" w:hAnsi="Arial" w:cs="Arial"/>
        </w:rPr>
      </w:pPr>
      <w:r w:rsidRPr="00EB5F6A">
        <w:rPr>
          <w:rFonts w:ascii="Arial" w:hAnsi="Arial" w:cs="Arial"/>
        </w:rPr>
        <w:t xml:space="preserve">It can be seen from Fig. </w:t>
      </w:r>
      <w:r w:rsidR="00CC4817">
        <w:rPr>
          <w:rFonts w:ascii="Arial" w:hAnsi="Arial" w:cs="Arial"/>
        </w:rPr>
        <w:t>2</w:t>
      </w:r>
      <w:r w:rsidRPr="00EB5F6A">
        <w:rPr>
          <w:rFonts w:ascii="Arial" w:hAnsi="Arial" w:cs="Arial"/>
        </w:rPr>
        <w:t xml:space="preserve">, Table </w:t>
      </w:r>
      <w:r w:rsidR="0023152F">
        <w:rPr>
          <w:rFonts w:ascii="Arial" w:hAnsi="Arial" w:cs="Arial"/>
        </w:rPr>
        <w:t>2</w:t>
      </w:r>
      <w:r w:rsidRPr="00EB5F6A">
        <w:rPr>
          <w:rFonts w:ascii="Arial" w:hAnsi="Arial" w:cs="Arial"/>
        </w:rPr>
        <w:t xml:space="preserve">, and Table </w:t>
      </w:r>
      <w:r w:rsidR="0023152F">
        <w:rPr>
          <w:rFonts w:ascii="Arial" w:hAnsi="Arial" w:cs="Arial"/>
        </w:rPr>
        <w:t>3</w:t>
      </w:r>
      <w:r w:rsidRPr="00EB5F6A">
        <w:rPr>
          <w:rFonts w:ascii="Arial" w:hAnsi="Arial" w:cs="Arial"/>
        </w:rPr>
        <w:t xml:space="preserve"> that maximum yield was obtained when the available soil nutrient ratios, viz., N/P, N/K and P/K, are 9.95, 1.78 and 0.18, respectively, for T</w:t>
      </w:r>
      <w:r w:rsidRPr="00A72C75">
        <w:rPr>
          <w:rFonts w:ascii="Arial" w:hAnsi="Arial" w:cs="Arial"/>
          <w:vertAlign w:val="subscript"/>
        </w:rPr>
        <w:t>5</w:t>
      </w:r>
      <w:r w:rsidRPr="00EB5F6A">
        <w:rPr>
          <w:rFonts w:ascii="Arial" w:hAnsi="Arial" w:cs="Arial"/>
        </w:rPr>
        <w:t>. These values may be considered the optimum ratio because they have also resulted in the highest number of pods per plant, test weight and B: C ratio were highest in treatment T</w:t>
      </w:r>
      <w:r w:rsidRPr="00A72C75">
        <w:rPr>
          <w:rFonts w:ascii="Arial" w:hAnsi="Arial" w:cs="Arial"/>
          <w:vertAlign w:val="subscript"/>
        </w:rPr>
        <w:t>5</w:t>
      </w:r>
      <w:r w:rsidRPr="00EB5F6A">
        <w:rPr>
          <w:rFonts w:ascii="Arial" w:hAnsi="Arial" w:cs="Arial"/>
        </w:rPr>
        <w:t xml:space="preserve">, and all the ratios below and above have resulted only in a lower yield. Similarly, from Fig. </w:t>
      </w:r>
      <w:r w:rsidR="00CC4817">
        <w:rPr>
          <w:rFonts w:ascii="Arial" w:hAnsi="Arial" w:cs="Arial"/>
        </w:rPr>
        <w:t>3</w:t>
      </w:r>
      <w:r w:rsidRPr="00EB5F6A">
        <w:rPr>
          <w:rFonts w:ascii="Arial" w:hAnsi="Arial" w:cs="Arial"/>
        </w:rPr>
        <w:t xml:space="preserve"> and Table 6, it can be inferred that the optimum ratios of nutrient uptake N/P, N/K and P/K for maximum yield are 8.47, 4.34 and 1.95, respectively.</w:t>
      </w:r>
      <w:r>
        <w:rPr>
          <w:rFonts w:ascii="Arial" w:hAnsi="Arial" w:cs="Arial"/>
        </w:rPr>
        <w:t xml:space="preserve"> </w:t>
      </w:r>
      <w:r w:rsidRPr="00EB5F6A">
        <w:rPr>
          <w:rFonts w:ascii="Arial" w:hAnsi="Arial" w:cs="Arial"/>
        </w:rPr>
        <w:t>Within this range of nutrient management levels, a significant negative correlation exists between yield and ratio of available nutrients, viz., N/P and N/K, indicating that a variation from the optimum will result in a yield reduction</w:t>
      </w:r>
      <w:r w:rsidR="0023152F">
        <w:rPr>
          <w:rFonts w:ascii="Arial" w:hAnsi="Arial" w:cs="Arial"/>
        </w:rPr>
        <w:t xml:space="preserve"> as depicted in </w:t>
      </w:r>
      <w:r w:rsidR="00B1659F">
        <w:rPr>
          <w:rFonts w:ascii="Arial" w:hAnsi="Arial" w:cs="Arial"/>
        </w:rPr>
        <w:t>T</w:t>
      </w:r>
      <w:r w:rsidR="0023152F">
        <w:rPr>
          <w:rFonts w:ascii="Arial" w:hAnsi="Arial" w:cs="Arial"/>
        </w:rPr>
        <w:t>able 5</w:t>
      </w:r>
      <w:r w:rsidRPr="00EB5F6A">
        <w:rPr>
          <w:rFonts w:ascii="Arial" w:hAnsi="Arial" w:cs="Arial"/>
        </w:rPr>
        <w:t xml:space="preserve">. Similarly, the correlation between the yield and the </w:t>
      </w:r>
      <w:r w:rsidRPr="00EB5F6A">
        <w:rPr>
          <w:rFonts w:ascii="Arial" w:hAnsi="Arial" w:cs="Arial"/>
        </w:rPr>
        <w:lastRenderedPageBreak/>
        <w:t xml:space="preserve">ratio of nutrient uptake, viz., N/P and N/K, is also significantly negative. </w:t>
      </w:r>
      <w:r w:rsidR="00502516" w:rsidRPr="00502516">
        <w:rPr>
          <w:rFonts w:ascii="Arial" w:hAnsi="Arial" w:cs="Arial"/>
        </w:rPr>
        <w:t>Results should be clearly described in a concise manner.</w:t>
      </w:r>
    </w:p>
    <w:p w14:paraId="12913C37" w14:textId="26A37D53" w:rsidR="00EB5F6A" w:rsidRDefault="00EB5F6A" w:rsidP="00EB5F6A">
      <w:pPr>
        <w:pStyle w:val="Body"/>
        <w:spacing w:after="0"/>
        <w:rPr>
          <w:rFonts w:ascii="Arial" w:hAnsi="Arial"/>
          <w:b/>
        </w:rPr>
      </w:pPr>
      <w:r>
        <w:rPr>
          <w:rFonts w:ascii="Arial" w:hAnsi="Arial"/>
          <w:b/>
        </w:rPr>
        <w:t xml:space="preserve">Table </w:t>
      </w:r>
      <w:r w:rsidR="0023152F">
        <w:rPr>
          <w:rFonts w:ascii="Arial" w:hAnsi="Arial"/>
          <w:b/>
        </w:rPr>
        <w:t>4</w:t>
      </w:r>
      <w:r>
        <w:rPr>
          <w:rFonts w:ascii="Arial" w:hAnsi="Arial"/>
          <w:b/>
        </w:rPr>
        <w:t xml:space="preserve">. </w:t>
      </w:r>
      <w:r w:rsidRPr="00392277">
        <w:rPr>
          <w:rFonts w:ascii="Arial" w:hAnsi="Arial"/>
          <w:b/>
        </w:rPr>
        <w:t>Effect of treatments on total nutrient uptake</w:t>
      </w:r>
    </w:p>
    <w:tbl>
      <w:tblPr>
        <w:tblpPr w:leftFromText="180" w:rightFromText="180" w:vertAnchor="text" w:horzAnchor="margin" w:tblpX="392" w:tblpY="194"/>
        <w:tblW w:w="6521" w:type="dxa"/>
        <w:tblBorders>
          <w:top w:val="single" w:sz="4" w:space="0" w:color="auto"/>
          <w:bottom w:val="single" w:sz="4" w:space="0" w:color="auto"/>
          <w:insideH w:val="single" w:sz="4" w:space="0" w:color="auto"/>
        </w:tblBorders>
        <w:tblLook w:val="01E0" w:firstRow="1" w:lastRow="1" w:firstColumn="1" w:lastColumn="1" w:noHBand="0" w:noVBand="0"/>
      </w:tblPr>
      <w:tblGrid>
        <w:gridCol w:w="1787"/>
        <w:gridCol w:w="1578"/>
        <w:gridCol w:w="1578"/>
        <w:gridCol w:w="1578"/>
      </w:tblGrid>
      <w:tr w:rsidR="00EB5F6A" w:rsidRPr="00DC3180" w14:paraId="3EE50729" w14:textId="77777777">
        <w:trPr>
          <w:trHeight w:val="303"/>
        </w:trPr>
        <w:tc>
          <w:tcPr>
            <w:tcW w:w="1787" w:type="dxa"/>
            <w:tcBorders>
              <w:bottom w:val="single" w:sz="4" w:space="0" w:color="auto"/>
            </w:tcBorders>
          </w:tcPr>
          <w:p w14:paraId="3C608C7F" w14:textId="77777777" w:rsidR="00EB5F6A" w:rsidRPr="00DC3180" w:rsidRDefault="00EB5F6A">
            <w:pPr>
              <w:jc w:val="both"/>
              <w:rPr>
                <w:rFonts w:ascii="Arial" w:hAnsi="Arial"/>
                <w:b/>
                <w:bCs/>
              </w:rPr>
            </w:pPr>
            <w:r w:rsidRPr="00187F1F">
              <w:t>Treatment</w:t>
            </w:r>
            <w:r>
              <w:t>s</w:t>
            </w:r>
          </w:p>
        </w:tc>
        <w:tc>
          <w:tcPr>
            <w:tcW w:w="1578" w:type="dxa"/>
            <w:tcBorders>
              <w:bottom w:val="single" w:sz="4" w:space="0" w:color="auto"/>
            </w:tcBorders>
          </w:tcPr>
          <w:p w14:paraId="5EFAC012" w14:textId="77777777" w:rsidR="00EB5F6A" w:rsidRPr="00B646CE" w:rsidRDefault="00EB5F6A">
            <w:pPr>
              <w:jc w:val="both"/>
              <w:rPr>
                <w:rFonts w:ascii="Arial" w:hAnsi="Arial" w:cs="Arial"/>
              </w:rPr>
            </w:pPr>
            <w:r w:rsidRPr="00B646CE">
              <w:rPr>
                <w:rFonts w:ascii="Arial" w:hAnsi="Arial" w:cs="Arial"/>
              </w:rPr>
              <w:t>N (kg ha</w:t>
            </w:r>
            <w:r w:rsidRPr="00B646CE">
              <w:rPr>
                <w:rFonts w:ascii="Arial" w:hAnsi="Arial" w:cs="Arial"/>
                <w:vertAlign w:val="superscript"/>
              </w:rPr>
              <w:t>-1</w:t>
            </w:r>
            <w:r w:rsidRPr="00B646CE">
              <w:rPr>
                <w:rFonts w:ascii="Arial" w:hAnsi="Arial" w:cs="Arial"/>
              </w:rPr>
              <w:t>)</w:t>
            </w:r>
          </w:p>
        </w:tc>
        <w:tc>
          <w:tcPr>
            <w:tcW w:w="1578" w:type="dxa"/>
            <w:tcBorders>
              <w:bottom w:val="single" w:sz="4" w:space="0" w:color="auto"/>
            </w:tcBorders>
          </w:tcPr>
          <w:p w14:paraId="54A76DDF" w14:textId="77777777" w:rsidR="00EB5F6A" w:rsidRPr="00B646CE" w:rsidRDefault="00EB5F6A">
            <w:pPr>
              <w:jc w:val="both"/>
              <w:rPr>
                <w:rFonts w:ascii="Arial" w:hAnsi="Arial" w:cs="Arial"/>
              </w:rPr>
            </w:pPr>
            <w:r w:rsidRPr="00B646CE">
              <w:rPr>
                <w:rFonts w:ascii="Arial" w:hAnsi="Arial" w:cs="Arial"/>
              </w:rPr>
              <w:t>P (kg ha</w:t>
            </w:r>
            <w:r w:rsidRPr="00B646CE">
              <w:rPr>
                <w:rFonts w:ascii="Arial" w:hAnsi="Arial" w:cs="Arial"/>
                <w:vertAlign w:val="superscript"/>
              </w:rPr>
              <w:t>-1</w:t>
            </w:r>
            <w:r w:rsidRPr="00B646CE">
              <w:rPr>
                <w:rFonts w:ascii="Arial" w:hAnsi="Arial" w:cs="Arial"/>
              </w:rPr>
              <w:t>)</w:t>
            </w:r>
          </w:p>
        </w:tc>
        <w:tc>
          <w:tcPr>
            <w:tcW w:w="1578" w:type="dxa"/>
            <w:tcBorders>
              <w:bottom w:val="single" w:sz="4" w:space="0" w:color="auto"/>
            </w:tcBorders>
          </w:tcPr>
          <w:p w14:paraId="362EDD1A" w14:textId="77777777" w:rsidR="00EB5F6A" w:rsidRPr="00B646CE" w:rsidRDefault="00EB5F6A">
            <w:pPr>
              <w:jc w:val="both"/>
              <w:rPr>
                <w:rFonts w:ascii="Arial" w:hAnsi="Arial" w:cs="Arial"/>
              </w:rPr>
            </w:pPr>
            <w:r w:rsidRPr="00B646CE">
              <w:rPr>
                <w:rFonts w:ascii="Arial" w:hAnsi="Arial" w:cs="Arial"/>
              </w:rPr>
              <w:t>K (kg ha</w:t>
            </w:r>
            <w:r w:rsidRPr="00B646CE">
              <w:rPr>
                <w:rFonts w:ascii="Arial" w:hAnsi="Arial" w:cs="Arial"/>
                <w:vertAlign w:val="superscript"/>
              </w:rPr>
              <w:t>-1</w:t>
            </w:r>
            <w:r w:rsidRPr="00B646CE">
              <w:rPr>
                <w:rFonts w:ascii="Arial" w:hAnsi="Arial" w:cs="Arial"/>
              </w:rPr>
              <w:t>)</w:t>
            </w:r>
          </w:p>
        </w:tc>
      </w:tr>
      <w:tr w:rsidR="00EB5F6A" w:rsidRPr="00DC3180" w14:paraId="12AA04A5" w14:textId="77777777">
        <w:trPr>
          <w:trHeight w:val="242"/>
        </w:trPr>
        <w:tc>
          <w:tcPr>
            <w:tcW w:w="1787" w:type="dxa"/>
            <w:tcBorders>
              <w:bottom w:val="nil"/>
            </w:tcBorders>
          </w:tcPr>
          <w:p w14:paraId="73508C21" w14:textId="77777777" w:rsidR="00EB5F6A" w:rsidRPr="00DC3180" w:rsidRDefault="00EB5F6A">
            <w:pPr>
              <w:jc w:val="both"/>
              <w:rPr>
                <w:rFonts w:ascii="Arial" w:hAnsi="Arial"/>
                <w:b/>
                <w:bCs/>
              </w:rPr>
            </w:pPr>
            <w:r w:rsidRPr="00187F1F">
              <w:t>T</w:t>
            </w:r>
            <w:r w:rsidRPr="006943D5">
              <w:rPr>
                <w:vertAlign w:val="subscript"/>
              </w:rPr>
              <w:t>1</w:t>
            </w:r>
          </w:p>
        </w:tc>
        <w:tc>
          <w:tcPr>
            <w:tcW w:w="1578" w:type="dxa"/>
            <w:tcBorders>
              <w:bottom w:val="nil"/>
            </w:tcBorders>
          </w:tcPr>
          <w:p w14:paraId="741CBED4" w14:textId="77777777" w:rsidR="00EB5F6A" w:rsidRPr="00B646CE" w:rsidRDefault="00EB5F6A">
            <w:pPr>
              <w:jc w:val="both"/>
              <w:rPr>
                <w:rFonts w:ascii="Arial" w:hAnsi="Arial" w:cs="Arial"/>
              </w:rPr>
            </w:pPr>
            <w:r w:rsidRPr="00B646CE">
              <w:rPr>
                <w:rFonts w:ascii="Arial" w:hAnsi="Arial" w:cs="Arial"/>
              </w:rPr>
              <w:t>152.78</w:t>
            </w:r>
            <w:r w:rsidRPr="00B646CE">
              <w:rPr>
                <w:rFonts w:ascii="Arial" w:hAnsi="Arial" w:cs="Arial"/>
                <w:vertAlign w:val="superscript"/>
              </w:rPr>
              <w:t>f</w:t>
            </w:r>
          </w:p>
        </w:tc>
        <w:tc>
          <w:tcPr>
            <w:tcW w:w="1578" w:type="dxa"/>
            <w:tcBorders>
              <w:bottom w:val="nil"/>
            </w:tcBorders>
          </w:tcPr>
          <w:p w14:paraId="0DD1BA23" w14:textId="77777777" w:rsidR="00EB5F6A" w:rsidRPr="00B646CE" w:rsidRDefault="00EB5F6A">
            <w:pPr>
              <w:jc w:val="both"/>
              <w:rPr>
                <w:rFonts w:ascii="Arial" w:hAnsi="Arial" w:cs="Arial"/>
              </w:rPr>
            </w:pPr>
            <w:r w:rsidRPr="00B646CE">
              <w:rPr>
                <w:rFonts w:ascii="Arial" w:hAnsi="Arial" w:cs="Arial"/>
              </w:rPr>
              <w:t>16.02</w:t>
            </w:r>
            <w:r w:rsidRPr="00B646CE">
              <w:rPr>
                <w:rFonts w:ascii="Arial" w:hAnsi="Arial" w:cs="Arial"/>
                <w:vertAlign w:val="superscript"/>
              </w:rPr>
              <w:t>e</w:t>
            </w:r>
          </w:p>
        </w:tc>
        <w:tc>
          <w:tcPr>
            <w:tcW w:w="1578" w:type="dxa"/>
            <w:tcBorders>
              <w:bottom w:val="nil"/>
            </w:tcBorders>
          </w:tcPr>
          <w:p w14:paraId="41DE9294" w14:textId="77777777" w:rsidR="00EB5F6A" w:rsidRPr="00B646CE" w:rsidRDefault="00EB5F6A">
            <w:pPr>
              <w:jc w:val="both"/>
              <w:rPr>
                <w:rFonts w:ascii="Arial" w:hAnsi="Arial" w:cs="Arial"/>
              </w:rPr>
            </w:pPr>
            <w:r w:rsidRPr="00B646CE">
              <w:rPr>
                <w:rFonts w:ascii="Arial" w:hAnsi="Arial" w:cs="Arial"/>
              </w:rPr>
              <w:t>67.66</w:t>
            </w:r>
            <w:r w:rsidRPr="00B646CE">
              <w:rPr>
                <w:rFonts w:ascii="Arial" w:hAnsi="Arial" w:cs="Arial"/>
                <w:vertAlign w:val="superscript"/>
              </w:rPr>
              <w:t>f</w:t>
            </w:r>
          </w:p>
        </w:tc>
      </w:tr>
      <w:tr w:rsidR="00EB5F6A" w:rsidRPr="00DC3180" w14:paraId="6EFADEAF" w14:textId="77777777">
        <w:trPr>
          <w:trHeight w:val="303"/>
        </w:trPr>
        <w:tc>
          <w:tcPr>
            <w:tcW w:w="1787" w:type="dxa"/>
            <w:tcBorders>
              <w:top w:val="nil"/>
              <w:bottom w:val="nil"/>
            </w:tcBorders>
          </w:tcPr>
          <w:p w14:paraId="1F80EF5B" w14:textId="77777777" w:rsidR="00EB5F6A" w:rsidRPr="00DC3180" w:rsidRDefault="00EB5F6A">
            <w:pPr>
              <w:jc w:val="both"/>
              <w:rPr>
                <w:rFonts w:ascii="Arial" w:hAnsi="Arial" w:cs="Arial"/>
              </w:rPr>
            </w:pPr>
            <w:r w:rsidRPr="00187F1F">
              <w:t>T</w:t>
            </w:r>
            <w:r w:rsidRPr="006943D5">
              <w:rPr>
                <w:vertAlign w:val="subscript"/>
              </w:rPr>
              <w:t>2</w:t>
            </w:r>
          </w:p>
        </w:tc>
        <w:tc>
          <w:tcPr>
            <w:tcW w:w="1578" w:type="dxa"/>
            <w:tcBorders>
              <w:top w:val="nil"/>
              <w:bottom w:val="nil"/>
            </w:tcBorders>
          </w:tcPr>
          <w:p w14:paraId="306B3F7D" w14:textId="77777777" w:rsidR="00EB5F6A" w:rsidRPr="00B646CE" w:rsidRDefault="00EB5F6A">
            <w:pPr>
              <w:jc w:val="both"/>
              <w:rPr>
                <w:rFonts w:ascii="Arial" w:hAnsi="Arial" w:cs="Arial"/>
              </w:rPr>
            </w:pPr>
            <w:r w:rsidRPr="00B646CE">
              <w:rPr>
                <w:rFonts w:ascii="Arial" w:hAnsi="Arial" w:cs="Arial"/>
              </w:rPr>
              <w:t>180.73</w:t>
            </w:r>
            <w:r w:rsidRPr="00B646CE">
              <w:rPr>
                <w:rFonts w:ascii="Arial" w:hAnsi="Arial" w:cs="Arial"/>
                <w:vertAlign w:val="superscript"/>
              </w:rPr>
              <w:t>e</w:t>
            </w:r>
          </w:p>
        </w:tc>
        <w:tc>
          <w:tcPr>
            <w:tcW w:w="1578" w:type="dxa"/>
            <w:tcBorders>
              <w:top w:val="nil"/>
              <w:bottom w:val="nil"/>
            </w:tcBorders>
          </w:tcPr>
          <w:p w14:paraId="1D6F788D" w14:textId="77777777" w:rsidR="00EB5F6A" w:rsidRPr="00B646CE" w:rsidRDefault="00EB5F6A">
            <w:pPr>
              <w:jc w:val="both"/>
              <w:rPr>
                <w:rFonts w:ascii="Arial" w:hAnsi="Arial" w:cs="Arial"/>
              </w:rPr>
            </w:pPr>
            <w:r w:rsidRPr="00B646CE">
              <w:rPr>
                <w:rFonts w:ascii="Arial" w:hAnsi="Arial" w:cs="Arial"/>
              </w:rPr>
              <w:t>18.50</w:t>
            </w:r>
            <w:r w:rsidRPr="00B646CE">
              <w:rPr>
                <w:rFonts w:ascii="Arial" w:hAnsi="Arial" w:cs="Arial"/>
                <w:vertAlign w:val="superscript"/>
              </w:rPr>
              <w:t>d</w:t>
            </w:r>
          </w:p>
        </w:tc>
        <w:tc>
          <w:tcPr>
            <w:tcW w:w="1578" w:type="dxa"/>
            <w:tcBorders>
              <w:top w:val="nil"/>
              <w:bottom w:val="nil"/>
            </w:tcBorders>
          </w:tcPr>
          <w:p w14:paraId="58708067" w14:textId="77777777" w:rsidR="00EB5F6A" w:rsidRPr="00B646CE" w:rsidRDefault="00EB5F6A">
            <w:pPr>
              <w:jc w:val="both"/>
              <w:rPr>
                <w:rFonts w:ascii="Arial" w:hAnsi="Arial" w:cs="Arial"/>
              </w:rPr>
            </w:pPr>
            <w:r w:rsidRPr="00B646CE">
              <w:rPr>
                <w:rFonts w:ascii="Arial" w:hAnsi="Arial" w:cs="Arial"/>
              </w:rPr>
              <w:t>81.48</w:t>
            </w:r>
            <w:r w:rsidRPr="00B646CE">
              <w:rPr>
                <w:rFonts w:ascii="Arial" w:hAnsi="Arial" w:cs="Arial"/>
                <w:vertAlign w:val="superscript"/>
              </w:rPr>
              <w:t>e</w:t>
            </w:r>
          </w:p>
        </w:tc>
      </w:tr>
      <w:tr w:rsidR="00EB5F6A" w:rsidRPr="00DC3180" w14:paraId="366F7E59" w14:textId="77777777">
        <w:trPr>
          <w:trHeight w:val="303"/>
        </w:trPr>
        <w:tc>
          <w:tcPr>
            <w:tcW w:w="1787" w:type="dxa"/>
            <w:tcBorders>
              <w:top w:val="nil"/>
              <w:bottom w:val="nil"/>
            </w:tcBorders>
          </w:tcPr>
          <w:p w14:paraId="293DD5AA" w14:textId="77777777" w:rsidR="00EB5F6A" w:rsidRPr="00DC3180" w:rsidRDefault="00EB5F6A">
            <w:pPr>
              <w:jc w:val="both"/>
              <w:rPr>
                <w:rFonts w:ascii="Arial" w:hAnsi="Arial"/>
              </w:rPr>
            </w:pPr>
            <w:r w:rsidRPr="00187F1F">
              <w:t>T</w:t>
            </w:r>
            <w:r w:rsidRPr="006943D5">
              <w:rPr>
                <w:vertAlign w:val="subscript"/>
              </w:rPr>
              <w:t>3</w:t>
            </w:r>
          </w:p>
        </w:tc>
        <w:tc>
          <w:tcPr>
            <w:tcW w:w="1578" w:type="dxa"/>
            <w:tcBorders>
              <w:top w:val="nil"/>
              <w:bottom w:val="nil"/>
            </w:tcBorders>
          </w:tcPr>
          <w:p w14:paraId="443A986D" w14:textId="77777777" w:rsidR="00EB5F6A" w:rsidRPr="00B646CE" w:rsidRDefault="00EB5F6A">
            <w:pPr>
              <w:jc w:val="both"/>
              <w:rPr>
                <w:rFonts w:ascii="Arial" w:hAnsi="Arial" w:cs="Arial"/>
              </w:rPr>
            </w:pPr>
            <w:r w:rsidRPr="00B646CE">
              <w:rPr>
                <w:rFonts w:ascii="Arial" w:hAnsi="Arial" w:cs="Arial"/>
              </w:rPr>
              <w:t>232.99</w:t>
            </w:r>
            <w:r w:rsidRPr="00B646CE">
              <w:rPr>
                <w:rFonts w:ascii="Arial" w:hAnsi="Arial" w:cs="Arial"/>
                <w:vertAlign w:val="superscript"/>
              </w:rPr>
              <w:t>d</w:t>
            </w:r>
          </w:p>
        </w:tc>
        <w:tc>
          <w:tcPr>
            <w:tcW w:w="1578" w:type="dxa"/>
            <w:tcBorders>
              <w:top w:val="nil"/>
              <w:bottom w:val="nil"/>
            </w:tcBorders>
          </w:tcPr>
          <w:p w14:paraId="16F653E2" w14:textId="77777777" w:rsidR="00EB5F6A" w:rsidRPr="00B646CE" w:rsidRDefault="00EB5F6A">
            <w:pPr>
              <w:jc w:val="both"/>
              <w:rPr>
                <w:rFonts w:ascii="Arial" w:hAnsi="Arial" w:cs="Arial"/>
              </w:rPr>
            </w:pPr>
            <w:r w:rsidRPr="00B646CE">
              <w:rPr>
                <w:rFonts w:ascii="Arial" w:hAnsi="Arial" w:cs="Arial"/>
              </w:rPr>
              <w:t>25.29</w:t>
            </w:r>
            <w:r w:rsidRPr="00B646CE">
              <w:rPr>
                <w:rFonts w:ascii="Arial" w:hAnsi="Arial" w:cs="Arial"/>
                <w:vertAlign w:val="superscript"/>
              </w:rPr>
              <w:t>c</w:t>
            </w:r>
          </w:p>
        </w:tc>
        <w:tc>
          <w:tcPr>
            <w:tcW w:w="1578" w:type="dxa"/>
            <w:tcBorders>
              <w:top w:val="nil"/>
              <w:bottom w:val="nil"/>
            </w:tcBorders>
          </w:tcPr>
          <w:p w14:paraId="02FCC71E" w14:textId="77777777" w:rsidR="00EB5F6A" w:rsidRPr="00B646CE" w:rsidRDefault="00EB5F6A">
            <w:pPr>
              <w:jc w:val="both"/>
              <w:rPr>
                <w:rFonts w:ascii="Arial" w:hAnsi="Arial" w:cs="Arial"/>
              </w:rPr>
            </w:pPr>
            <w:r w:rsidRPr="00B646CE">
              <w:rPr>
                <w:rFonts w:ascii="Arial" w:hAnsi="Arial" w:cs="Arial"/>
              </w:rPr>
              <w:t>112.87</w:t>
            </w:r>
            <w:r w:rsidRPr="00B646CE">
              <w:rPr>
                <w:rFonts w:ascii="Arial" w:hAnsi="Arial" w:cs="Arial"/>
                <w:vertAlign w:val="superscript"/>
              </w:rPr>
              <w:t>d</w:t>
            </w:r>
          </w:p>
        </w:tc>
      </w:tr>
      <w:tr w:rsidR="00EB5F6A" w:rsidRPr="00DC3180" w14:paraId="49E184CE" w14:textId="77777777">
        <w:trPr>
          <w:trHeight w:val="303"/>
        </w:trPr>
        <w:tc>
          <w:tcPr>
            <w:tcW w:w="1787" w:type="dxa"/>
            <w:tcBorders>
              <w:top w:val="nil"/>
              <w:bottom w:val="nil"/>
            </w:tcBorders>
          </w:tcPr>
          <w:p w14:paraId="6E4EFBDE" w14:textId="77777777" w:rsidR="00EB5F6A" w:rsidRPr="00DC3180" w:rsidRDefault="00EB5F6A">
            <w:pPr>
              <w:jc w:val="both"/>
              <w:rPr>
                <w:rFonts w:ascii="Arial" w:hAnsi="Arial"/>
              </w:rPr>
            </w:pPr>
            <w:r w:rsidRPr="00187F1F">
              <w:t>T</w:t>
            </w:r>
            <w:r w:rsidRPr="006943D5">
              <w:rPr>
                <w:vertAlign w:val="subscript"/>
              </w:rPr>
              <w:t>4</w:t>
            </w:r>
          </w:p>
        </w:tc>
        <w:tc>
          <w:tcPr>
            <w:tcW w:w="1578" w:type="dxa"/>
            <w:tcBorders>
              <w:top w:val="nil"/>
              <w:bottom w:val="nil"/>
            </w:tcBorders>
          </w:tcPr>
          <w:p w14:paraId="672154D4" w14:textId="77777777" w:rsidR="00EB5F6A" w:rsidRPr="00B646CE" w:rsidRDefault="00EB5F6A">
            <w:pPr>
              <w:jc w:val="both"/>
              <w:rPr>
                <w:rFonts w:ascii="Arial" w:hAnsi="Arial" w:cs="Arial"/>
              </w:rPr>
            </w:pPr>
            <w:r w:rsidRPr="00B646CE">
              <w:rPr>
                <w:rFonts w:ascii="Arial" w:hAnsi="Arial" w:cs="Arial"/>
              </w:rPr>
              <w:t>273.02</w:t>
            </w:r>
            <w:r w:rsidRPr="00B646CE">
              <w:rPr>
                <w:rFonts w:ascii="Arial" w:hAnsi="Arial" w:cs="Arial"/>
                <w:vertAlign w:val="superscript"/>
              </w:rPr>
              <w:t>c</w:t>
            </w:r>
          </w:p>
        </w:tc>
        <w:tc>
          <w:tcPr>
            <w:tcW w:w="1578" w:type="dxa"/>
            <w:tcBorders>
              <w:top w:val="nil"/>
              <w:bottom w:val="nil"/>
            </w:tcBorders>
          </w:tcPr>
          <w:p w14:paraId="04C0397D" w14:textId="77777777" w:rsidR="00EB5F6A" w:rsidRPr="00B646CE" w:rsidRDefault="00EB5F6A">
            <w:pPr>
              <w:jc w:val="both"/>
              <w:rPr>
                <w:rFonts w:ascii="Arial" w:hAnsi="Arial" w:cs="Arial"/>
              </w:rPr>
            </w:pPr>
            <w:r w:rsidRPr="00B646CE">
              <w:rPr>
                <w:rFonts w:ascii="Arial" w:hAnsi="Arial" w:cs="Arial"/>
              </w:rPr>
              <w:t>29.63</w:t>
            </w:r>
            <w:r w:rsidRPr="00B646CE">
              <w:rPr>
                <w:rFonts w:ascii="Arial" w:hAnsi="Arial" w:cs="Arial"/>
                <w:vertAlign w:val="superscript"/>
              </w:rPr>
              <w:t>b</w:t>
            </w:r>
          </w:p>
        </w:tc>
        <w:tc>
          <w:tcPr>
            <w:tcW w:w="1578" w:type="dxa"/>
            <w:tcBorders>
              <w:top w:val="nil"/>
              <w:bottom w:val="nil"/>
            </w:tcBorders>
          </w:tcPr>
          <w:p w14:paraId="5D6A162C" w14:textId="77777777" w:rsidR="00EB5F6A" w:rsidRPr="00B646CE" w:rsidRDefault="00EB5F6A">
            <w:pPr>
              <w:jc w:val="both"/>
              <w:rPr>
                <w:rFonts w:ascii="Arial" w:hAnsi="Arial" w:cs="Arial"/>
              </w:rPr>
            </w:pPr>
            <w:r w:rsidRPr="00B646CE">
              <w:rPr>
                <w:rFonts w:ascii="Arial" w:hAnsi="Arial" w:cs="Arial"/>
              </w:rPr>
              <w:t>138.00</w:t>
            </w:r>
            <w:r w:rsidRPr="00B646CE">
              <w:rPr>
                <w:rFonts w:ascii="Arial" w:hAnsi="Arial" w:cs="Arial"/>
                <w:vertAlign w:val="superscript"/>
              </w:rPr>
              <w:t>c</w:t>
            </w:r>
          </w:p>
        </w:tc>
      </w:tr>
      <w:tr w:rsidR="00EB5F6A" w:rsidRPr="00DC3180" w14:paraId="03BBE6EA" w14:textId="77777777">
        <w:trPr>
          <w:trHeight w:val="303"/>
        </w:trPr>
        <w:tc>
          <w:tcPr>
            <w:tcW w:w="1787" w:type="dxa"/>
            <w:tcBorders>
              <w:top w:val="nil"/>
              <w:bottom w:val="nil"/>
            </w:tcBorders>
          </w:tcPr>
          <w:p w14:paraId="6BB09F1C" w14:textId="77777777" w:rsidR="00EB5F6A" w:rsidRPr="006943D5" w:rsidRDefault="00EB5F6A">
            <w:pPr>
              <w:jc w:val="both"/>
              <w:rPr>
                <w:rFonts w:ascii="Arial" w:hAnsi="Arial"/>
                <w:vertAlign w:val="subscript"/>
              </w:rPr>
            </w:pPr>
            <w:r>
              <w:rPr>
                <w:rFonts w:ascii="Arial" w:hAnsi="Arial"/>
              </w:rPr>
              <w:t>T</w:t>
            </w:r>
            <w:r>
              <w:rPr>
                <w:rFonts w:ascii="Arial" w:hAnsi="Arial"/>
                <w:vertAlign w:val="subscript"/>
              </w:rPr>
              <w:t>5</w:t>
            </w:r>
          </w:p>
        </w:tc>
        <w:tc>
          <w:tcPr>
            <w:tcW w:w="1578" w:type="dxa"/>
            <w:tcBorders>
              <w:top w:val="nil"/>
              <w:bottom w:val="nil"/>
            </w:tcBorders>
          </w:tcPr>
          <w:p w14:paraId="71D4F1ED" w14:textId="77777777" w:rsidR="00EB5F6A" w:rsidRPr="00B646CE" w:rsidRDefault="00EB5F6A">
            <w:pPr>
              <w:jc w:val="both"/>
              <w:rPr>
                <w:rFonts w:ascii="Arial" w:hAnsi="Arial" w:cs="Arial"/>
              </w:rPr>
            </w:pPr>
            <w:r w:rsidRPr="00B646CE">
              <w:rPr>
                <w:rFonts w:ascii="Arial" w:hAnsi="Arial" w:cs="Arial"/>
              </w:rPr>
              <w:t>327.49</w:t>
            </w:r>
            <w:r w:rsidRPr="00B646CE">
              <w:rPr>
                <w:rFonts w:ascii="Arial" w:hAnsi="Arial" w:cs="Arial"/>
                <w:vertAlign w:val="superscript"/>
              </w:rPr>
              <w:t>b</w:t>
            </w:r>
          </w:p>
        </w:tc>
        <w:tc>
          <w:tcPr>
            <w:tcW w:w="1578" w:type="dxa"/>
            <w:tcBorders>
              <w:top w:val="nil"/>
              <w:bottom w:val="nil"/>
            </w:tcBorders>
          </w:tcPr>
          <w:p w14:paraId="1151FB93" w14:textId="77777777" w:rsidR="00EB5F6A" w:rsidRPr="00B646CE" w:rsidRDefault="00EB5F6A">
            <w:pPr>
              <w:jc w:val="both"/>
              <w:rPr>
                <w:rFonts w:ascii="Arial" w:hAnsi="Arial" w:cs="Arial"/>
              </w:rPr>
            </w:pPr>
            <w:r w:rsidRPr="00B646CE">
              <w:rPr>
                <w:rFonts w:ascii="Arial" w:hAnsi="Arial" w:cs="Arial"/>
              </w:rPr>
              <w:t>38.68</w:t>
            </w:r>
            <w:r w:rsidRPr="00B646CE">
              <w:rPr>
                <w:rFonts w:ascii="Arial" w:hAnsi="Arial" w:cs="Arial"/>
                <w:vertAlign w:val="superscript"/>
              </w:rPr>
              <w:t>a</w:t>
            </w:r>
          </w:p>
        </w:tc>
        <w:tc>
          <w:tcPr>
            <w:tcW w:w="1578" w:type="dxa"/>
            <w:tcBorders>
              <w:top w:val="nil"/>
              <w:bottom w:val="nil"/>
            </w:tcBorders>
          </w:tcPr>
          <w:p w14:paraId="112CEE3A" w14:textId="77777777" w:rsidR="00EB5F6A" w:rsidRPr="00B646CE" w:rsidRDefault="00EB5F6A">
            <w:pPr>
              <w:jc w:val="both"/>
              <w:rPr>
                <w:rFonts w:ascii="Arial" w:hAnsi="Arial" w:cs="Arial"/>
              </w:rPr>
            </w:pPr>
            <w:r w:rsidRPr="00B646CE">
              <w:rPr>
                <w:rFonts w:ascii="Arial" w:hAnsi="Arial" w:cs="Arial"/>
              </w:rPr>
              <w:t>167.97</w:t>
            </w:r>
            <w:r w:rsidRPr="00B646CE">
              <w:rPr>
                <w:rFonts w:ascii="Arial" w:hAnsi="Arial" w:cs="Arial"/>
                <w:vertAlign w:val="superscript"/>
              </w:rPr>
              <w:t>b</w:t>
            </w:r>
          </w:p>
        </w:tc>
      </w:tr>
      <w:tr w:rsidR="00EB5F6A" w:rsidRPr="00DC3180" w14:paraId="07D5382E" w14:textId="77777777">
        <w:trPr>
          <w:trHeight w:val="287"/>
        </w:trPr>
        <w:tc>
          <w:tcPr>
            <w:tcW w:w="1787" w:type="dxa"/>
            <w:tcBorders>
              <w:top w:val="nil"/>
              <w:bottom w:val="single" w:sz="4" w:space="0" w:color="auto"/>
            </w:tcBorders>
          </w:tcPr>
          <w:p w14:paraId="5A964931" w14:textId="77777777" w:rsidR="00EB5F6A" w:rsidRPr="006943D5" w:rsidRDefault="00EB5F6A">
            <w:pPr>
              <w:jc w:val="both"/>
              <w:rPr>
                <w:rFonts w:ascii="Arial" w:hAnsi="Arial"/>
                <w:vertAlign w:val="subscript"/>
              </w:rPr>
            </w:pPr>
            <w:r>
              <w:rPr>
                <w:rFonts w:ascii="Arial" w:hAnsi="Arial"/>
              </w:rPr>
              <w:t>T</w:t>
            </w:r>
            <w:r>
              <w:rPr>
                <w:rFonts w:ascii="Arial" w:hAnsi="Arial"/>
                <w:vertAlign w:val="subscript"/>
              </w:rPr>
              <w:t>6</w:t>
            </w:r>
          </w:p>
        </w:tc>
        <w:tc>
          <w:tcPr>
            <w:tcW w:w="1578" w:type="dxa"/>
            <w:tcBorders>
              <w:top w:val="nil"/>
              <w:bottom w:val="single" w:sz="4" w:space="0" w:color="auto"/>
            </w:tcBorders>
          </w:tcPr>
          <w:p w14:paraId="5282C0C1" w14:textId="77777777" w:rsidR="00EB5F6A" w:rsidRPr="00B646CE" w:rsidRDefault="00EB5F6A">
            <w:pPr>
              <w:jc w:val="both"/>
              <w:rPr>
                <w:rFonts w:ascii="Arial" w:hAnsi="Arial" w:cs="Arial"/>
              </w:rPr>
            </w:pPr>
            <w:r w:rsidRPr="00B646CE">
              <w:rPr>
                <w:rFonts w:ascii="Arial" w:hAnsi="Arial" w:cs="Arial"/>
              </w:rPr>
              <w:t>342.15</w:t>
            </w:r>
            <w:r w:rsidRPr="00B646CE">
              <w:rPr>
                <w:rFonts w:ascii="Arial" w:hAnsi="Arial" w:cs="Arial"/>
                <w:vertAlign w:val="superscript"/>
              </w:rPr>
              <w:t>a</w:t>
            </w:r>
          </w:p>
        </w:tc>
        <w:tc>
          <w:tcPr>
            <w:tcW w:w="1578" w:type="dxa"/>
            <w:tcBorders>
              <w:top w:val="nil"/>
              <w:bottom w:val="single" w:sz="4" w:space="0" w:color="auto"/>
            </w:tcBorders>
          </w:tcPr>
          <w:p w14:paraId="7D2991CA" w14:textId="77777777" w:rsidR="00EB5F6A" w:rsidRPr="00B646CE" w:rsidRDefault="00EB5F6A">
            <w:pPr>
              <w:jc w:val="both"/>
              <w:rPr>
                <w:rFonts w:ascii="Arial" w:hAnsi="Arial" w:cs="Arial"/>
              </w:rPr>
            </w:pPr>
            <w:r w:rsidRPr="00B646CE">
              <w:rPr>
                <w:rFonts w:ascii="Arial" w:hAnsi="Arial" w:cs="Arial"/>
              </w:rPr>
              <w:t>39.74</w:t>
            </w:r>
            <w:r w:rsidRPr="00B646CE">
              <w:rPr>
                <w:rFonts w:ascii="Arial" w:hAnsi="Arial" w:cs="Arial"/>
                <w:vertAlign w:val="superscript"/>
              </w:rPr>
              <w:t>a</w:t>
            </w:r>
          </w:p>
        </w:tc>
        <w:tc>
          <w:tcPr>
            <w:tcW w:w="1578" w:type="dxa"/>
            <w:tcBorders>
              <w:top w:val="nil"/>
              <w:bottom w:val="single" w:sz="4" w:space="0" w:color="auto"/>
            </w:tcBorders>
          </w:tcPr>
          <w:p w14:paraId="3ECADEE1" w14:textId="77777777" w:rsidR="00EB5F6A" w:rsidRPr="00B646CE" w:rsidRDefault="00EB5F6A">
            <w:pPr>
              <w:jc w:val="both"/>
              <w:rPr>
                <w:rFonts w:ascii="Arial" w:hAnsi="Arial" w:cs="Arial"/>
              </w:rPr>
            </w:pPr>
            <w:r w:rsidRPr="00B646CE">
              <w:rPr>
                <w:rFonts w:ascii="Arial" w:hAnsi="Arial" w:cs="Arial"/>
              </w:rPr>
              <w:t>179.82</w:t>
            </w:r>
            <w:r w:rsidRPr="00B646CE">
              <w:rPr>
                <w:rFonts w:ascii="Arial" w:hAnsi="Arial" w:cs="Arial"/>
                <w:vertAlign w:val="superscript"/>
              </w:rPr>
              <w:t>a</w:t>
            </w:r>
          </w:p>
        </w:tc>
      </w:tr>
      <w:tr w:rsidR="00EB5F6A" w:rsidRPr="00DC3180" w14:paraId="505B3045" w14:textId="77777777">
        <w:trPr>
          <w:trHeight w:val="303"/>
        </w:trPr>
        <w:tc>
          <w:tcPr>
            <w:tcW w:w="1787" w:type="dxa"/>
            <w:tcBorders>
              <w:top w:val="nil"/>
              <w:bottom w:val="single" w:sz="4" w:space="0" w:color="auto"/>
            </w:tcBorders>
          </w:tcPr>
          <w:p w14:paraId="19D8F968" w14:textId="77777777" w:rsidR="00EB5F6A" w:rsidRPr="006943D5" w:rsidRDefault="00EB5F6A">
            <w:pPr>
              <w:jc w:val="both"/>
              <w:rPr>
                <w:rFonts w:ascii="Arial" w:hAnsi="Arial"/>
              </w:rPr>
            </w:pPr>
            <w:r>
              <w:rPr>
                <w:rFonts w:ascii="Arial" w:hAnsi="Arial"/>
              </w:rPr>
              <w:t>SE(m)</w:t>
            </w:r>
          </w:p>
        </w:tc>
        <w:tc>
          <w:tcPr>
            <w:tcW w:w="1578" w:type="dxa"/>
            <w:tcBorders>
              <w:top w:val="nil"/>
              <w:bottom w:val="single" w:sz="4" w:space="0" w:color="auto"/>
            </w:tcBorders>
          </w:tcPr>
          <w:p w14:paraId="33E4C334" w14:textId="77777777" w:rsidR="00EB5F6A" w:rsidRPr="00B646CE" w:rsidRDefault="00EB5F6A">
            <w:pPr>
              <w:jc w:val="both"/>
              <w:rPr>
                <w:rFonts w:ascii="Arial" w:hAnsi="Arial" w:cs="Arial"/>
              </w:rPr>
            </w:pPr>
            <w:r w:rsidRPr="00B646CE">
              <w:rPr>
                <w:rFonts w:ascii="Arial" w:hAnsi="Arial" w:cs="Arial"/>
              </w:rPr>
              <w:t>3.059</w:t>
            </w:r>
          </w:p>
        </w:tc>
        <w:tc>
          <w:tcPr>
            <w:tcW w:w="1578" w:type="dxa"/>
            <w:tcBorders>
              <w:top w:val="nil"/>
              <w:bottom w:val="single" w:sz="4" w:space="0" w:color="auto"/>
            </w:tcBorders>
          </w:tcPr>
          <w:p w14:paraId="6A21731C" w14:textId="77777777" w:rsidR="00EB5F6A" w:rsidRPr="00B646CE" w:rsidRDefault="00EB5F6A">
            <w:pPr>
              <w:jc w:val="both"/>
              <w:rPr>
                <w:rFonts w:ascii="Arial" w:hAnsi="Arial" w:cs="Arial"/>
              </w:rPr>
            </w:pPr>
            <w:r w:rsidRPr="00B646CE">
              <w:rPr>
                <w:rFonts w:ascii="Arial" w:hAnsi="Arial" w:cs="Arial"/>
              </w:rPr>
              <w:t>0.657</w:t>
            </w:r>
          </w:p>
        </w:tc>
        <w:tc>
          <w:tcPr>
            <w:tcW w:w="1578" w:type="dxa"/>
            <w:tcBorders>
              <w:top w:val="nil"/>
              <w:bottom w:val="single" w:sz="4" w:space="0" w:color="auto"/>
            </w:tcBorders>
          </w:tcPr>
          <w:p w14:paraId="2049F57B" w14:textId="77777777" w:rsidR="00EB5F6A" w:rsidRPr="00B646CE" w:rsidRDefault="00EB5F6A">
            <w:pPr>
              <w:jc w:val="both"/>
              <w:rPr>
                <w:rFonts w:ascii="Arial" w:hAnsi="Arial" w:cs="Arial"/>
              </w:rPr>
            </w:pPr>
            <w:r w:rsidRPr="00B646CE">
              <w:rPr>
                <w:rFonts w:ascii="Arial" w:hAnsi="Arial" w:cs="Arial"/>
              </w:rPr>
              <w:t>2.402</w:t>
            </w:r>
          </w:p>
        </w:tc>
      </w:tr>
      <w:tr w:rsidR="00EB5F6A" w:rsidRPr="00DC3180" w14:paraId="7C535A96" w14:textId="77777777">
        <w:trPr>
          <w:trHeight w:val="303"/>
        </w:trPr>
        <w:tc>
          <w:tcPr>
            <w:tcW w:w="1787" w:type="dxa"/>
            <w:tcBorders>
              <w:top w:val="nil"/>
              <w:bottom w:val="single" w:sz="4" w:space="0" w:color="auto"/>
            </w:tcBorders>
          </w:tcPr>
          <w:p w14:paraId="5557B6EF" w14:textId="77777777" w:rsidR="00EB5F6A" w:rsidRPr="00DC3180" w:rsidRDefault="00EB5F6A">
            <w:pPr>
              <w:jc w:val="both"/>
              <w:rPr>
                <w:rFonts w:ascii="Arial" w:hAnsi="Arial"/>
              </w:rPr>
            </w:pPr>
            <w:r>
              <w:rPr>
                <w:rFonts w:ascii="Arial" w:hAnsi="Arial"/>
              </w:rPr>
              <w:t>CD</w:t>
            </w:r>
          </w:p>
        </w:tc>
        <w:tc>
          <w:tcPr>
            <w:tcW w:w="1578" w:type="dxa"/>
            <w:tcBorders>
              <w:top w:val="nil"/>
              <w:bottom w:val="single" w:sz="4" w:space="0" w:color="auto"/>
            </w:tcBorders>
          </w:tcPr>
          <w:p w14:paraId="2111CFEF" w14:textId="77777777" w:rsidR="00EB5F6A" w:rsidRPr="00B646CE" w:rsidRDefault="00EB5F6A">
            <w:pPr>
              <w:jc w:val="both"/>
              <w:rPr>
                <w:rFonts w:ascii="Arial" w:hAnsi="Arial" w:cs="Arial"/>
              </w:rPr>
            </w:pPr>
            <w:r w:rsidRPr="00B646CE">
              <w:rPr>
                <w:rFonts w:ascii="Arial" w:hAnsi="Arial" w:cs="Arial"/>
              </w:rPr>
              <w:t>9.22</w:t>
            </w:r>
          </w:p>
        </w:tc>
        <w:tc>
          <w:tcPr>
            <w:tcW w:w="1578" w:type="dxa"/>
            <w:tcBorders>
              <w:top w:val="nil"/>
              <w:bottom w:val="single" w:sz="4" w:space="0" w:color="auto"/>
            </w:tcBorders>
          </w:tcPr>
          <w:p w14:paraId="4362C6E3" w14:textId="77777777" w:rsidR="00EB5F6A" w:rsidRPr="00B646CE" w:rsidRDefault="00EB5F6A">
            <w:pPr>
              <w:jc w:val="both"/>
              <w:rPr>
                <w:rFonts w:ascii="Arial" w:hAnsi="Arial" w:cs="Arial"/>
              </w:rPr>
            </w:pPr>
            <w:r w:rsidRPr="00B646CE">
              <w:rPr>
                <w:rFonts w:ascii="Arial" w:hAnsi="Arial" w:cs="Arial"/>
              </w:rPr>
              <w:t>1.979</w:t>
            </w:r>
          </w:p>
        </w:tc>
        <w:tc>
          <w:tcPr>
            <w:tcW w:w="1578" w:type="dxa"/>
            <w:tcBorders>
              <w:top w:val="nil"/>
              <w:bottom w:val="single" w:sz="4" w:space="0" w:color="auto"/>
            </w:tcBorders>
          </w:tcPr>
          <w:p w14:paraId="3F74BBBF" w14:textId="77777777" w:rsidR="00EB5F6A" w:rsidRPr="00B646CE" w:rsidRDefault="00EB5F6A">
            <w:pPr>
              <w:jc w:val="both"/>
              <w:rPr>
                <w:rFonts w:ascii="Arial" w:hAnsi="Arial" w:cs="Arial"/>
              </w:rPr>
            </w:pPr>
            <w:r w:rsidRPr="00B646CE">
              <w:rPr>
                <w:rFonts w:ascii="Arial" w:hAnsi="Arial" w:cs="Arial"/>
              </w:rPr>
              <w:t>7.242</w:t>
            </w:r>
          </w:p>
        </w:tc>
      </w:tr>
      <w:tr w:rsidR="00EB5F6A" w:rsidRPr="00DC3180" w14:paraId="4FD679BA" w14:textId="77777777">
        <w:trPr>
          <w:trHeight w:val="303"/>
        </w:trPr>
        <w:tc>
          <w:tcPr>
            <w:tcW w:w="1787" w:type="dxa"/>
            <w:tcBorders>
              <w:top w:val="nil"/>
              <w:bottom w:val="single" w:sz="4" w:space="0" w:color="auto"/>
            </w:tcBorders>
          </w:tcPr>
          <w:p w14:paraId="24C72248" w14:textId="77777777" w:rsidR="00EB5F6A" w:rsidRPr="00DC3180" w:rsidRDefault="00EB5F6A">
            <w:pPr>
              <w:jc w:val="both"/>
              <w:rPr>
                <w:rFonts w:ascii="Arial" w:hAnsi="Arial"/>
              </w:rPr>
            </w:pPr>
            <w:r>
              <w:rPr>
                <w:rFonts w:ascii="Arial" w:hAnsi="Arial"/>
              </w:rPr>
              <w:t>CV</w:t>
            </w:r>
          </w:p>
        </w:tc>
        <w:tc>
          <w:tcPr>
            <w:tcW w:w="1578" w:type="dxa"/>
            <w:tcBorders>
              <w:top w:val="nil"/>
              <w:bottom w:val="single" w:sz="4" w:space="0" w:color="auto"/>
            </w:tcBorders>
          </w:tcPr>
          <w:p w14:paraId="067AEC51" w14:textId="77777777" w:rsidR="00EB5F6A" w:rsidRPr="00B646CE" w:rsidRDefault="00EB5F6A">
            <w:pPr>
              <w:jc w:val="both"/>
              <w:rPr>
                <w:rFonts w:ascii="Arial" w:hAnsi="Arial" w:cs="Arial"/>
              </w:rPr>
            </w:pPr>
            <w:r w:rsidRPr="00B646CE">
              <w:rPr>
                <w:rFonts w:ascii="Arial" w:hAnsi="Arial" w:cs="Arial"/>
              </w:rPr>
              <w:t>2.431</w:t>
            </w:r>
          </w:p>
        </w:tc>
        <w:tc>
          <w:tcPr>
            <w:tcW w:w="1578" w:type="dxa"/>
            <w:tcBorders>
              <w:top w:val="nil"/>
              <w:bottom w:val="single" w:sz="4" w:space="0" w:color="auto"/>
            </w:tcBorders>
          </w:tcPr>
          <w:p w14:paraId="34C88FD5" w14:textId="77777777" w:rsidR="00EB5F6A" w:rsidRPr="00B646CE" w:rsidRDefault="00EB5F6A">
            <w:pPr>
              <w:jc w:val="both"/>
              <w:rPr>
                <w:rFonts w:ascii="Arial" w:hAnsi="Arial" w:cs="Arial"/>
              </w:rPr>
            </w:pPr>
            <w:r w:rsidRPr="00B646CE">
              <w:rPr>
                <w:rFonts w:ascii="Arial" w:hAnsi="Arial" w:cs="Arial"/>
              </w:rPr>
              <w:t>4.693</w:t>
            </w:r>
          </w:p>
        </w:tc>
        <w:tc>
          <w:tcPr>
            <w:tcW w:w="1578" w:type="dxa"/>
            <w:tcBorders>
              <w:top w:val="nil"/>
              <w:bottom w:val="single" w:sz="4" w:space="0" w:color="auto"/>
            </w:tcBorders>
          </w:tcPr>
          <w:p w14:paraId="0D429EE5" w14:textId="77777777" w:rsidR="00EB5F6A" w:rsidRPr="00B646CE" w:rsidRDefault="00EB5F6A">
            <w:pPr>
              <w:jc w:val="both"/>
              <w:rPr>
                <w:rFonts w:ascii="Arial" w:hAnsi="Arial" w:cs="Arial"/>
              </w:rPr>
            </w:pPr>
            <w:r w:rsidRPr="00B646CE">
              <w:rPr>
                <w:rFonts w:ascii="Arial" w:hAnsi="Arial" w:cs="Arial"/>
              </w:rPr>
              <w:t>3.855</w:t>
            </w:r>
          </w:p>
        </w:tc>
      </w:tr>
    </w:tbl>
    <w:p w14:paraId="45EB1251" w14:textId="77777777" w:rsidR="00EB5F6A" w:rsidRDefault="00EB5F6A" w:rsidP="00EB5F6A">
      <w:pPr>
        <w:pStyle w:val="Body"/>
        <w:rPr>
          <w:rFonts w:ascii="Arial" w:hAnsi="Arial" w:cs="Arial"/>
        </w:rPr>
      </w:pPr>
    </w:p>
    <w:p w14:paraId="14F85B37" w14:textId="5F11D2CB" w:rsidR="00EB5F6A" w:rsidRDefault="00EB5F6A" w:rsidP="00EB5F6A">
      <w:pPr>
        <w:pStyle w:val="Body"/>
        <w:rPr>
          <w:rFonts w:ascii="Arial" w:hAnsi="Arial" w:cs="Arial"/>
        </w:rPr>
      </w:pPr>
    </w:p>
    <w:p w14:paraId="49D0B1FA" w14:textId="6648A3CD" w:rsidR="000C50E5" w:rsidRDefault="000C50E5" w:rsidP="00EB5F6A">
      <w:pPr>
        <w:pStyle w:val="Body"/>
        <w:rPr>
          <w:rFonts w:ascii="Arial" w:hAnsi="Arial" w:cs="Arial"/>
        </w:rPr>
      </w:pPr>
    </w:p>
    <w:p w14:paraId="0BC0E377" w14:textId="01E3069B" w:rsidR="000C50E5" w:rsidRDefault="000C50E5" w:rsidP="00EB5F6A">
      <w:pPr>
        <w:pStyle w:val="Body"/>
        <w:rPr>
          <w:rFonts w:ascii="Arial" w:hAnsi="Arial" w:cs="Arial"/>
        </w:rPr>
      </w:pPr>
    </w:p>
    <w:p w14:paraId="7D810886" w14:textId="5A3100EE" w:rsidR="000C50E5" w:rsidRDefault="000C50E5" w:rsidP="00EB5F6A">
      <w:pPr>
        <w:pStyle w:val="Body"/>
        <w:rPr>
          <w:rFonts w:ascii="Arial" w:hAnsi="Arial" w:cs="Arial"/>
        </w:rPr>
      </w:pPr>
    </w:p>
    <w:p w14:paraId="24FD8BCB" w14:textId="2DE8C2B7" w:rsidR="000C50E5" w:rsidRDefault="000C50E5" w:rsidP="00EB5F6A">
      <w:pPr>
        <w:pStyle w:val="Body"/>
        <w:rPr>
          <w:rFonts w:ascii="Arial" w:hAnsi="Arial" w:cs="Arial"/>
        </w:rPr>
      </w:pPr>
    </w:p>
    <w:p w14:paraId="5582A365" w14:textId="0FC34D62" w:rsidR="000C50E5" w:rsidRDefault="000C50E5" w:rsidP="00EB5F6A">
      <w:pPr>
        <w:pStyle w:val="Body"/>
        <w:rPr>
          <w:rFonts w:ascii="Arial" w:hAnsi="Arial" w:cs="Arial"/>
        </w:rPr>
      </w:pPr>
    </w:p>
    <w:p w14:paraId="6F2AB4A1" w14:textId="77777777" w:rsidR="000C50E5" w:rsidRDefault="000C50E5" w:rsidP="00EB5F6A">
      <w:pPr>
        <w:pStyle w:val="Body"/>
        <w:rPr>
          <w:rFonts w:ascii="Arial" w:hAnsi="Arial" w:cs="Arial"/>
        </w:rPr>
      </w:pPr>
    </w:p>
    <w:p w14:paraId="5C2D6926" w14:textId="39A245BD" w:rsidR="00EB5F6A" w:rsidRDefault="00146EE5" w:rsidP="00EB5F6A">
      <w:pPr>
        <w:pStyle w:val="Body"/>
        <w:rPr>
          <w:rFonts w:ascii="Arial" w:hAnsi="Arial" w:cs="Arial"/>
        </w:rPr>
      </w:pPr>
      <w:r>
        <w:rPr>
          <w:rFonts w:ascii="Arial" w:hAnsi="Arial" w:cs="Arial"/>
          <w:noProof/>
        </w:rPr>
        <w:drawing>
          <wp:inline distT="0" distB="0" distL="0" distR="0" wp14:anchorId="0EF552BA" wp14:editId="2F682D58">
            <wp:extent cx="5212080" cy="3200400"/>
            <wp:effectExtent l="0" t="0" r="7620" b="0"/>
            <wp:docPr id="14043397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0B038C" w14:textId="301D5173" w:rsidR="00146EE5" w:rsidRDefault="00146EE5" w:rsidP="00FD662B">
      <w:pPr>
        <w:pStyle w:val="Body"/>
        <w:jc w:val="center"/>
        <w:rPr>
          <w:rFonts w:ascii="Arial" w:hAnsi="Arial" w:cs="Arial"/>
          <w:b/>
          <w:bCs/>
        </w:rPr>
      </w:pPr>
      <w:r w:rsidRPr="00662875">
        <w:rPr>
          <w:rFonts w:ascii="Arial" w:hAnsi="Arial" w:cs="Arial"/>
          <w:b/>
          <w:bCs/>
        </w:rPr>
        <w:t>Fig</w:t>
      </w:r>
      <w:r>
        <w:rPr>
          <w:rFonts w:ascii="Arial" w:hAnsi="Arial" w:cs="Arial"/>
          <w:b/>
          <w:bCs/>
        </w:rPr>
        <w:t>.</w:t>
      </w:r>
      <w:r w:rsidR="000C50E5">
        <w:rPr>
          <w:rFonts w:ascii="Arial" w:hAnsi="Arial" w:cs="Arial"/>
          <w:b/>
          <w:bCs/>
        </w:rPr>
        <w:t>2</w:t>
      </w:r>
      <w:r w:rsidRPr="00662875">
        <w:rPr>
          <w:rFonts w:ascii="Arial" w:hAnsi="Arial" w:cs="Arial"/>
          <w:b/>
          <w:bCs/>
        </w:rPr>
        <w:t xml:space="preserve">: Effect of treatments on </w:t>
      </w:r>
      <w:r>
        <w:rPr>
          <w:rFonts w:ascii="Arial" w:hAnsi="Arial" w:cs="Arial"/>
          <w:b/>
          <w:bCs/>
        </w:rPr>
        <w:t xml:space="preserve">post-harvest soil </w:t>
      </w:r>
      <w:r w:rsidRPr="00662875">
        <w:rPr>
          <w:rFonts w:ascii="Arial" w:hAnsi="Arial" w:cs="Arial"/>
          <w:b/>
          <w:bCs/>
        </w:rPr>
        <w:t>nutrient ratios</w:t>
      </w:r>
    </w:p>
    <w:p w14:paraId="6FCA6DA2" w14:textId="6149FD76" w:rsidR="000C50E5" w:rsidRPr="00B27A0A" w:rsidRDefault="000C50E5" w:rsidP="00FD662B">
      <w:pPr>
        <w:pStyle w:val="Body"/>
        <w:jc w:val="center"/>
        <w:rPr>
          <w:rFonts w:ascii="Arial" w:hAnsi="Arial" w:cs="Arial"/>
        </w:rPr>
      </w:pPr>
      <w:r>
        <w:rPr>
          <w:noProof/>
        </w:rPr>
        <w:lastRenderedPageBreak/>
        <w:drawing>
          <wp:inline distT="0" distB="0" distL="0" distR="0" wp14:anchorId="6E8D8795" wp14:editId="619F048E">
            <wp:extent cx="5212080" cy="2242820"/>
            <wp:effectExtent l="0" t="0" r="7620" b="5080"/>
            <wp:docPr id="211544436" name="Chart 2">
              <a:extLst xmlns:a="http://schemas.openxmlformats.org/drawingml/2006/main">
                <a:ext uri="{FF2B5EF4-FFF2-40B4-BE49-F238E27FC236}">
                  <a16:creationId xmlns:a16="http://schemas.microsoft.com/office/drawing/2014/main" id="{71E900A1-D763-BB03-96A5-AE039E5362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D231D5" w14:textId="1FA0F4F6" w:rsidR="00EB5F6A" w:rsidRDefault="00EB5F6A" w:rsidP="000C50E5">
      <w:pPr>
        <w:pStyle w:val="Body"/>
        <w:jc w:val="center"/>
        <w:rPr>
          <w:rFonts w:ascii="Arial" w:hAnsi="Arial" w:cs="Arial"/>
          <w:b/>
          <w:bCs/>
        </w:rPr>
      </w:pPr>
      <w:r w:rsidRPr="00662875">
        <w:rPr>
          <w:rFonts w:ascii="Arial" w:hAnsi="Arial" w:cs="Arial"/>
          <w:b/>
          <w:bCs/>
        </w:rPr>
        <w:t>Fig</w:t>
      </w:r>
      <w:r>
        <w:rPr>
          <w:rFonts w:ascii="Arial" w:hAnsi="Arial" w:cs="Arial"/>
          <w:b/>
          <w:bCs/>
        </w:rPr>
        <w:t>.</w:t>
      </w:r>
      <w:r w:rsidR="000C50E5">
        <w:rPr>
          <w:rFonts w:ascii="Arial" w:hAnsi="Arial" w:cs="Arial"/>
          <w:b/>
          <w:bCs/>
        </w:rPr>
        <w:t>3</w:t>
      </w:r>
      <w:r w:rsidRPr="00662875">
        <w:rPr>
          <w:rFonts w:ascii="Arial" w:hAnsi="Arial" w:cs="Arial"/>
          <w:b/>
          <w:bCs/>
        </w:rPr>
        <w:t xml:space="preserve">: Effect of </w:t>
      </w:r>
      <w:r>
        <w:rPr>
          <w:rFonts w:ascii="Arial" w:hAnsi="Arial" w:cs="Arial"/>
          <w:b/>
          <w:bCs/>
        </w:rPr>
        <w:t xml:space="preserve">nutrient uptake ratios on yield (t </w:t>
      </w:r>
      <w:r w:rsidRPr="001A3144">
        <w:rPr>
          <w:rFonts w:ascii="Arial" w:hAnsi="Arial" w:cs="Arial"/>
          <w:b/>
          <w:bCs/>
        </w:rPr>
        <w:t>ha</w:t>
      </w:r>
      <w:r>
        <w:rPr>
          <w:rFonts w:ascii="Arial" w:hAnsi="Arial" w:cs="Arial"/>
          <w:b/>
          <w:bCs/>
          <w:vertAlign w:val="superscript"/>
        </w:rPr>
        <w:t>-1</w:t>
      </w:r>
      <w:r>
        <w:rPr>
          <w:rFonts w:ascii="Arial" w:hAnsi="Arial" w:cs="Arial"/>
          <w:b/>
          <w:bCs/>
        </w:rPr>
        <w:t>)</w:t>
      </w:r>
    </w:p>
    <w:p w14:paraId="32957DA5" w14:textId="77777777" w:rsidR="007E753F" w:rsidRDefault="007E753F" w:rsidP="00EB5F6A">
      <w:pPr>
        <w:pStyle w:val="Body"/>
        <w:jc w:val="center"/>
        <w:rPr>
          <w:rFonts w:ascii="Arial" w:hAnsi="Arial" w:cs="Arial"/>
          <w:b/>
          <w:bCs/>
        </w:rPr>
      </w:pPr>
    </w:p>
    <w:p w14:paraId="243DAE03" w14:textId="00D02C99" w:rsidR="00146EE5" w:rsidRDefault="00146EE5" w:rsidP="00146EE5">
      <w:pPr>
        <w:pStyle w:val="Body"/>
        <w:spacing w:after="0"/>
        <w:rPr>
          <w:rFonts w:ascii="Arial" w:hAnsi="Arial" w:cs="Arial"/>
          <w:b/>
          <w:bCs/>
        </w:rPr>
      </w:pPr>
      <w:r>
        <w:rPr>
          <w:rFonts w:ascii="Arial" w:hAnsi="Arial" w:cs="Arial"/>
          <w:b/>
          <w:bCs/>
        </w:rPr>
        <w:t xml:space="preserve">Table </w:t>
      </w:r>
      <w:r w:rsidR="0023152F">
        <w:rPr>
          <w:rFonts w:ascii="Arial" w:hAnsi="Arial" w:cs="Arial"/>
          <w:b/>
          <w:bCs/>
        </w:rPr>
        <w:t>5</w:t>
      </w:r>
      <w:r>
        <w:rPr>
          <w:rFonts w:ascii="Arial" w:hAnsi="Arial" w:cs="Arial"/>
          <w:b/>
          <w:bCs/>
        </w:rPr>
        <w:t>: Correlation between post-harvest soil nutrient ratios and yield</w:t>
      </w:r>
    </w:p>
    <w:p w14:paraId="57BB2369" w14:textId="77777777" w:rsidR="00146EE5" w:rsidRDefault="00146EE5" w:rsidP="00146EE5">
      <w:pPr>
        <w:pStyle w:val="Body"/>
        <w:spacing w:after="0"/>
        <w:rPr>
          <w:rFonts w:ascii="Arial" w:hAnsi="Arial" w:cs="Arial"/>
          <w:b/>
          <w:bCs/>
        </w:rPr>
      </w:pPr>
    </w:p>
    <w:tbl>
      <w:tblPr>
        <w:tblpPr w:leftFromText="180" w:rightFromText="180" w:vertAnchor="text" w:horzAnchor="margin" w:tblpXSpec="center" w:tblpY="109"/>
        <w:tblW w:w="6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38"/>
        <w:gridCol w:w="1077"/>
        <w:gridCol w:w="1236"/>
        <w:gridCol w:w="1236"/>
        <w:gridCol w:w="1383"/>
      </w:tblGrid>
      <w:tr w:rsidR="00146EE5" w:rsidRPr="00DC3180" w14:paraId="5376D844" w14:textId="77777777" w:rsidTr="00D92CBC">
        <w:trPr>
          <w:trHeight w:hRule="exact" w:val="340"/>
        </w:trPr>
        <w:tc>
          <w:tcPr>
            <w:tcW w:w="1338" w:type="dxa"/>
          </w:tcPr>
          <w:p w14:paraId="3B96AEBB" w14:textId="77777777" w:rsidR="00146EE5" w:rsidRPr="00DC3180" w:rsidRDefault="00146EE5" w:rsidP="00D92CBC">
            <w:pPr>
              <w:jc w:val="both"/>
              <w:rPr>
                <w:rFonts w:ascii="Arial" w:hAnsi="Arial"/>
                <w:b/>
                <w:bCs/>
              </w:rPr>
            </w:pPr>
          </w:p>
        </w:tc>
        <w:tc>
          <w:tcPr>
            <w:tcW w:w="1077" w:type="dxa"/>
          </w:tcPr>
          <w:p w14:paraId="1EBA201D" w14:textId="77777777" w:rsidR="00146EE5" w:rsidRPr="00187F1F" w:rsidRDefault="00146EE5" w:rsidP="00D92CBC">
            <w:pPr>
              <w:jc w:val="both"/>
            </w:pPr>
            <w:r w:rsidRPr="000E0C8F">
              <w:rPr>
                <w:rFonts w:ascii="Arial" w:hAnsi="Arial" w:cs="Arial"/>
              </w:rPr>
              <w:t xml:space="preserve">N/P </w:t>
            </w:r>
          </w:p>
        </w:tc>
        <w:tc>
          <w:tcPr>
            <w:tcW w:w="1236" w:type="dxa"/>
          </w:tcPr>
          <w:p w14:paraId="656ECCC1" w14:textId="77777777" w:rsidR="00146EE5" w:rsidRPr="00187F1F" w:rsidRDefault="00146EE5" w:rsidP="00D92CBC">
            <w:pPr>
              <w:jc w:val="both"/>
            </w:pPr>
            <w:r w:rsidRPr="000E0C8F">
              <w:rPr>
                <w:rFonts w:ascii="Arial" w:hAnsi="Arial" w:cs="Arial"/>
              </w:rPr>
              <w:t>N/K</w:t>
            </w:r>
          </w:p>
        </w:tc>
        <w:tc>
          <w:tcPr>
            <w:tcW w:w="1236" w:type="dxa"/>
          </w:tcPr>
          <w:p w14:paraId="66B1E83F" w14:textId="77777777" w:rsidR="00146EE5" w:rsidRPr="00187F1F" w:rsidRDefault="00146EE5" w:rsidP="00D92CBC">
            <w:pPr>
              <w:jc w:val="both"/>
            </w:pPr>
            <w:r w:rsidRPr="000E0C8F">
              <w:rPr>
                <w:rFonts w:ascii="Arial" w:hAnsi="Arial" w:cs="Arial"/>
              </w:rPr>
              <w:t>P/K</w:t>
            </w:r>
          </w:p>
        </w:tc>
        <w:tc>
          <w:tcPr>
            <w:tcW w:w="1383" w:type="dxa"/>
          </w:tcPr>
          <w:p w14:paraId="52279473" w14:textId="77777777" w:rsidR="00146EE5" w:rsidRPr="00187F1F" w:rsidRDefault="00146EE5" w:rsidP="00D92CBC">
            <w:pPr>
              <w:jc w:val="both"/>
            </w:pPr>
            <w:r w:rsidRPr="000E0C8F">
              <w:rPr>
                <w:rFonts w:ascii="Arial" w:hAnsi="Arial" w:cs="Arial"/>
              </w:rPr>
              <w:t>Yield (t ha</w:t>
            </w:r>
            <w:r w:rsidRPr="000E0C8F">
              <w:rPr>
                <w:rFonts w:ascii="Arial" w:hAnsi="Arial" w:cs="Arial"/>
                <w:vertAlign w:val="superscript"/>
              </w:rPr>
              <w:t>-1</w:t>
            </w:r>
            <w:r w:rsidRPr="000E0C8F">
              <w:rPr>
                <w:rFonts w:ascii="Arial" w:hAnsi="Arial" w:cs="Arial"/>
              </w:rPr>
              <w:t>)</w:t>
            </w:r>
          </w:p>
        </w:tc>
      </w:tr>
      <w:tr w:rsidR="00146EE5" w:rsidRPr="00DC3180" w14:paraId="32DF25E5" w14:textId="77777777" w:rsidTr="00D92CBC">
        <w:trPr>
          <w:trHeight w:hRule="exact" w:val="340"/>
        </w:trPr>
        <w:tc>
          <w:tcPr>
            <w:tcW w:w="1338" w:type="dxa"/>
          </w:tcPr>
          <w:p w14:paraId="11539667" w14:textId="77777777" w:rsidR="00146EE5" w:rsidRPr="00DC3180" w:rsidRDefault="00146EE5" w:rsidP="00D92CBC">
            <w:pPr>
              <w:jc w:val="both"/>
              <w:rPr>
                <w:rFonts w:ascii="Arial" w:hAnsi="Arial"/>
                <w:b/>
                <w:bCs/>
              </w:rPr>
            </w:pPr>
            <w:r w:rsidRPr="000E0C8F">
              <w:rPr>
                <w:rFonts w:ascii="Arial" w:hAnsi="Arial" w:cs="Arial"/>
              </w:rPr>
              <w:t>N/P</w:t>
            </w:r>
          </w:p>
        </w:tc>
        <w:tc>
          <w:tcPr>
            <w:tcW w:w="1077" w:type="dxa"/>
          </w:tcPr>
          <w:p w14:paraId="4EBD9DE5" w14:textId="77777777" w:rsidR="00146EE5" w:rsidRPr="00187F1F" w:rsidRDefault="00146EE5" w:rsidP="00D92CBC">
            <w:pPr>
              <w:jc w:val="both"/>
            </w:pPr>
            <w:r w:rsidRPr="000E0C8F">
              <w:rPr>
                <w:rFonts w:ascii="Arial" w:hAnsi="Arial" w:cs="Arial"/>
              </w:rPr>
              <w:t>1</w:t>
            </w:r>
          </w:p>
        </w:tc>
        <w:tc>
          <w:tcPr>
            <w:tcW w:w="1236" w:type="dxa"/>
          </w:tcPr>
          <w:p w14:paraId="5B5F4809" w14:textId="77777777" w:rsidR="00146EE5" w:rsidRPr="00187F1F" w:rsidRDefault="00146EE5" w:rsidP="00D92CBC">
            <w:pPr>
              <w:jc w:val="both"/>
            </w:pPr>
          </w:p>
        </w:tc>
        <w:tc>
          <w:tcPr>
            <w:tcW w:w="1236" w:type="dxa"/>
          </w:tcPr>
          <w:p w14:paraId="715B660C" w14:textId="77777777" w:rsidR="00146EE5" w:rsidRPr="00187F1F" w:rsidRDefault="00146EE5" w:rsidP="00D92CBC">
            <w:pPr>
              <w:jc w:val="both"/>
            </w:pPr>
          </w:p>
        </w:tc>
        <w:tc>
          <w:tcPr>
            <w:tcW w:w="1383" w:type="dxa"/>
          </w:tcPr>
          <w:p w14:paraId="5A66BFF6" w14:textId="77777777" w:rsidR="00146EE5" w:rsidRPr="00187F1F" w:rsidRDefault="00146EE5" w:rsidP="00D92CBC">
            <w:pPr>
              <w:jc w:val="both"/>
            </w:pPr>
          </w:p>
        </w:tc>
      </w:tr>
      <w:tr w:rsidR="00146EE5" w:rsidRPr="00DC3180" w14:paraId="4315BF84" w14:textId="77777777" w:rsidTr="00D92CBC">
        <w:trPr>
          <w:trHeight w:hRule="exact" w:val="340"/>
        </w:trPr>
        <w:tc>
          <w:tcPr>
            <w:tcW w:w="1338" w:type="dxa"/>
          </w:tcPr>
          <w:p w14:paraId="35BDA0C0" w14:textId="77777777" w:rsidR="00146EE5" w:rsidRPr="00DC3180" w:rsidRDefault="00146EE5" w:rsidP="00D92CBC">
            <w:pPr>
              <w:jc w:val="both"/>
              <w:rPr>
                <w:rFonts w:ascii="Arial" w:hAnsi="Arial" w:cs="Arial"/>
              </w:rPr>
            </w:pPr>
            <w:r w:rsidRPr="000E0C8F">
              <w:rPr>
                <w:rFonts w:ascii="Arial" w:hAnsi="Arial" w:cs="Arial"/>
              </w:rPr>
              <w:t>N/K</w:t>
            </w:r>
          </w:p>
        </w:tc>
        <w:tc>
          <w:tcPr>
            <w:tcW w:w="1077" w:type="dxa"/>
          </w:tcPr>
          <w:p w14:paraId="46CCC86E" w14:textId="77777777" w:rsidR="00146EE5" w:rsidRPr="00187F1F" w:rsidRDefault="00146EE5" w:rsidP="00D92CBC">
            <w:pPr>
              <w:jc w:val="both"/>
            </w:pPr>
            <w:r w:rsidRPr="000E0C8F">
              <w:rPr>
                <w:rFonts w:ascii="Arial" w:hAnsi="Arial" w:cs="Arial"/>
              </w:rPr>
              <w:t>0.354</w:t>
            </w:r>
          </w:p>
        </w:tc>
        <w:tc>
          <w:tcPr>
            <w:tcW w:w="1236" w:type="dxa"/>
          </w:tcPr>
          <w:p w14:paraId="39320645" w14:textId="77777777" w:rsidR="00146EE5" w:rsidRPr="00187F1F" w:rsidRDefault="00146EE5" w:rsidP="00D92CBC">
            <w:pPr>
              <w:jc w:val="both"/>
            </w:pPr>
            <w:r w:rsidRPr="000E0C8F">
              <w:rPr>
                <w:rFonts w:ascii="Arial" w:hAnsi="Arial" w:cs="Arial"/>
              </w:rPr>
              <w:t>1</w:t>
            </w:r>
          </w:p>
        </w:tc>
        <w:tc>
          <w:tcPr>
            <w:tcW w:w="1236" w:type="dxa"/>
          </w:tcPr>
          <w:p w14:paraId="4F274488" w14:textId="77777777" w:rsidR="00146EE5" w:rsidRPr="00187F1F" w:rsidRDefault="00146EE5" w:rsidP="00D92CBC">
            <w:pPr>
              <w:jc w:val="both"/>
            </w:pPr>
          </w:p>
        </w:tc>
        <w:tc>
          <w:tcPr>
            <w:tcW w:w="1383" w:type="dxa"/>
          </w:tcPr>
          <w:p w14:paraId="307CE97A" w14:textId="77777777" w:rsidR="00146EE5" w:rsidRPr="00187F1F" w:rsidRDefault="00146EE5" w:rsidP="00D92CBC">
            <w:pPr>
              <w:jc w:val="both"/>
            </w:pPr>
          </w:p>
        </w:tc>
      </w:tr>
      <w:tr w:rsidR="00146EE5" w:rsidRPr="00DC3180" w14:paraId="04D01B5F" w14:textId="77777777" w:rsidTr="00D92CBC">
        <w:trPr>
          <w:trHeight w:hRule="exact" w:val="340"/>
        </w:trPr>
        <w:tc>
          <w:tcPr>
            <w:tcW w:w="1338" w:type="dxa"/>
          </w:tcPr>
          <w:p w14:paraId="34610EC2" w14:textId="77777777" w:rsidR="00146EE5" w:rsidRPr="00DC3180" w:rsidRDefault="00146EE5" w:rsidP="00D92CBC">
            <w:pPr>
              <w:jc w:val="both"/>
              <w:rPr>
                <w:rFonts w:ascii="Arial" w:hAnsi="Arial"/>
              </w:rPr>
            </w:pPr>
            <w:r w:rsidRPr="000E0C8F">
              <w:rPr>
                <w:rFonts w:ascii="Arial" w:hAnsi="Arial" w:cs="Arial"/>
              </w:rPr>
              <w:t>P/K</w:t>
            </w:r>
          </w:p>
        </w:tc>
        <w:tc>
          <w:tcPr>
            <w:tcW w:w="1077" w:type="dxa"/>
          </w:tcPr>
          <w:p w14:paraId="0A800039" w14:textId="77777777" w:rsidR="00146EE5" w:rsidRPr="00187F1F" w:rsidRDefault="00146EE5" w:rsidP="00D92CBC">
            <w:pPr>
              <w:jc w:val="both"/>
            </w:pPr>
            <w:r w:rsidRPr="000E0C8F">
              <w:rPr>
                <w:rFonts w:ascii="Arial" w:hAnsi="Arial" w:cs="Arial"/>
              </w:rPr>
              <w:t>-0.773</w:t>
            </w:r>
            <w:r w:rsidRPr="000E0C8F">
              <w:rPr>
                <w:rFonts w:ascii="Arial" w:hAnsi="Arial" w:cs="Arial"/>
                <w:vertAlign w:val="superscript"/>
              </w:rPr>
              <w:t>***</w:t>
            </w:r>
          </w:p>
        </w:tc>
        <w:tc>
          <w:tcPr>
            <w:tcW w:w="1236" w:type="dxa"/>
          </w:tcPr>
          <w:p w14:paraId="6B9532B7" w14:textId="77777777" w:rsidR="00146EE5" w:rsidRPr="00187F1F" w:rsidRDefault="00146EE5" w:rsidP="00D92CBC">
            <w:pPr>
              <w:jc w:val="both"/>
            </w:pPr>
            <w:r w:rsidRPr="000E0C8F">
              <w:rPr>
                <w:rFonts w:ascii="Arial" w:hAnsi="Arial" w:cs="Arial"/>
              </w:rPr>
              <w:t>0.31</w:t>
            </w:r>
          </w:p>
        </w:tc>
        <w:tc>
          <w:tcPr>
            <w:tcW w:w="1236" w:type="dxa"/>
          </w:tcPr>
          <w:p w14:paraId="55C79688" w14:textId="77777777" w:rsidR="00146EE5" w:rsidRPr="00187F1F" w:rsidRDefault="00146EE5" w:rsidP="00D92CBC">
            <w:pPr>
              <w:jc w:val="both"/>
            </w:pPr>
            <w:r w:rsidRPr="000E0C8F">
              <w:rPr>
                <w:rFonts w:ascii="Arial" w:hAnsi="Arial" w:cs="Arial"/>
              </w:rPr>
              <w:t>1</w:t>
            </w:r>
          </w:p>
        </w:tc>
        <w:tc>
          <w:tcPr>
            <w:tcW w:w="1383" w:type="dxa"/>
          </w:tcPr>
          <w:p w14:paraId="64E6C994" w14:textId="77777777" w:rsidR="00146EE5" w:rsidRPr="00187F1F" w:rsidRDefault="00146EE5" w:rsidP="00D92CBC">
            <w:pPr>
              <w:jc w:val="both"/>
            </w:pPr>
          </w:p>
        </w:tc>
      </w:tr>
      <w:tr w:rsidR="00146EE5" w:rsidRPr="00DC3180" w14:paraId="779A4DFE" w14:textId="77777777" w:rsidTr="00D92CBC">
        <w:trPr>
          <w:trHeight w:hRule="exact" w:val="340"/>
        </w:trPr>
        <w:tc>
          <w:tcPr>
            <w:tcW w:w="1338" w:type="dxa"/>
          </w:tcPr>
          <w:p w14:paraId="3EB6AE81" w14:textId="77777777" w:rsidR="00146EE5" w:rsidRPr="00DC3180" w:rsidRDefault="00146EE5" w:rsidP="00D92CBC">
            <w:pPr>
              <w:jc w:val="both"/>
              <w:rPr>
                <w:rFonts w:ascii="Arial" w:hAnsi="Arial"/>
              </w:rPr>
            </w:pPr>
            <w:r w:rsidRPr="000E0C8F">
              <w:rPr>
                <w:rFonts w:ascii="Arial" w:hAnsi="Arial" w:cs="Arial"/>
              </w:rPr>
              <w:t>Yield (t ha</w:t>
            </w:r>
            <w:r w:rsidRPr="000E0C8F">
              <w:rPr>
                <w:rFonts w:ascii="Arial" w:hAnsi="Arial" w:cs="Arial"/>
                <w:vertAlign w:val="superscript"/>
              </w:rPr>
              <w:t>-1</w:t>
            </w:r>
            <w:r w:rsidRPr="000E0C8F">
              <w:rPr>
                <w:rFonts w:ascii="Arial" w:hAnsi="Arial" w:cs="Arial"/>
              </w:rPr>
              <w:t>)</w:t>
            </w:r>
          </w:p>
        </w:tc>
        <w:tc>
          <w:tcPr>
            <w:tcW w:w="1077" w:type="dxa"/>
          </w:tcPr>
          <w:p w14:paraId="01515E0A" w14:textId="77777777" w:rsidR="00146EE5" w:rsidRPr="00187F1F" w:rsidRDefault="00146EE5" w:rsidP="00D92CBC">
            <w:pPr>
              <w:jc w:val="both"/>
            </w:pPr>
            <w:r w:rsidRPr="000E0C8F">
              <w:rPr>
                <w:rFonts w:ascii="Arial" w:hAnsi="Arial" w:cs="Arial"/>
              </w:rPr>
              <w:t>-0.812</w:t>
            </w:r>
            <w:r w:rsidRPr="000E0C8F">
              <w:rPr>
                <w:rFonts w:ascii="Arial" w:hAnsi="Arial" w:cs="Arial"/>
                <w:vertAlign w:val="superscript"/>
              </w:rPr>
              <w:t>***</w:t>
            </w:r>
          </w:p>
        </w:tc>
        <w:tc>
          <w:tcPr>
            <w:tcW w:w="1236" w:type="dxa"/>
          </w:tcPr>
          <w:p w14:paraId="29914A93" w14:textId="77777777" w:rsidR="00146EE5" w:rsidRPr="00187F1F" w:rsidRDefault="00146EE5" w:rsidP="00D92CBC">
            <w:pPr>
              <w:jc w:val="both"/>
            </w:pPr>
            <w:r w:rsidRPr="000E0C8F">
              <w:rPr>
                <w:rFonts w:ascii="Arial" w:hAnsi="Arial" w:cs="Arial"/>
              </w:rPr>
              <w:t>-0.552</w:t>
            </w:r>
            <w:r w:rsidRPr="000E0C8F">
              <w:rPr>
                <w:rFonts w:ascii="Arial" w:hAnsi="Arial" w:cs="Arial"/>
                <w:vertAlign w:val="superscript"/>
              </w:rPr>
              <w:t>**</w:t>
            </w:r>
          </w:p>
        </w:tc>
        <w:tc>
          <w:tcPr>
            <w:tcW w:w="1236" w:type="dxa"/>
          </w:tcPr>
          <w:p w14:paraId="45E6B1EF" w14:textId="77777777" w:rsidR="00146EE5" w:rsidRPr="00187F1F" w:rsidRDefault="00146EE5" w:rsidP="00D92CBC">
            <w:pPr>
              <w:jc w:val="both"/>
            </w:pPr>
            <w:r w:rsidRPr="000E0C8F">
              <w:rPr>
                <w:rFonts w:ascii="Arial" w:hAnsi="Arial" w:cs="Arial"/>
              </w:rPr>
              <w:t>0.416</w:t>
            </w:r>
            <w:r w:rsidRPr="000E0C8F">
              <w:rPr>
                <w:rFonts w:ascii="Arial" w:hAnsi="Arial" w:cs="Arial"/>
                <w:vertAlign w:val="superscript"/>
              </w:rPr>
              <w:t>*</w:t>
            </w:r>
          </w:p>
        </w:tc>
        <w:tc>
          <w:tcPr>
            <w:tcW w:w="1383" w:type="dxa"/>
          </w:tcPr>
          <w:p w14:paraId="3E44FC92" w14:textId="77777777" w:rsidR="00146EE5" w:rsidRPr="00187F1F" w:rsidRDefault="00146EE5" w:rsidP="00D92CBC">
            <w:pPr>
              <w:jc w:val="both"/>
            </w:pPr>
            <w:r w:rsidRPr="000E0C8F">
              <w:rPr>
                <w:rFonts w:ascii="Arial" w:hAnsi="Arial" w:cs="Arial"/>
              </w:rPr>
              <w:t>1</w:t>
            </w:r>
          </w:p>
        </w:tc>
      </w:tr>
    </w:tbl>
    <w:p w14:paraId="5E59022C" w14:textId="32D4C019" w:rsidR="00146EE5" w:rsidRDefault="00146EE5" w:rsidP="00EB5F6A">
      <w:pPr>
        <w:pStyle w:val="Body"/>
        <w:spacing w:after="0"/>
        <w:rPr>
          <w:rFonts w:ascii="Arial" w:hAnsi="Arial" w:cs="Arial"/>
          <w:b/>
          <w:bCs/>
        </w:rPr>
      </w:pPr>
    </w:p>
    <w:p w14:paraId="26DA594C" w14:textId="21A086C3" w:rsidR="0093630B" w:rsidRDefault="0093630B" w:rsidP="00EB5F6A">
      <w:pPr>
        <w:pStyle w:val="Body"/>
        <w:spacing w:after="0"/>
        <w:rPr>
          <w:rFonts w:ascii="Arial" w:hAnsi="Arial" w:cs="Arial"/>
          <w:b/>
          <w:bCs/>
        </w:rPr>
      </w:pPr>
    </w:p>
    <w:p w14:paraId="265EABA0" w14:textId="77777777" w:rsidR="0093630B" w:rsidRDefault="0093630B" w:rsidP="00EB5F6A">
      <w:pPr>
        <w:pStyle w:val="Body"/>
        <w:spacing w:after="0"/>
        <w:rPr>
          <w:rFonts w:ascii="Arial" w:hAnsi="Arial" w:cs="Arial"/>
          <w:b/>
          <w:bCs/>
        </w:rPr>
      </w:pPr>
    </w:p>
    <w:p w14:paraId="1F7E2B60" w14:textId="77777777" w:rsidR="00146EE5" w:rsidRDefault="00146EE5" w:rsidP="00EB5F6A">
      <w:pPr>
        <w:pStyle w:val="Body"/>
        <w:spacing w:after="0"/>
        <w:rPr>
          <w:rFonts w:ascii="Arial" w:hAnsi="Arial" w:cs="Arial"/>
          <w:b/>
          <w:bCs/>
        </w:rPr>
      </w:pPr>
    </w:p>
    <w:p w14:paraId="7D661C75" w14:textId="77777777" w:rsidR="00146EE5" w:rsidRPr="00FA28BA" w:rsidRDefault="00146EE5" w:rsidP="00146EE5">
      <w:pPr>
        <w:pStyle w:val="Body"/>
        <w:spacing w:after="0"/>
        <w:rPr>
          <w:rFonts w:ascii="Arial" w:hAnsi="Arial" w:cs="Arial"/>
        </w:rPr>
      </w:pPr>
      <w:r w:rsidRPr="00FA28BA">
        <w:rPr>
          <w:rFonts w:ascii="Arial" w:hAnsi="Arial" w:cs="Arial"/>
          <w:b/>
          <w:bCs/>
          <w:vertAlign w:val="superscript"/>
        </w:rPr>
        <w:t xml:space="preserve">*** </w:t>
      </w:r>
      <w:r w:rsidRPr="00FA28BA">
        <w:rPr>
          <w:rFonts w:ascii="Arial" w:hAnsi="Arial" w:cs="Arial"/>
        </w:rPr>
        <w:t xml:space="preserve">Correlation is significant at </w:t>
      </w:r>
      <w:r>
        <w:rPr>
          <w:rFonts w:ascii="Arial" w:hAnsi="Arial" w:cs="Arial"/>
        </w:rPr>
        <w:t xml:space="preserve">the </w:t>
      </w:r>
      <w:r w:rsidRPr="00FA28BA">
        <w:rPr>
          <w:rFonts w:ascii="Arial" w:hAnsi="Arial" w:cs="Arial"/>
        </w:rPr>
        <w:t>0.001 level</w:t>
      </w:r>
      <w:r>
        <w:rPr>
          <w:rFonts w:ascii="Arial" w:hAnsi="Arial" w:cs="Arial"/>
        </w:rPr>
        <w:t xml:space="preserve">; </w:t>
      </w:r>
      <w:r w:rsidRPr="00FA28BA">
        <w:rPr>
          <w:rFonts w:ascii="Arial" w:hAnsi="Arial" w:cs="Arial"/>
          <w:vertAlign w:val="superscript"/>
        </w:rPr>
        <w:t xml:space="preserve">** </w:t>
      </w:r>
      <w:r w:rsidRPr="00FA28BA">
        <w:rPr>
          <w:rFonts w:ascii="Arial" w:hAnsi="Arial" w:cs="Arial"/>
        </w:rPr>
        <w:t xml:space="preserve">Correlation is significant at </w:t>
      </w:r>
      <w:r>
        <w:rPr>
          <w:rFonts w:ascii="Arial" w:hAnsi="Arial" w:cs="Arial"/>
        </w:rPr>
        <w:t xml:space="preserve">the </w:t>
      </w:r>
      <w:r w:rsidRPr="00FA28BA">
        <w:rPr>
          <w:rFonts w:ascii="Arial" w:hAnsi="Arial" w:cs="Arial"/>
        </w:rPr>
        <w:t>0.01 level</w:t>
      </w:r>
    </w:p>
    <w:p w14:paraId="515E9F93" w14:textId="0FEA7133" w:rsidR="00146EE5" w:rsidRDefault="00146EE5" w:rsidP="00146EE5">
      <w:pPr>
        <w:pStyle w:val="Body"/>
        <w:spacing w:after="0"/>
        <w:rPr>
          <w:rFonts w:ascii="Arial" w:hAnsi="Arial" w:cs="Arial"/>
        </w:rPr>
      </w:pPr>
      <w:r w:rsidRPr="00FA28BA">
        <w:rPr>
          <w:rFonts w:ascii="Arial" w:hAnsi="Arial" w:cs="Arial"/>
          <w:vertAlign w:val="superscript"/>
        </w:rPr>
        <w:t>*</w:t>
      </w:r>
      <w:r w:rsidRPr="00FA28BA">
        <w:rPr>
          <w:rFonts w:ascii="Arial" w:hAnsi="Arial" w:cs="Arial"/>
        </w:rPr>
        <w:t xml:space="preserve">Correlation is significant at </w:t>
      </w:r>
      <w:r>
        <w:rPr>
          <w:rFonts w:ascii="Arial" w:hAnsi="Arial" w:cs="Arial"/>
        </w:rPr>
        <w:t xml:space="preserve">the </w:t>
      </w:r>
      <w:r w:rsidRPr="00FA28BA">
        <w:rPr>
          <w:rFonts w:ascii="Arial" w:hAnsi="Arial" w:cs="Arial"/>
        </w:rPr>
        <w:t>0.0</w:t>
      </w:r>
      <w:r>
        <w:rPr>
          <w:rFonts w:ascii="Arial" w:hAnsi="Arial" w:cs="Arial"/>
        </w:rPr>
        <w:t>5</w:t>
      </w:r>
      <w:r w:rsidRPr="00FA28BA">
        <w:rPr>
          <w:rFonts w:ascii="Arial" w:hAnsi="Arial" w:cs="Arial"/>
        </w:rPr>
        <w:t xml:space="preserve"> level</w:t>
      </w:r>
    </w:p>
    <w:p w14:paraId="6EBC0716" w14:textId="77777777" w:rsidR="00146EE5" w:rsidRDefault="00146EE5" w:rsidP="00EB5F6A">
      <w:pPr>
        <w:pStyle w:val="Body"/>
        <w:spacing w:after="0"/>
        <w:rPr>
          <w:rFonts w:ascii="Arial" w:hAnsi="Arial" w:cs="Arial"/>
          <w:b/>
          <w:bCs/>
        </w:rPr>
      </w:pPr>
    </w:p>
    <w:p w14:paraId="7E1E25F7" w14:textId="4652BA25" w:rsidR="00EB5F6A" w:rsidRDefault="00EB5F6A" w:rsidP="00EB5F6A">
      <w:pPr>
        <w:pStyle w:val="Body"/>
        <w:spacing w:after="0"/>
        <w:rPr>
          <w:rFonts w:ascii="Arial" w:hAnsi="Arial" w:cs="Arial"/>
          <w:b/>
          <w:bCs/>
        </w:rPr>
      </w:pPr>
      <w:r>
        <w:rPr>
          <w:rFonts w:ascii="Arial" w:hAnsi="Arial" w:cs="Arial"/>
          <w:b/>
          <w:bCs/>
        </w:rPr>
        <w:t>Table 6: Correlation between total nutrient uptake ratios and yield</w:t>
      </w:r>
    </w:p>
    <w:tbl>
      <w:tblPr>
        <w:tblpPr w:leftFromText="180" w:rightFromText="180" w:vertAnchor="text" w:horzAnchor="margin" w:tblpXSpec="center" w:tblpY="109"/>
        <w:tblW w:w="62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38"/>
        <w:gridCol w:w="1077"/>
        <w:gridCol w:w="1236"/>
        <w:gridCol w:w="1236"/>
        <w:gridCol w:w="1383"/>
      </w:tblGrid>
      <w:tr w:rsidR="00EB5F6A" w:rsidRPr="00DC3180" w14:paraId="0759652B" w14:textId="77777777">
        <w:trPr>
          <w:trHeight w:hRule="exact" w:val="340"/>
        </w:trPr>
        <w:tc>
          <w:tcPr>
            <w:tcW w:w="1338" w:type="dxa"/>
          </w:tcPr>
          <w:p w14:paraId="3266A9AE" w14:textId="77777777" w:rsidR="00EB5F6A" w:rsidRPr="00DC3180" w:rsidRDefault="00EB5F6A">
            <w:pPr>
              <w:jc w:val="both"/>
              <w:rPr>
                <w:rFonts w:ascii="Arial" w:hAnsi="Arial"/>
                <w:b/>
                <w:bCs/>
              </w:rPr>
            </w:pPr>
          </w:p>
        </w:tc>
        <w:tc>
          <w:tcPr>
            <w:tcW w:w="1077" w:type="dxa"/>
          </w:tcPr>
          <w:p w14:paraId="278845D7" w14:textId="77777777" w:rsidR="00EB5F6A" w:rsidRPr="00187F1F" w:rsidRDefault="00EB5F6A">
            <w:pPr>
              <w:jc w:val="both"/>
            </w:pPr>
            <w:r w:rsidRPr="000E0C8F">
              <w:rPr>
                <w:rFonts w:ascii="Arial" w:hAnsi="Arial" w:cs="Arial"/>
              </w:rPr>
              <w:t xml:space="preserve">N/P </w:t>
            </w:r>
          </w:p>
        </w:tc>
        <w:tc>
          <w:tcPr>
            <w:tcW w:w="1236" w:type="dxa"/>
          </w:tcPr>
          <w:p w14:paraId="31EC037A" w14:textId="77777777" w:rsidR="00EB5F6A" w:rsidRPr="00187F1F" w:rsidRDefault="00EB5F6A">
            <w:pPr>
              <w:jc w:val="both"/>
            </w:pPr>
            <w:r w:rsidRPr="000E0C8F">
              <w:rPr>
                <w:rFonts w:ascii="Arial" w:hAnsi="Arial" w:cs="Arial"/>
              </w:rPr>
              <w:t>N/K</w:t>
            </w:r>
          </w:p>
        </w:tc>
        <w:tc>
          <w:tcPr>
            <w:tcW w:w="1236" w:type="dxa"/>
          </w:tcPr>
          <w:p w14:paraId="464E25E7" w14:textId="77777777" w:rsidR="00EB5F6A" w:rsidRPr="00187F1F" w:rsidRDefault="00EB5F6A">
            <w:pPr>
              <w:jc w:val="both"/>
            </w:pPr>
            <w:r w:rsidRPr="000E0C8F">
              <w:rPr>
                <w:rFonts w:ascii="Arial" w:hAnsi="Arial" w:cs="Arial"/>
              </w:rPr>
              <w:t>P/K</w:t>
            </w:r>
          </w:p>
        </w:tc>
        <w:tc>
          <w:tcPr>
            <w:tcW w:w="1383" w:type="dxa"/>
          </w:tcPr>
          <w:p w14:paraId="3F10ECCE" w14:textId="77777777" w:rsidR="00EB5F6A" w:rsidRPr="00187F1F" w:rsidRDefault="00EB5F6A">
            <w:pPr>
              <w:jc w:val="both"/>
            </w:pPr>
            <w:r w:rsidRPr="000E0C8F">
              <w:rPr>
                <w:rFonts w:ascii="Arial" w:hAnsi="Arial" w:cs="Arial"/>
              </w:rPr>
              <w:t>Yield (t ha</w:t>
            </w:r>
            <w:r w:rsidRPr="000E0C8F">
              <w:rPr>
                <w:rFonts w:ascii="Arial" w:hAnsi="Arial" w:cs="Arial"/>
                <w:vertAlign w:val="superscript"/>
              </w:rPr>
              <w:t>-1</w:t>
            </w:r>
            <w:r w:rsidRPr="000E0C8F">
              <w:rPr>
                <w:rFonts w:ascii="Arial" w:hAnsi="Arial" w:cs="Arial"/>
              </w:rPr>
              <w:t>)</w:t>
            </w:r>
          </w:p>
        </w:tc>
      </w:tr>
      <w:tr w:rsidR="00EB5F6A" w:rsidRPr="00DC3180" w14:paraId="06759D2C" w14:textId="77777777">
        <w:trPr>
          <w:trHeight w:hRule="exact" w:val="340"/>
        </w:trPr>
        <w:tc>
          <w:tcPr>
            <w:tcW w:w="1338" w:type="dxa"/>
          </w:tcPr>
          <w:p w14:paraId="0B8ADD4B" w14:textId="77777777" w:rsidR="00EB5F6A" w:rsidRPr="00DC3180" w:rsidRDefault="00EB5F6A">
            <w:pPr>
              <w:jc w:val="both"/>
              <w:rPr>
                <w:rFonts w:ascii="Arial" w:hAnsi="Arial"/>
                <w:b/>
                <w:bCs/>
              </w:rPr>
            </w:pPr>
            <w:r w:rsidRPr="000E0C8F">
              <w:rPr>
                <w:rFonts w:ascii="Arial" w:hAnsi="Arial" w:cs="Arial"/>
              </w:rPr>
              <w:t>N/P</w:t>
            </w:r>
          </w:p>
        </w:tc>
        <w:tc>
          <w:tcPr>
            <w:tcW w:w="1077" w:type="dxa"/>
          </w:tcPr>
          <w:p w14:paraId="69584256" w14:textId="77777777" w:rsidR="00EB5F6A" w:rsidRPr="00187F1F" w:rsidRDefault="00EB5F6A">
            <w:pPr>
              <w:jc w:val="both"/>
            </w:pPr>
            <w:r w:rsidRPr="000E0C8F">
              <w:rPr>
                <w:rFonts w:ascii="Arial" w:hAnsi="Arial" w:cs="Arial"/>
              </w:rPr>
              <w:t>1</w:t>
            </w:r>
          </w:p>
        </w:tc>
        <w:tc>
          <w:tcPr>
            <w:tcW w:w="1236" w:type="dxa"/>
          </w:tcPr>
          <w:p w14:paraId="79F5D101" w14:textId="77777777" w:rsidR="00EB5F6A" w:rsidRPr="00187F1F" w:rsidRDefault="00EB5F6A">
            <w:pPr>
              <w:jc w:val="both"/>
            </w:pPr>
          </w:p>
        </w:tc>
        <w:tc>
          <w:tcPr>
            <w:tcW w:w="1236" w:type="dxa"/>
          </w:tcPr>
          <w:p w14:paraId="6660058D" w14:textId="77777777" w:rsidR="00EB5F6A" w:rsidRPr="00187F1F" w:rsidRDefault="00EB5F6A">
            <w:pPr>
              <w:jc w:val="both"/>
            </w:pPr>
          </w:p>
        </w:tc>
        <w:tc>
          <w:tcPr>
            <w:tcW w:w="1383" w:type="dxa"/>
          </w:tcPr>
          <w:p w14:paraId="0CC1EB89" w14:textId="77777777" w:rsidR="00EB5F6A" w:rsidRPr="00187F1F" w:rsidRDefault="00EB5F6A">
            <w:pPr>
              <w:jc w:val="both"/>
            </w:pPr>
          </w:p>
        </w:tc>
      </w:tr>
      <w:tr w:rsidR="00EB5F6A" w:rsidRPr="00DC3180" w14:paraId="718C4E29" w14:textId="77777777">
        <w:trPr>
          <w:trHeight w:hRule="exact" w:val="340"/>
        </w:trPr>
        <w:tc>
          <w:tcPr>
            <w:tcW w:w="1338" w:type="dxa"/>
          </w:tcPr>
          <w:p w14:paraId="691B4F83" w14:textId="77777777" w:rsidR="00EB5F6A" w:rsidRPr="00DC3180" w:rsidRDefault="00EB5F6A">
            <w:pPr>
              <w:jc w:val="both"/>
              <w:rPr>
                <w:rFonts w:ascii="Arial" w:hAnsi="Arial" w:cs="Arial"/>
              </w:rPr>
            </w:pPr>
            <w:r w:rsidRPr="000E0C8F">
              <w:rPr>
                <w:rFonts w:ascii="Arial" w:hAnsi="Arial" w:cs="Arial"/>
              </w:rPr>
              <w:t>N/K</w:t>
            </w:r>
          </w:p>
        </w:tc>
        <w:tc>
          <w:tcPr>
            <w:tcW w:w="1077" w:type="dxa"/>
          </w:tcPr>
          <w:p w14:paraId="57C64D13" w14:textId="77777777" w:rsidR="00EB5F6A" w:rsidRPr="00123764" w:rsidRDefault="00EB5F6A">
            <w:pPr>
              <w:jc w:val="both"/>
              <w:rPr>
                <w:vertAlign w:val="superscript"/>
              </w:rPr>
            </w:pPr>
            <w:r w:rsidRPr="000E0C8F">
              <w:rPr>
                <w:rFonts w:ascii="Arial" w:hAnsi="Arial" w:cs="Arial"/>
              </w:rPr>
              <w:t>0.</w:t>
            </w:r>
            <w:r>
              <w:rPr>
                <w:rFonts w:ascii="Arial" w:hAnsi="Arial" w:cs="Arial"/>
              </w:rPr>
              <w:t>664</w:t>
            </w:r>
            <w:r>
              <w:rPr>
                <w:rFonts w:ascii="Arial" w:hAnsi="Arial" w:cs="Arial"/>
                <w:vertAlign w:val="superscript"/>
              </w:rPr>
              <w:t>***</w:t>
            </w:r>
          </w:p>
        </w:tc>
        <w:tc>
          <w:tcPr>
            <w:tcW w:w="1236" w:type="dxa"/>
          </w:tcPr>
          <w:p w14:paraId="6D87AEBC" w14:textId="77777777" w:rsidR="00EB5F6A" w:rsidRPr="00187F1F" w:rsidRDefault="00EB5F6A">
            <w:pPr>
              <w:jc w:val="both"/>
            </w:pPr>
            <w:r w:rsidRPr="000E0C8F">
              <w:rPr>
                <w:rFonts w:ascii="Arial" w:hAnsi="Arial" w:cs="Arial"/>
              </w:rPr>
              <w:t>1</w:t>
            </w:r>
          </w:p>
        </w:tc>
        <w:tc>
          <w:tcPr>
            <w:tcW w:w="1236" w:type="dxa"/>
          </w:tcPr>
          <w:p w14:paraId="09476487" w14:textId="77777777" w:rsidR="00EB5F6A" w:rsidRPr="00187F1F" w:rsidRDefault="00EB5F6A">
            <w:pPr>
              <w:jc w:val="both"/>
            </w:pPr>
          </w:p>
        </w:tc>
        <w:tc>
          <w:tcPr>
            <w:tcW w:w="1383" w:type="dxa"/>
          </w:tcPr>
          <w:p w14:paraId="12E836D5" w14:textId="77777777" w:rsidR="00EB5F6A" w:rsidRPr="00187F1F" w:rsidRDefault="00EB5F6A">
            <w:pPr>
              <w:jc w:val="both"/>
            </w:pPr>
          </w:p>
        </w:tc>
      </w:tr>
      <w:tr w:rsidR="00EB5F6A" w:rsidRPr="00DC3180" w14:paraId="6C1824AE" w14:textId="77777777">
        <w:trPr>
          <w:trHeight w:hRule="exact" w:val="340"/>
        </w:trPr>
        <w:tc>
          <w:tcPr>
            <w:tcW w:w="1338" w:type="dxa"/>
          </w:tcPr>
          <w:p w14:paraId="2E9F715C" w14:textId="77777777" w:rsidR="00EB5F6A" w:rsidRPr="00DC3180" w:rsidRDefault="00EB5F6A">
            <w:pPr>
              <w:jc w:val="both"/>
              <w:rPr>
                <w:rFonts w:ascii="Arial" w:hAnsi="Arial"/>
              </w:rPr>
            </w:pPr>
            <w:r w:rsidRPr="000E0C8F">
              <w:rPr>
                <w:rFonts w:ascii="Arial" w:hAnsi="Arial" w:cs="Arial"/>
              </w:rPr>
              <w:t>P/K</w:t>
            </w:r>
          </w:p>
        </w:tc>
        <w:tc>
          <w:tcPr>
            <w:tcW w:w="1077" w:type="dxa"/>
          </w:tcPr>
          <w:p w14:paraId="35CC90A4" w14:textId="77777777" w:rsidR="00EB5F6A" w:rsidRPr="00187F1F" w:rsidRDefault="00EB5F6A">
            <w:pPr>
              <w:jc w:val="both"/>
            </w:pPr>
            <w:r w:rsidRPr="000E0C8F">
              <w:rPr>
                <w:rFonts w:ascii="Arial" w:hAnsi="Arial" w:cs="Arial"/>
              </w:rPr>
              <w:t>-0.</w:t>
            </w:r>
            <w:r>
              <w:rPr>
                <w:rFonts w:ascii="Arial" w:hAnsi="Arial" w:cs="Arial"/>
              </w:rPr>
              <w:t>079</w:t>
            </w:r>
          </w:p>
        </w:tc>
        <w:tc>
          <w:tcPr>
            <w:tcW w:w="1236" w:type="dxa"/>
          </w:tcPr>
          <w:p w14:paraId="03D5C297" w14:textId="77777777" w:rsidR="00EB5F6A" w:rsidRPr="00123764" w:rsidRDefault="00EB5F6A">
            <w:pPr>
              <w:jc w:val="both"/>
              <w:rPr>
                <w:vertAlign w:val="superscript"/>
              </w:rPr>
            </w:pPr>
            <w:r w:rsidRPr="000E0C8F">
              <w:rPr>
                <w:rFonts w:ascii="Arial" w:hAnsi="Arial" w:cs="Arial"/>
              </w:rPr>
              <w:t>0</w:t>
            </w:r>
            <w:r>
              <w:rPr>
                <w:rFonts w:ascii="Arial" w:hAnsi="Arial" w:cs="Arial"/>
              </w:rPr>
              <w:t>.693</w:t>
            </w:r>
            <w:r>
              <w:rPr>
                <w:rFonts w:ascii="Arial" w:hAnsi="Arial" w:cs="Arial"/>
                <w:vertAlign w:val="superscript"/>
              </w:rPr>
              <w:t>***</w:t>
            </w:r>
          </w:p>
        </w:tc>
        <w:tc>
          <w:tcPr>
            <w:tcW w:w="1236" w:type="dxa"/>
          </w:tcPr>
          <w:p w14:paraId="3A96DA9F" w14:textId="77777777" w:rsidR="00EB5F6A" w:rsidRPr="00187F1F" w:rsidRDefault="00EB5F6A">
            <w:pPr>
              <w:jc w:val="both"/>
            </w:pPr>
            <w:r w:rsidRPr="000E0C8F">
              <w:rPr>
                <w:rFonts w:ascii="Arial" w:hAnsi="Arial" w:cs="Arial"/>
              </w:rPr>
              <w:t>1</w:t>
            </w:r>
          </w:p>
        </w:tc>
        <w:tc>
          <w:tcPr>
            <w:tcW w:w="1383" w:type="dxa"/>
          </w:tcPr>
          <w:p w14:paraId="484DCF57" w14:textId="77777777" w:rsidR="00EB5F6A" w:rsidRPr="00187F1F" w:rsidRDefault="00EB5F6A">
            <w:pPr>
              <w:jc w:val="both"/>
            </w:pPr>
          </w:p>
        </w:tc>
      </w:tr>
      <w:tr w:rsidR="00EB5F6A" w:rsidRPr="00DC3180" w14:paraId="2A56C6EE" w14:textId="77777777">
        <w:trPr>
          <w:trHeight w:hRule="exact" w:val="340"/>
        </w:trPr>
        <w:tc>
          <w:tcPr>
            <w:tcW w:w="1338" w:type="dxa"/>
          </w:tcPr>
          <w:p w14:paraId="75440C83" w14:textId="77777777" w:rsidR="00EB5F6A" w:rsidRPr="00DC3180" w:rsidRDefault="00EB5F6A">
            <w:pPr>
              <w:jc w:val="both"/>
              <w:rPr>
                <w:rFonts w:ascii="Arial" w:hAnsi="Arial"/>
              </w:rPr>
            </w:pPr>
            <w:r w:rsidRPr="000E0C8F">
              <w:rPr>
                <w:rFonts w:ascii="Arial" w:hAnsi="Arial" w:cs="Arial"/>
              </w:rPr>
              <w:t>Yield (t ha</w:t>
            </w:r>
            <w:r w:rsidRPr="000E0C8F">
              <w:rPr>
                <w:rFonts w:ascii="Arial" w:hAnsi="Arial" w:cs="Arial"/>
                <w:vertAlign w:val="superscript"/>
              </w:rPr>
              <w:t>-1</w:t>
            </w:r>
            <w:r w:rsidRPr="000E0C8F">
              <w:rPr>
                <w:rFonts w:ascii="Arial" w:hAnsi="Arial" w:cs="Arial"/>
              </w:rPr>
              <w:t>)</w:t>
            </w:r>
          </w:p>
        </w:tc>
        <w:tc>
          <w:tcPr>
            <w:tcW w:w="1077" w:type="dxa"/>
          </w:tcPr>
          <w:p w14:paraId="4EA0ED9B" w14:textId="77777777" w:rsidR="00EB5F6A" w:rsidRPr="00187F1F" w:rsidRDefault="00EB5F6A">
            <w:pPr>
              <w:jc w:val="both"/>
            </w:pPr>
            <w:r w:rsidRPr="000E0C8F">
              <w:rPr>
                <w:rFonts w:ascii="Arial" w:hAnsi="Arial" w:cs="Arial"/>
              </w:rPr>
              <w:t>-0.</w:t>
            </w:r>
            <w:r>
              <w:rPr>
                <w:rFonts w:ascii="Arial" w:hAnsi="Arial" w:cs="Arial"/>
              </w:rPr>
              <w:t>774</w:t>
            </w:r>
            <w:r w:rsidRPr="000E0C8F">
              <w:rPr>
                <w:rFonts w:ascii="Arial" w:hAnsi="Arial" w:cs="Arial"/>
                <w:vertAlign w:val="superscript"/>
              </w:rPr>
              <w:t>***</w:t>
            </w:r>
          </w:p>
        </w:tc>
        <w:tc>
          <w:tcPr>
            <w:tcW w:w="1236" w:type="dxa"/>
          </w:tcPr>
          <w:p w14:paraId="0EC8426E" w14:textId="77777777" w:rsidR="00EB5F6A" w:rsidRPr="00123764" w:rsidRDefault="00EB5F6A">
            <w:pPr>
              <w:jc w:val="both"/>
              <w:rPr>
                <w:vertAlign w:val="superscript"/>
              </w:rPr>
            </w:pPr>
            <w:r w:rsidRPr="000E0C8F">
              <w:rPr>
                <w:rFonts w:ascii="Arial" w:hAnsi="Arial" w:cs="Arial"/>
              </w:rPr>
              <w:t>-0.</w:t>
            </w:r>
            <w:r>
              <w:rPr>
                <w:rFonts w:ascii="Arial" w:hAnsi="Arial" w:cs="Arial"/>
              </w:rPr>
              <w:t>769</w:t>
            </w:r>
            <w:r w:rsidRPr="000E0C8F">
              <w:rPr>
                <w:rFonts w:ascii="Arial" w:hAnsi="Arial" w:cs="Arial"/>
                <w:vertAlign w:val="superscript"/>
              </w:rPr>
              <w:t>**</w:t>
            </w:r>
            <w:r>
              <w:rPr>
                <w:rFonts w:ascii="Arial" w:hAnsi="Arial" w:cs="Arial"/>
                <w:vertAlign w:val="superscript"/>
              </w:rPr>
              <w:t>*</w:t>
            </w:r>
          </w:p>
        </w:tc>
        <w:tc>
          <w:tcPr>
            <w:tcW w:w="1236" w:type="dxa"/>
          </w:tcPr>
          <w:p w14:paraId="33A937C0" w14:textId="77777777" w:rsidR="00EB5F6A" w:rsidRPr="00187F1F" w:rsidRDefault="00EB5F6A">
            <w:pPr>
              <w:jc w:val="both"/>
            </w:pPr>
            <w:r>
              <w:t>-0.288</w:t>
            </w:r>
          </w:p>
        </w:tc>
        <w:tc>
          <w:tcPr>
            <w:tcW w:w="1383" w:type="dxa"/>
          </w:tcPr>
          <w:p w14:paraId="7DCC86A8" w14:textId="77777777" w:rsidR="00EB5F6A" w:rsidRPr="00187F1F" w:rsidRDefault="00EB5F6A">
            <w:pPr>
              <w:jc w:val="both"/>
            </w:pPr>
            <w:r w:rsidRPr="000E0C8F">
              <w:rPr>
                <w:rFonts w:ascii="Arial" w:hAnsi="Arial" w:cs="Arial"/>
              </w:rPr>
              <w:t>1</w:t>
            </w:r>
          </w:p>
        </w:tc>
      </w:tr>
    </w:tbl>
    <w:p w14:paraId="5074D5D0" w14:textId="77777777" w:rsidR="00EB5F6A" w:rsidRDefault="00EB5F6A" w:rsidP="00EB5F6A">
      <w:pPr>
        <w:pStyle w:val="Body"/>
        <w:rPr>
          <w:rFonts w:ascii="Arial" w:hAnsi="Arial" w:cs="Arial"/>
        </w:rPr>
      </w:pPr>
    </w:p>
    <w:p w14:paraId="52381E1B" w14:textId="77777777" w:rsidR="00EB5F6A" w:rsidRDefault="00EB5F6A" w:rsidP="00EB5F6A">
      <w:pPr>
        <w:pStyle w:val="Body"/>
        <w:rPr>
          <w:rFonts w:ascii="Arial" w:hAnsi="Arial" w:cs="Arial"/>
        </w:rPr>
      </w:pPr>
    </w:p>
    <w:p w14:paraId="51541BC1" w14:textId="77777777" w:rsidR="00EB5F6A" w:rsidRDefault="00EB5F6A" w:rsidP="00EB5F6A">
      <w:pPr>
        <w:pStyle w:val="Body"/>
        <w:rPr>
          <w:rFonts w:ascii="Arial" w:hAnsi="Arial" w:cs="Arial"/>
        </w:rPr>
      </w:pPr>
    </w:p>
    <w:p w14:paraId="2656936F" w14:textId="77777777" w:rsidR="00EB5F6A" w:rsidRDefault="00EB5F6A" w:rsidP="00EB5F6A">
      <w:pPr>
        <w:pStyle w:val="Body"/>
        <w:rPr>
          <w:rFonts w:ascii="Arial" w:hAnsi="Arial" w:cs="Arial"/>
        </w:rPr>
      </w:pPr>
    </w:p>
    <w:p w14:paraId="1A433B8A" w14:textId="77777777" w:rsidR="00146EE5" w:rsidRPr="00FA28BA" w:rsidRDefault="00146EE5" w:rsidP="00146EE5">
      <w:pPr>
        <w:pStyle w:val="Body"/>
        <w:spacing w:after="0"/>
        <w:rPr>
          <w:rFonts w:ascii="Arial" w:hAnsi="Arial" w:cs="Arial"/>
        </w:rPr>
      </w:pPr>
      <w:r w:rsidRPr="00FA28BA">
        <w:rPr>
          <w:rFonts w:ascii="Arial" w:hAnsi="Arial" w:cs="Arial"/>
          <w:b/>
          <w:bCs/>
          <w:vertAlign w:val="superscript"/>
        </w:rPr>
        <w:t xml:space="preserve">*** </w:t>
      </w:r>
      <w:r w:rsidRPr="00FA28BA">
        <w:rPr>
          <w:rFonts w:ascii="Arial" w:hAnsi="Arial" w:cs="Arial"/>
        </w:rPr>
        <w:t xml:space="preserve">Correlation is significant at </w:t>
      </w:r>
      <w:r>
        <w:rPr>
          <w:rFonts w:ascii="Arial" w:hAnsi="Arial" w:cs="Arial"/>
        </w:rPr>
        <w:t xml:space="preserve">the </w:t>
      </w:r>
      <w:r w:rsidRPr="00FA28BA">
        <w:rPr>
          <w:rFonts w:ascii="Arial" w:hAnsi="Arial" w:cs="Arial"/>
        </w:rPr>
        <w:t>0.001 level</w:t>
      </w:r>
      <w:r>
        <w:rPr>
          <w:rFonts w:ascii="Arial" w:hAnsi="Arial" w:cs="Arial"/>
        </w:rPr>
        <w:t xml:space="preserve">; </w:t>
      </w:r>
      <w:r w:rsidRPr="00FA28BA">
        <w:rPr>
          <w:rFonts w:ascii="Arial" w:hAnsi="Arial" w:cs="Arial"/>
          <w:vertAlign w:val="superscript"/>
        </w:rPr>
        <w:t xml:space="preserve">** </w:t>
      </w:r>
      <w:r w:rsidRPr="00FA28BA">
        <w:rPr>
          <w:rFonts w:ascii="Arial" w:hAnsi="Arial" w:cs="Arial"/>
        </w:rPr>
        <w:t xml:space="preserve">Correlation is significant at </w:t>
      </w:r>
      <w:r>
        <w:rPr>
          <w:rFonts w:ascii="Arial" w:hAnsi="Arial" w:cs="Arial"/>
        </w:rPr>
        <w:t xml:space="preserve">the </w:t>
      </w:r>
      <w:r w:rsidRPr="00FA28BA">
        <w:rPr>
          <w:rFonts w:ascii="Arial" w:hAnsi="Arial" w:cs="Arial"/>
        </w:rPr>
        <w:t>0.01 level</w:t>
      </w:r>
    </w:p>
    <w:p w14:paraId="204FEF55" w14:textId="282AE8F6" w:rsidR="00146EE5" w:rsidRDefault="00146EE5" w:rsidP="0023152F">
      <w:pPr>
        <w:pStyle w:val="Body"/>
        <w:spacing w:after="0"/>
        <w:jc w:val="left"/>
        <w:rPr>
          <w:rFonts w:ascii="Arial" w:hAnsi="Arial" w:cs="Arial"/>
        </w:rPr>
      </w:pPr>
      <w:r w:rsidRPr="00FA28BA">
        <w:rPr>
          <w:rFonts w:ascii="Arial" w:hAnsi="Arial" w:cs="Arial"/>
          <w:vertAlign w:val="superscript"/>
        </w:rPr>
        <w:t>*</w:t>
      </w:r>
      <w:r w:rsidRPr="00FA28BA">
        <w:rPr>
          <w:rFonts w:ascii="Arial" w:hAnsi="Arial" w:cs="Arial"/>
        </w:rPr>
        <w:t xml:space="preserve">Correlation is significant at </w:t>
      </w:r>
      <w:r>
        <w:rPr>
          <w:rFonts w:ascii="Arial" w:hAnsi="Arial" w:cs="Arial"/>
        </w:rPr>
        <w:t xml:space="preserve">the </w:t>
      </w:r>
      <w:r w:rsidRPr="00FA28BA">
        <w:rPr>
          <w:rFonts w:ascii="Arial" w:hAnsi="Arial" w:cs="Arial"/>
        </w:rPr>
        <w:t>0.0</w:t>
      </w:r>
      <w:r>
        <w:rPr>
          <w:rFonts w:ascii="Arial" w:hAnsi="Arial" w:cs="Arial"/>
        </w:rPr>
        <w:t>5</w:t>
      </w:r>
      <w:r w:rsidRPr="00FA28BA">
        <w:rPr>
          <w:rFonts w:ascii="Arial" w:hAnsi="Arial" w:cs="Arial"/>
        </w:rPr>
        <w:t xml:space="preserve"> level</w:t>
      </w:r>
    </w:p>
    <w:p w14:paraId="04017C77" w14:textId="77777777" w:rsidR="00E053D0" w:rsidRDefault="00E053D0" w:rsidP="0023152F">
      <w:pPr>
        <w:pStyle w:val="Body"/>
        <w:spacing w:after="0"/>
        <w:jc w:val="left"/>
        <w:rPr>
          <w:rFonts w:ascii="Arial" w:hAnsi="Arial" w:cs="Arial"/>
        </w:rPr>
      </w:pPr>
    </w:p>
    <w:p w14:paraId="48109468" w14:textId="77777777" w:rsidR="00790ADA" w:rsidRPr="00FB3A86" w:rsidRDefault="00790ADA" w:rsidP="00441B6F">
      <w:pPr>
        <w:pStyle w:val="Body"/>
        <w:spacing w:after="0"/>
        <w:rPr>
          <w:rFonts w:ascii="Arial" w:hAnsi="Arial" w:cs="Arial"/>
        </w:rPr>
      </w:pPr>
    </w:p>
    <w:p w14:paraId="3F1A35F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B94486C" w14:textId="77777777" w:rsidR="00790ADA" w:rsidRPr="00FB3A86" w:rsidRDefault="00790ADA" w:rsidP="00441B6F">
      <w:pPr>
        <w:pStyle w:val="ConcHead"/>
        <w:spacing w:after="0"/>
        <w:jc w:val="both"/>
        <w:rPr>
          <w:rFonts w:ascii="Arial" w:hAnsi="Arial" w:cs="Arial"/>
        </w:rPr>
      </w:pPr>
    </w:p>
    <w:p w14:paraId="2760CD2A" w14:textId="303B24F8" w:rsidR="00EB5F6A" w:rsidRDefault="00EB5F6A" w:rsidP="0023152F">
      <w:pPr>
        <w:jc w:val="both"/>
        <w:rPr>
          <w:rFonts w:ascii="Arial" w:hAnsi="Arial" w:cs="Arial"/>
        </w:rPr>
      </w:pPr>
      <w:r w:rsidRPr="00EB5F6A">
        <w:rPr>
          <w:rFonts w:ascii="Arial" w:hAnsi="Arial" w:cs="Arial"/>
        </w:rPr>
        <w:t xml:space="preserve">The soil test crop response-based targeted yield equation formulated for groundnut can be adopted up to a yield target of 3.31 </w:t>
      </w:r>
      <w:proofErr w:type="spellStart"/>
      <w:r w:rsidRPr="00EB5F6A">
        <w:rPr>
          <w:rFonts w:ascii="Arial" w:hAnsi="Arial" w:cs="Arial"/>
        </w:rPr>
        <w:t>tonnes</w:t>
      </w:r>
      <w:proofErr w:type="spellEnd"/>
      <w:r w:rsidRPr="00EB5F6A">
        <w:rPr>
          <w:rFonts w:ascii="Arial" w:hAnsi="Arial" w:cs="Arial"/>
        </w:rPr>
        <w:t>, particularly when resource availability and management are efficient and optimal. Among the treatments, an enhanced economic return was obtained in treatment T</w:t>
      </w:r>
      <w:r w:rsidRPr="00A72C75">
        <w:rPr>
          <w:rFonts w:ascii="Arial" w:hAnsi="Arial" w:cs="Arial"/>
          <w:vertAlign w:val="subscript"/>
        </w:rPr>
        <w:t>5</w:t>
      </w:r>
      <w:r w:rsidRPr="00EB5F6A">
        <w:rPr>
          <w:rFonts w:ascii="Arial" w:hAnsi="Arial" w:cs="Arial"/>
        </w:rPr>
        <w:t xml:space="preserve">, producing a yield of 3.31 </w:t>
      </w:r>
      <w:proofErr w:type="spellStart"/>
      <w:r w:rsidRPr="00EB5F6A">
        <w:rPr>
          <w:rFonts w:ascii="Arial" w:hAnsi="Arial" w:cs="Arial"/>
        </w:rPr>
        <w:t>tonnes</w:t>
      </w:r>
      <w:proofErr w:type="spellEnd"/>
      <w:r w:rsidRPr="00EB5F6A">
        <w:rPr>
          <w:rFonts w:ascii="Arial" w:hAnsi="Arial" w:cs="Arial"/>
        </w:rPr>
        <w:t xml:space="preserve"> and a superior B: C ratio of 2.65 with suggested nutrient application as per treatment T</w:t>
      </w:r>
      <w:r w:rsidRPr="00A72C75">
        <w:rPr>
          <w:rFonts w:ascii="Arial" w:hAnsi="Arial" w:cs="Arial"/>
          <w:vertAlign w:val="subscript"/>
        </w:rPr>
        <w:t>5</w:t>
      </w:r>
      <w:r w:rsidRPr="00EB5F6A">
        <w:rPr>
          <w:rFonts w:ascii="Arial" w:hAnsi="Arial" w:cs="Arial"/>
        </w:rPr>
        <w:t xml:space="preserve">. Increasing nutrient application, </w:t>
      </w:r>
      <w:r w:rsidRPr="00EB5F6A">
        <w:rPr>
          <w:rFonts w:ascii="Arial" w:hAnsi="Arial" w:cs="Arial"/>
        </w:rPr>
        <w:lastRenderedPageBreak/>
        <w:t>surpassing treatment T</w:t>
      </w:r>
      <w:r w:rsidRPr="00A72C75">
        <w:rPr>
          <w:rFonts w:ascii="Arial" w:hAnsi="Arial" w:cs="Arial"/>
          <w:vertAlign w:val="subscript"/>
        </w:rPr>
        <w:t>5</w:t>
      </w:r>
      <w:r w:rsidRPr="00EB5F6A">
        <w:rPr>
          <w:rFonts w:ascii="Arial" w:hAnsi="Arial" w:cs="Arial"/>
        </w:rPr>
        <w:t xml:space="preserve">, could lead to a decline in crop yield. </w:t>
      </w:r>
      <w:r w:rsidR="00D25948">
        <w:rPr>
          <w:rFonts w:ascii="Arial" w:hAnsi="Arial" w:cs="Arial"/>
        </w:rPr>
        <w:t>Soil texture of the field under study is sandy clay loam</w:t>
      </w:r>
      <w:r w:rsidR="00E73FB1">
        <w:rPr>
          <w:rFonts w:ascii="Arial" w:hAnsi="Arial" w:cs="Arial"/>
        </w:rPr>
        <w:t xml:space="preserve"> and organic content of the post-harvest soil in all the treatments has slightly improved over the initial value reflecting its sustainability. So, recommended land preparation for raising the groundnut will be sufficient to prevent the soil compaction. </w:t>
      </w:r>
      <w:r w:rsidRPr="00EB5F6A">
        <w:rPr>
          <w:rFonts w:ascii="Arial" w:hAnsi="Arial" w:cs="Arial"/>
        </w:rPr>
        <w:t xml:space="preserve">Therefore, STCR-based targeted equations can be adopted for efficient and optimum fertilizer utilization and contribute towards obtaining improved yields and returns. </w:t>
      </w:r>
    </w:p>
    <w:p w14:paraId="0A7DB207" w14:textId="13235A70" w:rsidR="003A3EFB" w:rsidRDefault="003A3EFB" w:rsidP="0023152F">
      <w:pPr>
        <w:jc w:val="both"/>
        <w:rPr>
          <w:rFonts w:ascii="Arial" w:hAnsi="Arial" w:cs="Arial"/>
        </w:rPr>
      </w:pPr>
    </w:p>
    <w:p w14:paraId="59326A08" w14:textId="1C63844D" w:rsidR="007E753F" w:rsidRPr="003D4CF0" w:rsidRDefault="003D4CF0" w:rsidP="003D4CF0">
      <w:pPr>
        <w:spacing w:after="200" w:line="276" w:lineRule="auto"/>
        <w:rPr>
          <w:rFonts w:ascii="Calibri" w:eastAsia="Calibri" w:hAnsi="Calibri"/>
          <w:kern w:val="2"/>
          <w:sz w:val="22"/>
          <w:szCs w:val="22"/>
          <w:highlight w:val="yellow"/>
        </w:rPr>
      </w:pPr>
      <w:bookmarkStart w:id="1" w:name="_Hlk180402183"/>
      <w:bookmarkStart w:id="2" w:name="_Hlk183680988"/>
      <w:r w:rsidRPr="003D4CF0">
        <w:rPr>
          <w:rFonts w:ascii="Calibri" w:eastAsia="Calibri" w:hAnsi="Calibri"/>
          <w:kern w:val="2"/>
          <w:sz w:val="22"/>
          <w:szCs w:val="22"/>
          <w:highlight w:val="yellow"/>
        </w:rPr>
        <w:t>Disclaimer (Artificial intelligence)</w:t>
      </w:r>
      <w:r w:rsidR="007E753F">
        <w:rPr>
          <w:rFonts w:ascii="Calibri" w:eastAsia="Calibri" w:hAnsi="Calibri"/>
          <w:kern w:val="2"/>
          <w:sz w:val="22"/>
          <w:szCs w:val="22"/>
          <w:highlight w:val="yellow"/>
        </w:rPr>
        <w:t xml:space="preserve"> </w:t>
      </w:r>
    </w:p>
    <w:p w14:paraId="39883B5A" w14:textId="77777777" w:rsidR="003D4CF0" w:rsidRPr="003D4CF0" w:rsidRDefault="003D4CF0" w:rsidP="003D4CF0">
      <w:pPr>
        <w:spacing w:after="200" w:line="276" w:lineRule="auto"/>
        <w:rPr>
          <w:rFonts w:ascii="Calibri" w:eastAsia="Calibri" w:hAnsi="Calibri"/>
          <w:kern w:val="2"/>
          <w:sz w:val="22"/>
          <w:szCs w:val="22"/>
          <w:highlight w:val="yellow"/>
        </w:rPr>
      </w:pPr>
      <w:r w:rsidRPr="003D4CF0">
        <w:rPr>
          <w:rFonts w:ascii="Calibri" w:eastAsia="Calibri" w:hAnsi="Calibri"/>
          <w:kern w:val="2"/>
          <w:sz w:val="22"/>
          <w:szCs w:val="22"/>
          <w:highlight w:val="yellow"/>
        </w:rPr>
        <w:t xml:space="preserve">Option 1: </w:t>
      </w:r>
    </w:p>
    <w:p w14:paraId="3A59B8B9" w14:textId="77777777" w:rsidR="003D4CF0" w:rsidRPr="003D4CF0" w:rsidRDefault="003D4CF0" w:rsidP="003D4CF0">
      <w:pPr>
        <w:spacing w:after="200" w:line="276" w:lineRule="auto"/>
        <w:rPr>
          <w:rFonts w:ascii="Calibri" w:eastAsia="Calibri" w:hAnsi="Calibri"/>
          <w:kern w:val="2"/>
          <w:sz w:val="22"/>
          <w:szCs w:val="22"/>
          <w:highlight w:val="yellow"/>
        </w:rPr>
      </w:pPr>
      <w:r w:rsidRPr="003D4CF0">
        <w:rPr>
          <w:rFonts w:ascii="Calibri" w:eastAsia="Calibri" w:hAnsi="Calibri"/>
          <w:kern w:val="2"/>
          <w:sz w:val="22"/>
          <w:szCs w:val="22"/>
          <w:highlight w:val="yellow"/>
        </w:rPr>
        <w:t xml:space="preserve">Author(s) hereby </w:t>
      </w:r>
      <w:proofErr w:type="gramStart"/>
      <w:r w:rsidRPr="003D4CF0">
        <w:rPr>
          <w:rFonts w:ascii="Calibri" w:eastAsia="Calibri" w:hAnsi="Calibri"/>
          <w:kern w:val="2"/>
          <w:sz w:val="22"/>
          <w:szCs w:val="22"/>
          <w:highlight w:val="yellow"/>
        </w:rPr>
        <w:t>declare</w:t>
      </w:r>
      <w:proofErr w:type="gramEnd"/>
      <w:r w:rsidRPr="003D4CF0">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p>
    <w:p w14:paraId="1F10608F" w14:textId="77777777" w:rsidR="003D4CF0" w:rsidRPr="003D4CF0" w:rsidRDefault="003D4CF0" w:rsidP="003D4CF0">
      <w:pPr>
        <w:spacing w:after="200" w:line="276" w:lineRule="auto"/>
        <w:rPr>
          <w:rFonts w:ascii="Calibri" w:eastAsia="Calibri" w:hAnsi="Calibri"/>
          <w:kern w:val="2"/>
          <w:sz w:val="22"/>
          <w:szCs w:val="22"/>
          <w:highlight w:val="yellow"/>
        </w:rPr>
      </w:pPr>
      <w:r w:rsidRPr="003D4CF0">
        <w:rPr>
          <w:rFonts w:ascii="Calibri" w:eastAsia="Calibri" w:hAnsi="Calibri"/>
          <w:kern w:val="2"/>
          <w:sz w:val="22"/>
          <w:szCs w:val="22"/>
          <w:highlight w:val="yellow"/>
        </w:rPr>
        <w:t xml:space="preserve">Option 2: </w:t>
      </w:r>
    </w:p>
    <w:p w14:paraId="52550F23" w14:textId="77777777" w:rsidR="003D4CF0" w:rsidRPr="003D4CF0" w:rsidRDefault="003D4CF0" w:rsidP="003D4CF0">
      <w:pPr>
        <w:spacing w:after="200" w:line="276" w:lineRule="auto"/>
        <w:rPr>
          <w:rFonts w:ascii="Calibri" w:eastAsia="Calibri" w:hAnsi="Calibri"/>
          <w:kern w:val="2"/>
          <w:sz w:val="22"/>
          <w:szCs w:val="22"/>
          <w:highlight w:val="yellow"/>
        </w:rPr>
      </w:pPr>
      <w:r w:rsidRPr="003D4CF0">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34E605" w14:textId="77777777" w:rsidR="0093630B" w:rsidRDefault="003D4CF0" w:rsidP="003D4CF0">
      <w:pPr>
        <w:spacing w:after="200" w:line="276" w:lineRule="auto"/>
        <w:rPr>
          <w:rFonts w:ascii="Calibri" w:eastAsia="Calibri" w:hAnsi="Calibri"/>
          <w:kern w:val="2"/>
          <w:sz w:val="22"/>
          <w:szCs w:val="22"/>
          <w:highlight w:val="yellow"/>
        </w:rPr>
      </w:pPr>
      <w:r w:rsidRPr="003D4CF0">
        <w:rPr>
          <w:rFonts w:ascii="Calibri" w:eastAsia="Calibri" w:hAnsi="Calibri"/>
          <w:kern w:val="2"/>
          <w:sz w:val="22"/>
          <w:szCs w:val="22"/>
          <w:highlight w:val="yellow"/>
        </w:rPr>
        <w:t>Details of the AI usage are given below:</w:t>
      </w:r>
    </w:p>
    <w:p w14:paraId="4248D673" w14:textId="07021038" w:rsidR="003D4CF0" w:rsidRPr="003D4CF0" w:rsidRDefault="003D4CF0" w:rsidP="003D4CF0">
      <w:pPr>
        <w:spacing w:after="200" w:line="276" w:lineRule="auto"/>
        <w:rPr>
          <w:rFonts w:ascii="Calibri" w:eastAsia="Calibri" w:hAnsi="Calibri"/>
          <w:kern w:val="2"/>
          <w:sz w:val="22"/>
          <w:szCs w:val="22"/>
          <w:highlight w:val="yellow"/>
        </w:rPr>
      </w:pPr>
      <w:r w:rsidRPr="003D4CF0">
        <w:rPr>
          <w:rFonts w:ascii="Calibri" w:eastAsia="Calibri" w:hAnsi="Calibri"/>
          <w:kern w:val="2"/>
          <w:sz w:val="22"/>
          <w:szCs w:val="22"/>
          <w:highlight w:val="yellow"/>
        </w:rPr>
        <w:t>1.</w:t>
      </w:r>
      <w:r w:rsidR="000543D2">
        <w:rPr>
          <w:rFonts w:ascii="Calibri" w:eastAsia="Calibri" w:hAnsi="Calibri"/>
          <w:kern w:val="2"/>
          <w:sz w:val="22"/>
          <w:szCs w:val="22"/>
          <w:highlight w:val="yellow"/>
        </w:rPr>
        <w:t xml:space="preserve"> </w:t>
      </w:r>
    </w:p>
    <w:p w14:paraId="7F57BFD5" w14:textId="77777777" w:rsidR="003D4CF0" w:rsidRPr="003D4CF0" w:rsidRDefault="003D4CF0" w:rsidP="003D4CF0">
      <w:pPr>
        <w:spacing w:after="200" w:line="276" w:lineRule="auto"/>
        <w:rPr>
          <w:rFonts w:ascii="Calibri" w:eastAsia="Calibri" w:hAnsi="Calibri"/>
          <w:kern w:val="2"/>
          <w:sz w:val="22"/>
          <w:szCs w:val="22"/>
          <w:highlight w:val="yellow"/>
        </w:rPr>
      </w:pPr>
      <w:r w:rsidRPr="003D4CF0">
        <w:rPr>
          <w:rFonts w:ascii="Calibri" w:eastAsia="Calibri" w:hAnsi="Calibri"/>
          <w:kern w:val="2"/>
          <w:sz w:val="22"/>
          <w:szCs w:val="22"/>
          <w:highlight w:val="yellow"/>
        </w:rPr>
        <w:t>2.</w:t>
      </w:r>
    </w:p>
    <w:p w14:paraId="0BE611FC" w14:textId="535667EE" w:rsidR="007E753F" w:rsidRDefault="003D4CF0" w:rsidP="003D4CF0">
      <w:pPr>
        <w:spacing w:after="200" w:line="276" w:lineRule="auto"/>
        <w:rPr>
          <w:rFonts w:ascii="Calibri" w:eastAsia="Calibri" w:hAnsi="Calibri"/>
          <w:kern w:val="2"/>
          <w:sz w:val="22"/>
          <w:szCs w:val="22"/>
        </w:rPr>
      </w:pPr>
      <w:r w:rsidRPr="003D4CF0">
        <w:rPr>
          <w:rFonts w:ascii="Calibri" w:eastAsia="Calibri" w:hAnsi="Calibri"/>
          <w:kern w:val="2"/>
          <w:sz w:val="22"/>
          <w:szCs w:val="22"/>
          <w:highlight w:val="yellow"/>
        </w:rPr>
        <w:t>3</w:t>
      </w:r>
      <w:r w:rsidR="007E753F">
        <w:rPr>
          <w:rFonts w:ascii="Calibri" w:eastAsia="Calibri" w:hAnsi="Calibri"/>
          <w:kern w:val="2"/>
          <w:sz w:val="22"/>
          <w:szCs w:val="22"/>
        </w:rPr>
        <w:t xml:space="preserve">. </w:t>
      </w:r>
    </w:p>
    <w:p w14:paraId="5000A860" w14:textId="767D5146" w:rsidR="005115C2" w:rsidRPr="007E753F" w:rsidRDefault="00784FCE" w:rsidP="007E753F">
      <w:pPr>
        <w:spacing w:after="200" w:line="276" w:lineRule="auto"/>
        <w:rPr>
          <w:rFonts w:ascii="Calibri" w:eastAsia="Calibri" w:hAnsi="Calibri"/>
          <w:kern w:val="2"/>
          <w:sz w:val="22"/>
          <w:szCs w:val="22"/>
        </w:rPr>
      </w:pPr>
      <w:r>
        <w:rPr>
          <w:rFonts w:ascii="Calibri" w:eastAsia="Calibri" w:hAnsi="Calibri"/>
          <w:kern w:val="2"/>
          <w:sz w:val="22"/>
          <w:szCs w:val="22"/>
        </w:rPr>
        <w:t xml:space="preserve">Option 1. </w:t>
      </w:r>
      <w:r w:rsidR="007E753F">
        <w:rPr>
          <w:rFonts w:ascii="Calibri" w:eastAsia="Calibri" w:hAnsi="Calibri"/>
          <w:kern w:val="2"/>
          <w:sz w:val="22"/>
          <w:szCs w:val="22"/>
        </w:rPr>
        <w:t xml:space="preserve">Authors hereby declare no generative technologies and text to image generators have been used in writing and editing of the manuscript. </w:t>
      </w:r>
      <w:bookmarkEnd w:id="1"/>
      <w:bookmarkEnd w:id="2"/>
    </w:p>
    <w:p w14:paraId="4448392D" w14:textId="77777777" w:rsidR="005115C2" w:rsidRDefault="005115C2" w:rsidP="005115C2">
      <w:pPr>
        <w:pStyle w:val="ReferHead"/>
        <w:spacing w:after="0"/>
        <w:jc w:val="both"/>
        <w:rPr>
          <w:rFonts w:ascii="Arial" w:hAnsi="Arial" w:cs="Arial"/>
        </w:rPr>
      </w:pPr>
      <w:r w:rsidRPr="00FB3A86">
        <w:rPr>
          <w:rFonts w:ascii="Arial" w:hAnsi="Arial" w:cs="Arial"/>
        </w:rPr>
        <w:t>References</w:t>
      </w:r>
    </w:p>
    <w:p w14:paraId="52CADA18" w14:textId="77777777" w:rsidR="00790ADA" w:rsidRPr="00FB3A86" w:rsidRDefault="00790ADA" w:rsidP="00441B6F">
      <w:pPr>
        <w:pStyle w:val="ReferHead"/>
        <w:spacing w:after="0"/>
        <w:jc w:val="both"/>
        <w:rPr>
          <w:rFonts w:ascii="Arial" w:hAnsi="Arial" w:cs="Arial"/>
        </w:rPr>
      </w:pPr>
    </w:p>
    <w:p w14:paraId="678D3F51" w14:textId="77777777" w:rsidR="00A72C75" w:rsidRPr="00A72C75" w:rsidRDefault="00A72C75" w:rsidP="00A72C75">
      <w:pPr>
        <w:pStyle w:val="Body"/>
        <w:numPr>
          <w:ilvl w:val="0"/>
          <w:numId w:val="31"/>
        </w:numPr>
        <w:spacing w:after="200"/>
        <w:ind w:left="284"/>
        <w:rPr>
          <w:rFonts w:ascii="Arial" w:hAnsi="Arial" w:cs="Arial"/>
        </w:rPr>
      </w:pPr>
      <w:proofErr w:type="spellStart"/>
      <w:r w:rsidRPr="00A72C75">
        <w:rPr>
          <w:rFonts w:ascii="Arial" w:hAnsi="Arial" w:cs="Arial"/>
        </w:rPr>
        <w:t>Lennerts</w:t>
      </w:r>
      <w:proofErr w:type="spellEnd"/>
      <w:r w:rsidRPr="00A72C75">
        <w:rPr>
          <w:rFonts w:ascii="Arial" w:hAnsi="Arial" w:cs="Arial"/>
        </w:rPr>
        <w:t xml:space="preserve">, L. 1983. </w:t>
      </w:r>
      <w:proofErr w:type="spellStart"/>
      <w:r w:rsidRPr="00A72C75">
        <w:rPr>
          <w:rFonts w:ascii="Arial" w:hAnsi="Arial" w:cs="Arial"/>
        </w:rPr>
        <w:t>Oelschrote</w:t>
      </w:r>
      <w:proofErr w:type="spellEnd"/>
      <w:r w:rsidRPr="00A72C75">
        <w:rPr>
          <w:rFonts w:ascii="Arial" w:hAnsi="Arial" w:cs="Arial"/>
        </w:rPr>
        <w:t xml:space="preserve">, </w:t>
      </w:r>
      <w:proofErr w:type="spellStart"/>
      <w:r w:rsidRPr="00A72C75">
        <w:rPr>
          <w:rFonts w:ascii="Arial" w:hAnsi="Arial" w:cs="Arial"/>
        </w:rPr>
        <w:t>oelkuchen</w:t>
      </w:r>
      <w:proofErr w:type="spellEnd"/>
      <w:r w:rsidRPr="00A72C75">
        <w:rPr>
          <w:rFonts w:ascii="Arial" w:hAnsi="Arial" w:cs="Arial"/>
        </w:rPr>
        <w:t xml:space="preserve">, </w:t>
      </w:r>
      <w:proofErr w:type="spellStart"/>
      <w:r w:rsidRPr="00A72C75">
        <w:rPr>
          <w:rFonts w:ascii="Arial" w:hAnsi="Arial" w:cs="Arial"/>
        </w:rPr>
        <w:t>pflanzliche</w:t>
      </w:r>
      <w:proofErr w:type="spellEnd"/>
      <w:r w:rsidRPr="00A72C75">
        <w:rPr>
          <w:rFonts w:ascii="Arial" w:hAnsi="Arial" w:cs="Arial"/>
        </w:rPr>
        <w:t xml:space="preserve"> </w:t>
      </w:r>
      <w:proofErr w:type="spellStart"/>
      <w:r w:rsidRPr="00A72C75">
        <w:rPr>
          <w:rFonts w:ascii="Arial" w:hAnsi="Arial" w:cs="Arial"/>
        </w:rPr>
        <w:t>Oele</w:t>
      </w:r>
      <w:proofErr w:type="spellEnd"/>
      <w:r w:rsidRPr="00A72C75">
        <w:rPr>
          <w:rFonts w:ascii="Arial" w:hAnsi="Arial" w:cs="Arial"/>
        </w:rPr>
        <w:t xml:space="preserve"> und Fette, </w:t>
      </w:r>
      <w:proofErr w:type="spellStart"/>
      <w:r w:rsidRPr="00A72C75">
        <w:rPr>
          <w:rFonts w:ascii="Arial" w:hAnsi="Arial" w:cs="Arial"/>
        </w:rPr>
        <w:t>Herkunft</w:t>
      </w:r>
      <w:proofErr w:type="spellEnd"/>
      <w:r w:rsidRPr="00A72C75">
        <w:rPr>
          <w:rFonts w:ascii="Arial" w:hAnsi="Arial" w:cs="Arial"/>
        </w:rPr>
        <w:t xml:space="preserve">, </w:t>
      </w:r>
      <w:proofErr w:type="spellStart"/>
      <w:r w:rsidRPr="00A72C75">
        <w:rPr>
          <w:rFonts w:ascii="Arial" w:hAnsi="Arial" w:cs="Arial"/>
        </w:rPr>
        <w:t>Gewinning</w:t>
      </w:r>
      <w:proofErr w:type="spellEnd"/>
      <w:r w:rsidRPr="00A72C75">
        <w:rPr>
          <w:rFonts w:ascii="Arial" w:hAnsi="Arial" w:cs="Arial"/>
        </w:rPr>
        <w:t xml:space="preserve">, </w:t>
      </w:r>
      <w:proofErr w:type="spellStart"/>
      <w:r w:rsidRPr="00A72C75">
        <w:rPr>
          <w:rFonts w:ascii="Arial" w:hAnsi="Arial" w:cs="Arial"/>
        </w:rPr>
        <w:t>Verwendung</w:t>
      </w:r>
      <w:proofErr w:type="spellEnd"/>
      <w:r w:rsidRPr="00A72C75">
        <w:rPr>
          <w:rFonts w:ascii="Arial" w:hAnsi="Arial" w:cs="Arial"/>
        </w:rPr>
        <w:t xml:space="preserve">, Bonn: Alfred </w:t>
      </w:r>
      <w:proofErr w:type="spellStart"/>
      <w:r w:rsidRPr="00A72C75">
        <w:rPr>
          <w:rFonts w:ascii="Arial" w:hAnsi="Arial" w:cs="Arial"/>
        </w:rPr>
        <w:t>Strothe</w:t>
      </w:r>
      <w:proofErr w:type="spellEnd"/>
      <w:r w:rsidRPr="00A72C75">
        <w:rPr>
          <w:rFonts w:ascii="Arial" w:hAnsi="Arial" w:cs="Arial"/>
        </w:rPr>
        <w:t>, Hannover.</w:t>
      </w:r>
    </w:p>
    <w:p w14:paraId="30C3013C" w14:textId="2A39DBE8"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DOD [Directorate of Oilseed Development]. 2024. Oilseed production statistics for 2023-2024. Available at http</w:t>
      </w:r>
      <w:r>
        <w:rPr>
          <w:rFonts w:ascii="Arial" w:hAnsi="Arial" w:cs="Arial"/>
        </w:rPr>
        <w:t>s</w:t>
      </w:r>
      <w:r w:rsidRPr="00A72C75">
        <w:rPr>
          <w:rFonts w:ascii="Arial" w:hAnsi="Arial" w:cs="Arial"/>
        </w:rPr>
        <w:t>://oilseeds.dac.gov.in</w:t>
      </w:r>
      <w:r>
        <w:rPr>
          <w:rFonts w:ascii="Arial" w:hAnsi="Arial" w:cs="Arial"/>
        </w:rPr>
        <w:t>.</w:t>
      </w:r>
    </w:p>
    <w:p w14:paraId="44132979" w14:textId="77777777" w:rsidR="00A72C75" w:rsidRPr="00A72C75" w:rsidRDefault="00A72C75" w:rsidP="00A72C75">
      <w:pPr>
        <w:pStyle w:val="Body"/>
        <w:numPr>
          <w:ilvl w:val="0"/>
          <w:numId w:val="31"/>
        </w:numPr>
        <w:spacing w:after="200"/>
        <w:ind w:left="284"/>
        <w:rPr>
          <w:rFonts w:ascii="Arial" w:hAnsi="Arial" w:cs="Arial"/>
        </w:rPr>
      </w:pPr>
      <w:proofErr w:type="spellStart"/>
      <w:r w:rsidRPr="00A72C75">
        <w:rPr>
          <w:rFonts w:ascii="Arial" w:hAnsi="Arial" w:cs="Arial"/>
        </w:rPr>
        <w:t>Fageria</w:t>
      </w:r>
      <w:proofErr w:type="spellEnd"/>
      <w:r w:rsidRPr="00A72C75">
        <w:rPr>
          <w:rFonts w:ascii="Arial" w:hAnsi="Arial" w:cs="Arial"/>
        </w:rPr>
        <w:t xml:space="preserve">, N.K., </w:t>
      </w:r>
      <w:proofErr w:type="spellStart"/>
      <w:r w:rsidRPr="00A72C75">
        <w:rPr>
          <w:rFonts w:ascii="Arial" w:hAnsi="Arial" w:cs="Arial"/>
        </w:rPr>
        <w:t>Baligar</w:t>
      </w:r>
      <w:proofErr w:type="spellEnd"/>
      <w:r w:rsidRPr="00A72C75">
        <w:rPr>
          <w:rFonts w:ascii="Arial" w:hAnsi="Arial" w:cs="Arial"/>
        </w:rPr>
        <w:t>, V.C. and Jones, C. 1997. Growth and mineral nutrition of field crops (2nd Ed.). Marcel Dekker, Inc, New York 1001 k, Pp: 494.</w:t>
      </w:r>
    </w:p>
    <w:p w14:paraId="2E2AD628"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 xml:space="preserve">Akbari, K.N., </w:t>
      </w:r>
      <w:proofErr w:type="spellStart"/>
      <w:r w:rsidRPr="00A72C75">
        <w:rPr>
          <w:rFonts w:ascii="Arial" w:hAnsi="Arial" w:cs="Arial"/>
        </w:rPr>
        <w:t>Kanzaria</w:t>
      </w:r>
      <w:proofErr w:type="spellEnd"/>
      <w:r w:rsidRPr="00A72C75">
        <w:rPr>
          <w:rFonts w:ascii="Arial" w:hAnsi="Arial" w:cs="Arial"/>
        </w:rPr>
        <w:t>, K.K., Vora, V.D., Sutaria, G.S. and Padmani D.R. 2011. Nutrient management practices for sustaining groundnut yield and soil productivity on sandy loam soils. Journal of the Indian Society of Soil Science, 59(3), 308-311.</w:t>
      </w:r>
    </w:p>
    <w:p w14:paraId="3C669625"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lastRenderedPageBreak/>
        <w:t>Dwivedi, B.S., Tiwari, R.K., Pandey, A.K., Tiwari, B.K. and Thakur, R.K. 2015. Economically viable STCR-based nutrient management on soybean (</w:t>
      </w:r>
      <w:r w:rsidRPr="00645529">
        <w:rPr>
          <w:rFonts w:ascii="Arial" w:hAnsi="Arial" w:cs="Arial"/>
          <w:i/>
          <w:iCs/>
        </w:rPr>
        <w:t>Glycine</w:t>
      </w:r>
      <w:r w:rsidRPr="00A72C75">
        <w:rPr>
          <w:rFonts w:ascii="Arial" w:hAnsi="Arial" w:cs="Arial"/>
        </w:rPr>
        <w:t xml:space="preserve"> </w:t>
      </w:r>
      <w:r w:rsidRPr="00645529">
        <w:rPr>
          <w:rFonts w:ascii="Arial" w:hAnsi="Arial" w:cs="Arial"/>
          <w:i/>
          <w:iCs/>
        </w:rPr>
        <w:t>max</w:t>
      </w:r>
      <w:r w:rsidRPr="00A72C75">
        <w:rPr>
          <w:rFonts w:ascii="Arial" w:hAnsi="Arial" w:cs="Arial"/>
        </w:rPr>
        <w:t>). Economic Affairs, 60(2), 225-228</w:t>
      </w:r>
    </w:p>
    <w:p w14:paraId="469AEC92" w14:textId="3689F0AA" w:rsidR="00A72C75" w:rsidRPr="00A72C75" w:rsidRDefault="00A72C75" w:rsidP="00A72C75">
      <w:pPr>
        <w:pStyle w:val="Body"/>
        <w:numPr>
          <w:ilvl w:val="0"/>
          <w:numId w:val="31"/>
        </w:numPr>
        <w:spacing w:after="200"/>
        <w:ind w:left="284"/>
        <w:rPr>
          <w:rFonts w:ascii="Arial" w:hAnsi="Arial" w:cs="Arial"/>
        </w:rPr>
      </w:pPr>
      <w:proofErr w:type="spellStart"/>
      <w:r w:rsidRPr="00A72C75">
        <w:rPr>
          <w:rFonts w:ascii="Arial" w:hAnsi="Arial" w:cs="Arial"/>
        </w:rPr>
        <w:t>Troug</w:t>
      </w:r>
      <w:proofErr w:type="spellEnd"/>
      <w:r w:rsidRPr="00A72C75">
        <w:rPr>
          <w:rFonts w:ascii="Arial" w:hAnsi="Arial" w:cs="Arial"/>
        </w:rPr>
        <w:t>, E., 1960. Fifty years of soil testing, transactions of 7th International Congress of Soil Science, Madison, Wisconsin, USA, 3</w:t>
      </w:r>
      <w:r w:rsidR="00271330">
        <w:rPr>
          <w:rFonts w:ascii="Arial" w:hAnsi="Arial" w:cs="Arial"/>
        </w:rPr>
        <w:t>,</w:t>
      </w:r>
      <w:r w:rsidRPr="00A72C75">
        <w:rPr>
          <w:rFonts w:ascii="Arial" w:hAnsi="Arial" w:cs="Arial"/>
        </w:rPr>
        <w:t xml:space="preserve"> 46-53.</w:t>
      </w:r>
    </w:p>
    <w:p w14:paraId="407282CB"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 xml:space="preserve">Ramamoorthy, B., </w:t>
      </w:r>
      <w:proofErr w:type="spellStart"/>
      <w:r w:rsidRPr="00A72C75">
        <w:rPr>
          <w:rFonts w:ascii="Arial" w:hAnsi="Arial" w:cs="Arial"/>
        </w:rPr>
        <w:t>Narasimham</w:t>
      </w:r>
      <w:proofErr w:type="spellEnd"/>
      <w:r w:rsidRPr="00A72C75">
        <w:rPr>
          <w:rFonts w:ascii="Arial" w:hAnsi="Arial" w:cs="Arial"/>
        </w:rPr>
        <w:t xml:space="preserve">, R.L. and Dinesh, R.S. 1967. </w:t>
      </w:r>
      <w:proofErr w:type="spellStart"/>
      <w:r w:rsidRPr="00A72C75">
        <w:rPr>
          <w:rFonts w:ascii="Arial" w:hAnsi="Arial" w:cs="Arial"/>
        </w:rPr>
        <w:t>Fertiliser</w:t>
      </w:r>
      <w:proofErr w:type="spellEnd"/>
      <w:r w:rsidRPr="00A72C75">
        <w:rPr>
          <w:rFonts w:ascii="Arial" w:hAnsi="Arial" w:cs="Arial"/>
        </w:rPr>
        <w:t xml:space="preserve"> application for specific yield targets on Sonora 64 (wheat). Indian Farming, 17(5), 43-45.</w:t>
      </w:r>
    </w:p>
    <w:p w14:paraId="041072DA" w14:textId="51D799D4"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 xml:space="preserve">Ravisankar, N., Panwar, A.S., Prasad, K., Kumar, V. and Bhaskar, S., 2017. Organic farming crop production guide. Network Project on Organic Farming, ICAR-Indian Institute of Farming Systems Research, </w:t>
      </w:r>
      <w:proofErr w:type="spellStart"/>
      <w:r w:rsidRPr="00A72C75">
        <w:rPr>
          <w:rFonts w:ascii="Arial" w:hAnsi="Arial" w:cs="Arial"/>
        </w:rPr>
        <w:t>Modipuram</w:t>
      </w:r>
      <w:proofErr w:type="spellEnd"/>
      <w:r w:rsidRPr="00A72C75">
        <w:rPr>
          <w:rFonts w:ascii="Arial" w:hAnsi="Arial" w:cs="Arial"/>
        </w:rPr>
        <w:t>, Meerut-250, 110, 586</w:t>
      </w:r>
      <w:r>
        <w:rPr>
          <w:rFonts w:ascii="Arial" w:hAnsi="Arial" w:cs="Arial"/>
        </w:rPr>
        <w:t>p.</w:t>
      </w:r>
    </w:p>
    <w:p w14:paraId="0612C527"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KAU [Kerala Agricultural University]. 2016. Package of Practices Recommendations: crops (15th Ed.). Kerala Agricultural University, Thrissur. 393p.</w:t>
      </w:r>
    </w:p>
    <w:p w14:paraId="1922263D"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KAU [Kerala Agricultural University]. 2014. Annual Progress Report All India Co-ordinated Research Project (AICRP) on Soil Test Crop Response (STCR), 50p.</w:t>
      </w:r>
    </w:p>
    <w:p w14:paraId="4E21A70F"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Gopinath, P. 2021. grapesAgri1: Collection of Shiny Apps for Data Analysis in Agriculture. J. Open-Source Software, 6(63), 3437. Doi: https://doi.org/10.21105/joss.03437.</w:t>
      </w:r>
    </w:p>
    <w:p w14:paraId="7C12CD6D" w14:textId="1E51886E"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 xml:space="preserve">Tiwari, R., Dwivedi, B.S., Sharma, Y.M., Thakur, R., Sharma, A. and </w:t>
      </w:r>
      <w:proofErr w:type="spellStart"/>
      <w:r w:rsidRPr="00A72C75">
        <w:rPr>
          <w:rFonts w:ascii="Arial" w:hAnsi="Arial" w:cs="Arial"/>
        </w:rPr>
        <w:t>Nagwanshi</w:t>
      </w:r>
      <w:proofErr w:type="spellEnd"/>
      <w:r w:rsidRPr="00A72C75">
        <w:rPr>
          <w:rFonts w:ascii="Arial" w:hAnsi="Arial" w:cs="Arial"/>
        </w:rPr>
        <w:t xml:space="preserve">, A. 2024. Soil properties and soybean yield as influenced by long term fertilizer and organic manure application in a </w:t>
      </w:r>
      <w:proofErr w:type="spellStart"/>
      <w:r w:rsidRPr="00A72C75">
        <w:rPr>
          <w:rFonts w:ascii="Arial" w:hAnsi="Arial" w:cs="Arial"/>
        </w:rPr>
        <w:t>Vertisol</w:t>
      </w:r>
      <w:proofErr w:type="spellEnd"/>
      <w:r w:rsidRPr="00A72C75">
        <w:rPr>
          <w:rFonts w:ascii="Arial" w:hAnsi="Arial" w:cs="Arial"/>
        </w:rPr>
        <w:t xml:space="preserve"> under Soybean-Wheat Cropping Sequence. Legume Research, 47(7), 1158-1164</w:t>
      </w:r>
      <w:r>
        <w:rPr>
          <w:rFonts w:ascii="Arial" w:hAnsi="Arial" w:cs="Arial"/>
        </w:rPr>
        <w:t>.</w:t>
      </w:r>
    </w:p>
    <w:p w14:paraId="28ACA3B8" w14:textId="77777777" w:rsidR="008B3C4C" w:rsidRPr="008C2F6E" w:rsidRDefault="008B3C4C" w:rsidP="008B3C4C">
      <w:pPr>
        <w:pStyle w:val="Body"/>
        <w:numPr>
          <w:ilvl w:val="0"/>
          <w:numId w:val="31"/>
        </w:numPr>
        <w:spacing w:after="200"/>
        <w:ind w:left="284"/>
        <w:rPr>
          <w:rFonts w:ascii="Arial" w:hAnsi="Arial" w:cs="Arial"/>
        </w:rPr>
      </w:pPr>
      <w:r>
        <w:rPr>
          <w:rFonts w:ascii="Arial" w:hAnsi="Arial" w:cs="Arial"/>
        </w:rPr>
        <w:t>Shyna, M.J. 2023. Evaluation of STCR based targeted yield equations for cowpea (</w:t>
      </w:r>
      <w:r w:rsidRPr="006658D2">
        <w:rPr>
          <w:rFonts w:ascii="Arial" w:hAnsi="Arial" w:cs="Arial"/>
          <w:i/>
          <w:iCs/>
        </w:rPr>
        <w:t>Vigna</w:t>
      </w:r>
      <w:r>
        <w:rPr>
          <w:rFonts w:ascii="Arial" w:hAnsi="Arial" w:cs="Arial"/>
        </w:rPr>
        <w:t xml:space="preserve"> </w:t>
      </w:r>
      <w:r w:rsidRPr="006658D2">
        <w:rPr>
          <w:rFonts w:ascii="Arial" w:hAnsi="Arial" w:cs="Arial"/>
          <w:i/>
          <w:iCs/>
        </w:rPr>
        <w:t>unguiculata</w:t>
      </w:r>
      <w:r>
        <w:rPr>
          <w:rFonts w:ascii="Arial" w:hAnsi="Arial" w:cs="Arial"/>
        </w:rPr>
        <w:t xml:space="preserve"> L.) in southern laterites. MSc. (Ag) thesis, Kerala Agricultural University, Thrissur, 105p.</w:t>
      </w:r>
    </w:p>
    <w:p w14:paraId="0E3FC3A4"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Arsalan, M., Latif, A., Khan, M., Syed, S., Ullah, R., Ahmad, I., Bilal, M., Mahmood, M.T., Ehsan, M., Latif, R. and Ghaffar, A. 2024. Integrated Effect of Organic Amendments and Chemical Fertilizers on yield of Groundnut and Soil Health Under Rainfed Condition. Journal of Applied Research in Plant Sciences, 5(1), 99-104.</w:t>
      </w:r>
    </w:p>
    <w:p w14:paraId="3F4119DC"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 xml:space="preserve">Thakur, Risikesh, Sawarkar, S.D., Vaishya, U.K. and Singh, </w:t>
      </w:r>
      <w:proofErr w:type="spellStart"/>
      <w:r w:rsidRPr="00A72C75">
        <w:rPr>
          <w:rFonts w:ascii="Arial" w:hAnsi="Arial" w:cs="Arial"/>
        </w:rPr>
        <w:t>Muneshwar</w:t>
      </w:r>
      <w:proofErr w:type="spellEnd"/>
      <w:r w:rsidRPr="00A72C75">
        <w:rPr>
          <w:rFonts w:ascii="Arial" w:hAnsi="Arial" w:cs="Arial"/>
        </w:rPr>
        <w:t xml:space="preserve">. 2011. Impact of continuous use of inorganic fertilizers and organic manure on soil properties and productivity under soybean-wheat intensive cropping of a </w:t>
      </w:r>
      <w:proofErr w:type="spellStart"/>
      <w:r w:rsidRPr="00A72C75">
        <w:rPr>
          <w:rFonts w:ascii="Arial" w:hAnsi="Arial" w:cs="Arial"/>
        </w:rPr>
        <w:t>vertisol</w:t>
      </w:r>
      <w:proofErr w:type="spellEnd"/>
      <w:r w:rsidRPr="00A72C75">
        <w:rPr>
          <w:rFonts w:ascii="Arial" w:hAnsi="Arial" w:cs="Arial"/>
        </w:rPr>
        <w:t>. Journal of the Indian Society of Soil Science, 59(1), 74-81.</w:t>
      </w:r>
    </w:p>
    <w:p w14:paraId="1C35276B" w14:textId="77777777" w:rsidR="00B93B43" w:rsidRPr="00E048C1" w:rsidRDefault="00B93B43" w:rsidP="00B93B43">
      <w:pPr>
        <w:pStyle w:val="Body"/>
        <w:numPr>
          <w:ilvl w:val="0"/>
          <w:numId w:val="31"/>
        </w:numPr>
        <w:spacing w:after="200"/>
        <w:ind w:left="284"/>
        <w:rPr>
          <w:rFonts w:ascii="Arial" w:hAnsi="Arial" w:cs="Arial"/>
        </w:rPr>
      </w:pPr>
      <w:r w:rsidRPr="00E048C1">
        <w:rPr>
          <w:rFonts w:ascii="Arial" w:hAnsi="Arial" w:cs="Arial"/>
          <w:shd w:val="clear" w:color="auto" w:fill="FFFFFF"/>
        </w:rPr>
        <w:t>Eunice, D.H., Visveswaran, S., Rani, B.,</w:t>
      </w:r>
      <w:r>
        <w:rPr>
          <w:rFonts w:ascii="Arial" w:hAnsi="Arial" w:cs="Arial"/>
          <w:shd w:val="clear" w:color="auto" w:fill="FFFFFF"/>
        </w:rPr>
        <w:t xml:space="preserve"> Reji Rani, O.P.</w:t>
      </w:r>
      <w:r w:rsidRPr="00E048C1">
        <w:rPr>
          <w:rFonts w:ascii="Arial" w:hAnsi="Arial" w:cs="Arial"/>
          <w:shd w:val="clear" w:color="auto" w:fill="FFFFFF"/>
        </w:rPr>
        <w:t xml:space="preserve"> and Gopinath, P.P. 2023. Evaluation of STCR </w:t>
      </w:r>
      <w:r>
        <w:rPr>
          <w:rFonts w:ascii="Arial" w:hAnsi="Arial" w:cs="Arial"/>
          <w:shd w:val="clear" w:color="auto" w:fill="FFFFFF"/>
        </w:rPr>
        <w:t>b</w:t>
      </w:r>
      <w:r w:rsidRPr="00E048C1">
        <w:rPr>
          <w:rFonts w:ascii="Arial" w:hAnsi="Arial" w:cs="Arial"/>
          <w:shd w:val="clear" w:color="auto" w:fill="FFFFFF"/>
        </w:rPr>
        <w:t xml:space="preserve">ased targeted yield equations of </w:t>
      </w:r>
      <w:proofErr w:type="spellStart"/>
      <w:r w:rsidRPr="00E048C1">
        <w:rPr>
          <w:rFonts w:ascii="Arial" w:hAnsi="Arial" w:cs="Arial"/>
          <w:shd w:val="clear" w:color="auto" w:fill="FFFFFF"/>
        </w:rPr>
        <w:t>amaranthus</w:t>
      </w:r>
      <w:proofErr w:type="spellEnd"/>
      <w:r w:rsidRPr="00E048C1">
        <w:rPr>
          <w:rFonts w:ascii="Arial" w:hAnsi="Arial" w:cs="Arial"/>
          <w:shd w:val="clear" w:color="auto" w:fill="FFFFFF"/>
        </w:rPr>
        <w:t xml:space="preserve"> (</w:t>
      </w:r>
      <w:r w:rsidRPr="002B6A44">
        <w:rPr>
          <w:rFonts w:ascii="Arial" w:hAnsi="Arial" w:cs="Arial"/>
          <w:i/>
          <w:iCs/>
          <w:shd w:val="clear" w:color="auto" w:fill="FFFFFF"/>
        </w:rPr>
        <w:t>Amaranthus</w:t>
      </w:r>
      <w:r w:rsidRPr="00E048C1">
        <w:rPr>
          <w:rFonts w:ascii="Arial" w:hAnsi="Arial" w:cs="Arial"/>
          <w:shd w:val="clear" w:color="auto" w:fill="FFFFFF"/>
        </w:rPr>
        <w:t xml:space="preserve"> </w:t>
      </w:r>
      <w:r w:rsidRPr="002B6A44">
        <w:rPr>
          <w:rFonts w:ascii="Arial" w:hAnsi="Arial" w:cs="Arial"/>
          <w:i/>
          <w:iCs/>
          <w:shd w:val="clear" w:color="auto" w:fill="FFFFFF"/>
        </w:rPr>
        <w:t>tricolor</w:t>
      </w:r>
      <w:r w:rsidRPr="00E048C1">
        <w:rPr>
          <w:rFonts w:ascii="Arial" w:hAnsi="Arial" w:cs="Arial"/>
          <w:shd w:val="clear" w:color="auto" w:fill="FFFFFF"/>
        </w:rPr>
        <w:t xml:space="preserve"> L.) in southern laterite soils (AEU-8) of Kerala. </w:t>
      </w:r>
      <w:r w:rsidRPr="00E048C1">
        <w:rPr>
          <w:rFonts w:ascii="Arial" w:hAnsi="Arial" w:cs="Arial"/>
          <w:i/>
          <w:iCs/>
          <w:shd w:val="clear" w:color="auto" w:fill="FFFFFF"/>
        </w:rPr>
        <w:t>Int</w:t>
      </w:r>
      <w:r>
        <w:rPr>
          <w:rFonts w:ascii="Arial" w:hAnsi="Arial" w:cs="Arial"/>
          <w:i/>
          <w:iCs/>
          <w:shd w:val="clear" w:color="auto" w:fill="FFFFFF"/>
        </w:rPr>
        <w:t xml:space="preserve">ernational </w:t>
      </w:r>
      <w:r w:rsidRPr="00E048C1">
        <w:rPr>
          <w:rFonts w:ascii="Arial" w:hAnsi="Arial" w:cs="Arial"/>
          <w:i/>
          <w:iCs/>
          <w:shd w:val="clear" w:color="auto" w:fill="FFFFFF"/>
        </w:rPr>
        <w:t>J</w:t>
      </w:r>
      <w:r>
        <w:rPr>
          <w:rFonts w:ascii="Arial" w:hAnsi="Arial" w:cs="Arial"/>
          <w:i/>
          <w:iCs/>
          <w:shd w:val="clear" w:color="auto" w:fill="FFFFFF"/>
        </w:rPr>
        <w:t xml:space="preserve">ournal of </w:t>
      </w:r>
      <w:r w:rsidRPr="00E048C1">
        <w:rPr>
          <w:rFonts w:ascii="Arial" w:hAnsi="Arial" w:cs="Arial"/>
          <w:i/>
          <w:iCs/>
          <w:shd w:val="clear" w:color="auto" w:fill="FFFFFF"/>
        </w:rPr>
        <w:t>Plant</w:t>
      </w:r>
      <w:r>
        <w:rPr>
          <w:rFonts w:ascii="Arial" w:hAnsi="Arial" w:cs="Arial"/>
          <w:i/>
          <w:iCs/>
          <w:shd w:val="clear" w:color="auto" w:fill="FFFFFF"/>
        </w:rPr>
        <w:t xml:space="preserve"> </w:t>
      </w:r>
      <w:proofErr w:type="gramStart"/>
      <w:r>
        <w:rPr>
          <w:rFonts w:ascii="Arial" w:hAnsi="Arial" w:cs="Arial"/>
          <w:i/>
          <w:iCs/>
          <w:shd w:val="clear" w:color="auto" w:fill="FFFFFF"/>
        </w:rPr>
        <w:t xml:space="preserve">and </w:t>
      </w:r>
      <w:r w:rsidRPr="00E048C1">
        <w:rPr>
          <w:rFonts w:ascii="Arial" w:hAnsi="Arial" w:cs="Arial"/>
          <w:i/>
          <w:iCs/>
          <w:shd w:val="clear" w:color="auto" w:fill="FFFFFF"/>
        </w:rPr>
        <w:t xml:space="preserve"> Soil</w:t>
      </w:r>
      <w:proofErr w:type="gramEnd"/>
      <w:r w:rsidRPr="00E048C1">
        <w:rPr>
          <w:rFonts w:ascii="Arial" w:hAnsi="Arial" w:cs="Arial"/>
          <w:i/>
          <w:iCs/>
          <w:shd w:val="clear" w:color="auto" w:fill="FFFFFF"/>
        </w:rPr>
        <w:t xml:space="preserve"> Sci</w:t>
      </w:r>
      <w:r>
        <w:rPr>
          <w:rFonts w:ascii="Arial" w:hAnsi="Arial" w:cs="Arial"/>
          <w:i/>
          <w:iCs/>
          <w:shd w:val="clear" w:color="auto" w:fill="FFFFFF"/>
        </w:rPr>
        <w:t>ences</w:t>
      </w:r>
      <w:r w:rsidRPr="00E048C1">
        <w:rPr>
          <w:rFonts w:ascii="Arial" w:hAnsi="Arial" w:cs="Arial"/>
          <w:shd w:val="clear" w:color="auto" w:fill="FFFFFF"/>
        </w:rPr>
        <w:t> </w:t>
      </w:r>
      <w:r w:rsidRPr="00E048C1">
        <w:rPr>
          <w:rFonts w:ascii="Arial" w:hAnsi="Arial" w:cs="Arial"/>
          <w:i/>
          <w:iCs/>
          <w:shd w:val="clear" w:color="auto" w:fill="FFFFFF"/>
        </w:rPr>
        <w:t>35</w:t>
      </w:r>
      <w:r w:rsidRPr="00E048C1">
        <w:rPr>
          <w:rFonts w:ascii="Arial" w:hAnsi="Arial" w:cs="Arial"/>
          <w:shd w:val="clear" w:color="auto" w:fill="FFFFFF"/>
        </w:rPr>
        <w:t>(5)</w:t>
      </w:r>
      <w:r>
        <w:rPr>
          <w:rFonts w:ascii="Arial" w:hAnsi="Arial" w:cs="Arial"/>
          <w:shd w:val="clear" w:color="auto" w:fill="FFFFFF"/>
        </w:rPr>
        <w:t xml:space="preserve">, </w:t>
      </w:r>
      <w:r w:rsidRPr="00E048C1">
        <w:rPr>
          <w:rFonts w:ascii="Arial" w:hAnsi="Arial" w:cs="Arial"/>
          <w:shd w:val="clear" w:color="auto" w:fill="FFFFFF"/>
        </w:rPr>
        <w:t>53-58.</w:t>
      </w:r>
    </w:p>
    <w:p w14:paraId="1A3425C6" w14:textId="77777777" w:rsidR="008B3C4C" w:rsidRDefault="008B3C4C" w:rsidP="008B3C4C">
      <w:pPr>
        <w:pStyle w:val="Body"/>
        <w:numPr>
          <w:ilvl w:val="0"/>
          <w:numId w:val="31"/>
        </w:numPr>
        <w:spacing w:after="200"/>
        <w:ind w:left="284"/>
        <w:rPr>
          <w:rFonts w:ascii="Arial" w:hAnsi="Arial" w:cs="Arial"/>
        </w:rPr>
      </w:pPr>
      <w:r>
        <w:rPr>
          <w:rFonts w:ascii="Arial" w:hAnsi="Arial" w:cs="Arial"/>
        </w:rPr>
        <w:t>Santosh, A. 2022. Evaluation of STCR based targeted yield equations of oriental pickling melon (</w:t>
      </w:r>
      <w:r w:rsidRPr="006658D2">
        <w:rPr>
          <w:rFonts w:ascii="Arial" w:hAnsi="Arial" w:cs="Arial"/>
          <w:i/>
          <w:iCs/>
        </w:rPr>
        <w:t>Cucumis melo</w:t>
      </w:r>
      <w:r>
        <w:rPr>
          <w:rFonts w:ascii="Arial" w:hAnsi="Arial" w:cs="Arial"/>
        </w:rPr>
        <w:t xml:space="preserve"> var. </w:t>
      </w:r>
      <w:proofErr w:type="spellStart"/>
      <w:r>
        <w:rPr>
          <w:rFonts w:ascii="Arial" w:hAnsi="Arial" w:cs="Arial"/>
        </w:rPr>
        <w:t>conomon</w:t>
      </w:r>
      <w:proofErr w:type="spellEnd"/>
      <w:r>
        <w:rPr>
          <w:rFonts w:ascii="Arial" w:hAnsi="Arial" w:cs="Arial"/>
        </w:rPr>
        <w:t xml:space="preserve">) in southern laterites. MSc. (Ag) thesis, Kerala Agricultural University, Thrissur, 131p. </w:t>
      </w:r>
    </w:p>
    <w:p w14:paraId="208589F7" w14:textId="77777777" w:rsidR="008B3C4C" w:rsidRPr="00A72C75" w:rsidRDefault="008B3C4C" w:rsidP="008B3C4C">
      <w:pPr>
        <w:pStyle w:val="Body"/>
        <w:numPr>
          <w:ilvl w:val="0"/>
          <w:numId w:val="31"/>
        </w:numPr>
        <w:spacing w:after="200"/>
        <w:ind w:left="284"/>
        <w:rPr>
          <w:rFonts w:ascii="Arial" w:hAnsi="Arial" w:cs="Arial"/>
        </w:rPr>
      </w:pPr>
      <w:r w:rsidRPr="00A72C75">
        <w:rPr>
          <w:rFonts w:ascii="Arial" w:hAnsi="Arial" w:cs="Arial"/>
        </w:rPr>
        <w:t>Veeramani, P. and Subrahmaniyan, K. 2012. Physical and economic optimum of response model for NPK application in irrigated groundnut (</w:t>
      </w:r>
      <w:r w:rsidRPr="00645529">
        <w:rPr>
          <w:rFonts w:ascii="Arial" w:hAnsi="Arial" w:cs="Arial"/>
          <w:i/>
          <w:iCs/>
        </w:rPr>
        <w:t>Arachis</w:t>
      </w:r>
      <w:r w:rsidRPr="00A72C75">
        <w:rPr>
          <w:rFonts w:ascii="Arial" w:hAnsi="Arial" w:cs="Arial"/>
        </w:rPr>
        <w:t xml:space="preserve"> </w:t>
      </w:r>
      <w:r w:rsidRPr="00645529">
        <w:rPr>
          <w:rFonts w:ascii="Arial" w:hAnsi="Arial" w:cs="Arial"/>
          <w:i/>
          <w:iCs/>
        </w:rPr>
        <w:t>hypogaea</w:t>
      </w:r>
      <w:r w:rsidRPr="00A72C75">
        <w:rPr>
          <w:rFonts w:ascii="Arial" w:hAnsi="Arial" w:cs="Arial"/>
        </w:rPr>
        <w:t xml:space="preserve"> L.). Madras Agricultural Journal, 99 (7-9), 526-529.</w:t>
      </w:r>
    </w:p>
    <w:p w14:paraId="263051FE"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lastRenderedPageBreak/>
        <w:t>Kundu, R., Poddar, R., Sen, A., Sarkar, A. and Ghosh, D. 2023. Effect of varietal selection and nutrient management on productivity, soil fertility and economics of summer groundnut (</w:t>
      </w:r>
      <w:r w:rsidRPr="00645529">
        <w:rPr>
          <w:rFonts w:ascii="Arial" w:hAnsi="Arial" w:cs="Arial"/>
          <w:i/>
          <w:iCs/>
        </w:rPr>
        <w:t>Arachis hypogaea</w:t>
      </w:r>
      <w:r w:rsidRPr="00A72C75">
        <w:rPr>
          <w:rFonts w:ascii="Arial" w:hAnsi="Arial" w:cs="Arial"/>
        </w:rPr>
        <w:t>). The Indian Journal of Agricultural Sciences, 68(4), 392-397.</w:t>
      </w:r>
    </w:p>
    <w:p w14:paraId="26C63685"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Lamina, V.K., 2009. Soil Test based fertilizer requirements for oriental pickling melon (</w:t>
      </w:r>
      <w:r w:rsidRPr="00645529">
        <w:rPr>
          <w:rFonts w:ascii="Arial" w:hAnsi="Arial" w:cs="Arial"/>
          <w:i/>
          <w:iCs/>
        </w:rPr>
        <w:t>Cucumis melo</w:t>
      </w:r>
      <w:r w:rsidRPr="00A72C75">
        <w:rPr>
          <w:rFonts w:ascii="Arial" w:hAnsi="Arial" w:cs="Arial"/>
        </w:rPr>
        <w:t xml:space="preserve"> var. </w:t>
      </w:r>
      <w:proofErr w:type="spellStart"/>
      <w:r w:rsidRPr="00A72C75">
        <w:rPr>
          <w:rFonts w:ascii="Arial" w:hAnsi="Arial" w:cs="Arial"/>
        </w:rPr>
        <w:t>conomon</w:t>
      </w:r>
      <w:proofErr w:type="spellEnd"/>
      <w:r w:rsidRPr="00A72C75">
        <w:rPr>
          <w:rFonts w:ascii="Arial" w:hAnsi="Arial" w:cs="Arial"/>
        </w:rPr>
        <w:t>) Ph.D. Thesis, Kerala Agricultural University, Thrissur, 132p</w:t>
      </w:r>
    </w:p>
    <w:p w14:paraId="1D265D77" w14:textId="77777777" w:rsidR="00A72C75" w:rsidRPr="00A72C75" w:rsidRDefault="00A72C75" w:rsidP="00A72C75">
      <w:pPr>
        <w:pStyle w:val="Body"/>
        <w:numPr>
          <w:ilvl w:val="0"/>
          <w:numId w:val="31"/>
        </w:numPr>
        <w:spacing w:after="200"/>
        <w:ind w:left="284"/>
        <w:rPr>
          <w:rFonts w:ascii="Arial" w:hAnsi="Arial" w:cs="Arial"/>
        </w:rPr>
      </w:pPr>
      <w:r w:rsidRPr="00A72C75">
        <w:rPr>
          <w:rFonts w:ascii="Arial" w:hAnsi="Arial" w:cs="Arial"/>
        </w:rPr>
        <w:t>Satpute, A.V., Patil, J.B., Shende, S.M. and Gedam, V.B. 2020. Effect of inorganic and bio-fertilizers on nutrient (NPK) content, nutrient (NPK) uptake and available nutrient (NPK) at harvest of summer groundnut (</w:t>
      </w:r>
      <w:r w:rsidRPr="00645529">
        <w:rPr>
          <w:rFonts w:ascii="Arial" w:hAnsi="Arial" w:cs="Arial"/>
          <w:i/>
          <w:iCs/>
        </w:rPr>
        <w:t>Arachis hypogaea</w:t>
      </w:r>
      <w:r w:rsidRPr="00A72C75">
        <w:rPr>
          <w:rFonts w:ascii="Arial" w:hAnsi="Arial" w:cs="Arial"/>
        </w:rPr>
        <w:t xml:space="preserve"> L.). International Journal of Chemical Studies, 8(6), 1612-1616.</w:t>
      </w:r>
    </w:p>
    <w:p w14:paraId="405308C3" w14:textId="58B51447" w:rsidR="008B3C4C" w:rsidRDefault="00A72C75" w:rsidP="008B3C4C">
      <w:pPr>
        <w:pStyle w:val="Body"/>
        <w:numPr>
          <w:ilvl w:val="0"/>
          <w:numId w:val="31"/>
        </w:numPr>
        <w:spacing w:after="200"/>
        <w:ind w:left="284"/>
        <w:rPr>
          <w:rFonts w:ascii="Arial" w:hAnsi="Arial" w:cs="Arial"/>
        </w:rPr>
      </w:pPr>
      <w:proofErr w:type="spellStart"/>
      <w:r w:rsidRPr="00A72C75">
        <w:rPr>
          <w:rFonts w:ascii="Arial" w:hAnsi="Arial" w:cs="Arial"/>
        </w:rPr>
        <w:t>Dekhane</w:t>
      </w:r>
      <w:proofErr w:type="spellEnd"/>
      <w:r w:rsidRPr="00A72C75">
        <w:rPr>
          <w:rFonts w:ascii="Arial" w:hAnsi="Arial" w:cs="Arial"/>
        </w:rPr>
        <w:t xml:space="preserve">, S.S., </w:t>
      </w:r>
      <w:proofErr w:type="spellStart"/>
      <w:r w:rsidRPr="00A72C75">
        <w:rPr>
          <w:rFonts w:ascii="Arial" w:hAnsi="Arial" w:cs="Arial"/>
        </w:rPr>
        <w:t>Khafi</w:t>
      </w:r>
      <w:proofErr w:type="spellEnd"/>
      <w:r w:rsidRPr="00A72C75">
        <w:rPr>
          <w:rFonts w:ascii="Arial" w:hAnsi="Arial" w:cs="Arial"/>
        </w:rPr>
        <w:t>, H.R., Raj, A.D. and Parmar, R.M. 2011. Effect of bio fertilizer and fertility levels on yield, protein content and nutrient uptake of cowpea [</w:t>
      </w:r>
      <w:r w:rsidRPr="00645529">
        <w:rPr>
          <w:rFonts w:ascii="Arial" w:hAnsi="Arial" w:cs="Arial"/>
          <w:i/>
          <w:iCs/>
        </w:rPr>
        <w:t>Vigna unguiculata</w:t>
      </w:r>
      <w:r w:rsidRPr="00A72C75">
        <w:rPr>
          <w:rFonts w:ascii="Arial" w:hAnsi="Arial" w:cs="Arial"/>
        </w:rPr>
        <w:t xml:space="preserve"> (L.) Walp.]. Legume Research, 34(1), 51-54</w:t>
      </w:r>
      <w:r w:rsidR="008B3C4C">
        <w:rPr>
          <w:rFonts w:ascii="Arial" w:hAnsi="Arial" w:cs="Arial"/>
        </w:rPr>
        <w:t>.</w:t>
      </w:r>
    </w:p>
    <w:p w14:paraId="34933CBA" w14:textId="22450A1C" w:rsidR="008B3C4C" w:rsidRPr="008B3C4C" w:rsidRDefault="008B3C4C" w:rsidP="008B3C4C">
      <w:pPr>
        <w:pStyle w:val="Body"/>
        <w:numPr>
          <w:ilvl w:val="0"/>
          <w:numId w:val="31"/>
        </w:numPr>
        <w:spacing w:after="200"/>
        <w:ind w:left="284"/>
        <w:rPr>
          <w:rFonts w:ascii="Arial" w:hAnsi="Arial" w:cs="Arial"/>
          <w:color w:val="000000" w:themeColor="text1"/>
        </w:rPr>
      </w:pPr>
      <w:r w:rsidRPr="008B3C4C">
        <w:rPr>
          <w:rFonts w:ascii="Arial" w:hAnsi="Arial" w:cs="Arial"/>
          <w:color w:val="000000" w:themeColor="text1"/>
          <w:shd w:val="clear" w:color="auto" w:fill="FFFFFF"/>
        </w:rPr>
        <w:t>Choudhary, Saroj, Shekhar Singh Baghel, Sunita Choudhary, Mukta Rani, O. Siva Devika, Arjun Singh, and Abhik Patra.  2022. Impact of STCR based nutrient application on dry matter accumulation, partitioning of potassium in rice (</w:t>
      </w:r>
      <w:r w:rsidRPr="008B3C4C">
        <w:rPr>
          <w:rFonts w:ascii="Arial" w:hAnsi="Arial" w:cs="Arial"/>
          <w:i/>
          <w:iCs/>
          <w:color w:val="000000" w:themeColor="text1"/>
          <w:shd w:val="clear" w:color="auto" w:fill="FFFFFF"/>
        </w:rPr>
        <w:t>Oryza</w:t>
      </w:r>
      <w:r w:rsidRPr="008B3C4C">
        <w:rPr>
          <w:rFonts w:ascii="Arial" w:hAnsi="Arial" w:cs="Arial"/>
          <w:color w:val="000000" w:themeColor="text1"/>
          <w:shd w:val="clear" w:color="auto" w:fill="FFFFFF"/>
        </w:rPr>
        <w:t xml:space="preserve"> </w:t>
      </w:r>
      <w:r w:rsidRPr="008B3C4C">
        <w:rPr>
          <w:rFonts w:ascii="Arial" w:hAnsi="Arial" w:cs="Arial"/>
          <w:i/>
          <w:iCs/>
          <w:color w:val="000000" w:themeColor="text1"/>
          <w:shd w:val="clear" w:color="auto" w:fill="FFFFFF"/>
        </w:rPr>
        <w:t>Sativa</w:t>
      </w:r>
      <w:r w:rsidRPr="008B3C4C">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L</w:t>
      </w:r>
      <w:r w:rsidRPr="008B3C4C">
        <w:rPr>
          <w:rFonts w:ascii="Arial" w:hAnsi="Arial" w:cs="Arial"/>
          <w:color w:val="000000" w:themeColor="text1"/>
          <w:shd w:val="clear" w:color="auto" w:fill="FFFFFF"/>
        </w:rPr>
        <w:t xml:space="preserve">.) and potassium fractions in black cotton soil of central </w:t>
      </w:r>
      <w:r>
        <w:rPr>
          <w:rFonts w:ascii="Arial" w:hAnsi="Arial" w:cs="Arial"/>
          <w:color w:val="000000" w:themeColor="text1"/>
          <w:shd w:val="clear" w:color="auto" w:fill="FFFFFF"/>
        </w:rPr>
        <w:t>I</w:t>
      </w:r>
      <w:r w:rsidRPr="008B3C4C">
        <w:rPr>
          <w:rFonts w:ascii="Arial" w:hAnsi="Arial" w:cs="Arial"/>
          <w:color w:val="000000" w:themeColor="text1"/>
          <w:shd w:val="clear" w:color="auto" w:fill="FFFFFF"/>
        </w:rPr>
        <w:t xml:space="preserve">ndia. </w:t>
      </w:r>
      <w:r w:rsidRPr="008B3C4C">
        <w:rPr>
          <w:rFonts w:ascii="Arial" w:hAnsi="Arial" w:cs="Arial"/>
          <w:i/>
          <w:iCs/>
          <w:color w:val="000000" w:themeColor="text1"/>
          <w:shd w:val="clear" w:color="auto" w:fill="FFFFFF"/>
        </w:rPr>
        <w:t>International Journal of Plant &amp; Soil Science</w:t>
      </w:r>
      <w:r w:rsidRPr="008B3C4C">
        <w:rPr>
          <w:rFonts w:ascii="Arial" w:hAnsi="Arial" w:cs="Arial"/>
          <w:color w:val="000000" w:themeColor="text1"/>
          <w:shd w:val="clear" w:color="auto" w:fill="FFFFFF"/>
        </w:rPr>
        <w:t> 34(4), 76-85.</w:t>
      </w:r>
    </w:p>
    <w:p w14:paraId="35D7D856" w14:textId="77777777" w:rsidR="008B3C4C" w:rsidRPr="008B3C4C" w:rsidRDefault="008B3C4C" w:rsidP="008B3C4C">
      <w:pPr>
        <w:pStyle w:val="Body"/>
        <w:spacing w:after="200"/>
        <w:ind w:left="284"/>
        <w:rPr>
          <w:rFonts w:ascii="Arial" w:hAnsi="Arial" w:cs="Arial"/>
          <w:color w:val="000000" w:themeColor="text1"/>
        </w:rPr>
      </w:pPr>
    </w:p>
    <w:p w14:paraId="7C2F9734" w14:textId="22BCCEB7" w:rsidR="008B3C4C" w:rsidRPr="008B3C4C" w:rsidRDefault="008B3C4C" w:rsidP="008B3C4C">
      <w:pPr>
        <w:pStyle w:val="Body"/>
        <w:numPr>
          <w:ilvl w:val="0"/>
          <w:numId w:val="31"/>
        </w:numPr>
        <w:spacing w:after="200"/>
        <w:ind w:left="284"/>
        <w:rPr>
          <w:rFonts w:ascii="Arial" w:hAnsi="Arial" w:cs="Arial"/>
          <w:color w:val="000000" w:themeColor="text1"/>
        </w:rPr>
        <w:sectPr w:rsidR="008B3C4C" w:rsidRPr="008B3C4C" w:rsidSect="005115C2">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48C8B262" w14:textId="77777777" w:rsidR="00B01FCD" w:rsidRPr="008B3C4C" w:rsidRDefault="00B01FCD" w:rsidP="005115C2">
      <w:pPr>
        <w:pStyle w:val="Appendix"/>
        <w:spacing w:after="0"/>
        <w:jc w:val="both"/>
        <w:rPr>
          <w:rFonts w:ascii="Arial" w:hAnsi="Arial" w:cs="Arial"/>
          <w:b w:val="0"/>
          <w:color w:val="000000" w:themeColor="text1"/>
        </w:rPr>
      </w:pPr>
    </w:p>
    <w:sectPr w:rsidR="00B01FCD" w:rsidRPr="008B3C4C" w:rsidSect="005115C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43C65" w14:textId="77777777" w:rsidR="00E8083F" w:rsidRDefault="00E8083F" w:rsidP="00C37E61">
      <w:r>
        <w:separator/>
      </w:r>
    </w:p>
  </w:endnote>
  <w:endnote w:type="continuationSeparator" w:id="0">
    <w:p w14:paraId="6AAD320A" w14:textId="77777777" w:rsidR="00E8083F" w:rsidRDefault="00E8083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9D54B" w14:textId="77777777" w:rsidR="004A5100" w:rsidRDefault="004A5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61D8F" w14:textId="77777777" w:rsidR="004A5100" w:rsidRDefault="004A5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7E7F" w14:textId="1B39FD0E" w:rsidR="00754C9A" w:rsidRPr="004A5100" w:rsidRDefault="00754C9A" w:rsidP="004A51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B6CF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E4304" w14:textId="77777777" w:rsidR="00E8083F" w:rsidRDefault="00E8083F" w:rsidP="00C37E61">
      <w:r>
        <w:separator/>
      </w:r>
    </w:p>
  </w:footnote>
  <w:footnote w:type="continuationSeparator" w:id="0">
    <w:p w14:paraId="35FB5F29" w14:textId="77777777" w:rsidR="00E8083F" w:rsidRDefault="00E8083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9DA5" w14:textId="30D28C87" w:rsidR="004A5100" w:rsidRDefault="00000000">
    <w:pPr>
      <w:pStyle w:val="Header"/>
    </w:pPr>
    <w:r>
      <w:rPr>
        <w:noProof/>
      </w:rPr>
      <w:pict w14:anchorId="7C570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6082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0333" w14:textId="71158067" w:rsidR="004A5100" w:rsidRDefault="00000000">
    <w:pPr>
      <w:pStyle w:val="Header"/>
    </w:pPr>
    <w:r>
      <w:rPr>
        <w:noProof/>
      </w:rPr>
      <w:pict w14:anchorId="3C35A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6083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5B75" w14:textId="18BD6019" w:rsidR="00296529" w:rsidRPr="00296529" w:rsidRDefault="00000000" w:rsidP="00296529">
    <w:pPr>
      <w:ind w:left="2160"/>
      <w:jc w:val="center"/>
      <w:rPr>
        <w:rFonts w:ascii="Times New Roman" w:eastAsia="Calibri" w:hAnsi="Times New Roman"/>
        <w:i/>
        <w:sz w:val="18"/>
        <w:szCs w:val="22"/>
      </w:rPr>
    </w:pPr>
    <w:r>
      <w:rPr>
        <w:noProof/>
      </w:rPr>
      <w:pict w14:anchorId="07BDD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6082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AB26E5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4013C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44F75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D1AA4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57E78A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FE7791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1A72" w14:textId="343DC448" w:rsidR="004A5100" w:rsidRDefault="00000000">
    <w:pPr>
      <w:pStyle w:val="Header"/>
    </w:pPr>
    <w:r>
      <w:rPr>
        <w:noProof/>
      </w:rPr>
      <w:pict w14:anchorId="68C6F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6083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5727" w14:textId="5D5A089E" w:rsidR="004A5100" w:rsidRDefault="00000000">
    <w:pPr>
      <w:pStyle w:val="Header"/>
    </w:pPr>
    <w:r>
      <w:rPr>
        <w:noProof/>
      </w:rPr>
      <w:pict w14:anchorId="5B942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6083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530C" w14:textId="636C696F" w:rsidR="004A5100" w:rsidRDefault="00000000">
    <w:pPr>
      <w:pStyle w:val="Header"/>
    </w:pPr>
    <w:r>
      <w:rPr>
        <w:noProof/>
      </w:rPr>
      <w:pict w14:anchorId="2B3676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6083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CE30C3E"/>
    <w:multiLevelType w:val="hybridMultilevel"/>
    <w:tmpl w:val="AF56E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3657B4"/>
    <w:multiLevelType w:val="hybridMultilevel"/>
    <w:tmpl w:val="A01CE4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0037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97881441">
    <w:abstractNumId w:val="15"/>
  </w:num>
  <w:num w:numId="3" w16cid:durableId="1949466481">
    <w:abstractNumId w:val="24"/>
  </w:num>
  <w:num w:numId="4" w16cid:durableId="14932533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16954027">
    <w:abstractNumId w:val="7"/>
  </w:num>
  <w:num w:numId="6" w16cid:durableId="1543399769">
    <w:abstractNumId w:val="6"/>
  </w:num>
  <w:num w:numId="7" w16cid:durableId="2138789190">
    <w:abstractNumId w:val="1"/>
  </w:num>
  <w:num w:numId="8" w16cid:durableId="921259375">
    <w:abstractNumId w:val="12"/>
  </w:num>
  <w:num w:numId="9" w16cid:durableId="1320621409">
    <w:abstractNumId w:val="26"/>
  </w:num>
  <w:num w:numId="10" w16cid:durableId="109397725">
    <w:abstractNumId w:val="2"/>
  </w:num>
  <w:num w:numId="11" w16cid:durableId="529027689">
    <w:abstractNumId w:val="18"/>
  </w:num>
  <w:num w:numId="12" w16cid:durableId="1999655022">
    <w:abstractNumId w:val="3"/>
  </w:num>
  <w:num w:numId="13" w16cid:durableId="1643315920">
    <w:abstractNumId w:val="17"/>
  </w:num>
  <w:num w:numId="14" w16cid:durableId="946472936">
    <w:abstractNumId w:val="8"/>
  </w:num>
  <w:num w:numId="15" w16cid:durableId="438257978">
    <w:abstractNumId w:val="22"/>
  </w:num>
  <w:num w:numId="16" w16cid:durableId="295141053">
    <w:abstractNumId w:val="5"/>
  </w:num>
  <w:num w:numId="17" w16cid:durableId="97874774">
    <w:abstractNumId w:val="23"/>
  </w:num>
  <w:num w:numId="18" w16cid:durableId="1142162000">
    <w:abstractNumId w:val="14"/>
  </w:num>
  <w:num w:numId="19" w16cid:durableId="1246383645">
    <w:abstractNumId w:val="30"/>
  </w:num>
  <w:num w:numId="20" w16cid:durableId="1987078435">
    <w:abstractNumId w:val="11"/>
  </w:num>
  <w:num w:numId="21" w16cid:durableId="1399326528">
    <w:abstractNumId w:val="9"/>
  </w:num>
  <w:num w:numId="22" w16cid:durableId="1460687008">
    <w:abstractNumId w:val="13"/>
  </w:num>
  <w:num w:numId="23" w16cid:durableId="461659648">
    <w:abstractNumId w:val="20"/>
  </w:num>
  <w:num w:numId="24" w16cid:durableId="89543704">
    <w:abstractNumId w:val="27"/>
  </w:num>
  <w:num w:numId="25" w16cid:durableId="1418936433">
    <w:abstractNumId w:val="4"/>
  </w:num>
  <w:num w:numId="26" w16cid:durableId="1607612876">
    <w:abstractNumId w:val="16"/>
  </w:num>
  <w:num w:numId="27" w16cid:durableId="1401175078">
    <w:abstractNumId w:val="21"/>
  </w:num>
  <w:num w:numId="28" w16cid:durableId="1677226479">
    <w:abstractNumId w:val="28"/>
  </w:num>
  <w:num w:numId="29" w16cid:durableId="1308243984">
    <w:abstractNumId w:val="25"/>
  </w:num>
  <w:num w:numId="30" w16cid:durableId="1341466574">
    <w:abstractNumId w:val="10"/>
  </w:num>
  <w:num w:numId="31" w16cid:durableId="358244296">
    <w:abstractNumId w:val="29"/>
  </w:num>
  <w:num w:numId="32" w16cid:durableId="9952598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4B7F"/>
    <w:rsid w:val="0004579C"/>
    <w:rsid w:val="000543D2"/>
    <w:rsid w:val="00065AF5"/>
    <w:rsid w:val="000A47FA"/>
    <w:rsid w:val="000A65D3"/>
    <w:rsid w:val="000B1E33"/>
    <w:rsid w:val="000B4199"/>
    <w:rsid w:val="000C50CF"/>
    <w:rsid w:val="000C50E5"/>
    <w:rsid w:val="000D689F"/>
    <w:rsid w:val="000E7B7B"/>
    <w:rsid w:val="000E7D62"/>
    <w:rsid w:val="00103357"/>
    <w:rsid w:val="00123C9F"/>
    <w:rsid w:val="00126190"/>
    <w:rsid w:val="00130F17"/>
    <w:rsid w:val="001320BF"/>
    <w:rsid w:val="00146EE5"/>
    <w:rsid w:val="00163BC4"/>
    <w:rsid w:val="00191062"/>
    <w:rsid w:val="00192B72"/>
    <w:rsid w:val="001A29D8"/>
    <w:rsid w:val="001A5CAA"/>
    <w:rsid w:val="001B0427"/>
    <w:rsid w:val="001D3A51"/>
    <w:rsid w:val="001E10D2"/>
    <w:rsid w:val="001E25B4"/>
    <w:rsid w:val="001E44FE"/>
    <w:rsid w:val="001E65D1"/>
    <w:rsid w:val="00200595"/>
    <w:rsid w:val="00204835"/>
    <w:rsid w:val="00206CFB"/>
    <w:rsid w:val="0023152F"/>
    <w:rsid w:val="00231920"/>
    <w:rsid w:val="0023195C"/>
    <w:rsid w:val="0024282C"/>
    <w:rsid w:val="00242EE0"/>
    <w:rsid w:val="002460DC"/>
    <w:rsid w:val="00250985"/>
    <w:rsid w:val="002556F6"/>
    <w:rsid w:val="00271330"/>
    <w:rsid w:val="00283105"/>
    <w:rsid w:val="00284C4C"/>
    <w:rsid w:val="00287E68"/>
    <w:rsid w:val="00296529"/>
    <w:rsid w:val="002B27FB"/>
    <w:rsid w:val="002B685A"/>
    <w:rsid w:val="002C57D2"/>
    <w:rsid w:val="002E0D56"/>
    <w:rsid w:val="00315186"/>
    <w:rsid w:val="0033343E"/>
    <w:rsid w:val="003512C2"/>
    <w:rsid w:val="00371FB6"/>
    <w:rsid w:val="0037205E"/>
    <w:rsid w:val="003763C1"/>
    <w:rsid w:val="00376BBE"/>
    <w:rsid w:val="0039224F"/>
    <w:rsid w:val="003A3EFB"/>
    <w:rsid w:val="003A43A4"/>
    <w:rsid w:val="003A7E18"/>
    <w:rsid w:val="003C4C86"/>
    <w:rsid w:val="003C6258"/>
    <w:rsid w:val="003D4CF0"/>
    <w:rsid w:val="003E2904"/>
    <w:rsid w:val="00401927"/>
    <w:rsid w:val="004020BF"/>
    <w:rsid w:val="0041027F"/>
    <w:rsid w:val="00412475"/>
    <w:rsid w:val="00423789"/>
    <w:rsid w:val="00440F43"/>
    <w:rsid w:val="00441B6F"/>
    <w:rsid w:val="00446221"/>
    <w:rsid w:val="00450E62"/>
    <w:rsid w:val="004539DB"/>
    <w:rsid w:val="00471A80"/>
    <w:rsid w:val="00472C14"/>
    <w:rsid w:val="004805E3"/>
    <w:rsid w:val="004A5100"/>
    <w:rsid w:val="004C6444"/>
    <w:rsid w:val="004D305E"/>
    <w:rsid w:val="004D4277"/>
    <w:rsid w:val="004E0B5E"/>
    <w:rsid w:val="00502516"/>
    <w:rsid w:val="00505F06"/>
    <w:rsid w:val="00506828"/>
    <w:rsid w:val="005115C2"/>
    <w:rsid w:val="0053056E"/>
    <w:rsid w:val="00554FDA"/>
    <w:rsid w:val="00556321"/>
    <w:rsid w:val="005C784C"/>
    <w:rsid w:val="005D17F6"/>
    <w:rsid w:val="005E5539"/>
    <w:rsid w:val="00602BF5"/>
    <w:rsid w:val="00617FDD"/>
    <w:rsid w:val="00633614"/>
    <w:rsid w:val="00633F68"/>
    <w:rsid w:val="00636EB2"/>
    <w:rsid w:val="006375B8"/>
    <w:rsid w:val="00640A1E"/>
    <w:rsid w:val="00645529"/>
    <w:rsid w:val="0066510A"/>
    <w:rsid w:val="00665F58"/>
    <w:rsid w:val="00673603"/>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4FCE"/>
    <w:rsid w:val="00790ADA"/>
    <w:rsid w:val="007D2288"/>
    <w:rsid w:val="007E088F"/>
    <w:rsid w:val="007E753F"/>
    <w:rsid w:val="007F7B32"/>
    <w:rsid w:val="00804BC2"/>
    <w:rsid w:val="00813BE7"/>
    <w:rsid w:val="0081431A"/>
    <w:rsid w:val="0083216F"/>
    <w:rsid w:val="00860000"/>
    <w:rsid w:val="00863BD3"/>
    <w:rsid w:val="008641ED"/>
    <w:rsid w:val="00864F31"/>
    <w:rsid w:val="00866D66"/>
    <w:rsid w:val="008671C6"/>
    <w:rsid w:val="00875803"/>
    <w:rsid w:val="008B3C4C"/>
    <w:rsid w:val="008B459E"/>
    <w:rsid w:val="008C1B61"/>
    <w:rsid w:val="008D6B01"/>
    <w:rsid w:val="008E13AE"/>
    <w:rsid w:val="008E1506"/>
    <w:rsid w:val="008E710C"/>
    <w:rsid w:val="008F4052"/>
    <w:rsid w:val="008F5EE1"/>
    <w:rsid w:val="008F69D6"/>
    <w:rsid w:val="008F6C85"/>
    <w:rsid w:val="00902823"/>
    <w:rsid w:val="00905626"/>
    <w:rsid w:val="00915CA6"/>
    <w:rsid w:val="00920B96"/>
    <w:rsid w:val="00927834"/>
    <w:rsid w:val="0093630B"/>
    <w:rsid w:val="00940ED8"/>
    <w:rsid w:val="009500A6"/>
    <w:rsid w:val="00957C18"/>
    <w:rsid w:val="009659BA"/>
    <w:rsid w:val="00983040"/>
    <w:rsid w:val="009B3FB9"/>
    <w:rsid w:val="009C2465"/>
    <w:rsid w:val="009D35A0"/>
    <w:rsid w:val="009D4E5F"/>
    <w:rsid w:val="009D63AC"/>
    <w:rsid w:val="009D7EB7"/>
    <w:rsid w:val="009E048A"/>
    <w:rsid w:val="009E08E9"/>
    <w:rsid w:val="009E3DB9"/>
    <w:rsid w:val="009E6E35"/>
    <w:rsid w:val="009F0EDA"/>
    <w:rsid w:val="00A03B96"/>
    <w:rsid w:val="00A05B19"/>
    <w:rsid w:val="00A1134E"/>
    <w:rsid w:val="00A24E7E"/>
    <w:rsid w:val="00A258C3"/>
    <w:rsid w:val="00A3407A"/>
    <w:rsid w:val="00A347C0"/>
    <w:rsid w:val="00A437A1"/>
    <w:rsid w:val="00A51431"/>
    <w:rsid w:val="00A539AD"/>
    <w:rsid w:val="00A72C75"/>
    <w:rsid w:val="00A94063"/>
    <w:rsid w:val="00AA6219"/>
    <w:rsid w:val="00AA6EF5"/>
    <w:rsid w:val="00AA74E0"/>
    <w:rsid w:val="00AB05A7"/>
    <w:rsid w:val="00AB703F"/>
    <w:rsid w:val="00AC6BB8"/>
    <w:rsid w:val="00AE008F"/>
    <w:rsid w:val="00AF4353"/>
    <w:rsid w:val="00B009A3"/>
    <w:rsid w:val="00B01FCD"/>
    <w:rsid w:val="00B1659F"/>
    <w:rsid w:val="00B1776C"/>
    <w:rsid w:val="00B52583"/>
    <w:rsid w:val="00B52896"/>
    <w:rsid w:val="00B55B10"/>
    <w:rsid w:val="00B85A95"/>
    <w:rsid w:val="00B93B43"/>
    <w:rsid w:val="00B95236"/>
    <w:rsid w:val="00B96BD9"/>
    <w:rsid w:val="00BA1B01"/>
    <w:rsid w:val="00BA2641"/>
    <w:rsid w:val="00BB37AA"/>
    <w:rsid w:val="00BB76AD"/>
    <w:rsid w:val="00BC4D8A"/>
    <w:rsid w:val="00BC53A0"/>
    <w:rsid w:val="00BE62AD"/>
    <w:rsid w:val="00BF121F"/>
    <w:rsid w:val="00BF1F80"/>
    <w:rsid w:val="00C166EF"/>
    <w:rsid w:val="00C17EB0"/>
    <w:rsid w:val="00C26083"/>
    <w:rsid w:val="00C27F5F"/>
    <w:rsid w:val="00C30965"/>
    <w:rsid w:val="00C30A0F"/>
    <w:rsid w:val="00C37E61"/>
    <w:rsid w:val="00C62249"/>
    <w:rsid w:val="00C70F1B"/>
    <w:rsid w:val="00C71A47"/>
    <w:rsid w:val="00C7464C"/>
    <w:rsid w:val="00C85588"/>
    <w:rsid w:val="00CB634E"/>
    <w:rsid w:val="00CC4817"/>
    <w:rsid w:val="00CD57D8"/>
    <w:rsid w:val="00CD6755"/>
    <w:rsid w:val="00CD6856"/>
    <w:rsid w:val="00CE0089"/>
    <w:rsid w:val="00CE793C"/>
    <w:rsid w:val="00CF193C"/>
    <w:rsid w:val="00D173F1"/>
    <w:rsid w:val="00D25948"/>
    <w:rsid w:val="00D272B3"/>
    <w:rsid w:val="00D40A76"/>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3FB1"/>
    <w:rsid w:val="00E769F6"/>
    <w:rsid w:val="00E776AC"/>
    <w:rsid w:val="00E8083F"/>
    <w:rsid w:val="00E8407C"/>
    <w:rsid w:val="00E84F3C"/>
    <w:rsid w:val="00EA012C"/>
    <w:rsid w:val="00EB5F6A"/>
    <w:rsid w:val="00EC6A55"/>
    <w:rsid w:val="00ED0288"/>
    <w:rsid w:val="00EE52CB"/>
    <w:rsid w:val="00EF581D"/>
    <w:rsid w:val="00EF7FD8"/>
    <w:rsid w:val="00F06F59"/>
    <w:rsid w:val="00F17988"/>
    <w:rsid w:val="00F469F0"/>
    <w:rsid w:val="00F53273"/>
    <w:rsid w:val="00F755E4"/>
    <w:rsid w:val="00F77D02"/>
    <w:rsid w:val="00F852DA"/>
    <w:rsid w:val="00FB2E4B"/>
    <w:rsid w:val="00FB3A86"/>
    <w:rsid w:val="00FD36C8"/>
    <w:rsid w:val="00FD662B"/>
    <w:rsid w:val="00FE2638"/>
    <w:rsid w:val="00FE4AE8"/>
    <w:rsid w:val="00FE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7E336"/>
  <w15:docId w15:val="{BCF90810-2AC3-480B-A80D-D5BD4B16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815\Downloads\Karthu%20nut%20uptake%20for%20articl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900" baseline="0"/>
              <a:t>F</a:t>
            </a:r>
            <a:r>
              <a:rPr lang="en-IN" sz="900" baseline="0">
                <a:latin typeface="Arial" panose="020B0604020202020204" pitchFamily="34" charset="0"/>
                <a:cs typeface="Arial" panose="020B0604020202020204" pitchFamily="34" charset="0"/>
              </a:rPr>
              <a:t>ig: 1 Effect of treatments on ratios of post-harvest available soil nutrients</a:t>
            </a:r>
            <a:r>
              <a:rPr lang="en-IN" baseline="0"/>
              <a:t>  </a:t>
            </a:r>
            <a:endParaRPr lang="en-IN"/>
          </a:p>
        </c:rich>
      </c:tx>
      <c:layout>
        <c:manualLayout>
          <c:xMode val="edge"/>
          <c:yMode val="edge"/>
          <c:x val="0.17635492931804578"/>
          <c:y val="5.32683559566655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manualLayout>
          <c:layoutTarget val="inner"/>
          <c:xMode val="edge"/>
          <c:yMode val="edge"/>
          <c:x val="9.4156144429744001E-2"/>
          <c:y val="0.18485804416403789"/>
          <c:w val="0.80183860836726573"/>
          <c:h val="0.4934801009616579"/>
        </c:manualLayout>
      </c:layout>
      <c:barChart>
        <c:barDir val="col"/>
        <c:grouping val="clustered"/>
        <c:varyColors val="0"/>
        <c:ser>
          <c:idx val="0"/>
          <c:order val="0"/>
          <c:tx>
            <c:strRef>
              <c:f>Sheet1!$B$1</c:f>
              <c:strCache>
                <c:ptCount val="1"/>
                <c:pt idx="0">
                  <c:v>N/P ratio</c:v>
                </c:pt>
              </c:strCache>
            </c:strRef>
          </c:tx>
          <c:spPr>
            <a:solidFill>
              <a:schemeClr val="accent6"/>
            </a:solidFill>
            <a:ln>
              <a:noFill/>
            </a:ln>
            <a:effectLst/>
          </c:spPr>
          <c:invertIfNegative val="0"/>
          <c:dLbls>
            <c:dLbl>
              <c:idx val="0"/>
              <c:layout>
                <c:manualLayout>
                  <c:x val="4.0783034257748773E-3"/>
                  <c:y val="2.91191458383887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8C-4D84-A04D-F1ED32380ACC}"/>
                </c:ext>
              </c:extLst>
            </c:dLbl>
            <c:dLbl>
              <c:idx val="1"/>
              <c:layout>
                <c:manualLayout>
                  <c:x val="-8.1566068515497928E-3"/>
                  <c:y val="1.45595729191943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8C-4D84-A04D-F1ED32380ACC}"/>
                </c:ext>
              </c:extLst>
            </c:dLbl>
            <c:dLbl>
              <c:idx val="3"/>
              <c:layout>
                <c:manualLayout>
                  <c:x val="-8.4670242022537659E-4"/>
                  <c:y val="-3.0857254971602858E-2"/>
                </c:manualLayout>
              </c:layout>
              <c:tx>
                <c:rich>
                  <a:bodyPr/>
                  <a:lstStyle/>
                  <a:p>
                    <a:fld id="{5E574499-7A3B-46ED-8C16-A252AD06B803}"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layout>
                    <c:manualLayout>
                      <c:w val="7.3551058310693626E-2"/>
                      <c:h val="6.7872229099401479E-2"/>
                    </c:manualLayout>
                  </c15:layout>
                  <c15:dlblFieldTable/>
                  <c15:showDataLabelsRange val="0"/>
                </c:ext>
                <c:ext xmlns:c16="http://schemas.microsoft.com/office/drawing/2014/chart" uri="{C3380CC4-5D6E-409C-BE32-E72D297353CC}">
                  <c16:uniqueId val="{00000002-3D8C-4D84-A04D-F1ED32380ACC}"/>
                </c:ext>
              </c:extLst>
            </c:dLbl>
            <c:dLbl>
              <c:idx val="4"/>
              <c:layout>
                <c:manualLayout>
                  <c:x val="-1.3747390677042646E-2"/>
                  <c:y val="-4.4957609634290019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6182291906494138E-2"/>
                      <c:h val="0.10028713995839661"/>
                    </c:manualLayout>
                  </c15:layout>
                </c:ext>
                <c:ext xmlns:c16="http://schemas.microsoft.com/office/drawing/2014/chart" uri="{C3380CC4-5D6E-409C-BE32-E72D297353CC}">
                  <c16:uniqueId val="{00000003-3D8C-4D84-A04D-F1ED32380ACC}"/>
                </c:ext>
              </c:extLst>
            </c:dLbl>
            <c:dLbl>
              <c:idx val="5"/>
              <c:layout>
                <c:manualLayout>
                  <c:x val="1.2234910277324479E-2"/>
                  <c:y val="2.9119145838388739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6.1072593800978785E-2"/>
                      <c:h val="7.7578448774951417E-2"/>
                    </c:manualLayout>
                  </c15:layout>
                </c:ext>
                <c:ext xmlns:c16="http://schemas.microsoft.com/office/drawing/2014/chart" uri="{C3380CC4-5D6E-409C-BE32-E72D297353CC}">
                  <c16:uniqueId val="{00000004-3D8C-4D84-A04D-F1ED32380AC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T1</c:v>
                </c:pt>
                <c:pt idx="1">
                  <c:v>T2</c:v>
                </c:pt>
                <c:pt idx="2">
                  <c:v>T3</c:v>
                </c:pt>
                <c:pt idx="3">
                  <c:v>T4</c:v>
                </c:pt>
                <c:pt idx="4">
                  <c:v>T5</c:v>
                </c:pt>
                <c:pt idx="5">
                  <c:v>T6</c:v>
                </c:pt>
              </c:strCache>
            </c:strRef>
          </c:cat>
          <c:val>
            <c:numRef>
              <c:f>Sheet1!$B$2:$B$7</c:f>
              <c:numCache>
                <c:formatCode>General</c:formatCode>
                <c:ptCount val="6"/>
                <c:pt idx="0">
                  <c:v>14.456</c:v>
                </c:pt>
                <c:pt idx="1">
                  <c:v>13.023999999999999</c:v>
                </c:pt>
                <c:pt idx="2">
                  <c:v>12.569000000000001</c:v>
                </c:pt>
                <c:pt idx="3">
                  <c:v>10.305999999999999</c:v>
                </c:pt>
                <c:pt idx="4">
                  <c:v>9.952</c:v>
                </c:pt>
                <c:pt idx="5">
                  <c:v>9.0609999999999999</c:v>
                </c:pt>
              </c:numCache>
            </c:numRef>
          </c:val>
          <c:extLst>
            <c:ext xmlns:c16="http://schemas.microsoft.com/office/drawing/2014/chart" uri="{C3380CC4-5D6E-409C-BE32-E72D297353CC}">
              <c16:uniqueId val="{00000005-3D8C-4D84-A04D-F1ED32380ACC}"/>
            </c:ext>
          </c:extLst>
        </c:ser>
        <c:ser>
          <c:idx val="1"/>
          <c:order val="1"/>
          <c:tx>
            <c:strRef>
              <c:f>Sheet1!$C$1</c:f>
              <c:strCache>
                <c:ptCount val="1"/>
                <c:pt idx="0">
                  <c:v>N/K ratio</c:v>
                </c:pt>
              </c:strCache>
            </c:strRef>
          </c:tx>
          <c:spPr>
            <a:solidFill>
              <a:schemeClr val="accent5"/>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T1</c:v>
                </c:pt>
                <c:pt idx="1">
                  <c:v>T2</c:v>
                </c:pt>
                <c:pt idx="2">
                  <c:v>T3</c:v>
                </c:pt>
                <c:pt idx="3">
                  <c:v>T4</c:v>
                </c:pt>
                <c:pt idx="4">
                  <c:v>T5</c:v>
                </c:pt>
                <c:pt idx="5">
                  <c:v>T6</c:v>
                </c:pt>
              </c:strCache>
            </c:strRef>
          </c:cat>
          <c:val>
            <c:numRef>
              <c:f>Sheet1!$C$2:$C$7</c:f>
              <c:numCache>
                <c:formatCode>General</c:formatCode>
                <c:ptCount val="6"/>
                <c:pt idx="0">
                  <c:v>1.87</c:v>
                </c:pt>
                <c:pt idx="1">
                  <c:v>2.3180000000000001</c:v>
                </c:pt>
                <c:pt idx="2">
                  <c:v>2.0569999999999999</c:v>
                </c:pt>
                <c:pt idx="3">
                  <c:v>1.859</c:v>
                </c:pt>
                <c:pt idx="4">
                  <c:v>1.7769999999999999</c:v>
                </c:pt>
                <c:pt idx="5">
                  <c:v>1.7090000000000001</c:v>
                </c:pt>
              </c:numCache>
            </c:numRef>
          </c:val>
          <c:extLst>
            <c:ext xmlns:c16="http://schemas.microsoft.com/office/drawing/2014/chart" uri="{C3380CC4-5D6E-409C-BE32-E72D297353CC}">
              <c16:uniqueId val="{00000006-3D8C-4D84-A04D-F1ED32380ACC}"/>
            </c:ext>
          </c:extLst>
        </c:ser>
        <c:dLbls>
          <c:showLegendKey val="0"/>
          <c:showVal val="0"/>
          <c:showCatName val="0"/>
          <c:showSerName val="0"/>
          <c:showPercent val="0"/>
          <c:showBubbleSize val="0"/>
        </c:dLbls>
        <c:gapWidth val="400"/>
        <c:axId val="1169900048"/>
        <c:axId val="1169899632"/>
      </c:barChart>
      <c:lineChart>
        <c:grouping val="standard"/>
        <c:varyColors val="0"/>
        <c:ser>
          <c:idx val="2"/>
          <c:order val="2"/>
          <c:tx>
            <c:strRef>
              <c:f>Sheet1!$D$1</c:f>
              <c:strCache>
                <c:ptCount val="1"/>
                <c:pt idx="0">
                  <c:v>P/K ratio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8.1566068515497737E-3"/>
                  <c:y val="-8.25042465421013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8C-4D84-A04D-F1ED32380ACC}"/>
                </c:ext>
              </c:extLst>
            </c:dLbl>
            <c:dLbl>
              <c:idx val="1"/>
              <c:layout>
                <c:manualLayout>
                  <c:x val="8.1566068515497546E-3"/>
                  <c:y val="-4.3678718757583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D8C-4D84-A04D-F1ED32380ACC}"/>
                </c:ext>
              </c:extLst>
            </c:dLbl>
            <c:dLbl>
              <c:idx val="2"/>
              <c:layout>
                <c:manualLayout>
                  <c:x val="2.6508972267536703E-2"/>
                  <c:y val="-5.3385100703712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D8C-4D84-A04D-F1ED32380ACC}"/>
                </c:ext>
              </c:extLst>
            </c:dLbl>
            <c:dLbl>
              <c:idx val="3"/>
              <c:layout>
                <c:manualLayout>
                  <c:x val="1.4274061990212071E-2"/>
                  <c:y val="-0.116476583353554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D8C-4D84-A04D-F1ED32380ACC}"/>
                </c:ext>
              </c:extLst>
            </c:dLbl>
            <c:dLbl>
              <c:idx val="4"/>
              <c:layout>
                <c:manualLayout>
                  <c:x val="-1.0195758564437194E-2"/>
                  <c:y val="-6.3091482649842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D8C-4D84-A04D-F1ED32380ACC}"/>
                </c:ext>
              </c:extLst>
            </c:dLbl>
            <c:dLbl>
              <c:idx val="5"/>
              <c:layout>
                <c:manualLayout>
                  <c:x val="-1.2234910277324634E-2"/>
                  <c:y val="-7.2797864595971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D8C-4D84-A04D-F1ED32380AC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T1</c:v>
                </c:pt>
                <c:pt idx="1">
                  <c:v>T2</c:v>
                </c:pt>
                <c:pt idx="2">
                  <c:v>T3</c:v>
                </c:pt>
                <c:pt idx="3">
                  <c:v>T4</c:v>
                </c:pt>
                <c:pt idx="4">
                  <c:v>T5</c:v>
                </c:pt>
                <c:pt idx="5">
                  <c:v>T6</c:v>
                </c:pt>
              </c:strCache>
            </c:strRef>
          </c:cat>
          <c:val>
            <c:numRef>
              <c:f>Sheet1!$D$2:$D$7</c:f>
              <c:numCache>
                <c:formatCode>General</c:formatCode>
                <c:ptCount val="6"/>
                <c:pt idx="0">
                  <c:v>0.126</c:v>
                </c:pt>
                <c:pt idx="1">
                  <c:v>0.17799999999999999</c:v>
                </c:pt>
                <c:pt idx="2">
                  <c:v>0.2</c:v>
                </c:pt>
                <c:pt idx="3">
                  <c:v>0.14799999999999999</c:v>
                </c:pt>
                <c:pt idx="4">
                  <c:v>0.17799999999999999</c:v>
                </c:pt>
                <c:pt idx="5">
                  <c:v>0.189</c:v>
                </c:pt>
              </c:numCache>
            </c:numRef>
          </c:val>
          <c:smooth val="0"/>
          <c:extLst>
            <c:ext xmlns:c16="http://schemas.microsoft.com/office/drawing/2014/chart" uri="{C3380CC4-5D6E-409C-BE32-E72D297353CC}">
              <c16:uniqueId val="{0000000D-3D8C-4D84-A04D-F1ED32380ACC}"/>
            </c:ext>
          </c:extLst>
        </c:ser>
        <c:dLbls>
          <c:showLegendKey val="0"/>
          <c:showVal val="0"/>
          <c:showCatName val="0"/>
          <c:showSerName val="0"/>
          <c:showPercent val="0"/>
          <c:showBubbleSize val="0"/>
        </c:dLbls>
        <c:marker val="1"/>
        <c:smooth val="0"/>
        <c:axId val="68290976"/>
        <c:axId val="68286816"/>
      </c:lineChart>
      <c:catAx>
        <c:axId val="1169900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9899632"/>
        <c:crosses val="autoZero"/>
        <c:auto val="1"/>
        <c:lblAlgn val="ctr"/>
        <c:lblOffset val="100"/>
        <c:noMultiLvlLbl val="0"/>
      </c:catAx>
      <c:valAx>
        <c:axId val="1169899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Nutrient</a:t>
                </a:r>
                <a:r>
                  <a:rPr lang="en-IN" baseline="0"/>
                  <a:t> ratios (N/P and N/K)</a:t>
                </a:r>
                <a:endParaRPr lang="en-IN"/>
              </a:p>
            </c:rich>
          </c:tx>
          <c:layout>
            <c:manualLayout>
              <c:xMode val="edge"/>
              <c:yMode val="edge"/>
              <c:x val="1.0885673282067814E-2"/>
              <c:y val="9.7851087929554048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9900048"/>
        <c:crosses val="autoZero"/>
        <c:crossBetween val="between"/>
      </c:valAx>
      <c:valAx>
        <c:axId val="6828681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Nutrient</a:t>
                </a:r>
                <a:r>
                  <a:rPr lang="en-IN" baseline="0"/>
                  <a:t> ratio (P/K)</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90976"/>
        <c:crosses val="max"/>
        <c:crossBetween val="between"/>
      </c:valAx>
      <c:catAx>
        <c:axId val="68290976"/>
        <c:scaling>
          <c:orientation val="minMax"/>
        </c:scaling>
        <c:delete val="1"/>
        <c:axPos val="t"/>
        <c:numFmt formatCode="General" sourceLinked="1"/>
        <c:majorTickMark val="none"/>
        <c:minorTickMark val="none"/>
        <c:tickLblPos val="nextTo"/>
        <c:crossAx val="68286816"/>
        <c:crosses val="max"/>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a:ea typeface="Times New Roman"/>
                <a:cs typeface="Times New Roman"/>
              </a:defRPr>
            </a:pPr>
            <a:r>
              <a:rPr lang="en-US"/>
              <a:t>Fig. 2 Effect of nutrient uptake ratios on groundnut yield.</a:t>
            </a:r>
          </a:p>
        </c:rich>
      </c:tx>
      <c:overlay val="1"/>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Times New Roman"/>
              <a:ea typeface="Times New Roman"/>
              <a:cs typeface="Times New Roman"/>
            </a:defRPr>
          </a:pPr>
          <a:endParaRPr lang="en-US"/>
        </a:p>
      </c:txPr>
    </c:title>
    <c:autoTitleDeleted val="0"/>
    <c:plotArea>
      <c:layout>
        <c:manualLayout>
          <c:layoutTarget val="inner"/>
          <c:xMode val="edge"/>
          <c:yMode val="edge"/>
          <c:x val="5.9779406186943405E-2"/>
          <c:y val="0.12181782472153192"/>
          <c:w val="0.89839657326071232"/>
          <c:h val="0.82140735199196224"/>
        </c:manualLayout>
      </c:layout>
      <c:scatterChart>
        <c:scatterStyle val="smoothMarker"/>
        <c:varyColors val="0"/>
        <c:ser>
          <c:idx val="1"/>
          <c:order val="0"/>
          <c:tx>
            <c:v>Yield vs. N/P</c:v>
          </c:tx>
          <c:spPr>
            <a:ln w="19050" cap="rnd">
              <a:solidFill>
                <a:schemeClr val="tx2">
                  <a:lumMod val="75000"/>
                </a:schemeClr>
              </a:solidFill>
              <a:round/>
            </a:ln>
            <a:effectLst/>
          </c:spPr>
          <c:marker>
            <c:symbol val="none"/>
          </c:marker>
          <c:dLbls>
            <c:dLbl>
              <c:idx val="0"/>
              <c:layout>
                <c:manualLayout>
                  <c:x val="-8.9916506101477209E-2"/>
                  <c:y val="8.7739903002500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B5-491D-B8BE-314BBD047CE4}"/>
                </c:ext>
              </c:extLst>
            </c:dLbl>
            <c:dLbl>
              <c:idx val="1"/>
              <c:layout>
                <c:manualLayout>
                  <c:x val="7.7071290944123313E-3"/>
                  <c:y val="6.58049272518756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B5-491D-B8BE-314BBD047CE4}"/>
                </c:ext>
              </c:extLst>
            </c:dLbl>
            <c:dLbl>
              <c:idx val="2"/>
              <c:layout>
                <c:manualLayout>
                  <c:x val="-4.8811817597944764E-2"/>
                  <c:y val="8.14727670737508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B5-491D-B8BE-314BBD047CE4}"/>
                </c:ext>
              </c:extLst>
            </c:dLbl>
            <c:dLbl>
              <c:idx val="3"/>
              <c:layout>
                <c:manualLayout>
                  <c:x val="-5.3949903660886318E-2"/>
                  <c:y val="7.520563114500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B5-491D-B8BE-314BBD047CE4}"/>
                </c:ext>
              </c:extLst>
            </c:dLbl>
            <c:dLbl>
              <c:idx val="4"/>
              <c:layout>
                <c:manualLayout>
                  <c:x val="7.7071290944123313E-3"/>
                  <c:y val="9.714060689562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B5-491D-B8BE-314BBD047CE4}"/>
                </c:ext>
              </c:extLst>
            </c:dLbl>
            <c:dLbl>
              <c:idx val="5"/>
              <c:layout>
                <c:manualLayout>
                  <c:x val="-6.9364161849710976E-2"/>
                  <c:y val="-8.14727670737508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B5-491D-B8BE-314BBD047CE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B050"/>
                      </a:solidFill>
                      <a:round/>
                    </a:ln>
                    <a:effectLst/>
                  </c:spPr>
                </c15:leaderLines>
              </c:ext>
            </c:extLst>
          </c:dLbls>
          <c:xVal>
            <c:numRef>
              <c:f>Sheet1!$H$5:$H$10</c:f>
              <c:numCache>
                <c:formatCode>General</c:formatCode>
                <c:ptCount val="6"/>
                <c:pt idx="0">
                  <c:v>1.78</c:v>
                </c:pt>
                <c:pt idx="1">
                  <c:v>1.91</c:v>
                </c:pt>
                <c:pt idx="2">
                  <c:v>2.58</c:v>
                </c:pt>
                <c:pt idx="3">
                  <c:v>2.96</c:v>
                </c:pt>
                <c:pt idx="4">
                  <c:v>3.31</c:v>
                </c:pt>
                <c:pt idx="5">
                  <c:v>3.2</c:v>
                </c:pt>
              </c:numCache>
            </c:numRef>
          </c:xVal>
          <c:yVal>
            <c:numRef>
              <c:f>Sheet1!$I$5:$I$10</c:f>
              <c:numCache>
                <c:formatCode>General</c:formatCode>
                <c:ptCount val="6"/>
                <c:pt idx="0">
                  <c:v>9.5368289637952568</c:v>
                </c:pt>
                <c:pt idx="1">
                  <c:v>9.77</c:v>
                </c:pt>
                <c:pt idx="2">
                  <c:v>9.2100000000000009</c:v>
                </c:pt>
                <c:pt idx="3">
                  <c:v>9.2100000000000009</c:v>
                </c:pt>
                <c:pt idx="4">
                  <c:v>8.4700000000000006</c:v>
                </c:pt>
                <c:pt idx="5">
                  <c:v>8.6097131353799696</c:v>
                </c:pt>
              </c:numCache>
            </c:numRef>
          </c:yVal>
          <c:smooth val="1"/>
          <c:extLst>
            <c:ext xmlns:c16="http://schemas.microsoft.com/office/drawing/2014/chart" uri="{C3380CC4-5D6E-409C-BE32-E72D297353CC}">
              <c16:uniqueId val="{00000006-71B5-491D-B8BE-314BBD047CE4}"/>
            </c:ext>
          </c:extLst>
        </c:ser>
        <c:ser>
          <c:idx val="0"/>
          <c:order val="1"/>
          <c:tx>
            <c:v>Yield vs. P/K</c:v>
          </c:tx>
          <c:spPr>
            <a:ln w="19050" cap="rnd">
              <a:solidFill>
                <a:schemeClr val="accent3">
                  <a:lumMod val="75000"/>
                </a:schemeClr>
              </a:solidFill>
              <a:round/>
            </a:ln>
            <a:effectLst/>
          </c:spPr>
          <c:marker>
            <c:symbol val="none"/>
          </c:marker>
          <c:dLbls>
            <c:dLbl>
              <c:idx val="0"/>
              <c:layout>
                <c:manualLayout>
                  <c:x val="-8.4778420038535668E-2"/>
                  <c:y val="5.3270655394375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B5-491D-B8BE-314BBD047CE4}"/>
                </c:ext>
              </c:extLst>
            </c:dLbl>
            <c:dLbl>
              <c:idx val="1"/>
              <c:layout>
                <c:manualLayout>
                  <c:x val="4.6242774566473945E-2"/>
                  <c:y val="-5.0137087430000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1B5-491D-B8BE-314BBD047CE4}"/>
                </c:ext>
              </c:extLst>
            </c:dLbl>
            <c:dLbl>
              <c:idx val="2"/>
              <c:layout>
                <c:manualLayout>
                  <c:x val="1.5414258188824663E-2"/>
                  <c:y val="-4.0736383536875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B5-491D-B8BE-314BBD047CE4}"/>
                </c:ext>
              </c:extLst>
            </c:dLbl>
            <c:dLbl>
              <c:idx val="3"/>
              <c:layout>
                <c:manualLayout>
                  <c:x val="-2.3121387283236993E-2"/>
                  <c:y val="5.0137087430000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1B5-491D-B8BE-314BBD047CE4}"/>
                </c:ext>
              </c:extLst>
            </c:dLbl>
            <c:dLbl>
              <c:idx val="4"/>
              <c:layout>
                <c:manualLayout>
                  <c:x val="1.7983402363721875E-2"/>
                  <c:y val="-5.6404223358750602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9.9113680154142569E-2"/>
                      <c:h val="9.0826590816227834E-2"/>
                    </c:manualLayout>
                  </c15:layout>
                </c:ext>
                <c:ext xmlns:c16="http://schemas.microsoft.com/office/drawing/2014/chart" uri="{C3380CC4-5D6E-409C-BE32-E72D297353CC}">
                  <c16:uniqueId val="{0000000B-71B5-491D-B8BE-314BBD047CE4}"/>
                </c:ext>
              </c:extLst>
            </c:dLbl>
            <c:dLbl>
              <c:idx val="5"/>
              <c:layout>
                <c:manualLayout>
                  <c:x val="-3.8535645472061654E-2"/>
                  <c:y val="6.5804927251875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1B5-491D-B8BE-314BBD047CE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206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xVal>
            <c:numRef>
              <c:f>Sheet1!$H$5:$H$10</c:f>
              <c:numCache>
                <c:formatCode>General</c:formatCode>
                <c:ptCount val="6"/>
                <c:pt idx="0">
                  <c:v>1.78</c:v>
                </c:pt>
                <c:pt idx="1">
                  <c:v>1.91</c:v>
                </c:pt>
                <c:pt idx="2">
                  <c:v>2.58</c:v>
                </c:pt>
                <c:pt idx="3">
                  <c:v>2.96</c:v>
                </c:pt>
                <c:pt idx="4">
                  <c:v>3.31</c:v>
                </c:pt>
                <c:pt idx="5">
                  <c:v>3.2</c:v>
                </c:pt>
              </c:numCache>
            </c:numRef>
          </c:xVal>
          <c:yVal>
            <c:numRef>
              <c:f>Sheet1!$J$5:$J$10</c:f>
              <c:numCache>
                <c:formatCode>General</c:formatCode>
                <c:ptCount val="6"/>
                <c:pt idx="0">
                  <c:v>2.2599999999999998</c:v>
                </c:pt>
                <c:pt idx="1">
                  <c:v>2.2200000000000002</c:v>
                </c:pt>
                <c:pt idx="2">
                  <c:v>2.06</c:v>
                </c:pt>
                <c:pt idx="3">
                  <c:v>1.98</c:v>
                </c:pt>
                <c:pt idx="4">
                  <c:v>1.95</c:v>
                </c:pt>
                <c:pt idx="5">
                  <c:v>1.9</c:v>
                </c:pt>
              </c:numCache>
            </c:numRef>
          </c:yVal>
          <c:smooth val="1"/>
          <c:extLst>
            <c:ext xmlns:c16="http://schemas.microsoft.com/office/drawing/2014/chart" uri="{C3380CC4-5D6E-409C-BE32-E72D297353CC}">
              <c16:uniqueId val="{0000000D-71B5-491D-B8BE-314BBD047CE4}"/>
            </c:ext>
          </c:extLst>
        </c:ser>
        <c:ser>
          <c:idx val="2"/>
          <c:order val="2"/>
          <c:tx>
            <c:v>Yield vs. N/K</c:v>
          </c:tx>
          <c:spPr>
            <a:ln w="19050" cap="rnd">
              <a:solidFill>
                <a:srgbClr val="FF0000"/>
              </a:solidFill>
              <a:round/>
            </a:ln>
            <a:effectLst/>
          </c:spPr>
          <c:marker>
            <c:symbol val="none"/>
          </c:marker>
          <c:dLbls>
            <c:dLbl>
              <c:idx val="0"/>
              <c:layout>
                <c:manualLayout>
                  <c:x val="-5.3949903660886318E-2"/>
                  <c:y val="5.01370874300005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1B5-491D-B8BE-314BBD047CE4}"/>
                </c:ext>
              </c:extLst>
            </c:dLbl>
            <c:dLbl>
              <c:idx val="1"/>
              <c:layout>
                <c:manualLayout>
                  <c:x val="2.3121387283236948E-2"/>
                  <c:y val="-4.7003519465625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1B5-491D-B8BE-314BBD047CE4}"/>
                </c:ext>
              </c:extLst>
            </c:dLbl>
            <c:dLbl>
              <c:idx val="2"/>
              <c:layout>
                <c:manualLayout>
                  <c:x val="0"/>
                  <c:y val="4.70035194656254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1B5-491D-B8BE-314BBD047CE4}"/>
                </c:ext>
              </c:extLst>
            </c:dLbl>
            <c:dLbl>
              <c:idx val="3"/>
              <c:layout>
                <c:manualLayout>
                  <c:x val="2.3121387283236993E-2"/>
                  <c:y val="-5.640422335875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1B5-491D-B8BE-314BBD047CE4}"/>
                </c:ext>
              </c:extLst>
            </c:dLbl>
            <c:dLbl>
              <c:idx val="4"/>
              <c:layout>
                <c:manualLayout>
                  <c:x val="7.7071290944123313E-3"/>
                  <c:y val="5.01370874300004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1B5-491D-B8BE-314BBD047CE4}"/>
                </c:ext>
              </c:extLst>
            </c:dLbl>
            <c:dLbl>
              <c:idx val="5"/>
              <c:layout>
                <c:manualLayout>
                  <c:x val="-2.8259473346178548E-2"/>
                  <c:y val="-9.4007038931251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1B5-491D-B8BE-314BBD047C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275317"/>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accent5">
                          <a:lumMod val="50000"/>
                        </a:schemeClr>
                      </a:solidFill>
                      <a:round/>
                    </a:ln>
                    <a:effectLst/>
                  </c:spPr>
                </c15:leaderLines>
              </c:ext>
            </c:extLst>
          </c:dLbls>
          <c:xVal>
            <c:numRef>
              <c:f>Sheet1!$H$5:$H$10</c:f>
              <c:numCache>
                <c:formatCode>General</c:formatCode>
                <c:ptCount val="6"/>
                <c:pt idx="0">
                  <c:v>1.78</c:v>
                </c:pt>
                <c:pt idx="1">
                  <c:v>1.91</c:v>
                </c:pt>
                <c:pt idx="2">
                  <c:v>2.58</c:v>
                </c:pt>
                <c:pt idx="3">
                  <c:v>2.96</c:v>
                </c:pt>
                <c:pt idx="4">
                  <c:v>3.31</c:v>
                </c:pt>
                <c:pt idx="5">
                  <c:v>3.2</c:v>
                </c:pt>
              </c:numCache>
            </c:numRef>
          </c:xVal>
          <c:yVal>
            <c:numRef>
              <c:f>Sheet1!$K$5:$K$10</c:f>
              <c:numCache>
                <c:formatCode>General</c:formatCode>
                <c:ptCount val="6"/>
                <c:pt idx="0">
                  <c:v>4.22</c:v>
                </c:pt>
                <c:pt idx="1">
                  <c:v>4.4000000000000004</c:v>
                </c:pt>
                <c:pt idx="2">
                  <c:v>4.46</c:v>
                </c:pt>
                <c:pt idx="3">
                  <c:v>4.66</c:v>
                </c:pt>
                <c:pt idx="4">
                  <c:v>4.34</c:v>
                </c:pt>
                <c:pt idx="5">
                  <c:v>4.5199999999999996</c:v>
                </c:pt>
              </c:numCache>
            </c:numRef>
          </c:yVal>
          <c:smooth val="1"/>
          <c:extLst>
            <c:ext xmlns:c16="http://schemas.microsoft.com/office/drawing/2014/chart" uri="{C3380CC4-5D6E-409C-BE32-E72D297353CC}">
              <c16:uniqueId val="{00000014-71B5-491D-B8BE-314BBD047CE4}"/>
            </c:ext>
          </c:extLst>
        </c:ser>
        <c:dLbls>
          <c:showLegendKey val="0"/>
          <c:showVal val="0"/>
          <c:showCatName val="0"/>
          <c:showSerName val="0"/>
          <c:showPercent val="0"/>
          <c:showBubbleSize val="0"/>
        </c:dLbls>
        <c:axId val="316334927"/>
        <c:axId val="316348847"/>
      </c:scatterChart>
      <c:valAx>
        <c:axId val="316334927"/>
        <c:scaling>
          <c:orientation val="minMax"/>
          <c:min val="1.7"/>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rgbClr val="C00000"/>
                    </a:solidFill>
                    <a:latin typeface="Times New Roman"/>
                    <a:ea typeface="Times New Roman"/>
                    <a:cs typeface="Times New Roman"/>
                  </a:defRPr>
                </a:pPr>
                <a:r>
                  <a:rPr lang="en-US"/>
                  <a:t>Yield-tonnes/ha</a:t>
                </a:r>
              </a:p>
            </c:rich>
          </c:tx>
          <c:layout>
            <c:manualLayout>
              <c:xMode val="edge"/>
              <c:yMode val="edge"/>
              <c:x val="0.44077105493392271"/>
              <c:y val="0.86844216795027285"/>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C00000"/>
                  </a:solidFill>
                  <a:latin typeface="Times New Roman"/>
                  <a:ea typeface="Times New Roman"/>
                  <a:cs typeface="Times New Roman"/>
                </a:defRPr>
              </a:pPr>
              <a:endParaRPr lang="en-US"/>
            </a:p>
          </c:txPr>
        </c:title>
        <c:numFmt formatCode="General" sourceLinked="1"/>
        <c:majorTickMark val="none"/>
        <c:minorTickMark val="in"/>
        <c:tickLblPos val="nextTo"/>
        <c:spPr>
          <a:solidFill>
            <a:srgbClr val="FFFFFF"/>
          </a:solid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rgbClr val="000000"/>
                </a:solidFill>
                <a:latin typeface="+mn-lt"/>
                <a:ea typeface="+mn-ea"/>
                <a:cs typeface="+mn-cs"/>
              </a:defRPr>
            </a:pPr>
            <a:endParaRPr lang="en-US"/>
          </a:p>
        </c:txPr>
        <c:crossAx val="316348847"/>
        <c:crosses val="autoZero"/>
        <c:crossBetween val="midCat"/>
      </c:valAx>
      <c:valAx>
        <c:axId val="316348847"/>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rgbClr val="FF0000"/>
                    </a:solidFill>
                    <a:latin typeface="+mn-lt"/>
                    <a:ea typeface="+mn-ea"/>
                    <a:cs typeface="+mn-cs"/>
                  </a:defRPr>
                </a:pPr>
                <a:r>
                  <a:rPr lang="en-US"/>
                  <a:t>Nutrient ratio</a:t>
                </a:r>
              </a:p>
            </c:rich>
          </c:tx>
          <c:layout>
            <c:manualLayout>
              <c:xMode val="edge"/>
              <c:yMode val="edge"/>
              <c:x val="2.7472527472527475E-3"/>
              <c:y val="0.3413532782284170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rgbClr val="FF0000"/>
                  </a:solidFill>
                  <a:latin typeface="+mn-lt"/>
                  <a:ea typeface="+mn-ea"/>
                  <a:cs typeface="+mn-cs"/>
                </a:defRPr>
              </a:pPr>
              <a:endParaRPr lang="en-US"/>
            </a:p>
          </c:txPr>
        </c:title>
        <c:numFmt formatCode="General" sourceLinked="1"/>
        <c:majorTickMark val="in"/>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334927"/>
        <c:crosses val="autoZero"/>
        <c:crossBetween val="midCat"/>
      </c:valAx>
      <c:spPr>
        <a:noFill/>
        <a:ln>
          <a:noFill/>
        </a:ln>
        <a:effectLst/>
      </c:spPr>
    </c:plotArea>
    <c:legend>
      <c:legendPos val="r"/>
      <c:layout>
        <c:manualLayout>
          <c:xMode val="edge"/>
          <c:yMode val="edge"/>
          <c:x val="0.82359779534538013"/>
          <c:y val="0.36622668587515944"/>
          <c:w val="0.17640220465461981"/>
          <c:h val="0.176764505344653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span"/>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B1556-DFCF-4478-BC64-FC18BDB9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11</Pages>
  <Words>3845</Words>
  <Characters>21922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25716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Editor-11</cp:lastModifiedBy>
  <cp:revision>7</cp:revision>
  <cp:lastPrinted>1999-07-06T11:00:00Z</cp:lastPrinted>
  <dcterms:created xsi:type="dcterms:W3CDTF">2025-04-27T08:58:00Z</dcterms:created>
  <dcterms:modified xsi:type="dcterms:W3CDTF">2025-04-28T07:30:00Z</dcterms:modified>
</cp:coreProperties>
</file>