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D0B1C" w14:textId="2D845C55" w:rsidR="00012D7E" w:rsidRPr="00A07823" w:rsidRDefault="00F02E84" w:rsidP="00012D7E">
      <w:pPr>
        <w:spacing w:line="360" w:lineRule="auto"/>
        <w:jc w:val="center"/>
        <w:outlineLvl w:val="0"/>
        <w:rPr>
          <w:rFonts w:ascii="Times New Roman" w:hAnsi="Times New Roman" w:cs="Times New Roman"/>
          <w:bCs/>
          <w:color w:val="000000" w:themeColor="text1"/>
        </w:rPr>
      </w:pPr>
      <w:bookmarkStart w:id="0" w:name="_GoBack"/>
      <w:bookmarkEnd w:id="0"/>
      <w:r w:rsidRPr="00F02E84">
        <w:rPr>
          <w:rFonts w:ascii="Times New Roman" w:hAnsi="Times New Roman" w:cs="Times New Roman"/>
          <w:bCs/>
          <w:color w:val="000000" w:themeColor="text1"/>
        </w:rPr>
        <w:t xml:space="preserve">Polystyrene </w:t>
      </w:r>
      <w:r>
        <w:rPr>
          <w:rFonts w:ascii="Times New Roman" w:hAnsi="Times New Roman" w:cs="Times New Roman"/>
          <w:bCs/>
          <w:color w:val="000000" w:themeColor="text1"/>
        </w:rPr>
        <w:t>m</w:t>
      </w:r>
      <w:r w:rsidRPr="00F02E84">
        <w:rPr>
          <w:rFonts w:ascii="Times New Roman" w:hAnsi="Times New Roman" w:cs="Times New Roman"/>
          <w:bCs/>
          <w:color w:val="000000" w:themeColor="text1"/>
        </w:rPr>
        <w:t xml:space="preserve">icroplastics </w:t>
      </w:r>
      <w:r>
        <w:rPr>
          <w:rFonts w:ascii="Times New Roman" w:hAnsi="Times New Roman" w:cs="Times New Roman"/>
          <w:bCs/>
          <w:color w:val="000000" w:themeColor="text1"/>
        </w:rPr>
        <w:t>d</w:t>
      </w:r>
      <w:r w:rsidRPr="00F02E84">
        <w:rPr>
          <w:rFonts w:ascii="Times New Roman" w:hAnsi="Times New Roman" w:cs="Times New Roman"/>
          <w:bCs/>
          <w:color w:val="000000" w:themeColor="text1"/>
        </w:rPr>
        <w:t xml:space="preserve">isrupt </w:t>
      </w:r>
      <w:r>
        <w:rPr>
          <w:rFonts w:ascii="Times New Roman" w:hAnsi="Times New Roman" w:cs="Times New Roman"/>
          <w:bCs/>
          <w:color w:val="000000" w:themeColor="text1"/>
        </w:rPr>
        <w:t>s</w:t>
      </w:r>
      <w:r w:rsidRPr="00F02E84">
        <w:rPr>
          <w:rFonts w:ascii="Times New Roman" w:hAnsi="Times New Roman" w:cs="Times New Roman"/>
          <w:bCs/>
          <w:color w:val="000000" w:themeColor="text1"/>
        </w:rPr>
        <w:t xml:space="preserve">permatogenesis </w:t>
      </w:r>
      <w:r>
        <w:rPr>
          <w:rFonts w:ascii="Times New Roman" w:hAnsi="Times New Roman" w:cs="Times New Roman"/>
          <w:bCs/>
          <w:color w:val="000000" w:themeColor="text1"/>
        </w:rPr>
        <w:t>t</w:t>
      </w:r>
      <w:r w:rsidRPr="00F02E84">
        <w:rPr>
          <w:rFonts w:ascii="Times New Roman" w:hAnsi="Times New Roman" w:cs="Times New Roman"/>
          <w:bCs/>
          <w:color w:val="000000" w:themeColor="text1"/>
        </w:rPr>
        <w:t xml:space="preserve">hrough </w:t>
      </w:r>
      <w:r>
        <w:rPr>
          <w:rFonts w:ascii="Times New Roman" w:hAnsi="Times New Roman" w:cs="Times New Roman"/>
          <w:bCs/>
          <w:color w:val="000000" w:themeColor="text1"/>
        </w:rPr>
        <w:t>o</w:t>
      </w:r>
      <w:r w:rsidRPr="00F02E84">
        <w:rPr>
          <w:rFonts w:ascii="Times New Roman" w:hAnsi="Times New Roman" w:cs="Times New Roman"/>
          <w:bCs/>
          <w:color w:val="000000" w:themeColor="text1"/>
        </w:rPr>
        <w:t xml:space="preserve">xidative </w:t>
      </w:r>
      <w:r>
        <w:rPr>
          <w:rFonts w:ascii="Times New Roman" w:hAnsi="Times New Roman" w:cs="Times New Roman"/>
          <w:bCs/>
          <w:color w:val="000000" w:themeColor="text1"/>
        </w:rPr>
        <w:t>s</w:t>
      </w:r>
      <w:r w:rsidRPr="00F02E84">
        <w:rPr>
          <w:rFonts w:ascii="Times New Roman" w:hAnsi="Times New Roman" w:cs="Times New Roman"/>
          <w:bCs/>
          <w:color w:val="000000" w:themeColor="text1"/>
        </w:rPr>
        <w:t xml:space="preserve">tress in </w:t>
      </w:r>
      <w:r>
        <w:rPr>
          <w:rFonts w:ascii="Times New Roman" w:hAnsi="Times New Roman" w:cs="Times New Roman"/>
          <w:bCs/>
          <w:color w:val="000000" w:themeColor="text1"/>
        </w:rPr>
        <w:t>r</w:t>
      </w:r>
      <w:r w:rsidRPr="00F02E84">
        <w:rPr>
          <w:rFonts w:ascii="Times New Roman" w:hAnsi="Times New Roman" w:cs="Times New Roman"/>
          <w:bCs/>
          <w:color w:val="000000" w:themeColor="text1"/>
        </w:rPr>
        <w:t xml:space="preserve">at </w:t>
      </w:r>
      <w:r>
        <w:rPr>
          <w:rFonts w:ascii="Times New Roman" w:hAnsi="Times New Roman" w:cs="Times New Roman"/>
          <w:bCs/>
          <w:color w:val="000000" w:themeColor="text1"/>
        </w:rPr>
        <w:t>t</w:t>
      </w:r>
      <w:r w:rsidRPr="00F02E84">
        <w:rPr>
          <w:rFonts w:ascii="Times New Roman" w:hAnsi="Times New Roman" w:cs="Times New Roman"/>
          <w:bCs/>
          <w:color w:val="000000" w:themeColor="text1"/>
        </w:rPr>
        <w:t xml:space="preserve">esticular </w:t>
      </w:r>
      <w:r>
        <w:rPr>
          <w:rFonts w:ascii="Times New Roman" w:hAnsi="Times New Roman" w:cs="Times New Roman"/>
          <w:bCs/>
          <w:color w:val="000000" w:themeColor="text1"/>
        </w:rPr>
        <w:t>t</w:t>
      </w:r>
      <w:r w:rsidRPr="00F02E84">
        <w:rPr>
          <w:rFonts w:ascii="Times New Roman" w:hAnsi="Times New Roman" w:cs="Times New Roman"/>
          <w:bCs/>
          <w:color w:val="000000" w:themeColor="text1"/>
        </w:rPr>
        <w:t>issue</w:t>
      </w:r>
    </w:p>
    <w:p w14:paraId="1D8FEA6B" w14:textId="77777777" w:rsidR="00012D7E" w:rsidRPr="00A07823" w:rsidRDefault="00012D7E" w:rsidP="00012D7E">
      <w:pPr>
        <w:spacing w:line="360" w:lineRule="auto"/>
        <w:jc w:val="center"/>
        <w:outlineLvl w:val="0"/>
        <w:rPr>
          <w:rFonts w:ascii="Times New Roman" w:hAnsi="Times New Roman" w:cs="Times New Roman"/>
          <w:bCs/>
          <w:color w:val="000000" w:themeColor="text1"/>
        </w:rPr>
      </w:pPr>
    </w:p>
    <w:p w14:paraId="6D43A0D3" w14:textId="0F6110B5" w:rsidR="00F21959" w:rsidRPr="002D3081" w:rsidRDefault="00F21959" w:rsidP="00F21959">
      <w:pPr>
        <w:spacing w:before="120" w:after="120" w:line="480" w:lineRule="auto"/>
        <w:jc w:val="both"/>
        <w:rPr>
          <w:rFonts w:ascii="Times New Roman" w:hAnsi="Times New Roman" w:cs="Times New Roman"/>
          <w:color w:val="000000" w:themeColor="text1"/>
          <w:lang w:val="en-GB"/>
        </w:rPr>
      </w:pPr>
      <w:r w:rsidRPr="002D3081">
        <w:rPr>
          <w:rFonts w:ascii="Times New Roman" w:hAnsi="Times New Roman" w:cs="Times New Roman"/>
          <w:color w:val="000000" w:themeColor="text1"/>
          <w:lang w:val="en-GB"/>
        </w:rPr>
        <w:t>Abstract</w:t>
      </w:r>
    </w:p>
    <w:p w14:paraId="0BFAD47A" w14:textId="4B6E4163" w:rsidR="003D0D77" w:rsidRDefault="003D0D77" w:rsidP="003D0D77">
      <w:pPr>
        <w:spacing w:before="120" w:after="120" w:line="480" w:lineRule="auto"/>
        <w:jc w:val="both"/>
        <w:rPr>
          <w:rFonts w:ascii="Times New Roman" w:hAnsi="Times New Roman" w:cs="Times New Roman"/>
          <w:color w:val="000000" w:themeColor="text1"/>
          <w:lang w:val="en-GB"/>
        </w:rPr>
      </w:pPr>
      <w:r w:rsidRPr="003D0D77">
        <w:rPr>
          <w:rFonts w:ascii="Times New Roman" w:hAnsi="Times New Roman" w:cs="Times New Roman"/>
          <w:color w:val="000000" w:themeColor="text1"/>
          <w:lang w:val="en-GB"/>
        </w:rPr>
        <w:t>Polystyrene-based microplastics (PS-MPs) induce excessive oxidative stress in testicular tissues.</w:t>
      </w:r>
      <w:r w:rsidR="00072AD2">
        <w:rPr>
          <w:rFonts w:ascii="Times New Roman" w:hAnsi="Times New Roman" w:cs="Times New Roman"/>
          <w:color w:val="000000" w:themeColor="text1"/>
          <w:lang w:val="en-GB"/>
        </w:rPr>
        <w:t xml:space="preserve"> </w:t>
      </w:r>
      <w:r w:rsidRPr="003D0D77">
        <w:rPr>
          <w:rFonts w:ascii="Times New Roman" w:hAnsi="Times New Roman" w:cs="Times New Roman"/>
          <w:color w:val="000000" w:themeColor="text1"/>
          <w:lang w:val="en-GB"/>
        </w:rPr>
        <w:t>The present study evaluated the role of PS-MP induced oxidative stress on spermatogenesis and consequent fertility in male rats. Five groups of Wistar albino rats, each consisting of seven animals, were formed. Group I served as the sham-treated control, while Groups II-V received oral administrations of 5, 50, 500, and 5000 µg/kg body weight (</w:t>
      </w:r>
      <w:proofErr w:type="spellStart"/>
      <w:r w:rsidRPr="003D0D77">
        <w:rPr>
          <w:rFonts w:ascii="Times New Roman" w:hAnsi="Times New Roman" w:cs="Times New Roman"/>
          <w:color w:val="000000" w:themeColor="text1"/>
          <w:lang w:val="en-GB"/>
        </w:rPr>
        <w:t>b.w.</w:t>
      </w:r>
      <w:proofErr w:type="spellEnd"/>
      <w:r w:rsidRPr="003D0D77">
        <w:rPr>
          <w:rFonts w:ascii="Times New Roman" w:hAnsi="Times New Roman" w:cs="Times New Roman"/>
          <w:color w:val="000000" w:themeColor="text1"/>
          <w:lang w:val="en-GB"/>
        </w:rPr>
        <w:t>) of PS-MPs, respectively, for 120 days.</w:t>
      </w:r>
      <w:r w:rsidR="00072AD2">
        <w:rPr>
          <w:rFonts w:ascii="Times New Roman" w:hAnsi="Times New Roman" w:cs="Times New Roman"/>
          <w:color w:val="000000" w:themeColor="text1"/>
          <w:lang w:val="en-GB"/>
        </w:rPr>
        <w:t xml:space="preserve"> </w:t>
      </w:r>
      <w:r w:rsidRPr="003D0D77">
        <w:rPr>
          <w:rFonts w:ascii="Times New Roman" w:hAnsi="Times New Roman" w:cs="Times New Roman"/>
          <w:color w:val="000000" w:themeColor="text1"/>
          <w:lang w:val="en-GB"/>
        </w:rPr>
        <w:t xml:space="preserve">Fertility rates and testicular functions, specifically spermatogenic activity, were assessed using stereological and histological analyses. Oxidative stress in testicular tissues was evaluated to determine its potential impact on testicular function. Results showed a significant decline in testicular weight across all treated groups compared to controls, irrespective of the PS-MP dose. Notably, a maximum fertility reduction of 30% was observed in rats treated with 5000 µg/kg </w:t>
      </w:r>
      <w:proofErr w:type="spellStart"/>
      <w:r w:rsidRPr="003D0D77">
        <w:rPr>
          <w:rFonts w:ascii="Times New Roman" w:hAnsi="Times New Roman" w:cs="Times New Roman"/>
          <w:color w:val="000000" w:themeColor="text1"/>
          <w:lang w:val="en-GB"/>
        </w:rPr>
        <w:t>b.w.</w:t>
      </w:r>
      <w:proofErr w:type="spellEnd"/>
      <w:r w:rsidRPr="003D0D77">
        <w:rPr>
          <w:rFonts w:ascii="Times New Roman" w:hAnsi="Times New Roman" w:cs="Times New Roman"/>
          <w:color w:val="000000" w:themeColor="text1"/>
          <w:lang w:val="en-GB"/>
        </w:rPr>
        <w:t xml:space="preserve"> of PS-MPs after 120 days. Groups exposed to lower doses exhibited a 10–20% decrease in fertility compared to controls.</w:t>
      </w:r>
      <w:r w:rsidR="00072AD2">
        <w:rPr>
          <w:rFonts w:ascii="Times New Roman" w:hAnsi="Times New Roman" w:cs="Times New Roman"/>
          <w:color w:val="000000" w:themeColor="text1"/>
          <w:lang w:val="en-GB"/>
        </w:rPr>
        <w:t xml:space="preserve"> </w:t>
      </w:r>
      <w:r w:rsidRPr="003D0D77">
        <w:rPr>
          <w:rFonts w:ascii="Times New Roman" w:hAnsi="Times New Roman" w:cs="Times New Roman"/>
          <w:color w:val="000000" w:themeColor="text1"/>
          <w:lang w:val="en-GB"/>
        </w:rPr>
        <w:t>Stereological analysis revealed substantial reductions (40-50%) in the volumes of spermatogonia and spermatids, while the number of spermatocytes remained largely unaffected. Histological examination indicated depleted luminal contents with fewer spermatozoa in higher-dose groups. Furthermore, more than a 50% decrease in glutathione (GSH) levels, accompanied by significant reductions in the enzymatic activities of glutathione peroxidase (</w:t>
      </w:r>
      <w:proofErr w:type="spellStart"/>
      <w:r w:rsidRPr="003D0D77">
        <w:rPr>
          <w:rFonts w:ascii="Times New Roman" w:hAnsi="Times New Roman" w:cs="Times New Roman"/>
          <w:color w:val="000000" w:themeColor="text1"/>
          <w:lang w:val="en-GB"/>
        </w:rPr>
        <w:t>GPx</w:t>
      </w:r>
      <w:proofErr w:type="spellEnd"/>
      <w:r w:rsidRPr="003D0D77">
        <w:rPr>
          <w:rFonts w:ascii="Times New Roman" w:hAnsi="Times New Roman" w:cs="Times New Roman"/>
          <w:color w:val="000000" w:themeColor="text1"/>
          <w:lang w:val="en-GB"/>
        </w:rPr>
        <w:t xml:space="preserve">), superoxide dismutase (SOD), and catalase (CAT), was evident in testicular tissues of rats treated with 500 and 5000 µg/kg </w:t>
      </w:r>
      <w:proofErr w:type="spellStart"/>
      <w:r w:rsidRPr="003D0D77">
        <w:rPr>
          <w:rFonts w:ascii="Times New Roman" w:hAnsi="Times New Roman" w:cs="Times New Roman"/>
          <w:color w:val="000000" w:themeColor="text1"/>
          <w:lang w:val="en-GB"/>
        </w:rPr>
        <w:t>b.w.</w:t>
      </w:r>
      <w:proofErr w:type="spellEnd"/>
      <w:r w:rsidRPr="003D0D77">
        <w:rPr>
          <w:rFonts w:ascii="Times New Roman" w:hAnsi="Times New Roman" w:cs="Times New Roman"/>
          <w:color w:val="000000" w:themeColor="text1"/>
          <w:lang w:val="en-GB"/>
        </w:rPr>
        <w:t xml:space="preserve"> of PS-MPs.</w:t>
      </w:r>
      <w:r w:rsidR="00072AD2">
        <w:rPr>
          <w:rFonts w:ascii="Times New Roman" w:hAnsi="Times New Roman" w:cs="Times New Roman"/>
          <w:color w:val="000000" w:themeColor="text1"/>
          <w:lang w:val="en-GB"/>
        </w:rPr>
        <w:t xml:space="preserve"> </w:t>
      </w:r>
      <w:r w:rsidRPr="003D0D77">
        <w:rPr>
          <w:rFonts w:ascii="Times New Roman" w:hAnsi="Times New Roman" w:cs="Times New Roman"/>
          <w:color w:val="000000" w:themeColor="text1"/>
          <w:lang w:val="en-GB"/>
        </w:rPr>
        <w:t xml:space="preserve">In conclusion, PS-MPs significantly impair spermatogenic performance, leading to reductions in germ cell populations and sperm production. This disruption in spermatogenesis contributes to decreased fertility rates and potential regression in testicular development. Further research </w:t>
      </w:r>
      <w:r w:rsidRPr="003D0D77">
        <w:rPr>
          <w:rFonts w:ascii="Times New Roman" w:hAnsi="Times New Roman" w:cs="Times New Roman"/>
          <w:color w:val="000000" w:themeColor="text1"/>
          <w:lang w:val="en-GB"/>
        </w:rPr>
        <w:lastRenderedPageBreak/>
        <w:t>on the long-term effects of microplastics is warranted to better understand their implications for reproductive health and population dynamics.</w:t>
      </w:r>
    </w:p>
    <w:p w14:paraId="2DBCCF96" w14:textId="184AE333" w:rsidR="002C1EAA" w:rsidRPr="005C1BB0" w:rsidRDefault="002C1EAA" w:rsidP="002C1EA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Key words: PS-MPs, spermatogenesis, stereological evaluation, oxidative stress</w:t>
      </w:r>
    </w:p>
    <w:p w14:paraId="4613E9BF" w14:textId="77777777" w:rsidR="0057427A" w:rsidRDefault="0057427A" w:rsidP="00F21959">
      <w:pPr>
        <w:spacing w:before="120" w:after="120" w:line="480" w:lineRule="auto"/>
        <w:jc w:val="both"/>
        <w:rPr>
          <w:rFonts w:ascii="Times New Roman" w:hAnsi="Times New Roman" w:cs="Times New Roman"/>
          <w:color w:val="000000" w:themeColor="text1"/>
          <w:lang w:val="en-GB"/>
        </w:rPr>
      </w:pPr>
    </w:p>
    <w:p w14:paraId="7447BBBF" w14:textId="77777777" w:rsidR="00B20791" w:rsidRPr="005C1BB0" w:rsidRDefault="00B20791" w:rsidP="00F21959">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Introduction</w:t>
      </w:r>
    </w:p>
    <w:p w14:paraId="7EFA8778" w14:textId="77777777" w:rsidR="00F21959" w:rsidRPr="005C1BB0" w:rsidRDefault="00142977"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Microplastics are ubiquitously present in the environment including marine, freshwater, soil and </w:t>
      </w:r>
      <w:proofErr w:type="gramStart"/>
      <w:r w:rsidRPr="005C1BB0">
        <w:rPr>
          <w:rFonts w:ascii="Times New Roman" w:hAnsi="Times New Roman" w:cs="Times New Roman"/>
          <w:color w:val="000000" w:themeColor="text1"/>
          <w:lang w:val="en-GB"/>
        </w:rPr>
        <w:t>air</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1]</w:t>
      </w:r>
      <w:r w:rsidRPr="005C1BB0">
        <w:rPr>
          <w:rFonts w:ascii="Times New Roman" w:hAnsi="Times New Roman" w:cs="Times New Roman"/>
          <w:color w:val="000000" w:themeColor="text1"/>
          <w:lang w:val="en-GB"/>
        </w:rPr>
        <w:t xml:space="preserve">. </w:t>
      </w:r>
      <w:r w:rsidR="000A21F4" w:rsidRPr="005C1BB0">
        <w:rPr>
          <w:rFonts w:ascii="Times New Roman" w:hAnsi="Times New Roman" w:cs="Times New Roman"/>
          <w:color w:val="000000" w:themeColor="text1"/>
          <w:lang w:val="en-GB"/>
        </w:rPr>
        <w:t xml:space="preserve">Interestingly and scaringly, presence of microplastics has also been found in snow and rain water </w:t>
      </w:r>
      <w:r w:rsidR="007C74FF" w:rsidRPr="005C1BB0">
        <w:rPr>
          <w:rFonts w:ascii="Times New Roman" w:hAnsi="Times New Roman" w:cs="Times New Roman"/>
          <w:color w:val="000000" w:themeColor="text1"/>
          <w:lang w:val="en-GB"/>
        </w:rPr>
        <w:t>[2-3]</w:t>
      </w:r>
      <w:r w:rsidR="000A21F4" w:rsidRPr="005C1BB0">
        <w:rPr>
          <w:rFonts w:ascii="Times New Roman" w:hAnsi="Times New Roman" w:cs="Times New Roman"/>
          <w:color w:val="000000" w:themeColor="text1"/>
          <w:lang w:val="en-GB"/>
        </w:rPr>
        <w:t xml:space="preserve">. </w:t>
      </w:r>
      <w:r w:rsidRPr="005C1BB0">
        <w:rPr>
          <w:rFonts w:ascii="Times New Roman" w:hAnsi="Times New Roman" w:cs="Times New Roman"/>
          <w:color w:val="000000" w:themeColor="text1"/>
          <w:lang w:val="en-GB"/>
        </w:rPr>
        <w:t>In the 20</w:t>
      </w:r>
      <w:r w:rsidRPr="005C1BB0">
        <w:rPr>
          <w:rFonts w:ascii="Times New Roman" w:hAnsi="Times New Roman" w:cs="Times New Roman"/>
          <w:color w:val="000000" w:themeColor="text1"/>
          <w:vertAlign w:val="superscript"/>
          <w:lang w:val="en-GB"/>
        </w:rPr>
        <w:t>th</w:t>
      </w:r>
      <w:r w:rsidRPr="005C1BB0">
        <w:rPr>
          <w:rFonts w:ascii="Times New Roman" w:hAnsi="Times New Roman" w:cs="Times New Roman"/>
          <w:color w:val="000000" w:themeColor="text1"/>
          <w:lang w:val="en-GB"/>
        </w:rPr>
        <w:t xml:space="preserve"> century</w:t>
      </w:r>
      <w:r w:rsidR="000A21F4" w:rsidRPr="005C1BB0">
        <w:rPr>
          <w:rFonts w:ascii="Times New Roman" w:hAnsi="Times New Roman" w:cs="Times New Roman"/>
          <w:color w:val="000000" w:themeColor="text1"/>
          <w:lang w:val="en-GB"/>
        </w:rPr>
        <w:t>,</w:t>
      </w:r>
      <w:r w:rsidRPr="005C1BB0">
        <w:rPr>
          <w:rFonts w:ascii="Times New Roman" w:hAnsi="Times New Roman" w:cs="Times New Roman"/>
          <w:color w:val="000000" w:themeColor="text1"/>
          <w:lang w:val="en-GB"/>
        </w:rPr>
        <w:t xml:space="preserve"> plastics and plastic</w:t>
      </w:r>
      <w:r w:rsidR="000A21F4" w:rsidRPr="005C1BB0">
        <w:rPr>
          <w:rFonts w:ascii="Times New Roman" w:hAnsi="Times New Roman" w:cs="Times New Roman"/>
          <w:color w:val="000000" w:themeColor="text1"/>
          <w:lang w:val="en-GB"/>
        </w:rPr>
        <w:t xml:space="preserve"> products</w:t>
      </w:r>
      <w:r w:rsidRPr="005C1BB0">
        <w:rPr>
          <w:rFonts w:ascii="Times New Roman" w:hAnsi="Times New Roman" w:cs="Times New Roman"/>
          <w:color w:val="000000" w:themeColor="text1"/>
          <w:lang w:val="en-GB"/>
        </w:rPr>
        <w:t xml:space="preserve"> were used extensively </w:t>
      </w:r>
      <w:r w:rsidR="000A21F4" w:rsidRPr="005C1BB0">
        <w:rPr>
          <w:rFonts w:ascii="Times New Roman" w:hAnsi="Times New Roman" w:cs="Times New Roman"/>
          <w:color w:val="000000" w:themeColor="text1"/>
          <w:lang w:val="en-GB"/>
        </w:rPr>
        <w:t xml:space="preserve">without </w:t>
      </w:r>
      <w:r w:rsidR="009738D2" w:rsidRPr="005C1BB0">
        <w:rPr>
          <w:rFonts w:ascii="Times New Roman" w:hAnsi="Times New Roman" w:cs="Times New Roman"/>
          <w:color w:val="000000" w:themeColor="text1"/>
          <w:lang w:val="en-GB"/>
        </w:rPr>
        <w:t xml:space="preserve">any robust </w:t>
      </w:r>
      <w:proofErr w:type="spellStart"/>
      <w:proofErr w:type="gramStart"/>
      <w:r w:rsidR="000A21F4" w:rsidRPr="005C1BB0">
        <w:rPr>
          <w:rFonts w:ascii="Times New Roman" w:hAnsi="Times New Roman" w:cs="Times New Roman"/>
          <w:color w:val="000000" w:themeColor="text1"/>
          <w:lang w:val="en-GB"/>
        </w:rPr>
        <w:t>restriction</w:t>
      </w:r>
      <w:r w:rsidR="009738D2" w:rsidRPr="005C1BB0">
        <w:rPr>
          <w:rFonts w:ascii="Times New Roman" w:hAnsi="Times New Roman" w:cs="Times New Roman"/>
          <w:color w:val="000000" w:themeColor="text1"/>
          <w:lang w:val="en-GB"/>
        </w:rPr>
        <w:t>.D</w:t>
      </w:r>
      <w:r w:rsidRPr="005C1BB0">
        <w:rPr>
          <w:rFonts w:ascii="Times New Roman" w:hAnsi="Times New Roman" w:cs="Times New Roman"/>
          <w:color w:val="000000" w:themeColor="text1"/>
          <w:lang w:val="en-GB"/>
        </w:rPr>
        <w:t>ue</w:t>
      </w:r>
      <w:proofErr w:type="spellEnd"/>
      <w:proofErr w:type="gramEnd"/>
      <w:r w:rsidRPr="005C1BB0">
        <w:rPr>
          <w:rFonts w:ascii="Times New Roman" w:hAnsi="Times New Roman" w:cs="Times New Roman"/>
          <w:color w:val="000000" w:themeColor="text1"/>
          <w:lang w:val="en-GB"/>
        </w:rPr>
        <w:t xml:space="preserve"> to its </w:t>
      </w:r>
      <w:r w:rsidR="009738D2" w:rsidRPr="005C1BB0">
        <w:rPr>
          <w:rFonts w:ascii="Times New Roman" w:hAnsi="Times New Roman" w:cs="Times New Roman"/>
          <w:color w:val="000000" w:themeColor="text1"/>
          <w:lang w:val="en-GB"/>
        </w:rPr>
        <w:t xml:space="preserve">light weight, </w:t>
      </w:r>
      <w:r w:rsidRPr="005C1BB0">
        <w:rPr>
          <w:rFonts w:ascii="Times New Roman" w:hAnsi="Times New Roman" w:cs="Times New Roman"/>
          <w:color w:val="000000" w:themeColor="text1"/>
          <w:lang w:val="en-GB"/>
        </w:rPr>
        <w:t xml:space="preserve">low density, low thermal and electrical conductivity and </w:t>
      </w:r>
      <w:proofErr w:type="spellStart"/>
      <w:r w:rsidRPr="005C1BB0">
        <w:rPr>
          <w:rFonts w:ascii="Times New Roman" w:hAnsi="Times New Roman" w:cs="Times New Roman"/>
          <w:color w:val="000000" w:themeColor="text1"/>
          <w:lang w:val="en-GB"/>
        </w:rPr>
        <w:t>resistan</w:t>
      </w:r>
      <w:r w:rsidR="009738D2" w:rsidRPr="005C1BB0">
        <w:rPr>
          <w:rFonts w:ascii="Times New Roman" w:hAnsi="Times New Roman" w:cs="Times New Roman"/>
          <w:color w:val="000000" w:themeColor="text1"/>
          <w:lang w:val="en-GB"/>
        </w:rPr>
        <w:t>ceagainst</w:t>
      </w:r>
      <w:proofErr w:type="spellEnd"/>
      <w:r w:rsidRPr="005C1BB0">
        <w:rPr>
          <w:rFonts w:ascii="Times New Roman" w:hAnsi="Times New Roman" w:cs="Times New Roman"/>
          <w:color w:val="000000" w:themeColor="text1"/>
          <w:lang w:val="en-GB"/>
        </w:rPr>
        <w:t xml:space="preserve"> </w:t>
      </w:r>
      <w:proofErr w:type="spellStart"/>
      <w:r w:rsidRPr="005C1BB0">
        <w:rPr>
          <w:rFonts w:ascii="Times New Roman" w:hAnsi="Times New Roman" w:cs="Times New Roman"/>
          <w:color w:val="000000" w:themeColor="text1"/>
          <w:lang w:val="en-GB"/>
        </w:rPr>
        <w:t>rusting</w:t>
      </w:r>
      <w:r w:rsidR="009738D2" w:rsidRPr="005C1BB0">
        <w:rPr>
          <w:rFonts w:ascii="Times New Roman" w:hAnsi="Times New Roman" w:cs="Times New Roman"/>
          <w:color w:val="000000" w:themeColor="text1"/>
          <w:lang w:val="en-GB"/>
        </w:rPr>
        <w:t>,encouraged</w:t>
      </w:r>
      <w:proofErr w:type="spellEnd"/>
      <w:r w:rsidR="009738D2" w:rsidRPr="005C1BB0">
        <w:rPr>
          <w:rFonts w:ascii="Times New Roman" w:hAnsi="Times New Roman" w:cs="Times New Roman"/>
          <w:color w:val="000000" w:themeColor="text1"/>
          <w:lang w:val="en-GB"/>
        </w:rPr>
        <w:t xml:space="preserve"> industries for maximum use </w:t>
      </w:r>
      <w:r w:rsidR="007C74FF" w:rsidRPr="005C1BB0">
        <w:rPr>
          <w:rFonts w:ascii="Times New Roman" w:hAnsi="Times New Roman" w:cs="Times New Roman"/>
          <w:color w:val="000000" w:themeColor="text1"/>
          <w:lang w:val="en-GB"/>
        </w:rPr>
        <w:t>[4]</w:t>
      </w:r>
      <w:r w:rsidRPr="005C1BB0">
        <w:rPr>
          <w:rFonts w:ascii="Times New Roman" w:hAnsi="Times New Roman" w:cs="Times New Roman"/>
          <w:color w:val="000000" w:themeColor="text1"/>
          <w:lang w:val="en-GB"/>
        </w:rPr>
        <w:t xml:space="preserve">. </w:t>
      </w:r>
      <w:r w:rsidR="00E14056" w:rsidRPr="005C1BB0">
        <w:rPr>
          <w:rFonts w:ascii="Times New Roman" w:hAnsi="Times New Roman" w:cs="Times New Roman"/>
          <w:color w:val="000000" w:themeColor="text1"/>
          <w:lang w:val="en-GB"/>
        </w:rPr>
        <w:t xml:space="preserve">Production and applications of plastics have grown substantially in </w:t>
      </w:r>
      <w:r w:rsidR="009738D2" w:rsidRPr="005C1BB0">
        <w:rPr>
          <w:rFonts w:ascii="Times New Roman" w:hAnsi="Times New Roman" w:cs="Times New Roman"/>
          <w:color w:val="000000" w:themeColor="text1"/>
          <w:lang w:val="en-GB"/>
        </w:rPr>
        <w:t xml:space="preserve">the </w:t>
      </w:r>
      <w:r w:rsidR="00E14056" w:rsidRPr="005C1BB0">
        <w:rPr>
          <w:rFonts w:ascii="Times New Roman" w:hAnsi="Times New Roman" w:cs="Times New Roman"/>
          <w:color w:val="000000" w:themeColor="text1"/>
          <w:lang w:val="en-GB"/>
        </w:rPr>
        <w:t xml:space="preserve">last five decades, </w:t>
      </w:r>
      <w:r w:rsidR="009738D2" w:rsidRPr="005C1BB0">
        <w:rPr>
          <w:rFonts w:ascii="Times New Roman" w:hAnsi="Times New Roman" w:cs="Times New Roman"/>
          <w:color w:val="000000" w:themeColor="text1"/>
          <w:lang w:val="en-GB"/>
        </w:rPr>
        <w:t xml:space="preserve">based on the report published by Statista </w:t>
      </w:r>
      <w:r w:rsidR="007C74FF" w:rsidRPr="005C1BB0">
        <w:rPr>
          <w:rFonts w:ascii="Times New Roman" w:hAnsi="Times New Roman" w:cs="Times New Roman"/>
          <w:color w:val="000000" w:themeColor="text1"/>
          <w:lang w:val="en-GB"/>
        </w:rPr>
        <w:t>[5]</w:t>
      </w:r>
      <w:r w:rsidR="009738D2" w:rsidRPr="005C1BB0">
        <w:rPr>
          <w:rFonts w:ascii="Times New Roman" w:hAnsi="Times New Roman" w:cs="Times New Roman"/>
          <w:color w:val="000000" w:themeColor="text1"/>
          <w:lang w:val="en-GB"/>
        </w:rPr>
        <w:t xml:space="preserve"> nearly</w:t>
      </w:r>
      <w:r w:rsidR="0003055C" w:rsidRPr="005C1BB0">
        <w:rPr>
          <w:rFonts w:ascii="Times New Roman" w:hAnsi="Times New Roman" w:cs="Times New Roman"/>
          <w:color w:val="000000" w:themeColor="text1"/>
          <w:lang w:val="en-GB"/>
        </w:rPr>
        <w:t>4</w:t>
      </w:r>
      <w:r w:rsidR="009738D2" w:rsidRPr="005C1BB0">
        <w:rPr>
          <w:rFonts w:ascii="Times New Roman" w:hAnsi="Times New Roman" w:cs="Times New Roman"/>
          <w:color w:val="000000" w:themeColor="text1"/>
          <w:lang w:val="en-GB"/>
        </w:rPr>
        <w:t>5</w:t>
      </w:r>
      <w:r w:rsidR="0003055C" w:rsidRPr="005C1BB0">
        <w:rPr>
          <w:rFonts w:ascii="Times New Roman" w:hAnsi="Times New Roman" w:cs="Times New Roman"/>
          <w:color w:val="000000" w:themeColor="text1"/>
          <w:lang w:val="en-GB"/>
        </w:rPr>
        <w:t>0</w:t>
      </w:r>
      <w:r w:rsidR="00E14056" w:rsidRPr="005C1BB0">
        <w:rPr>
          <w:rFonts w:ascii="Times New Roman" w:hAnsi="Times New Roman" w:cs="Times New Roman"/>
          <w:color w:val="000000" w:themeColor="text1"/>
          <w:lang w:val="en-GB"/>
        </w:rPr>
        <w:t xml:space="preserve"> million </w:t>
      </w:r>
      <w:proofErr w:type="spellStart"/>
      <w:r w:rsidR="00E14056" w:rsidRPr="005C1BB0">
        <w:rPr>
          <w:rFonts w:ascii="Times New Roman" w:hAnsi="Times New Roman" w:cs="Times New Roman"/>
          <w:color w:val="000000" w:themeColor="text1"/>
          <w:lang w:val="en-GB"/>
        </w:rPr>
        <w:t>tonnes</w:t>
      </w:r>
      <w:r w:rsidR="009738D2" w:rsidRPr="005C1BB0">
        <w:rPr>
          <w:rFonts w:ascii="Times New Roman" w:hAnsi="Times New Roman" w:cs="Times New Roman"/>
          <w:color w:val="000000" w:themeColor="text1"/>
          <w:lang w:val="en-GB"/>
        </w:rPr>
        <w:t>of</w:t>
      </w:r>
      <w:proofErr w:type="spellEnd"/>
      <w:r w:rsidR="009738D2" w:rsidRPr="005C1BB0">
        <w:rPr>
          <w:rFonts w:ascii="Times New Roman" w:hAnsi="Times New Roman" w:cs="Times New Roman"/>
          <w:color w:val="000000" w:themeColor="text1"/>
          <w:lang w:val="en-GB"/>
        </w:rPr>
        <w:t xml:space="preserve"> plastic produced in year 2023</w:t>
      </w:r>
      <w:r w:rsidR="00E14056" w:rsidRPr="005C1BB0">
        <w:rPr>
          <w:rFonts w:ascii="Times New Roman" w:hAnsi="Times New Roman" w:cs="Times New Roman"/>
          <w:color w:val="000000" w:themeColor="text1"/>
          <w:lang w:val="en-GB"/>
        </w:rPr>
        <w:t>.</w:t>
      </w:r>
      <w:r w:rsidR="00B413FD" w:rsidRPr="005C1BB0">
        <w:rPr>
          <w:rFonts w:ascii="Times New Roman" w:hAnsi="Times New Roman" w:cs="Times New Roman"/>
          <w:color w:val="000000" w:themeColor="text1"/>
          <w:lang w:val="en-GB"/>
        </w:rPr>
        <w:t xml:space="preserve">Biodegradability of plastics are </w:t>
      </w:r>
      <w:r w:rsidR="00926357" w:rsidRPr="005C1BB0">
        <w:rPr>
          <w:rFonts w:ascii="Times New Roman" w:hAnsi="Times New Roman" w:cs="Times New Roman"/>
          <w:color w:val="000000" w:themeColor="text1"/>
          <w:lang w:val="en-GB"/>
        </w:rPr>
        <w:t>low;</w:t>
      </w:r>
      <w:r w:rsidR="00B413FD" w:rsidRPr="005C1BB0">
        <w:rPr>
          <w:rFonts w:ascii="Times New Roman" w:hAnsi="Times New Roman" w:cs="Times New Roman"/>
          <w:color w:val="000000" w:themeColor="text1"/>
          <w:lang w:val="en-GB"/>
        </w:rPr>
        <w:t xml:space="preserve"> however, it disintegrates into fragments, turning in micro- and nano-plastics. </w:t>
      </w:r>
    </w:p>
    <w:p w14:paraId="6C2BF4D0" w14:textId="77777777" w:rsidR="00B20791" w:rsidRPr="005C1BB0" w:rsidRDefault="009738D2"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The fragments of plastics having a diameter of less than or equal to 5 mm</w:t>
      </w:r>
      <w:r w:rsidR="000A47BF" w:rsidRPr="005C1BB0">
        <w:rPr>
          <w:rFonts w:ascii="Times New Roman" w:hAnsi="Times New Roman" w:cs="Times New Roman"/>
          <w:color w:val="000000" w:themeColor="text1"/>
          <w:lang w:val="en-GB"/>
        </w:rPr>
        <w:t>, and 1000 nm are regarded as microplastics</w:t>
      </w:r>
      <w:r w:rsidR="00BE4300" w:rsidRPr="005C1BB0">
        <w:rPr>
          <w:rFonts w:ascii="Times New Roman" w:hAnsi="Times New Roman" w:cs="Times New Roman"/>
          <w:color w:val="000000" w:themeColor="text1"/>
          <w:lang w:val="en-GB"/>
        </w:rPr>
        <w:t xml:space="preserve"> (MPs)</w:t>
      </w:r>
      <w:r w:rsidR="000A47BF" w:rsidRPr="005C1BB0">
        <w:rPr>
          <w:rFonts w:ascii="Times New Roman" w:hAnsi="Times New Roman" w:cs="Times New Roman"/>
          <w:color w:val="000000" w:themeColor="text1"/>
          <w:lang w:val="en-GB"/>
        </w:rPr>
        <w:t xml:space="preserve"> and nano-plastics</w:t>
      </w:r>
      <w:r w:rsidR="00BE4300" w:rsidRPr="005C1BB0">
        <w:rPr>
          <w:rFonts w:ascii="Times New Roman" w:hAnsi="Times New Roman" w:cs="Times New Roman"/>
          <w:color w:val="000000" w:themeColor="text1"/>
          <w:lang w:val="en-GB"/>
        </w:rPr>
        <w:t xml:space="preserve"> (NPs</w:t>
      </w:r>
      <w:proofErr w:type="gramStart"/>
      <w:r w:rsidR="00BE4300" w:rsidRPr="005C1BB0">
        <w:rPr>
          <w:rFonts w:ascii="Times New Roman" w:hAnsi="Times New Roman" w:cs="Times New Roman"/>
          <w:color w:val="000000" w:themeColor="text1"/>
          <w:lang w:val="en-GB"/>
        </w:rPr>
        <w:t>)</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6]</w:t>
      </w:r>
      <w:r w:rsidR="000A47BF" w:rsidRPr="005C1BB0">
        <w:rPr>
          <w:rFonts w:ascii="Times New Roman" w:hAnsi="Times New Roman" w:cs="Times New Roman"/>
          <w:color w:val="000000" w:themeColor="text1"/>
          <w:lang w:val="en-GB"/>
        </w:rPr>
        <w:t>.</w:t>
      </w:r>
      <w:r w:rsidR="00D41521" w:rsidRPr="005C1BB0">
        <w:rPr>
          <w:rFonts w:ascii="Times New Roman" w:hAnsi="Times New Roman" w:cs="Times New Roman"/>
          <w:color w:val="000000" w:themeColor="text1"/>
          <w:lang w:val="en-GB"/>
        </w:rPr>
        <w:t xml:space="preserve"> It may enter human body through inhalation, </w:t>
      </w:r>
      <w:r w:rsidR="00000CF0" w:rsidRPr="005C1BB0">
        <w:rPr>
          <w:rFonts w:ascii="Times New Roman" w:hAnsi="Times New Roman" w:cs="Times New Roman"/>
          <w:color w:val="000000" w:themeColor="text1"/>
          <w:lang w:val="en-GB"/>
        </w:rPr>
        <w:t>ingestion and open wound.</w:t>
      </w:r>
      <w:r w:rsidR="000A47BF" w:rsidRPr="005C1BB0">
        <w:rPr>
          <w:rFonts w:ascii="Times New Roman" w:hAnsi="Times New Roman" w:cs="Times New Roman"/>
          <w:color w:val="000000" w:themeColor="text1"/>
          <w:lang w:val="en-GB"/>
        </w:rPr>
        <w:t xml:space="preserve"> It </w:t>
      </w:r>
      <w:r w:rsidR="00000CF0" w:rsidRPr="005C1BB0">
        <w:rPr>
          <w:rFonts w:ascii="Times New Roman" w:hAnsi="Times New Roman" w:cs="Times New Roman"/>
          <w:color w:val="000000" w:themeColor="text1"/>
          <w:lang w:val="en-GB"/>
        </w:rPr>
        <w:t xml:space="preserve">is </w:t>
      </w:r>
      <w:r w:rsidR="000A47BF" w:rsidRPr="005C1BB0">
        <w:rPr>
          <w:rFonts w:ascii="Times New Roman" w:hAnsi="Times New Roman" w:cs="Times New Roman"/>
          <w:color w:val="000000" w:themeColor="text1"/>
          <w:lang w:val="en-GB"/>
        </w:rPr>
        <w:t xml:space="preserve">important to note that </w:t>
      </w:r>
      <w:r w:rsidR="00D41521" w:rsidRPr="005C1BB0">
        <w:rPr>
          <w:rFonts w:ascii="Times New Roman" w:hAnsi="Times New Roman" w:cs="Times New Roman"/>
          <w:color w:val="000000" w:themeColor="text1"/>
          <w:lang w:val="en-GB"/>
        </w:rPr>
        <w:t xml:space="preserve">ultra small size of particles have higher uptake </w:t>
      </w:r>
      <w:r w:rsidR="006728A4" w:rsidRPr="005C1BB0">
        <w:rPr>
          <w:rFonts w:ascii="Times New Roman" w:hAnsi="Times New Roman" w:cs="Times New Roman"/>
          <w:color w:val="000000" w:themeColor="text1"/>
          <w:lang w:val="en-GB"/>
        </w:rPr>
        <w:t xml:space="preserve">rate </w:t>
      </w:r>
      <w:r w:rsidR="00D41521" w:rsidRPr="005C1BB0">
        <w:rPr>
          <w:rFonts w:ascii="Times New Roman" w:hAnsi="Times New Roman" w:cs="Times New Roman"/>
          <w:color w:val="000000" w:themeColor="text1"/>
          <w:lang w:val="en-GB"/>
        </w:rPr>
        <w:t xml:space="preserve">in </w:t>
      </w:r>
      <w:proofErr w:type="spellStart"/>
      <w:r w:rsidR="00D41521" w:rsidRPr="005C1BB0">
        <w:rPr>
          <w:rFonts w:ascii="Times New Roman" w:hAnsi="Times New Roman" w:cs="Times New Roman"/>
          <w:color w:val="000000" w:themeColor="text1"/>
          <w:lang w:val="en-GB"/>
        </w:rPr>
        <w:t>cells</w:t>
      </w:r>
      <w:r w:rsidR="006728A4" w:rsidRPr="005C1BB0">
        <w:rPr>
          <w:rFonts w:ascii="Times New Roman" w:hAnsi="Times New Roman" w:cs="Times New Roman"/>
          <w:color w:val="000000" w:themeColor="text1"/>
          <w:lang w:val="en-GB"/>
        </w:rPr>
        <w:t>,according</w:t>
      </w:r>
      <w:proofErr w:type="spellEnd"/>
      <w:r w:rsidR="006728A4" w:rsidRPr="005C1BB0">
        <w:rPr>
          <w:rFonts w:ascii="Times New Roman" w:hAnsi="Times New Roman" w:cs="Times New Roman"/>
          <w:color w:val="000000" w:themeColor="text1"/>
          <w:lang w:val="en-GB"/>
        </w:rPr>
        <w:t xml:space="preserve"> to previous study these particles can move conveniently between</w:t>
      </w:r>
      <w:r w:rsidR="00D41521" w:rsidRPr="005C1BB0">
        <w:rPr>
          <w:rFonts w:ascii="Times New Roman" w:hAnsi="Times New Roman" w:cs="Times New Roman"/>
          <w:color w:val="000000" w:themeColor="text1"/>
          <w:lang w:val="en-GB"/>
        </w:rPr>
        <w:t xml:space="preserve"> tissue barriers </w:t>
      </w:r>
      <w:r w:rsidR="007C74FF" w:rsidRPr="005C1BB0">
        <w:rPr>
          <w:rFonts w:ascii="Times New Roman" w:hAnsi="Times New Roman" w:cs="Times New Roman"/>
          <w:color w:val="000000" w:themeColor="text1"/>
          <w:lang w:val="en-GB"/>
        </w:rPr>
        <w:t>[7]</w:t>
      </w:r>
      <w:r w:rsidR="00D41521" w:rsidRPr="005C1BB0">
        <w:rPr>
          <w:rFonts w:ascii="Times New Roman" w:hAnsi="Times New Roman" w:cs="Times New Roman"/>
          <w:color w:val="000000" w:themeColor="text1"/>
          <w:lang w:val="en-GB"/>
        </w:rPr>
        <w:t xml:space="preserve">. This is the </w:t>
      </w:r>
      <w:r w:rsidR="00000CF0" w:rsidRPr="005C1BB0">
        <w:rPr>
          <w:rFonts w:ascii="Times New Roman" w:hAnsi="Times New Roman" w:cs="Times New Roman"/>
          <w:color w:val="000000" w:themeColor="text1"/>
          <w:lang w:val="en-GB"/>
        </w:rPr>
        <w:t>most likely case</w:t>
      </w:r>
      <w:r w:rsidR="00D41521" w:rsidRPr="005C1BB0">
        <w:rPr>
          <w:rFonts w:ascii="Times New Roman" w:hAnsi="Times New Roman" w:cs="Times New Roman"/>
          <w:color w:val="000000" w:themeColor="text1"/>
          <w:lang w:val="en-GB"/>
        </w:rPr>
        <w:t xml:space="preserve"> behind </w:t>
      </w:r>
      <w:r w:rsidR="00000CF0" w:rsidRPr="005C1BB0">
        <w:rPr>
          <w:rFonts w:ascii="Times New Roman" w:hAnsi="Times New Roman" w:cs="Times New Roman"/>
          <w:color w:val="000000" w:themeColor="text1"/>
          <w:lang w:val="en-GB"/>
        </w:rPr>
        <w:t xml:space="preserve">most </w:t>
      </w:r>
      <w:r w:rsidR="00D41521" w:rsidRPr="005C1BB0">
        <w:rPr>
          <w:rFonts w:ascii="Times New Roman" w:hAnsi="Times New Roman" w:cs="Times New Roman"/>
          <w:color w:val="000000" w:themeColor="text1"/>
          <w:lang w:val="en-GB"/>
        </w:rPr>
        <w:t xml:space="preserve">adverse health effects </w:t>
      </w:r>
      <w:r w:rsidR="006728A4" w:rsidRPr="005C1BB0">
        <w:rPr>
          <w:rFonts w:ascii="Times New Roman" w:hAnsi="Times New Roman" w:cs="Times New Roman"/>
          <w:color w:val="000000" w:themeColor="text1"/>
          <w:lang w:val="en-GB"/>
        </w:rPr>
        <w:t xml:space="preserve">that is </w:t>
      </w:r>
      <w:r w:rsidR="00000CF0" w:rsidRPr="005C1BB0">
        <w:rPr>
          <w:rFonts w:ascii="Times New Roman" w:hAnsi="Times New Roman" w:cs="Times New Roman"/>
          <w:color w:val="000000" w:themeColor="text1"/>
          <w:lang w:val="en-GB"/>
        </w:rPr>
        <w:t xml:space="preserve">caused </w:t>
      </w:r>
      <w:proofErr w:type="spellStart"/>
      <w:r w:rsidR="00000CF0" w:rsidRPr="005C1BB0">
        <w:rPr>
          <w:rFonts w:ascii="Times New Roman" w:hAnsi="Times New Roman" w:cs="Times New Roman"/>
          <w:color w:val="000000" w:themeColor="text1"/>
          <w:lang w:val="en-GB"/>
        </w:rPr>
        <w:t>by</w:t>
      </w:r>
      <w:r w:rsidR="00C80D0E" w:rsidRPr="005C1BB0">
        <w:rPr>
          <w:rFonts w:ascii="Times New Roman" w:hAnsi="Times New Roman" w:cs="Times New Roman"/>
          <w:color w:val="000000" w:themeColor="text1"/>
          <w:lang w:val="en-GB"/>
        </w:rPr>
        <w:t>MPs</w:t>
      </w:r>
      <w:r w:rsidR="00000CF0" w:rsidRPr="005C1BB0">
        <w:rPr>
          <w:rFonts w:ascii="Times New Roman" w:hAnsi="Times New Roman" w:cs="Times New Roman"/>
          <w:color w:val="000000" w:themeColor="text1"/>
          <w:lang w:val="en-GB"/>
        </w:rPr>
        <w:t>among</w:t>
      </w:r>
      <w:proofErr w:type="spellEnd"/>
      <w:r w:rsidR="00D41521" w:rsidRPr="005C1BB0">
        <w:rPr>
          <w:rFonts w:ascii="Times New Roman" w:hAnsi="Times New Roman" w:cs="Times New Roman"/>
          <w:color w:val="000000" w:themeColor="text1"/>
          <w:lang w:val="en-GB"/>
        </w:rPr>
        <w:t xml:space="preserve"> human</w:t>
      </w:r>
      <w:r w:rsidR="00000CF0" w:rsidRPr="005C1BB0">
        <w:rPr>
          <w:rFonts w:ascii="Times New Roman" w:hAnsi="Times New Roman" w:cs="Times New Roman"/>
          <w:color w:val="000000" w:themeColor="text1"/>
          <w:lang w:val="en-GB"/>
        </w:rPr>
        <w:t>s</w:t>
      </w:r>
      <w:r w:rsidR="00D41521" w:rsidRPr="005C1BB0">
        <w:rPr>
          <w:rFonts w:ascii="Times New Roman" w:hAnsi="Times New Roman" w:cs="Times New Roman"/>
          <w:color w:val="000000" w:themeColor="text1"/>
          <w:lang w:val="en-GB"/>
        </w:rPr>
        <w:t xml:space="preserve">. </w:t>
      </w:r>
      <w:r w:rsidR="006728A4" w:rsidRPr="005C1BB0">
        <w:rPr>
          <w:rFonts w:ascii="Times New Roman" w:hAnsi="Times New Roman" w:cs="Times New Roman"/>
          <w:color w:val="000000" w:themeColor="text1"/>
          <w:lang w:val="en-GB"/>
        </w:rPr>
        <w:t xml:space="preserve">Many studies have reported that </w:t>
      </w:r>
      <w:proofErr w:type="spellStart"/>
      <w:r w:rsidR="006728A4" w:rsidRPr="005C1BB0">
        <w:rPr>
          <w:rFonts w:ascii="Times New Roman" w:hAnsi="Times New Roman" w:cs="Times New Roman"/>
          <w:color w:val="000000" w:themeColor="text1"/>
          <w:lang w:val="en-GB"/>
        </w:rPr>
        <w:t>endocytotic</w:t>
      </w:r>
      <w:proofErr w:type="spellEnd"/>
      <w:r w:rsidR="006728A4" w:rsidRPr="005C1BB0">
        <w:rPr>
          <w:rFonts w:ascii="Times New Roman" w:hAnsi="Times New Roman" w:cs="Times New Roman"/>
          <w:color w:val="000000" w:themeColor="text1"/>
          <w:lang w:val="en-GB"/>
        </w:rPr>
        <w:t xml:space="preserve"> pathways such as phagocytosis and micropinocytosis mediated uptake of micro- and nano-plastics </w:t>
      </w:r>
      <w:r w:rsidR="007C74FF" w:rsidRPr="005C1BB0">
        <w:rPr>
          <w:rFonts w:ascii="Times New Roman" w:hAnsi="Times New Roman" w:cs="Times New Roman"/>
          <w:color w:val="000000" w:themeColor="text1"/>
          <w:lang w:val="en-GB"/>
        </w:rPr>
        <w:t>[8-9]</w:t>
      </w:r>
      <w:r w:rsidR="006728A4" w:rsidRPr="005C1BB0">
        <w:rPr>
          <w:rFonts w:ascii="Times New Roman" w:hAnsi="Times New Roman" w:cs="Times New Roman"/>
          <w:color w:val="000000" w:themeColor="text1"/>
          <w:lang w:val="en-GB"/>
        </w:rPr>
        <w:t xml:space="preserve">. </w:t>
      </w:r>
      <w:r w:rsidR="005E4C37" w:rsidRPr="005C1BB0">
        <w:rPr>
          <w:rFonts w:ascii="Times New Roman" w:hAnsi="Times New Roman" w:cs="Times New Roman"/>
          <w:color w:val="000000" w:themeColor="text1"/>
          <w:lang w:val="en-GB"/>
        </w:rPr>
        <w:t xml:space="preserve">Once inside the cells it can induce several toxic effects such as inflammation </w:t>
      </w:r>
      <w:r w:rsidR="007C74FF" w:rsidRPr="005C1BB0">
        <w:rPr>
          <w:rFonts w:ascii="Times New Roman" w:hAnsi="Times New Roman" w:cs="Times New Roman"/>
          <w:color w:val="000000" w:themeColor="text1"/>
          <w:lang w:val="en-GB"/>
        </w:rPr>
        <w:t>[10]</w:t>
      </w:r>
      <w:r w:rsidR="005E4C37" w:rsidRPr="005C1BB0">
        <w:rPr>
          <w:rFonts w:ascii="Times New Roman" w:hAnsi="Times New Roman" w:cs="Times New Roman"/>
          <w:color w:val="000000" w:themeColor="text1"/>
          <w:lang w:val="en-GB"/>
        </w:rPr>
        <w:t xml:space="preserve">, oxidative stress </w:t>
      </w:r>
      <w:r w:rsidR="007C74FF" w:rsidRPr="005C1BB0">
        <w:rPr>
          <w:rFonts w:ascii="Times New Roman" w:hAnsi="Times New Roman" w:cs="Times New Roman"/>
          <w:color w:val="000000" w:themeColor="text1"/>
          <w:lang w:val="en-GB"/>
        </w:rPr>
        <w:t>[11]</w:t>
      </w:r>
      <w:r w:rsidR="005E4C37" w:rsidRPr="005C1BB0">
        <w:rPr>
          <w:rFonts w:ascii="Times New Roman" w:hAnsi="Times New Roman" w:cs="Times New Roman"/>
          <w:color w:val="000000" w:themeColor="text1"/>
          <w:lang w:val="en-GB"/>
        </w:rPr>
        <w:t xml:space="preserve">, apoptosis </w:t>
      </w:r>
      <w:r w:rsidR="007C74FF" w:rsidRPr="005C1BB0">
        <w:rPr>
          <w:rFonts w:ascii="Times New Roman" w:hAnsi="Times New Roman" w:cs="Times New Roman"/>
          <w:color w:val="000000" w:themeColor="text1"/>
          <w:lang w:val="en-GB"/>
        </w:rPr>
        <w:t>[12]</w:t>
      </w:r>
      <w:r w:rsidR="005E4C37" w:rsidRPr="005C1BB0">
        <w:rPr>
          <w:rFonts w:ascii="Times New Roman" w:hAnsi="Times New Roman" w:cs="Times New Roman"/>
          <w:color w:val="000000" w:themeColor="text1"/>
          <w:lang w:val="en-GB"/>
        </w:rPr>
        <w:t>.</w:t>
      </w:r>
      <w:r w:rsidR="00073E5B" w:rsidRPr="005C1BB0">
        <w:rPr>
          <w:rFonts w:ascii="Times New Roman" w:hAnsi="Times New Roman" w:cs="Times New Roman"/>
          <w:color w:val="000000" w:themeColor="text1"/>
          <w:lang w:val="en-GB"/>
        </w:rPr>
        <w:t xml:space="preserve"> Besides, previous studies have also </w:t>
      </w:r>
      <w:r w:rsidR="00073E5B" w:rsidRPr="005C1BB0">
        <w:rPr>
          <w:rFonts w:ascii="Times New Roman" w:hAnsi="Times New Roman" w:cs="Times New Roman"/>
          <w:color w:val="000000" w:themeColor="text1"/>
          <w:lang w:val="en-GB"/>
        </w:rPr>
        <w:lastRenderedPageBreak/>
        <w:t xml:space="preserve">claimed that micro- and nano-plastics can also interfere with metabolic pathways causing damages to </w:t>
      </w:r>
      <w:proofErr w:type="gramStart"/>
      <w:r w:rsidR="00073E5B" w:rsidRPr="005C1BB0">
        <w:rPr>
          <w:rFonts w:ascii="Times New Roman" w:hAnsi="Times New Roman" w:cs="Times New Roman"/>
          <w:color w:val="000000" w:themeColor="text1"/>
          <w:lang w:val="en-GB"/>
        </w:rPr>
        <w:t>lung</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13]</w:t>
      </w:r>
      <w:r w:rsidR="00073E5B" w:rsidRPr="005C1BB0">
        <w:rPr>
          <w:rFonts w:ascii="Times New Roman" w:hAnsi="Times New Roman" w:cs="Times New Roman"/>
          <w:color w:val="000000" w:themeColor="text1"/>
          <w:lang w:val="en-GB"/>
        </w:rPr>
        <w:t xml:space="preserve">and gut tissues </w:t>
      </w:r>
      <w:r w:rsidR="007C74FF" w:rsidRPr="005C1BB0">
        <w:rPr>
          <w:rFonts w:ascii="Times New Roman" w:hAnsi="Times New Roman" w:cs="Times New Roman"/>
          <w:color w:val="000000" w:themeColor="text1"/>
          <w:lang w:val="en-GB"/>
        </w:rPr>
        <w:t>[14]</w:t>
      </w:r>
      <w:r w:rsidR="00073E5B" w:rsidRPr="005C1BB0">
        <w:rPr>
          <w:rFonts w:ascii="Times New Roman" w:hAnsi="Times New Roman" w:cs="Times New Roman"/>
          <w:color w:val="000000" w:themeColor="text1"/>
          <w:lang w:val="en-GB"/>
        </w:rPr>
        <w:t>.</w:t>
      </w:r>
    </w:p>
    <w:p w14:paraId="6D5BB0E4" w14:textId="77777777" w:rsidR="000D577A" w:rsidRPr="005C1BB0" w:rsidRDefault="00C80D0E"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MPs</w:t>
      </w:r>
      <w:r w:rsidR="000D577A" w:rsidRPr="005C1BB0">
        <w:rPr>
          <w:rFonts w:ascii="Times New Roman" w:hAnsi="Times New Roman" w:cs="Times New Roman"/>
          <w:color w:val="000000" w:themeColor="text1"/>
          <w:lang w:val="en-GB"/>
        </w:rPr>
        <w:t xml:space="preserve"> have been associated with </w:t>
      </w:r>
      <w:r w:rsidR="000F501C" w:rsidRPr="005C1BB0">
        <w:rPr>
          <w:rFonts w:ascii="Times New Roman" w:hAnsi="Times New Roman" w:cs="Times New Roman"/>
          <w:color w:val="000000" w:themeColor="text1"/>
          <w:lang w:val="en-GB"/>
        </w:rPr>
        <w:t>in</w:t>
      </w:r>
      <w:r w:rsidR="000D577A" w:rsidRPr="005C1BB0">
        <w:rPr>
          <w:rFonts w:ascii="Times New Roman" w:hAnsi="Times New Roman" w:cs="Times New Roman"/>
          <w:color w:val="000000" w:themeColor="text1"/>
          <w:lang w:val="en-GB"/>
        </w:rPr>
        <w:t xml:space="preserve">fertility, and </w:t>
      </w:r>
      <w:r w:rsidR="000F501C" w:rsidRPr="005C1BB0">
        <w:rPr>
          <w:rFonts w:ascii="Times New Roman" w:hAnsi="Times New Roman" w:cs="Times New Roman"/>
          <w:color w:val="000000" w:themeColor="text1"/>
          <w:lang w:val="en-GB"/>
        </w:rPr>
        <w:t xml:space="preserve">adverse </w:t>
      </w:r>
      <w:r w:rsidR="000D577A" w:rsidRPr="005C1BB0">
        <w:rPr>
          <w:rFonts w:ascii="Times New Roman" w:hAnsi="Times New Roman" w:cs="Times New Roman"/>
          <w:color w:val="000000" w:themeColor="text1"/>
          <w:lang w:val="en-GB"/>
        </w:rPr>
        <w:t xml:space="preserve">pregnancy outcomes. A recent study by Hunt et al. </w:t>
      </w:r>
      <w:r w:rsidR="007C74FF" w:rsidRPr="005C1BB0">
        <w:rPr>
          <w:rFonts w:ascii="Times New Roman" w:hAnsi="Times New Roman" w:cs="Times New Roman"/>
          <w:color w:val="000000" w:themeColor="text1"/>
          <w:lang w:val="en-GB"/>
        </w:rPr>
        <w:t>[15]</w:t>
      </w:r>
      <w:r w:rsidR="000D577A" w:rsidRPr="005C1BB0">
        <w:rPr>
          <w:rFonts w:ascii="Times New Roman" w:hAnsi="Times New Roman" w:cs="Times New Roman"/>
          <w:color w:val="000000" w:themeColor="text1"/>
          <w:lang w:val="en-GB"/>
        </w:rPr>
        <w:t xml:space="preserve"> reported that </w:t>
      </w:r>
      <w:r w:rsidRPr="005C1BB0">
        <w:rPr>
          <w:rFonts w:ascii="Times New Roman" w:hAnsi="Times New Roman" w:cs="Times New Roman"/>
          <w:color w:val="000000" w:themeColor="text1"/>
          <w:lang w:val="en-GB"/>
        </w:rPr>
        <w:t>MPs</w:t>
      </w:r>
      <w:r w:rsidR="000D577A" w:rsidRPr="005C1BB0">
        <w:rPr>
          <w:rFonts w:ascii="Times New Roman" w:hAnsi="Times New Roman" w:cs="Times New Roman"/>
          <w:color w:val="000000" w:themeColor="text1"/>
          <w:lang w:val="en-GB"/>
        </w:rPr>
        <w:t xml:space="preserve"> of different polymer types were detected in placental and meconium samples. Reports suggest that </w:t>
      </w:r>
      <w:r w:rsidRPr="005C1BB0">
        <w:rPr>
          <w:rFonts w:ascii="Times New Roman" w:hAnsi="Times New Roman" w:cs="Times New Roman"/>
          <w:color w:val="000000" w:themeColor="text1"/>
          <w:lang w:val="en-GB"/>
        </w:rPr>
        <w:t>MPs</w:t>
      </w:r>
      <w:r w:rsidR="000D577A" w:rsidRPr="005C1BB0">
        <w:rPr>
          <w:rFonts w:ascii="Times New Roman" w:hAnsi="Times New Roman" w:cs="Times New Roman"/>
          <w:color w:val="000000" w:themeColor="text1"/>
          <w:lang w:val="en-GB"/>
        </w:rPr>
        <w:t xml:space="preserve"> cause placental dysfunction, ovaria</w:t>
      </w:r>
      <w:r w:rsidR="00DC62A8" w:rsidRPr="005C1BB0">
        <w:rPr>
          <w:rFonts w:ascii="Times New Roman" w:hAnsi="Times New Roman" w:cs="Times New Roman"/>
          <w:color w:val="000000" w:themeColor="text1"/>
          <w:lang w:val="en-GB"/>
        </w:rPr>
        <w:t>n</w:t>
      </w:r>
      <w:r w:rsidR="000D577A" w:rsidRPr="005C1BB0">
        <w:rPr>
          <w:rFonts w:ascii="Times New Roman" w:hAnsi="Times New Roman" w:cs="Times New Roman"/>
          <w:color w:val="000000" w:themeColor="text1"/>
          <w:lang w:val="en-GB"/>
        </w:rPr>
        <w:t xml:space="preserve"> atrophy, </w:t>
      </w:r>
      <w:r w:rsidR="00DC62A8" w:rsidRPr="005C1BB0">
        <w:rPr>
          <w:rFonts w:ascii="Times New Roman" w:hAnsi="Times New Roman" w:cs="Times New Roman"/>
          <w:color w:val="000000" w:themeColor="text1"/>
          <w:lang w:val="en-GB"/>
        </w:rPr>
        <w:t xml:space="preserve">endometrial hyperplasia and fibrosis in female </w:t>
      </w:r>
      <w:r w:rsidR="007C74FF" w:rsidRPr="005C1BB0">
        <w:rPr>
          <w:rFonts w:ascii="Times New Roman" w:hAnsi="Times New Roman" w:cs="Times New Roman"/>
          <w:color w:val="000000" w:themeColor="text1"/>
          <w:lang w:val="en-GB"/>
        </w:rPr>
        <w:t>[16]</w:t>
      </w:r>
      <w:r w:rsidR="00DC62A8" w:rsidRPr="005C1BB0">
        <w:rPr>
          <w:rFonts w:ascii="Times New Roman" w:hAnsi="Times New Roman" w:cs="Times New Roman"/>
          <w:color w:val="000000" w:themeColor="text1"/>
          <w:lang w:val="en-GB"/>
        </w:rPr>
        <w:t xml:space="preserve">. Similarly, </w:t>
      </w:r>
      <w:r w:rsidR="000F501C" w:rsidRPr="005C1BB0">
        <w:rPr>
          <w:rFonts w:ascii="Times New Roman" w:hAnsi="Times New Roman" w:cs="Times New Roman"/>
          <w:color w:val="000000" w:themeColor="text1"/>
          <w:lang w:val="en-GB"/>
        </w:rPr>
        <w:t xml:space="preserve">MPs have been detected in semen </w:t>
      </w:r>
      <w:proofErr w:type="spellStart"/>
      <w:proofErr w:type="gramStart"/>
      <w:r w:rsidR="000F501C" w:rsidRPr="005C1BB0">
        <w:rPr>
          <w:rFonts w:ascii="Times New Roman" w:hAnsi="Times New Roman" w:cs="Times New Roman"/>
          <w:color w:val="000000" w:themeColor="text1"/>
          <w:lang w:val="en-GB"/>
        </w:rPr>
        <w:t>sample</w:t>
      </w:r>
      <w:r w:rsidRPr="005C1BB0">
        <w:rPr>
          <w:rFonts w:ascii="Times New Roman" w:hAnsi="Times New Roman" w:cs="Times New Roman"/>
          <w:color w:val="000000" w:themeColor="text1"/>
          <w:lang w:val="en-GB"/>
        </w:rPr>
        <w:t>s,recent</w:t>
      </w:r>
      <w:proofErr w:type="spellEnd"/>
      <w:proofErr w:type="gramEnd"/>
      <w:r w:rsidRPr="005C1BB0">
        <w:rPr>
          <w:rFonts w:ascii="Times New Roman" w:hAnsi="Times New Roman" w:cs="Times New Roman"/>
          <w:color w:val="000000" w:themeColor="text1"/>
          <w:lang w:val="en-GB"/>
        </w:rPr>
        <w:t xml:space="preserve"> study claimed </w:t>
      </w:r>
      <w:r w:rsidR="000F501C" w:rsidRPr="005C1BB0">
        <w:rPr>
          <w:rFonts w:ascii="Times New Roman" w:hAnsi="Times New Roman" w:cs="Times New Roman"/>
          <w:color w:val="000000" w:themeColor="text1"/>
          <w:lang w:val="en-GB"/>
        </w:rPr>
        <w:t xml:space="preserve">that it originated from epididymis, seminal vesicles and prostate </w:t>
      </w:r>
      <w:r w:rsidR="007C74FF" w:rsidRPr="005C1BB0">
        <w:rPr>
          <w:rFonts w:ascii="Times New Roman" w:hAnsi="Times New Roman" w:cs="Times New Roman"/>
          <w:color w:val="000000" w:themeColor="text1"/>
          <w:lang w:val="en-GB"/>
        </w:rPr>
        <w:t>[17]</w:t>
      </w:r>
      <w:r w:rsidR="000F501C" w:rsidRPr="005C1BB0">
        <w:rPr>
          <w:rFonts w:ascii="Times New Roman" w:hAnsi="Times New Roman" w:cs="Times New Roman"/>
          <w:color w:val="000000" w:themeColor="text1"/>
          <w:lang w:val="en-GB"/>
        </w:rPr>
        <w:t xml:space="preserve">.A study by Zhang et al. </w:t>
      </w:r>
      <w:r w:rsidR="007C74FF" w:rsidRPr="005C1BB0">
        <w:rPr>
          <w:rFonts w:ascii="Times New Roman" w:hAnsi="Times New Roman" w:cs="Times New Roman"/>
          <w:color w:val="000000" w:themeColor="text1"/>
          <w:lang w:val="en-GB"/>
        </w:rPr>
        <w:t>[18]</w:t>
      </w:r>
      <w:r w:rsidR="00512A73" w:rsidRPr="005C1BB0">
        <w:rPr>
          <w:rFonts w:ascii="Times New Roman" w:hAnsi="Times New Roman" w:cs="Times New Roman"/>
          <w:color w:val="000000" w:themeColor="text1"/>
          <w:lang w:val="en-GB"/>
        </w:rPr>
        <w:t>reported that MPs may significantly impact male fertility</w:t>
      </w:r>
      <w:r w:rsidRPr="005C1BB0">
        <w:rPr>
          <w:rFonts w:ascii="Times New Roman" w:hAnsi="Times New Roman" w:cs="Times New Roman"/>
          <w:color w:val="000000" w:themeColor="text1"/>
          <w:lang w:val="en-GB"/>
        </w:rPr>
        <w:t>, by lowering quality of sperm</w:t>
      </w:r>
      <w:r w:rsidR="00512A73" w:rsidRPr="005C1BB0">
        <w:rPr>
          <w:rFonts w:ascii="Times New Roman" w:hAnsi="Times New Roman" w:cs="Times New Roman"/>
          <w:color w:val="000000" w:themeColor="text1"/>
          <w:lang w:val="en-GB"/>
        </w:rPr>
        <w:t>.</w:t>
      </w:r>
      <w:r w:rsidRPr="005C1BB0">
        <w:rPr>
          <w:rFonts w:ascii="Times New Roman" w:hAnsi="Times New Roman" w:cs="Times New Roman"/>
          <w:color w:val="000000" w:themeColor="text1"/>
          <w:lang w:val="en-GB"/>
        </w:rPr>
        <w:t xml:space="preserve"> The present study intended to evaluate dose dependent effects of MPs on testicular tissues and spermatogenesis. The current study also attempted to evaluate role of induced oxidative stress on the testicular functions and fertility in Wistar rats.</w:t>
      </w:r>
    </w:p>
    <w:p w14:paraId="719E193B" w14:textId="77777777" w:rsidR="00B20791" w:rsidRPr="005C1BB0" w:rsidRDefault="00B20791" w:rsidP="003E4C4D">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Materials and methods</w:t>
      </w:r>
    </w:p>
    <w:p w14:paraId="593AD6C1" w14:textId="77777777" w:rsidR="003E4C4D" w:rsidRPr="005C1BB0" w:rsidRDefault="003E4C4D" w:rsidP="003E4C4D">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Test chemical</w:t>
      </w:r>
    </w:p>
    <w:p w14:paraId="414DA0BA" w14:textId="77777777" w:rsidR="003E4C4D" w:rsidRPr="005C1BB0" w:rsidRDefault="003E4C4D"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Micro particles</w:t>
      </w:r>
      <w:r w:rsidR="00A816F2" w:rsidRPr="005C1BB0">
        <w:rPr>
          <w:rFonts w:ascii="Times New Roman" w:hAnsi="Times New Roman" w:cs="Times New Roman"/>
          <w:color w:val="000000" w:themeColor="text1"/>
          <w:lang w:val="en-GB"/>
        </w:rPr>
        <w:t xml:space="preserve"> (0% cross-linked of density 1.05 g/cm</w:t>
      </w:r>
      <w:r w:rsidR="00A816F2" w:rsidRPr="005C1BB0">
        <w:rPr>
          <w:rFonts w:ascii="Times New Roman" w:hAnsi="Times New Roman" w:cs="Times New Roman"/>
          <w:color w:val="000000" w:themeColor="text1"/>
          <w:vertAlign w:val="superscript"/>
          <w:lang w:val="en-GB"/>
        </w:rPr>
        <w:t>3</w:t>
      </w:r>
      <w:r w:rsidR="00A816F2" w:rsidRPr="005C1BB0">
        <w:rPr>
          <w:rFonts w:ascii="Times New Roman" w:hAnsi="Times New Roman" w:cs="Times New Roman"/>
          <w:color w:val="000000" w:themeColor="text1"/>
          <w:lang w:val="en-GB"/>
        </w:rPr>
        <w:t>)</w:t>
      </w:r>
      <w:r w:rsidRPr="005C1BB0">
        <w:rPr>
          <w:rFonts w:ascii="Times New Roman" w:hAnsi="Times New Roman" w:cs="Times New Roman"/>
          <w:color w:val="000000" w:themeColor="text1"/>
          <w:lang w:val="en-GB"/>
        </w:rPr>
        <w:t xml:space="preserve"> based in polystyrene of size 5 µm </w:t>
      </w:r>
      <w:r w:rsidR="00F74392" w:rsidRPr="005C1BB0">
        <w:rPr>
          <w:rFonts w:ascii="Times New Roman" w:hAnsi="Times New Roman" w:cs="Times New Roman"/>
          <w:color w:val="000000" w:themeColor="text1"/>
          <w:lang w:val="en-GB"/>
        </w:rPr>
        <w:t xml:space="preserve">(SD &lt;0.1 µm, CV &lt;2%) </w:t>
      </w:r>
      <w:r w:rsidRPr="005C1BB0">
        <w:rPr>
          <w:rFonts w:ascii="Times New Roman" w:hAnsi="Times New Roman" w:cs="Times New Roman"/>
          <w:color w:val="000000" w:themeColor="text1"/>
          <w:lang w:val="en-GB"/>
        </w:rPr>
        <w:t xml:space="preserve">was purchased from </w:t>
      </w:r>
      <w:r w:rsidR="001E1499" w:rsidRPr="005C1BB0">
        <w:rPr>
          <w:rFonts w:ascii="Times New Roman" w:hAnsi="Times New Roman" w:cs="Times New Roman"/>
          <w:color w:val="000000" w:themeColor="text1"/>
          <w:lang w:val="en-GB"/>
        </w:rPr>
        <w:t xml:space="preserve">Sigma </w:t>
      </w:r>
      <w:r w:rsidR="00F74392" w:rsidRPr="005C1BB0">
        <w:rPr>
          <w:rFonts w:ascii="Times New Roman" w:hAnsi="Times New Roman" w:cs="Times New Roman"/>
          <w:color w:val="000000" w:themeColor="text1"/>
          <w:lang w:val="en-GB"/>
        </w:rPr>
        <w:t xml:space="preserve">Aldrich, Merck, Darmstadt, Germany. Chemical was stored at 4 </w:t>
      </w:r>
      <w:r w:rsidR="00A816F2" w:rsidRPr="005C1BB0">
        <w:rPr>
          <w:rFonts w:ascii="Times New Roman" w:hAnsi="Times New Roman" w:cs="Times New Roman"/>
          <w:color w:val="000000" w:themeColor="text1"/>
          <w:lang w:val="en-GB"/>
        </w:rPr>
        <w:t>º</w:t>
      </w:r>
      <w:r w:rsidR="00F74392" w:rsidRPr="005C1BB0">
        <w:rPr>
          <w:rFonts w:ascii="Times New Roman" w:hAnsi="Times New Roman" w:cs="Times New Roman"/>
          <w:color w:val="000000" w:themeColor="text1"/>
          <w:lang w:val="en-GB"/>
        </w:rPr>
        <w:t>C throughout the period of investigation.</w:t>
      </w:r>
    </w:p>
    <w:p w14:paraId="5A1BC7A6" w14:textId="77777777" w:rsidR="00A816F2" w:rsidRPr="005C1BB0" w:rsidRDefault="00A816F2" w:rsidP="00A816F2">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Animal model</w:t>
      </w:r>
    </w:p>
    <w:p w14:paraId="76C72177" w14:textId="77777777" w:rsidR="00A816F2" w:rsidRPr="005C1BB0" w:rsidRDefault="00225DAF"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Wistar albino male rats (</w:t>
      </w:r>
      <w:r w:rsidRPr="005C1BB0">
        <w:rPr>
          <w:rFonts w:ascii="Times New Roman" w:hAnsi="Times New Roman" w:cs="Times New Roman"/>
          <w:i/>
          <w:iCs/>
          <w:color w:val="000000" w:themeColor="text1"/>
          <w:lang w:val="en-GB"/>
        </w:rPr>
        <w:t>Rattus norvegicus</w:t>
      </w:r>
      <w:r w:rsidRPr="005C1BB0">
        <w:rPr>
          <w:rFonts w:ascii="Times New Roman" w:hAnsi="Times New Roman" w:cs="Times New Roman"/>
          <w:color w:val="000000" w:themeColor="text1"/>
          <w:lang w:val="en-GB"/>
        </w:rPr>
        <w:t xml:space="preserve">) </w:t>
      </w:r>
      <w:r w:rsidR="00680684" w:rsidRPr="005C1BB0">
        <w:rPr>
          <w:rFonts w:ascii="Times New Roman" w:hAnsi="Times New Roman" w:cs="Times New Roman"/>
          <w:color w:val="000000" w:themeColor="text1"/>
          <w:lang w:val="en-GB"/>
        </w:rPr>
        <w:t xml:space="preserve">of proven fertility </w:t>
      </w:r>
      <w:r w:rsidRPr="005C1BB0">
        <w:rPr>
          <w:rFonts w:ascii="Times New Roman" w:hAnsi="Times New Roman" w:cs="Times New Roman"/>
          <w:color w:val="000000" w:themeColor="text1"/>
          <w:lang w:val="en-GB"/>
        </w:rPr>
        <w:t>weighing in range of 250-280 g</w:t>
      </w:r>
      <w:r w:rsidR="00680684" w:rsidRPr="005C1BB0">
        <w:rPr>
          <w:rFonts w:ascii="Times New Roman" w:hAnsi="Times New Roman" w:cs="Times New Roman"/>
          <w:color w:val="000000" w:themeColor="text1"/>
          <w:lang w:val="en-GB"/>
        </w:rPr>
        <w:t>, 3-4 months old were used in the present study. Rats were precautionarily maintained at the departmental facility of University of Rajasthan. A well-designed photoperiod of 12 h: 12 h light and dark was retained throughout the study for experimental groups housed in polypropylene cages (</w:t>
      </w:r>
      <w:r w:rsidR="0065507E" w:rsidRPr="005C1BB0">
        <w:rPr>
          <w:rFonts w:ascii="Times New Roman" w:hAnsi="Times New Roman" w:cs="Times New Roman"/>
          <w:color w:val="000000" w:themeColor="text1"/>
        </w:rPr>
        <w:t>43</w:t>
      </w:r>
      <w:r w:rsidR="0065507E" w:rsidRPr="005C1BB0">
        <w:rPr>
          <w:rFonts w:ascii="Times New Roman" w:hAnsi="Times New Roman" w:cs="Times New Roman"/>
          <w:color w:val="000000" w:themeColor="text1"/>
        </w:rPr>
        <w:sym w:font="Symbol" w:char="F0B4"/>
      </w:r>
      <w:r w:rsidR="0065507E" w:rsidRPr="005C1BB0">
        <w:rPr>
          <w:rFonts w:ascii="Times New Roman" w:hAnsi="Times New Roman" w:cs="Times New Roman"/>
          <w:color w:val="000000" w:themeColor="text1"/>
        </w:rPr>
        <w:t>27</w:t>
      </w:r>
      <w:r w:rsidR="0065507E" w:rsidRPr="005C1BB0">
        <w:rPr>
          <w:rFonts w:ascii="Times New Roman" w:hAnsi="Times New Roman" w:cs="Times New Roman"/>
          <w:color w:val="000000" w:themeColor="text1"/>
        </w:rPr>
        <w:sym w:font="Symbol" w:char="F0B4"/>
      </w:r>
      <w:r w:rsidR="0065507E" w:rsidRPr="005C1BB0">
        <w:rPr>
          <w:rFonts w:ascii="Times New Roman" w:hAnsi="Times New Roman" w:cs="Times New Roman"/>
          <w:color w:val="000000" w:themeColor="text1"/>
        </w:rPr>
        <w:t>15 cm</w:t>
      </w:r>
      <w:r w:rsidR="00680684" w:rsidRPr="005C1BB0">
        <w:rPr>
          <w:rFonts w:ascii="Times New Roman" w:hAnsi="Times New Roman" w:cs="Times New Roman"/>
          <w:color w:val="000000" w:themeColor="text1"/>
          <w:lang w:val="en-GB"/>
        </w:rPr>
        <w:t>).</w:t>
      </w:r>
      <w:r w:rsidR="0065507E" w:rsidRPr="005C1BB0">
        <w:rPr>
          <w:rFonts w:ascii="Times New Roman" w:hAnsi="Times New Roman" w:cs="Times New Roman"/>
          <w:color w:val="000000" w:themeColor="text1"/>
          <w:lang w:val="en-GB"/>
        </w:rPr>
        <w:t xml:space="preserve"> Temperature of the animal house was maintained at 21-25 ºC with humidity within 32-70%. Animals were allowed to eat pellet diet </w:t>
      </w:r>
      <w:r w:rsidR="0065507E" w:rsidRPr="005C1BB0">
        <w:rPr>
          <w:rFonts w:ascii="Times New Roman" w:hAnsi="Times New Roman" w:cs="Times New Roman"/>
          <w:color w:val="000000" w:themeColor="text1"/>
          <w:lang w:val="en-GB"/>
        </w:rPr>
        <w:lastRenderedPageBreak/>
        <w:t>purchased from Ashirwad Ind. Ltd., Chandigarh, India</w:t>
      </w:r>
      <w:r w:rsidR="009271A4" w:rsidRPr="005C1BB0">
        <w:rPr>
          <w:rFonts w:ascii="Times New Roman" w:hAnsi="Times New Roman" w:cs="Times New Roman"/>
          <w:color w:val="000000" w:themeColor="text1"/>
          <w:lang w:val="en-GB"/>
        </w:rPr>
        <w:t xml:space="preserve">, drinking water was provided </w:t>
      </w:r>
      <w:r w:rsidR="009271A4" w:rsidRPr="005C1BB0">
        <w:rPr>
          <w:rFonts w:ascii="Times New Roman" w:hAnsi="Times New Roman" w:cs="Times New Roman"/>
          <w:i/>
          <w:iCs/>
          <w:color w:val="000000" w:themeColor="text1"/>
          <w:lang w:val="en-GB"/>
        </w:rPr>
        <w:t>ad libitum</w:t>
      </w:r>
      <w:r w:rsidR="009271A4" w:rsidRPr="005C1BB0">
        <w:rPr>
          <w:rFonts w:ascii="Times New Roman" w:hAnsi="Times New Roman" w:cs="Times New Roman"/>
          <w:color w:val="000000" w:themeColor="text1"/>
          <w:lang w:val="en-GB"/>
        </w:rPr>
        <w:t xml:space="preserve">. </w:t>
      </w:r>
    </w:p>
    <w:p w14:paraId="505BBD3A" w14:textId="77777777" w:rsidR="009271A4" w:rsidRPr="005C1BB0" w:rsidRDefault="009271A4" w:rsidP="009271A4">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Ethical approval</w:t>
      </w:r>
    </w:p>
    <w:p w14:paraId="6A774298" w14:textId="77777777" w:rsidR="009271A4" w:rsidRPr="005C1BB0" w:rsidRDefault="009271A4" w:rsidP="00B20791">
      <w:pPr>
        <w:spacing w:before="120" w:after="120" w:line="480" w:lineRule="auto"/>
        <w:ind w:firstLine="720"/>
        <w:jc w:val="both"/>
        <w:rPr>
          <w:rFonts w:ascii="Times New Roman" w:hAnsi="Times New Roman" w:cs="Times New Roman"/>
          <w:color w:val="000000" w:themeColor="text1"/>
        </w:rPr>
      </w:pPr>
      <w:r w:rsidRPr="005C1BB0">
        <w:rPr>
          <w:rFonts w:ascii="Times New Roman" w:hAnsi="Times New Roman" w:cs="Times New Roman"/>
          <w:color w:val="000000" w:themeColor="text1"/>
          <w:lang w:val="en-GB"/>
        </w:rPr>
        <w:t xml:space="preserve">Approval certificate was procured from Institutional Animals Ethics Committee (IAEC), well in advance pre-commencement of experiments. Guidelines explained in the Indian National Science Academy (INSA), New Delhi for </w:t>
      </w:r>
      <w:r w:rsidRPr="005C1BB0">
        <w:rPr>
          <w:rFonts w:ascii="Times New Roman" w:hAnsi="Times New Roman" w:cs="Times New Roman"/>
          <w:color w:val="000000" w:themeColor="text1"/>
        </w:rPr>
        <w:t xml:space="preserve">Care and Use of Animals were stringently followed throughout the experimental tenure. </w:t>
      </w:r>
      <w:r w:rsidR="008E698A" w:rsidRPr="005C1BB0">
        <w:rPr>
          <w:rFonts w:ascii="Times New Roman" w:hAnsi="Times New Roman" w:cs="Times New Roman"/>
          <w:color w:val="000000" w:themeColor="text1"/>
        </w:rPr>
        <w:t xml:space="preserve">Experiments were performed under guidance of Committee for the Purpose of Control and Supervision of Experiments on Animals </w:t>
      </w:r>
      <w:r w:rsidR="007C74FF" w:rsidRPr="005C1BB0">
        <w:rPr>
          <w:rFonts w:ascii="Times New Roman" w:hAnsi="Times New Roman" w:cs="Times New Roman"/>
          <w:color w:val="000000" w:themeColor="text1"/>
        </w:rPr>
        <w:t>[19]</w:t>
      </w:r>
      <w:r w:rsidR="008E698A" w:rsidRPr="005C1BB0">
        <w:rPr>
          <w:rFonts w:ascii="Times New Roman" w:hAnsi="Times New Roman" w:cs="Times New Roman"/>
          <w:color w:val="000000" w:themeColor="text1"/>
        </w:rPr>
        <w:t>.</w:t>
      </w:r>
    </w:p>
    <w:p w14:paraId="7C42A9F7" w14:textId="77777777" w:rsidR="003C468F" w:rsidRPr="005C1BB0" w:rsidRDefault="003C468F" w:rsidP="003C468F">
      <w:pPr>
        <w:spacing w:before="120" w:after="120" w:line="480" w:lineRule="auto"/>
        <w:jc w:val="both"/>
        <w:rPr>
          <w:rFonts w:ascii="Times New Roman" w:hAnsi="Times New Roman" w:cs="Times New Roman"/>
          <w:color w:val="000000" w:themeColor="text1"/>
        </w:rPr>
      </w:pPr>
      <w:r w:rsidRPr="005C1BB0">
        <w:rPr>
          <w:rFonts w:ascii="Times New Roman" w:hAnsi="Times New Roman" w:cs="Times New Roman"/>
          <w:color w:val="000000" w:themeColor="text1"/>
        </w:rPr>
        <w:t>Experimental design</w:t>
      </w:r>
    </w:p>
    <w:p w14:paraId="247F6663" w14:textId="77777777" w:rsidR="003C468F" w:rsidRPr="005C1BB0" w:rsidRDefault="000D3055"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 graded concentration of </w:t>
      </w:r>
      <w:r w:rsidR="00D53504" w:rsidRPr="005C1BB0">
        <w:rPr>
          <w:rFonts w:ascii="Times New Roman" w:hAnsi="Times New Roman" w:cs="Times New Roman"/>
          <w:color w:val="000000" w:themeColor="text1"/>
          <w:lang w:val="en-GB"/>
        </w:rPr>
        <w:t xml:space="preserve">doses of </w:t>
      </w:r>
      <w:r w:rsidRPr="005C1BB0">
        <w:rPr>
          <w:rFonts w:ascii="Times New Roman" w:hAnsi="Times New Roman" w:cs="Times New Roman"/>
          <w:color w:val="000000" w:themeColor="text1"/>
          <w:lang w:val="en-GB"/>
        </w:rPr>
        <w:t>polystyrene based microplastics (PS-MP) was prepared from manufacturer suspension (</w:t>
      </w:r>
      <w:r w:rsidR="00C43CD7" w:rsidRPr="005C1BB0">
        <w:rPr>
          <w:rFonts w:ascii="Times New Roman" w:hAnsi="Times New Roman" w:cs="Times New Roman"/>
          <w:color w:val="000000" w:themeColor="text1"/>
          <w:lang w:val="en-GB"/>
        </w:rPr>
        <w:t>1 ml contains 1.05 g of MPs</w:t>
      </w:r>
      <w:r w:rsidRPr="005C1BB0">
        <w:rPr>
          <w:rFonts w:ascii="Times New Roman" w:hAnsi="Times New Roman" w:cs="Times New Roman"/>
          <w:color w:val="000000" w:themeColor="text1"/>
          <w:lang w:val="en-GB"/>
        </w:rPr>
        <w:t>).</w:t>
      </w:r>
      <w:r w:rsidR="00C43CD7" w:rsidRPr="005C1BB0">
        <w:rPr>
          <w:rFonts w:ascii="Times New Roman" w:hAnsi="Times New Roman" w:cs="Times New Roman"/>
          <w:color w:val="000000" w:themeColor="text1"/>
          <w:lang w:val="en-GB"/>
        </w:rPr>
        <w:t xml:space="preserve"> These </w:t>
      </w:r>
      <w:proofErr w:type="spellStart"/>
      <w:r w:rsidR="00D53504" w:rsidRPr="005C1BB0">
        <w:rPr>
          <w:rFonts w:ascii="Times New Roman" w:hAnsi="Times New Roman" w:cs="Times New Roman"/>
          <w:color w:val="000000" w:themeColor="text1"/>
          <w:lang w:val="en-GB"/>
        </w:rPr>
        <w:t>dosescontained</w:t>
      </w:r>
      <w:proofErr w:type="spellEnd"/>
      <w:r w:rsidR="00D53504" w:rsidRPr="005C1BB0">
        <w:rPr>
          <w:rFonts w:ascii="Times New Roman" w:hAnsi="Times New Roman" w:cs="Times New Roman"/>
          <w:color w:val="000000" w:themeColor="text1"/>
          <w:lang w:val="en-GB"/>
        </w:rPr>
        <w:t xml:space="preserve"> </w:t>
      </w:r>
      <w:r w:rsidR="00C43CD7" w:rsidRPr="005C1BB0">
        <w:rPr>
          <w:rFonts w:ascii="Times New Roman" w:hAnsi="Times New Roman" w:cs="Times New Roman"/>
          <w:color w:val="000000" w:themeColor="text1"/>
          <w:lang w:val="en-GB"/>
        </w:rPr>
        <w:t>5, 50, 500 and 5000 µg</w:t>
      </w:r>
      <w:r w:rsidR="00D53504" w:rsidRPr="005C1BB0">
        <w:rPr>
          <w:rFonts w:ascii="Times New Roman" w:hAnsi="Times New Roman" w:cs="Times New Roman"/>
          <w:color w:val="000000" w:themeColor="text1"/>
          <w:lang w:val="en-GB"/>
        </w:rPr>
        <w:t xml:space="preserve"> of PS-MP</w:t>
      </w:r>
      <w:r w:rsidR="00C43CD7" w:rsidRPr="005C1BB0">
        <w:rPr>
          <w:rFonts w:ascii="Times New Roman" w:hAnsi="Times New Roman" w:cs="Times New Roman"/>
          <w:color w:val="000000" w:themeColor="text1"/>
          <w:lang w:val="en-GB"/>
        </w:rPr>
        <w:t>/</w:t>
      </w:r>
      <w:r w:rsidR="00D53504" w:rsidRPr="005C1BB0">
        <w:rPr>
          <w:rFonts w:ascii="Times New Roman" w:hAnsi="Times New Roman" w:cs="Times New Roman"/>
          <w:color w:val="000000" w:themeColor="text1"/>
          <w:lang w:val="en-GB"/>
        </w:rPr>
        <w:t xml:space="preserve">kg body weight, which was delivered orally dissolved in </w:t>
      </w:r>
      <w:r w:rsidR="00702B55" w:rsidRPr="005C1BB0">
        <w:rPr>
          <w:rFonts w:ascii="Times New Roman" w:hAnsi="Times New Roman" w:cs="Times New Roman"/>
          <w:color w:val="000000" w:themeColor="text1"/>
          <w:lang w:val="en-GB"/>
        </w:rPr>
        <w:t>olive oil</w:t>
      </w:r>
      <w:r w:rsidR="00C43CD7" w:rsidRPr="005C1BB0">
        <w:rPr>
          <w:rFonts w:ascii="Times New Roman" w:hAnsi="Times New Roman" w:cs="Times New Roman"/>
          <w:color w:val="000000" w:themeColor="text1"/>
          <w:lang w:val="en-GB"/>
        </w:rPr>
        <w:t xml:space="preserve">. </w:t>
      </w:r>
      <w:r w:rsidR="00D53504" w:rsidRPr="005C1BB0">
        <w:rPr>
          <w:rFonts w:ascii="Times New Roman" w:hAnsi="Times New Roman" w:cs="Times New Roman"/>
          <w:color w:val="000000" w:themeColor="text1"/>
          <w:lang w:val="en-GB"/>
        </w:rPr>
        <w:t xml:space="preserve">Equal volume of </w:t>
      </w:r>
      <w:r w:rsidR="00702B55" w:rsidRPr="005C1BB0">
        <w:rPr>
          <w:rFonts w:ascii="Times New Roman" w:hAnsi="Times New Roman" w:cs="Times New Roman"/>
          <w:color w:val="000000" w:themeColor="text1"/>
          <w:lang w:val="en-GB"/>
        </w:rPr>
        <w:t>olive oil</w:t>
      </w:r>
      <w:r w:rsidR="00D53504" w:rsidRPr="005C1BB0">
        <w:rPr>
          <w:rFonts w:ascii="Times New Roman" w:hAnsi="Times New Roman" w:cs="Times New Roman"/>
          <w:color w:val="000000" w:themeColor="text1"/>
          <w:lang w:val="en-GB"/>
        </w:rPr>
        <w:t xml:space="preserve"> was administered to the parallel control for comparison. Control group was labelled as Group I</w:t>
      </w:r>
      <w:r w:rsidR="00D35A67" w:rsidRPr="005C1BB0">
        <w:rPr>
          <w:rFonts w:ascii="Times New Roman" w:hAnsi="Times New Roman" w:cs="Times New Roman"/>
          <w:color w:val="000000" w:themeColor="text1"/>
          <w:lang w:val="en-GB"/>
        </w:rPr>
        <w:t>,</w:t>
      </w:r>
      <w:r w:rsidR="00D53504" w:rsidRPr="005C1BB0">
        <w:rPr>
          <w:rFonts w:ascii="Times New Roman" w:hAnsi="Times New Roman" w:cs="Times New Roman"/>
          <w:color w:val="000000" w:themeColor="text1"/>
          <w:lang w:val="en-GB"/>
        </w:rPr>
        <w:t xml:space="preserve"> while graded doses of PS-MPs were </w:t>
      </w:r>
      <w:r w:rsidR="00DF3037" w:rsidRPr="005C1BB0">
        <w:rPr>
          <w:rFonts w:ascii="Times New Roman" w:hAnsi="Times New Roman" w:cs="Times New Roman"/>
          <w:color w:val="000000" w:themeColor="text1"/>
          <w:lang w:val="en-GB"/>
        </w:rPr>
        <w:t>labelled as groups II-V, respectively</w:t>
      </w:r>
      <w:r w:rsidR="000F3F45" w:rsidRPr="005C1BB0">
        <w:rPr>
          <w:rFonts w:ascii="Times New Roman" w:hAnsi="Times New Roman" w:cs="Times New Roman"/>
          <w:color w:val="000000" w:themeColor="text1"/>
          <w:lang w:val="en-GB"/>
        </w:rPr>
        <w:t>, each group consisted of 7 male rats of proven fertility</w:t>
      </w:r>
      <w:r w:rsidR="00554923" w:rsidRPr="005C1BB0">
        <w:rPr>
          <w:rFonts w:ascii="Times New Roman" w:hAnsi="Times New Roman" w:cs="Times New Roman"/>
          <w:color w:val="000000" w:themeColor="text1"/>
          <w:lang w:val="en-GB"/>
        </w:rPr>
        <w:t xml:space="preserve"> (Table 1)</w:t>
      </w:r>
      <w:r w:rsidR="00DF3037" w:rsidRPr="005C1BB0">
        <w:rPr>
          <w:rFonts w:ascii="Times New Roman" w:hAnsi="Times New Roman" w:cs="Times New Roman"/>
          <w:color w:val="000000" w:themeColor="text1"/>
          <w:lang w:val="en-GB"/>
        </w:rPr>
        <w:t xml:space="preserve">. </w:t>
      </w:r>
      <w:r w:rsidR="00D35A67" w:rsidRPr="005C1BB0">
        <w:rPr>
          <w:rFonts w:ascii="Times New Roman" w:hAnsi="Times New Roman" w:cs="Times New Roman"/>
          <w:color w:val="000000" w:themeColor="text1"/>
          <w:lang w:val="en-GB"/>
        </w:rPr>
        <w:t>Doses were given once daily for 120 days, on the 121</w:t>
      </w:r>
      <w:r w:rsidR="000F3F45" w:rsidRPr="005C1BB0">
        <w:rPr>
          <w:rFonts w:ascii="Times New Roman" w:hAnsi="Times New Roman" w:cs="Times New Roman"/>
          <w:color w:val="000000" w:themeColor="text1"/>
          <w:vertAlign w:val="superscript"/>
          <w:lang w:val="en-GB"/>
        </w:rPr>
        <w:t>st</w:t>
      </w:r>
      <w:r w:rsidR="00D35A67" w:rsidRPr="005C1BB0">
        <w:rPr>
          <w:rFonts w:ascii="Times New Roman" w:hAnsi="Times New Roman" w:cs="Times New Roman"/>
          <w:color w:val="000000" w:themeColor="text1"/>
          <w:lang w:val="en-GB"/>
        </w:rPr>
        <w:t xml:space="preserve"> day animals were sacrificed and testes were collected for further evaluation.</w:t>
      </w:r>
      <w:r w:rsidR="000F3F45" w:rsidRPr="005C1BB0">
        <w:rPr>
          <w:rFonts w:ascii="Times New Roman" w:hAnsi="Times New Roman" w:cs="Times New Roman"/>
          <w:color w:val="000000" w:themeColor="text1"/>
          <w:lang w:val="en-GB"/>
        </w:rPr>
        <w:t xml:space="preserve"> Doses used in the present study were </w:t>
      </w:r>
      <w:r w:rsidR="007C0D12" w:rsidRPr="005C1BB0">
        <w:rPr>
          <w:rFonts w:ascii="Times New Roman" w:hAnsi="Times New Roman" w:cs="Times New Roman"/>
          <w:color w:val="000000" w:themeColor="text1"/>
          <w:lang w:val="en-GB"/>
        </w:rPr>
        <w:t xml:space="preserve">selected on the basis </w:t>
      </w:r>
      <w:proofErr w:type="spellStart"/>
      <w:r w:rsidR="007C0D12" w:rsidRPr="005C1BB0">
        <w:rPr>
          <w:rFonts w:ascii="Times New Roman" w:hAnsi="Times New Roman" w:cs="Times New Roman"/>
          <w:color w:val="000000" w:themeColor="text1"/>
          <w:lang w:val="en-GB"/>
        </w:rPr>
        <w:t>ofan</w:t>
      </w:r>
      <w:proofErr w:type="spellEnd"/>
      <w:r w:rsidR="007C0D12" w:rsidRPr="005C1BB0">
        <w:rPr>
          <w:rFonts w:ascii="Times New Roman" w:hAnsi="Times New Roman" w:cs="Times New Roman"/>
          <w:color w:val="000000" w:themeColor="text1"/>
          <w:lang w:val="en-GB"/>
        </w:rPr>
        <w:t xml:space="preserve"> earlier study</w:t>
      </w:r>
      <w:r w:rsidR="000F3F45" w:rsidRPr="005C1BB0">
        <w:rPr>
          <w:rFonts w:ascii="Times New Roman" w:hAnsi="Times New Roman" w:cs="Times New Roman"/>
          <w:color w:val="000000" w:themeColor="text1"/>
          <w:lang w:val="en-GB"/>
        </w:rPr>
        <w:t xml:space="preserve"> carried out by Ijaz et al. </w:t>
      </w:r>
      <w:r w:rsidR="007C74FF" w:rsidRPr="005C1BB0">
        <w:rPr>
          <w:rFonts w:ascii="Times New Roman" w:hAnsi="Times New Roman" w:cs="Times New Roman"/>
          <w:color w:val="000000" w:themeColor="text1"/>
          <w:lang w:val="en-GB"/>
        </w:rPr>
        <w:t>[20]</w:t>
      </w:r>
      <w:r w:rsidR="007C0D12" w:rsidRPr="005C1BB0">
        <w:rPr>
          <w:rFonts w:ascii="Times New Roman" w:hAnsi="Times New Roman" w:cs="Times New Roman"/>
          <w:color w:val="000000" w:themeColor="text1"/>
          <w:lang w:val="en-GB"/>
        </w:rPr>
        <w:t xml:space="preserve">and followed OECD </w:t>
      </w:r>
      <w:r w:rsidR="00C75A59" w:rsidRPr="005C1BB0">
        <w:rPr>
          <w:rFonts w:ascii="Times New Roman" w:hAnsi="Times New Roman" w:cs="Times New Roman"/>
          <w:color w:val="000000" w:themeColor="text1"/>
          <w:lang w:val="en-GB"/>
        </w:rPr>
        <w:t xml:space="preserve">guidelines for testing chemical, Section 4 - </w:t>
      </w:r>
      <w:r w:rsidR="007C0D12" w:rsidRPr="005C1BB0">
        <w:rPr>
          <w:rFonts w:ascii="Times New Roman" w:hAnsi="Times New Roman" w:cs="Times New Roman"/>
          <w:color w:val="000000" w:themeColor="text1"/>
          <w:lang w:val="en-GB"/>
        </w:rPr>
        <w:t>protocol 423</w:t>
      </w:r>
      <w:r w:rsidR="00C75A59" w:rsidRPr="005C1BB0">
        <w:rPr>
          <w:rFonts w:ascii="Times New Roman" w:hAnsi="Times New Roman" w:cs="Times New Roman"/>
          <w:color w:val="000000" w:themeColor="text1"/>
          <w:lang w:val="en-GB"/>
        </w:rPr>
        <w:t xml:space="preserve">: Acute oral </w:t>
      </w:r>
      <w:proofErr w:type="gramStart"/>
      <w:r w:rsidR="00C75A59" w:rsidRPr="005C1BB0">
        <w:rPr>
          <w:rFonts w:ascii="Times New Roman" w:hAnsi="Times New Roman" w:cs="Times New Roman"/>
          <w:color w:val="000000" w:themeColor="text1"/>
          <w:lang w:val="en-GB"/>
        </w:rPr>
        <w:t>toxicity</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21]</w:t>
      </w:r>
      <w:r w:rsidR="00C75A59" w:rsidRPr="005C1BB0">
        <w:rPr>
          <w:rFonts w:ascii="Times New Roman" w:hAnsi="Times New Roman" w:cs="Times New Roman"/>
          <w:color w:val="000000" w:themeColor="text1"/>
          <w:lang w:val="en-GB"/>
        </w:rPr>
        <w:t>.</w:t>
      </w:r>
    </w:p>
    <w:p w14:paraId="4687AEF8" w14:textId="77777777" w:rsidR="00B20791" w:rsidRPr="005C1BB0" w:rsidRDefault="00B20791" w:rsidP="008F08D8">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Parameters</w:t>
      </w:r>
    </w:p>
    <w:p w14:paraId="5E50331D" w14:textId="77777777" w:rsidR="00B20791" w:rsidRPr="005C1BB0" w:rsidRDefault="00B20791" w:rsidP="008F08D8">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Body </w:t>
      </w:r>
      <w:r w:rsidR="008F08D8" w:rsidRPr="005C1BB0">
        <w:rPr>
          <w:rFonts w:ascii="Times New Roman" w:hAnsi="Times New Roman" w:cs="Times New Roman"/>
          <w:color w:val="000000" w:themeColor="text1"/>
          <w:lang w:val="en-GB"/>
        </w:rPr>
        <w:t xml:space="preserve">and </w:t>
      </w:r>
      <w:r w:rsidR="00E77E6C" w:rsidRPr="005C1BB0">
        <w:rPr>
          <w:rFonts w:ascii="Times New Roman" w:hAnsi="Times New Roman" w:cs="Times New Roman"/>
          <w:color w:val="000000" w:themeColor="text1"/>
          <w:lang w:val="en-GB"/>
        </w:rPr>
        <w:t xml:space="preserve">testicular </w:t>
      </w:r>
      <w:r w:rsidRPr="005C1BB0">
        <w:rPr>
          <w:rFonts w:ascii="Times New Roman" w:hAnsi="Times New Roman" w:cs="Times New Roman"/>
          <w:color w:val="000000" w:themeColor="text1"/>
          <w:lang w:val="en-GB"/>
        </w:rPr>
        <w:t>weight</w:t>
      </w:r>
    </w:p>
    <w:p w14:paraId="45C5C344" w14:textId="77777777" w:rsidR="008F08D8" w:rsidRPr="005C1BB0" w:rsidRDefault="00A66779"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 xml:space="preserve">Body weights were taken at the commencing of experiments and at the completion of experimental tenure. Following schedules termination testes were dissected out freed from unwanted tissues and weighed individually. </w:t>
      </w:r>
    </w:p>
    <w:p w14:paraId="4EE0D87A" w14:textId="77777777" w:rsidR="00C80D0E" w:rsidRPr="005C1BB0" w:rsidRDefault="00C80D0E" w:rsidP="00A66779">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Fertility record</w:t>
      </w:r>
    </w:p>
    <w:p w14:paraId="22DD92D2" w14:textId="77777777" w:rsidR="00A66779" w:rsidRDefault="008E698A" w:rsidP="00B20791">
      <w:pPr>
        <w:spacing w:before="120" w:after="120" w:line="480" w:lineRule="auto"/>
        <w:ind w:firstLine="720"/>
        <w:jc w:val="both"/>
        <w:rPr>
          <w:rFonts w:ascii="Times New Roman" w:hAnsi="Times New Roman"/>
          <w:color w:val="000000" w:themeColor="text1"/>
          <w:lang w:val="en-GB"/>
        </w:rPr>
      </w:pPr>
      <w:r w:rsidRPr="005C1BB0">
        <w:rPr>
          <w:rFonts w:ascii="Times New Roman" w:hAnsi="Times New Roman"/>
          <w:color w:val="000000" w:themeColor="text1"/>
          <w:lang w:val="en-GB"/>
        </w:rPr>
        <w:t>Periodical fertility tests were conducted following commencement of experimental schedule by cohabitating the male rats with fertile female rats at 1:2 ratio. Success of mating was confirmed by vaginal plug/appearances of spermatozoa in the vaginal smear.</w:t>
      </w:r>
    </w:p>
    <w:p w14:paraId="715E2CC0" w14:textId="77777777" w:rsidR="002D3081" w:rsidRPr="005C1BB0" w:rsidRDefault="002D3081" w:rsidP="00B20791">
      <w:pPr>
        <w:spacing w:before="120" w:after="120" w:line="480" w:lineRule="auto"/>
        <w:ind w:firstLine="720"/>
        <w:jc w:val="both"/>
        <w:rPr>
          <w:rFonts w:ascii="Times New Roman" w:hAnsi="Times New Roman" w:cs="Times New Roman"/>
          <w:color w:val="000000" w:themeColor="text1"/>
          <w:lang w:val="en-GB"/>
        </w:rPr>
      </w:pPr>
    </w:p>
    <w:p w14:paraId="2956353E" w14:textId="77777777" w:rsidR="00B20791" w:rsidRPr="005C1BB0" w:rsidRDefault="00B20791" w:rsidP="008E698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Stereological evaluation</w:t>
      </w:r>
    </w:p>
    <w:p w14:paraId="6B4552C7" w14:textId="77777777" w:rsidR="008E698A" w:rsidRPr="005C1BB0" w:rsidRDefault="008E698A" w:rsidP="00D739E8">
      <w:pPr>
        <w:spacing w:before="120" w:after="120" w:line="480" w:lineRule="auto"/>
        <w:ind w:firstLine="720"/>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Optical dissector method was used to determine the number of germ cells in testicular tissues </w:t>
      </w:r>
      <w:r w:rsidR="007C74FF" w:rsidRPr="005C1BB0">
        <w:rPr>
          <w:rFonts w:ascii="Times New Roman" w:hAnsi="Times New Roman" w:cs="Times New Roman"/>
          <w:color w:val="000000" w:themeColor="text1"/>
        </w:rPr>
        <w:t>[22-23]</w:t>
      </w:r>
      <w:r w:rsidRPr="005C1BB0">
        <w:rPr>
          <w:rFonts w:ascii="Times New Roman" w:hAnsi="Times New Roman" w:cs="Times New Roman"/>
          <w:color w:val="000000" w:themeColor="text1"/>
        </w:rPr>
        <w:t xml:space="preserve">. One cell was </w:t>
      </w:r>
      <w:r w:rsidR="00D739E8" w:rsidRPr="005C1BB0">
        <w:rPr>
          <w:rFonts w:ascii="Times New Roman" w:hAnsi="Times New Roman" w:cs="Times New Roman"/>
          <w:color w:val="000000" w:themeColor="text1"/>
        </w:rPr>
        <w:t>considered</w:t>
      </w:r>
      <w:r w:rsidRPr="005C1BB0">
        <w:rPr>
          <w:rFonts w:ascii="Times New Roman" w:hAnsi="Times New Roman" w:cs="Times New Roman"/>
          <w:color w:val="000000" w:themeColor="text1"/>
        </w:rPr>
        <w:t xml:space="preserve"> one nuclear number. Sections were analysed using a 40</w:t>
      </w:r>
      <w:r w:rsidR="00F35532" w:rsidRPr="005C1BB0">
        <w:rPr>
          <w:rFonts w:ascii="Times New Roman" w:hAnsi="Times New Roman" w:cs="Times New Roman"/>
          <w:color w:val="000000" w:themeColor="text1"/>
        </w:rPr>
        <w:sym w:font="Symbol" w:char="F0B4"/>
      </w:r>
      <w:r w:rsidRPr="005C1BB0">
        <w:rPr>
          <w:rFonts w:ascii="Times New Roman" w:hAnsi="Times New Roman" w:cs="Times New Roman"/>
          <w:color w:val="000000" w:themeColor="text1"/>
        </w:rPr>
        <w:t xml:space="preserve"> lens on an </w:t>
      </w:r>
      <w:proofErr w:type="spellStart"/>
      <w:r w:rsidRPr="005C1BB0">
        <w:rPr>
          <w:rFonts w:ascii="Times New Roman" w:hAnsi="Times New Roman" w:cs="Times New Roman"/>
          <w:color w:val="000000" w:themeColor="text1"/>
        </w:rPr>
        <w:t>axioscopic</w:t>
      </w:r>
      <w:proofErr w:type="spellEnd"/>
      <w:r w:rsidRPr="005C1BB0">
        <w:rPr>
          <w:rFonts w:ascii="Times New Roman" w:hAnsi="Times New Roman" w:cs="Times New Roman"/>
          <w:color w:val="000000" w:themeColor="text1"/>
        </w:rPr>
        <w:t xml:space="preserve"> microscope equipped with camera. </w:t>
      </w:r>
      <w:r w:rsidR="00D739E8" w:rsidRPr="005C1BB0">
        <w:rPr>
          <w:rFonts w:ascii="Times New Roman" w:hAnsi="Times New Roman" w:cs="Times New Roman"/>
          <w:color w:val="000000" w:themeColor="text1"/>
        </w:rPr>
        <w:t>Therefore, c</w:t>
      </w:r>
      <w:r w:rsidRPr="005C1BB0">
        <w:rPr>
          <w:rFonts w:ascii="Times New Roman" w:hAnsi="Times New Roman" w:cs="Times New Roman"/>
          <w:color w:val="000000" w:themeColor="text1"/>
        </w:rPr>
        <w:t xml:space="preserve">ells were counted manually with the help of Image J software (National Institute of Health (NIH), USA) for enhanced imaging and </w:t>
      </w:r>
      <w:r w:rsidR="00D739E8" w:rsidRPr="005C1BB0">
        <w:rPr>
          <w:rFonts w:ascii="Times New Roman" w:hAnsi="Times New Roman" w:cs="Times New Roman"/>
          <w:color w:val="000000" w:themeColor="text1"/>
        </w:rPr>
        <w:t>precise</w:t>
      </w:r>
      <w:r w:rsidRPr="005C1BB0">
        <w:rPr>
          <w:rFonts w:ascii="Times New Roman" w:hAnsi="Times New Roman" w:cs="Times New Roman"/>
          <w:color w:val="000000" w:themeColor="text1"/>
        </w:rPr>
        <w:t xml:space="preserve"> nuclear counting. Microscopic fields for counting were selected using a systematic uniform random sampling scheme </w:t>
      </w:r>
      <w:r w:rsidR="00CD3077" w:rsidRPr="005C1BB0">
        <w:rPr>
          <w:rFonts w:ascii="Times New Roman" w:hAnsi="Times New Roman" w:cs="Times New Roman"/>
          <w:color w:val="000000" w:themeColor="text1"/>
        </w:rPr>
        <w:t>[24]</w:t>
      </w:r>
      <w:r w:rsidRPr="005C1BB0">
        <w:rPr>
          <w:rFonts w:ascii="Times New Roman" w:hAnsi="Times New Roman" w:cs="Times New Roman"/>
          <w:color w:val="000000" w:themeColor="text1"/>
        </w:rPr>
        <w:t>. Thirty frames of 100 µm</w:t>
      </w:r>
      <w:r w:rsidRPr="005C1BB0">
        <w:rPr>
          <w:rFonts w:ascii="Times New Roman" w:hAnsi="Times New Roman" w:cs="Times New Roman"/>
          <w:color w:val="000000" w:themeColor="text1"/>
          <w:vertAlign w:val="superscript"/>
        </w:rPr>
        <w:t>2</w:t>
      </w:r>
      <w:r w:rsidRPr="005C1BB0">
        <w:rPr>
          <w:rFonts w:ascii="Times New Roman" w:hAnsi="Times New Roman" w:cs="Times New Roman"/>
          <w:color w:val="000000" w:themeColor="text1"/>
        </w:rPr>
        <w:t>, corresponding to 3000 µm</w:t>
      </w:r>
      <w:r w:rsidRPr="005C1BB0">
        <w:rPr>
          <w:rFonts w:ascii="Times New Roman" w:hAnsi="Times New Roman" w:cs="Times New Roman"/>
          <w:color w:val="000000" w:themeColor="text1"/>
          <w:vertAlign w:val="superscript"/>
        </w:rPr>
        <w:t>2</w:t>
      </w:r>
      <w:r w:rsidRPr="005C1BB0">
        <w:rPr>
          <w:rFonts w:ascii="Times New Roman" w:hAnsi="Times New Roman" w:cs="Times New Roman"/>
          <w:color w:val="000000" w:themeColor="text1"/>
        </w:rPr>
        <w:t xml:space="preserve"> were evaluated per animal. </w:t>
      </w:r>
      <w:r w:rsidR="00D739E8" w:rsidRPr="005C1BB0">
        <w:rPr>
          <w:rFonts w:ascii="Times New Roman" w:hAnsi="Times New Roman" w:cs="Times New Roman"/>
          <w:color w:val="000000" w:themeColor="text1"/>
        </w:rPr>
        <w:t xml:space="preserve">Sertoli cells and germ cells (spermatogonia, spermatocytes, and spermatids) were counted. </w:t>
      </w:r>
      <w:r w:rsidRPr="005C1BB0">
        <w:rPr>
          <w:rFonts w:ascii="Times New Roman" w:hAnsi="Times New Roman" w:cs="Times New Roman"/>
          <w:color w:val="000000" w:themeColor="text1"/>
        </w:rPr>
        <w:t>The numerical density (N</w:t>
      </w:r>
      <w:r w:rsidRPr="005C1BB0">
        <w:rPr>
          <w:rFonts w:ascii="Times New Roman" w:hAnsi="Times New Roman" w:cs="Times New Roman"/>
          <w:color w:val="000000" w:themeColor="text1"/>
          <w:vertAlign w:val="subscript"/>
        </w:rPr>
        <w:t>V</w:t>
      </w:r>
      <w:r w:rsidRPr="005C1BB0">
        <w:rPr>
          <w:rFonts w:ascii="Times New Roman" w:hAnsi="Times New Roman" w:cs="Times New Roman"/>
          <w:color w:val="000000" w:themeColor="text1"/>
        </w:rPr>
        <w:t xml:space="preserve">) of each cell type was calculated by dividing the number of cells counted by the volume of all dissectors: </w:t>
      </w:r>
    </w:p>
    <w:p w14:paraId="5D859287" w14:textId="77777777" w:rsidR="008E698A" w:rsidRPr="005C1BB0" w:rsidRDefault="008E698A" w:rsidP="008E698A">
      <w:pPr>
        <w:spacing w:before="120" w:after="120" w:line="480" w:lineRule="auto"/>
        <w:ind w:firstLine="720"/>
        <w:jc w:val="both"/>
        <w:rPr>
          <w:rFonts w:ascii="Times New Roman" w:hAnsi="Times New Roman" w:cs="Times New Roman"/>
          <w:color w:val="000000" w:themeColor="text1"/>
        </w:rPr>
      </w:pPr>
      <m:oMathPara>
        <m:oMath>
          <m:r>
            <m:rPr>
              <m:sty m:val="p"/>
            </m:rPr>
            <w:rPr>
              <w:rFonts w:ascii="Cambria Math" w:hAnsi="Cambria Math" w:cs="Times New Roman"/>
              <w:color w:val="000000" w:themeColor="text1"/>
            </w:rPr>
            <m:t>N</m:t>
          </m:r>
          <m:r>
            <m:rPr>
              <m:sty m:val="p"/>
            </m:rPr>
            <w:rPr>
              <w:rFonts w:ascii="Cambria Math" w:hAnsi="Cambria Math" w:cs="Times New Roman"/>
              <w:color w:val="000000" w:themeColor="text1"/>
              <w:sz w:val="22"/>
              <w:vertAlign w:val="subscript"/>
            </w:rPr>
            <m:t>v</m:t>
          </m:r>
          <m:r>
            <m:rPr>
              <m:sty m:val="p"/>
            </m:rPr>
            <w:rPr>
              <w:rFonts w:ascii="Cambria Math" w:hAnsi="Cambria Math" w:cs="Cambria Math"/>
              <w:color w:val="000000" w:themeColor="text1"/>
            </w:rPr>
            <m:t>=</m:t>
          </m:r>
          <m:f>
            <m:fPr>
              <m:ctrlPr>
                <w:rPr>
                  <w:rFonts w:ascii="Cambria Math" w:hAnsi="Cambria Math" w:cs="Times New Roman"/>
                  <w:color w:val="000000" w:themeColor="text1"/>
                </w:rPr>
              </m:ctrlPr>
            </m:fPr>
            <m:num>
              <m:r>
                <m:rPr>
                  <m:sty m:val="p"/>
                </m:rPr>
                <w:rPr>
                  <w:rFonts w:ascii="Cambria Math" w:hAnsi="Cambria Math" w:cs="Cambria Math"/>
                  <w:color w:val="000000" w:themeColor="text1"/>
                </w:rPr>
                <m:t>Number of cells counted</m:t>
              </m:r>
            </m:num>
            <m:den>
              <m:r>
                <m:rPr>
                  <m:sty m:val="p"/>
                </m:rPr>
                <w:rPr>
                  <w:rFonts w:ascii="Cambria Math" w:hAnsi="Cambria Math" w:cs="Cambria Math"/>
                  <w:color w:val="000000" w:themeColor="text1"/>
                </w:rPr>
                <m:t>Area of frame×Number of frames×Depth of section</m:t>
              </m:r>
            </m:den>
          </m:f>
        </m:oMath>
      </m:oMathPara>
    </w:p>
    <w:p w14:paraId="68533728" w14:textId="77777777" w:rsidR="008E698A" w:rsidRPr="005C1BB0" w:rsidRDefault="008E698A" w:rsidP="008E698A">
      <w:pPr>
        <w:spacing w:before="120" w:after="120" w:line="480" w:lineRule="auto"/>
        <w:ind w:firstLine="720"/>
        <w:jc w:val="both"/>
        <w:rPr>
          <w:rFonts w:ascii="Times New Roman" w:hAnsi="Times New Roman" w:cs="Times New Roman"/>
          <w:color w:val="000000" w:themeColor="text1"/>
        </w:rPr>
      </w:pPr>
      <w:r w:rsidRPr="005C1BB0">
        <w:rPr>
          <w:rFonts w:ascii="Times New Roman" w:hAnsi="Times New Roman" w:cs="Times New Roman"/>
          <w:color w:val="000000" w:themeColor="text1"/>
        </w:rPr>
        <w:t>The number of cells (Nc) per testis was calculated as:</w:t>
      </w:r>
    </w:p>
    <w:p w14:paraId="5B77EBDF" w14:textId="77777777" w:rsidR="008E698A" w:rsidRPr="005C1BB0" w:rsidRDefault="008E698A" w:rsidP="008E698A">
      <w:pPr>
        <w:spacing w:before="120" w:after="120" w:line="480" w:lineRule="auto"/>
        <w:ind w:firstLine="720"/>
        <w:jc w:val="both"/>
        <w:rPr>
          <w:rFonts w:ascii="Times New Roman" w:hAnsi="Times New Roman" w:cs="Times New Roman"/>
          <w:color w:val="000000" w:themeColor="text1"/>
        </w:rPr>
      </w:pPr>
      <m:oMathPara>
        <m:oMath>
          <m:r>
            <w:rPr>
              <w:rFonts w:ascii="Cambria Math" w:hAnsi="Cambria Math" w:cs="Times New Roman"/>
              <w:color w:val="000000" w:themeColor="text1"/>
            </w:rPr>
            <m:t>Nc=N</m:t>
          </m:r>
          <m:r>
            <m:rPr>
              <m:sty m:val="p"/>
            </m:rPr>
            <w:rPr>
              <w:rFonts w:ascii="Cambria Math" w:hAnsi="Cambria Math" w:cs="Times New Roman"/>
              <w:color w:val="000000" w:themeColor="text1"/>
              <w:sz w:val="22"/>
              <w:vertAlign w:val="subscript"/>
            </w:rPr>
            <m:t>v×Testis weight</m:t>
          </m:r>
        </m:oMath>
      </m:oMathPara>
    </w:p>
    <w:p w14:paraId="22A0AAE5" w14:textId="77777777" w:rsidR="008E698A" w:rsidRPr="005C1BB0" w:rsidRDefault="008E698A" w:rsidP="008E698A">
      <w:pPr>
        <w:spacing w:before="120" w:after="120" w:line="480" w:lineRule="auto"/>
        <w:ind w:firstLine="720"/>
        <w:jc w:val="both"/>
        <w:rPr>
          <w:rFonts w:ascii="Times New Roman" w:hAnsi="Times New Roman" w:cs="Times New Roman"/>
          <w:color w:val="000000" w:themeColor="text1"/>
          <w:lang w:val="en-GB"/>
        </w:rPr>
      </w:pPr>
    </w:p>
    <w:p w14:paraId="08C8E7B7" w14:textId="77777777" w:rsidR="00B20791" w:rsidRPr="005C1BB0" w:rsidRDefault="00B20791" w:rsidP="00F35532">
      <w:pPr>
        <w:tabs>
          <w:tab w:val="left" w:pos="3777"/>
        </w:tabs>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Testicular histology</w:t>
      </w:r>
    </w:p>
    <w:p w14:paraId="1E6E06C3" w14:textId="77777777" w:rsidR="008E698A" w:rsidRPr="005C1BB0" w:rsidRDefault="008E698A" w:rsidP="008E698A">
      <w:pPr>
        <w:tabs>
          <w:tab w:val="left" w:pos="3777"/>
        </w:tabs>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rPr>
        <w:t>A portion of testis was fixed in 4% paraformaldehyde for overnight. Further, dehydrated in ethanol, cleared by Xylene and embedded in paraffin wax. A 5 µm thin section was stained with Harris’s haematoxylin and eosin. Following staining specimens were observed under light microscope at various magnifications.</w:t>
      </w:r>
    </w:p>
    <w:p w14:paraId="7E0631EA" w14:textId="77777777" w:rsidR="00B20791" w:rsidRPr="005C1BB0" w:rsidRDefault="00B20791" w:rsidP="004C7866">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Oxidative stress parameters</w:t>
      </w:r>
    </w:p>
    <w:p w14:paraId="4EB5DE5C" w14:textId="77777777" w:rsidR="00F35532" w:rsidRPr="005C1BB0" w:rsidRDefault="00F35532"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Testicular tissues stored at – 20 </w:t>
      </w:r>
      <w:r w:rsidR="00EC4FEA" w:rsidRPr="005C1BB0">
        <w:rPr>
          <w:rFonts w:ascii="Times New Roman" w:hAnsi="Times New Roman" w:cs="Times New Roman"/>
          <w:color w:val="000000" w:themeColor="text1"/>
          <w:lang w:val="en-GB"/>
        </w:rPr>
        <w:t>ºC</w:t>
      </w:r>
      <w:r w:rsidRPr="005C1BB0">
        <w:rPr>
          <w:rFonts w:ascii="Times New Roman" w:hAnsi="Times New Roman" w:cs="Times New Roman"/>
          <w:color w:val="000000" w:themeColor="text1"/>
          <w:lang w:val="en-GB"/>
        </w:rPr>
        <w:t xml:space="preserve"> were thawed and homogenized in 10% w/v potassium phosphate buffer</w:t>
      </w:r>
      <w:r w:rsidR="006C156F" w:rsidRPr="005C1BB0">
        <w:rPr>
          <w:rFonts w:ascii="Times New Roman" w:hAnsi="Times New Roman" w:cs="Times New Roman"/>
          <w:color w:val="000000" w:themeColor="text1"/>
          <w:lang w:val="en-GB"/>
        </w:rPr>
        <w:t xml:space="preserve"> (PPB)</w:t>
      </w:r>
      <w:r w:rsidRPr="005C1BB0">
        <w:rPr>
          <w:rFonts w:ascii="Times New Roman" w:hAnsi="Times New Roman" w:cs="Times New Roman"/>
          <w:color w:val="000000" w:themeColor="text1"/>
          <w:lang w:val="en-GB"/>
        </w:rPr>
        <w:t xml:space="preserve"> (pH 7). The </w:t>
      </w:r>
      <w:r w:rsidR="006C156F" w:rsidRPr="005C1BB0">
        <w:rPr>
          <w:rFonts w:ascii="Times New Roman" w:hAnsi="Times New Roman" w:cs="Times New Roman"/>
          <w:color w:val="000000" w:themeColor="text1"/>
          <w:lang w:val="en-GB"/>
        </w:rPr>
        <w:t xml:space="preserve">tissue </w:t>
      </w:r>
      <w:r w:rsidRPr="005C1BB0">
        <w:rPr>
          <w:rFonts w:ascii="Times New Roman" w:hAnsi="Times New Roman" w:cs="Times New Roman"/>
          <w:color w:val="000000" w:themeColor="text1"/>
          <w:lang w:val="en-GB"/>
        </w:rPr>
        <w:t xml:space="preserve">homogenate was used to calibrate TBARS and GSH. A portion of homogenate was </w:t>
      </w:r>
      <w:r w:rsidR="00256165" w:rsidRPr="005C1BB0">
        <w:rPr>
          <w:rFonts w:ascii="Times New Roman" w:hAnsi="Times New Roman" w:cs="Times New Roman"/>
          <w:color w:val="000000" w:themeColor="text1"/>
          <w:lang w:val="en-GB"/>
        </w:rPr>
        <w:t xml:space="preserve">centrifuged for 60 min centrifugation at 40000 g and supernatant was </w:t>
      </w:r>
      <w:r w:rsidRPr="005C1BB0">
        <w:rPr>
          <w:rFonts w:ascii="Times New Roman" w:hAnsi="Times New Roman" w:cs="Times New Roman"/>
          <w:color w:val="000000" w:themeColor="text1"/>
          <w:lang w:val="en-GB"/>
        </w:rPr>
        <w:t xml:space="preserve">used for estimation of SOD and </w:t>
      </w:r>
      <w:proofErr w:type="spellStart"/>
      <w:r w:rsidRPr="005C1BB0">
        <w:rPr>
          <w:rFonts w:ascii="Times New Roman" w:hAnsi="Times New Roman" w:cs="Times New Roman"/>
          <w:color w:val="000000" w:themeColor="text1"/>
          <w:lang w:val="en-GB"/>
        </w:rPr>
        <w:t>CAT</w:t>
      </w:r>
      <w:r w:rsidR="00256165" w:rsidRPr="005C1BB0">
        <w:rPr>
          <w:rFonts w:ascii="Times New Roman" w:hAnsi="Times New Roman" w:cs="Times New Roman"/>
          <w:color w:val="000000" w:themeColor="text1"/>
          <w:lang w:val="en-GB"/>
        </w:rPr>
        <w:t>.Concentration</w:t>
      </w:r>
      <w:proofErr w:type="spellEnd"/>
      <w:r w:rsidR="00256165" w:rsidRPr="005C1BB0">
        <w:rPr>
          <w:rFonts w:ascii="Times New Roman" w:hAnsi="Times New Roman" w:cs="Times New Roman"/>
          <w:color w:val="000000" w:themeColor="text1"/>
          <w:lang w:val="en-GB"/>
        </w:rPr>
        <w:t xml:space="preserve"> of protein was estimated according to the method explained by </w:t>
      </w:r>
      <w:proofErr w:type="gramStart"/>
      <w:r w:rsidR="00256165" w:rsidRPr="005C1BB0">
        <w:rPr>
          <w:rFonts w:ascii="Times New Roman" w:hAnsi="Times New Roman" w:cs="Times New Roman"/>
          <w:color w:val="000000" w:themeColor="text1"/>
          <w:lang w:val="en-GB"/>
        </w:rPr>
        <w:t>Bradford</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2</w:t>
      </w:r>
      <w:r w:rsidR="00040457" w:rsidRPr="005C1BB0">
        <w:rPr>
          <w:rFonts w:ascii="Times New Roman" w:hAnsi="Times New Roman" w:cs="Times New Roman"/>
          <w:color w:val="000000" w:themeColor="text1"/>
          <w:lang w:val="en-GB"/>
        </w:rPr>
        <w:t>5</w:t>
      </w:r>
      <w:r w:rsidR="007C74FF" w:rsidRPr="005C1BB0">
        <w:rPr>
          <w:rFonts w:ascii="Times New Roman" w:hAnsi="Times New Roman" w:cs="Times New Roman"/>
          <w:color w:val="000000" w:themeColor="text1"/>
          <w:lang w:val="en-GB"/>
        </w:rPr>
        <w:t>]</w:t>
      </w:r>
      <w:r w:rsidR="00C35696" w:rsidRPr="005C1BB0">
        <w:rPr>
          <w:rFonts w:ascii="Times New Roman" w:hAnsi="Times New Roman" w:cs="Times New Roman"/>
          <w:color w:val="000000" w:themeColor="text1"/>
          <w:lang w:val="en-GB"/>
        </w:rPr>
        <w:t>.</w:t>
      </w:r>
    </w:p>
    <w:p w14:paraId="32204F1B" w14:textId="77777777" w:rsidR="004C7866" w:rsidRPr="005C1BB0" w:rsidRDefault="00F35532" w:rsidP="00C97C85">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GSH</w:t>
      </w:r>
    </w:p>
    <w:p w14:paraId="1C8796ED" w14:textId="77777777" w:rsidR="005724B9" w:rsidRPr="005C1BB0" w:rsidRDefault="006C156F"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Testicular glutathione was estimated according to the method described by </w:t>
      </w:r>
      <w:proofErr w:type="spellStart"/>
      <w:r w:rsidRPr="005C1BB0">
        <w:rPr>
          <w:rFonts w:ascii="Times New Roman" w:hAnsi="Times New Roman" w:cs="Times New Roman"/>
          <w:color w:val="000000" w:themeColor="text1"/>
          <w:lang w:val="en-GB"/>
        </w:rPr>
        <w:t>Hissin</w:t>
      </w:r>
      <w:proofErr w:type="spellEnd"/>
      <w:r w:rsidRPr="005C1BB0">
        <w:rPr>
          <w:rFonts w:ascii="Times New Roman" w:hAnsi="Times New Roman" w:cs="Times New Roman"/>
          <w:color w:val="000000" w:themeColor="text1"/>
          <w:lang w:val="en-GB"/>
        </w:rPr>
        <w:t xml:space="preserve"> and </w:t>
      </w:r>
      <w:proofErr w:type="spellStart"/>
      <w:proofErr w:type="gramStart"/>
      <w:r w:rsidRPr="005C1BB0">
        <w:rPr>
          <w:rFonts w:ascii="Times New Roman" w:hAnsi="Times New Roman" w:cs="Times New Roman"/>
          <w:color w:val="000000" w:themeColor="text1"/>
          <w:lang w:val="en-GB"/>
        </w:rPr>
        <w:t>Hilf</w:t>
      </w:r>
      <w:proofErr w:type="spellEnd"/>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2</w:t>
      </w:r>
      <w:r w:rsidR="00040457" w:rsidRPr="005C1BB0">
        <w:rPr>
          <w:rFonts w:ascii="Times New Roman" w:hAnsi="Times New Roman" w:cs="Times New Roman"/>
          <w:color w:val="000000" w:themeColor="text1"/>
          <w:lang w:val="en-GB"/>
        </w:rPr>
        <w:t>6</w:t>
      </w:r>
      <w:r w:rsidR="007C74FF" w:rsidRPr="005C1BB0">
        <w:rPr>
          <w:rFonts w:ascii="Times New Roman" w:hAnsi="Times New Roman" w:cs="Times New Roman"/>
          <w:color w:val="000000" w:themeColor="text1"/>
          <w:lang w:val="en-GB"/>
        </w:rPr>
        <w:t>]</w:t>
      </w:r>
      <w:r w:rsidRPr="005C1BB0">
        <w:rPr>
          <w:rFonts w:ascii="Times New Roman" w:hAnsi="Times New Roman" w:cs="Times New Roman"/>
          <w:color w:val="000000" w:themeColor="text1"/>
          <w:lang w:val="en-GB"/>
        </w:rPr>
        <w:t>. In short, 250 mg of cell pellet was resuspended in metaphosphoric acid and PPB</w:t>
      </w:r>
      <w:r w:rsidR="00EC4FEA" w:rsidRPr="005C1BB0">
        <w:rPr>
          <w:rFonts w:ascii="Times New Roman" w:hAnsi="Times New Roman" w:cs="Times New Roman"/>
          <w:color w:val="000000" w:themeColor="text1"/>
          <w:lang w:val="en-GB"/>
        </w:rPr>
        <w:t xml:space="preserve"> (pH 8). The tissue suspension was sonicated for 10 min and later centrifuged at 30000 g for 30 min. The supernatant was aspirated and stored at 0 ºC, which was used for the GSH assay. The assay was performed the same day to avoid discrepancies in results. A 0.2 ml of supernatant was incubated with PPB (pH 8) and 0.1 ml of fluorescence reagent o-</w:t>
      </w:r>
      <w:proofErr w:type="spellStart"/>
      <w:r w:rsidR="00EC4FEA" w:rsidRPr="005C1BB0">
        <w:rPr>
          <w:rFonts w:ascii="Times New Roman" w:hAnsi="Times New Roman" w:cs="Times New Roman"/>
          <w:color w:val="000000" w:themeColor="text1"/>
          <w:lang w:val="en-GB"/>
        </w:rPr>
        <w:t>phthalaldehyde</w:t>
      </w:r>
      <w:proofErr w:type="spellEnd"/>
      <w:r w:rsidR="00EC4FEA" w:rsidRPr="005C1BB0">
        <w:rPr>
          <w:rFonts w:ascii="Times New Roman" w:hAnsi="Times New Roman" w:cs="Times New Roman"/>
          <w:color w:val="000000" w:themeColor="text1"/>
          <w:lang w:val="en-GB"/>
        </w:rPr>
        <w:t xml:space="preserve"> for 15 min. Level of GSH was measured fluorometrically in spectrophotometer at 420 nm emission and 350 nm excitation wavelengths. </w:t>
      </w:r>
    </w:p>
    <w:p w14:paraId="18B5CCF4" w14:textId="77777777" w:rsidR="00F35532" w:rsidRPr="005C1BB0" w:rsidRDefault="00F35532" w:rsidP="00DB578B">
      <w:pPr>
        <w:spacing w:before="120" w:after="120" w:line="480" w:lineRule="auto"/>
        <w:jc w:val="both"/>
        <w:rPr>
          <w:rFonts w:ascii="Times New Roman" w:hAnsi="Times New Roman" w:cs="Times New Roman"/>
          <w:color w:val="000000" w:themeColor="text1"/>
          <w:lang w:val="en-GB"/>
        </w:rPr>
      </w:pPr>
      <w:proofErr w:type="spellStart"/>
      <w:r w:rsidRPr="005C1BB0">
        <w:rPr>
          <w:rFonts w:ascii="Times New Roman" w:hAnsi="Times New Roman" w:cs="Times New Roman"/>
          <w:color w:val="000000" w:themeColor="text1"/>
          <w:lang w:val="en-GB"/>
        </w:rPr>
        <w:t>GPx</w:t>
      </w:r>
      <w:proofErr w:type="spellEnd"/>
    </w:p>
    <w:p w14:paraId="118471BA" w14:textId="77777777" w:rsidR="00DB578B" w:rsidRPr="005C1BB0" w:rsidRDefault="00DB578B"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Activity of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in the testicular tissue was estimated according to the method explained in Wood </w:t>
      </w:r>
      <w:r w:rsidR="007C74FF" w:rsidRPr="005C1BB0">
        <w:rPr>
          <w:rFonts w:ascii="Times New Roman" w:hAnsi="Times New Roman" w:cs="Times New Roman"/>
          <w:color w:val="000000" w:themeColor="text1"/>
          <w:lang w:val="en-GB"/>
        </w:rPr>
        <w:t>[2</w:t>
      </w:r>
      <w:r w:rsidR="00040457" w:rsidRPr="005C1BB0">
        <w:rPr>
          <w:rFonts w:ascii="Times New Roman" w:hAnsi="Times New Roman" w:cs="Times New Roman"/>
          <w:color w:val="000000" w:themeColor="text1"/>
          <w:lang w:val="en-GB"/>
        </w:rPr>
        <w:t>7</w:t>
      </w:r>
      <w:r w:rsidR="007C74FF" w:rsidRPr="005C1BB0">
        <w:rPr>
          <w:rFonts w:ascii="Times New Roman" w:hAnsi="Times New Roman" w:cs="Times New Roman"/>
          <w:color w:val="000000" w:themeColor="text1"/>
          <w:lang w:val="en-GB"/>
        </w:rPr>
        <w:t>]</w:t>
      </w:r>
      <w:r w:rsidRPr="005C1BB0">
        <w:rPr>
          <w:rFonts w:ascii="Times New Roman" w:hAnsi="Times New Roman" w:cs="Times New Roman"/>
          <w:color w:val="000000" w:themeColor="text1"/>
          <w:lang w:val="en-GB"/>
        </w:rPr>
        <w:t xml:space="preserve">. Briefly, tissue homogenate was centrifuged at 14000 g for 25 min, later 50 µl of supernatant aspirated and added with glutathione reductase solution (25 µl), </w:t>
      </w:r>
      <w:r w:rsidRPr="005C1BB0">
        <w:rPr>
          <w:rFonts w:ascii="Times New Roman" w:hAnsi="Times New Roman" w:cs="Times New Roman"/>
          <w:color w:val="000000" w:themeColor="text1"/>
          <w:lang w:val="en-GB"/>
        </w:rPr>
        <w:lastRenderedPageBreak/>
        <w:t>sodium azide (25 µl), Na</w:t>
      </w:r>
      <w:r w:rsidRPr="005C1BB0">
        <w:rPr>
          <w:rFonts w:ascii="Times New Roman" w:hAnsi="Times New Roman" w:cs="Times New Roman"/>
          <w:color w:val="000000" w:themeColor="text1"/>
          <w:vertAlign w:val="subscript"/>
          <w:lang w:val="en-GB"/>
        </w:rPr>
        <w:t>2</w:t>
      </w:r>
      <w:r w:rsidRPr="005C1BB0">
        <w:rPr>
          <w:rFonts w:ascii="Times New Roman" w:hAnsi="Times New Roman" w:cs="Times New Roman"/>
          <w:color w:val="000000" w:themeColor="text1"/>
          <w:lang w:val="en-GB"/>
        </w:rPr>
        <w:t>EDTA (50 µl) and phosphate buffer solution (700 µl). The solution was mixed properly at room temperature and later added with hydrogen peroxide to commence the reaction. The decline in absorbance due to NADP conversion was quickly noted spectrophotometrically at 340 nm emission wavelength at every 1 min for 5 min.</w:t>
      </w:r>
    </w:p>
    <w:p w14:paraId="210BB22E" w14:textId="77777777" w:rsidR="00F35532" w:rsidRPr="005C1BB0" w:rsidRDefault="00F35532" w:rsidP="006B5C75">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SOD</w:t>
      </w:r>
    </w:p>
    <w:p w14:paraId="58BF5EBC" w14:textId="77777777" w:rsidR="00DB578B" w:rsidRPr="005C1BB0" w:rsidRDefault="007C7FBC"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Superoxide dismutase was measured in testicular tissues samples </w:t>
      </w:r>
      <w:r w:rsidR="005052BF" w:rsidRPr="005C1BB0">
        <w:rPr>
          <w:rFonts w:ascii="Times New Roman" w:hAnsi="Times New Roman" w:cs="Times New Roman"/>
          <w:color w:val="000000" w:themeColor="text1"/>
          <w:lang w:val="en-GB"/>
        </w:rPr>
        <w:t xml:space="preserve">spectrophotometrically </w:t>
      </w:r>
      <w:r w:rsidRPr="005C1BB0">
        <w:rPr>
          <w:rFonts w:ascii="Times New Roman" w:hAnsi="Times New Roman" w:cs="Times New Roman"/>
          <w:color w:val="000000" w:themeColor="text1"/>
          <w:lang w:val="en-GB"/>
        </w:rPr>
        <w:t>by method described by Marklund</w:t>
      </w:r>
      <w:r w:rsidR="005052BF" w:rsidRPr="005C1BB0">
        <w:rPr>
          <w:rFonts w:ascii="Times New Roman" w:hAnsi="Times New Roman" w:cs="Times New Roman"/>
          <w:color w:val="000000" w:themeColor="text1"/>
          <w:lang w:val="en-GB"/>
        </w:rPr>
        <w:t xml:space="preserve"> and </w:t>
      </w:r>
      <w:proofErr w:type="gramStart"/>
      <w:r w:rsidR="005052BF" w:rsidRPr="005C1BB0">
        <w:rPr>
          <w:rFonts w:ascii="Times New Roman" w:hAnsi="Times New Roman" w:cs="Times New Roman"/>
          <w:color w:val="000000" w:themeColor="text1"/>
          <w:lang w:val="en-GB"/>
        </w:rPr>
        <w:t>Marklund</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2</w:t>
      </w:r>
      <w:r w:rsidR="00040457" w:rsidRPr="005C1BB0">
        <w:rPr>
          <w:rFonts w:ascii="Times New Roman" w:hAnsi="Times New Roman" w:cs="Times New Roman"/>
          <w:color w:val="000000" w:themeColor="text1"/>
          <w:lang w:val="en-GB"/>
        </w:rPr>
        <w:t>8</w:t>
      </w:r>
      <w:r w:rsidR="007C74FF" w:rsidRPr="005C1BB0">
        <w:rPr>
          <w:rFonts w:ascii="Times New Roman" w:hAnsi="Times New Roman" w:cs="Times New Roman"/>
          <w:color w:val="000000" w:themeColor="text1"/>
          <w:lang w:val="en-GB"/>
        </w:rPr>
        <w:t>]</w:t>
      </w:r>
      <w:r w:rsidR="005052BF" w:rsidRPr="005C1BB0">
        <w:rPr>
          <w:rFonts w:ascii="Times New Roman" w:hAnsi="Times New Roman" w:cs="Times New Roman"/>
          <w:color w:val="000000" w:themeColor="text1"/>
          <w:lang w:val="en-GB"/>
        </w:rPr>
        <w:t>. Spectrophotometer was set to zero by Tris EDTA buffer (pH 7.9). Later Pyrogallol solution was prepared by adding pyrogallol (</w:t>
      </w:r>
      <w:r w:rsidR="00A23382" w:rsidRPr="005C1BB0">
        <w:rPr>
          <w:rFonts w:ascii="Times New Roman" w:hAnsi="Times New Roman" w:cs="Times New Roman"/>
          <w:color w:val="000000" w:themeColor="text1"/>
          <w:lang w:val="en-GB"/>
        </w:rPr>
        <w:t>2.6 mM</w:t>
      </w:r>
      <w:r w:rsidR="005052BF" w:rsidRPr="005C1BB0">
        <w:rPr>
          <w:rFonts w:ascii="Times New Roman" w:hAnsi="Times New Roman" w:cs="Times New Roman"/>
          <w:color w:val="000000" w:themeColor="text1"/>
          <w:lang w:val="en-GB"/>
        </w:rPr>
        <w:t>) was dissolved in conc. HCl (</w:t>
      </w:r>
      <w:r w:rsidR="00A23382" w:rsidRPr="005C1BB0">
        <w:rPr>
          <w:rFonts w:ascii="Times New Roman" w:hAnsi="Times New Roman" w:cs="Times New Roman"/>
          <w:color w:val="000000" w:themeColor="text1"/>
          <w:lang w:val="en-GB"/>
        </w:rPr>
        <w:t>10 mM</w:t>
      </w:r>
      <w:r w:rsidR="005052BF" w:rsidRPr="005C1BB0">
        <w:rPr>
          <w:rFonts w:ascii="Times New Roman" w:hAnsi="Times New Roman" w:cs="Times New Roman"/>
          <w:color w:val="000000" w:themeColor="text1"/>
          <w:lang w:val="en-GB"/>
        </w:rPr>
        <w:t xml:space="preserve">) </w:t>
      </w:r>
      <w:r w:rsidR="00A23382" w:rsidRPr="005C1BB0">
        <w:rPr>
          <w:rFonts w:ascii="Times New Roman" w:hAnsi="Times New Roman" w:cs="Times New Roman"/>
          <w:color w:val="000000" w:themeColor="text1"/>
          <w:lang w:val="en-GB"/>
        </w:rPr>
        <w:t>to achieve a final 0.13 mM concentration of pyrogallol</w:t>
      </w:r>
      <w:r w:rsidR="005052BF" w:rsidRPr="005C1BB0">
        <w:rPr>
          <w:rFonts w:ascii="Times New Roman" w:hAnsi="Times New Roman" w:cs="Times New Roman"/>
          <w:color w:val="000000" w:themeColor="text1"/>
          <w:lang w:val="en-GB"/>
        </w:rPr>
        <w:t>. Control and test samples</w:t>
      </w:r>
      <w:r w:rsidR="00A23382" w:rsidRPr="005C1BB0">
        <w:rPr>
          <w:rFonts w:ascii="Times New Roman" w:hAnsi="Times New Roman" w:cs="Times New Roman"/>
          <w:color w:val="000000" w:themeColor="text1"/>
          <w:lang w:val="en-GB"/>
        </w:rPr>
        <w:t xml:space="preserve"> (1:4, w/</w:t>
      </w:r>
      <w:proofErr w:type="gramStart"/>
      <w:r w:rsidR="00A23382" w:rsidRPr="005C1BB0">
        <w:rPr>
          <w:rFonts w:ascii="Times New Roman" w:hAnsi="Times New Roman" w:cs="Times New Roman"/>
          <w:color w:val="000000" w:themeColor="text1"/>
          <w:lang w:val="en-GB"/>
        </w:rPr>
        <w:t>v)were</w:t>
      </w:r>
      <w:proofErr w:type="gramEnd"/>
      <w:r w:rsidR="00A23382" w:rsidRPr="005C1BB0">
        <w:rPr>
          <w:rFonts w:ascii="Times New Roman" w:hAnsi="Times New Roman" w:cs="Times New Roman"/>
          <w:color w:val="000000" w:themeColor="text1"/>
          <w:lang w:val="en-GB"/>
        </w:rPr>
        <w:t xml:space="preserve"> centrifuged at 30000 g for 30 min and supernatant was collected. A 5 µl of supernatant </w:t>
      </w:r>
      <w:r w:rsidR="005052BF" w:rsidRPr="005C1BB0">
        <w:rPr>
          <w:rFonts w:ascii="Times New Roman" w:hAnsi="Times New Roman" w:cs="Times New Roman"/>
          <w:color w:val="000000" w:themeColor="text1"/>
          <w:lang w:val="en-GB"/>
        </w:rPr>
        <w:t>w</w:t>
      </w:r>
      <w:r w:rsidR="00A23382" w:rsidRPr="005C1BB0">
        <w:rPr>
          <w:rFonts w:ascii="Times New Roman" w:hAnsi="Times New Roman" w:cs="Times New Roman"/>
          <w:color w:val="000000" w:themeColor="text1"/>
          <w:lang w:val="en-GB"/>
        </w:rPr>
        <w:t>as</w:t>
      </w:r>
      <w:r w:rsidR="005052BF" w:rsidRPr="005C1BB0">
        <w:rPr>
          <w:rFonts w:ascii="Times New Roman" w:hAnsi="Times New Roman" w:cs="Times New Roman"/>
          <w:color w:val="000000" w:themeColor="text1"/>
          <w:lang w:val="en-GB"/>
        </w:rPr>
        <w:t xml:space="preserve"> pipetted in to test tube </w:t>
      </w:r>
      <w:r w:rsidR="00A23382" w:rsidRPr="005C1BB0">
        <w:rPr>
          <w:rFonts w:ascii="Times New Roman" w:hAnsi="Times New Roman" w:cs="Times New Roman"/>
          <w:color w:val="000000" w:themeColor="text1"/>
          <w:lang w:val="en-GB"/>
        </w:rPr>
        <w:t xml:space="preserve">containing 100 µl of Pyrogallol solution. </w:t>
      </w:r>
      <w:proofErr w:type="spellStart"/>
      <w:proofErr w:type="gramStart"/>
      <w:r w:rsidR="00A23382" w:rsidRPr="005C1BB0">
        <w:rPr>
          <w:rFonts w:ascii="Times New Roman" w:hAnsi="Times New Roman" w:cs="Times New Roman"/>
          <w:color w:val="000000" w:themeColor="text1"/>
          <w:lang w:val="en-GB"/>
        </w:rPr>
        <w:t>Later,increase</w:t>
      </w:r>
      <w:proofErr w:type="spellEnd"/>
      <w:proofErr w:type="gramEnd"/>
      <w:r w:rsidR="00A23382" w:rsidRPr="005C1BB0">
        <w:rPr>
          <w:rFonts w:ascii="Times New Roman" w:hAnsi="Times New Roman" w:cs="Times New Roman"/>
          <w:color w:val="000000" w:themeColor="text1"/>
          <w:lang w:val="en-GB"/>
        </w:rPr>
        <w:t xml:space="preserve"> in absorbance was noted at zero time and 1 min post reactive </w:t>
      </w:r>
      <w:proofErr w:type="spellStart"/>
      <w:r w:rsidR="00A23382" w:rsidRPr="005C1BB0">
        <w:rPr>
          <w:rFonts w:ascii="Times New Roman" w:hAnsi="Times New Roman" w:cs="Times New Roman"/>
          <w:color w:val="000000" w:themeColor="text1"/>
          <w:lang w:val="en-GB"/>
        </w:rPr>
        <w:t>incubation</w:t>
      </w:r>
      <w:r w:rsidR="00AE0359" w:rsidRPr="005C1BB0">
        <w:rPr>
          <w:rFonts w:ascii="Times New Roman" w:hAnsi="Times New Roman" w:cs="Times New Roman"/>
          <w:color w:val="000000" w:themeColor="text1"/>
          <w:lang w:val="en-GB"/>
        </w:rPr>
        <w:t>,</w:t>
      </w:r>
      <w:r w:rsidR="005052BF" w:rsidRPr="005C1BB0">
        <w:rPr>
          <w:rFonts w:ascii="Times New Roman" w:hAnsi="Times New Roman" w:cs="Times New Roman"/>
          <w:color w:val="000000" w:themeColor="text1"/>
          <w:lang w:val="en-GB"/>
        </w:rPr>
        <w:t>autooxidation</w:t>
      </w:r>
      <w:proofErr w:type="spellEnd"/>
      <w:r w:rsidR="005052BF" w:rsidRPr="005C1BB0">
        <w:rPr>
          <w:rFonts w:ascii="Times New Roman" w:hAnsi="Times New Roman" w:cs="Times New Roman"/>
          <w:color w:val="000000" w:themeColor="text1"/>
          <w:lang w:val="en-GB"/>
        </w:rPr>
        <w:t xml:space="preserve"> of pyrogallol solution was measured at 420 nm.</w:t>
      </w:r>
    </w:p>
    <w:p w14:paraId="40A22BD6" w14:textId="77777777" w:rsidR="00F35532" w:rsidRPr="005C1BB0" w:rsidRDefault="00F35532" w:rsidP="00B37B24">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CAT</w:t>
      </w:r>
    </w:p>
    <w:p w14:paraId="28788CE8" w14:textId="77777777" w:rsidR="00BD41D6" w:rsidRPr="005C1BB0" w:rsidRDefault="00B37B24"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The activity of catalase was estimated according to </w:t>
      </w:r>
      <w:r w:rsidR="009F3FC9" w:rsidRPr="005C1BB0">
        <w:rPr>
          <w:rFonts w:ascii="Times New Roman" w:hAnsi="Times New Roman" w:cs="Times New Roman"/>
          <w:color w:val="000000" w:themeColor="text1"/>
          <w:lang w:val="en-GB"/>
        </w:rPr>
        <w:t xml:space="preserve">method </w:t>
      </w:r>
      <w:r w:rsidR="002F75AE" w:rsidRPr="005C1BB0">
        <w:rPr>
          <w:rFonts w:ascii="Times New Roman" w:hAnsi="Times New Roman" w:cs="Times New Roman"/>
          <w:color w:val="000000" w:themeColor="text1"/>
          <w:lang w:val="en-GB"/>
        </w:rPr>
        <w:t xml:space="preserve">explained by </w:t>
      </w:r>
      <w:r w:rsidRPr="005C1BB0">
        <w:rPr>
          <w:rFonts w:ascii="Times New Roman" w:hAnsi="Times New Roman" w:cs="Times New Roman"/>
          <w:color w:val="000000" w:themeColor="text1"/>
          <w:lang w:val="en-GB"/>
        </w:rPr>
        <w:t>Aeb</w:t>
      </w:r>
      <w:r w:rsidR="009F3FC9" w:rsidRPr="005C1BB0">
        <w:rPr>
          <w:rFonts w:ascii="Times New Roman" w:hAnsi="Times New Roman" w:cs="Times New Roman"/>
          <w:color w:val="000000" w:themeColor="text1"/>
          <w:lang w:val="en-GB"/>
        </w:rPr>
        <w:t xml:space="preserve">i </w:t>
      </w:r>
      <w:r w:rsidR="007C74FF" w:rsidRPr="005C1BB0">
        <w:rPr>
          <w:rFonts w:ascii="Times New Roman" w:hAnsi="Times New Roman" w:cs="Times New Roman"/>
          <w:color w:val="000000" w:themeColor="text1"/>
          <w:lang w:val="en-GB"/>
        </w:rPr>
        <w:t>[2</w:t>
      </w:r>
      <w:r w:rsidR="00040457" w:rsidRPr="005C1BB0">
        <w:rPr>
          <w:rFonts w:ascii="Times New Roman" w:hAnsi="Times New Roman" w:cs="Times New Roman"/>
          <w:color w:val="000000" w:themeColor="text1"/>
          <w:lang w:val="en-GB"/>
        </w:rPr>
        <w:t>9</w:t>
      </w:r>
      <w:r w:rsidR="007C74FF" w:rsidRPr="005C1BB0">
        <w:rPr>
          <w:rFonts w:ascii="Times New Roman" w:hAnsi="Times New Roman" w:cs="Times New Roman"/>
          <w:color w:val="000000" w:themeColor="text1"/>
          <w:lang w:val="en-GB"/>
        </w:rPr>
        <w:t>]</w:t>
      </w:r>
      <w:r w:rsidR="002F75AE" w:rsidRPr="005C1BB0">
        <w:rPr>
          <w:rFonts w:ascii="Times New Roman" w:hAnsi="Times New Roman" w:cs="Times New Roman"/>
          <w:color w:val="000000" w:themeColor="text1"/>
          <w:lang w:val="en-GB"/>
        </w:rPr>
        <w:t>. Briefly, catalase was estimated by measuring its utilization during decomposition of H</w:t>
      </w:r>
      <w:r w:rsidR="002F75AE" w:rsidRPr="005C1BB0">
        <w:rPr>
          <w:rFonts w:ascii="Times New Roman" w:hAnsi="Times New Roman" w:cs="Times New Roman"/>
          <w:color w:val="000000" w:themeColor="text1"/>
          <w:vertAlign w:val="subscript"/>
          <w:lang w:val="en-GB"/>
        </w:rPr>
        <w:t>2</w:t>
      </w:r>
      <w:r w:rsidR="002F75AE" w:rsidRPr="005C1BB0">
        <w:rPr>
          <w:rFonts w:ascii="Times New Roman" w:hAnsi="Times New Roman" w:cs="Times New Roman"/>
          <w:color w:val="000000" w:themeColor="text1"/>
          <w:lang w:val="en-GB"/>
        </w:rPr>
        <w:t>O</w:t>
      </w:r>
      <w:r w:rsidR="002F75AE" w:rsidRPr="005C1BB0">
        <w:rPr>
          <w:rFonts w:ascii="Times New Roman" w:hAnsi="Times New Roman" w:cs="Times New Roman"/>
          <w:color w:val="000000" w:themeColor="text1"/>
          <w:vertAlign w:val="subscript"/>
          <w:lang w:val="en-GB"/>
        </w:rPr>
        <w:t>2</w:t>
      </w:r>
      <w:r w:rsidR="002F75AE" w:rsidRPr="005C1BB0">
        <w:rPr>
          <w:rFonts w:ascii="Times New Roman" w:hAnsi="Times New Roman" w:cs="Times New Roman"/>
          <w:color w:val="000000" w:themeColor="text1"/>
          <w:lang w:val="en-GB"/>
        </w:rPr>
        <w:t>. To perform this 475 µl of phosphate buffer (pH 7.0) was mixed with 25 µl of H</w:t>
      </w:r>
      <w:r w:rsidR="002F75AE" w:rsidRPr="005C1BB0">
        <w:rPr>
          <w:rFonts w:ascii="Times New Roman" w:hAnsi="Times New Roman" w:cs="Times New Roman"/>
          <w:color w:val="000000" w:themeColor="text1"/>
          <w:vertAlign w:val="subscript"/>
          <w:lang w:val="en-GB"/>
        </w:rPr>
        <w:t>2</w:t>
      </w:r>
      <w:r w:rsidR="002F75AE" w:rsidRPr="005C1BB0">
        <w:rPr>
          <w:rFonts w:ascii="Times New Roman" w:hAnsi="Times New Roman" w:cs="Times New Roman"/>
          <w:color w:val="000000" w:themeColor="text1"/>
          <w:lang w:val="en-GB"/>
        </w:rPr>
        <w:t>O and 250 µl of H</w:t>
      </w:r>
      <w:r w:rsidR="002F75AE" w:rsidRPr="005C1BB0">
        <w:rPr>
          <w:rFonts w:ascii="Times New Roman" w:hAnsi="Times New Roman" w:cs="Times New Roman"/>
          <w:color w:val="000000" w:themeColor="text1"/>
          <w:vertAlign w:val="subscript"/>
          <w:lang w:val="en-GB"/>
        </w:rPr>
        <w:t>2</w:t>
      </w:r>
      <w:r w:rsidR="002F75AE" w:rsidRPr="005C1BB0">
        <w:rPr>
          <w:rFonts w:ascii="Times New Roman" w:hAnsi="Times New Roman" w:cs="Times New Roman"/>
          <w:color w:val="000000" w:themeColor="text1"/>
          <w:lang w:val="en-GB"/>
        </w:rPr>
        <w:t>O</w:t>
      </w:r>
      <w:r w:rsidR="002F75AE" w:rsidRPr="005C1BB0">
        <w:rPr>
          <w:rFonts w:ascii="Times New Roman" w:hAnsi="Times New Roman" w:cs="Times New Roman"/>
          <w:color w:val="000000" w:themeColor="text1"/>
          <w:vertAlign w:val="subscript"/>
          <w:lang w:val="en-GB"/>
        </w:rPr>
        <w:t>2</w:t>
      </w:r>
      <w:r w:rsidR="002F75AE" w:rsidRPr="005C1BB0">
        <w:rPr>
          <w:rFonts w:ascii="Times New Roman" w:hAnsi="Times New Roman" w:cs="Times New Roman"/>
          <w:color w:val="000000" w:themeColor="text1"/>
          <w:lang w:val="en-GB"/>
        </w:rPr>
        <w:t xml:space="preserve"> and allowed to settle. This </w:t>
      </w:r>
      <w:r w:rsidR="003853CD" w:rsidRPr="005C1BB0">
        <w:rPr>
          <w:rFonts w:ascii="Times New Roman" w:hAnsi="Times New Roman" w:cs="Times New Roman"/>
          <w:color w:val="000000" w:themeColor="text1"/>
          <w:lang w:val="en-GB"/>
        </w:rPr>
        <w:t>solution acted as control. Similarly, test solutions were prepared replacing 25 µl of H</w:t>
      </w:r>
      <w:r w:rsidR="003853CD" w:rsidRPr="005C1BB0">
        <w:rPr>
          <w:rFonts w:ascii="Times New Roman" w:hAnsi="Times New Roman" w:cs="Times New Roman"/>
          <w:color w:val="000000" w:themeColor="text1"/>
          <w:vertAlign w:val="subscript"/>
          <w:lang w:val="en-GB"/>
        </w:rPr>
        <w:t>2</w:t>
      </w:r>
      <w:r w:rsidR="003853CD" w:rsidRPr="005C1BB0">
        <w:rPr>
          <w:rFonts w:ascii="Times New Roman" w:hAnsi="Times New Roman" w:cs="Times New Roman"/>
          <w:color w:val="000000" w:themeColor="text1"/>
          <w:lang w:val="en-GB"/>
        </w:rPr>
        <w:t>O with tissue samples. Rate of decomposition of H</w:t>
      </w:r>
      <w:r w:rsidR="003853CD" w:rsidRPr="005C1BB0">
        <w:rPr>
          <w:rFonts w:ascii="Times New Roman" w:hAnsi="Times New Roman" w:cs="Times New Roman"/>
          <w:color w:val="000000" w:themeColor="text1"/>
          <w:vertAlign w:val="subscript"/>
          <w:lang w:val="en-GB"/>
        </w:rPr>
        <w:t>2</w:t>
      </w:r>
      <w:r w:rsidR="003853CD" w:rsidRPr="005C1BB0">
        <w:rPr>
          <w:rFonts w:ascii="Times New Roman" w:hAnsi="Times New Roman" w:cs="Times New Roman"/>
          <w:color w:val="000000" w:themeColor="text1"/>
          <w:lang w:val="en-GB"/>
        </w:rPr>
        <w:t>O</w:t>
      </w:r>
      <w:r w:rsidR="003853CD" w:rsidRPr="005C1BB0">
        <w:rPr>
          <w:rFonts w:ascii="Times New Roman" w:hAnsi="Times New Roman" w:cs="Times New Roman"/>
          <w:color w:val="000000" w:themeColor="text1"/>
          <w:vertAlign w:val="subscript"/>
          <w:lang w:val="en-GB"/>
        </w:rPr>
        <w:t>2</w:t>
      </w:r>
      <w:r w:rsidR="003853CD" w:rsidRPr="005C1BB0">
        <w:rPr>
          <w:rFonts w:ascii="Times New Roman" w:hAnsi="Times New Roman" w:cs="Times New Roman"/>
          <w:color w:val="000000" w:themeColor="text1"/>
          <w:lang w:val="en-GB"/>
        </w:rPr>
        <w:t xml:space="preserve"> was measured spectrophotometrically at 240 nm and expressed in µmol H</w:t>
      </w:r>
      <w:r w:rsidR="003853CD" w:rsidRPr="005C1BB0">
        <w:rPr>
          <w:rFonts w:ascii="Times New Roman" w:hAnsi="Times New Roman" w:cs="Times New Roman"/>
          <w:color w:val="000000" w:themeColor="text1"/>
          <w:vertAlign w:val="subscript"/>
          <w:lang w:val="en-GB"/>
        </w:rPr>
        <w:t>2</w:t>
      </w:r>
      <w:r w:rsidR="003853CD" w:rsidRPr="005C1BB0">
        <w:rPr>
          <w:rFonts w:ascii="Times New Roman" w:hAnsi="Times New Roman" w:cs="Times New Roman"/>
          <w:color w:val="000000" w:themeColor="text1"/>
          <w:lang w:val="en-GB"/>
        </w:rPr>
        <w:t>O</w:t>
      </w:r>
      <w:r w:rsidR="003853CD" w:rsidRPr="005C1BB0">
        <w:rPr>
          <w:rFonts w:ascii="Times New Roman" w:hAnsi="Times New Roman" w:cs="Times New Roman"/>
          <w:color w:val="000000" w:themeColor="text1"/>
          <w:vertAlign w:val="subscript"/>
          <w:lang w:val="en-GB"/>
        </w:rPr>
        <w:t>2</w:t>
      </w:r>
      <w:r w:rsidR="003853CD" w:rsidRPr="005C1BB0">
        <w:rPr>
          <w:rFonts w:ascii="Times New Roman" w:hAnsi="Times New Roman" w:cs="Times New Roman"/>
          <w:color w:val="000000" w:themeColor="text1"/>
          <w:lang w:val="en-GB"/>
        </w:rPr>
        <w:t xml:space="preserve"> decomposed/min (U)/mg tissue.</w:t>
      </w:r>
    </w:p>
    <w:p w14:paraId="33C263CB" w14:textId="77777777" w:rsidR="00B20791" w:rsidRPr="005C1BB0" w:rsidRDefault="00B20791" w:rsidP="00480B4B">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Statistical analysis</w:t>
      </w:r>
    </w:p>
    <w:p w14:paraId="437B2F79" w14:textId="77777777" w:rsidR="00A034F3" w:rsidRDefault="00A034F3" w:rsidP="00B20791">
      <w:pPr>
        <w:spacing w:before="120" w:after="120" w:line="480" w:lineRule="auto"/>
        <w:ind w:firstLine="720"/>
        <w:jc w:val="both"/>
        <w:rPr>
          <w:rFonts w:ascii="Times New Roman" w:hAnsi="Times New Roman"/>
          <w:color w:val="000000" w:themeColor="text1"/>
          <w:lang w:val="en-GB"/>
        </w:rPr>
      </w:pPr>
      <w:r w:rsidRPr="005C1BB0">
        <w:rPr>
          <w:rFonts w:ascii="Times New Roman" w:hAnsi="Times New Roman" w:cs="Times New Roman"/>
          <w:color w:val="000000" w:themeColor="text1"/>
          <w:lang w:val="en-GB"/>
        </w:rPr>
        <w:lastRenderedPageBreak/>
        <w:t xml:space="preserve">The numeric values of parametric analysis were represented in Mean ± SEM. The mean values of test groups were compared with control through Student </w:t>
      </w:r>
      <w:r w:rsidRPr="005C1BB0">
        <w:rPr>
          <w:rFonts w:ascii="Times New Roman" w:hAnsi="Times New Roman" w:cs="Times New Roman"/>
          <w:i/>
          <w:iCs/>
          <w:color w:val="000000" w:themeColor="text1"/>
          <w:lang w:val="en-GB"/>
        </w:rPr>
        <w:t>t</w:t>
      </w:r>
      <w:r w:rsidRPr="005C1BB0">
        <w:rPr>
          <w:rFonts w:ascii="Times New Roman" w:hAnsi="Times New Roman" w:cs="Times New Roman"/>
          <w:color w:val="000000" w:themeColor="text1"/>
          <w:lang w:val="en-GB"/>
        </w:rPr>
        <w:t xml:space="preserve">-test </w:t>
      </w:r>
      <w:r w:rsidRPr="005C1BB0">
        <w:rPr>
          <w:rFonts w:ascii="Times New Roman" w:hAnsi="Times New Roman"/>
          <w:color w:val="000000" w:themeColor="text1"/>
          <w:lang w:val="en-GB"/>
        </w:rPr>
        <w:t xml:space="preserve">(MS-EXCEL, Microsoft, SV, US) </w:t>
      </w:r>
      <w:r w:rsidRPr="005C1BB0">
        <w:rPr>
          <w:rFonts w:ascii="Times New Roman" w:hAnsi="Times New Roman" w:cs="Times New Roman"/>
          <w:color w:val="000000" w:themeColor="text1"/>
          <w:lang w:val="en-GB"/>
        </w:rPr>
        <w:t xml:space="preserve">and One-Way Analysis of Variance (ANOVA) in conjunction with Tukey’s multiple comparison tests (MINITAB, </w:t>
      </w:r>
      <w:r w:rsidRPr="005C1BB0">
        <w:rPr>
          <w:rFonts w:ascii="Times New Roman" w:hAnsi="Times New Roman"/>
          <w:color w:val="000000" w:themeColor="text1"/>
          <w:lang w:val="en-GB"/>
        </w:rPr>
        <w:t>Pennsylvania, US</w:t>
      </w:r>
      <w:r w:rsidRPr="005C1BB0">
        <w:rPr>
          <w:rFonts w:ascii="Times New Roman" w:hAnsi="Times New Roman" w:cs="Times New Roman"/>
          <w:color w:val="000000" w:themeColor="text1"/>
          <w:lang w:val="en-GB"/>
        </w:rPr>
        <w:t xml:space="preserve">). Significance of variance was assessed based on confidence intervals (CIs) referring </w:t>
      </w:r>
      <w:r w:rsidRPr="005C1BB0">
        <w:rPr>
          <w:rFonts w:ascii="Times New Roman" w:hAnsi="Times New Roman"/>
          <w:color w:val="000000" w:themeColor="text1"/>
          <w:lang w:val="en-GB"/>
        </w:rPr>
        <w:t>95%, 99%, and 99.99%</w:t>
      </w:r>
      <w:r w:rsidR="00480B4B" w:rsidRPr="005C1BB0">
        <w:rPr>
          <w:rFonts w:ascii="Times New Roman" w:hAnsi="Times New Roman"/>
          <w:color w:val="000000" w:themeColor="text1"/>
          <w:lang w:val="en-GB"/>
        </w:rPr>
        <w:t xml:space="preserve"> as significant, highly significant and extremely significant, respectively.</w:t>
      </w:r>
    </w:p>
    <w:p w14:paraId="092289BD" w14:textId="77777777" w:rsidR="002D3081" w:rsidRDefault="002D3081" w:rsidP="00B20791">
      <w:pPr>
        <w:spacing w:before="120" w:after="120" w:line="480" w:lineRule="auto"/>
        <w:ind w:firstLine="720"/>
        <w:jc w:val="both"/>
        <w:rPr>
          <w:rFonts w:ascii="Times New Roman" w:hAnsi="Times New Roman"/>
          <w:color w:val="000000" w:themeColor="text1"/>
          <w:lang w:val="en-GB"/>
        </w:rPr>
      </w:pPr>
    </w:p>
    <w:p w14:paraId="70C3FF08" w14:textId="77777777" w:rsidR="002D3081" w:rsidRDefault="002D3081" w:rsidP="00B20791">
      <w:pPr>
        <w:spacing w:before="120" w:after="120" w:line="480" w:lineRule="auto"/>
        <w:ind w:firstLine="720"/>
        <w:jc w:val="both"/>
        <w:rPr>
          <w:rFonts w:ascii="Times New Roman" w:hAnsi="Times New Roman"/>
          <w:color w:val="000000" w:themeColor="text1"/>
          <w:lang w:val="en-GB"/>
        </w:rPr>
      </w:pPr>
    </w:p>
    <w:p w14:paraId="08DDA2C1" w14:textId="77777777" w:rsidR="002D3081" w:rsidRPr="005C1BB0" w:rsidRDefault="002D3081" w:rsidP="00B20791">
      <w:pPr>
        <w:spacing w:before="120" w:after="120" w:line="480" w:lineRule="auto"/>
        <w:ind w:firstLine="720"/>
        <w:jc w:val="both"/>
        <w:rPr>
          <w:rFonts w:ascii="Times New Roman" w:hAnsi="Times New Roman" w:cs="Times New Roman"/>
          <w:color w:val="000000" w:themeColor="text1"/>
          <w:lang w:val="en-GB"/>
        </w:rPr>
      </w:pPr>
    </w:p>
    <w:p w14:paraId="67D90ECB" w14:textId="77777777" w:rsidR="00B20791" w:rsidRPr="005C1BB0" w:rsidRDefault="00B20791" w:rsidP="00480B4B">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Results</w:t>
      </w:r>
    </w:p>
    <w:p w14:paraId="0D1979C9" w14:textId="77777777" w:rsidR="00480B4B" w:rsidRPr="005C1BB0" w:rsidRDefault="00480B4B" w:rsidP="00560613">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Body and organ weight</w:t>
      </w:r>
    </w:p>
    <w:p w14:paraId="2561C70C" w14:textId="77777777" w:rsidR="00480B4B" w:rsidRPr="005C1BB0" w:rsidRDefault="00480B4B"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Animal’s appetite responded to the treatment with PS-MPs. Results showed a constant dose dependent decline in appetite and respective weight gain. Regardless, change in weight gain among groups II-IV remained statistically non-significant (Figure 1). However, decline in percentage weight gain of Group V was significant, showing mere 9.66% increase in weight during 120 days of treatment, comparing to control’s 16.55% growth (Figure 1). Interestingly, highly and extremely significant decline in testicular weight was observed in animals treated with increasing doses of PS-MPs (Figure 2). Both groups IV and V showed extreme decline in testicular weight comparing to control</w:t>
      </w:r>
      <w:r w:rsidR="00F1652C" w:rsidRPr="005C1BB0">
        <w:rPr>
          <w:rFonts w:ascii="Times New Roman" w:hAnsi="Times New Roman" w:cs="Times New Roman"/>
          <w:color w:val="000000" w:themeColor="text1"/>
          <w:lang w:val="en-GB"/>
        </w:rPr>
        <w:t>, which was recorded as 1.52</w:t>
      </w:r>
      <w:r w:rsidR="00560613" w:rsidRPr="005C1BB0">
        <w:rPr>
          <w:rFonts w:ascii="Times New Roman" w:hAnsi="Times New Roman" w:cs="Times New Roman"/>
          <w:color w:val="000000" w:themeColor="text1"/>
          <w:lang w:val="en-GB"/>
        </w:rPr>
        <w:t>±0.01</w:t>
      </w:r>
      <w:r w:rsidR="00F1652C" w:rsidRPr="005C1BB0">
        <w:rPr>
          <w:rFonts w:ascii="Times New Roman" w:hAnsi="Times New Roman" w:cs="Times New Roman"/>
          <w:color w:val="000000" w:themeColor="text1"/>
          <w:lang w:val="en-GB"/>
        </w:rPr>
        <w:t xml:space="preserve"> and 1.49</w:t>
      </w:r>
      <w:r w:rsidR="00560613" w:rsidRPr="005C1BB0">
        <w:rPr>
          <w:rFonts w:ascii="Times New Roman" w:hAnsi="Times New Roman" w:cs="Times New Roman"/>
          <w:color w:val="000000" w:themeColor="text1"/>
          <w:lang w:val="en-GB"/>
        </w:rPr>
        <w:t xml:space="preserve">±0.02 g, respectively. It appeared that PS-MPs treatment was directly involved in causing serious decline in testicular growth during 120 days of experimental tenure. </w:t>
      </w:r>
    </w:p>
    <w:p w14:paraId="331DE596" w14:textId="77777777" w:rsidR="00560613" w:rsidRPr="005C1BB0" w:rsidRDefault="00560613" w:rsidP="00560613">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Fertility record of PS-MPs treated male rats</w:t>
      </w:r>
    </w:p>
    <w:p w14:paraId="1CFD773F" w14:textId="77777777" w:rsidR="00560613" w:rsidRPr="005C1BB0" w:rsidRDefault="00560613"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Results of fertility test indicated significant impact on male rats following 7</w:t>
      </w:r>
      <w:r w:rsidRPr="005C1BB0">
        <w:rPr>
          <w:rFonts w:ascii="Times New Roman" w:hAnsi="Times New Roman" w:cs="Times New Roman"/>
          <w:color w:val="000000" w:themeColor="text1"/>
          <w:vertAlign w:val="superscript"/>
          <w:lang w:val="en-GB"/>
        </w:rPr>
        <w:t>th</w:t>
      </w:r>
      <w:r w:rsidRPr="005C1BB0">
        <w:rPr>
          <w:rFonts w:ascii="Times New Roman" w:hAnsi="Times New Roman" w:cs="Times New Roman"/>
          <w:color w:val="000000" w:themeColor="text1"/>
          <w:lang w:val="en-GB"/>
        </w:rPr>
        <w:t xml:space="preserve"> week of continuous administration of PS-MPs. It is important to note that no change in fertility rate </w:t>
      </w:r>
      <w:r w:rsidRPr="005C1BB0">
        <w:rPr>
          <w:rFonts w:ascii="Times New Roman" w:hAnsi="Times New Roman" w:cs="Times New Roman"/>
          <w:color w:val="000000" w:themeColor="text1"/>
          <w:lang w:val="en-GB"/>
        </w:rPr>
        <w:lastRenderedPageBreak/>
        <w:t>was recorded in Group II until 11</w:t>
      </w:r>
      <w:r w:rsidRPr="005C1BB0">
        <w:rPr>
          <w:rFonts w:ascii="Times New Roman" w:hAnsi="Times New Roman" w:cs="Times New Roman"/>
          <w:color w:val="000000" w:themeColor="text1"/>
          <w:vertAlign w:val="superscript"/>
          <w:lang w:val="en-GB"/>
        </w:rPr>
        <w:t>th</w:t>
      </w:r>
      <w:r w:rsidRPr="005C1BB0">
        <w:rPr>
          <w:rFonts w:ascii="Times New Roman" w:hAnsi="Times New Roman" w:cs="Times New Roman"/>
          <w:color w:val="000000" w:themeColor="text1"/>
          <w:lang w:val="en-GB"/>
        </w:rPr>
        <w:t xml:space="preserve"> week of exposure, and therefore comparable to control (Table 2). Maximum decline in fertility rate of 30% was recorded in Group V from 105</w:t>
      </w:r>
      <w:r w:rsidRPr="005C1BB0">
        <w:rPr>
          <w:rFonts w:ascii="Times New Roman" w:hAnsi="Times New Roman" w:cs="Times New Roman"/>
          <w:color w:val="000000" w:themeColor="text1"/>
          <w:vertAlign w:val="superscript"/>
          <w:lang w:val="en-GB"/>
        </w:rPr>
        <w:t>th</w:t>
      </w:r>
      <w:r w:rsidRPr="005C1BB0">
        <w:rPr>
          <w:rFonts w:ascii="Times New Roman" w:hAnsi="Times New Roman" w:cs="Times New Roman"/>
          <w:color w:val="000000" w:themeColor="text1"/>
          <w:lang w:val="en-GB"/>
        </w:rPr>
        <w:t xml:space="preserve"> day of treatment and continued until 120</w:t>
      </w:r>
      <w:r w:rsidRPr="005C1BB0">
        <w:rPr>
          <w:rFonts w:ascii="Times New Roman" w:hAnsi="Times New Roman" w:cs="Times New Roman"/>
          <w:color w:val="000000" w:themeColor="text1"/>
          <w:vertAlign w:val="superscript"/>
          <w:lang w:val="en-GB"/>
        </w:rPr>
        <w:t>th</w:t>
      </w:r>
      <w:r w:rsidRPr="005C1BB0">
        <w:rPr>
          <w:rFonts w:ascii="Times New Roman" w:hAnsi="Times New Roman" w:cs="Times New Roman"/>
          <w:color w:val="000000" w:themeColor="text1"/>
          <w:lang w:val="en-GB"/>
        </w:rPr>
        <w:t xml:space="preserve"> day. Likewise Group IV indicated maximum of 20% decline in fertility </w:t>
      </w:r>
      <w:r w:rsidR="00A97DC8" w:rsidRPr="005C1BB0">
        <w:rPr>
          <w:rFonts w:ascii="Times New Roman" w:hAnsi="Times New Roman" w:cs="Times New Roman"/>
          <w:color w:val="000000" w:themeColor="text1"/>
          <w:lang w:val="en-GB"/>
        </w:rPr>
        <w:t>and consistently persisted between 105 to 120</w:t>
      </w:r>
      <w:r w:rsidR="00A97DC8" w:rsidRPr="005C1BB0">
        <w:rPr>
          <w:rFonts w:ascii="Times New Roman" w:hAnsi="Times New Roman" w:cs="Times New Roman"/>
          <w:color w:val="000000" w:themeColor="text1"/>
          <w:vertAlign w:val="superscript"/>
          <w:lang w:val="en-GB"/>
        </w:rPr>
        <w:t>th</w:t>
      </w:r>
      <w:r w:rsidR="00A97DC8" w:rsidRPr="005C1BB0">
        <w:rPr>
          <w:rFonts w:ascii="Times New Roman" w:hAnsi="Times New Roman" w:cs="Times New Roman"/>
          <w:color w:val="000000" w:themeColor="text1"/>
          <w:lang w:val="en-GB"/>
        </w:rPr>
        <w:t xml:space="preserve"> day of investigation. Mild change (10%) in fertility was recorded in groups II and III although fertility rate appeared normal in both groups (Table 2).</w:t>
      </w:r>
    </w:p>
    <w:p w14:paraId="42D477DD" w14:textId="77777777" w:rsidR="0054477F" w:rsidRPr="005C1BB0" w:rsidRDefault="0054477F" w:rsidP="0054477F">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Stereological evaluation of germ cells and Sertoli cells</w:t>
      </w:r>
    </w:p>
    <w:p w14:paraId="6C073A2A" w14:textId="77777777" w:rsidR="0054477F" w:rsidRPr="005C1BB0" w:rsidRDefault="00A51DEE"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Decline in testicular growth was reflected in stereological evaluation of germ cells and Sertoli cells. Although groups II and III mostly remained similar to that of the control, role of PS-MPs was evident on all test groups regardless. Most affected group on the basis of stereological gains were Group V. Administration of 5000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PS-MPs for 120 days reduced density of Sertoli cells highly significantly (Figure 3A). Similarly, densities of spermatogonia (Figure 3B), and spermatids (Figure 3D) also got highly depleted comparing to the control and other test groups with lower doses of PS-MPs. Surprisingly no change in volume of spermatocytes was observed in this group. However, the same was significantly higher in groups III and IV when compared with control (Figure 3C). Since germ cells have entirely different division system than Sertoli cells, Figure 4 showed the actual depreciation in spermatogenesis </w:t>
      </w:r>
      <w:r w:rsidR="004F5B7B" w:rsidRPr="005C1BB0">
        <w:rPr>
          <w:rFonts w:ascii="Times New Roman" w:hAnsi="Times New Roman" w:cs="Times New Roman"/>
          <w:color w:val="000000" w:themeColor="text1"/>
          <w:lang w:val="en-GB"/>
        </w:rPr>
        <w:t>highly dependent on dose of PS-MPs. The exception was number of estimated spermatocytes which surprisingly increased group III and IV and later in Group V came close to number of spermatocytes estimated for control (Figure 4). Thus, PS-MPs have dose dependent role on progression of spermatogonia to spermatids, nonetheless, unexpected growth in number of spermatocytes indicated obstructive interference with dose related optimality.</w:t>
      </w:r>
    </w:p>
    <w:p w14:paraId="6C4F5823" w14:textId="77777777" w:rsidR="007F6FCF" w:rsidRPr="005C1BB0" w:rsidRDefault="007F6FCF" w:rsidP="007F6FCF">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Histological architecture of testis</w:t>
      </w:r>
    </w:p>
    <w:p w14:paraId="3AF532B9" w14:textId="77777777" w:rsidR="007F6FCF" w:rsidRPr="005C1BB0" w:rsidRDefault="00B13F5E"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 xml:space="preserve">The histological attributes of PS-MPs treated rats showed unrelenting damage to spermatogenic progression. It is little apparent at lower doses such as 5, and 50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nonetheless, </w:t>
      </w:r>
      <w:r w:rsidR="00DB6CDB" w:rsidRPr="005C1BB0">
        <w:rPr>
          <w:rFonts w:ascii="Times New Roman" w:hAnsi="Times New Roman" w:cs="Times New Roman"/>
          <w:color w:val="000000" w:themeColor="text1"/>
          <w:lang w:val="en-GB"/>
        </w:rPr>
        <w:t xml:space="preserve">its impact is visible in the lumen of seminiferous tubules. In all test groups a consistent reduction in freshly formed sperms. Although all spermatogenic events were appeared in test groups regardless of strength of doses of PS-MPs the inconsistencies begin to appear at higher doses (500 and 5000 </w:t>
      </w:r>
      <w:r w:rsidR="00DB6CDB" w:rsidRPr="005C1BB0">
        <w:rPr>
          <w:rFonts w:ascii="Times New Roman" w:hAnsi="Times New Roman" w:cs="Times New Roman"/>
          <w:color w:val="000000" w:themeColor="text1"/>
          <w:lang w:val="en-GB"/>
        </w:rPr>
        <w:sym w:font="Symbol" w:char="F06D"/>
      </w:r>
      <w:r w:rsidR="00DB6CDB" w:rsidRPr="005C1BB0">
        <w:rPr>
          <w:rFonts w:ascii="Times New Roman" w:hAnsi="Times New Roman" w:cs="Times New Roman"/>
          <w:color w:val="000000" w:themeColor="text1"/>
          <w:lang w:val="en-GB"/>
        </w:rPr>
        <w:t xml:space="preserve">g/kg) (Figure 5D-5E) more prominently comparing to lower doses (5 and 50 </w:t>
      </w:r>
      <w:r w:rsidR="00DB6CDB" w:rsidRPr="005C1BB0">
        <w:rPr>
          <w:rFonts w:ascii="Times New Roman" w:hAnsi="Times New Roman" w:cs="Times New Roman"/>
          <w:color w:val="000000" w:themeColor="text1"/>
          <w:lang w:val="en-GB"/>
        </w:rPr>
        <w:sym w:font="Symbol" w:char="F06D"/>
      </w:r>
      <w:r w:rsidR="00DB6CDB" w:rsidRPr="005C1BB0">
        <w:rPr>
          <w:rFonts w:ascii="Times New Roman" w:hAnsi="Times New Roman" w:cs="Times New Roman"/>
          <w:color w:val="000000" w:themeColor="text1"/>
          <w:lang w:val="en-GB"/>
        </w:rPr>
        <w:t>g/kg) (Figure 5B-5C). The germinal epithelium of Group I showed appropriate positioning of Sertoli cells, and germ cells closely associated with this basal lamina. Whereas, disorientation in germ cell progression begin to appear in lowest dose group (</w:t>
      </w:r>
      <w:r w:rsidR="00A9741E" w:rsidRPr="005C1BB0">
        <w:rPr>
          <w:rFonts w:ascii="Times New Roman" w:hAnsi="Times New Roman" w:cs="Times New Roman"/>
          <w:color w:val="000000" w:themeColor="text1"/>
          <w:lang w:val="en-GB"/>
        </w:rPr>
        <w:t xml:space="preserve">5 </w:t>
      </w:r>
      <w:r w:rsidR="00A9741E" w:rsidRPr="005C1BB0">
        <w:rPr>
          <w:rFonts w:ascii="Times New Roman" w:hAnsi="Times New Roman" w:cs="Times New Roman"/>
          <w:color w:val="000000" w:themeColor="text1"/>
          <w:lang w:val="en-GB"/>
        </w:rPr>
        <w:sym w:font="Symbol" w:char="F06D"/>
      </w:r>
      <w:r w:rsidR="00A9741E" w:rsidRPr="005C1BB0">
        <w:rPr>
          <w:rFonts w:ascii="Times New Roman" w:hAnsi="Times New Roman" w:cs="Times New Roman"/>
          <w:color w:val="000000" w:themeColor="text1"/>
          <w:lang w:val="en-GB"/>
        </w:rPr>
        <w:t xml:space="preserve">g/kg </w:t>
      </w:r>
      <w:proofErr w:type="spellStart"/>
      <w:r w:rsidR="00A9741E" w:rsidRPr="005C1BB0">
        <w:rPr>
          <w:rFonts w:ascii="Times New Roman" w:hAnsi="Times New Roman" w:cs="Times New Roman"/>
          <w:color w:val="000000" w:themeColor="text1"/>
          <w:lang w:val="en-GB"/>
        </w:rPr>
        <w:t>b.w.</w:t>
      </w:r>
      <w:proofErr w:type="spellEnd"/>
      <w:r w:rsidR="00A9741E" w:rsidRPr="005C1BB0">
        <w:rPr>
          <w:rFonts w:ascii="Times New Roman" w:hAnsi="Times New Roman" w:cs="Times New Roman"/>
          <w:color w:val="000000" w:themeColor="text1"/>
          <w:lang w:val="en-GB"/>
        </w:rPr>
        <w:t xml:space="preserve"> of PS-MPs</w:t>
      </w:r>
      <w:r w:rsidR="00DB6CDB" w:rsidRPr="005C1BB0">
        <w:rPr>
          <w:rFonts w:ascii="Times New Roman" w:hAnsi="Times New Roman" w:cs="Times New Roman"/>
          <w:color w:val="000000" w:themeColor="text1"/>
          <w:lang w:val="en-GB"/>
        </w:rPr>
        <w:t>)</w:t>
      </w:r>
      <w:r w:rsidR="00A9741E" w:rsidRPr="005C1BB0">
        <w:rPr>
          <w:rFonts w:ascii="Times New Roman" w:hAnsi="Times New Roman" w:cs="Times New Roman"/>
          <w:color w:val="000000" w:themeColor="text1"/>
          <w:lang w:val="en-GB"/>
        </w:rPr>
        <w:t xml:space="preserve">.Though it did not affected spermatogenesis significantly, disassociation between basal lamina and spermatogonia was conspicuously evident. The decline in number of germ cells was visible in later higher dose groups, however, spermatogenic events were clearly present. In groups IV and V consistent decline in number of spermatids and spermatogonial cells was apparent leading to appearances of comparatively emptied lumens. Although normal interstitial space and thick basal lamina was present obstruction in spermatogenesis was </w:t>
      </w:r>
      <w:r w:rsidR="007772CD" w:rsidRPr="005C1BB0">
        <w:rPr>
          <w:rFonts w:ascii="Times New Roman" w:hAnsi="Times New Roman" w:cs="Times New Roman"/>
          <w:color w:val="000000" w:themeColor="text1"/>
          <w:lang w:val="en-GB"/>
        </w:rPr>
        <w:t>noted</w:t>
      </w:r>
      <w:r w:rsidR="00A9741E" w:rsidRPr="005C1BB0">
        <w:rPr>
          <w:rFonts w:ascii="Times New Roman" w:hAnsi="Times New Roman" w:cs="Times New Roman"/>
          <w:color w:val="000000" w:themeColor="text1"/>
          <w:lang w:val="en-GB"/>
        </w:rPr>
        <w:t xml:space="preserve">. </w:t>
      </w:r>
      <w:r w:rsidR="007772CD" w:rsidRPr="005C1BB0">
        <w:rPr>
          <w:rFonts w:ascii="Times New Roman" w:hAnsi="Times New Roman" w:cs="Times New Roman"/>
          <w:color w:val="000000" w:themeColor="text1"/>
          <w:lang w:val="en-GB"/>
        </w:rPr>
        <w:t xml:space="preserve">Germinal layer was less intact and lumen showed dose dependent increase in irregularities. Exclusive presence of pyknotic spermatogonial cells in groups IV and V indicate </w:t>
      </w:r>
      <w:proofErr w:type="spellStart"/>
      <w:r w:rsidR="008C6174" w:rsidRPr="005C1BB0">
        <w:rPr>
          <w:rFonts w:ascii="Times New Roman" w:hAnsi="Times New Roman" w:cs="Times New Roman"/>
          <w:color w:val="000000" w:themeColor="text1"/>
          <w:lang w:val="en-GB"/>
        </w:rPr>
        <w:t>nuclearshrinkage</w:t>
      </w:r>
      <w:proofErr w:type="spellEnd"/>
      <w:r w:rsidR="008C6174" w:rsidRPr="005C1BB0">
        <w:rPr>
          <w:rFonts w:ascii="Times New Roman" w:hAnsi="Times New Roman" w:cs="Times New Roman"/>
          <w:color w:val="000000" w:themeColor="text1"/>
          <w:lang w:val="en-GB"/>
        </w:rPr>
        <w:t xml:space="preserve"> and possible necrosis or apoptosis (Figure 5D-5E).</w:t>
      </w:r>
    </w:p>
    <w:p w14:paraId="6BA7AE5C" w14:textId="77777777" w:rsidR="008C6174" w:rsidRPr="005C1BB0" w:rsidRDefault="008C6174" w:rsidP="008C6174">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Oxidative stress in testicular tissues</w:t>
      </w:r>
    </w:p>
    <w:p w14:paraId="1AD8E062" w14:textId="77777777" w:rsidR="008C6174" w:rsidRPr="005C1BB0" w:rsidRDefault="008C6174"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Determination of oxidative stress in testicular tissues in response to PS-MPs through participants of Glutathione cycle revealed a dose dependent decline in the level of GSH while non-dependent response of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(Figure 6A-6B). Significant decline in the activity of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was only evident in groups IV and V (Figure 6B). The activity of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in groups IV and V were noted as 2.45±0.20 and 1.98±0.33 nmol/min/mg protein comparing to 4.16±0.31 </w:t>
      </w:r>
      <w:r w:rsidRPr="005C1BB0">
        <w:rPr>
          <w:rFonts w:ascii="Times New Roman" w:hAnsi="Times New Roman" w:cs="Times New Roman"/>
          <w:color w:val="000000" w:themeColor="text1"/>
          <w:lang w:val="en-GB"/>
        </w:rPr>
        <w:lastRenderedPageBreak/>
        <w:t>nmol/min/mg protein of control (Group I). Likewise, significant decline was noted for level of GSH in the same groups</w:t>
      </w:r>
      <w:r w:rsidR="00EE0E75" w:rsidRPr="005C1BB0">
        <w:rPr>
          <w:rFonts w:ascii="Times New Roman" w:hAnsi="Times New Roman" w:cs="Times New Roman"/>
          <w:color w:val="000000" w:themeColor="text1"/>
          <w:lang w:val="en-GB"/>
        </w:rPr>
        <w:t xml:space="preserve">, which was measured as 9.67±1.04 and 5.88±0.91 </w:t>
      </w:r>
      <w:r w:rsidR="00EE0E75" w:rsidRPr="005C1BB0">
        <w:rPr>
          <w:rFonts w:ascii="Times New Roman" w:hAnsi="Times New Roman" w:cs="Times New Roman"/>
          <w:color w:val="000000" w:themeColor="text1"/>
          <w:lang w:val="en-GB"/>
        </w:rPr>
        <w:sym w:font="Symbol" w:char="F06D"/>
      </w:r>
      <w:r w:rsidR="00EE0E75" w:rsidRPr="005C1BB0">
        <w:rPr>
          <w:rFonts w:ascii="Times New Roman" w:hAnsi="Times New Roman" w:cs="Times New Roman"/>
          <w:color w:val="000000" w:themeColor="text1"/>
          <w:lang w:val="en-GB"/>
        </w:rPr>
        <w:t xml:space="preserve">M/g testicular tissue against 15.05±1.19 </w:t>
      </w:r>
      <w:r w:rsidR="00EE0E75" w:rsidRPr="005C1BB0">
        <w:rPr>
          <w:rFonts w:ascii="Times New Roman" w:hAnsi="Times New Roman" w:cs="Times New Roman"/>
          <w:color w:val="000000" w:themeColor="text1"/>
          <w:lang w:val="en-GB"/>
        </w:rPr>
        <w:sym w:font="Symbol" w:char="F06D"/>
      </w:r>
      <w:r w:rsidR="00EE0E75" w:rsidRPr="005C1BB0">
        <w:rPr>
          <w:rFonts w:ascii="Times New Roman" w:hAnsi="Times New Roman" w:cs="Times New Roman"/>
          <w:color w:val="000000" w:themeColor="text1"/>
          <w:lang w:val="en-GB"/>
        </w:rPr>
        <w:t xml:space="preserve">M/g testicular tissue of control. A higher than 3-fold depreciation in the activity of </w:t>
      </w:r>
      <w:proofErr w:type="spellStart"/>
      <w:r w:rsidR="00EE0E75" w:rsidRPr="005C1BB0">
        <w:rPr>
          <w:rFonts w:ascii="Times New Roman" w:hAnsi="Times New Roman" w:cs="Times New Roman"/>
          <w:color w:val="000000" w:themeColor="text1"/>
          <w:lang w:val="en-GB"/>
        </w:rPr>
        <w:t>GPx</w:t>
      </w:r>
      <w:proofErr w:type="spellEnd"/>
      <w:r w:rsidR="00EE0E75" w:rsidRPr="005C1BB0">
        <w:rPr>
          <w:rFonts w:ascii="Times New Roman" w:hAnsi="Times New Roman" w:cs="Times New Roman"/>
          <w:color w:val="000000" w:themeColor="text1"/>
          <w:lang w:val="en-GB"/>
        </w:rPr>
        <w:t xml:space="preserve"> in Group V relate to a severely exaggerated production of reactive oxygen species. </w:t>
      </w:r>
    </w:p>
    <w:p w14:paraId="0D24C4E1" w14:textId="77777777" w:rsidR="00EE0E75" w:rsidRPr="005C1BB0" w:rsidRDefault="00EE0E75"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Extremely important contributors of oxidative homeostasis in cellular compartments, the SOD and CAT also responded similarly to that of the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Both antioxidants fated significant decline in activities </w:t>
      </w:r>
      <w:r w:rsidR="00B21A41" w:rsidRPr="005C1BB0">
        <w:rPr>
          <w:rFonts w:ascii="Times New Roman" w:hAnsi="Times New Roman" w:cs="Times New Roman"/>
          <w:color w:val="000000" w:themeColor="text1"/>
          <w:lang w:val="en-GB"/>
        </w:rPr>
        <w:t xml:space="preserve">among groups IV and V (Figure 7A-7B). Although groups II and III tolerated the induced oxidative pressure reasonably. Interestingly, optimal activity of SOD was observed in Group III which was noted as 7.12±0.75 U/mg protein against 7.22±0.55 U/mg protein of Group I. Likewise, optimal activity of CAT was evident in Group II which was recorded as 6.49±0.20 U/mg protein against 5.60±0.34 U/mg protein of control. It explained that both antioxidants have an optimal activity against PS-MPs induced oxidative stress (Figure 7A-7B). </w:t>
      </w:r>
    </w:p>
    <w:p w14:paraId="56A1A4D5" w14:textId="77777777" w:rsidR="00B20791" w:rsidRPr="005C1BB0" w:rsidRDefault="00B20791" w:rsidP="00CF20A5">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Discussion</w:t>
      </w:r>
    </w:p>
    <w:p w14:paraId="123D68F5" w14:textId="77777777" w:rsidR="00CF20A5" w:rsidRPr="005C1BB0" w:rsidRDefault="00674639"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Spermatogenesis is a complex process that is regulated by precise contributions of gonadotropins, androgen, and growth factors. The process </w:t>
      </w:r>
      <w:r w:rsidR="00B8747B" w:rsidRPr="005C1BB0">
        <w:rPr>
          <w:rFonts w:ascii="Times New Roman" w:hAnsi="Times New Roman" w:cs="Times New Roman"/>
          <w:color w:val="000000" w:themeColor="text1"/>
          <w:lang w:val="en-GB"/>
        </w:rPr>
        <w:t xml:space="preserve">of germ cell development requires successive mitotic and meiotic divisions also known as </w:t>
      </w:r>
      <w:proofErr w:type="spellStart"/>
      <w:r w:rsidR="00B8747B" w:rsidRPr="005C1BB0">
        <w:rPr>
          <w:rFonts w:ascii="Times New Roman" w:hAnsi="Times New Roman" w:cs="Times New Roman"/>
          <w:color w:val="000000" w:themeColor="text1"/>
          <w:lang w:val="en-GB"/>
        </w:rPr>
        <w:t>spermatocytogenesis</w:t>
      </w:r>
      <w:proofErr w:type="spellEnd"/>
      <w:r w:rsidR="00B8747B" w:rsidRPr="005C1BB0">
        <w:rPr>
          <w:rFonts w:ascii="Times New Roman" w:hAnsi="Times New Roman" w:cs="Times New Roman"/>
          <w:color w:val="000000" w:themeColor="text1"/>
          <w:lang w:val="en-GB"/>
        </w:rPr>
        <w:t xml:space="preserve">. Oxidative stress plays crucial role in development of germ cells, therefore can affect eventual sperm production and lead to reduced sperm count </w:t>
      </w:r>
      <w:r w:rsidR="007C74FF" w:rsidRPr="005C1BB0">
        <w:rPr>
          <w:rFonts w:ascii="Times New Roman" w:hAnsi="Times New Roman" w:cs="Times New Roman"/>
          <w:color w:val="000000" w:themeColor="text1"/>
          <w:lang w:val="en-GB"/>
        </w:rPr>
        <w:t>[</w:t>
      </w:r>
      <w:r w:rsidR="00040457" w:rsidRPr="005C1BB0">
        <w:rPr>
          <w:rFonts w:ascii="Times New Roman" w:hAnsi="Times New Roman" w:cs="Times New Roman"/>
          <w:color w:val="000000" w:themeColor="text1"/>
          <w:lang w:val="en-GB"/>
        </w:rPr>
        <w:t>30</w:t>
      </w:r>
      <w:r w:rsidR="007C74FF" w:rsidRPr="005C1BB0">
        <w:rPr>
          <w:rFonts w:ascii="Times New Roman" w:hAnsi="Times New Roman" w:cs="Times New Roman"/>
          <w:color w:val="000000" w:themeColor="text1"/>
          <w:lang w:val="en-GB"/>
        </w:rPr>
        <w:t>]</w:t>
      </w:r>
      <w:r w:rsidR="00B8747B" w:rsidRPr="005C1BB0">
        <w:rPr>
          <w:rFonts w:ascii="Times New Roman" w:hAnsi="Times New Roman" w:cs="Times New Roman"/>
          <w:color w:val="000000" w:themeColor="text1"/>
          <w:lang w:val="en-GB"/>
        </w:rPr>
        <w:t xml:space="preserve">. It can also affect the defence system of sperms during maturation process by reducing levels of antioxidants in the seminal plasma </w:t>
      </w:r>
      <w:r w:rsidR="007C74FF" w:rsidRPr="005C1BB0">
        <w:rPr>
          <w:rFonts w:ascii="Times New Roman" w:hAnsi="Times New Roman" w:cs="Times New Roman"/>
          <w:color w:val="000000" w:themeColor="text1"/>
          <w:lang w:val="en-GB"/>
        </w:rPr>
        <w:t>[3</w:t>
      </w:r>
      <w:r w:rsidR="00040457" w:rsidRPr="005C1BB0">
        <w:rPr>
          <w:rFonts w:ascii="Times New Roman" w:hAnsi="Times New Roman" w:cs="Times New Roman"/>
          <w:color w:val="000000" w:themeColor="text1"/>
          <w:lang w:val="en-GB"/>
        </w:rPr>
        <w:t>1</w:t>
      </w:r>
      <w:r w:rsidR="007C74FF" w:rsidRPr="005C1BB0">
        <w:rPr>
          <w:rFonts w:ascii="Times New Roman" w:hAnsi="Times New Roman" w:cs="Times New Roman"/>
          <w:color w:val="000000" w:themeColor="text1"/>
          <w:lang w:val="en-GB"/>
        </w:rPr>
        <w:t>]</w:t>
      </w:r>
      <w:r w:rsidR="00B8747B" w:rsidRPr="005C1BB0">
        <w:rPr>
          <w:rFonts w:ascii="Times New Roman" w:hAnsi="Times New Roman" w:cs="Times New Roman"/>
          <w:color w:val="000000" w:themeColor="text1"/>
          <w:lang w:val="en-GB"/>
        </w:rPr>
        <w:t xml:space="preserve">. Oxidative stress is one of the most reported adverse </w:t>
      </w:r>
      <w:r w:rsidR="00EF36AD" w:rsidRPr="005C1BB0">
        <w:rPr>
          <w:rFonts w:ascii="Times New Roman" w:hAnsi="Times New Roman" w:cs="Times New Roman"/>
          <w:color w:val="000000" w:themeColor="text1"/>
          <w:lang w:val="en-GB"/>
        </w:rPr>
        <w:t>activities</w:t>
      </w:r>
      <w:r w:rsidR="00B8747B" w:rsidRPr="005C1BB0">
        <w:rPr>
          <w:rFonts w:ascii="Times New Roman" w:hAnsi="Times New Roman" w:cs="Times New Roman"/>
          <w:color w:val="000000" w:themeColor="text1"/>
          <w:lang w:val="en-GB"/>
        </w:rPr>
        <w:t xml:space="preserve"> of </w:t>
      </w:r>
      <w:proofErr w:type="gramStart"/>
      <w:r w:rsidR="00B8747B" w:rsidRPr="005C1BB0">
        <w:rPr>
          <w:rFonts w:ascii="Times New Roman" w:hAnsi="Times New Roman" w:cs="Times New Roman"/>
          <w:color w:val="000000" w:themeColor="text1"/>
          <w:lang w:val="en-GB"/>
        </w:rPr>
        <w:t>microplastics</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3</w:t>
      </w:r>
      <w:r w:rsidR="00040457" w:rsidRPr="005C1BB0">
        <w:rPr>
          <w:rFonts w:ascii="Times New Roman" w:hAnsi="Times New Roman" w:cs="Times New Roman"/>
          <w:color w:val="000000" w:themeColor="text1"/>
          <w:lang w:val="en-GB"/>
        </w:rPr>
        <w:t>2</w:t>
      </w:r>
      <w:r w:rsidR="007C74FF" w:rsidRPr="005C1BB0">
        <w:rPr>
          <w:rFonts w:ascii="Times New Roman" w:hAnsi="Times New Roman" w:cs="Times New Roman"/>
          <w:color w:val="000000" w:themeColor="text1"/>
          <w:lang w:val="en-GB"/>
        </w:rPr>
        <w:t>-</w:t>
      </w:r>
      <w:r w:rsidR="00195E22" w:rsidRPr="005C1BB0">
        <w:rPr>
          <w:rFonts w:ascii="Times New Roman" w:hAnsi="Times New Roman" w:cs="Times New Roman"/>
          <w:color w:val="000000" w:themeColor="text1"/>
          <w:lang w:val="en-GB"/>
        </w:rPr>
        <w:t>3</w:t>
      </w:r>
      <w:r w:rsidR="00040457" w:rsidRPr="005C1BB0">
        <w:rPr>
          <w:rFonts w:ascii="Times New Roman" w:hAnsi="Times New Roman" w:cs="Times New Roman"/>
          <w:color w:val="000000" w:themeColor="text1"/>
          <w:lang w:val="en-GB"/>
        </w:rPr>
        <w:t>4</w:t>
      </w:r>
      <w:r w:rsidR="007C74FF" w:rsidRPr="005C1BB0">
        <w:rPr>
          <w:rFonts w:ascii="Times New Roman" w:hAnsi="Times New Roman" w:cs="Times New Roman"/>
          <w:color w:val="000000" w:themeColor="text1"/>
          <w:lang w:val="en-GB"/>
        </w:rPr>
        <w:t>]</w:t>
      </w:r>
      <w:r w:rsidR="00EF36AD" w:rsidRPr="005C1BB0">
        <w:rPr>
          <w:rFonts w:ascii="Times New Roman" w:hAnsi="Times New Roman" w:cs="Times New Roman"/>
          <w:color w:val="000000" w:themeColor="text1"/>
          <w:lang w:val="en-GB"/>
        </w:rPr>
        <w:t xml:space="preserve">. Microplastics have negative impact on male reproducibility and oxidative damages are the most likely player in executing crucial impairments. In the present study an attempt was </w:t>
      </w:r>
      <w:r w:rsidR="00EF36AD" w:rsidRPr="005C1BB0">
        <w:rPr>
          <w:rFonts w:ascii="Times New Roman" w:hAnsi="Times New Roman" w:cs="Times New Roman"/>
          <w:color w:val="000000" w:themeColor="text1"/>
          <w:lang w:val="en-GB"/>
        </w:rPr>
        <w:lastRenderedPageBreak/>
        <w:t xml:space="preserve">made to find association between microplastics induced oxidative stress in the testicular tissues and spermatogenic performance. </w:t>
      </w:r>
    </w:p>
    <w:p w14:paraId="58F02FDB" w14:textId="77777777" w:rsidR="00A14A0E" w:rsidRPr="005C1BB0" w:rsidRDefault="00C800CC"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The present study showed </w:t>
      </w:r>
      <w:r w:rsidR="00982C99" w:rsidRPr="005C1BB0">
        <w:rPr>
          <w:rFonts w:ascii="Times New Roman" w:hAnsi="Times New Roman" w:cs="Times New Roman"/>
          <w:color w:val="000000" w:themeColor="text1"/>
          <w:lang w:val="en-GB"/>
        </w:rPr>
        <w:t xml:space="preserve">strong influence of PS-MPs on the body weight, where 5000 </w:t>
      </w:r>
      <w:r w:rsidR="00982C99" w:rsidRPr="005C1BB0">
        <w:rPr>
          <w:rFonts w:ascii="Times New Roman" w:hAnsi="Times New Roman" w:cs="Times New Roman"/>
          <w:color w:val="000000" w:themeColor="text1"/>
          <w:lang w:val="en-GB"/>
        </w:rPr>
        <w:sym w:font="Symbol" w:char="F06D"/>
      </w:r>
      <w:r w:rsidR="00982C99" w:rsidRPr="005C1BB0">
        <w:rPr>
          <w:rFonts w:ascii="Times New Roman" w:hAnsi="Times New Roman" w:cs="Times New Roman"/>
          <w:color w:val="000000" w:themeColor="text1"/>
          <w:lang w:val="en-GB"/>
        </w:rPr>
        <w:t xml:space="preserve">g/kg </w:t>
      </w:r>
      <w:proofErr w:type="spellStart"/>
      <w:r w:rsidR="00982C99" w:rsidRPr="005C1BB0">
        <w:rPr>
          <w:rFonts w:ascii="Times New Roman" w:hAnsi="Times New Roman" w:cs="Times New Roman"/>
          <w:color w:val="000000" w:themeColor="text1"/>
          <w:lang w:val="en-GB"/>
        </w:rPr>
        <w:t>b.w.</w:t>
      </w:r>
      <w:proofErr w:type="spellEnd"/>
      <w:r w:rsidR="00982C99" w:rsidRPr="005C1BB0">
        <w:rPr>
          <w:rFonts w:ascii="Times New Roman" w:hAnsi="Times New Roman" w:cs="Times New Roman"/>
          <w:color w:val="000000" w:themeColor="text1"/>
          <w:lang w:val="en-GB"/>
        </w:rPr>
        <w:t xml:space="preserve"> lead to least weight gain during the period of investigation. Although other test groups did not show statistically significant decline in weight gain, however, consistent decline in weight gain based on increase doses of PS-MPs was clearly evident. The result observed for 5000 </w:t>
      </w:r>
      <w:r w:rsidR="00982C99" w:rsidRPr="005C1BB0">
        <w:rPr>
          <w:rFonts w:ascii="Times New Roman" w:hAnsi="Times New Roman" w:cs="Times New Roman"/>
          <w:color w:val="000000" w:themeColor="text1"/>
          <w:lang w:val="en-GB"/>
        </w:rPr>
        <w:sym w:font="Symbol" w:char="F06D"/>
      </w:r>
      <w:r w:rsidR="00982C99" w:rsidRPr="005C1BB0">
        <w:rPr>
          <w:rFonts w:ascii="Times New Roman" w:hAnsi="Times New Roman" w:cs="Times New Roman"/>
          <w:color w:val="000000" w:themeColor="text1"/>
          <w:lang w:val="en-GB"/>
        </w:rPr>
        <w:t xml:space="preserve">g/kg PS-MPs </w:t>
      </w:r>
      <w:r w:rsidR="00CF4701" w:rsidRPr="005C1BB0">
        <w:rPr>
          <w:rFonts w:ascii="Times New Roman" w:hAnsi="Times New Roman" w:cs="Times New Roman"/>
          <w:color w:val="000000" w:themeColor="text1"/>
          <w:lang w:val="en-GB"/>
        </w:rPr>
        <w:t xml:space="preserve">was in accordance with a study carried out by Wang et al. </w:t>
      </w:r>
      <w:r w:rsidR="00195E22" w:rsidRPr="005C1BB0">
        <w:rPr>
          <w:rFonts w:ascii="Times New Roman" w:hAnsi="Times New Roman" w:cs="Times New Roman"/>
          <w:color w:val="000000" w:themeColor="text1"/>
          <w:lang w:val="en-GB"/>
        </w:rPr>
        <w:t>[</w:t>
      </w:r>
      <w:r w:rsidR="00903D56" w:rsidRPr="005C1BB0">
        <w:rPr>
          <w:rFonts w:ascii="Times New Roman" w:hAnsi="Times New Roman" w:cs="Times New Roman"/>
          <w:color w:val="000000" w:themeColor="text1"/>
          <w:lang w:val="en-GB"/>
        </w:rPr>
        <w:t>35</w:t>
      </w:r>
      <w:r w:rsidR="00195E22" w:rsidRPr="005C1BB0">
        <w:rPr>
          <w:rFonts w:ascii="Times New Roman" w:hAnsi="Times New Roman" w:cs="Times New Roman"/>
          <w:color w:val="000000" w:themeColor="text1"/>
          <w:lang w:val="en-GB"/>
        </w:rPr>
        <w:t>]</w:t>
      </w:r>
      <w:r w:rsidR="00CF4701" w:rsidRPr="005C1BB0">
        <w:rPr>
          <w:rFonts w:ascii="Times New Roman" w:hAnsi="Times New Roman" w:cs="Times New Roman"/>
          <w:color w:val="000000" w:themeColor="text1"/>
          <w:lang w:val="en-GB"/>
        </w:rPr>
        <w:t xml:space="preserve">, the referred study showed lower weight gain in rats exposed to 2000 </w:t>
      </w:r>
      <w:r w:rsidR="00CF4701" w:rsidRPr="005C1BB0">
        <w:rPr>
          <w:rFonts w:ascii="Times New Roman" w:hAnsi="Times New Roman" w:cs="Times New Roman"/>
          <w:color w:val="000000" w:themeColor="text1"/>
          <w:lang w:val="en-GB"/>
        </w:rPr>
        <w:sym w:font="Symbol" w:char="F06D"/>
      </w:r>
      <w:r w:rsidR="00CF4701" w:rsidRPr="005C1BB0">
        <w:rPr>
          <w:rFonts w:ascii="Times New Roman" w:hAnsi="Times New Roman" w:cs="Times New Roman"/>
          <w:color w:val="000000" w:themeColor="text1"/>
          <w:lang w:val="en-GB"/>
        </w:rPr>
        <w:t xml:space="preserve">g/kg of PS-MPs. Nevertheless, with lower doses authors of the referred study observed significant increase in the weight gain, which was in contrast to the present study. The study carried out by Wang et al. </w:t>
      </w:r>
      <w:r w:rsidR="00195E22" w:rsidRPr="005C1BB0">
        <w:rPr>
          <w:rFonts w:ascii="Times New Roman" w:hAnsi="Times New Roman" w:cs="Times New Roman"/>
          <w:color w:val="000000" w:themeColor="text1"/>
          <w:lang w:val="en-GB"/>
        </w:rPr>
        <w:t>[</w:t>
      </w:r>
      <w:r w:rsidR="00903D56" w:rsidRPr="005C1BB0">
        <w:rPr>
          <w:rFonts w:ascii="Times New Roman" w:hAnsi="Times New Roman" w:cs="Times New Roman"/>
          <w:color w:val="000000" w:themeColor="text1"/>
          <w:lang w:val="en-GB"/>
        </w:rPr>
        <w:t>35</w:t>
      </w:r>
      <w:r w:rsidR="00195E22" w:rsidRPr="005C1BB0">
        <w:rPr>
          <w:rFonts w:ascii="Times New Roman" w:hAnsi="Times New Roman" w:cs="Times New Roman"/>
          <w:color w:val="000000" w:themeColor="text1"/>
          <w:lang w:val="en-GB"/>
        </w:rPr>
        <w:t>]</w:t>
      </w:r>
      <w:r w:rsidR="00CF4701" w:rsidRPr="005C1BB0">
        <w:rPr>
          <w:rFonts w:ascii="Times New Roman" w:hAnsi="Times New Roman" w:cs="Times New Roman"/>
          <w:color w:val="000000" w:themeColor="text1"/>
          <w:lang w:val="en-GB"/>
        </w:rPr>
        <w:t xml:space="preserve"> was investigated for 4 weeks which was substantially minor to the &gt;17 weeks investigation. Authors of the present study assume the daily administration of low doses of PS-MPs (i.e. 5 and 50 </w:t>
      </w:r>
      <w:r w:rsidR="00CF4701" w:rsidRPr="005C1BB0">
        <w:rPr>
          <w:rFonts w:ascii="Times New Roman" w:hAnsi="Times New Roman" w:cs="Times New Roman"/>
          <w:color w:val="000000" w:themeColor="text1"/>
          <w:lang w:val="en-GB"/>
        </w:rPr>
        <w:sym w:font="Symbol" w:char="F06D"/>
      </w:r>
      <w:r w:rsidR="00CF4701" w:rsidRPr="005C1BB0">
        <w:rPr>
          <w:rFonts w:ascii="Times New Roman" w:hAnsi="Times New Roman" w:cs="Times New Roman"/>
          <w:color w:val="000000" w:themeColor="text1"/>
          <w:lang w:val="en-GB"/>
        </w:rPr>
        <w:t xml:space="preserve">g/kg </w:t>
      </w:r>
      <w:proofErr w:type="spellStart"/>
      <w:r w:rsidR="00CF4701" w:rsidRPr="005C1BB0">
        <w:rPr>
          <w:rFonts w:ascii="Times New Roman" w:hAnsi="Times New Roman" w:cs="Times New Roman"/>
          <w:color w:val="000000" w:themeColor="text1"/>
          <w:lang w:val="en-GB"/>
        </w:rPr>
        <w:t>b.w.</w:t>
      </w:r>
      <w:proofErr w:type="spellEnd"/>
      <w:r w:rsidR="00CF4701" w:rsidRPr="005C1BB0">
        <w:rPr>
          <w:rFonts w:ascii="Times New Roman" w:hAnsi="Times New Roman" w:cs="Times New Roman"/>
          <w:color w:val="000000" w:themeColor="text1"/>
          <w:lang w:val="en-GB"/>
        </w:rPr>
        <w:t xml:space="preserve">) may have induced high weight gain for a brief period of time and later begin to decline. It is however important to note that the weight gain remained statistically insignificant comparing to the control for remaining three doses (i.e. 5, 50 and 500 </w:t>
      </w:r>
      <w:r w:rsidR="00CF4701" w:rsidRPr="005C1BB0">
        <w:rPr>
          <w:rFonts w:ascii="Times New Roman" w:hAnsi="Times New Roman" w:cs="Times New Roman"/>
          <w:color w:val="000000" w:themeColor="text1"/>
          <w:lang w:val="en-GB"/>
        </w:rPr>
        <w:sym w:font="Symbol" w:char="F06D"/>
      </w:r>
      <w:r w:rsidR="00CF4701" w:rsidRPr="005C1BB0">
        <w:rPr>
          <w:rFonts w:ascii="Times New Roman" w:hAnsi="Times New Roman" w:cs="Times New Roman"/>
          <w:color w:val="000000" w:themeColor="text1"/>
          <w:lang w:val="en-GB"/>
        </w:rPr>
        <w:t xml:space="preserve">g/kg </w:t>
      </w:r>
      <w:proofErr w:type="spellStart"/>
      <w:r w:rsidR="00CF4701" w:rsidRPr="005C1BB0">
        <w:rPr>
          <w:rFonts w:ascii="Times New Roman" w:hAnsi="Times New Roman" w:cs="Times New Roman"/>
          <w:color w:val="000000" w:themeColor="text1"/>
          <w:lang w:val="en-GB"/>
        </w:rPr>
        <w:t>b.w.</w:t>
      </w:r>
      <w:proofErr w:type="spellEnd"/>
      <w:r w:rsidR="00CF4701" w:rsidRPr="005C1BB0">
        <w:rPr>
          <w:rFonts w:ascii="Times New Roman" w:hAnsi="Times New Roman" w:cs="Times New Roman"/>
          <w:color w:val="000000" w:themeColor="text1"/>
          <w:lang w:val="en-GB"/>
        </w:rPr>
        <w:t>). However, it would be interesting to study weight gain response against long-term exposure (i.e. &gt;120 days)</w:t>
      </w:r>
      <w:r w:rsidR="0066509A" w:rsidRPr="005C1BB0">
        <w:rPr>
          <w:rFonts w:ascii="Times New Roman" w:hAnsi="Times New Roman" w:cs="Times New Roman"/>
          <w:color w:val="000000" w:themeColor="text1"/>
          <w:lang w:val="en-GB"/>
        </w:rPr>
        <w:t xml:space="preserve">. </w:t>
      </w:r>
    </w:p>
    <w:p w14:paraId="1168CEE3" w14:textId="77777777" w:rsidR="00A14A0E" w:rsidRPr="005C1BB0" w:rsidRDefault="0066509A" w:rsidP="00A14A0E">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Although no significant reduction in body weight gain was observed for first three doses (i.e. 5, 50 and 500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significant dose dependent decline in testicular weight provides direct response of PS-MPs on the testicular growth. </w:t>
      </w:r>
      <w:r w:rsidR="00A14A0E" w:rsidRPr="005C1BB0">
        <w:rPr>
          <w:rFonts w:ascii="Times New Roman" w:hAnsi="Times New Roman" w:cs="Times New Roman"/>
          <w:color w:val="000000" w:themeColor="text1"/>
          <w:lang w:val="en-GB"/>
        </w:rPr>
        <w:t xml:space="preserve">A study by Gao et al. </w:t>
      </w:r>
      <w:r w:rsidR="00195E22" w:rsidRPr="005C1BB0">
        <w:rPr>
          <w:rFonts w:ascii="Times New Roman" w:hAnsi="Times New Roman" w:cs="Times New Roman"/>
          <w:color w:val="000000" w:themeColor="text1"/>
          <w:lang w:val="en-GB"/>
        </w:rPr>
        <w:t>[3</w:t>
      </w:r>
      <w:r w:rsidR="00903D56" w:rsidRPr="005C1BB0">
        <w:rPr>
          <w:rFonts w:ascii="Times New Roman" w:hAnsi="Times New Roman" w:cs="Times New Roman"/>
          <w:color w:val="000000" w:themeColor="text1"/>
          <w:lang w:val="en-GB"/>
        </w:rPr>
        <w:t>6</w:t>
      </w:r>
      <w:r w:rsidR="00195E22" w:rsidRPr="005C1BB0">
        <w:rPr>
          <w:rFonts w:ascii="Times New Roman" w:hAnsi="Times New Roman" w:cs="Times New Roman"/>
          <w:color w:val="000000" w:themeColor="text1"/>
          <w:lang w:val="en-GB"/>
        </w:rPr>
        <w:t>]</w:t>
      </w:r>
      <w:r w:rsidR="00A14A0E" w:rsidRPr="005C1BB0">
        <w:rPr>
          <w:rFonts w:ascii="Times New Roman" w:hAnsi="Times New Roman" w:cs="Times New Roman"/>
          <w:color w:val="000000" w:themeColor="text1"/>
          <w:lang w:val="en-GB"/>
        </w:rPr>
        <w:t xml:space="preserve"> reported that though PS-NPs increased testicular weight in mice, while administration of PS-MPs slightly declined the testicular weight. Though it is again important to note that the study by Gao et al. </w:t>
      </w:r>
      <w:r w:rsidR="00195E22" w:rsidRPr="005C1BB0">
        <w:rPr>
          <w:rFonts w:ascii="Times New Roman" w:hAnsi="Times New Roman" w:cs="Times New Roman"/>
          <w:color w:val="000000" w:themeColor="text1"/>
          <w:lang w:val="en-GB"/>
        </w:rPr>
        <w:t>[3</w:t>
      </w:r>
      <w:r w:rsidR="00903D56" w:rsidRPr="005C1BB0">
        <w:rPr>
          <w:rFonts w:ascii="Times New Roman" w:hAnsi="Times New Roman" w:cs="Times New Roman"/>
          <w:color w:val="000000" w:themeColor="text1"/>
          <w:lang w:val="en-GB"/>
        </w:rPr>
        <w:t>6</w:t>
      </w:r>
      <w:r w:rsidR="00195E22" w:rsidRPr="005C1BB0">
        <w:rPr>
          <w:rFonts w:ascii="Times New Roman" w:hAnsi="Times New Roman" w:cs="Times New Roman"/>
          <w:color w:val="000000" w:themeColor="text1"/>
          <w:lang w:val="en-GB"/>
        </w:rPr>
        <w:t>]</w:t>
      </w:r>
      <w:r w:rsidR="00A14A0E" w:rsidRPr="005C1BB0">
        <w:rPr>
          <w:rFonts w:ascii="Times New Roman" w:hAnsi="Times New Roman" w:cs="Times New Roman"/>
          <w:color w:val="000000" w:themeColor="text1"/>
          <w:lang w:val="en-GB"/>
        </w:rPr>
        <w:t xml:space="preserve"> was carried out for 12 weeks, thus, following 17 weeks of administration of PS-MPs is highly likely to induce significant reduction in testicular weight. It is also </w:t>
      </w:r>
      <w:r w:rsidR="00A14A0E" w:rsidRPr="005C1BB0">
        <w:rPr>
          <w:rFonts w:ascii="Times New Roman" w:hAnsi="Times New Roman" w:cs="Times New Roman"/>
          <w:color w:val="000000" w:themeColor="text1"/>
          <w:lang w:val="en-GB"/>
        </w:rPr>
        <w:lastRenderedPageBreak/>
        <w:t xml:space="preserve">important to note that Gao et al. </w:t>
      </w:r>
      <w:r w:rsidR="00195E22" w:rsidRPr="005C1BB0">
        <w:rPr>
          <w:rFonts w:ascii="Times New Roman" w:hAnsi="Times New Roman" w:cs="Times New Roman"/>
          <w:color w:val="000000" w:themeColor="text1"/>
          <w:lang w:val="en-GB"/>
        </w:rPr>
        <w:t>[3</w:t>
      </w:r>
      <w:r w:rsidR="00903D56" w:rsidRPr="005C1BB0">
        <w:rPr>
          <w:rFonts w:ascii="Times New Roman" w:hAnsi="Times New Roman" w:cs="Times New Roman"/>
          <w:color w:val="000000" w:themeColor="text1"/>
          <w:lang w:val="en-GB"/>
        </w:rPr>
        <w:t>6</w:t>
      </w:r>
      <w:r w:rsidR="00195E22" w:rsidRPr="005C1BB0">
        <w:rPr>
          <w:rFonts w:ascii="Times New Roman" w:hAnsi="Times New Roman" w:cs="Times New Roman"/>
          <w:color w:val="000000" w:themeColor="text1"/>
          <w:lang w:val="en-GB"/>
        </w:rPr>
        <w:t>]</w:t>
      </w:r>
      <w:r w:rsidR="00A14A0E" w:rsidRPr="005C1BB0">
        <w:rPr>
          <w:rFonts w:ascii="Times New Roman" w:hAnsi="Times New Roman" w:cs="Times New Roman"/>
          <w:color w:val="000000" w:themeColor="text1"/>
          <w:lang w:val="en-GB"/>
        </w:rPr>
        <w:t xml:space="preserve"> exclusively reported that MPs were more toxic to testis than NPs.</w:t>
      </w:r>
    </w:p>
    <w:p w14:paraId="7CD58445" w14:textId="77777777" w:rsidR="0066509A" w:rsidRPr="005C1BB0" w:rsidRDefault="00A14A0E"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The significant decline in testicular growth was reflected in the fertility tests, although animals were able to impregnate female with significant rate of success, decline in </w:t>
      </w:r>
      <w:r w:rsidR="00904A1A" w:rsidRPr="005C1BB0">
        <w:rPr>
          <w:rFonts w:ascii="Times New Roman" w:hAnsi="Times New Roman" w:cs="Times New Roman"/>
          <w:color w:val="000000" w:themeColor="text1"/>
          <w:lang w:val="en-GB"/>
        </w:rPr>
        <w:t xml:space="preserve">success rate was considerable. The present study unequivocally showed gradual and consistent decline in fertility rate of rats administered with 5000 </w:t>
      </w:r>
      <w:r w:rsidR="00904A1A" w:rsidRPr="005C1BB0">
        <w:rPr>
          <w:rFonts w:ascii="Times New Roman" w:hAnsi="Times New Roman" w:cs="Times New Roman"/>
          <w:color w:val="000000" w:themeColor="text1"/>
          <w:lang w:val="en-GB"/>
        </w:rPr>
        <w:sym w:font="Symbol" w:char="F06D"/>
      </w:r>
      <w:r w:rsidR="00904A1A" w:rsidRPr="005C1BB0">
        <w:rPr>
          <w:rFonts w:ascii="Times New Roman" w:hAnsi="Times New Roman" w:cs="Times New Roman"/>
          <w:color w:val="000000" w:themeColor="text1"/>
          <w:lang w:val="en-GB"/>
        </w:rPr>
        <w:t xml:space="preserve">g/kg </w:t>
      </w:r>
      <w:proofErr w:type="spellStart"/>
      <w:r w:rsidR="00904A1A" w:rsidRPr="005C1BB0">
        <w:rPr>
          <w:rFonts w:ascii="Times New Roman" w:hAnsi="Times New Roman" w:cs="Times New Roman"/>
          <w:color w:val="000000" w:themeColor="text1"/>
          <w:lang w:val="en-GB"/>
        </w:rPr>
        <w:t>b.w.</w:t>
      </w:r>
      <w:proofErr w:type="spellEnd"/>
      <w:r w:rsidR="00904A1A" w:rsidRPr="005C1BB0">
        <w:rPr>
          <w:rFonts w:ascii="Times New Roman" w:hAnsi="Times New Roman" w:cs="Times New Roman"/>
          <w:color w:val="000000" w:themeColor="text1"/>
          <w:lang w:val="en-GB"/>
        </w:rPr>
        <w:t xml:space="preserve"> of PS-MPs. Beginning of significant decline in fertility rate was visible from 45</w:t>
      </w:r>
      <w:r w:rsidR="00904A1A" w:rsidRPr="005C1BB0">
        <w:rPr>
          <w:rFonts w:ascii="Times New Roman" w:hAnsi="Times New Roman" w:cs="Times New Roman"/>
          <w:color w:val="000000" w:themeColor="text1"/>
          <w:vertAlign w:val="superscript"/>
          <w:lang w:val="en-GB"/>
        </w:rPr>
        <w:t>th</w:t>
      </w:r>
      <w:r w:rsidR="00904A1A" w:rsidRPr="005C1BB0">
        <w:rPr>
          <w:rFonts w:ascii="Times New Roman" w:hAnsi="Times New Roman" w:cs="Times New Roman"/>
          <w:color w:val="000000" w:themeColor="text1"/>
          <w:lang w:val="en-GB"/>
        </w:rPr>
        <w:t xml:space="preserve"> day onwards, which consistently dropped to 70% success rate by the end of investigation (i.e. 120</w:t>
      </w:r>
      <w:r w:rsidR="00904A1A" w:rsidRPr="005C1BB0">
        <w:rPr>
          <w:rFonts w:ascii="Times New Roman" w:hAnsi="Times New Roman" w:cs="Times New Roman"/>
          <w:color w:val="000000" w:themeColor="text1"/>
          <w:vertAlign w:val="superscript"/>
          <w:lang w:val="en-GB"/>
        </w:rPr>
        <w:t>th</w:t>
      </w:r>
      <w:r w:rsidR="00904A1A" w:rsidRPr="005C1BB0">
        <w:rPr>
          <w:rFonts w:ascii="Times New Roman" w:hAnsi="Times New Roman" w:cs="Times New Roman"/>
          <w:color w:val="000000" w:themeColor="text1"/>
          <w:lang w:val="en-GB"/>
        </w:rPr>
        <w:t xml:space="preserve"> day). On the other hand, both low dose exposures (5, and 50 </w:t>
      </w:r>
      <w:r w:rsidR="00904A1A" w:rsidRPr="005C1BB0">
        <w:rPr>
          <w:rFonts w:ascii="Times New Roman" w:hAnsi="Times New Roman" w:cs="Times New Roman"/>
          <w:color w:val="000000" w:themeColor="text1"/>
          <w:lang w:val="en-GB"/>
        </w:rPr>
        <w:sym w:font="Symbol" w:char="F06D"/>
      </w:r>
      <w:r w:rsidR="00904A1A" w:rsidRPr="005C1BB0">
        <w:rPr>
          <w:rFonts w:ascii="Times New Roman" w:hAnsi="Times New Roman" w:cs="Times New Roman"/>
          <w:color w:val="000000" w:themeColor="text1"/>
          <w:lang w:val="en-GB"/>
        </w:rPr>
        <w:t xml:space="preserve">g/kg </w:t>
      </w:r>
      <w:proofErr w:type="spellStart"/>
      <w:r w:rsidR="00904A1A" w:rsidRPr="005C1BB0">
        <w:rPr>
          <w:rFonts w:ascii="Times New Roman" w:hAnsi="Times New Roman" w:cs="Times New Roman"/>
          <w:color w:val="000000" w:themeColor="text1"/>
          <w:lang w:val="en-GB"/>
        </w:rPr>
        <w:t>b.w.</w:t>
      </w:r>
      <w:proofErr w:type="spellEnd"/>
      <w:r w:rsidR="00904A1A" w:rsidRPr="005C1BB0">
        <w:rPr>
          <w:rFonts w:ascii="Times New Roman" w:hAnsi="Times New Roman" w:cs="Times New Roman"/>
          <w:color w:val="000000" w:themeColor="text1"/>
          <w:lang w:val="en-GB"/>
        </w:rPr>
        <w:t>) least impact on overall fertility rate, nonetheless, 10% decline was consistent from 90</w:t>
      </w:r>
      <w:r w:rsidR="00904A1A" w:rsidRPr="005C1BB0">
        <w:rPr>
          <w:rFonts w:ascii="Times New Roman" w:hAnsi="Times New Roman" w:cs="Times New Roman"/>
          <w:color w:val="000000" w:themeColor="text1"/>
          <w:vertAlign w:val="superscript"/>
          <w:lang w:val="en-GB"/>
        </w:rPr>
        <w:t>th</w:t>
      </w:r>
      <w:r w:rsidR="00904A1A" w:rsidRPr="005C1BB0">
        <w:rPr>
          <w:rFonts w:ascii="Times New Roman" w:hAnsi="Times New Roman" w:cs="Times New Roman"/>
          <w:color w:val="000000" w:themeColor="text1"/>
          <w:lang w:val="en-GB"/>
        </w:rPr>
        <w:t xml:space="preserve"> day onwards. Though there were no parallel study to compare the present observations, it is mostly accepted that PS-MPs affect male fertility due to ubiquity and persistent toxicity</w:t>
      </w:r>
      <w:r w:rsidR="00CC5F87" w:rsidRPr="005C1BB0">
        <w:rPr>
          <w:rFonts w:ascii="Times New Roman" w:hAnsi="Times New Roman" w:cs="Times New Roman"/>
          <w:color w:val="000000" w:themeColor="text1"/>
          <w:lang w:val="en-GB"/>
        </w:rPr>
        <w:t xml:space="preserve">, and have associated with reproductive toxicity in various organisms </w:t>
      </w:r>
      <w:r w:rsidR="00195E22" w:rsidRPr="005C1BB0">
        <w:rPr>
          <w:rFonts w:ascii="Times New Roman" w:hAnsi="Times New Roman" w:cs="Times New Roman"/>
          <w:color w:val="000000" w:themeColor="text1"/>
          <w:lang w:val="en-GB"/>
        </w:rPr>
        <w:t>[</w:t>
      </w:r>
      <w:r w:rsidR="00903D56" w:rsidRPr="005C1BB0">
        <w:rPr>
          <w:rFonts w:ascii="Times New Roman" w:hAnsi="Times New Roman" w:cs="Times New Roman"/>
          <w:color w:val="000000" w:themeColor="text1"/>
          <w:lang w:val="en-GB"/>
        </w:rPr>
        <w:t xml:space="preserve">35, </w:t>
      </w:r>
      <w:r w:rsidR="00195E22" w:rsidRPr="005C1BB0">
        <w:rPr>
          <w:rFonts w:ascii="Times New Roman" w:hAnsi="Times New Roman" w:cs="Times New Roman"/>
          <w:color w:val="000000" w:themeColor="text1"/>
          <w:lang w:val="en-GB"/>
        </w:rPr>
        <w:t>3</w:t>
      </w:r>
      <w:r w:rsidR="00903D56" w:rsidRPr="005C1BB0">
        <w:rPr>
          <w:rFonts w:ascii="Times New Roman" w:hAnsi="Times New Roman" w:cs="Times New Roman"/>
          <w:color w:val="000000" w:themeColor="text1"/>
          <w:lang w:val="en-GB"/>
        </w:rPr>
        <w:t>7</w:t>
      </w:r>
      <w:r w:rsidR="00195E22" w:rsidRPr="005C1BB0">
        <w:rPr>
          <w:rFonts w:ascii="Times New Roman" w:hAnsi="Times New Roman" w:cs="Times New Roman"/>
          <w:color w:val="000000" w:themeColor="text1"/>
          <w:lang w:val="en-GB"/>
        </w:rPr>
        <w:t>-</w:t>
      </w:r>
      <w:r w:rsidR="00040457" w:rsidRPr="005C1BB0">
        <w:rPr>
          <w:rFonts w:ascii="Times New Roman" w:hAnsi="Times New Roman" w:cs="Times New Roman"/>
          <w:color w:val="000000" w:themeColor="text1"/>
          <w:lang w:val="en-GB"/>
        </w:rPr>
        <w:t>3</w:t>
      </w:r>
      <w:r w:rsidR="00903D56" w:rsidRPr="005C1BB0">
        <w:rPr>
          <w:rFonts w:ascii="Times New Roman" w:hAnsi="Times New Roman" w:cs="Times New Roman"/>
          <w:color w:val="000000" w:themeColor="text1"/>
          <w:lang w:val="en-GB"/>
        </w:rPr>
        <w:t>9</w:t>
      </w:r>
      <w:r w:rsidR="00195E22" w:rsidRPr="005C1BB0">
        <w:rPr>
          <w:rFonts w:ascii="Times New Roman" w:hAnsi="Times New Roman" w:cs="Times New Roman"/>
          <w:color w:val="000000" w:themeColor="text1"/>
          <w:lang w:val="en-GB"/>
        </w:rPr>
        <w:t>]</w:t>
      </w:r>
      <w:r w:rsidR="00904A1A" w:rsidRPr="005C1BB0">
        <w:rPr>
          <w:rFonts w:ascii="Times New Roman" w:hAnsi="Times New Roman" w:cs="Times New Roman"/>
          <w:color w:val="000000" w:themeColor="text1"/>
          <w:lang w:val="en-GB"/>
        </w:rPr>
        <w:t>.</w:t>
      </w:r>
      <w:r w:rsidR="00CC5F87" w:rsidRPr="005C1BB0">
        <w:rPr>
          <w:rFonts w:ascii="Times New Roman" w:hAnsi="Times New Roman" w:cs="Times New Roman"/>
          <w:color w:val="000000" w:themeColor="text1"/>
          <w:lang w:val="en-GB"/>
        </w:rPr>
        <w:t xml:space="preserve"> Based in the present fertility record the current study assumes that PS-MPs have direct and long-term impact on the male fertility rate.</w:t>
      </w:r>
    </w:p>
    <w:p w14:paraId="264058E8" w14:textId="77777777" w:rsidR="00CC5F87" w:rsidRPr="005C1BB0" w:rsidRDefault="00CC5F87"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Spermatogenesis is progression of germ cells to eventually form a healthy sperm. There are multiple </w:t>
      </w:r>
      <w:r w:rsidR="00F1107F" w:rsidRPr="005C1BB0">
        <w:rPr>
          <w:rFonts w:ascii="Times New Roman" w:hAnsi="Times New Roman" w:cs="Times New Roman"/>
          <w:color w:val="000000" w:themeColor="text1"/>
          <w:lang w:val="en-GB"/>
        </w:rPr>
        <w:t>well-</w:t>
      </w:r>
      <w:proofErr w:type="spellStart"/>
      <w:r w:rsidR="00F1107F" w:rsidRPr="005C1BB0">
        <w:rPr>
          <w:rFonts w:ascii="Times New Roman" w:hAnsi="Times New Roman" w:cs="Times New Roman"/>
          <w:color w:val="000000" w:themeColor="text1"/>
          <w:lang w:val="en-GB"/>
        </w:rPr>
        <w:t>regulatedcellular</w:t>
      </w:r>
      <w:proofErr w:type="spellEnd"/>
      <w:r w:rsidR="00F1107F" w:rsidRPr="005C1BB0">
        <w:rPr>
          <w:rFonts w:ascii="Times New Roman" w:hAnsi="Times New Roman" w:cs="Times New Roman"/>
          <w:color w:val="000000" w:themeColor="text1"/>
          <w:lang w:val="en-GB"/>
        </w:rPr>
        <w:t xml:space="preserve"> divisions that accomplish successful formation of mature sperms. Thus, slight change in the complex homeostasis of regulatory factors (such as gonadotropins, androgen, and other factors) may deviate number of incumbent cells in sequence of progress during spermatogenesis. The present study recorded no significant change in volume of spermatogonia, and spermatocytes in animals administered with 5 and 50 </w:t>
      </w:r>
      <w:r w:rsidR="00F1107F" w:rsidRPr="005C1BB0">
        <w:rPr>
          <w:rFonts w:ascii="Times New Roman" w:hAnsi="Times New Roman" w:cs="Times New Roman"/>
          <w:color w:val="000000" w:themeColor="text1"/>
          <w:lang w:val="en-GB"/>
        </w:rPr>
        <w:sym w:font="Symbol" w:char="F06D"/>
      </w:r>
      <w:r w:rsidR="00F1107F" w:rsidRPr="005C1BB0">
        <w:rPr>
          <w:rFonts w:ascii="Times New Roman" w:hAnsi="Times New Roman" w:cs="Times New Roman"/>
          <w:color w:val="000000" w:themeColor="text1"/>
          <w:lang w:val="en-GB"/>
        </w:rPr>
        <w:t xml:space="preserve">g/kg </w:t>
      </w:r>
      <w:proofErr w:type="spellStart"/>
      <w:r w:rsidR="00F1107F" w:rsidRPr="005C1BB0">
        <w:rPr>
          <w:rFonts w:ascii="Times New Roman" w:hAnsi="Times New Roman" w:cs="Times New Roman"/>
          <w:color w:val="000000" w:themeColor="text1"/>
          <w:lang w:val="en-GB"/>
        </w:rPr>
        <w:t>b.w.</w:t>
      </w:r>
      <w:proofErr w:type="spellEnd"/>
      <w:r w:rsidR="00F1107F" w:rsidRPr="005C1BB0">
        <w:rPr>
          <w:rFonts w:ascii="Times New Roman" w:hAnsi="Times New Roman" w:cs="Times New Roman"/>
          <w:color w:val="000000" w:themeColor="text1"/>
          <w:lang w:val="en-GB"/>
        </w:rPr>
        <w:t xml:space="preserve"> of PS-MPs, while there was a </w:t>
      </w:r>
      <w:r w:rsidR="00A831E2" w:rsidRPr="005C1BB0">
        <w:rPr>
          <w:rFonts w:ascii="Times New Roman" w:hAnsi="Times New Roman" w:cs="Times New Roman"/>
          <w:color w:val="000000" w:themeColor="text1"/>
          <w:lang w:val="en-GB"/>
        </w:rPr>
        <w:t>peculiar</w:t>
      </w:r>
      <w:r w:rsidR="00F1107F" w:rsidRPr="005C1BB0">
        <w:rPr>
          <w:rFonts w:ascii="Times New Roman" w:hAnsi="Times New Roman" w:cs="Times New Roman"/>
          <w:color w:val="000000" w:themeColor="text1"/>
          <w:lang w:val="en-GB"/>
        </w:rPr>
        <w:t xml:space="preserve"> increase in the number of spermatocytes </w:t>
      </w:r>
      <w:r w:rsidR="00A831E2" w:rsidRPr="005C1BB0">
        <w:rPr>
          <w:rFonts w:ascii="Times New Roman" w:hAnsi="Times New Roman" w:cs="Times New Roman"/>
          <w:color w:val="000000" w:themeColor="text1"/>
          <w:lang w:val="en-GB"/>
        </w:rPr>
        <w:t>among</w:t>
      </w:r>
      <w:r w:rsidR="00F1107F" w:rsidRPr="005C1BB0">
        <w:rPr>
          <w:rFonts w:ascii="Times New Roman" w:hAnsi="Times New Roman" w:cs="Times New Roman"/>
          <w:color w:val="000000" w:themeColor="text1"/>
          <w:lang w:val="en-GB"/>
        </w:rPr>
        <w:t xml:space="preserve"> animals treated with 50</w:t>
      </w:r>
      <w:r w:rsidR="00A831E2" w:rsidRPr="005C1BB0">
        <w:rPr>
          <w:rFonts w:ascii="Times New Roman" w:hAnsi="Times New Roman" w:cs="Times New Roman"/>
          <w:color w:val="000000" w:themeColor="text1"/>
          <w:lang w:val="en-GB"/>
        </w:rPr>
        <w:t xml:space="preserve"> and 500</w:t>
      </w:r>
      <w:r w:rsidR="00F1107F" w:rsidRPr="005C1BB0">
        <w:rPr>
          <w:rFonts w:ascii="Times New Roman" w:hAnsi="Times New Roman" w:cs="Times New Roman"/>
          <w:color w:val="000000" w:themeColor="text1"/>
          <w:lang w:val="en-GB"/>
        </w:rPr>
        <w:sym w:font="Symbol" w:char="F06D"/>
      </w:r>
      <w:r w:rsidR="00F1107F" w:rsidRPr="005C1BB0">
        <w:rPr>
          <w:rFonts w:ascii="Times New Roman" w:hAnsi="Times New Roman" w:cs="Times New Roman"/>
          <w:color w:val="000000" w:themeColor="text1"/>
          <w:lang w:val="en-GB"/>
        </w:rPr>
        <w:t xml:space="preserve">g/kg </w:t>
      </w:r>
      <w:proofErr w:type="spellStart"/>
      <w:r w:rsidR="00F1107F" w:rsidRPr="005C1BB0">
        <w:rPr>
          <w:rFonts w:ascii="Times New Roman" w:hAnsi="Times New Roman" w:cs="Times New Roman"/>
          <w:color w:val="000000" w:themeColor="text1"/>
          <w:lang w:val="en-GB"/>
        </w:rPr>
        <w:t>b.w.</w:t>
      </w:r>
      <w:proofErr w:type="spellEnd"/>
      <w:r w:rsidR="00F1107F" w:rsidRPr="005C1BB0">
        <w:rPr>
          <w:rFonts w:ascii="Times New Roman" w:hAnsi="Times New Roman" w:cs="Times New Roman"/>
          <w:color w:val="000000" w:themeColor="text1"/>
          <w:lang w:val="en-GB"/>
        </w:rPr>
        <w:t xml:space="preserve"> of PS-MPs. </w:t>
      </w:r>
      <w:r w:rsidR="00A831E2" w:rsidRPr="005C1BB0">
        <w:rPr>
          <w:rFonts w:ascii="Times New Roman" w:hAnsi="Times New Roman" w:cs="Times New Roman"/>
          <w:color w:val="000000" w:themeColor="text1"/>
          <w:lang w:val="en-GB"/>
        </w:rPr>
        <w:t xml:space="preserve">Primary and secondary spermatocytes are formed through </w:t>
      </w:r>
      <w:proofErr w:type="spellStart"/>
      <w:r w:rsidR="00A831E2" w:rsidRPr="005C1BB0">
        <w:rPr>
          <w:rFonts w:ascii="Times New Roman" w:hAnsi="Times New Roman" w:cs="Times New Roman"/>
          <w:color w:val="000000" w:themeColor="text1"/>
          <w:lang w:val="en-GB"/>
        </w:rPr>
        <w:t>spermatocytogenesis</w:t>
      </w:r>
      <w:proofErr w:type="spellEnd"/>
      <w:r w:rsidR="00A831E2" w:rsidRPr="005C1BB0">
        <w:rPr>
          <w:rFonts w:ascii="Times New Roman" w:hAnsi="Times New Roman" w:cs="Times New Roman"/>
          <w:color w:val="000000" w:themeColor="text1"/>
          <w:lang w:val="en-GB"/>
        </w:rPr>
        <w:t xml:space="preserve">, where spermatogonium accumulates large number of nutrients besides chromatins and enlarge (primary spermatocytes). Later the enlarged spermatogonium or primary spermatocytes divide into secondary spermatocytes </w:t>
      </w:r>
      <w:r w:rsidR="00A831E2" w:rsidRPr="005C1BB0">
        <w:rPr>
          <w:rFonts w:ascii="Times New Roman" w:hAnsi="Times New Roman" w:cs="Times New Roman"/>
          <w:color w:val="000000" w:themeColor="text1"/>
          <w:lang w:val="en-GB"/>
        </w:rPr>
        <w:lastRenderedPageBreak/>
        <w:t xml:space="preserve">through Meiosis I, which further divides to haploid spermatids during Meiosis II. The present study counted both primary and secondary spermatocytes as one thus increases in number of these germ cells amounts to possible obstruction in Meiosis II. A study by Li et al. </w:t>
      </w:r>
      <w:r w:rsidR="00195E22" w:rsidRPr="005C1BB0">
        <w:rPr>
          <w:rFonts w:ascii="Times New Roman" w:hAnsi="Times New Roman" w:cs="Times New Roman"/>
          <w:color w:val="000000" w:themeColor="text1"/>
          <w:lang w:val="en-GB"/>
        </w:rPr>
        <w:t>[4</w:t>
      </w:r>
      <w:r w:rsidR="00040457" w:rsidRPr="005C1BB0">
        <w:rPr>
          <w:rFonts w:ascii="Times New Roman" w:hAnsi="Times New Roman" w:cs="Times New Roman"/>
          <w:color w:val="000000" w:themeColor="text1"/>
          <w:lang w:val="en-GB"/>
        </w:rPr>
        <w:t>0</w:t>
      </w:r>
      <w:r w:rsidR="00195E22" w:rsidRPr="005C1BB0">
        <w:rPr>
          <w:rFonts w:ascii="Times New Roman" w:hAnsi="Times New Roman" w:cs="Times New Roman"/>
          <w:color w:val="000000" w:themeColor="text1"/>
          <w:lang w:val="en-GB"/>
        </w:rPr>
        <w:t>]</w:t>
      </w:r>
      <w:r w:rsidR="00A831E2" w:rsidRPr="005C1BB0">
        <w:rPr>
          <w:rFonts w:ascii="Times New Roman" w:hAnsi="Times New Roman" w:cs="Times New Roman"/>
          <w:color w:val="000000" w:themeColor="text1"/>
          <w:lang w:val="en-GB"/>
        </w:rPr>
        <w:t xml:space="preserve"> reported that </w:t>
      </w:r>
      <w:r w:rsidR="00292253" w:rsidRPr="005C1BB0">
        <w:rPr>
          <w:rFonts w:ascii="Times New Roman" w:hAnsi="Times New Roman" w:cs="Times New Roman"/>
          <w:color w:val="000000" w:themeColor="text1"/>
          <w:lang w:val="en-GB"/>
        </w:rPr>
        <w:t xml:space="preserve">reproductive toxicity by specific chemical agents may affect androgen receptor expression system inhibiting two important secretions i.e. cortisol and melatonin that eventually obstruct meiotic pathway. The present study assumes that surprise increase in number of spermatocytes may be related to PS-MPs induced change in androgen receptor signalling. To support this hypothesis, a study by Jin et al. </w:t>
      </w:r>
      <w:r w:rsidR="00195E22" w:rsidRPr="005C1BB0">
        <w:rPr>
          <w:rFonts w:ascii="Times New Roman" w:hAnsi="Times New Roman" w:cs="Times New Roman"/>
          <w:color w:val="000000" w:themeColor="text1"/>
          <w:lang w:val="en-GB"/>
        </w:rPr>
        <w:t>[</w:t>
      </w:r>
      <w:r w:rsidR="00040457" w:rsidRPr="005C1BB0">
        <w:rPr>
          <w:rFonts w:ascii="Times New Roman" w:hAnsi="Times New Roman" w:cs="Times New Roman"/>
          <w:color w:val="000000" w:themeColor="text1"/>
          <w:lang w:val="en-GB"/>
        </w:rPr>
        <w:t>37</w:t>
      </w:r>
      <w:r w:rsidR="00195E22" w:rsidRPr="005C1BB0">
        <w:rPr>
          <w:rFonts w:ascii="Times New Roman" w:hAnsi="Times New Roman" w:cs="Times New Roman"/>
          <w:color w:val="000000" w:themeColor="text1"/>
          <w:lang w:val="en-GB"/>
        </w:rPr>
        <w:t>]</w:t>
      </w:r>
      <w:r w:rsidR="00292253" w:rsidRPr="005C1BB0">
        <w:rPr>
          <w:rFonts w:ascii="Times New Roman" w:hAnsi="Times New Roman" w:cs="Times New Roman"/>
          <w:color w:val="000000" w:themeColor="text1"/>
          <w:lang w:val="en-GB"/>
        </w:rPr>
        <w:t xml:space="preserve"> reported that PS-MPs inhibited expression of testosterone in the mice Leydig cells, </w:t>
      </w:r>
      <w:r w:rsidR="00AC6EB6" w:rsidRPr="005C1BB0">
        <w:rPr>
          <w:rFonts w:ascii="Times New Roman" w:hAnsi="Times New Roman" w:cs="Times New Roman"/>
          <w:color w:val="000000" w:themeColor="text1"/>
          <w:lang w:val="en-GB"/>
        </w:rPr>
        <w:t xml:space="preserve">leading to significant decline in testosterone synthesis. On the other hand, the densities of all evaluated germ cells including Sertoli cells declined significantly in rats treated with maximum dose (i.e. 5000 </w:t>
      </w:r>
      <w:r w:rsidR="00AC6EB6" w:rsidRPr="005C1BB0">
        <w:rPr>
          <w:rFonts w:ascii="Times New Roman" w:hAnsi="Times New Roman" w:cs="Times New Roman"/>
          <w:color w:val="000000" w:themeColor="text1"/>
          <w:lang w:val="en-GB"/>
        </w:rPr>
        <w:sym w:font="Symbol" w:char="F06D"/>
      </w:r>
      <w:r w:rsidR="00AC6EB6" w:rsidRPr="005C1BB0">
        <w:rPr>
          <w:rFonts w:ascii="Times New Roman" w:hAnsi="Times New Roman" w:cs="Times New Roman"/>
          <w:color w:val="000000" w:themeColor="text1"/>
          <w:lang w:val="en-GB"/>
        </w:rPr>
        <w:t xml:space="preserve">g/kg </w:t>
      </w:r>
      <w:proofErr w:type="spellStart"/>
      <w:r w:rsidR="00AC6EB6" w:rsidRPr="005C1BB0">
        <w:rPr>
          <w:rFonts w:ascii="Times New Roman" w:hAnsi="Times New Roman" w:cs="Times New Roman"/>
          <w:color w:val="000000" w:themeColor="text1"/>
          <w:lang w:val="en-GB"/>
        </w:rPr>
        <w:t>b.w.</w:t>
      </w:r>
      <w:proofErr w:type="spellEnd"/>
      <w:r w:rsidR="00AC6EB6" w:rsidRPr="005C1BB0">
        <w:rPr>
          <w:rFonts w:ascii="Times New Roman" w:hAnsi="Times New Roman" w:cs="Times New Roman"/>
          <w:color w:val="000000" w:themeColor="text1"/>
          <w:lang w:val="en-GB"/>
        </w:rPr>
        <w:t xml:space="preserve">) of PS-MPs, indicating robust regulation of spermatogenesis through limiting effects of natural factors. </w:t>
      </w:r>
    </w:p>
    <w:p w14:paraId="0D9F9047" w14:textId="77777777" w:rsidR="00A92CED" w:rsidRPr="005C1BB0" w:rsidRDefault="00AC6EB6"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The limiting effects of PS-MPs on factors that regulate spermatogenesis was evidently present in the histological architecture.  Results showed a graded decline in sperms in the lumen of seminiferous tubules. Though stages of spermatogenic events were present in all test groups number of germ cells continued to decline as the doses of PS-MPs increased. </w:t>
      </w:r>
      <w:r w:rsidR="00BA0D33" w:rsidRPr="005C1BB0">
        <w:rPr>
          <w:rFonts w:ascii="Times New Roman" w:hAnsi="Times New Roman" w:cs="Times New Roman"/>
          <w:color w:val="000000" w:themeColor="text1"/>
          <w:lang w:val="en-GB"/>
        </w:rPr>
        <w:t xml:space="preserve">There could be multiple reasons for a low count germ cell spermatogenesis, such as; low synthesis of testosterone, interference in gonadotropins release, and/or dysregulation of multiple cell signalling factors that support spermatogenesis. Previous studies have associated all three reasons with PS-MPs </w:t>
      </w:r>
      <w:r w:rsidR="00195E22" w:rsidRPr="005C1BB0">
        <w:rPr>
          <w:rFonts w:ascii="Times New Roman" w:hAnsi="Times New Roman" w:cs="Times New Roman"/>
          <w:color w:val="000000" w:themeColor="text1"/>
          <w:lang w:val="en-GB"/>
        </w:rPr>
        <w:t>[</w:t>
      </w:r>
      <w:r w:rsidR="00040457" w:rsidRPr="005C1BB0">
        <w:rPr>
          <w:rFonts w:ascii="Times New Roman" w:hAnsi="Times New Roman" w:cs="Times New Roman"/>
          <w:color w:val="000000" w:themeColor="text1"/>
          <w:lang w:val="en-GB"/>
        </w:rPr>
        <w:t>37</w:t>
      </w:r>
      <w:r w:rsidR="00195E22" w:rsidRPr="005C1BB0">
        <w:rPr>
          <w:rFonts w:ascii="Times New Roman" w:hAnsi="Times New Roman" w:cs="Times New Roman"/>
          <w:color w:val="000000" w:themeColor="text1"/>
          <w:lang w:val="en-GB"/>
        </w:rPr>
        <w:t>,20,4</w:t>
      </w:r>
      <w:r w:rsidR="00040457" w:rsidRPr="005C1BB0">
        <w:rPr>
          <w:rFonts w:ascii="Times New Roman" w:hAnsi="Times New Roman" w:cs="Times New Roman"/>
          <w:color w:val="000000" w:themeColor="text1"/>
          <w:lang w:val="en-GB"/>
        </w:rPr>
        <w:t>1</w:t>
      </w:r>
      <w:r w:rsidR="00195E22" w:rsidRPr="005C1BB0">
        <w:rPr>
          <w:rFonts w:ascii="Times New Roman" w:hAnsi="Times New Roman" w:cs="Times New Roman"/>
          <w:color w:val="000000" w:themeColor="text1"/>
          <w:lang w:val="en-GB"/>
        </w:rPr>
        <w:t>]</w:t>
      </w:r>
      <w:r w:rsidR="00BA0D33" w:rsidRPr="005C1BB0">
        <w:rPr>
          <w:rFonts w:ascii="Times New Roman" w:hAnsi="Times New Roman" w:cs="Times New Roman"/>
          <w:color w:val="000000" w:themeColor="text1"/>
          <w:lang w:val="en-GB"/>
        </w:rPr>
        <w:t xml:space="preserve">. The current study also noted apoptotic spermatogonium in the </w:t>
      </w:r>
      <w:r w:rsidR="001C29E4" w:rsidRPr="005C1BB0">
        <w:rPr>
          <w:rFonts w:ascii="Times New Roman" w:hAnsi="Times New Roman" w:cs="Times New Roman"/>
          <w:color w:val="000000" w:themeColor="text1"/>
          <w:lang w:val="en-GB"/>
        </w:rPr>
        <w:t xml:space="preserve">animals treated with 5000 </w:t>
      </w:r>
      <w:r w:rsidR="001C29E4" w:rsidRPr="005C1BB0">
        <w:rPr>
          <w:rFonts w:ascii="Times New Roman" w:hAnsi="Times New Roman" w:cs="Times New Roman"/>
          <w:color w:val="000000" w:themeColor="text1"/>
          <w:lang w:val="en-GB"/>
        </w:rPr>
        <w:sym w:font="Symbol" w:char="F06D"/>
      </w:r>
      <w:r w:rsidR="001C29E4" w:rsidRPr="005C1BB0">
        <w:rPr>
          <w:rFonts w:ascii="Times New Roman" w:hAnsi="Times New Roman" w:cs="Times New Roman"/>
          <w:color w:val="000000" w:themeColor="text1"/>
          <w:lang w:val="en-GB"/>
        </w:rPr>
        <w:t xml:space="preserve">g/kg </w:t>
      </w:r>
      <w:proofErr w:type="spellStart"/>
      <w:r w:rsidR="001C29E4" w:rsidRPr="005C1BB0">
        <w:rPr>
          <w:rFonts w:ascii="Times New Roman" w:hAnsi="Times New Roman" w:cs="Times New Roman"/>
          <w:color w:val="000000" w:themeColor="text1"/>
          <w:lang w:val="en-GB"/>
        </w:rPr>
        <w:t>b.w.</w:t>
      </w:r>
      <w:proofErr w:type="spellEnd"/>
      <w:r w:rsidR="001C29E4" w:rsidRPr="005C1BB0">
        <w:rPr>
          <w:rFonts w:ascii="Times New Roman" w:hAnsi="Times New Roman" w:cs="Times New Roman"/>
          <w:color w:val="000000" w:themeColor="text1"/>
          <w:lang w:val="en-GB"/>
        </w:rPr>
        <w:t xml:space="preserve"> of PS-MPs, which explains not only obstructive spermatogenesis but also enduring damages in spermatogonial stem cells. This also reflects differential adversities of PS-MPs on testicular function at low dose and </w:t>
      </w:r>
      <w:r w:rsidR="001C29E4" w:rsidRPr="005C1BB0">
        <w:rPr>
          <w:rFonts w:ascii="Times New Roman" w:hAnsi="Times New Roman" w:cs="Times New Roman"/>
          <w:color w:val="000000" w:themeColor="text1"/>
          <w:lang w:val="en-GB"/>
        </w:rPr>
        <w:lastRenderedPageBreak/>
        <w:t>high dose variations. It was important to note that unlike other toxic chemicals the activity of PS-MPs on testicular tissues are less destructive but more obstructive.</w:t>
      </w:r>
    </w:p>
    <w:p w14:paraId="3D6EBF05" w14:textId="77777777" w:rsidR="001C29E4" w:rsidRPr="005C1BB0" w:rsidRDefault="001C29E4"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Oxidative stress plays important role in homeostasis of cell regulation during spermatogenesis. The present study noticed adequate toleration against potential oxidative damages induced by low dose PS-MPs (i.e. 5 and 50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while significant alterations in animals treated with higher doses (i.e. 500 and 5000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w:t>
      </w:r>
      <w:r w:rsidR="00F74E80" w:rsidRPr="005C1BB0">
        <w:rPr>
          <w:rFonts w:ascii="Times New Roman" w:hAnsi="Times New Roman" w:cs="Times New Roman"/>
          <w:color w:val="000000" w:themeColor="text1"/>
          <w:lang w:val="en-GB"/>
        </w:rPr>
        <w:t xml:space="preserve">. </w:t>
      </w:r>
      <w:r w:rsidR="000678D8" w:rsidRPr="005C1BB0">
        <w:rPr>
          <w:rFonts w:ascii="Times New Roman" w:hAnsi="Times New Roman" w:cs="Times New Roman"/>
          <w:color w:val="000000" w:themeColor="text1"/>
          <w:lang w:val="en-GB"/>
        </w:rPr>
        <w:t xml:space="preserve">GSH and </w:t>
      </w:r>
      <w:proofErr w:type="spellStart"/>
      <w:r w:rsidR="000678D8" w:rsidRPr="005C1BB0">
        <w:rPr>
          <w:rFonts w:ascii="Times New Roman" w:hAnsi="Times New Roman" w:cs="Times New Roman"/>
          <w:color w:val="000000" w:themeColor="text1"/>
          <w:lang w:val="en-GB"/>
        </w:rPr>
        <w:t>GPx</w:t>
      </w:r>
      <w:proofErr w:type="spellEnd"/>
      <w:r w:rsidR="000678D8" w:rsidRPr="005C1BB0">
        <w:rPr>
          <w:rFonts w:ascii="Times New Roman" w:hAnsi="Times New Roman" w:cs="Times New Roman"/>
          <w:color w:val="000000" w:themeColor="text1"/>
          <w:lang w:val="en-GB"/>
        </w:rPr>
        <w:t xml:space="preserve"> indicated separate pattern in response to increasing doses of PS-MPs. Where GSH level declined consistently as the doses increase, </w:t>
      </w:r>
      <w:proofErr w:type="spellStart"/>
      <w:r w:rsidR="000678D8" w:rsidRPr="005C1BB0">
        <w:rPr>
          <w:rFonts w:ascii="Times New Roman" w:hAnsi="Times New Roman" w:cs="Times New Roman"/>
          <w:color w:val="000000" w:themeColor="text1"/>
          <w:lang w:val="en-GB"/>
        </w:rPr>
        <w:t>GPx</w:t>
      </w:r>
      <w:proofErr w:type="spellEnd"/>
      <w:r w:rsidR="000678D8" w:rsidRPr="005C1BB0">
        <w:rPr>
          <w:rFonts w:ascii="Times New Roman" w:hAnsi="Times New Roman" w:cs="Times New Roman"/>
          <w:color w:val="000000" w:themeColor="text1"/>
          <w:lang w:val="en-GB"/>
        </w:rPr>
        <w:t xml:space="preserve"> noted with high activity in animals treated with low doses (5 and 50 </w:t>
      </w:r>
      <w:r w:rsidR="000678D8" w:rsidRPr="005C1BB0">
        <w:rPr>
          <w:rFonts w:ascii="Times New Roman" w:hAnsi="Times New Roman" w:cs="Times New Roman"/>
          <w:color w:val="000000" w:themeColor="text1"/>
          <w:lang w:val="en-GB"/>
        </w:rPr>
        <w:sym w:font="Symbol" w:char="F06D"/>
      </w:r>
      <w:r w:rsidR="000678D8" w:rsidRPr="005C1BB0">
        <w:rPr>
          <w:rFonts w:ascii="Times New Roman" w:hAnsi="Times New Roman" w:cs="Times New Roman"/>
          <w:color w:val="000000" w:themeColor="text1"/>
          <w:lang w:val="en-GB"/>
        </w:rPr>
        <w:t xml:space="preserve">g/kg </w:t>
      </w:r>
      <w:proofErr w:type="spellStart"/>
      <w:r w:rsidR="000678D8" w:rsidRPr="005C1BB0">
        <w:rPr>
          <w:rFonts w:ascii="Times New Roman" w:hAnsi="Times New Roman" w:cs="Times New Roman"/>
          <w:color w:val="000000" w:themeColor="text1"/>
          <w:lang w:val="en-GB"/>
        </w:rPr>
        <w:t>b.w.</w:t>
      </w:r>
      <w:proofErr w:type="spellEnd"/>
      <w:r w:rsidR="000678D8" w:rsidRPr="005C1BB0">
        <w:rPr>
          <w:rFonts w:ascii="Times New Roman" w:hAnsi="Times New Roman" w:cs="Times New Roman"/>
          <w:color w:val="000000" w:themeColor="text1"/>
          <w:lang w:val="en-GB"/>
        </w:rPr>
        <w:t xml:space="preserve">) while significantly low activity among animals treated with higher doses (500 and 5000 </w:t>
      </w:r>
      <w:r w:rsidR="000678D8" w:rsidRPr="005C1BB0">
        <w:rPr>
          <w:rFonts w:ascii="Times New Roman" w:hAnsi="Times New Roman" w:cs="Times New Roman"/>
          <w:color w:val="000000" w:themeColor="text1"/>
          <w:lang w:val="en-GB"/>
        </w:rPr>
        <w:sym w:font="Symbol" w:char="F06D"/>
      </w:r>
      <w:r w:rsidR="000678D8" w:rsidRPr="005C1BB0">
        <w:rPr>
          <w:rFonts w:ascii="Times New Roman" w:hAnsi="Times New Roman" w:cs="Times New Roman"/>
          <w:color w:val="000000" w:themeColor="text1"/>
          <w:lang w:val="en-GB"/>
        </w:rPr>
        <w:t xml:space="preserve">g/kg </w:t>
      </w:r>
      <w:proofErr w:type="spellStart"/>
      <w:r w:rsidR="000678D8" w:rsidRPr="005C1BB0">
        <w:rPr>
          <w:rFonts w:ascii="Times New Roman" w:hAnsi="Times New Roman" w:cs="Times New Roman"/>
          <w:color w:val="000000" w:themeColor="text1"/>
          <w:lang w:val="en-GB"/>
        </w:rPr>
        <w:t>b.w.</w:t>
      </w:r>
      <w:proofErr w:type="spellEnd"/>
      <w:r w:rsidR="000678D8" w:rsidRPr="005C1BB0">
        <w:rPr>
          <w:rFonts w:ascii="Times New Roman" w:hAnsi="Times New Roman" w:cs="Times New Roman"/>
          <w:color w:val="000000" w:themeColor="text1"/>
          <w:lang w:val="en-GB"/>
        </w:rPr>
        <w:t>). This implies that low dose and high dose groups acted differently in response to induced oxidative stress. It is important to note that induction of oxidative stress though H</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O</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 xml:space="preserve"> in general leads to upregulation of </w:t>
      </w:r>
      <w:proofErr w:type="spellStart"/>
      <w:r w:rsidR="000678D8" w:rsidRPr="005C1BB0">
        <w:rPr>
          <w:rFonts w:ascii="Times New Roman" w:hAnsi="Times New Roman" w:cs="Times New Roman"/>
          <w:color w:val="000000" w:themeColor="text1"/>
          <w:lang w:val="en-GB"/>
        </w:rPr>
        <w:t>GPx</w:t>
      </w:r>
      <w:proofErr w:type="spellEnd"/>
      <w:r w:rsidR="000678D8" w:rsidRPr="005C1BB0">
        <w:rPr>
          <w:rFonts w:ascii="Times New Roman" w:hAnsi="Times New Roman" w:cs="Times New Roman"/>
          <w:color w:val="000000" w:themeColor="text1"/>
          <w:lang w:val="en-GB"/>
        </w:rPr>
        <w:t xml:space="preserve"> expression </w:t>
      </w:r>
      <w:r w:rsidR="00040457" w:rsidRPr="005C1BB0">
        <w:rPr>
          <w:rFonts w:ascii="Times New Roman" w:hAnsi="Times New Roman" w:cs="Times New Roman"/>
          <w:color w:val="000000" w:themeColor="text1"/>
          <w:lang w:val="en-GB"/>
        </w:rPr>
        <w:t>[42]</w:t>
      </w:r>
      <w:r w:rsidR="000678D8" w:rsidRPr="005C1BB0">
        <w:rPr>
          <w:rFonts w:ascii="Times New Roman" w:hAnsi="Times New Roman" w:cs="Times New Roman"/>
          <w:color w:val="000000" w:themeColor="text1"/>
          <w:lang w:val="en-GB"/>
        </w:rPr>
        <w:t>. Thus, induction of oxidative stress through PS-MPs could possibly be through generation of H</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O</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 It is also important to note that H</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O</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 xml:space="preserve"> in an endogenous ROS and can be produced </w:t>
      </w:r>
      <w:r w:rsidR="00047019" w:rsidRPr="005C1BB0">
        <w:rPr>
          <w:rFonts w:ascii="Times New Roman" w:hAnsi="Times New Roman" w:cs="Times New Roman"/>
          <w:color w:val="000000" w:themeColor="text1"/>
          <w:lang w:val="en-GB"/>
        </w:rPr>
        <w:t xml:space="preserve">through almost every oxidative stimulus </w:t>
      </w:r>
      <w:r w:rsidR="00195E22" w:rsidRPr="005C1BB0">
        <w:rPr>
          <w:rFonts w:ascii="Times New Roman" w:hAnsi="Times New Roman" w:cs="Times New Roman"/>
          <w:color w:val="000000" w:themeColor="text1"/>
          <w:lang w:val="en-GB"/>
        </w:rPr>
        <w:t>[4</w:t>
      </w:r>
      <w:r w:rsidR="00040457" w:rsidRPr="005C1BB0">
        <w:rPr>
          <w:rFonts w:ascii="Times New Roman" w:hAnsi="Times New Roman" w:cs="Times New Roman"/>
          <w:color w:val="000000" w:themeColor="text1"/>
          <w:lang w:val="en-GB"/>
        </w:rPr>
        <w:t>3</w:t>
      </w:r>
      <w:r w:rsidR="00195E22" w:rsidRPr="005C1BB0">
        <w:rPr>
          <w:rFonts w:ascii="Times New Roman" w:hAnsi="Times New Roman" w:cs="Times New Roman"/>
          <w:color w:val="000000" w:themeColor="text1"/>
          <w:lang w:val="en-GB"/>
        </w:rPr>
        <w:t>]</w:t>
      </w:r>
      <w:r w:rsidR="00047019" w:rsidRPr="005C1BB0">
        <w:rPr>
          <w:rFonts w:ascii="Times New Roman" w:hAnsi="Times New Roman" w:cs="Times New Roman"/>
          <w:color w:val="000000" w:themeColor="text1"/>
          <w:lang w:val="en-GB"/>
        </w:rPr>
        <w:t xml:space="preserve">. A study by Yu et al. </w:t>
      </w:r>
      <w:r w:rsidR="00195E22" w:rsidRPr="005C1BB0">
        <w:rPr>
          <w:rFonts w:ascii="Times New Roman" w:hAnsi="Times New Roman" w:cs="Times New Roman"/>
          <w:color w:val="000000" w:themeColor="text1"/>
          <w:lang w:val="en-GB"/>
        </w:rPr>
        <w:t>[4</w:t>
      </w:r>
      <w:r w:rsidR="00040457" w:rsidRPr="005C1BB0">
        <w:rPr>
          <w:rFonts w:ascii="Times New Roman" w:hAnsi="Times New Roman" w:cs="Times New Roman"/>
          <w:color w:val="000000" w:themeColor="text1"/>
          <w:lang w:val="en-GB"/>
        </w:rPr>
        <w:t>4</w:t>
      </w:r>
      <w:r w:rsidR="00195E22" w:rsidRPr="005C1BB0">
        <w:rPr>
          <w:rFonts w:ascii="Times New Roman" w:hAnsi="Times New Roman" w:cs="Times New Roman"/>
          <w:color w:val="000000" w:themeColor="text1"/>
          <w:lang w:val="en-GB"/>
        </w:rPr>
        <w:t>]</w:t>
      </w:r>
      <w:r w:rsidR="00047019" w:rsidRPr="005C1BB0">
        <w:rPr>
          <w:rFonts w:ascii="Times New Roman" w:hAnsi="Times New Roman" w:cs="Times New Roman"/>
          <w:color w:val="000000" w:themeColor="text1"/>
          <w:lang w:val="en-GB"/>
        </w:rPr>
        <w:t xml:space="preserve"> reported that PS-MPs induced oxidative stress through hydrogen peroxide inhibited JNK and activated caspase 3 in </w:t>
      </w:r>
      <w:r w:rsidR="00047019" w:rsidRPr="005C1BB0">
        <w:rPr>
          <w:rFonts w:ascii="Times New Roman" w:hAnsi="Times New Roman" w:cs="Times New Roman"/>
          <w:i/>
          <w:color w:val="000000" w:themeColor="text1"/>
          <w:lang w:val="en-GB"/>
        </w:rPr>
        <w:t>C. elegans</w:t>
      </w:r>
      <w:r w:rsidR="00047019" w:rsidRPr="005C1BB0">
        <w:rPr>
          <w:rFonts w:ascii="Times New Roman" w:hAnsi="Times New Roman" w:cs="Times New Roman"/>
          <w:color w:val="000000" w:themeColor="text1"/>
          <w:lang w:val="en-GB"/>
        </w:rPr>
        <w:t xml:space="preserve">. It is therefore anticipated that PS-MPs induce oxidative stress through generation of hydrogen peroxide. A study by Chaube et al. </w:t>
      </w:r>
      <w:r w:rsidR="00195E22" w:rsidRPr="005C1BB0">
        <w:rPr>
          <w:rFonts w:ascii="Times New Roman" w:hAnsi="Times New Roman" w:cs="Times New Roman"/>
          <w:color w:val="000000" w:themeColor="text1"/>
          <w:lang w:val="en-GB"/>
        </w:rPr>
        <w:t>[4</w:t>
      </w:r>
      <w:r w:rsidR="00040457" w:rsidRPr="005C1BB0">
        <w:rPr>
          <w:rFonts w:ascii="Times New Roman" w:hAnsi="Times New Roman" w:cs="Times New Roman"/>
          <w:color w:val="000000" w:themeColor="text1"/>
          <w:lang w:val="en-GB"/>
        </w:rPr>
        <w:t>5</w:t>
      </w:r>
      <w:r w:rsidR="00195E22" w:rsidRPr="005C1BB0">
        <w:rPr>
          <w:rFonts w:ascii="Times New Roman" w:hAnsi="Times New Roman" w:cs="Times New Roman"/>
          <w:color w:val="000000" w:themeColor="text1"/>
          <w:lang w:val="en-GB"/>
        </w:rPr>
        <w:t>]</w:t>
      </w:r>
      <w:r w:rsidR="00047019" w:rsidRPr="005C1BB0">
        <w:rPr>
          <w:rFonts w:ascii="Times New Roman" w:hAnsi="Times New Roman" w:cs="Times New Roman"/>
          <w:color w:val="000000" w:themeColor="text1"/>
          <w:lang w:val="en-GB"/>
        </w:rPr>
        <w:t xml:space="preserve"> reported that hydrogen peroxide can arrest meiotic cell cycle and induce apoptosis. This confirmed earlier claim made in the current study that meiotic interreference may have caused obstructive spermatogenesis in the PS-MPs </w:t>
      </w:r>
      <w:r w:rsidR="00B60121" w:rsidRPr="005C1BB0">
        <w:rPr>
          <w:rFonts w:ascii="Times New Roman" w:hAnsi="Times New Roman" w:cs="Times New Roman"/>
          <w:color w:val="000000" w:themeColor="text1"/>
          <w:lang w:val="en-GB"/>
        </w:rPr>
        <w:t>administered rats.</w:t>
      </w:r>
    </w:p>
    <w:p w14:paraId="5CA30ABE" w14:textId="39B96FA0" w:rsidR="008417D5" w:rsidRPr="005C1BB0" w:rsidRDefault="00C04E38"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Catalase and superoxide dismutase are two important participants in disproportionation of hydrogen peroxide and dismutation of resulting superoxide anions. It was interesting to witness similar activity by both enzymes as evident in performance of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Better toleration was observed in groups administered with 5 and 50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of PS-MPs, </w:t>
      </w:r>
      <w:r w:rsidRPr="005C1BB0">
        <w:rPr>
          <w:rFonts w:ascii="Times New Roman" w:hAnsi="Times New Roman" w:cs="Times New Roman"/>
          <w:color w:val="000000" w:themeColor="text1"/>
          <w:lang w:val="en-GB"/>
        </w:rPr>
        <w:lastRenderedPageBreak/>
        <w:t xml:space="preserve">while significant decline in activities of CAT and SOD was observed in groups exposed to 500 and 5000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of PS-MPs. </w:t>
      </w:r>
      <w:r w:rsidR="00702514" w:rsidRPr="005C1BB0">
        <w:rPr>
          <w:rFonts w:ascii="Times New Roman" w:hAnsi="Times New Roman" w:cs="Times New Roman"/>
          <w:color w:val="000000" w:themeColor="text1"/>
          <w:lang w:val="en-GB"/>
        </w:rPr>
        <w:t xml:space="preserve">A study by Liu et al. </w:t>
      </w:r>
      <w:r w:rsidR="00195E22" w:rsidRPr="005C1BB0">
        <w:rPr>
          <w:rFonts w:ascii="Times New Roman" w:hAnsi="Times New Roman" w:cs="Times New Roman"/>
          <w:color w:val="000000" w:themeColor="text1"/>
          <w:lang w:val="en-GB"/>
        </w:rPr>
        <w:t>[4</w:t>
      </w:r>
      <w:r w:rsidR="00040457" w:rsidRPr="005C1BB0">
        <w:rPr>
          <w:rFonts w:ascii="Times New Roman" w:hAnsi="Times New Roman" w:cs="Times New Roman"/>
          <w:color w:val="000000" w:themeColor="text1"/>
          <w:lang w:val="en-GB"/>
        </w:rPr>
        <w:t>6</w:t>
      </w:r>
      <w:r w:rsidR="00195E22" w:rsidRPr="005C1BB0">
        <w:rPr>
          <w:rFonts w:ascii="Times New Roman" w:hAnsi="Times New Roman" w:cs="Times New Roman"/>
          <w:color w:val="000000" w:themeColor="text1"/>
          <w:lang w:val="en-GB"/>
        </w:rPr>
        <w:t>]</w:t>
      </w:r>
      <w:r w:rsidR="002D3081">
        <w:rPr>
          <w:rFonts w:ascii="Times New Roman" w:hAnsi="Times New Roman" w:cs="Times New Roman"/>
          <w:color w:val="000000" w:themeColor="text1"/>
          <w:lang w:val="en-GB"/>
        </w:rPr>
        <w:t xml:space="preserve"> </w:t>
      </w:r>
      <w:r w:rsidR="00E1256D" w:rsidRPr="005C1BB0">
        <w:rPr>
          <w:rFonts w:ascii="Times New Roman" w:hAnsi="Times New Roman" w:cs="Times New Roman"/>
          <w:color w:val="000000" w:themeColor="text1"/>
          <w:lang w:val="en-GB"/>
        </w:rPr>
        <w:t>explained</w:t>
      </w:r>
      <w:r w:rsidR="00B859D2" w:rsidRPr="005C1BB0">
        <w:rPr>
          <w:rFonts w:ascii="Times New Roman" w:hAnsi="Times New Roman" w:cs="Times New Roman"/>
          <w:color w:val="000000" w:themeColor="text1"/>
          <w:lang w:val="en-GB"/>
        </w:rPr>
        <w:t xml:space="preserve"> that MPs reach cells through endocytosis or pinocytosis where it triggers inflammatory response, thus, generate high amount of ROSs.</w:t>
      </w:r>
      <w:r w:rsidR="00E1256D" w:rsidRPr="005C1BB0">
        <w:rPr>
          <w:rFonts w:ascii="Times New Roman" w:hAnsi="Times New Roman" w:cs="Times New Roman"/>
          <w:color w:val="000000" w:themeColor="text1"/>
          <w:lang w:val="en-GB"/>
        </w:rPr>
        <w:t xml:space="preserve"> Large quantity of PS-MPs </w:t>
      </w:r>
      <w:r w:rsidR="007E492F" w:rsidRPr="005C1BB0">
        <w:rPr>
          <w:rFonts w:ascii="Times New Roman" w:hAnsi="Times New Roman" w:cs="Times New Roman"/>
          <w:color w:val="000000" w:themeColor="text1"/>
          <w:lang w:val="en-GB"/>
        </w:rPr>
        <w:t xml:space="preserve">(in present study 500 and 5000 </w:t>
      </w:r>
      <w:r w:rsidR="007E492F" w:rsidRPr="005C1BB0">
        <w:rPr>
          <w:rFonts w:ascii="Times New Roman" w:hAnsi="Times New Roman" w:cs="Times New Roman"/>
          <w:color w:val="000000" w:themeColor="text1"/>
          <w:lang w:val="en-GB"/>
        </w:rPr>
        <w:sym w:font="Symbol" w:char="F06D"/>
      </w:r>
      <w:r w:rsidR="007E492F" w:rsidRPr="005C1BB0">
        <w:rPr>
          <w:rFonts w:ascii="Times New Roman" w:hAnsi="Times New Roman" w:cs="Times New Roman"/>
          <w:color w:val="000000" w:themeColor="text1"/>
          <w:lang w:val="en-GB"/>
        </w:rPr>
        <w:t xml:space="preserve">g/kg) </w:t>
      </w:r>
      <w:r w:rsidR="00E1256D" w:rsidRPr="005C1BB0">
        <w:rPr>
          <w:rFonts w:ascii="Times New Roman" w:hAnsi="Times New Roman" w:cs="Times New Roman"/>
          <w:color w:val="000000" w:themeColor="text1"/>
          <w:lang w:val="en-GB"/>
        </w:rPr>
        <w:t xml:space="preserve">and its accumulation in </w:t>
      </w:r>
      <w:r w:rsidR="00AE740E" w:rsidRPr="005C1BB0">
        <w:rPr>
          <w:rFonts w:ascii="Times New Roman" w:hAnsi="Times New Roman" w:cs="Times New Roman"/>
          <w:color w:val="000000" w:themeColor="text1"/>
          <w:lang w:val="en-GB"/>
        </w:rPr>
        <w:t xml:space="preserve">the </w:t>
      </w:r>
      <w:r w:rsidR="00E1256D" w:rsidRPr="005C1BB0">
        <w:rPr>
          <w:rFonts w:ascii="Times New Roman" w:hAnsi="Times New Roman" w:cs="Times New Roman"/>
          <w:color w:val="000000" w:themeColor="text1"/>
          <w:lang w:val="en-GB"/>
        </w:rPr>
        <w:t>cells lead to exhausting pressure on antioxidants leading to possible depletion of CAT and SOD.</w:t>
      </w:r>
      <w:r w:rsidR="007E492F" w:rsidRPr="005C1BB0">
        <w:rPr>
          <w:rFonts w:ascii="Times New Roman" w:hAnsi="Times New Roman" w:cs="Times New Roman"/>
          <w:color w:val="000000" w:themeColor="text1"/>
          <w:lang w:val="en-GB"/>
        </w:rPr>
        <w:t xml:space="preserve"> It appeared that oxidative stress induced by PS-MPs plays important role in regulation of </w:t>
      </w:r>
      <w:r w:rsidR="00A81FF8" w:rsidRPr="005C1BB0">
        <w:rPr>
          <w:rFonts w:ascii="Times New Roman" w:hAnsi="Times New Roman" w:cs="Times New Roman"/>
          <w:color w:val="000000" w:themeColor="text1"/>
          <w:lang w:val="en-GB"/>
        </w:rPr>
        <w:t xml:space="preserve">testicular functions specifically in groups of animals administered with higher doses of PS-MPs. </w:t>
      </w:r>
    </w:p>
    <w:p w14:paraId="75DFF263" w14:textId="77777777" w:rsidR="00B20791" w:rsidRPr="005C1BB0" w:rsidRDefault="00B20791" w:rsidP="00A81FF8">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Conclusion</w:t>
      </w:r>
    </w:p>
    <w:p w14:paraId="2B62B83A" w14:textId="77777777" w:rsidR="00A81FF8" w:rsidRPr="005C1BB0" w:rsidRDefault="00756005"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The present study confirmed that PS-MPs induce significant decline in testicular weight affecting overall fertility rate. Stereological evaluation of germ cells and histological analysis of testis indicated dose dependent pattern in loss of germ cells. </w:t>
      </w:r>
      <w:r w:rsidR="0057427A" w:rsidRPr="005C1BB0">
        <w:rPr>
          <w:rFonts w:ascii="Times New Roman" w:hAnsi="Times New Roman" w:cs="Times New Roman"/>
          <w:color w:val="000000" w:themeColor="text1"/>
          <w:lang w:val="en-GB"/>
        </w:rPr>
        <w:t>Extraordinary i</w:t>
      </w:r>
      <w:r w:rsidRPr="005C1BB0">
        <w:rPr>
          <w:rFonts w:ascii="Times New Roman" w:hAnsi="Times New Roman" w:cs="Times New Roman"/>
          <w:color w:val="000000" w:themeColor="text1"/>
          <w:lang w:val="en-GB"/>
        </w:rPr>
        <w:t xml:space="preserve">ncrease in </w:t>
      </w:r>
      <w:r w:rsidR="0057427A" w:rsidRPr="005C1BB0">
        <w:rPr>
          <w:rFonts w:ascii="Times New Roman" w:hAnsi="Times New Roman" w:cs="Times New Roman"/>
          <w:color w:val="000000" w:themeColor="text1"/>
          <w:lang w:val="en-GB"/>
        </w:rPr>
        <w:t xml:space="preserve">the </w:t>
      </w:r>
      <w:r w:rsidRPr="005C1BB0">
        <w:rPr>
          <w:rFonts w:ascii="Times New Roman" w:hAnsi="Times New Roman" w:cs="Times New Roman"/>
          <w:color w:val="000000" w:themeColor="text1"/>
          <w:lang w:val="en-GB"/>
        </w:rPr>
        <w:t xml:space="preserve">number of spermatocytes </w:t>
      </w:r>
      <w:r w:rsidR="0057427A" w:rsidRPr="005C1BB0">
        <w:rPr>
          <w:rFonts w:ascii="Times New Roman" w:hAnsi="Times New Roman" w:cs="Times New Roman"/>
          <w:color w:val="000000" w:themeColor="text1"/>
          <w:lang w:val="en-GB"/>
        </w:rPr>
        <w:t xml:space="preserve">regardless of consistent decline in spermatogonia and spermatids reflected obstruction during second meiotic stage. Thus, it can be predicted that PS-MPs potentially cause obstructive spermatogenesis. Response of </w:t>
      </w:r>
      <w:proofErr w:type="spellStart"/>
      <w:r w:rsidR="0057427A" w:rsidRPr="005C1BB0">
        <w:rPr>
          <w:rFonts w:ascii="Times New Roman" w:hAnsi="Times New Roman" w:cs="Times New Roman"/>
          <w:color w:val="000000" w:themeColor="text1"/>
          <w:lang w:val="en-GB"/>
        </w:rPr>
        <w:t>GPx</w:t>
      </w:r>
      <w:proofErr w:type="spellEnd"/>
      <w:r w:rsidR="0057427A" w:rsidRPr="005C1BB0">
        <w:rPr>
          <w:rFonts w:ascii="Times New Roman" w:hAnsi="Times New Roman" w:cs="Times New Roman"/>
          <w:color w:val="000000" w:themeColor="text1"/>
          <w:lang w:val="en-GB"/>
        </w:rPr>
        <w:t>, CAT, and SOD to PS-MPs induced oxidative stress provided strong evidence of generation of intracellular hydrogen peroxide. Presence of pyknotic spermatogonia in higher dose groups reveal apoptotic eventuality of excessive generation of hydrogen peroxide. However, more study is required to ascertain exclusive generation of hydrogen peroxide and its potential role in meiotic division of spermatocytes.</w:t>
      </w:r>
    </w:p>
    <w:p w14:paraId="216A941A" w14:textId="77777777" w:rsidR="005C1BB0" w:rsidRDefault="005C1BB0" w:rsidP="0057427A">
      <w:pPr>
        <w:spacing w:before="120" w:after="120" w:line="480" w:lineRule="auto"/>
        <w:jc w:val="both"/>
        <w:rPr>
          <w:rFonts w:ascii="Times New Roman" w:hAnsi="Times New Roman" w:cs="Times New Roman"/>
          <w:color w:val="000000" w:themeColor="text1"/>
          <w:lang w:val="en-GB"/>
        </w:rPr>
      </w:pPr>
    </w:p>
    <w:p w14:paraId="1CF20BA5" w14:textId="77777777" w:rsidR="002840BD" w:rsidRPr="00394842" w:rsidRDefault="002840BD" w:rsidP="002840BD">
      <w:pPr>
        <w:rPr>
          <w:highlight w:val="yellow"/>
        </w:rPr>
      </w:pPr>
      <w:r w:rsidRPr="00394842">
        <w:rPr>
          <w:highlight w:val="yellow"/>
        </w:rPr>
        <w:t>Disclaimer (Artificial intelligence)</w:t>
      </w:r>
    </w:p>
    <w:p w14:paraId="0CB58BAA" w14:textId="77777777" w:rsidR="002840BD" w:rsidRPr="00394842" w:rsidRDefault="002840BD" w:rsidP="002840BD">
      <w:pPr>
        <w:rPr>
          <w:highlight w:val="yellow"/>
        </w:rPr>
      </w:pPr>
    </w:p>
    <w:p w14:paraId="2BBBC09E" w14:textId="77777777" w:rsidR="002840BD" w:rsidRPr="00394842" w:rsidRDefault="002840BD" w:rsidP="002840BD">
      <w:pPr>
        <w:rPr>
          <w:highlight w:val="yellow"/>
        </w:rPr>
      </w:pPr>
      <w:r w:rsidRPr="00394842">
        <w:rPr>
          <w:highlight w:val="yellow"/>
        </w:rPr>
        <w:t xml:space="preserve">Option 1: </w:t>
      </w:r>
    </w:p>
    <w:p w14:paraId="5CD9284A" w14:textId="77777777" w:rsidR="002840BD" w:rsidRPr="00394842" w:rsidRDefault="002840BD" w:rsidP="002840BD">
      <w:pPr>
        <w:rPr>
          <w:highlight w:val="yellow"/>
        </w:rPr>
      </w:pPr>
    </w:p>
    <w:p w14:paraId="11EB963F" w14:textId="77777777" w:rsidR="002840BD" w:rsidRPr="00394842" w:rsidRDefault="002840BD" w:rsidP="002840BD">
      <w:pPr>
        <w:rPr>
          <w:highlight w:val="yellow"/>
        </w:rPr>
      </w:pPr>
      <w:r w:rsidRPr="00394842">
        <w:rPr>
          <w:highlight w:val="yellow"/>
        </w:rPr>
        <w:lastRenderedPageBreak/>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15EFAFED" w14:textId="77777777" w:rsidR="002840BD" w:rsidRPr="00394842" w:rsidRDefault="002840BD" w:rsidP="002840BD">
      <w:pPr>
        <w:rPr>
          <w:highlight w:val="yellow"/>
        </w:rPr>
      </w:pPr>
    </w:p>
    <w:p w14:paraId="10C06EFB" w14:textId="77777777" w:rsidR="005C1BB0" w:rsidRPr="005C1BB0" w:rsidRDefault="005C1BB0" w:rsidP="0057427A">
      <w:pPr>
        <w:spacing w:before="120" w:after="120" w:line="480" w:lineRule="auto"/>
        <w:jc w:val="both"/>
        <w:rPr>
          <w:rFonts w:ascii="Times New Roman" w:hAnsi="Times New Roman" w:cs="Times New Roman"/>
          <w:color w:val="000000" w:themeColor="text1"/>
          <w:lang w:val="en-GB"/>
        </w:rPr>
        <w:sectPr w:rsidR="005C1BB0" w:rsidRPr="005C1BB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416E5C3D" w14:textId="77777777" w:rsidR="00B20791" w:rsidRPr="005C1BB0" w:rsidRDefault="00B20791" w:rsidP="0057427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 xml:space="preserve">References </w:t>
      </w:r>
    </w:p>
    <w:p w14:paraId="41D56DD2"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lang w:val="en-GB"/>
        </w:rPr>
      </w:pPr>
      <w:proofErr w:type="spellStart"/>
      <w:r w:rsidRPr="005C1BB0">
        <w:rPr>
          <w:rFonts w:ascii="Times New Roman" w:hAnsi="Times New Roman" w:cs="Times New Roman"/>
          <w:color w:val="000000" w:themeColor="text1"/>
        </w:rPr>
        <w:t>Jambeck</w:t>
      </w:r>
      <w:proofErr w:type="spellEnd"/>
      <w:r w:rsidRPr="005C1BB0">
        <w:rPr>
          <w:rFonts w:ascii="Times New Roman" w:hAnsi="Times New Roman" w:cs="Times New Roman"/>
          <w:color w:val="000000" w:themeColor="text1"/>
        </w:rPr>
        <w:t xml:space="preserve">, J.R., Geyer, R., Wilcox, C., Siegler, T.R., Perryman, M., </w:t>
      </w:r>
      <w:proofErr w:type="spellStart"/>
      <w:r w:rsidRPr="005C1BB0">
        <w:rPr>
          <w:rFonts w:ascii="Times New Roman" w:hAnsi="Times New Roman" w:cs="Times New Roman"/>
          <w:color w:val="000000" w:themeColor="text1"/>
        </w:rPr>
        <w:t>Andrady</w:t>
      </w:r>
      <w:proofErr w:type="spellEnd"/>
      <w:r w:rsidRPr="005C1BB0">
        <w:rPr>
          <w:rFonts w:ascii="Times New Roman" w:hAnsi="Times New Roman" w:cs="Times New Roman"/>
          <w:color w:val="000000" w:themeColor="text1"/>
        </w:rPr>
        <w:t>, A., Narayan, R. &amp; Law, K.L. (2015). Marine pollution. Plastic waste inputs from land into the ocean. Science, 347(6223):768-71.</w:t>
      </w:r>
    </w:p>
    <w:p w14:paraId="33E2ED1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Ohno, H. &amp; Iizuka Y. (2023). Microplastics in snow from protected areas in Hokkaido, the northern island of Japan. Sci Rep. 13(1):9942.</w:t>
      </w:r>
    </w:p>
    <w:p w14:paraId="23ADDF4D"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rPr>
        <w:t>Parashar, N. &amp;Hait, S. (2023). Plastic rain-Atmospheric microplastics deposition in urban and peri-urban areas of Patna City, Bihar, India: Distribution, characteristics, transport, and source analysis. J Hazard Mater. 458:131883.</w:t>
      </w:r>
    </w:p>
    <w:p w14:paraId="605C47F1"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proofErr w:type="spellStart"/>
      <w:r w:rsidRPr="005C1BB0">
        <w:rPr>
          <w:rFonts w:ascii="Times New Roman" w:hAnsi="Times New Roman" w:cs="Times New Roman"/>
          <w:color w:val="000000" w:themeColor="text1"/>
        </w:rPr>
        <w:t>Alimba</w:t>
      </w:r>
      <w:proofErr w:type="spellEnd"/>
      <w:r w:rsidRPr="005C1BB0">
        <w:rPr>
          <w:rFonts w:ascii="Times New Roman" w:hAnsi="Times New Roman" w:cs="Times New Roman"/>
          <w:color w:val="000000" w:themeColor="text1"/>
        </w:rPr>
        <w:t>, C.G. &amp;</w:t>
      </w:r>
      <w:proofErr w:type="spellStart"/>
      <w:r w:rsidRPr="005C1BB0">
        <w:rPr>
          <w:rFonts w:ascii="Times New Roman" w:hAnsi="Times New Roman" w:cs="Times New Roman"/>
          <w:color w:val="000000" w:themeColor="text1"/>
        </w:rPr>
        <w:t>Faggio</w:t>
      </w:r>
      <w:proofErr w:type="spellEnd"/>
      <w:r w:rsidRPr="005C1BB0">
        <w:rPr>
          <w:rFonts w:ascii="Times New Roman" w:hAnsi="Times New Roman" w:cs="Times New Roman"/>
          <w:color w:val="000000" w:themeColor="text1"/>
        </w:rPr>
        <w:t xml:space="preserve">, C. (2019). Microplastics in the marine environment: Current trends in environmental pollution and mechanisms of toxicological profile. Environ </w:t>
      </w:r>
      <w:proofErr w:type="spellStart"/>
      <w:r w:rsidRPr="005C1BB0">
        <w:rPr>
          <w:rFonts w:ascii="Times New Roman" w:hAnsi="Times New Roman" w:cs="Times New Roman"/>
          <w:color w:val="000000" w:themeColor="text1"/>
        </w:rPr>
        <w:t>ToxicolPharmacol</w:t>
      </w:r>
      <w:proofErr w:type="spellEnd"/>
      <w:r w:rsidRPr="005C1BB0">
        <w:rPr>
          <w:rFonts w:ascii="Times New Roman" w:hAnsi="Times New Roman" w:cs="Times New Roman"/>
          <w:color w:val="000000" w:themeColor="text1"/>
        </w:rPr>
        <w:t xml:space="preserve">. 68:61-74. </w:t>
      </w:r>
    </w:p>
    <w:p w14:paraId="4F40C08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Statista Research Department. (2024). Global plastic production 1950-2022. Annual production of plastics worldwide from 1950 to 2022. https://www.statista.com/statistics/282732/global-production-of-plastics-since-1950/</w:t>
      </w:r>
    </w:p>
    <w:p w14:paraId="02266B3D"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Jiang, B., Kauffman, A.E., Li, L., McFee, W., Cai, B., Weinstein, J., Lead JR, Chatterjee, S., Scott, G.I. &amp; Xiao, S. (2020). Health impacts of environmental contamination of micro- and nanoplastics: a review. Environ Health Prev Med. 25(1):29.</w:t>
      </w:r>
    </w:p>
    <w:p w14:paraId="16ECAA20"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proofErr w:type="spellStart"/>
      <w:r w:rsidRPr="005C1BB0">
        <w:rPr>
          <w:rFonts w:ascii="Times New Roman" w:hAnsi="Times New Roman" w:cs="Times New Roman"/>
          <w:color w:val="000000" w:themeColor="text1"/>
        </w:rPr>
        <w:t>Sabourian</w:t>
      </w:r>
      <w:proofErr w:type="spellEnd"/>
      <w:r w:rsidRPr="005C1BB0">
        <w:rPr>
          <w:rFonts w:ascii="Times New Roman" w:hAnsi="Times New Roman" w:cs="Times New Roman"/>
          <w:color w:val="000000" w:themeColor="text1"/>
        </w:rPr>
        <w:t xml:space="preserve">, P., Yazdani, G., Ashraf, S.S., </w:t>
      </w:r>
      <w:proofErr w:type="spellStart"/>
      <w:r w:rsidRPr="005C1BB0">
        <w:rPr>
          <w:rFonts w:ascii="Times New Roman" w:hAnsi="Times New Roman" w:cs="Times New Roman"/>
          <w:color w:val="000000" w:themeColor="text1"/>
        </w:rPr>
        <w:t>Frounchi</w:t>
      </w:r>
      <w:proofErr w:type="spellEnd"/>
      <w:r w:rsidRPr="005C1BB0">
        <w:rPr>
          <w:rFonts w:ascii="Times New Roman" w:hAnsi="Times New Roman" w:cs="Times New Roman"/>
          <w:color w:val="000000" w:themeColor="text1"/>
        </w:rPr>
        <w:t xml:space="preserve">, M., </w:t>
      </w:r>
      <w:proofErr w:type="spellStart"/>
      <w:r w:rsidRPr="005C1BB0">
        <w:rPr>
          <w:rFonts w:ascii="Times New Roman" w:hAnsi="Times New Roman" w:cs="Times New Roman"/>
          <w:color w:val="000000" w:themeColor="text1"/>
        </w:rPr>
        <w:t>Mashayekhan</w:t>
      </w:r>
      <w:proofErr w:type="spellEnd"/>
      <w:r w:rsidRPr="005C1BB0">
        <w:rPr>
          <w:rFonts w:ascii="Times New Roman" w:hAnsi="Times New Roman" w:cs="Times New Roman"/>
          <w:color w:val="000000" w:themeColor="text1"/>
        </w:rPr>
        <w:t xml:space="preserve">, S., Kiani, S. &amp; Kakkar, A. (2020). Effect of </w:t>
      </w:r>
      <w:proofErr w:type="spellStart"/>
      <w:r w:rsidRPr="005C1BB0">
        <w:rPr>
          <w:rFonts w:ascii="Times New Roman" w:hAnsi="Times New Roman" w:cs="Times New Roman"/>
          <w:color w:val="000000" w:themeColor="text1"/>
        </w:rPr>
        <w:t>Physico</w:t>
      </w:r>
      <w:proofErr w:type="spellEnd"/>
      <w:r w:rsidRPr="005C1BB0">
        <w:rPr>
          <w:rFonts w:ascii="Times New Roman" w:hAnsi="Times New Roman" w:cs="Times New Roman"/>
          <w:color w:val="000000" w:themeColor="text1"/>
        </w:rPr>
        <w:t>-Chemical Properties of Nanoparticles on Their Intracellular Uptake. Int J Mol Sci. 21(21):8019.</w:t>
      </w:r>
    </w:p>
    <w:p w14:paraId="1047527D"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Mani, I. &amp; Pandey, K.N. (2019). Emerging concepts of receptor endocytosis and concurrent intracellular </w:t>
      </w:r>
      <w:proofErr w:type="spellStart"/>
      <w:r w:rsidRPr="005C1BB0">
        <w:rPr>
          <w:rFonts w:ascii="Times New Roman" w:hAnsi="Times New Roman" w:cs="Times New Roman"/>
          <w:color w:val="000000" w:themeColor="text1"/>
        </w:rPr>
        <w:t>signaling</w:t>
      </w:r>
      <w:proofErr w:type="spellEnd"/>
      <w:r w:rsidRPr="005C1BB0">
        <w:rPr>
          <w:rFonts w:ascii="Times New Roman" w:hAnsi="Times New Roman" w:cs="Times New Roman"/>
          <w:color w:val="000000" w:themeColor="text1"/>
        </w:rPr>
        <w:t>: Mechanisms of guanylyl cyclase/natriuretic peptide receptor-A activation and trafficking. Cell Signal. 60:17-30.</w:t>
      </w:r>
    </w:p>
    <w:p w14:paraId="1B344D1E"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lastRenderedPageBreak/>
        <w:t xml:space="preserve">Doherty, G.J. &amp; McMahon, H.T. (2009). Mechanisms of endocytosis. </w:t>
      </w:r>
      <w:proofErr w:type="spellStart"/>
      <w:r w:rsidRPr="005C1BB0">
        <w:rPr>
          <w:rFonts w:ascii="Times New Roman" w:hAnsi="Times New Roman" w:cs="Times New Roman"/>
          <w:color w:val="000000" w:themeColor="text1"/>
        </w:rPr>
        <w:t>Annu</w:t>
      </w:r>
      <w:proofErr w:type="spellEnd"/>
      <w:r w:rsidRPr="005C1BB0">
        <w:rPr>
          <w:rFonts w:ascii="Times New Roman" w:hAnsi="Times New Roman" w:cs="Times New Roman"/>
          <w:color w:val="000000" w:themeColor="text1"/>
        </w:rPr>
        <w:t xml:space="preserve"> Rev </w:t>
      </w:r>
      <w:proofErr w:type="spellStart"/>
      <w:r w:rsidRPr="005C1BB0">
        <w:rPr>
          <w:rFonts w:ascii="Times New Roman" w:hAnsi="Times New Roman" w:cs="Times New Roman"/>
          <w:color w:val="000000" w:themeColor="text1"/>
        </w:rPr>
        <w:t>Biochem</w:t>
      </w:r>
      <w:proofErr w:type="spellEnd"/>
      <w:r w:rsidRPr="005C1BB0">
        <w:rPr>
          <w:rFonts w:ascii="Times New Roman" w:hAnsi="Times New Roman" w:cs="Times New Roman"/>
          <w:color w:val="000000" w:themeColor="text1"/>
        </w:rPr>
        <w:t>. 78:857-902.</w:t>
      </w:r>
    </w:p>
    <w:p w14:paraId="407F4B38"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Brown, D.M., Wilson, M.R., </w:t>
      </w:r>
      <w:proofErr w:type="spellStart"/>
      <w:r w:rsidRPr="005C1BB0">
        <w:rPr>
          <w:rFonts w:ascii="Times New Roman" w:hAnsi="Times New Roman" w:cs="Times New Roman"/>
          <w:color w:val="000000" w:themeColor="text1"/>
        </w:rPr>
        <w:t>MacNee</w:t>
      </w:r>
      <w:proofErr w:type="spellEnd"/>
      <w:r w:rsidRPr="005C1BB0">
        <w:rPr>
          <w:rFonts w:ascii="Times New Roman" w:hAnsi="Times New Roman" w:cs="Times New Roman"/>
          <w:color w:val="000000" w:themeColor="text1"/>
        </w:rPr>
        <w:t xml:space="preserve">, W., Stone, V. &amp; Donaldson, K. (2001). Size-dependent proinflammatory effects of ultrafine polystyrene particles: a role for surface area and oxidative stress in the enhanced activity of </w:t>
      </w:r>
      <w:proofErr w:type="spellStart"/>
      <w:r w:rsidRPr="005C1BB0">
        <w:rPr>
          <w:rFonts w:ascii="Times New Roman" w:hAnsi="Times New Roman" w:cs="Times New Roman"/>
          <w:color w:val="000000" w:themeColor="text1"/>
        </w:rPr>
        <w:t>ultrafines</w:t>
      </w:r>
      <w:proofErr w:type="spellEnd"/>
      <w:r w:rsidRPr="005C1BB0">
        <w:rPr>
          <w:rFonts w:ascii="Times New Roman" w:hAnsi="Times New Roman" w:cs="Times New Roman"/>
          <w:color w:val="000000" w:themeColor="text1"/>
        </w:rPr>
        <w:t xml:space="preserve">. </w:t>
      </w:r>
      <w:proofErr w:type="spellStart"/>
      <w:r w:rsidRPr="005C1BB0">
        <w:rPr>
          <w:rFonts w:ascii="Times New Roman" w:hAnsi="Times New Roman" w:cs="Times New Roman"/>
          <w:color w:val="000000" w:themeColor="text1"/>
        </w:rPr>
        <w:t>ToxicolApplPharmacol</w:t>
      </w:r>
      <w:proofErr w:type="spellEnd"/>
      <w:r w:rsidRPr="005C1BB0">
        <w:rPr>
          <w:rFonts w:ascii="Times New Roman" w:hAnsi="Times New Roman" w:cs="Times New Roman"/>
          <w:color w:val="000000" w:themeColor="text1"/>
        </w:rPr>
        <w:t>. 175(3):191-9.</w:t>
      </w:r>
    </w:p>
    <w:p w14:paraId="6E757C95"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proofErr w:type="spellStart"/>
      <w:r w:rsidRPr="005C1BB0">
        <w:rPr>
          <w:rFonts w:ascii="Times New Roman" w:hAnsi="Times New Roman" w:cs="Times New Roman"/>
          <w:color w:val="000000" w:themeColor="text1"/>
        </w:rPr>
        <w:t>Inkielewicz-Stepniak</w:t>
      </w:r>
      <w:proofErr w:type="spellEnd"/>
      <w:r w:rsidRPr="005C1BB0">
        <w:rPr>
          <w:rFonts w:ascii="Times New Roman" w:hAnsi="Times New Roman" w:cs="Times New Roman"/>
          <w:color w:val="000000" w:themeColor="text1"/>
        </w:rPr>
        <w:t xml:space="preserve">, I., </w:t>
      </w:r>
      <w:proofErr w:type="spellStart"/>
      <w:r w:rsidRPr="005C1BB0">
        <w:rPr>
          <w:rFonts w:ascii="Times New Roman" w:hAnsi="Times New Roman" w:cs="Times New Roman"/>
          <w:color w:val="000000" w:themeColor="text1"/>
        </w:rPr>
        <w:t>Tajber</w:t>
      </w:r>
      <w:proofErr w:type="spellEnd"/>
      <w:r w:rsidRPr="005C1BB0">
        <w:rPr>
          <w:rFonts w:ascii="Times New Roman" w:hAnsi="Times New Roman" w:cs="Times New Roman"/>
          <w:color w:val="000000" w:themeColor="text1"/>
        </w:rPr>
        <w:t>, L., Behan, G., Zhang, H., Radomski,. MW., Medina, C. &amp; Santos-Martinez, M.J. (2018). The Role of Mucin in the Toxicological Impact of Polystyrene Nanoparticles. Materials (Basel). 11(5):724.</w:t>
      </w:r>
    </w:p>
    <w:p w14:paraId="2C3946C8"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Xia, T., </w:t>
      </w:r>
      <w:proofErr w:type="spellStart"/>
      <w:r w:rsidRPr="005C1BB0">
        <w:rPr>
          <w:rFonts w:ascii="Times New Roman" w:hAnsi="Times New Roman" w:cs="Times New Roman"/>
          <w:color w:val="000000" w:themeColor="text1"/>
        </w:rPr>
        <w:t>Kovochich</w:t>
      </w:r>
      <w:proofErr w:type="spellEnd"/>
      <w:r w:rsidRPr="005C1BB0">
        <w:rPr>
          <w:rFonts w:ascii="Times New Roman" w:hAnsi="Times New Roman" w:cs="Times New Roman"/>
          <w:color w:val="000000" w:themeColor="text1"/>
        </w:rPr>
        <w:t>, M., Liong, M., Zink, J.I. &amp; Nel, A.E. (2008). Cationic polystyrene nanosphere toxicity depends on cell-specific endocytic and mitochondrial injury pathways. ACS Nano. 2(1):85-96.</w:t>
      </w:r>
    </w:p>
    <w:p w14:paraId="2C5D3ACD"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McCarthy, J., Gong, X., Nahirney, D., </w:t>
      </w:r>
      <w:proofErr w:type="spellStart"/>
      <w:r w:rsidRPr="005C1BB0">
        <w:rPr>
          <w:rFonts w:ascii="Times New Roman" w:hAnsi="Times New Roman" w:cs="Times New Roman"/>
          <w:color w:val="000000" w:themeColor="text1"/>
        </w:rPr>
        <w:t>Duszyk</w:t>
      </w:r>
      <w:proofErr w:type="spellEnd"/>
      <w:r w:rsidRPr="005C1BB0">
        <w:rPr>
          <w:rFonts w:ascii="Times New Roman" w:hAnsi="Times New Roman" w:cs="Times New Roman"/>
          <w:color w:val="000000" w:themeColor="text1"/>
        </w:rPr>
        <w:t>, M. &amp; Radomski, M. (2011). Polystyrene nanoparticles activate ion transport in human airway epithelial cells. Int J Nanomedicine. 6:1343-56.</w:t>
      </w:r>
    </w:p>
    <w:p w14:paraId="0FA5A3A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Deng, Y., Zhang, Y., Lemos, B. &amp; Ren, H. (2017). Tissue accumulation of microplastics in mice and biomarker responses suggest widespread health risks of exposure. Sci Rep. 7:46687.</w:t>
      </w:r>
    </w:p>
    <w:p w14:paraId="608383E6"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Hunt, K., Davies, A., Fraser, A., Burden, C., Howell, A., Buckley, K., Harding, S. &amp;</w:t>
      </w:r>
      <w:proofErr w:type="spellStart"/>
      <w:r w:rsidRPr="005C1BB0">
        <w:rPr>
          <w:rFonts w:ascii="Times New Roman" w:hAnsi="Times New Roman" w:cs="Times New Roman"/>
          <w:color w:val="000000" w:themeColor="text1"/>
        </w:rPr>
        <w:t>Bakhbakhi</w:t>
      </w:r>
      <w:proofErr w:type="spellEnd"/>
      <w:r w:rsidRPr="005C1BB0">
        <w:rPr>
          <w:rFonts w:ascii="Times New Roman" w:hAnsi="Times New Roman" w:cs="Times New Roman"/>
          <w:color w:val="000000" w:themeColor="text1"/>
        </w:rPr>
        <w:t>, D. (2024). Exposure to microplastics and human reproductive outcomes: A systematic review. BJOG. 131(5):675-683.</w:t>
      </w:r>
    </w:p>
    <w:p w14:paraId="3067E6AC"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Wang, M., Wu, Y., Li, G., Xiong, Y., Zhang, Y. &amp; Zhang, M. (2024). The hidden threat: </w:t>
      </w:r>
      <w:proofErr w:type="spellStart"/>
      <w:r w:rsidRPr="005C1BB0">
        <w:rPr>
          <w:rFonts w:ascii="Times New Roman" w:hAnsi="Times New Roman" w:cs="Times New Roman"/>
          <w:color w:val="000000" w:themeColor="text1"/>
        </w:rPr>
        <w:t>Unraveling</w:t>
      </w:r>
      <w:proofErr w:type="spellEnd"/>
      <w:r w:rsidRPr="005C1BB0">
        <w:rPr>
          <w:rFonts w:ascii="Times New Roman" w:hAnsi="Times New Roman" w:cs="Times New Roman"/>
          <w:color w:val="000000" w:themeColor="text1"/>
        </w:rPr>
        <w:t xml:space="preserve"> the impact of microplastics on reproductive health. Sci Total Environ. 935:173177.</w:t>
      </w:r>
    </w:p>
    <w:p w14:paraId="1D091F57"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lastRenderedPageBreak/>
        <w:t xml:space="preserve">Yang, W., Wu, L., Li, G., Shi, L., Zhang, J., Liu, L., Chen, Y., Yu, H., Wang, K., Xin, L., Tang, D., Shen, Q., Xu, C., Geng, H., Wu, H., Duan, Z., Cao, Y.&amp; He, X. (2024). Atlas and source of the microplastics of male reproductive system in human and mice. Environ Sci </w:t>
      </w:r>
      <w:proofErr w:type="spellStart"/>
      <w:r w:rsidRPr="005C1BB0">
        <w:rPr>
          <w:rFonts w:ascii="Times New Roman" w:hAnsi="Times New Roman" w:cs="Times New Roman"/>
          <w:color w:val="000000" w:themeColor="text1"/>
        </w:rPr>
        <w:t>Pollut</w:t>
      </w:r>
      <w:proofErr w:type="spellEnd"/>
      <w:r w:rsidRPr="005C1BB0">
        <w:rPr>
          <w:rFonts w:ascii="Times New Roman" w:hAnsi="Times New Roman" w:cs="Times New Roman"/>
          <w:color w:val="000000" w:themeColor="text1"/>
        </w:rPr>
        <w:t xml:space="preserve"> Res Int. 31(17):25046-25058.</w:t>
      </w:r>
    </w:p>
    <w:p w14:paraId="020411B2"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rPr>
        <w:t xml:space="preserve">Zhang, C., Chen, J., Ma, S., Sun, Z. &amp; Wang, Z. (2022). Microplastics May Be a Significant Cause of Male Infertility. Am J </w:t>
      </w:r>
      <w:proofErr w:type="spellStart"/>
      <w:r w:rsidRPr="005C1BB0">
        <w:rPr>
          <w:rFonts w:ascii="Times New Roman" w:hAnsi="Times New Roman" w:cs="Times New Roman"/>
          <w:color w:val="000000" w:themeColor="text1"/>
        </w:rPr>
        <w:t>Mens</w:t>
      </w:r>
      <w:proofErr w:type="spellEnd"/>
      <w:r w:rsidRPr="005C1BB0">
        <w:rPr>
          <w:rFonts w:ascii="Times New Roman" w:hAnsi="Times New Roman" w:cs="Times New Roman"/>
          <w:color w:val="000000" w:themeColor="text1"/>
        </w:rPr>
        <w:t xml:space="preserve"> Health. 16(3):15579883221096549.</w:t>
      </w:r>
    </w:p>
    <w:p w14:paraId="712778E8"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CPCSEA. (2010). Guidelines on the regulation of scientific experiments on animals. New Delhi: Ministry of Environment and Forests, CPCSEA Standard Operating Procedures for Institutional Animals Ethics Committee (IAEC); 2010.</w:t>
      </w:r>
    </w:p>
    <w:p w14:paraId="125652AC"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Ijaz, M.U., Shahzadi, S., Samad, A., Ehsan, N., Ahmed, H., Tahir, A., Rehman, H. &amp; Anwar, H. (2021). Dose-Dependent Effect of Polystyrene Microplastics on the Testicular Tissues of the Male Sprague Dawley Rats. Dose Response. 19(2):15593258211019882.</w:t>
      </w:r>
    </w:p>
    <w:p w14:paraId="14AE5ABE"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OECD Guidelines for the Testing of Chemicals, Section 4. Test No. 423: Acute Oral toxicity - Acute Toxic Class Method. https://www.oecd-ilibrary.org/environment/test-no-423-acute-oral-toxicity-acute-toxic-class-method_9789264071001-en</w:t>
      </w:r>
    </w:p>
    <w:p w14:paraId="7FDBDEB8"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lang w:val="en-GB"/>
        </w:rPr>
      </w:pPr>
      <w:proofErr w:type="spellStart"/>
      <w:r w:rsidRPr="005C1BB0">
        <w:rPr>
          <w:rFonts w:ascii="Times New Roman" w:hAnsi="Times New Roman" w:cs="Times New Roman"/>
          <w:color w:val="000000" w:themeColor="text1"/>
          <w:lang w:val="en-GB"/>
        </w:rPr>
        <w:t>Zhengwei</w:t>
      </w:r>
      <w:proofErr w:type="spellEnd"/>
      <w:r w:rsidRPr="005C1BB0">
        <w:rPr>
          <w:rFonts w:ascii="Times New Roman" w:hAnsi="Times New Roman" w:cs="Times New Roman"/>
          <w:color w:val="000000" w:themeColor="text1"/>
          <w:lang w:val="en-GB"/>
        </w:rPr>
        <w:t xml:space="preserve">, Y., Wreford, N.G., </w:t>
      </w:r>
      <w:proofErr w:type="spellStart"/>
      <w:r w:rsidRPr="005C1BB0">
        <w:rPr>
          <w:rFonts w:ascii="Times New Roman" w:hAnsi="Times New Roman" w:cs="Times New Roman"/>
          <w:color w:val="000000" w:themeColor="text1"/>
          <w:lang w:val="en-GB"/>
        </w:rPr>
        <w:t>Schlatt</w:t>
      </w:r>
      <w:proofErr w:type="spellEnd"/>
      <w:r w:rsidRPr="005C1BB0">
        <w:rPr>
          <w:rFonts w:ascii="Times New Roman" w:hAnsi="Times New Roman" w:cs="Times New Roman"/>
          <w:color w:val="000000" w:themeColor="text1"/>
          <w:lang w:val="en-GB"/>
        </w:rPr>
        <w:t xml:space="preserve">, S., </w:t>
      </w:r>
      <w:proofErr w:type="spellStart"/>
      <w:r w:rsidRPr="005C1BB0">
        <w:rPr>
          <w:rFonts w:ascii="Times New Roman" w:hAnsi="Times New Roman" w:cs="Times New Roman"/>
          <w:color w:val="000000" w:themeColor="text1"/>
          <w:lang w:val="en-GB"/>
        </w:rPr>
        <w:t>Weinbauer</w:t>
      </w:r>
      <w:proofErr w:type="spellEnd"/>
      <w:r w:rsidRPr="005C1BB0">
        <w:rPr>
          <w:rFonts w:ascii="Times New Roman" w:hAnsi="Times New Roman" w:cs="Times New Roman"/>
          <w:color w:val="000000" w:themeColor="text1"/>
          <w:lang w:val="en-GB"/>
        </w:rPr>
        <w:t xml:space="preserve">, G.F., </w:t>
      </w:r>
      <w:proofErr w:type="spellStart"/>
      <w:r w:rsidRPr="005C1BB0">
        <w:rPr>
          <w:rFonts w:ascii="Times New Roman" w:hAnsi="Times New Roman" w:cs="Times New Roman"/>
          <w:color w:val="000000" w:themeColor="text1"/>
          <w:lang w:val="en-GB"/>
        </w:rPr>
        <w:t>Nieschlag</w:t>
      </w:r>
      <w:proofErr w:type="spellEnd"/>
      <w:r w:rsidRPr="005C1BB0">
        <w:rPr>
          <w:rFonts w:ascii="Times New Roman" w:hAnsi="Times New Roman" w:cs="Times New Roman"/>
          <w:color w:val="000000" w:themeColor="text1"/>
          <w:lang w:val="en-GB"/>
        </w:rPr>
        <w:t xml:space="preserve">, E. &amp; McLachlan R.I. (1998). Acute and specific impairment of spermatogonial development by GnRH antagonist-induced gonadotrophin withdrawal in the adult macaque (Macaca fascicularis). J </w:t>
      </w:r>
      <w:proofErr w:type="spellStart"/>
      <w:r w:rsidRPr="005C1BB0">
        <w:rPr>
          <w:rFonts w:ascii="Times New Roman" w:hAnsi="Times New Roman" w:cs="Times New Roman"/>
          <w:color w:val="000000" w:themeColor="text1"/>
          <w:lang w:val="en-GB"/>
        </w:rPr>
        <w:t>ReprodFertil</w:t>
      </w:r>
      <w:proofErr w:type="spellEnd"/>
      <w:r w:rsidRPr="005C1BB0">
        <w:rPr>
          <w:rFonts w:ascii="Times New Roman" w:hAnsi="Times New Roman" w:cs="Times New Roman"/>
          <w:color w:val="000000" w:themeColor="text1"/>
          <w:lang w:val="en-GB"/>
        </w:rPr>
        <w:t>. 139-147.</w:t>
      </w:r>
    </w:p>
    <w:p w14:paraId="30FC45C9"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lang w:val="en-GB"/>
        </w:rPr>
        <w:t xml:space="preserve">Wreford, N.G. (1995). Theory and practice of stereological techniques applied to the estimation of cell number and nuclear volume in the testis. </w:t>
      </w:r>
      <w:proofErr w:type="spellStart"/>
      <w:r w:rsidRPr="005C1BB0">
        <w:rPr>
          <w:rFonts w:ascii="Times New Roman" w:hAnsi="Times New Roman" w:cs="Times New Roman"/>
          <w:color w:val="000000" w:themeColor="text1"/>
          <w:lang w:val="en-GB"/>
        </w:rPr>
        <w:t>Microsc</w:t>
      </w:r>
      <w:proofErr w:type="spellEnd"/>
      <w:r w:rsidRPr="005C1BB0">
        <w:rPr>
          <w:rFonts w:ascii="Times New Roman" w:hAnsi="Times New Roman" w:cs="Times New Roman"/>
          <w:color w:val="000000" w:themeColor="text1"/>
          <w:lang w:val="en-GB"/>
        </w:rPr>
        <w:t xml:space="preserve"> Res Tech. 32:423-436.</w:t>
      </w:r>
    </w:p>
    <w:p w14:paraId="590DFD1F"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Gundersen, H.J. &amp; Jensen, E.B. (1987). The efficiency of systematic sampling in stereology and its prediction. J </w:t>
      </w:r>
      <w:proofErr w:type="spellStart"/>
      <w:r w:rsidRPr="005C1BB0">
        <w:rPr>
          <w:rFonts w:ascii="Times New Roman" w:hAnsi="Times New Roman" w:cs="Times New Roman"/>
          <w:color w:val="000000" w:themeColor="text1"/>
        </w:rPr>
        <w:t>Microsc</w:t>
      </w:r>
      <w:proofErr w:type="spellEnd"/>
      <w:r w:rsidRPr="005C1BB0">
        <w:rPr>
          <w:rFonts w:ascii="Times New Roman" w:hAnsi="Times New Roman" w:cs="Times New Roman"/>
          <w:color w:val="000000" w:themeColor="text1"/>
        </w:rPr>
        <w:t>. 147:229-263.</w:t>
      </w:r>
    </w:p>
    <w:p w14:paraId="08B46495"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lastRenderedPageBreak/>
        <w:t xml:space="preserve">Bradford, M.M. (1976). A rapid and sensitive method for the quantitation of microgram quantities of protein utilizing the principle of protein-dye binding. Anal </w:t>
      </w:r>
      <w:proofErr w:type="spellStart"/>
      <w:r w:rsidRPr="005C1BB0">
        <w:rPr>
          <w:rFonts w:ascii="Times New Roman" w:hAnsi="Times New Roman" w:cs="Times New Roman"/>
          <w:color w:val="000000" w:themeColor="text1"/>
        </w:rPr>
        <w:t>Biochem</w:t>
      </w:r>
      <w:proofErr w:type="spellEnd"/>
      <w:r w:rsidRPr="005C1BB0">
        <w:rPr>
          <w:rFonts w:ascii="Times New Roman" w:hAnsi="Times New Roman" w:cs="Times New Roman"/>
          <w:color w:val="000000" w:themeColor="text1"/>
        </w:rPr>
        <w:t>. 72:248-254.</w:t>
      </w:r>
    </w:p>
    <w:p w14:paraId="0B836533"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proofErr w:type="spellStart"/>
      <w:r w:rsidRPr="005C1BB0">
        <w:rPr>
          <w:rFonts w:ascii="Times New Roman" w:hAnsi="Times New Roman" w:cs="Times New Roman"/>
          <w:color w:val="000000" w:themeColor="text1"/>
        </w:rPr>
        <w:t>Hissin</w:t>
      </w:r>
      <w:proofErr w:type="spellEnd"/>
      <w:r w:rsidRPr="005C1BB0">
        <w:rPr>
          <w:rFonts w:ascii="Times New Roman" w:hAnsi="Times New Roman" w:cs="Times New Roman"/>
          <w:color w:val="000000" w:themeColor="text1"/>
        </w:rPr>
        <w:t>, P.J. &amp;</w:t>
      </w:r>
      <w:proofErr w:type="spellStart"/>
      <w:r w:rsidRPr="005C1BB0">
        <w:rPr>
          <w:rFonts w:ascii="Times New Roman" w:hAnsi="Times New Roman" w:cs="Times New Roman"/>
          <w:color w:val="000000" w:themeColor="text1"/>
        </w:rPr>
        <w:t>Hilf</w:t>
      </w:r>
      <w:proofErr w:type="spellEnd"/>
      <w:r w:rsidRPr="005C1BB0">
        <w:rPr>
          <w:rFonts w:ascii="Times New Roman" w:hAnsi="Times New Roman" w:cs="Times New Roman"/>
          <w:color w:val="000000" w:themeColor="text1"/>
        </w:rPr>
        <w:t xml:space="preserve">, R. (1976). A fluorometric method for determination of oxidized and reduced glutathione in tissues. Anal </w:t>
      </w:r>
      <w:proofErr w:type="spellStart"/>
      <w:r w:rsidRPr="005C1BB0">
        <w:rPr>
          <w:rFonts w:ascii="Times New Roman" w:hAnsi="Times New Roman" w:cs="Times New Roman"/>
          <w:color w:val="000000" w:themeColor="text1"/>
        </w:rPr>
        <w:t>Biochzm</w:t>
      </w:r>
      <w:proofErr w:type="spellEnd"/>
      <w:r w:rsidRPr="005C1BB0">
        <w:rPr>
          <w:rFonts w:ascii="Times New Roman" w:hAnsi="Times New Roman" w:cs="Times New Roman"/>
          <w:color w:val="000000" w:themeColor="text1"/>
        </w:rPr>
        <w:t>. 74:214-226.</w:t>
      </w:r>
    </w:p>
    <w:p w14:paraId="4ACE0A6D"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Wood, J.L. (1970). In: Fishman, W.H. (Ed.), In: Metabolic Conjugation and Metabolic Hydrolysis, vol. II. Academic Press, New York, 61-299.</w:t>
      </w:r>
    </w:p>
    <w:p w14:paraId="5D72DA9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Marklund, S. &amp;Marklund, G. (1974). Involvement of the superoxide anion radical in the autooxidation of pyrogallol and a convenient assay for superoxide dismutase. Eur J </w:t>
      </w:r>
      <w:proofErr w:type="spellStart"/>
      <w:r w:rsidRPr="005C1BB0">
        <w:rPr>
          <w:rFonts w:ascii="Times New Roman" w:hAnsi="Times New Roman" w:cs="Times New Roman"/>
          <w:color w:val="000000" w:themeColor="text1"/>
        </w:rPr>
        <w:t>Biochem</w:t>
      </w:r>
      <w:proofErr w:type="spellEnd"/>
      <w:r w:rsidRPr="005C1BB0">
        <w:rPr>
          <w:rFonts w:ascii="Times New Roman" w:hAnsi="Times New Roman" w:cs="Times New Roman"/>
          <w:color w:val="000000" w:themeColor="text1"/>
        </w:rPr>
        <w:t>. 47:469-474.</w:t>
      </w:r>
    </w:p>
    <w:p w14:paraId="1A383796"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Aebi, H. (1974). Catalase in Bergmeyer Hans Ulrich, 5th Edition, “Methods of Enzymatic Analysis”, Academic Press Incorporated, New York, USA, 1974; pp 273-278.</w:t>
      </w:r>
    </w:p>
    <w:p w14:paraId="79B92478"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proofErr w:type="spellStart"/>
      <w:r w:rsidRPr="005C1BB0">
        <w:rPr>
          <w:rFonts w:ascii="Times New Roman" w:hAnsi="Times New Roman" w:cs="Times New Roman"/>
          <w:color w:val="000000" w:themeColor="text1"/>
        </w:rPr>
        <w:t>Ribas-Maynou</w:t>
      </w:r>
      <w:proofErr w:type="spellEnd"/>
      <w:r w:rsidRPr="005C1BB0">
        <w:rPr>
          <w:rFonts w:ascii="Times New Roman" w:hAnsi="Times New Roman" w:cs="Times New Roman"/>
          <w:color w:val="000000" w:themeColor="text1"/>
        </w:rPr>
        <w:t>, J. &amp;</w:t>
      </w:r>
      <w:proofErr w:type="spellStart"/>
      <w:r w:rsidRPr="005C1BB0">
        <w:rPr>
          <w:rFonts w:ascii="Times New Roman" w:hAnsi="Times New Roman" w:cs="Times New Roman"/>
          <w:color w:val="000000" w:themeColor="text1"/>
        </w:rPr>
        <w:t>Yeste</w:t>
      </w:r>
      <w:proofErr w:type="spellEnd"/>
      <w:r w:rsidRPr="005C1BB0">
        <w:rPr>
          <w:rFonts w:ascii="Times New Roman" w:hAnsi="Times New Roman" w:cs="Times New Roman"/>
          <w:color w:val="000000" w:themeColor="text1"/>
        </w:rPr>
        <w:t>, M. (2020). Oxidative Stress in Male Infertility: Causes, Effects in Assisted Reproductive Techniques, and Protective Support of Antioxidants. Biology (Basel). 9(4):77.</w:t>
      </w:r>
    </w:p>
    <w:p w14:paraId="4EB90B86"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Cannarella, R., Crafa, A., Barbagallo, F., </w:t>
      </w:r>
      <w:proofErr w:type="spellStart"/>
      <w:r w:rsidRPr="005C1BB0">
        <w:rPr>
          <w:rFonts w:ascii="Times New Roman" w:hAnsi="Times New Roman" w:cs="Times New Roman"/>
          <w:color w:val="000000" w:themeColor="text1"/>
        </w:rPr>
        <w:t>Mongioì</w:t>
      </w:r>
      <w:proofErr w:type="spellEnd"/>
      <w:r w:rsidRPr="005C1BB0">
        <w:rPr>
          <w:rFonts w:ascii="Times New Roman" w:hAnsi="Times New Roman" w:cs="Times New Roman"/>
          <w:color w:val="000000" w:themeColor="text1"/>
        </w:rPr>
        <w:t xml:space="preserve">, L.M., </w:t>
      </w:r>
      <w:proofErr w:type="spellStart"/>
      <w:r w:rsidRPr="005C1BB0">
        <w:rPr>
          <w:rFonts w:ascii="Times New Roman" w:hAnsi="Times New Roman" w:cs="Times New Roman"/>
          <w:color w:val="000000" w:themeColor="text1"/>
        </w:rPr>
        <w:t>Condorelli</w:t>
      </w:r>
      <w:proofErr w:type="spellEnd"/>
      <w:r w:rsidRPr="005C1BB0">
        <w:rPr>
          <w:rFonts w:ascii="Times New Roman" w:hAnsi="Times New Roman" w:cs="Times New Roman"/>
          <w:color w:val="000000" w:themeColor="text1"/>
        </w:rPr>
        <w:t xml:space="preserve">, R.A., Aversa, A., Calogero, A.E. &amp; La </w:t>
      </w:r>
      <w:proofErr w:type="spellStart"/>
      <w:r w:rsidRPr="005C1BB0">
        <w:rPr>
          <w:rFonts w:ascii="Times New Roman" w:hAnsi="Times New Roman" w:cs="Times New Roman"/>
          <w:color w:val="000000" w:themeColor="text1"/>
        </w:rPr>
        <w:t>Vignera</w:t>
      </w:r>
      <w:proofErr w:type="spellEnd"/>
      <w:r w:rsidRPr="005C1BB0">
        <w:rPr>
          <w:rFonts w:ascii="Times New Roman" w:hAnsi="Times New Roman" w:cs="Times New Roman"/>
          <w:color w:val="000000" w:themeColor="text1"/>
        </w:rPr>
        <w:t>, S. (2020). Seminal Plasma Proteomic Biomarkers of Oxidative Stress. Int J Mol Sci. 21(23):9113.</w:t>
      </w:r>
    </w:p>
    <w:p w14:paraId="2BFBFE4E"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An, R., Wang, X., Yang, L., Zhang, J., Wang, N., Xu, F., Hou, Y., Zhang, H. &amp; Zhang, L. (2021). Polystyrene microplastics cause granulosa cells apoptosis and fibrosis in ovary through oxidative stress in rats. Toxicology. 449:152665. </w:t>
      </w:r>
    </w:p>
    <w:p w14:paraId="7D57BC0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Xie, X., Deng, T., Duan, J., Xie, J., Yuan, J. &amp; Chen, M. (2020). Exposure to polystyrene microplastics causes reproductive toxicity through oxidative stress and activation of the p38 MAPK </w:t>
      </w:r>
      <w:proofErr w:type="spellStart"/>
      <w:r w:rsidRPr="005C1BB0">
        <w:rPr>
          <w:rFonts w:ascii="Times New Roman" w:hAnsi="Times New Roman" w:cs="Times New Roman"/>
          <w:color w:val="000000" w:themeColor="text1"/>
        </w:rPr>
        <w:t>signaling</w:t>
      </w:r>
      <w:proofErr w:type="spellEnd"/>
      <w:r w:rsidRPr="005C1BB0">
        <w:rPr>
          <w:rFonts w:ascii="Times New Roman" w:hAnsi="Times New Roman" w:cs="Times New Roman"/>
          <w:color w:val="000000" w:themeColor="text1"/>
        </w:rPr>
        <w:t xml:space="preserve"> pathway. </w:t>
      </w:r>
      <w:proofErr w:type="spellStart"/>
      <w:r w:rsidRPr="005C1BB0">
        <w:rPr>
          <w:rFonts w:ascii="Times New Roman" w:hAnsi="Times New Roman" w:cs="Times New Roman"/>
          <w:color w:val="000000" w:themeColor="text1"/>
        </w:rPr>
        <w:t>Ecotoxicol</w:t>
      </w:r>
      <w:proofErr w:type="spellEnd"/>
      <w:r w:rsidRPr="005C1BB0">
        <w:rPr>
          <w:rFonts w:ascii="Times New Roman" w:hAnsi="Times New Roman" w:cs="Times New Roman"/>
          <w:color w:val="000000" w:themeColor="text1"/>
        </w:rPr>
        <w:t xml:space="preserve"> Environ </w:t>
      </w:r>
      <w:proofErr w:type="spellStart"/>
      <w:r w:rsidRPr="005C1BB0">
        <w:rPr>
          <w:rFonts w:ascii="Times New Roman" w:hAnsi="Times New Roman" w:cs="Times New Roman"/>
          <w:color w:val="000000" w:themeColor="text1"/>
        </w:rPr>
        <w:t>Saf</w:t>
      </w:r>
      <w:proofErr w:type="spellEnd"/>
      <w:r w:rsidRPr="005C1BB0">
        <w:rPr>
          <w:rFonts w:ascii="Times New Roman" w:hAnsi="Times New Roman" w:cs="Times New Roman"/>
          <w:color w:val="000000" w:themeColor="text1"/>
        </w:rPr>
        <w:t>. 190:110133.</w:t>
      </w:r>
    </w:p>
    <w:p w14:paraId="29D4E2CF"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proofErr w:type="spellStart"/>
      <w:r w:rsidRPr="005C1BB0">
        <w:rPr>
          <w:rFonts w:ascii="Times New Roman" w:hAnsi="Times New Roman" w:cs="Times New Roman"/>
          <w:color w:val="000000" w:themeColor="text1"/>
        </w:rPr>
        <w:lastRenderedPageBreak/>
        <w:t>Kadac-Czapska</w:t>
      </w:r>
      <w:proofErr w:type="spellEnd"/>
      <w:r w:rsidRPr="005C1BB0">
        <w:rPr>
          <w:rFonts w:ascii="Times New Roman" w:hAnsi="Times New Roman" w:cs="Times New Roman"/>
          <w:color w:val="000000" w:themeColor="text1"/>
        </w:rPr>
        <w:t xml:space="preserve">, K., </w:t>
      </w:r>
      <w:proofErr w:type="spellStart"/>
      <w:r w:rsidRPr="005C1BB0">
        <w:rPr>
          <w:rFonts w:ascii="Times New Roman" w:hAnsi="Times New Roman" w:cs="Times New Roman"/>
          <w:color w:val="000000" w:themeColor="text1"/>
        </w:rPr>
        <w:t>Ośko</w:t>
      </w:r>
      <w:proofErr w:type="spellEnd"/>
      <w:r w:rsidRPr="005C1BB0">
        <w:rPr>
          <w:rFonts w:ascii="Times New Roman" w:hAnsi="Times New Roman" w:cs="Times New Roman"/>
          <w:color w:val="000000" w:themeColor="text1"/>
        </w:rPr>
        <w:t>, J., Knez, E. &amp;</w:t>
      </w:r>
      <w:proofErr w:type="spellStart"/>
      <w:r w:rsidRPr="005C1BB0">
        <w:rPr>
          <w:rFonts w:ascii="Times New Roman" w:hAnsi="Times New Roman" w:cs="Times New Roman"/>
          <w:color w:val="000000" w:themeColor="text1"/>
        </w:rPr>
        <w:t>Grembecka</w:t>
      </w:r>
      <w:proofErr w:type="spellEnd"/>
      <w:r w:rsidRPr="005C1BB0">
        <w:rPr>
          <w:rFonts w:ascii="Times New Roman" w:hAnsi="Times New Roman" w:cs="Times New Roman"/>
          <w:color w:val="000000" w:themeColor="text1"/>
        </w:rPr>
        <w:t>, M. (2024). Microplastics and Oxidative Stress-Current Problems and Prospects. Antioxidants (Basel). 13(5):579.</w:t>
      </w:r>
    </w:p>
    <w:p w14:paraId="670DF4B1"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Wang, X., Zhang, X., Sun, K., Wang, S. &amp; Gong, D. (2022). Polystyrene microplastics induce apoptosis and necroptosis in swine testis cells via ROS/MAPK/HIF1α pathway. Environ </w:t>
      </w:r>
      <w:proofErr w:type="spellStart"/>
      <w:r w:rsidRPr="005C1BB0">
        <w:rPr>
          <w:rFonts w:ascii="Times New Roman" w:hAnsi="Times New Roman" w:cs="Times New Roman"/>
          <w:color w:val="000000" w:themeColor="text1"/>
        </w:rPr>
        <w:t>Toxicol</w:t>
      </w:r>
      <w:proofErr w:type="spellEnd"/>
      <w:r w:rsidRPr="005C1BB0">
        <w:rPr>
          <w:rFonts w:ascii="Times New Roman" w:hAnsi="Times New Roman" w:cs="Times New Roman"/>
          <w:color w:val="000000" w:themeColor="text1"/>
        </w:rPr>
        <w:t>. 37(10):2483-2492.</w:t>
      </w:r>
    </w:p>
    <w:p w14:paraId="1D710DCF"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Gao, L., Xiong, X., Chen, C., Luo, P., Li, J., Gao, X., Huang, L. &amp; Li, L. (2023). The male reproductive toxicity after nanoplastics and microplastics exposure: Sperm quality and changes of different cells in testis. </w:t>
      </w:r>
      <w:proofErr w:type="spellStart"/>
      <w:r w:rsidRPr="005C1BB0">
        <w:rPr>
          <w:rFonts w:ascii="Times New Roman" w:hAnsi="Times New Roman" w:cs="Times New Roman"/>
          <w:color w:val="000000" w:themeColor="text1"/>
        </w:rPr>
        <w:t>Ecotoxicol</w:t>
      </w:r>
      <w:proofErr w:type="spellEnd"/>
      <w:r w:rsidRPr="005C1BB0">
        <w:rPr>
          <w:rFonts w:ascii="Times New Roman" w:hAnsi="Times New Roman" w:cs="Times New Roman"/>
          <w:color w:val="000000" w:themeColor="text1"/>
        </w:rPr>
        <w:t xml:space="preserve"> Environ </w:t>
      </w:r>
      <w:proofErr w:type="spellStart"/>
      <w:r w:rsidRPr="005C1BB0">
        <w:rPr>
          <w:rFonts w:ascii="Times New Roman" w:hAnsi="Times New Roman" w:cs="Times New Roman"/>
          <w:color w:val="000000" w:themeColor="text1"/>
        </w:rPr>
        <w:t>Saf</w:t>
      </w:r>
      <w:proofErr w:type="spellEnd"/>
      <w:r w:rsidRPr="005C1BB0">
        <w:rPr>
          <w:rFonts w:ascii="Times New Roman" w:hAnsi="Times New Roman" w:cs="Times New Roman"/>
          <w:color w:val="000000" w:themeColor="text1"/>
        </w:rPr>
        <w:t>. 267:115618.</w:t>
      </w:r>
    </w:p>
    <w:p w14:paraId="152B7A12"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Hou, L., Wang, D., Yin, K., Zhang, Y., Lu, H., Guo, T., Li, J., Zhao, H. &amp; Xing, M. (2022). Polystyrene microplastics induce apoptosis in chicken testis via crosstalk between NF-</w:t>
      </w:r>
      <w:proofErr w:type="spellStart"/>
      <w:r w:rsidRPr="005C1BB0">
        <w:rPr>
          <w:rFonts w:ascii="Times New Roman" w:hAnsi="Times New Roman" w:cs="Times New Roman"/>
          <w:color w:val="000000" w:themeColor="text1"/>
        </w:rPr>
        <w:t>κB</w:t>
      </w:r>
      <w:proofErr w:type="spellEnd"/>
      <w:r w:rsidRPr="005C1BB0">
        <w:rPr>
          <w:rFonts w:ascii="Times New Roman" w:hAnsi="Times New Roman" w:cs="Times New Roman"/>
          <w:color w:val="000000" w:themeColor="text1"/>
        </w:rPr>
        <w:t xml:space="preserve"> and Nrf2 pathways, Comparative Biochemistry and Physiology Part C: Toxicology &amp; Pharmacology. 262:109444.</w:t>
      </w:r>
    </w:p>
    <w:p w14:paraId="3FF6BD09"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Jin, H., Yan, M., Pan, C., Liu, Z., Sha, X., Jiang, C., Li, L., Pan, M., Li, D., Han, X. &amp; Ding, J. (2022). Chronic exposure to polystyrene microplastics induced male reproductive toxicity and decreased testosterone levels via the LH-mediated LHR/cAMP/PKA/</w:t>
      </w:r>
      <w:proofErr w:type="spellStart"/>
      <w:r w:rsidRPr="005C1BB0">
        <w:rPr>
          <w:rFonts w:ascii="Times New Roman" w:hAnsi="Times New Roman" w:cs="Times New Roman"/>
          <w:color w:val="000000" w:themeColor="text1"/>
        </w:rPr>
        <w:t>StAR</w:t>
      </w:r>
      <w:proofErr w:type="spellEnd"/>
      <w:r w:rsidRPr="005C1BB0">
        <w:rPr>
          <w:rFonts w:ascii="Times New Roman" w:hAnsi="Times New Roman" w:cs="Times New Roman"/>
          <w:color w:val="000000" w:themeColor="text1"/>
        </w:rPr>
        <w:t xml:space="preserve"> pathway. Part Fibre </w:t>
      </w:r>
      <w:proofErr w:type="spellStart"/>
      <w:r w:rsidRPr="005C1BB0">
        <w:rPr>
          <w:rFonts w:ascii="Times New Roman" w:hAnsi="Times New Roman" w:cs="Times New Roman"/>
          <w:color w:val="000000" w:themeColor="text1"/>
        </w:rPr>
        <w:t>Toxicol</w:t>
      </w:r>
      <w:proofErr w:type="spellEnd"/>
      <w:r w:rsidRPr="005C1BB0">
        <w:rPr>
          <w:rFonts w:ascii="Times New Roman" w:hAnsi="Times New Roman" w:cs="Times New Roman"/>
          <w:color w:val="000000" w:themeColor="text1"/>
        </w:rPr>
        <w:t>. 19(1):13.</w:t>
      </w:r>
    </w:p>
    <w:p w14:paraId="77BEDA75"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Sun, S., Jin, Y., Luo, P. &amp; Shi, X. (2022). Polystyrene microplastics induced male reproductive toxicity and transgenerational effects in freshwater prawn. Sci Total Environ. 842:156820.</w:t>
      </w:r>
    </w:p>
    <w:p w14:paraId="6FCFB2B0"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Li, W., Ma, L., Shi, Y., Wang, J., Yin, J., Wang, D., Luo, K. &amp; Liu, R. (2023). Meiosis-mediated reproductive toxicity by fenitrothion in Caenorhabditis elegans from metabolomic perspective. Ecotoxicology and Environmental Safety. 253:114680.</w:t>
      </w:r>
    </w:p>
    <w:p w14:paraId="0E06F14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Wu, Q., Song, R., </w:t>
      </w:r>
      <w:proofErr w:type="spellStart"/>
      <w:r w:rsidRPr="005C1BB0">
        <w:rPr>
          <w:rFonts w:ascii="Times New Roman" w:hAnsi="Times New Roman" w:cs="Times New Roman"/>
          <w:color w:val="000000" w:themeColor="text1"/>
        </w:rPr>
        <w:t>Ortogero</w:t>
      </w:r>
      <w:proofErr w:type="spellEnd"/>
      <w:r w:rsidRPr="005C1BB0">
        <w:rPr>
          <w:rFonts w:ascii="Times New Roman" w:hAnsi="Times New Roman" w:cs="Times New Roman"/>
          <w:color w:val="000000" w:themeColor="text1"/>
        </w:rPr>
        <w:t xml:space="preserve">, N., Zheng, H., Evanoff, R., Small, C.L., Griswold, M.D., </w:t>
      </w:r>
      <w:proofErr w:type="spellStart"/>
      <w:r w:rsidRPr="005C1BB0">
        <w:rPr>
          <w:rFonts w:ascii="Times New Roman" w:hAnsi="Times New Roman" w:cs="Times New Roman"/>
          <w:color w:val="000000" w:themeColor="text1"/>
        </w:rPr>
        <w:t>Namekawz</w:t>
      </w:r>
      <w:proofErr w:type="spellEnd"/>
      <w:r w:rsidRPr="005C1BB0">
        <w:rPr>
          <w:rFonts w:ascii="Times New Roman" w:hAnsi="Times New Roman" w:cs="Times New Roman"/>
          <w:color w:val="000000" w:themeColor="text1"/>
        </w:rPr>
        <w:t xml:space="preserve">, S.H., </w:t>
      </w:r>
      <w:proofErr w:type="spellStart"/>
      <w:r w:rsidRPr="005C1BB0">
        <w:rPr>
          <w:rFonts w:ascii="Times New Roman" w:hAnsi="Times New Roman" w:cs="Times New Roman"/>
          <w:color w:val="000000" w:themeColor="text1"/>
        </w:rPr>
        <w:t>Royo</w:t>
      </w:r>
      <w:proofErr w:type="spellEnd"/>
      <w:r w:rsidRPr="005C1BB0">
        <w:rPr>
          <w:rFonts w:ascii="Times New Roman" w:hAnsi="Times New Roman" w:cs="Times New Roman"/>
          <w:color w:val="000000" w:themeColor="text1"/>
        </w:rPr>
        <w:t xml:space="preserve">, H., Turner, J.M. &amp; Yan, W. (2012). The RNase III enzyme </w:t>
      </w:r>
      <w:r w:rsidRPr="005C1BB0">
        <w:rPr>
          <w:rFonts w:ascii="Times New Roman" w:hAnsi="Times New Roman" w:cs="Times New Roman"/>
          <w:color w:val="000000" w:themeColor="text1"/>
        </w:rPr>
        <w:lastRenderedPageBreak/>
        <w:t>DROSHA is essential for microRNA production and spermatogenesis. J Biol Chem. 287(30):25173-90.</w:t>
      </w:r>
    </w:p>
    <w:p w14:paraId="3B6283C3"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Zhou, L.Z., Johnson, A.P. &amp; Rando, T.A. (2001). NF kappa B and AP-1 mediate transcriptional responses to oxidative stress in skeletal muscle cells. Free </w:t>
      </w:r>
      <w:proofErr w:type="spellStart"/>
      <w:r w:rsidRPr="005C1BB0">
        <w:rPr>
          <w:rFonts w:ascii="Times New Roman" w:hAnsi="Times New Roman" w:cs="Times New Roman"/>
          <w:color w:val="000000" w:themeColor="text1"/>
        </w:rPr>
        <w:t>RadicBiol</w:t>
      </w:r>
      <w:proofErr w:type="spellEnd"/>
      <w:r w:rsidRPr="005C1BB0">
        <w:rPr>
          <w:rFonts w:ascii="Times New Roman" w:hAnsi="Times New Roman" w:cs="Times New Roman"/>
          <w:color w:val="000000" w:themeColor="text1"/>
        </w:rPr>
        <w:t xml:space="preserve"> Med. 31:1405–1416.S0891584901007195</w:t>
      </w:r>
    </w:p>
    <w:p w14:paraId="4D65A34F"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Zhong, Y., Ma, T., Fu, Z., Chen, A., Yu, J., Huang, Y. &amp; Fu, J. (2023). Effects of Hydrogen Peroxide-Induced Oxidative Stress on Intestinal Morphology, Redox Status, and Related Molecules in Squabs. Animals (Basel). 13(4):749.</w:t>
      </w:r>
    </w:p>
    <w:p w14:paraId="4F36F4E0"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Yu, X., Zhao D, , Li, J., Zhang, J. &amp; Li, D. (2020). Effects of nylon microplastics on oxidative stress and mitochondrial dysfunction in the gills of crucian carp (</w:t>
      </w:r>
      <w:r w:rsidRPr="005C1BB0">
        <w:rPr>
          <w:rFonts w:ascii="Times New Roman" w:hAnsi="Times New Roman" w:cs="Times New Roman"/>
          <w:i/>
          <w:iCs/>
          <w:color w:val="000000" w:themeColor="text1"/>
        </w:rPr>
        <w:t>Carassius auratus</w:t>
      </w:r>
      <w:r w:rsidRPr="005C1BB0">
        <w:rPr>
          <w:rFonts w:ascii="Times New Roman" w:hAnsi="Times New Roman" w:cs="Times New Roman"/>
          <w:color w:val="000000" w:themeColor="text1"/>
        </w:rPr>
        <w:t>). Sci. Total Environ. 717:137156.</w:t>
      </w:r>
    </w:p>
    <w:p w14:paraId="0A5D13CA"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Chaube, S.K., Prasad, P.V., Thakur, S.C. &amp;Shrivastav, T.G. (2005). Hydrogen peroxide modulates meiotic cell cycle and induces morphological features characteristic of apoptosis in rat oocytes cultured in vitro. Apoptosis. 10(4):863-74.</w:t>
      </w:r>
    </w:p>
    <w:p w14:paraId="2FCCDAC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Liu, L., Xu, K., Zhang, B., Ye, Y., Zhang, Q. &amp; Jiang, W. (2021). Cellular internalization and release of polystyrene microplastics and nanoplastics. Sci Total Environ. 779:146523.</w:t>
      </w:r>
    </w:p>
    <w:p w14:paraId="60F15563" w14:textId="77777777" w:rsidR="00C03580" w:rsidRPr="005C1BB0" w:rsidRDefault="00C03580" w:rsidP="00040457">
      <w:pPr>
        <w:spacing w:before="120" w:after="120" w:line="480" w:lineRule="auto"/>
        <w:jc w:val="both"/>
        <w:rPr>
          <w:rFonts w:ascii="Times New Roman" w:hAnsi="Times New Roman" w:cs="Times New Roman"/>
          <w:color w:val="000000" w:themeColor="text1"/>
        </w:rPr>
      </w:pPr>
    </w:p>
    <w:p w14:paraId="25659C0C"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GB"/>
        </w:rPr>
        <w:sectPr w:rsidR="00C03580" w:rsidRPr="005C1BB0">
          <w:pgSz w:w="11906" w:h="16838"/>
          <w:pgMar w:top="1440" w:right="1440" w:bottom="1440" w:left="1440" w:header="708" w:footer="708" w:gutter="0"/>
          <w:cols w:space="708"/>
          <w:docGrid w:linePitch="360"/>
        </w:sectPr>
      </w:pPr>
    </w:p>
    <w:p w14:paraId="46202D1C" w14:textId="77777777" w:rsidR="00C03580" w:rsidRPr="005C1BB0" w:rsidRDefault="00C03580" w:rsidP="00C03580">
      <w:pPr>
        <w:rPr>
          <w:rFonts w:ascii="Times New Roman" w:hAnsi="Times New Roman" w:cs="Times New Roman"/>
          <w:color w:val="000000" w:themeColor="text1"/>
          <w:lang w:val="en-US"/>
        </w:rPr>
      </w:pPr>
      <w:bookmarkStart w:id="1" w:name="_Hlk172028652"/>
      <w:bookmarkEnd w:id="1"/>
      <w:r w:rsidRPr="005C1BB0">
        <w:rPr>
          <w:rFonts w:ascii="Times New Roman" w:hAnsi="Times New Roman" w:cs="Times New Roman"/>
          <w:color w:val="000000" w:themeColor="text1"/>
          <w:lang w:val="en-US"/>
        </w:rPr>
        <w:lastRenderedPageBreak/>
        <w:t>Table 1: Group of albino rats were formed for investigation and their respective specifications</w:t>
      </w:r>
    </w:p>
    <w:p w14:paraId="5B6F6037" w14:textId="77777777" w:rsidR="00C03580" w:rsidRPr="005C1BB0" w:rsidRDefault="00C03580" w:rsidP="00C03580">
      <w:pPr>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2122"/>
        <w:gridCol w:w="6894"/>
      </w:tblGrid>
      <w:tr w:rsidR="005C1BB0" w:rsidRPr="005C1BB0" w14:paraId="38A97FAF" w14:textId="77777777" w:rsidTr="00CA792A">
        <w:tc>
          <w:tcPr>
            <w:tcW w:w="2122" w:type="dxa"/>
          </w:tcPr>
          <w:p w14:paraId="5ACAFE0A"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Groups</w:t>
            </w:r>
          </w:p>
        </w:tc>
        <w:tc>
          <w:tcPr>
            <w:tcW w:w="6894" w:type="dxa"/>
          </w:tcPr>
          <w:p w14:paraId="38809A3A"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Specification (n=7)</w:t>
            </w:r>
          </w:p>
        </w:tc>
      </w:tr>
      <w:tr w:rsidR="005C1BB0" w:rsidRPr="005C1BB0" w14:paraId="35254BA7" w14:textId="77777777" w:rsidTr="00CA792A">
        <w:tc>
          <w:tcPr>
            <w:tcW w:w="2122" w:type="dxa"/>
          </w:tcPr>
          <w:p w14:paraId="5994238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w:t>
            </w:r>
          </w:p>
        </w:tc>
        <w:tc>
          <w:tcPr>
            <w:tcW w:w="6894" w:type="dxa"/>
          </w:tcPr>
          <w:p w14:paraId="2323F2C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Control – Administered olive oil for 120 days</w:t>
            </w:r>
          </w:p>
        </w:tc>
      </w:tr>
      <w:tr w:rsidR="005C1BB0" w:rsidRPr="005C1BB0" w14:paraId="44EA50CA" w14:textId="77777777" w:rsidTr="00CA792A">
        <w:tc>
          <w:tcPr>
            <w:tcW w:w="2122" w:type="dxa"/>
          </w:tcPr>
          <w:p w14:paraId="72D42892"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II</w:t>
            </w:r>
          </w:p>
        </w:tc>
        <w:tc>
          <w:tcPr>
            <w:tcW w:w="6894" w:type="dxa"/>
          </w:tcPr>
          <w:p w14:paraId="50256040"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Administered 5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PS-MP for 120 days</w:t>
            </w:r>
          </w:p>
        </w:tc>
      </w:tr>
      <w:tr w:rsidR="005C1BB0" w:rsidRPr="005C1BB0" w14:paraId="1ADE8851" w14:textId="77777777" w:rsidTr="00CA792A">
        <w:tc>
          <w:tcPr>
            <w:tcW w:w="2122" w:type="dxa"/>
          </w:tcPr>
          <w:p w14:paraId="6C2A318B"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III</w:t>
            </w:r>
          </w:p>
        </w:tc>
        <w:tc>
          <w:tcPr>
            <w:tcW w:w="6894" w:type="dxa"/>
          </w:tcPr>
          <w:p w14:paraId="29BB8B5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Administered 50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PS-MP for 120 days</w:t>
            </w:r>
          </w:p>
        </w:tc>
      </w:tr>
      <w:tr w:rsidR="005C1BB0" w:rsidRPr="005C1BB0" w14:paraId="5483F313" w14:textId="77777777" w:rsidTr="00CA792A">
        <w:tc>
          <w:tcPr>
            <w:tcW w:w="2122" w:type="dxa"/>
          </w:tcPr>
          <w:p w14:paraId="662045D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IV</w:t>
            </w:r>
          </w:p>
        </w:tc>
        <w:tc>
          <w:tcPr>
            <w:tcW w:w="6894" w:type="dxa"/>
          </w:tcPr>
          <w:p w14:paraId="7F25498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Administered 500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PS-MP for 120 days</w:t>
            </w:r>
          </w:p>
        </w:tc>
      </w:tr>
      <w:tr w:rsidR="00C03580" w:rsidRPr="005C1BB0" w14:paraId="291CF6F1" w14:textId="77777777" w:rsidTr="00CA792A">
        <w:tc>
          <w:tcPr>
            <w:tcW w:w="2122" w:type="dxa"/>
          </w:tcPr>
          <w:p w14:paraId="6511111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V</w:t>
            </w:r>
          </w:p>
        </w:tc>
        <w:tc>
          <w:tcPr>
            <w:tcW w:w="6894" w:type="dxa"/>
          </w:tcPr>
          <w:p w14:paraId="5ACA975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Administered 5000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PS-MP for 120 days</w:t>
            </w:r>
          </w:p>
        </w:tc>
      </w:tr>
    </w:tbl>
    <w:p w14:paraId="573A4B93" w14:textId="77777777" w:rsidR="00C03580" w:rsidRPr="005C1BB0" w:rsidRDefault="00C03580" w:rsidP="00C03580">
      <w:pPr>
        <w:rPr>
          <w:color w:val="000000" w:themeColor="text1"/>
          <w:lang w:val="en-US"/>
        </w:rPr>
      </w:pPr>
    </w:p>
    <w:p w14:paraId="72721FF0"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1F403CB7" w14:textId="77777777" w:rsidR="00C03580" w:rsidRPr="005C1BB0" w:rsidRDefault="00C03580" w:rsidP="00C03580">
      <w:pPr>
        <w:rPr>
          <w:color w:val="000000" w:themeColor="text1"/>
          <w:lang w:val="en-US"/>
        </w:rPr>
      </w:pPr>
    </w:p>
    <w:p w14:paraId="7E65FC23"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64E1E06B" wp14:editId="486B5DD5">
            <wp:extent cx="4572000" cy="2743200"/>
            <wp:effectExtent l="0" t="0" r="0" b="0"/>
            <wp:docPr id="527114825" name="Chart 1">
              <a:extLst xmlns:a="http://schemas.openxmlformats.org/drawingml/2006/main">
                <a:ext uri="{FF2B5EF4-FFF2-40B4-BE49-F238E27FC236}">
                  <a16:creationId xmlns:a16="http://schemas.microsoft.com/office/drawing/2014/main" id="{F6F1ECA9-1C10-A705-BCC9-8AACF0CD6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86CBBE"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Figure 1: Percentage weight gain among rats exposed to PS-MPs for 120 days in comparison to parallelly sham treated control. Level of significance was assessed against control, *P&lt;0.05 was considered significant.</w:t>
      </w:r>
    </w:p>
    <w:p w14:paraId="334309C5" w14:textId="77777777" w:rsidR="00C03580" w:rsidRPr="005C1BB0" w:rsidRDefault="00C03580" w:rsidP="00C03580">
      <w:pPr>
        <w:rPr>
          <w:color w:val="000000" w:themeColor="text1"/>
          <w:lang w:val="en-US"/>
        </w:rPr>
      </w:pPr>
    </w:p>
    <w:p w14:paraId="2DDAAAED"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38DC1034" w14:textId="77777777" w:rsidR="00C03580" w:rsidRPr="005C1BB0" w:rsidRDefault="00C03580" w:rsidP="00C03580">
      <w:pPr>
        <w:rPr>
          <w:color w:val="000000" w:themeColor="text1"/>
          <w:lang w:val="en-US"/>
        </w:rPr>
      </w:pPr>
    </w:p>
    <w:p w14:paraId="6D666704"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59FBA2F9" wp14:editId="25A80832">
            <wp:extent cx="4572000" cy="2743200"/>
            <wp:effectExtent l="0" t="0" r="0" b="0"/>
            <wp:docPr id="755940987" name="Chart 1">
              <a:extLst xmlns:a="http://schemas.openxmlformats.org/drawingml/2006/main">
                <a:ext uri="{FF2B5EF4-FFF2-40B4-BE49-F238E27FC236}">
                  <a16:creationId xmlns:a16="http://schemas.microsoft.com/office/drawing/2014/main" id="{E62E1A71-FCC7-F838-26D7-285E762F4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8AF347" w14:textId="77777777" w:rsidR="00C03580" w:rsidRPr="005C1BB0" w:rsidRDefault="00C03580" w:rsidP="00C03580">
      <w:pPr>
        <w:spacing w:before="120" w:after="120" w:line="480" w:lineRule="auto"/>
        <w:jc w:val="both"/>
        <w:rPr>
          <w:color w:val="000000" w:themeColor="text1"/>
          <w:lang w:val="en-US"/>
        </w:rPr>
      </w:pPr>
      <w:r w:rsidRPr="005C1BB0">
        <w:rPr>
          <w:rFonts w:ascii="Times New Roman" w:hAnsi="Times New Roman" w:cs="Times New Roman"/>
          <w:color w:val="000000" w:themeColor="text1"/>
          <w:lang w:val="en-US"/>
        </w:rPr>
        <w:t>Figure 2: Mean testicular weight of PS-MPs exposed rats in comparison with</w:t>
      </w:r>
      <w:r w:rsidRPr="005C1BB0">
        <w:rPr>
          <w:color w:val="000000" w:themeColor="text1"/>
          <w:lang w:val="en-US"/>
        </w:rPr>
        <w:t xml:space="preserve"> control. Level of significance was compared against control. **P&lt;0.01, ***P&lt;0.001.</w:t>
      </w:r>
    </w:p>
    <w:p w14:paraId="49A390C8" w14:textId="77777777" w:rsidR="00C03580" w:rsidRPr="005C1BB0" w:rsidRDefault="00C03580" w:rsidP="00C03580">
      <w:pPr>
        <w:rPr>
          <w:color w:val="000000" w:themeColor="text1"/>
          <w:lang w:val="en-US"/>
        </w:rPr>
      </w:pPr>
    </w:p>
    <w:p w14:paraId="22F62605"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581D4DBB"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lastRenderedPageBreak/>
        <w:t>Table 2: Fertility rate (FR) of rats exposed to PS-MPs during every 15 days interval along with control. *FR&lt;10%, **FR&lt;20%, and ***FR&lt;30%.</w:t>
      </w: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00"/>
        <w:gridCol w:w="1300"/>
        <w:gridCol w:w="1300"/>
        <w:gridCol w:w="1300"/>
        <w:gridCol w:w="1300"/>
        <w:gridCol w:w="1300"/>
      </w:tblGrid>
      <w:tr w:rsidR="005C1BB0" w:rsidRPr="005C1BB0" w14:paraId="4D9ED99C" w14:textId="77777777" w:rsidTr="00CA792A">
        <w:trPr>
          <w:trHeight w:val="300"/>
        </w:trPr>
        <w:tc>
          <w:tcPr>
            <w:tcW w:w="7800" w:type="dxa"/>
            <w:gridSpan w:val="6"/>
            <w:shd w:val="clear" w:color="auto" w:fill="auto"/>
          </w:tcPr>
          <w:p w14:paraId="773BD672" w14:textId="77777777" w:rsidR="00C03580" w:rsidRPr="005C1BB0" w:rsidRDefault="00C03580" w:rsidP="00CA792A">
            <w:pPr>
              <w:spacing w:before="120" w:after="120" w:line="480" w:lineRule="auto"/>
              <w:jc w:val="center"/>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Fertility (%)</w:t>
            </w:r>
          </w:p>
        </w:tc>
      </w:tr>
      <w:tr w:rsidR="005C1BB0" w:rsidRPr="005C1BB0" w14:paraId="4B8C65A6" w14:textId="77777777" w:rsidTr="00CA792A">
        <w:trPr>
          <w:trHeight w:val="300"/>
        </w:trPr>
        <w:tc>
          <w:tcPr>
            <w:tcW w:w="1300" w:type="dxa"/>
            <w:shd w:val="clear" w:color="auto" w:fill="auto"/>
          </w:tcPr>
          <w:p w14:paraId="620F1BCC"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p>
        </w:tc>
        <w:tc>
          <w:tcPr>
            <w:tcW w:w="1300" w:type="dxa"/>
            <w:shd w:val="clear" w:color="auto" w:fill="auto"/>
          </w:tcPr>
          <w:p w14:paraId="78AA510D"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w:t>
            </w:r>
          </w:p>
        </w:tc>
        <w:tc>
          <w:tcPr>
            <w:tcW w:w="1300" w:type="dxa"/>
            <w:shd w:val="clear" w:color="auto" w:fill="auto"/>
          </w:tcPr>
          <w:p w14:paraId="38F447CC"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II</w:t>
            </w:r>
          </w:p>
        </w:tc>
        <w:tc>
          <w:tcPr>
            <w:tcW w:w="1300" w:type="dxa"/>
            <w:shd w:val="clear" w:color="auto" w:fill="auto"/>
          </w:tcPr>
          <w:p w14:paraId="0E73427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III</w:t>
            </w:r>
          </w:p>
        </w:tc>
        <w:tc>
          <w:tcPr>
            <w:tcW w:w="1300" w:type="dxa"/>
            <w:shd w:val="clear" w:color="auto" w:fill="auto"/>
          </w:tcPr>
          <w:p w14:paraId="76CA860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IV</w:t>
            </w:r>
          </w:p>
        </w:tc>
        <w:tc>
          <w:tcPr>
            <w:tcW w:w="1300" w:type="dxa"/>
            <w:shd w:val="clear" w:color="auto" w:fill="auto"/>
          </w:tcPr>
          <w:p w14:paraId="5284CBD4"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V</w:t>
            </w:r>
          </w:p>
        </w:tc>
      </w:tr>
      <w:tr w:rsidR="005C1BB0" w:rsidRPr="005C1BB0" w14:paraId="4A8F1F44" w14:textId="77777777" w:rsidTr="00CA792A">
        <w:trPr>
          <w:trHeight w:val="300"/>
        </w:trPr>
        <w:tc>
          <w:tcPr>
            <w:tcW w:w="1300" w:type="dxa"/>
            <w:shd w:val="clear" w:color="auto" w:fill="auto"/>
          </w:tcPr>
          <w:p w14:paraId="64245EC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Pre-Treatment</w:t>
            </w:r>
          </w:p>
        </w:tc>
        <w:tc>
          <w:tcPr>
            <w:tcW w:w="1300" w:type="dxa"/>
            <w:shd w:val="clear" w:color="auto" w:fill="auto"/>
          </w:tcPr>
          <w:p w14:paraId="6254F17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6FBFBDF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29E789D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32A0DB19"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60021291"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r>
      <w:tr w:rsidR="005C1BB0" w:rsidRPr="005C1BB0" w14:paraId="30F7196C" w14:textId="77777777" w:rsidTr="00CA792A">
        <w:trPr>
          <w:trHeight w:val="300"/>
        </w:trPr>
        <w:tc>
          <w:tcPr>
            <w:tcW w:w="7800" w:type="dxa"/>
            <w:gridSpan w:val="6"/>
            <w:shd w:val="clear" w:color="auto" w:fill="auto"/>
          </w:tcPr>
          <w:p w14:paraId="6FAF3E54" w14:textId="77777777" w:rsidR="00C03580" w:rsidRPr="005C1BB0" w:rsidRDefault="00C03580" w:rsidP="00CA792A">
            <w:pPr>
              <w:spacing w:before="120" w:after="120" w:line="480" w:lineRule="auto"/>
              <w:jc w:val="center"/>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Treatment Phase</w:t>
            </w:r>
          </w:p>
        </w:tc>
      </w:tr>
      <w:tr w:rsidR="005C1BB0" w:rsidRPr="005C1BB0" w14:paraId="0BE7D06A" w14:textId="77777777" w:rsidTr="00CA792A">
        <w:trPr>
          <w:trHeight w:val="300"/>
        </w:trPr>
        <w:tc>
          <w:tcPr>
            <w:tcW w:w="1300" w:type="dxa"/>
            <w:shd w:val="clear" w:color="auto" w:fill="auto"/>
          </w:tcPr>
          <w:p w14:paraId="12971649"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15 days</w:t>
            </w:r>
          </w:p>
        </w:tc>
        <w:tc>
          <w:tcPr>
            <w:tcW w:w="1300" w:type="dxa"/>
            <w:shd w:val="clear" w:color="auto" w:fill="auto"/>
          </w:tcPr>
          <w:p w14:paraId="493E9E0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02412C2B"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94814E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7D5602D5"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67B7A95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r>
      <w:tr w:rsidR="005C1BB0" w:rsidRPr="005C1BB0" w14:paraId="338797D6" w14:textId="77777777" w:rsidTr="00CA792A">
        <w:trPr>
          <w:trHeight w:val="300"/>
        </w:trPr>
        <w:tc>
          <w:tcPr>
            <w:tcW w:w="1300" w:type="dxa"/>
            <w:shd w:val="clear" w:color="auto" w:fill="auto"/>
          </w:tcPr>
          <w:p w14:paraId="57331E44"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30 days</w:t>
            </w:r>
          </w:p>
        </w:tc>
        <w:tc>
          <w:tcPr>
            <w:tcW w:w="1300" w:type="dxa"/>
            <w:shd w:val="clear" w:color="auto" w:fill="auto"/>
          </w:tcPr>
          <w:p w14:paraId="5F1CF38A"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74B7D0F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4AD994A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8280E81"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53C123C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r>
      <w:tr w:rsidR="005C1BB0" w:rsidRPr="005C1BB0" w14:paraId="1A759FC1" w14:textId="77777777" w:rsidTr="00CA792A">
        <w:trPr>
          <w:trHeight w:val="300"/>
        </w:trPr>
        <w:tc>
          <w:tcPr>
            <w:tcW w:w="1300" w:type="dxa"/>
            <w:shd w:val="clear" w:color="auto" w:fill="auto"/>
          </w:tcPr>
          <w:p w14:paraId="73D8CC3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45 days</w:t>
            </w:r>
          </w:p>
        </w:tc>
        <w:tc>
          <w:tcPr>
            <w:tcW w:w="1300" w:type="dxa"/>
            <w:shd w:val="clear" w:color="auto" w:fill="auto"/>
          </w:tcPr>
          <w:p w14:paraId="5F1EAA1A"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36707EBD"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4BAE39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60B9E3E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56692321"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r>
      <w:tr w:rsidR="005C1BB0" w:rsidRPr="005C1BB0" w14:paraId="5496111D" w14:textId="77777777" w:rsidTr="00CA792A">
        <w:trPr>
          <w:trHeight w:val="300"/>
        </w:trPr>
        <w:tc>
          <w:tcPr>
            <w:tcW w:w="1300" w:type="dxa"/>
            <w:shd w:val="clear" w:color="auto" w:fill="auto"/>
          </w:tcPr>
          <w:p w14:paraId="2D7E5EC5"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60 days</w:t>
            </w:r>
          </w:p>
        </w:tc>
        <w:tc>
          <w:tcPr>
            <w:tcW w:w="1300" w:type="dxa"/>
            <w:shd w:val="clear" w:color="auto" w:fill="auto"/>
          </w:tcPr>
          <w:p w14:paraId="6406731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667B5802"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24EC263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282A529"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3906CA92"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80**</w:t>
            </w:r>
          </w:p>
        </w:tc>
      </w:tr>
      <w:tr w:rsidR="005C1BB0" w:rsidRPr="005C1BB0" w14:paraId="0E0CEDF0" w14:textId="77777777" w:rsidTr="00CA792A">
        <w:trPr>
          <w:trHeight w:val="300"/>
        </w:trPr>
        <w:tc>
          <w:tcPr>
            <w:tcW w:w="1300" w:type="dxa"/>
            <w:shd w:val="clear" w:color="auto" w:fill="auto"/>
          </w:tcPr>
          <w:p w14:paraId="1C1B69B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75 days</w:t>
            </w:r>
          </w:p>
        </w:tc>
        <w:tc>
          <w:tcPr>
            <w:tcW w:w="1300" w:type="dxa"/>
            <w:shd w:val="clear" w:color="auto" w:fill="auto"/>
          </w:tcPr>
          <w:p w14:paraId="62B365B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751642A"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287C5475"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44C0E4F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371DD1F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80**</w:t>
            </w:r>
          </w:p>
        </w:tc>
      </w:tr>
      <w:tr w:rsidR="005C1BB0" w:rsidRPr="005C1BB0" w14:paraId="71AD16FA" w14:textId="77777777" w:rsidTr="00CA792A">
        <w:trPr>
          <w:trHeight w:val="300"/>
        </w:trPr>
        <w:tc>
          <w:tcPr>
            <w:tcW w:w="1300" w:type="dxa"/>
            <w:shd w:val="clear" w:color="auto" w:fill="auto"/>
          </w:tcPr>
          <w:p w14:paraId="2110D7AC"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 days</w:t>
            </w:r>
          </w:p>
        </w:tc>
        <w:tc>
          <w:tcPr>
            <w:tcW w:w="1300" w:type="dxa"/>
            <w:shd w:val="clear" w:color="auto" w:fill="auto"/>
          </w:tcPr>
          <w:p w14:paraId="1E2E9FE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7DB9202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4213840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01BE121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73C8994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80**</w:t>
            </w:r>
          </w:p>
        </w:tc>
      </w:tr>
      <w:tr w:rsidR="005C1BB0" w:rsidRPr="005C1BB0" w14:paraId="435132F7" w14:textId="77777777" w:rsidTr="00CA792A">
        <w:trPr>
          <w:trHeight w:val="300"/>
        </w:trPr>
        <w:tc>
          <w:tcPr>
            <w:tcW w:w="1300" w:type="dxa"/>
            <w:shd w:val="clear" w:color="auto" w:fill="auto"/>
          </w:tcPr>
          <w:p w14:paraId="1857720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105 days</w:t>
            </w:r>
          </w:p>
        </w:tc>
        <w:tc>
          <w:tcPr>
            <w:tcW w:w="1300" w:type="dxa"/>
            <w:shd w:val="clear" w:color="auto" w:fill="auto"/>
          </w:tcPr>
          <w:p w14:paraId="6DBE3E19"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366130D4"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499B16A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5DC0ABC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80**</w:t>
            </w:r>
          </w:p>
        </w:tc>
        <w:tc>
          <w:tcPr>
            <w:tcW w:w="1300" w:type="dxa"/>
            <w:shd w:val="clear" w:color="auto" w:fill="auto"/>
          </w:tcPr>
          <w:p w14:paraId="438AEA74"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70***</w:t>
            </w:r>
          </w:p>
        </w:tc>
      </w:tr>
      <w:tr w:rsidR="005C1BB0" w:rsidRPr="005C1BB0" w14:paraId="0B86BC81" w14:textId="77777777" w:rsidTr="00CA792A">
        <w:trPr>
          <w:trHeight w:val="300"/>
        </w:trPr>
        <w:tc>
          <w:tcPr>
            <w:tcW w:w="1300" w:type="dxa"/>
            <w:shd w:val="clear" w:color="auto" w:fill="auto"/>
          </w:tcPr>
          <w:p w14:paraId="1D1D0AD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120 days</w:t>
            </w:r>
          </w:p>
        </w:tc>
        <w:tc>
          <w:tcPr>
            <w:tcW w:w="1300" w:type="dxa"/>
            <w:shd w:val="clear" w:color="auto" w:fill="auto"/>
          </w:tcPr>
          <w:p w14:paraId="7E36B804"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43E7BB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3C1C3A7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21FB1F00"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80**</w:t>
            </w:r>
          </w:p>
        </w:tc>
        <w:tc>
          <w:tcPr>
            <w:tcW w:w="1300" w:type="dxa"/>
            <w:shd w:val="clear" w:color="auto" w:fill="auto"/>
          </w:tcPr>
          <w:p w14:paraId="39E118F2"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70***</w:t>
            </w:r>
          </w:p>
        </w:tc>
      </w:tr>
    </w:tbl>
    <w:p w14:paraId="4AFA6A5E"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p>
    <w:p w14:paraId="03CF7942" w14:textId="77777777" w:rsidR="00C03580" w:rsidRPr="005C1BB0" w:rsidRDefault="00C03580" w:rsidP="00C03580">
      <w:pPr>
        <w:rPr>
          <w:color w:val="000000" w:themeColor="text1"/>
          <w:lang w:val="en-US"/>
        </w:rPr>
      </w:pPr>
    </w:p>
    <w:p w14:paraId="496B9C0A"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404DF4EA" w14:textId="77777777" w:rsidR="00C03580" w:rsidRPr="005C1BB0" w:rsidRDefault="00C03580" w:rsidP="00C03580">
      <w:pPr>
        <w:rPr>
          <w:color w:val="000000" w:themeColor="text1"/>
          <w:lang w:val="en-US"/>
        </w:rPr>
      </w:pPr>
    </w:p>
    <w:p w14:paraId="09B98137"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3A4F228F" wp14:editId="08ED8ADD">
            <wp:extent cx="4572000" cy="2743200"/>
            <wp:effectExtent l="0" t="0" r="0" b="0"/>
            <wp:docPr id="428753637" name="Chart 1">
              <a:extLst xmlns:a="http://schemas.openxmlformats.org/drawingml/2006/main">
                <a:ext uri="{FF2B5EF4-FFF2-40B4-BE49-F238E27FC236}">
                  <a16:creationId xmlns:a16="http://schemas.microsoft.com/office/drawing/2014/main" id="{8523C4C3-3DC7-2390-F6D1-BD525E619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9EC40B" w14:textId="77777777" w:rsidR="00C03580" w:rsidRPr="005C1BB0" w:rsidRDefault="00C03580" w:rsidP="00C03580">
      <w:pPr>
        <w:rPr>
          <w:color w:val="000000" w:themeColor="text1"/>
          <w:lang w:val="en-US"/>
        </w:rPr>
      </w:pPr>
    </w:p>
    <w:p w14:paraId="61D3A226"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1BF4FBA2" wp14:editId="206623EF">
            <wp:extent cx="4572000" cy="2743200"/>
            <wp:effectExtent l="0" t="0" r="0" b="0"/>
            <wp:docPr id="1844598703" name="Chart 1">
              <a:extLst xmlns:a="http://schemas.openxmlformats.org/drawingml/2006/main">
                <a:ext uri="{FF2B5EF4-FFF2-40B4-BE49-F238E27FC236}">
                  <a16:creationId xmlns:a16="http://schemas.microsoft.com/office/drawing/2014/main" id="{7F90F978-2193-811F-4F57-CAAB3D8A0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0088F0" w14:textId="77777777" w:rsidR="00C03580" w:rsidRPr="005C1BB0" w:rsidRDefault="00C03580" w:rsidP="00C03580">
      <w:pPr>
        <w:rPr>
          <w:color w:val="000000" w:themeColor="text1"/>
          <w:lang w:val="en-US"/>
        </w:rPr>
      </w:pPr>
    </w:p>
    <w:p w14:paraId="22921FB4"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097D5681" wp14:editId="286C3BB3">
            <wp:extent cx="4572000" cy="2743200"/>
            <wp:effectExtent l="0" t="0" r="0" b="0"/>
            <wp:docPr id="286698017" name="Chart 1">
              <a:extLst xmlns:a="http://schemas.openxmlformats.org/drawingml/2006/main">
                <a:ext uri="{FF2B5EF4-FFF2-40B4-BE49-F238E27FC236}">
                  <a16:creationId xmlns:a16="http://schemas.microsoft.com/office/drawing/2014/main" id="{2DF91AFE-FA57-1411-91E8-1AF324EC3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D6FEED" w14:textId="77777777" w:rsidR="00C03580" w:rsidRPr="005C1BB0" w:rsidRDefault="00C03580" w:rsidP="00C03580">
      <w:pPr>
        <w:rPr>
          <w:color w:val="000000" w:themeColor="text1"/>
          <w:lang w:val="en-US"/>
        </w:rPr>
      </w:pPr>
    </w:p>
    <w:p w14:paraId="04FEAF54"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5B3B1BA4" wp14:editId="05A045B6">
            <wp:extent cx="4572000" cy="2743200"/>
            <wp:effectExtent l="0" t="0" r="0" b="0"/>
            <wp:docPr id="2064983107" name="Chart 1">
              <a:extLst xmlns:a="http://schemas.openxmlformats.org/drawingml/2006/main">
                <a:ext uri="{FF2B5EF4-FFF2-40B4-BE49-F238E27FC236}">
                  <a16:creationId xmlns:a16="http://schemas.microsoft.com/office/drawing/2014/main" id="{3776DC64-2560-DD0D-2B27-A1341BBA3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98EC34"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Figure 3: Limiting effect of PS-MPs on the densities of A. Sertoli cells, B. Spermatogonia, C. Spermatocytes, and D. Spermatids. Level of significance was compared against control (Group I). *P&lt;0.05, **P&lt;0.01, and ***P&lt;0.001.</w:t>
      </w:r>
    </w:p>
    <w:p w14:paraId="3AAA53B1"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33598E1C" w14:textId="77777777" w:rsidR="00C03580" w:rsidRPr="005C1BB0" w:rsidRDefault="00C03580" w:rsidP="00C03580">
      <w:pPr>
        <w:rPr>
          <w:color w:val="000000" w:themeColor="text1"/>
          <w:lang w:val="en-US"/>
        </w:rPr>
      </w:pPr>
    </w:p>
    <w:p w14:paraId="0DAD95BA"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709F1681" wp14:editId="222F4654">
            <wp:extent cx="4572000" cy="2743200"/>
            <wp:effectExtent l="0" t="0" r="0" b="0"/>
            <wp:docPr id="427604276" name="Chart 1">
              <a:extLst xmlns:a="http://schemas.openxmlformats.org/drawingml/2006/main">
                <a:ext uri="{FF2B5EF4-FFF2-40B4-BE49-F238E27FC236}">
                  <a16:creationId xmlns:a16="http://schemas.microsoft.com/office/drawing/2014/main" id="{E3025F9F-0149-7878-AB67-C8F3E33A7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55B3F8"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Figure 4: Estimated count of germ cells per testis in animals treated with various doses of PS-MPs. Significant changes were noted in groups IV and V when compared with control. Level of significance was compared against control. *P&lt;0.05, **P&lt;0.01, and ***P&lt;0.001.</w:t>
      </w:r>
    </w:p>
    <w:p w14:paraId="0DE6222A" w14:textId="77777777" w:rsidR="00C03580" w:rsidRPr="005C1BB0" w:rsidRDefault="00C03580" w:rsidP="00C03580">
      <w:pPr>
        <w:rPr>
          <w:color w:val="000000" w:themeColor="text1"/>
          <w:lang w:val="en-US"/>
        </w:rPr>
      </w:pPr>
    </w:p>
    <w:p w14:paraId="50B95C68" w14:textId="77777777" w:rsidR="00C03580" w:rsidRPr="005C1BB0" w:rsidRDefault="00C03580" w:rsidP="00C03580">
      <w:pPr>
        <w:rPr>
          <w:color w:val="000000" w:themeColor="text1"/>
          <w:lang w:val="en-US"/>
        </w:rPr>
      </w:pPr>
    </w:p>
    <w:p w14:paraId="721ACFA1"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099C4921" w14:textId="77777777" w:rsidR="00C03580" w:rsidRPr="005C1BB0" w:rsidRDefault="00B85A45" w:rsidP="00C03580">
      <w:pPr>
        <w:rPr>
          <w:color w:val="000000" w:themeColor="text1"/>
          <w:lang w:val="en-US"/>
        </w:rPr>
      </w:pPr>
      <w:r>
        <w:rPr>
          <w:noProof/>
          <w:color w:val="000000" w:themeColor="text1"/>
          <w:lang w:val="en-US"/>
        </w:rPr>
        <w:lastRenderedPageBreak/>
        <w:pict w14:anchorId="0AA9DAE9">
          <v:shapetype id="_x0000_t202" coordsize="21600,21600" o:spt="202" path="m,l,21600r21600,l21600,xe">
            <v:stroke joinstyle="miter"/>
            <v:path gradientshapeok="t" o:connecttype="rect"/>
          </v:shapetype>
          <v:shape id="Text Box 1" o:spid="_x0000_s1081" type="#_x0000_t202" alt="" style="position:absolute;margin-left:166.85pt;margin-top:14.75pt;width:28.1pt;height:21.25pt;z-index:251676672;visibility:visible;mso-wrap-style:square;mso-wrap-edited:f;mso-width-percent:0;mso-height-percent:0;mso-width-percent:0;mso-height-percent:0;mso-width-relative:margin;mso-height-relative:margin;v-text-anchor:top" filled="f" stroked="f" strokeweight=".5pt">
            <v:textbox>
              <w:txbxContent>
                <w:p w14:paraId="66551178" w14:textId="77777777" w:rsidR="00C03580" w:rsidRPr="005005C9" w:rsidRDefault="00C03580" w:rsidP="00C03580">
                  <w:pPr>
                    <w:rPr>
                      <w:lang w:val="en-US"/>
                    </w:rPr>
                  </w:pPr>
                  <w:r>
                    <w:rPr>
                      <w:lang w:val="en-US"/>
                    </w:rPr>
                    <w:t>ST</w:t>
                  </w:r>
                </w:p>
              </w:txbxContent>
            </v:textbox>
          </v:shape>
        </w:pict>
      </w:r>
    </w:p>
    <w:p w14:paraId="4BAE315B" w14:textId="77777777" w:rsidR="00C03580" w:rsidRPr="005C1BB0" w:rsidRDefault="00B85A45" w:rsidP="00C03580">
      <w:pPr>
        <w:rPr>
          <w:color w:val="000000" w:themeColor="text1"/>
          <w:lang w:val="en-US"/>
        </w:rPr>
      </w:pPr>
      <w:r>
        <w:rPr>
          <w:noProof/>
          <w:color w:val="000000" w:themeColor="text1"/>
          <w:lang w:val="en-US"/>
        </w:rPr>
        <w:pict w14:anchorId="313FE0AE">
          <v:shape id="Text Box 52" o:spid="_x0000_s1080" type="#_x0000_t202" alt="" style="position:absolute;margin-left:428.95pt;margin-top:342.9pt;width:33.2pt;height:26.25pt;z-index:251715584;visibility:visible;mso-wrap-style:square;mso-wrap-edited:f;mso-width-percent:0;mso-height-percent:0;mso-width-percent:0;mso-height-percent:0;mso-width-relative:margin;mso-height-relative:margin;v-text-anchor:top" filled="f" stroked="f" strokeweight=".5pt">
            <v:textbox>
              <w:txbxContent>
                <w:p w14:paraId="61346C3E" w14:textId="77777777" w:rsidR="00C03580" w:rsidRPr="00F445BD" w:rsidRDefault="00C03580" w:rsidP="00C03580">
                  <w:pPr>
                    <w:rPr>
                      <w:color w:val="FFFFFF" w:themeColor="background1"/>
                      <w:lang w:val="en-US"/>
                    </w:rPr>
                  </w:pPr>
                  <w:r>
                    <w:rPr>
                      <w:color w:val="FFFFFF" w:themeColor="background1"/>
                      <w:lang w:val="en-US"/>
                    </w:rPr>
                    <w:t>E</w:t>
                  </w:r>
                </w:p>
              </w:txbxContent>
            </v:textbox>
          </v:shape>
        </w:pict>
      </w:r>
      <w:r>
        <w:rPr>
          <w:noProof/>
          <w:color w:val="000000" w:themeColor="text1"/>
          <w:lang w:val="en-US"/>
        </w:rPr>
        <w:pict w14:anchorId="7A9B4A59">
          <v:shape id="_x0000_s1079" type="#_x0000_t202" alt="" style="position:absolute;margin-left:200.35pt;margin-top:342.9pt;width:33.2pt;height:26.25pt;z-index:251714560;visibility:visible;mso-wrap-style:square;mso-wrap-edited:f;mso-width-percent:0;mso-height-percent:0;mso-width-percent:0;mso-height-percent:0;mso-width-relative:margin;mso-height-relative:margin;v-text-anchor:top" filled="f" stroked="f" strokeweight=".5pt">
            <v:textbox>
              <w:txbxContent>
                <w:p w14:paraId="551AC4B0" w14:textId="77777777" w:rsidR="00C03580" w:rsidRPr="00F445BD" w:rsidRDefault="00C03580" w:rsidP="00C03580">
                  <w:pPr>
                    <w:rPr>
                      <w:color w:val="FFFFFF" w:themeColor="background1"/>
                      <w:lang w:val="en-US"/>
                    </w:rPr>
                  </w:pPr>
                  <w:r>
                    <w:rPr>
                      <w:color w:val="FFFFFF" w:themeColor="background1"/>
                      <w:lang w:val="en-US"/>
                    </w:rPr>
                    <w:t>D</w:t>
                  </w:r>
                </w:p>
              </w:txbxContent>
            </v:textbox>
          </v:shape>
        </w:pict>
      </w:r>
      <w:r>
        <w:rPr>
          <w:noProof/>
          <w:color w:val="000000" w:themeColor="text1"/>
          <w:lang w:val="en-US"/>
        </w:rPr>
        <w:pict w14:anchorId="3280420D">
          <v:shape id="_x0000_s1078" type="#_x0000_t202" alt="" style="position:absolute;margin-left:428.95pt;margin-top:174.6pt;width:33.2pt;height:26.25pt;z-index:251713536;visibility:visible;mso-wrap-style:square;mso-wrap-edited:f;mso-width-percent:0;mso-height-percent:0;mso-width-percent:0;mso-height-percent:0;mso-width-relative:margin;mso-height-relative:margin;v-text-anchor:top" filled="f" stroked="f" strokeweight=".5pt">
            <v:textbox>
              <w:txbxContent>
                <w:p w14:paraId="1F77F05A" w14:textId="77777777" w:rsidR="00C03580" w:rsidRPr="00F445BD" w:rsidRDefault="00C03580" w:rsidP="00C03580">
                  <w:pPr>
                    <w:rPr>
                      <w:color w:val="FFFFFF" w:themeColor="background1"/>
                      <w:lang w:val="en-US"/>
                    </w:rPr>
                  </w:pPr>
                  <w:r>
                    <w:rPr>
                      <w:color w:val="FFFFFF" w:themeColor="background1"/>
                      <w:lang w:val="en-US"/>
                    </w:rPr>
                    <w:t>C</w:t>
                  </w:r>
                </w:p>
              </w:txbxContent>
            </v:textbox>
          </v:shape>
        </w:pict>
      </w:r>
      <w:r>
        <w:rPr>
          <w:noProof/>
          <w:color w:val="000000" w:themeColor="text1"/>
          <w:lang w:val="en-US"/>
        </w:rPr>
        <w:pict w14:anchorId="7D72C12A">
          <v:shape id="_x0000_s1077" type="#_x0000_t202" alt="" style="position:absolute;margin-left:197.4pt;margin-top:170.6pt;width:33.2pt;height:26.25pt;z-index:251712512;visibility:visible;mso-wrap-style:square;mso-wrap-edited:f;mso-width-percent:0;mso-height-percent:0;mso-width-percent:0;mso-height-percent:0;mso-width-relative:margin;mso-height-relative:margin;v-text-anchor:top" filled="f" stroked="f" strokeweight=".5pt">
            <v:textbox>
              <w:txbxContent>
                <w:p w14:paraId="27AACE50" w14:textId="77777777" w:rsidR="00C03580" w:rsidRPr="00F445BD" w:rsidRDefault="00C03580" w:rsidP="00C03580">
                  <w:pPr>
                    <w:rPr>
                      <w:color w:val="FFFFFF" w:themeColor="background1"/>
                      <w:lang w:val="en-US"/>
                    </w:rPr>
                  </w:pPr>
                  <w:r>
                    <w:rPr>
                      <w:color w:val="FFFFFF" w:themeColor="background1"/>
                      <w:lang w:val="en-US"/>
                    </w:rPr>
                    <w:t>B</w:t>
                  </w:r>
                </w:p>
              </w:txbxContent>
            </v:textbox>
          </v:shape>
        </w:pict>
      </w:r>
      <w:r>
        <w:rPr>
          <w:noProof/>
          <w:color w:val="000000" w:themeColor="text1"/>
          <w:lang w:val="en-US"/>
        </w:rPr>
        <w:pict w14:anchorId="36695D4C">
          <v:shape id="_x0000_s1076" type="#_x0000_t202" alt="" style="position:absolute;margin-left:323.05pt;margin-top:.4pt;width:29.45pt;height:31.45pt;z-index:251711488;visibility:visible;mso-wrap-style:square;mso-wrap-edited:f;mso-width-percent:0;mso-height-percent:0;mso-width-percent:0;mso-height-percent:0;mso-width-relative:margin;mso-height-relative:margin;v-text-anchor:top" filled="f" stroked="f" strokeweight=".5pt">
            <v:textbox>
              <w:txbxContent>
                <w:p w14:paraId="1356352A" w14:textId="77777777" w:rsidR="00C03580" w:rsidRPr="00F445BD" w:rsidRDefault="00C03580" w:rsidP="00C03580">
                  <w:pPr>
                    <w:rPr>
                      <w:color w:val="FFFFFF" w:themeColor="background1"/>
                      <w:lang w:val="en-US"/>
                    </w:rPr>
                  </w:pPr>
                  <w:r w:rsidRPr="00F445BD">
                    <w:rPr>
                      <w:color w:val="FFFFFF" w:themeColor="background1"/>
                      <w:lang w:val="en-US"/>
                    </w:rPr>
                    <w:t>A</w:t>
                  </w:r>
                </w:p>
              </w:txbxContent>
            </v:textbox>
          </v:shape>
        </w:pict>
      </w:r>
      <w:r>
        <w:rPr>
          <w:noProof/>
          <w:color w:val="000000" w:themeColor="text1"/>
          <w:lang w:val="en-US"/>
        </w:rPr>
        <w:pict w14:anchorId="032CFBF6">
          <v:shape id="_x0000_s1075" type="#_x0000_t202" alt="" style="position:absolute;margin-left:262.45pt;margin-top:36.65pt;width:28.1pt;height:21.25pt;z-index:251671552;visibility:visible;mso-wrap-style:square;mso-wrap-edited:f;mso-width-percent:0;mso-height-percent:0;mso-width-percent:0;mso-height-percent:0;mso-width-relative:margin;mso-height-relative:margin;v-text-anchor:top" filled="f" stroked="f" strokeweight=".5pt">
            <v:textbox>
              <w:txbxContent>
                <w:p w14:paraId="2137E51C" w14:textId="77777777" w:rsidR="00C03580" w:rsidRPr="005005C9" w:rsidRDefault="00C03580" w:rsidP="00C03580">
                  <w:pPr>
                    <w:rPr>
                      <w:lang w:val="en-US"/>
                    </w:rPr>
                  </w:pPr>
                  <w:r>
                    <w:rPr>
                      <w:lang w:val="en-US"/>
                    </w:rPr>
                    <w:t>SD</w:t>
                  </w:r>
                </w:p>
              </w:txbxContent>
            </v:textbox>
          </v:shape>
        </w:pict>
      </w:r>
      <w:r>
        <w:rPr>
          <w:noProof/>
          <w:color w:val="000000" w:themeColor="text1"/>
          <w:lang w:val="en-US"/>
        </w:rPr>
        <w:pict w14:anchorId="6FCACD8D">
          <v:shapetype id="_x0000_t32" coordsize="21600,21600" o:spt="32" o:oned="t" path="m,l21600,21600e" filled="f">
            <v:path arrowok="t" fillok="f" o:connecttype="none"/>
            <o:lock v:ext="edit" shapetype="t"/>
          </v:shapetype>
          <v:shape id="_x0000_s1074" type="#_x0000_t32" alt="" style="position:absolute;margin-left:286.75pt;margin-top:47.3pt;width:17.6pt;height:3.7pt;z-index:251670528;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523C9B7A">
          <v:shape id="_x0000_s1073" type="#_x0000_t32" alt="" style="position:absolute;margin-left:286.75pt;margin-top:36.2pt;width:14.1pt;height:11.15pt;flip:y;z-index:251669504;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7A256E75">
          <v:shape id="_x0000_s1072" type="#_x0000_t202" alt="" style="position:absolute;margin-left:183.4pt;margin-top:275.5pt;width:35.95pt;height:21.2pt;rotation:21456236fd;z-index:251710464;visibility:visible;mso-wrap-style:square;mso-wrap-edited:f;mso-width-percent:0;mso-height-percent:0;mso-width-percent:0;mso-height-percent:0;mso-width-relative:margin;mso-height-relative:margin;v-text-anchor:top" filled="f" stroked="f" strokeweight=".5pt">
            <v:textbox>
              <w:txbxContent>
                <w:p w14:paraId="28B31387" w14:textId="77777777" w:rsidR="00C03580" w:rsidRPr="005005C9" w:rsidRDefault="00C03580" w:rsidP="00C03580">
                  <w:pPr>
                    <w:rPr>
                      <w:lang w:val="en-US"/>
                    </w:rPr>
                  </w:pPr>
                  <w:r>
                    <w:rPr>
                      <w:lang w:val="en-US"/>
                    </w:rPr>
                    <w:t>IS</w:t>
                  </w:r>
                </w:p>
              </w:txbxContent>
            </v:textbox>
          </v:shape>
        </w:pict>
      </w:r>
      <w:r>
        <w:rPr>
          <w:noProof/>
          <w:color w:val="000000" w:themeColor="text1"/>
          <w:lang w:val="en-US"/>
        </w:rPr>
        <w:pict w14:anchorId="090B883A">
          <v:shape id="_x0000_s1071" type="#_x0000_t32" alt="" style="position:absolute;margin-left:398.2pt;margin-top:404.1pt;width:13.3pt;height:4.45pt;z-index:251709440;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1A75C727">
          <v:shape id="_x0000_s1070" type="#_x0000_t202" alt="" style="position:absolute;margin-left:428.95pt;margin-top:284.75pt;width:28.1pt;height:21.25pt;z-index:251708416;visibility:visible;mso-wrap-style:square;mso-wrap-edited:f;mso-width-percent:0;mso-height-percent:0;mso-width-percent:0;mso-height-percent:0;mso-width-relative:margin;mso-height-relative:margin;v-text-anchor:top" filled="f" stroked="f" strokeweight=".5pt">
            <v:textbox>
              <w:txbxContent>
                <w:p w14:paraId="321D0932" w14:textId="77777777" w:rsidR="00C03580" w:rsidRPr="005005C9" w:rsidRDefault="00C03580" w:rsidP="00C03580">
                  <w:pPr>
                    <w:rPr>
                      <w:lang w:val="en-US"/>
                    </w:rPr>
                  </w:pPr>
                  <w:r>
                    <w:rPr>
                      <w:lang w:val="en-US"/>
                    </w:rPr>
                    <w:t>IS</w:t>
                  </w:r>
                </w:p>
              </w:txbxContent>
            </v:textbox>
          </v:shape>
        </w:pict>
      </w:r>
      <w:r>
        <w:rPr>
          <w:noProof/>
          <w:color w:val="000000" w:themeColor="text1"/>
          <w:lang w:val="en-US"/>
        </w:rPr>
        <w:pict w14:anchorId="3365F1D8">
          <v:shape id="_x0000_s1069" type="#_x0000_t32" alt="" style="position:absolute;margin-left:145.75pt;margin-top:309.05pt;width:27.7pt;height:19.35pt;flip:x;z-index:251707392;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68FBBAAA">
          <v:shape id="_x0000_s1068" type="#_x0000_t32" alt="" style="position:absolute;margin-left:391.95pt;margin-top:179.55pt;width:15.25pt;height:21.15pt;flip:x;z-index:251706368;visibility:visible;mso-wrap-edited:f;mso-width-percent:0;mso-height-percent:0;mso-width-percent:0;mso-height-percent:0;mso-width-relative:margin;mso-height-relative:margin" strokecolor="black [3213]">
            <v:stroke startarrow="block" endarrow="block" joinstyle="miter"/>
          </v:shape>
        </w:pict>
      </w:r>
      <w:r>
        <w:rPr>
          <w:noProof/>
          <w:color w:val="000000" w:themeColor="text1"/>
          <w:lang w:val="en-US"/>
        </w:rPr>
        <w:pict w14:anchorId="1C350BBD">
          <v:shape id="_x0000_s1067" type="#_x0000_t32" alt="" style="position:absolute;margin-left:295.5pt;margin-top:292.25pt;width:15.75pt;height:21.7pt;flip:y;z-index:251705344;visibility:visible;mso-wrap-edited:f;mso-width-percent:0;mso-height-percent:0;mso-width-percent:0;mso-height-percent:0;mso-width-relative:margin;mso-height-relative:margin" strokecolor="black [3213]">
            <v:stroke startarrow="block" endarrow="block" joinstyle="miter"/>
          </v:shape>
        </w:pict>
      </w:r>
      <w:r>
        <w:rPr>
          <w:noProof/>
          <w:color w:val="000000" w:themeColor="text1"/>
          <w:lang w:val="en-US"/>
        </w:rPr>
        <w:pict w14:anchorId="3A100E6D">
          <v:oval id="Oval 20" o:spid="_x0000_s1066" alt="" style="position:absolute;margin-left:295.5pt;margin-top:193.2pt;width:122.7pt;height:112.7pt;z-index:251686912;visibility:visible;mso-wrap-edited:f;mso-width-percent:0;mso-height-percent:0;mso-width-percent:0;mso-height-percent:0;mso-width-relative:margin;mso-height-relative:margin;v-text-anchor:middle" fillcolor="#fff2cc [663]" strokecolor="#09101d [484]" strokeweight="1pt">
            <v:fill opacity="21588f"/>
            <v:stroke dashstyle="1 1" joinstyle="miter"/>
          </v:oval>
        </w:pict>
      </w:r>
      <w:r>
        <w:rPr>
          <w:noProof/>
          <w:color w:val="000000" w:themeColor="text1"/>
          <w:lang w:val="en-US"/>
        </w:rPr>
        <w:pict w14:anchorId="1506515A">
          <v:shape id="_x0000_s1065" type="#_x0000_t202" alt="" style="position:absolute;margin-left:342.5pt;margin-top:349.75pt;width:28.1pt;height:21.25pt;z-index:251704320;visibility:visible;mso-wrap-style:square;mso-wrap-edited:f;mso-width-percent:0;mso-height-percent:0;mso-width-percent:0;mso-height-percent:0;mso-width-relative:margin;mso-height-relative:margin;v-text-anchor:top" filled="f" stroked="f" strokeweight=".5pt">
            <v:textbox>
              <w:txbxContent>
                <w:p w14:paraId="717FB43F" w14:textId="77777777" w:rsidR="00C03580" w:rsidRPr="005005C9" w:rsidRDefault="00C03580" w:rsidP="00C03580">
                  <w:pPr>
                    <w:rPr>
                      <w:lang w:val="en-US"/>
                    </w:rPr>
                  </w:pPr>
                  <w:r>
                    <w:rPr>
                      <w:lang w:val="en-US"/>
                    </w:rPr>
                    <w:t>SD</w:t>
                  </w:r>
                </w:p>
              </w:txbxContent>
            </v:textbox>
          </v:shape>
        </w:pict>
      </w:r>
      <w:r>
        <w:rPr>
          <w:noProof/>
          <w:color w:val="000000" w:themeColor="text1"/>
          <w:lang w:val="en-US"/>
        </w:rPr>
        <w:pict w14:anchorId="2E6BB6CC">
          <v:shape id="_x0000_s1064" type="#_x0000_t32" alt="" style="position:absolute;margin-left:357.45pt;margin-top:366.65pt;width:16.3pt;height:24.4pt;z-index:251703296;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7550866D">
          <v:shape id="_x0000_s1063" type="#_x0000_t32" alt="" style="position:absolute;margin-left:339.35pt;margin-top:366.65pt;width:18.05pt;height:16.5pt;flip:x;z-index:251702272;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2D41E707">
          <v:shape id="_x0000_s1062" type="#_x0000_t32" alt="" style="position:absolute;margin-left:48.75pt;margin-top:404.1pt;width:10.1pt;height:8.95pt;flip:x;z-index:251701248;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5448D2E1">
          <v:shape id="_x0000_s1061" type="#_x0000_t202" alt="" style="position:absolute;margin-left:200.8pt;margin-top:383pt;width:28.1pt;height:21.25pt;z-index:251700224;visibility:visible;mso-wrap-style:square;mso-wrap-edited:f;mso-width-percent:0;mso-height-percent:0;mso-width-percent:0;mso-height-percent:0;mso-width-relative:margin;mso-height-relative:margin;v-text-anchor:top" filled="f" stroked="f" strokeweight=".5pt">
            <v:textbox>
              <w:txbxContent>
                <w:p w14:paraId="756E0465" w14:textId="77777777" w:rsidR="00C03580" w:rsidRPr="005005C9" w:rsidRDefault="00C03580" w:rsidP="00C03580">
                  <w:pPr>
                    <w:rPr>
                      <w:lang w:val="en-US"/>
                    </w:rPr>
                  </w:pPr>
                  <w:r>
                    <w:rPr>
                      <w:lang w:val="en-US"/>
                    </w:rPr>
                    <w:t>L</w:t>
                  </w:r>
                </w:p>
              </w:txbxContent>
            </v:textbox>
          </v:shape>
        </w:pict>
      </w:r>
      <w:r>
        <w:rPr>
          <w:noProof/>
          <w:color w:val="000000" w:themeColor="text1"/>
          <w:lang w:val="en-US"/>
        </w:rPr>
        <w:pict w14:anchorId="08CEEBB1">
          <v:shape id="_x0000_s1060" type="#_x0000_t202" alt="" style="position:absolute;margin-left:80.1pt;margin-top:413.15pt;width:28.1pt;height:21.25pt;z-index:251699200;visibility:visible;mso-wrap-style:square;mso-wrap-edited:f;mso-width-percent:0;mso-height-percent:0;mso-width-percent:0;mso-height-percent:0;mso-width-relative:margin;mso-height-relative:margin;v-text-anchor:top" filled="f" stroked="f" strokeweight=".5pt">
            <v:textbox>
              <w:txbxContent>
                <w:p w14:paraId="0ABCF5E0" w14:textId="77777777" w:rsidR="00C03580" w:rsidRPr="005005C9" w:rsidRDefault="00C03580" w:rsidP="00C03580">
                  <w:pPr>
                    <w:rPr>
                      <w:lang w:val="en-US"/>
                    </w:rPr>
                  </w:pPr>
                  <w:r>
                    <w:rPr>
                      <w:lang w:val="en-US"/>
                    </w:rPr>
                    <w:t>IE</w:t>
                  </w:r>
                </w:p>
              </w:txbxContent>
            </v:textbox>
          </v:shape>
        </w:pict>
      </w:r>
      <w:r>
        <w:rPr>
          <w:noProof/>
          <w:color w:val="000000" w:themeColor="text1"/>
          <w:lang w:val="en-US"/>
        </w:rPr>
        <w:pict w14:anchorId="053492A3">
          <v:shape id="_x0000_s1059" type="#_x0000_t202" alt="" style="position:absolute;margin-left:329.55pt;margin-top:422.4pt;width:28.1pt;height:21.25pt;z-index:251698176;visibility:visible;mso-wrap-style:square;mso-wrap-edited:f;mso-width-percent:0;mso-height-percent:0;mso-width-percent:0;mso-height-percent:0;mso-width-relative:margin;mso-height-relative:margin;v-text-anchor:top" filled="f" stroked="f" strokeweight=".5pt">
            <v:textbox>
              <w:txbxContent>
                <w:p w14:paraId="127FB750" w14:textId="77777777" w:rsidR="00C03580" w:rsidRPr="005005C9" w:rsidRDefault="00C03580" w:rsidP="00C03580">
                  <w:pPr>
                    <w:rPr>
                      <w:lang w:val="en-US"/>
                    </w:rPr>
                  </w:pPr>
                  <w:r>
                    <w:rPr>
                      <w:lang w:val="en-US"/>
                    </w:rPr>
                    <w:t>IE</w:t>
                  </w:r>
                </w:p>
              </w:txbxContent>
            </v:textbox>
          </v:shape>
        </w:pict>
      </w:r>
      <w:r>
        <w:rPr>
          <w:noProof/>
          <w:color w:val="000000" w:themeColor="text1"/>
          <w:lang w:val="en-US"/>
        </w:rPr>
        <w:pict w14:anchorId="4CEA2692">
          <v:shape id="_x0000_s1058" type="#_x0000_t202" alt="" style="position:absolute;margin-left:345.7pt;margin-top:237.2pt;width:28.1pt;height:21.25pt;z-index:251697152;visibility:visible;mso-wrap-style:square;mso-wrap-edited:f;mso-width-percent:0;mso-height-percent:0;mso-width-percent:0;mso-height-percent:0;mso-width-relative:margin;mso-height-relative:margin;v-text-anchor:top" filled="f" stroked="f" strokeweight=".5pt">
            <v:textbox>
              <w:txbxContent>
                <w:p w14:paraId="75A10A0E" w14:textId="77777777" w:rsidR="00C03580" w:rsidRPr="005005C9" w:rsidRDefault="00C03580" w:rsidP="00C03580">
                  <w:pPr>
                    <w:rPr>
                      <w:lang w:val="en-US"/>
                    </w:rPr>
                  </w:pPr>
                  <w:r>
                    <w:rPr>
                      <w:lang w:val="en-US"/>
                    </w:rPr>
                    <w:t>IE</w:t>
                  </w:r>
                </w:p>
              </w:txbxContent>
            </v:textbox>
          </v:shape>
        </w:pict>
      </w:r>
      <w:r>
        <w:rPr>
          <w:noProof/>
          <w:color w:val="000000" w:themeColor="text1"/>
          <w:lang w:val="en-US"/>
        </w:rPr>
        <w:pict w14:anchorId="4DD68116">
          <v:shape id="Straight Arrow Connector 23" o:spid="_x0000_s1057" type="#_x0000_t32" alt="" style="position:absolute;margin-left:166.55pt;margin-top:408.6pt;width:38.8pt;height:54.45pt;flip:y;z-index:251696128;visibility:visible;mso-wrap-edited:f;mso-width-percent:0;mso-height-percent:0;mso-width-percent:0;mso-height-percent:0" strokecolor="black [3213]">
            <v:stroke startarrow="block" endarrow="block" joinstyle="miter"/>
          </v:shape>
        </w:pict>
      </w:r>
      <w:r>
        <w:rPr>
          <w:noProof/>
          <w:color w:val="000000" w:themeColor="text1"/>
          <w:lang w:val="en-US"/>
        </w:rPr>
        <w:pict w14:anchorId="3922FEDC">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56" type="#_x0000_t38" alt="" style="position:absolute;margin-left:53.3pt;margin-top:370.6pt;width:26.8pt;height:24.7pt;z-index:251695104;visibility:visible;mso-wrap-edited:f;mso-width-percent:0;mso-height-percent:0;mso-width-percent:0;mso-height-percent:0;mso-width-relative:margin;mso-height-relative:margin" adj="8782" strokecolor="black [3200]">
            <v:stroke startarrow="block" endarrow="block" joinstyle="miter"/>
          </v:shape>
        </w:pict>
      </w:r>
      <w:r>
        <w:rPr>
          <w:noProof/>
          <w:color w:val="000000" w:themeColor="text1"/>
          <w:lang w:val="en-US"/>
        </w:rPr>
        <w:pict w14:anchorId="0E981DE9">
          <v:shape id="_x0000_s1055" type="#_x0000_t38" alt="" style="position:absolute;margin-left:106.55pt;margin-top:443.35pt;width:26.8pt;height:24.7pt;z-index:251694080;visibility:visible;mso-wrap-edited:f;mso-width-percent:0;mso-height-percent:0;mso-width-percent:0;mso-height-percent:0;mso-width-relative:margin;mso-height-relative:margin" adj="10800" strokecolor="black [3200]">
            <v:stroke startarrow="block" endarrow="block" joinstyle="miter"/>
          </v:shape>
        </w:pict>
      </w:r>
      <w:r>
        <w:rPr>
          <w:noProof/>
          <w:color w:val="000000" w:themeColor="text1"/>
          <w:lang w:val="en-US"/>
        </w:rPr>
        <w:pict w14:anchorId="7CC01AE7">
          <v:shape id="_x0000_s1054" type="#_x0000_t38" alt="" style="position:absolute;margin-left:247.95pt;margin-top:414.95pt;width:52.9pt;height:10.75pt;flip:y;z-index:251693056;visibility:visible;mso-wrap-edited:f;mso-width-percent:0;mso-height-percent:0;mso-width-percent:0;mso-height-percent:0;mso-width-relative:margin;mso-height-relative:margin" adj="10800" strokecolor="black [3200]">
            <v:stroke startarrow="block" endarrow="block" joinstyle="miter"/>
          </v:shape>
        </w:pict>
      </w:r>
      <w:r>
        <w:rPr>
          <w:noProof/>
          <w:color w:val="000000" w:themeColor="text1"/>
          <w:lang w:val="en-US"/>
        </w:rPr>
        <w:pict w14:anchorId="70D51703">
          <v:oval id="_x0000_s1053" alt="" style="position:absolute;margin-left:66.6pt;margin-top:380.5pt;width:46.4pt;height:85.4pt;rotation:1798426fd;z-index:251692032;visibility:visible;mso-wrap-edited:f;mso-width-percent:0;mso-height-percent:0;mso-width-percent:0;mso-height-percent:0;mso-width-relative:margin;mso-height-relative:margin;v-text-anchor:middle" fillcolor="#fff2cc [663]" strokecolor="#09101d [484]" strokeweight="1pt">
            <v:fill opacity="21588f"/>
            <v:stroke dashstyle="1 1" joinstyle="miter"/>
          </v:oval>
        </w:pict>
      </w:r>
      <w:r>
        <w:rPr>
          <w:noProof/>
          <w:color w:val="000000" w:themeColor="text1"/>
          <w:lang w:val="en-US"/>
        </w:rPr>
        <w:pict w14:anchorId="39E0BB1C">
          <v:shape id="Curved Connector 22" o:spid="_x0000_s1052" type="#_x0000_t38" alt="" style="position:absolute;margin-left:388.75pt;margin-top:425.5pt;width:50.75pt;height:15.05pt;z-index:251691008;visibility:visible;mso-wrap-edited:f;mso-width-percent:0;mso-height-percent:0;mso-width-percent:0;mso-height-percent:0" adj="10800" strokecolor="black [3200]">
            <v:stroke startarrow="block" endarrow="block" joinstyle="miter"/>
          </v:shape>
        </w:pict>
      </w:r>
      <w:r>
        <w:rPr>
          <w:noProof/>
          <w:color w:val="000000" w:themeColor="text1"/>
          <w:lang w:val="en-US"/>
        </w:rPr>
        <w:pict w14:anchorId="7D770619">
          <v:shape id="_x0000_s1051" type="#_x0000_t202" alt="" style="position:absolute;margin-left:262.6pt;margin-top:383.85pt;width:35.95pt;height:21.2pt;rotation:20909659fd;z-index:251689984;visibility:visible;mso-wrap-style:square;mso-wrap-edited:f;mso-width-percent:0;mso-height-percent:0;mso-width-percent:0;mso-height-percent:0;mso-width-relative:margin;mso-height-relative:margin;v-text-anchor:top" filled="f" stroked="f" strokeweight=".5pt">
            <v:textbox>
              <w:txbxContent>
                <w:p w14:paraId="5F48A3CE" w14:textId="77777777" w:rsidR="00C03580" w:rsidRPr="005005C9" w:rsidRDefault="00C03580" w:rsidP="00C03580">
                  <w:pPr>
                    <w:rPr>
                      <w:lang w:val="en-US"/>
                    </w:rPr>
                  </w:pPr>
                  <w:r>
                    <w:rPr>
                      <w:lang w:val="en-US"/>
                    </w:rPr>
                    <w:t>DBL</w:t>
                  </w:r>
                </w:p>
              </w:txbxContent>
            </v:textbox>
          </v:shape>
        </w:pict>
      </w:r>
      <w:r>
        <w:rPr>
          <w:noProof/>
          <w:color w:val="000000" w:themeColor="text1"/>
          <w:lang w:val="en-US"/>
        </w:rPr>
        <w:pict w14:anchorId="5A31E09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1" o:spid="_x0000_s1050" type="#_x0000_t7" alt="" style="position:absolute;margin-left:228.4pt;margin-top:365.55pt;width:77.6pt;height:26.2pt;rotation:3006247fd;z-index:251688960;visibility:visible;mso-wrap-edited:f;mso-width-percent:0;mso-height-percent:0;mso-width-percent:0;mso-height-percent:0;mso-width-relative:margin;mso-height-relative:margin;v-text-anchor:middle" fillcolor="#fff2cc [663]" strokecolor="#09101d [484]" strokeweight="1pt">
            <v:fill opacity="22873f"/>
          </v:shape>
        </w:pict>
      </w:r>
      <w:r>
        <w:rPr>
          <w:noProof/>
          <w:color w:val="000000" w:themeColor="text1"/>
          <w:lang w:val="en-US"/>
        </w:rPr>
        <w:pict w14:anchorId="46831132">
          <v:oval id="_x0000_s1049" alt="" style="position:absolute;margin-left:295.5pt;margin-top:395.45pt;width:93.25pt;height:77.6pt;z-index:251687936;visibility:visible;mso-wrap-edited:f;mso-width-percent:0;mso-height-percent:0;mso-width-percent:0;mso-height-percent:0;mso-width-relative:margin;mso-height-relative:margin;v-text-anchor:middle" fillcolor="#fff2cc [663]" strokecolor="#09101d [484]" strokeweight="1pt">
            <v:fill opacity="21588f"/>
            <v:stroke dashstyle="1 1" joinstyle="miter"/>
          </v:oval>
        </w:pict>
      </w:r>
      <w:r>
        <w:rPr>
          <w:noProof/>
          <w:color w:val="000000" w:themeColor="text1"/>
          <w:lang w:val="en-US"/>
        </w:rPr>
        <w:pict w14:anchorId="2D379869">
          <v:shape id="_x0000_s1048" type="#_x0000_t202" alt="" style="position:absolute;margin-left:233.5pt;margin-top:241.5pt;width:28.1pt;height:21.25pt;z-index:251685888;visibility:visible;mso-wrap-style:square;mso-wrap-edited:f;mso-width-percent:0;mso-height-percent:0;mso-width-percent:0;mso-height-percent:0;mso-width-relative:margin;mso-height-relative:margin;v-text-anchor:top" filled="f" stroked="f" strokeweight=".5pt">
            <v:textbox>
              <w:txbxContent>
                <w:p w14:paraId="049DB2B0" w14:textId="77777777" w:rsidR="00C03580" w:rsidRPr="005005C9" w:rsidRDefault="00C03580" w:rsidP="00C03580">
                  <w:pPr>
                    <w:rPr>
                      <w:lang w:val="en-US"/>
                    </w:rPr>
                  </w:pPr>
                  <w:r>
                    <w:rPr>
                      <w:lang w:val="en-US"/>
                    </w:rPr>
                    <w:t>BL</w:t>
                  </w:r>
                </w:p>
              </w:txbxContent>
            </v:textbox>
          </v:shape>
        </w:pict>
      </w:r>
      <w:r>
        <w:rPr>
          <w:noProof/>
          <w:color w:val="000000" w:themeColor="text1"/>
          <w:lang w:val="en-US"/>
        </w:rPr>
        <w:pict w14:anchorId="48DEC78A">
          <v:shape id="_x0000_s1047" type="#_x0000_t32" alt="" style="position:absolute;margin-left:248.55pt;margin-top:258.3pt;width:23.8pt;height:39.9pt;z-index:251684864;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2599D958">
          <v:shape id="_x0000_s1046" type="#_x0000_t202" alt="" style="position:absolute;margin-left:167.25pt;margin-top:292.7pt;width:28.1pt;height:21.25pt;z-index:251683840;visibility:visible;mso-wrap-style:square;mso-wrap-edited:f;mso-width-percent:0;mso-height-percent:0;mso-width-percent:0;mso-height-percent:0;mso-width-relative:margin;mso-height-relative:margin;v-text-anchor:top" filled="f" stroked="f" strokeweight=".5pt">
            <v:textbox>
              <w:txbxContent>
                <w:p w14:paraId="1F194BA7" w14:textId="77777777" w:rsidR="00C03580" w:rsidRPr="005005C9" w:rsidRDefault="00C03580" w:rsidP="00C03580">
                  <w:pPr>
                    <w:rPr>
                      <w:lang w:val="en-US"/>
                    </w:rPr>
                  </w:pPr>
                  <w:r>
                    <w:rPr>
                      <w:lang w:val="en-US"/>
                    </w:rPr>
                    <w:t>LC</w:t>
                  </w:r>
                </w:p>
              </w:txbxContent>
            </v:textbox>
          </v:shape>
        </w:pict>
      </w:r>
      <w:r>
        <w:rPr>
          <w:noProof/>
          <w:color w:val="000000" w:themeColor="text1"/>
          <w:lang w:val="en-US"/>
        </w:rPr>
        <w:pict w14:anchorId="1A33C124">
          <v:shape id="_x0000_s1045" type="#_x0000_t32" alt="" style="position:absolute;margin-left:140pt;margin-top:149.4pt;width:10.65pt;height:4.55pt;flip:x;z-index:251682816;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4E853015">
          <v:shape id="_x0000_s1044" type="#_x0000_t202" alt="" style="position:absolute;margin-left:52.05pt;margin-top:189.55pt;width:28.1pt;height:21.25pt;z-index:251681792;visibility:visible;mso-wrap-style:square;mso-wrap-edited:f;mso-width-percent:0;mso-height-percent:0;mso-width-percent:0;mso-height-percent:0;mso-width-relative:margin;mso-height-relative:margin;v-text-anchor:top" filled="f" stroked="f" strokeweight=".5pt">
            <v:textbox>
              <w:txbxContent>
                <w:p w14:paraId="214E17A2" w14:textId="77777777" w:rsidR="00C03580" w:rsidRPr="005005C9" w:rsidRDefault="00C03580" w:rsidP="00C03580">
                  <w:pPr>
                    <w:rPr>
                      <w:lang w:val="en-US"/>
                    </w:rPr>
                  </w:pPr>
                  <w:r>
                    <w:rPr>
                      <w:lang w:val="en-US"/>
                    </w:rPr>
                    <w:t>BL</w:t>
                  </w:r>
                </w:p>
              </w:txbxContent>
            </v:textbox>
          </v:shape>
        </w:pict>
      </w:r>
      <w:r>
        <w:rPr>
          <w:noProof/>
          <w:color w:val="000000" w:themeColor="text1"/>
          <w:lang w:val="en-US"/>
        </w:rPr>
        <w:pict w14:anchorId="669283B2">
          <v:shape id="_x0000_s1043" type="#_x0000_t32" alt="" style="position:absolute;margin-left:72.65pt;margin-top:206.35pt;width:11.4pt;height:7.65pt;z-index:251680768;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1DD33D5A">
          <v:shape id="_x0000_s1042" type="#_x0000_t32" alt="" style="position:absolute;margin-left:111.45pt;margin-top:267.2pt;width:11.9pt;height:12.4pt;flip:x y;z-index:251679744;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4BE55892">
          <v:shape id="_x0000_s1041" type="#_x0000_t32" alt="" style="position:absolute;margin-left:33.2pt;margin-top:292.1pt;width:18.7pt;height:6.3pt;flip:y;z-index:251678720;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3883BFB1">
          <v:shape id="_x0000_s1040" type="#_x0000_t32" alt="" style="position:absolute;margin-left:189.85pt;margin-top:6.85pt;width:20.5pt;height:3.6pt;flip:y;z-index:251677696;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315DBD4C">
          <v:shape id="_x0000_s1039" type="#_x0000_t32" alt="" style="position:absolute;margin-left:150.65pt;margin-top:35.75pt;width:8.6pt;height:6.3pt;flip:x y;z-index:251675648;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7433D7D6">
          <v:shape id="_x0000_s1038" type="#_x0000_t202" alt="" style="position:absolute;margin-left:140.4pt;margin-top:137.15pt;width:28.1pt;height:21.25pt;z-index:251674624;visibility:visible;mso-wrap-style:square;mso-wrap-edited:f;mso-width-percent:0;mso-height-percent:0;mso-width-percent:0;mso-height-percent:0;mso-width-relative:margin;mso-height-relative:margin;v-text-anchor:top" filled="f" stroked="f" strokeweight=".5pt">
            <v:textbox>
              <w:txbxContent>
                <w:p w14:paraId="6C15EBEE" w14:textId="77777777" w:rsidR="00C03580" w:rsidRPr="005005C9" w:rsidRDefault="00C03580" w:rsidP="00C03580">
                  <w:pPr>
                    <w:rPr>
                      <w:lang w:val="en-US"/>
                    </w:rPr>
                  </w:pPr>
                  <w:r>
                    <w:rPr>
                      <w:lang w:val="en-US"/>
                    </w:rPr>
                    <w:t>LC</w:t>
                  </w:r>
                </w:p>
              </w:txbxContent>
            </v:textbox>
          </v:shape>
        </w:pict>
      </w:r>
      <w:r>
        <w:rPr>
          <w:noProof/>
          <w:color w:val="000000" w:themeColor="text1"/>
          <w:lang w:val="en-US"/>
        </w:rPr>
        <w:pict w14:anchorId="03EC14AC">
          <v:shape id="_x0000_s1037" type="#_x0000_t202" alt="" style="position:absolute;margin-left:152.9pt;margin-top:35.95pt;width:34.2pt;height:21.25pt;z-index:251673600;visibility:visible;mso-wrap-style:square;mso-wrap-edited:f;mso-width-percent:0;mso-height-percent:0;mso-width-percent:0;mso-height-percent:0;mso-width-relative:margin;mso-height-relative:margin;v-text-anchor:top" filled="f" stroked="f" strokeweight=".5pt">
            <v:textbox>
              <w:txbxContent>
                <w:p w14:paraId="12C512F6" w14:textId="77777777" w:rsidR="00C03580" w:rsidRPr="005005C9" w:rsidRDefault="00C03580" w:rsidP="00C03580">
                  <w:pPr>
                    <w:rPr>
                      <w:lang w:val="en-US"/>
                    </w:rPr>
                  </w:pPr>
                  <w:r>
                    <w:rPr>
                      <w:lang w:val="en-US"/>
                    </w:rPr>
                    <w:t>MC</w:t>
                  </w:r>
                </w:p>
              </w:txbxContent>
            </v:textbox>
          </v:shape>
        </w:pict>
      </w:r>
      <w:r>
        <w:rPr>
          <w:noProof/>
          <w:color w:val="000000" w:themeColor="text1"/>
          <w:lang w:val="en-US"/>
        </w:rPr>
        <w:pict w14:anchorId="12E1BB91">
          <v:shape id="_x0000_s1036" type="#_x0000_t32" alt="" style="position:absolute;margin-left:175.45pt;margin-top:50.75pt;width:13.3pt;height:3.6pt;z-index:251672576;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78E55C2D">
          <v:shape id="_x0000_s1035" type="#_x0000_t32" alt="" style="position:absolute;margin-left:192.95pt;margin-top:91.55pt;width:17.35pt;height:10.85pt;flip:x;z-index:251667456;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120E1486">
          <v:shape id="_x0000_s1034" type="#_x0000_t202" alt="" style="position:absolute;margin-left:205.15pt;margin-top:75.05pt;width:28.1pt;height:21.25pt;z-index:251668480;visibility:visible;mso-wrap-style:square;mso-wrap-edited:f;mso-width-percent:0;mso-height-percent:0;mso-width-percent:0;mso-height-percent:0;mso-width-relative:margin;mso-height-relative:margin;v-text-anchor:top" filled="f" stroked="f" strokeweight=".5pt">
            <v:textbox>
              <w:txbxContent>
                <w:p w14:paraId="046D95C9" w14:textId="77777777" w:rsidR="00C03580" w:rsidRPr="005005C9" w:rsidRDefault="00C03580" w:rsidP="00C03580">
                  <w:pPr>
                    <w:rPr>
                      <w:lang w:val="en-US"/>
                    </w:rPr>
                  </w:pPr>
                  <w:r>
                    <w:rPr>
                      <w:lang w:val="en-US"/>
                    </w:rPr>
                    <w:t>S</w:t>
                  </w:r>
                </w:p>
              </w:txbxContent>
            </v:textbox>
          </v:shape>
        </w:pict>
      </w:r>
      <w:r>
        <w:rPr>
          <w:noProof/>
          <w:color w:val="000000" w:themeColor="text1"/>
          <w:lang w:val="en-US"/>
        </w:rPr>
        <w:pict w14:anchorId="41361AFE">
          <v:shape id="Straight Arrow Connector 2" o:spid="_x0000_s1033" type="#_x0000_t32" alt="" style="position:absolute;margin-left:194.95pt;margin-top:20.5pt;width:15.45pt;height:5.75pt;flip:y;z-index:251661312;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53B65298">
          <v:shape id="_x0000_s1032" type="#_x0000_t202" alt="" style="position:absolute;margin-left:171.2pt;margin-top:14.2pt;width:28.1pt;height:21.25pt;z-index:251660288;visibility:visible;mso-wrap-style:square;mso-wrap-edited:f;mso-width-percent:0;mso-height-percent:0;mso-width-percent:0;mso-height-percent:0;mso-width-relative:margin;mso-height-relative:margin;v-text-anchor:top" filled="f" stroked="f" strokeweight=".5pt">
            <v:textbox>
              <w:txbxContent>
                <w:p w14:paraId="61B6F75E" w14:textId="77777777" w:rsidR="00C03580" w:rsidRPr="005005C9" w:rsidRDefault="00C03580" w:rsidP="00C03580">
                  <w:pPr>
                    <w:rPr>
                      <w:lang w:val="en-US"/>
                    </w:rPr>
                  </w:pPr>
                  <w:r>
                    <w:rPr>
                      <w:lang w:val="en-US"/>
                    </w:rPr>
                    <w:t>SG</w:t>
                  </w:r>
                </w:p>
              </w:txbxContent>
            </v:textbox>
          </v:shape>
        </w:pict>
      </w:r>
      <w:r>
        <w:rPr>
          <w:noProof/>
          <w:color w:val="000000" w:themeColor="text1"/>
          <w:lang w:val="en-US"/>
        </w:rPr>
        <w:pict w14:anchorId="148B86A2">
          <v:shape id="_x0000_s1031" type="#_x0000_t32" alt="" style="position:absolute;margin-left:195.05pt;margin-top:91.7pt;width:15.35pt;height:3.6pt;flip:x;z-index:251666432;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47B8C087">
          <v:shape id="_x0000_s1030" type="#_x0000_t32" alt="" style="position:absolute;margin-left:173.45pt;margin-top:64.9pt;width:16.4pt;height:9.45pt;z-index:251665408;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15BEE66B">
          <v:shape id="_x0000_s1029" type="#_x0000_t32" alt="" style="position:absolute;margin-left:168.45pt;margin-top:70.75pt;width:8.9pt;height:16.9pt;z-index:251664384;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579A5583">
          <v:shape id="_x0000_s1028" type="#_x0000_t202" alt="" style="position:absolute;margin-left:152.9pt;margin-top:53.2pt;width:28.1pt;height:21.25pt;z-index:251663360;visibility:visible;mso-wrap-style:square;mso-wrap-edited:f;mso-width-percent:0;mso-height-percent:0;mso-width-percent:0;mso-height-percent:0;mso-width-relative:margin;mso-height-relative:margin;v-text-anchor:top" filled="f" stroked="f" strokeweight=".5pt">
            <v:textbox>
              <w:txbxContent>
                <w:p w14:paraId="0A52F3C2" w14:textId="77777777" w:rsidR="00C03580" w:rsidRPr="005005C9" w:rsidRDefault="00C03580" w:rsidP="00C03580">
                  <w:pPr>
                    <w:rPr>
                      <w:lang w:val="en-US"/>
                    </w:rPr>
                  </w:pPr>
                  <w:r>
                    <w:rPr>
                      <w:lang w:val="en-US"/>
                    </w:rPr>
                    <w:t>SC</w:t>
                  </w:r>
                </w:p>
              </w:txbxContent>
            </v:textbox>
          </v:shape>
        </w:pict>
      </w:r>
      <w:r>
        <w:rPr>
          <w:noProof/>
          <w:color w:val="000000" w:themeColor="text1"/>
          <w:lang w:val="en-US"/>
        </w:rPr>
        <w:pict w14:anchorId="56CF56BC">
          <v:shape id="_x0000_s1027" type="#_x0000_t32" alt="" style="position:absolute;margin-left:189.8pt;margin-top:31.75pt;width:13.3pt;height:3.6pt;z-index:251662336;visibility:visible;mso-wrap-edited:f;mso-width-percent:0;mso-height-percent:0;mso-width-percent:0;mso-height-percent:0;mso-width-relative:margin;mso-height-relative:margin" strokecolor="black [3200]" strokeweight=".5pt">
            <v:stroke endarrow="block" joinstyle="miter"/>
          </v:shape>
        </w:pict>
      </w:r>
      <w:r>
        <w:rPr>
          <w:noProof/>
          <w:color w:val="000000" w:themeColor="text1"/>
          <w:lang w:val="en-US"/>
        </w:rPr>
        <w:pict w14:anchorId="6B3F4376">
          <v:shape id="_x0000_s1026" type="#_x0000_t202" alt="" style="position:absolute;margin-left:253.2pt;margin-top:58.55pt;width:19.5pt;height:21.25pt;z-index:251659264;visibility:visible;mso-wrap-style:square;mso-wrap-edited:f;mso-width-percent:0;mso-height-percent:0;mso-width-percent:0;mso-height-percent:0;mso-width-relative:margin;mso-height-relative:margin;v-text-anchor:top" filled="f" stroked="f" strokeweight=".5pt">
            <v:textbox>
              <w:txbxContent>
                <w:p w14:paraId="512109F3" w14:textId="77777777" w:rsidR="00C03580" w:rsidRPr="005005C9" w:rsidRDefault="00C03580" w:rsidP="00C03580">
                  <w:pPr>
                    <w:rPr>
                      <w:lang w:val="en-US"/>
                    </w:rPr>
                  </w:pPr>
                  <w:r>
                    <w:rPr>
                      <w:lang w:val="en-US"/>
                    </w:rPr>
                    <w:t>L</w:t>
                  </w:r>
                </w:p>
              </w:txbxContent>
            </v:textbox>
          </v:shape>
        </w:pict>
      </w:r>
      <w:r w:rsidR="00C03580" w:rsidRPr="005C1BB0">
        <w:rPr>
          <w:noProof/>
          <w:color w:val="000000" w:themeColor="text1"/>
          <w:lang w:val="en-US"/>
        </w:rPr>
        <w:drawing>
          <wp:inline distT="0" distB="0" distL="0" distR="0" wp14:anchorId="750BE58C" wp14:editId="64722A69">
            <wp:extent cx="5731510" cy="6482080"/>
            <wp:effectExtent l="0" t="0" r="0" b="0"/>
            <wp:docPr id="26649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95319" name="Picture 2664953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6482080"/>
                    </a:xfrm>
                    <a:prstGeom prst="rect">
                      <a:avLst/>
                    </a:prstGeom>
                  </pic:spPr>
                </pic:pic>
              </a:graphicData>
            </a:graphic>
          </wp:inline>
        </w:drawing>
      </w:r>
    </w:p>
    <w:p w14:paraId="74A85D00" w14:textId="77777777" w:rsidR="00C03580" w:rsidRPr="005C1BB0" w:rsidRDefault="00C03580" w:rsidP="00C03580">
      <w:pPr>
        <w:rPr>
          <w:color w:val="000000" w:themeColor="text1"/>
          <w:lang w:val="en-US"/>
        </w:rPr>
      </w:pPr>
    </w:p>
    <w:p w14:paraId="7A04CD3F"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 xml:space="preserve">Figure 5: A. Group I showed oval shaped seminiferous tubules (ST) filled with newly formed sperms. Lumen (L) was tightly packed with newly formed sperms. Epithelium was intact containing Sertoli cells (SC) and the Basal lamina was thick showing close association with spermatogonia (SG) and spermatocytes (S). Likewise close association between spermatocytes and spermatids were evident in control. B. While proper continuation of spermatogenic evident was apparent in the ST of Group II, it appeared that L was </w:t>
      </w:r>
      <w:r w:rsidRPr="005C1BB0">
        <w:rPr>
          <w:rFonts w:ascii="Times New Roman" w:hAnsi="Times New Roman" w:cs="Times New Roman"/>
          <w:color w:val="000000" w:themeColor="text1"/>
          <w:lang w:val="en-US"/>
        </w:rPr>
        <w:lastRenderedPageBreak/>
        <w:t xml:space="preserve">comparatively less filled with sperm than control. Basal membrane was thick and closely associated with SC. Leydig cells (LC) remained normal. C. Group III indicated significant reduction in sperms with irregular epithelium (IE) of lumen. The spermatogenic events were substantially briefed (shown with double sided arrow). Besides basal lamina (BL), interstitial space (IS) and epithelial layer appeared was normal. D. Irregular epithelium was more severe in Group IV, sperms in the lumen of seminiferous tubules were substantially low. Appearances of pyknotic spermatogonial cells was found. Although basal layer and interstitial space remained normal and comparable to control. Spermatogenic events were irregular and loosely associated. E. Similar results were apparent in Group V with slightly higher impact. Lumen was only partially filled with sperm. Although spermatogenic progress was evident it was highly disoriented. Exclusive disorientation of basal lamina was sighted comparatively higher than low dose test groups. </w:t>
      </w:r>
    </w:p>
    <w:p w14:paraId="2542DAA8" w14:textId="77777777" w:rsidR="00C03580" w:rsidRPr="005C1BB0" w:rsidRDefault="00C03580" w:rsidP="00C03580">
      <w:pPr>
        <w:rPr>
          <w:color w:val="000000" w:themeColor="text1"/>
          <w:lang w:val="en-US"/>
        </w:rPr>
      </w:pPr>
    </w:p>
    <w:p w14:paraId="10CB20BF"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5BB3FE53" w14:textId="77777777" w:rsidR="00C03580" w:rsidRPr="005C1BB0" w:rsidRDefault="00C03580" w:rsidP="00C03580">
      <w:pPr>
        <w:rPr>
          <w:color w:val="000000" w:themeColor="text1"/>
          <w:lang w:val="en-US"/>
        </w:rPr>
      </w:pPr>
      <w:r w:rsidRPr="005C1BB0">
        <w:rPr>
          <w:noProof/>
          <w:color w:val="000000" w:themeColor="text1"/>
          <w:lang w:val="en-US"/>
        </w:rPr>
        <w:lastRenderedPageBreak/>
        <w:drawing>
          <wp:inline distT="0" distB="0" distL="0" distR="0" wp14:anchorId="0AD1F668" wp14:editId="33E6BBB7">
            <wp:extent cx="4572000" cy="2743200"/>
            <wp:effectExtent l="0" t="0" r="0" b="0"/>
            <wp:docPr id="454618432" name="Chart 1">
              <a:extLst xmlns:a="http://schemas.openxmlformats.org/drawingml/2006/main">
                <a:ext uri="{FF2B5EF4-FFF2-40B4-BE49-F238E27FC236}">
                  <a16:creationId xmlns:a16="http://schemas.microsoft.com/office/drawing/2014/main" id="{B573556F-B8A6-7C7D-7A50-69FA0985A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30A62C"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35BC1D58" wp14:editId="0CBE85D9">
            <wp:extent cx="4572000" cy="2743200"/>
            <wp:effectExtent l="0" t="0" r="0" b="0"/>
            <wp:docPr id="1975297706" name="Chart 1">
              <a:extLst xmlns:a="http://schemas.openxmlformats.org/drawingml/2006/main">
                <a:ext uri="{FF2B5EF4-FFF2-40B4-BE49-F238E27FC236}">
                  <a16:creationId xmlns:a16="http://schemas.microsoft.com/office/drawing/2014/main" id="{0EE5DE3A-9BA7-AEFF-E1FF-32F1F9428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63AEAB"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 xml:space="preserve">Figure 6: Level of A. GSH and activity of B. </w:t>
      </w:r>
      <w:proofErr w:type="spellStart"/>
      <w:r w:rsidRPr="005C1BB0">
        <w:rPr>
          <w:rFonts w:ascii="Times New Roman" w:hAnsi="Times New Roman" w:cs="Times New Roman"/>
          <w:color w:val="000000" w:themeColor="text1"/>
          <w:lang w:val="en-US"/>
        </w:rPr>
        <w:t>GPx</w:t>
      </w:r>
      <w:proofErr w:type="spellEnd"/>
      <w:r w:rsidRPr="005C1BB0">
        <w:rPr>
          <w:rFonts w:ascii="Times New Roman" w:hAnsi="Times New Roman" w:cs="Times New Roman"/>
          <w:color w:val="000000" w:themeColor="text1"/>
          <w:lang w:val="en-US"/>
        </w:rPr>
        <w:t xml:space="preserve"> in the testicular tissue following administration of PS-MPs in comparison with control (Group I). Level of significance was compared against control. *P&lt;0.05, **P&lt;0.01, and ***P&lt;0.001.</w:t>
      </w:r>
    </w:p>
    <w:p w14:paraId="373090F1" w14:textId="77777777" w:rsidR="00C03580" w:rsidRPr="005C1BB0" w:rsidRDefault="00C03580" w:rsidP="00C03580">
      <w:pPr>
        <w:rPr>
          <w:color w:val="000000" w:themeColor="text1"/>
          <w:lang w:val="en-US"/>
        </w:rPr>
      </w:pPr>
    </w:p>
    <w:p w14:paraId="5D353794"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5DA21449" w14:textId="77777777" w:rsidR="00C03580" w:rsidRPr="005C1BB0" w:rsidRDefault="00C03580" w:rsidP="00C03580">
      <w:pPr>
        <w:rPr>
          <w:color w:val="000000" w:themeColor="text1"/>
          <w:lang w:val="en-US"/>
        </w:rPr>
      </w:pPr>
      <w:r w:rsidRPr="005C1BB0">
        <w:rPr>
          <w:noProof/>
          <w:color w:val="000000" w:themeColor="text1"/>
          <w:lang w:val="en-US"/>
        </w:rPr>
        <w:lastRenderedPageBreak/>
        <w:drawing>
          <wp:inline distT="0" distB="0" distL="0" distR="0" wp14:anchorId="04219740" wp14:editId="17B41552">
            <wp:extent cx="4572000" cy="2743200"/>
            <wp:effectExtent l="0" t="0" r="0" b="0"/>
            <wp:docPr id="402884323" name="Chart 1">
              <a:extLst xmlns:a="http://schemas.openxmlformats.org/drawingml/2006/main">
                <a:ext uri="{FF2B5EF4-FFF2-40B4-BE49-F238E27FC236}">
                  <a16:creationId xmlns:a16="http://schemas.microsoft.com/office/drawing/2014/main" id="{03B4F852-E4DE-3EE0-30F9-1D9C0EDF4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F12776"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72A29E90" wp14:editId="63A9E7DB">
            <wp:extent cx="4572000" cy="2743200"/>
            <wp:effectExtent l="0" t="0" r="0" b="0"/>
            <wp:docPr id="1825739151" name="Chart 1">
              <a:extLst xmlns:a="http://schemas.openxmlformats.org/drawingml/2006/main">
                <a:ext uri="{FF2B5EF4-FFF2-40B4-BE49-F238E27FC236}">
                  <a16:creationId xmlns:a16="http://schemas.microsoft.com/office/drawing/2014/main" id="{D5352B21-7870-C3B3-CE85-DEE391EA1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83A5C6"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Figure 7: Activities of A. SOD and B. CAT in the testicular tissue following administration of PS-MPs in comparison with control (Group I). Level of significance was compared against control. *P&lt;0.05, **P&lt;0.01, and ***P&lt;0.001.</w:t>
      </w:r>
    </w:p>
    <w:p w14:paraId="307B507B" w14:textId="77777777" w:rsidR="00C03580" w:rsidRPr="005C1BB0" w:rsidRDefault="00C03580" w:rsidP="00C03580">
      <w:pPr>
        <w:rPr>
          <w:color w:val="000000" w:themeColor="text1"/>
          <w:lang w:val="en-US"/>
        </w:rPr>
      </w:pPr>
    </w:p>
    <w:p w14:paraId="05CB5754" w14:textId="77777777" w:rsidR="00F21959" w:rsidRPr="005C1BB0" w:rsidRDefault="00F21959" w:rsidP="00C03580">
      <w:pPr>
        <w:spacing w:before="120" w:after="120" w:line="480" w:lineRule="auto"/>
        <w:jc w:val="both"/>
        <w:rPr>
          <w:rFonts w:ascii="Times New Roman" w:hAnsi="Times New Roman" w:cs="Times New Roman"/>
          <w:color w:val="000000" w:themeColor="text1"/>
          <w:lang w:val="en-GB"/>
        </w:rPr>
      </w:pPr>
    </w:p>
    <w:sectPr w:rsidR="00F21959" w:rsidRPr="005C1BB0" w:rsidSect="00C035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D55FF" w14:textId="77777777" w:rsidR="00B85A45" w:rsidRDefault="00B85A45" w:rsidP="00671F75">
      <w:r>
        <w:separator/>
      </w:r>
    </w:p>
  </w:endnote>
  <w:endnote w:type="continuationSeparator" w:id="0">
    <w:p w14:paraId="7AD50869" w14:textId="77777777" w:rsidR="00B85A45" w:rsidRDefault="00B85A45" w:rsidP="00671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11B9D" w14:textId="77777777" w:rsidR="00671F75" w:rsidRDefault="00671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639E0" w14:textId="77777777" w:rsidR="00671F75" w:rsidRDefault="00671F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624D" w14:textId="77777777" w:rsidR="00671F75" w:rsidRDefault="00671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59223" w14:textId="77777777" w:rsidR="00B85A45" w:rsidRDefault="00B85A45" w:rsidP="00671F75">
      <w:r>
        <w:separator/>
      </w:r>
    </w:p>
  </w:footnote>
  <w:footnote w:type="continuationSeparator" w:id="0">
    <w:p w14:paraId="3A153629" w14:textId="77777777" w:rsidR="00B85A45" w:rsidRDefault="00B85A45" w:rsidP="00671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C686F" w14:textId="119C9051" w:rsidR="00671F75" w:rsidRDefault="00B85A45">
    <w:pPr>
      <w:pStyle w:val="Header"/>
    </w:pPr>
    <w:r>
      <w:rPr>
        <w:noProof/>
      </w:rPr>
      <w:pict w14:anchorId="05C27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227797"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2671D" w14:textId="0885601F" w:rsidR="00671F75" w:rsidRDefault="00B85A45">
    <w:pPr>
      <w:pStyle w:val="Header"/>
    </w:pPr>
    <w:r>
      <w:rPr>
        <w:noProof/>
      </w:rPr>
      <w:pict w14:anchorId="5142B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227798"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362D0" w14:textId="3A15A48C" w:rsidR="00671F75" w:rsidRDefault="00B85A45">
    <w:pPr>
      <w:pStyle w:val="Header"/>
    </w:pPr>
    <w:r>
      <w:rPr>
        <w:noProof/>
      </w:rPr>
      <w:pict w14:anchorId="5EDF5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227796"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22885"/>
    <w:multiLevelType w:val="hybridMultilevel"/>
    <w:tmpl w:val="44387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871B2F"/>
    <w:multiLevelType w:val="hybridMultilevel"/>
    <w:tmpl w:val="FB3CD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0791"/>
    <w:rsid w:val="00000CF0"/>
    <w:rsid w:val="0001059B"/>
    <w:rsid w:val="00012D7E"/>
    <w:rsid w:val="00023B3E"/>
    <w:rsid w:val="0003055C"/>
    <w:rsid w:val="00040457"/>
    <w:rsid w:val="00047019"/>
    <w:rsid w:val="000678D8"/>
    <w:rsid w:val="00072AD2"/>
    <w:rsid w:val="00073E5B"/>
    <w:rsid w:val="000A12CE"/>
    <w:rsid w:val="000A21F4"/>
    <w:rsid w:val="000A47BF"/>
    <w:rsid w:val="000D3055"/>
    <w:rsid w:val="000D577A"/>
    <w:rsid w:val="000F06F4"/>
    <w:rsid w:val="000F3F45"/>
    <w:rsid w:val="000F501C"/>
    <w:rsid w:val="0010087C"/>
    <w:rsid w:val="001020B1"/>
    <w:rsid w:val="00142977"/>
    <w:rsid w:val="00160905"/>
    <w:rsid w:val="00186FF7"/>
    <w:rsid w:val="00195E22"/>
    <w:rsid w:val="001C29E4"/>
    <w:rsid w:val="001E1499"/>
    <w:rsid w:val="00225DAF"/>
    <w:rsid w:val="00256165"/>
    <w:rsid w:val="00262B95"/>
    <w:rsid w:val="00272237"/>
    <w:rsid w:val="002840BD"/>
    <w:rsid w:val="00292253"/>
    <w:rsid w:val="002A5E74"/>
    <w:rsid w:val="002C1EAA"/>
    <w:rsid w:val="002C3124"/>
    <w:rsid w:val="002D3081"/>
    <w:rsid w:val="002D4AF9"/>
    <w:rsid w:val="002E055B"/>
    <w:rsid w:val="002E2A08"/>
    <w:rsid w:val="002F75AE"/>
    <w:rsid w:val="00381A62"/>
    <w:rsid w:val="003853CD"/>
    <w:rsid w:val="003C468F"/>
    <w:rsid w:val="003C7B14"/>
    <w:rsid w:val="003D0D77"/>
    <w:rsid w:val="003E4C4D"/>
    <w:rsid w:val="00425AC2"/>
    <w:rsid w:val="004513F1"/>
    <w:rsid w:val="00480B4B"/>
    <w:rsid w:val="004B7CDC"/>
    <w:rsid w:val="004C7866"/>
    <w:rsid w:val="004D49DC"/>
    <w:rsid w:val="004F5B7B"/>
    <w:rsid w:val="005052BF"/>
    <w:rsid w:val="00512A73"/>
    <w:rsid w:val="0053591E"/>
    <w:rsid w:val="0054477F"/>
    <w:rsid w:val="00554923"/>
    <w:rsid w:val="00560613"/>
    <w:rsid w:val="005724B9"/>
    <w:rsid w:val="0057427A"/>
    <w:rsid w:val="005A10DB"/>
    <w:rsid w:val="005C1BB0"/>
    <w:rsid w:val="005E4C37"/>
    <w:rsid w:val="0065507E"/>
    <w:rsid w:val="0066509A"/>
    <w:rsid w:val="006660F2"/>
    <w:rsid w:val="00671F75"/>
    <w:rsid w:val="006728A4"/>
    <w:rsid w:val="00674639"/>
    <w:rsid w:val="00680684"/>
    <w:rsid w:val="0069433B"/>
    <w:rsid w:val="00695B6B"/>
    <w:rsid w:val="006A14C1"/>
    <w:rsid w:val="006B5C75"/>
    <w:rsid w:val="006C156F"/>
    <w:rsid w:val="00702514"/>
    <w:rsid w:val="00702B55"/>
    <w:rsid w:val="00733511"/>
    <w:rsid w:val="0074384D"/>
    <w:rsid w:val="00756005"/>
    <w:rsid w:val="007772CD"/>
    <w:rsid w:val="0079358A"/>
    <w:rsid w:val="007C0D12"/>
    <w:rsid w:val="007C74FF"/>
    <w:rsid w:val="007C7FBC"/>
    <w:rsid w:val="007D7D4B"/>
    <w:rsid w:val="007E492F"/>
    <w:rsid w:val="007F5415"/>
    <w:rsid w:val="007F6FCF"/>
    <w:rsid w:val="007F7F20"/>
    <w:rsid w:val="008417D5"/>
    <w:rsid w:val="008C6174"/>
    <w:rsid w:val="008E698A"/>
    <w:rsid w:val="008E7F08"/>
    <w:rsid w:val="008F08D8"/>
    <w:rsid w:val="00903D56"/>
    <w:rsid w:val="00904A1A"/>
    <w:rsid w:val="00926357"/>
    <w:rsid w:val="009271A4"/>
    <w:rsid w:val="0093646B"/>
    <w:rsid w:val="009738D2"/>
    <w:rsid w:val="00977974"/>
    <w:rsid w:val="00982C99"/>
    <w:rsid w:val="009A4C48"/>
    <w:rsid w:val="009B159C"/>
    <w:rsid w:val="009D69FC"/>
    <w:rsid w:val="009F3FC9"/>
    <w:rsid w:val="00A034F3"/>
    <w:rsid w:val="00A0763C"/>
    <w:rsid w:val="00A07823"/>
    <w:rsid w:val="00A14A0E"/>
    <w:rsid w:val="00A23382"/>
    <w:rsid w:val="00A30D9E"/>
    <w:rsid w:val="00A51DEE"/>
    <w:rsid w:val="00A66779"/>
    <w:rsid w:val="00A816F2"/>
    <w:rsid w:val="00A81FF8"/>
    <w:rsid w:val="00A831E2"/>
    <w:rsid w:val="00A92CED"/>
    <w:rsid w:val="00A9741E"/>
    <w:rsid w:val="00A97DC8"/>
    <w:rsid w:val="00AC6EB6"/>
    <w:rsid w:val="00AD5A01"/>
    <w:rsid w:val="00AE0359"/>
    <w:rsid w:val="00AE205D"/>
    <w:rsid w:val="00AE740E"/>
    <w:rsid w:val="00B0221F"/>
    <w:rsid w:val="00B05239"/>
    <w:rsid w:val="00B13F5E"/>
    <w:rsid w:val="00B20791"/>
    <w:rsid w:val="00B21A41"/>
    <w:rsid w:val="00B37B24"/>
    <w:rsid w:val="00B413FD"/>
    <w:rsid w:val="00B45B68"/>
    <w:rsid w:val="00B60121"/>
    <w:rsid w:val="00B859D2"/>
    <w:rsid w:val="00B85A45"/>
    <w:rsid w:val="00B8747B"/>
    <w:rsid w:val="00BA0D33"/>
    <w:rsid w:val="00BD41D6"/>
    <w:rsid w:val="00BE4300"/>
    <w:rsid w:val="00C03580"/>
    <w:rsid w:val="00C04E38"/>
    <w:rsid w:val="00C20432"/>
    <w:rsid w:val="00C26B3B"/>
    <w:rsid w:val="00C35696"/>
    <w:rsid w:val="00C40453"/>
    <w:rsid w:val="00C43CD7"/>
    <w:rsid w:val="00C544DD"/>
    <w:rsid w:val="00C55DE9"/>
    <w:rsid w:val="00C75A59"/>
    <w:rsid w:val="00C800CC"/>
    <w:rsid w:val="00C80D0E"/>
    <w:rsid w:val="00C97C85"/>
    <w:rsid w:val="00CC5F87"/>
    <w:rsid w:val="00CC74D8"/>
    <w:rsid w:val="00CD3077"/>
    <w:rsid w:val="00CF20A5"/>
    <w:rsid w:val="00CF4701"/>
    <w:rsid w:val="00D35A67"/>
    <w:rsid w:val="00D41521"/>
    <w:rsid w:val="00D45466"/>
    <w:rsid w:val="00D53504"/>
    <w:rsid w:val="00D60976"/>
    <w:rsid w:val="00D739E8"/>
    <w:rsid w:val="00DB578B"/>
    <w:rsid w:val="00DB6CDB"/>
    <w:rsid w:val="00DC0942"/>
    <w:rsid w:val="00DC58DC"/>
    <w:rsid w:val="00DC62A8"/>
    <w:rsid w:val="00DF3037"/>
    <w:rsid w:val="00E1256D"/>
    <w:rsid w:val="00E14056"/>
    <w:rsid w:val="00E24128"/>
    <w:rsid w:val="00E64B3C"/>
    <w:rsid w:val="00E77E6C"/>
    <w:rsid w:val="00E8200E"/>
    <w:rsid w:val="00E917C8"/>
    <w:rsid w:val="00EC4FEA"/>
    <w:rsid w:val="00EE0E75"/>
    <w:rsid w:val="00EF36AD"/>
    <w:rsid w:val="00F02E84"/>
    <w:rsid w:val="00F1107F"/>
    <w:rsid w:val="00F1652C"/>
    <w:rsid w:val="00F21959"/>
    <w:rsid w:val="00F35532"/>
    <w:rsid w:val="00F74392"/>
    <w:rsid w:val="00F74E80"/>
    <w:rsid w:val="00F9713F"/>
    <w:rsid w:val="00FF2228"/>
    <w:rsid w:val="00FF50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7"/>
        <o:r id="V:Rule2" type="connector" idref="#_x0000_s1030"/>
        <o:r id="V:Rule3" type="connector" idref="#_x0000_s1029"/>
        <o:r id="V:Rule4" type="connector" idref="#_x0000_s1036"/>
        <o:r id="V:Rule5" type="connector" idref="#_x0000_s1056"/>
        <o:r id="V:Rule6" type="connector" idref="#_x0000_s1035"/>
        <o:r id="V:Rule7" type="connector" idref="#Straight Arrow Connector 23"/>
        <o:r id="V:Rule8" type="connector" idref="#_x0000_s1074"/>
        <o:r id="V:Rule9" type="connector" idref="#_x0000_s1031"/>
        <o:r id="V:Rule10" type="connector" idref="#Straight Arrow Connector 2"/>
        <o:r id="V:Rule11" type="connector" idref="#_x0000_s1041"/>
        <o:r id="V:Rule12" type="connector" idref="#_x0000_s1063"/>
        <o:r id="V:Rule13" type="connector" idref="#_x0000_s1062"/>
        <o:r id="V:Rule14" type="connector" idref="#_x0000_s1042"/>
        <o:r id="V:Rule15" type="connector" idref="#_x0000_s1064"/>
        <o:r id="V:Rule16" type="connector" idref="#_x0000_s1045"/>
        <o:r id="V:Rule17" type="connector" idref="#_x0000_s1043"/>
        <o:r id="V:Rule18" type="connector" idref="#_x0000_s1067"/>
        <o:r id="V:Rule19" type="connector" idref="#_x0000_s1071"/>
        <o:r id="V:Rule20" type="connector" idref="#_x0000_s1055"/>
        <o:r id="V:Rule21" type="connector" idref="#_x0000_s1039"/>
        <o:r id="V:Rule22" type="connector" idref="#_x0000_s1054"/>
        <o:r id="V:Rule23" type="connector" idref="#_x0000_s1040"/>
        <o:r id="V:Rule24" type="connector" idref="#_x0000_s1073"/>
        <o:r id="V:Rule25" type="connector" idref="#_x0000_s1047"/>
        <o:r id="V:Rule26" type="connector" idref="#_x0000_s1069"/>
        <o:r id="V:Rule27" type="connector" idref="#_x0000_s1068"/>
        <o:r id="V:Rule28" type="connector" idref="#Curved Connector 22"/>
      </o:rules>
    </o:shapelayout>
  </w:shapeDefaults>
  <w:decimalSymbol w:val="."/>
  <w:listSeparator w:val=","/>
  <w14:docId w14:val="0038B29D"/>
  <w15:docId w15:val="{28CDE08C-696E-48B3-9298-7095DE49C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3580"/>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E22"/>
    <w:pPr>
      <w:ind w:left="720"/>
      <w:contextualSpacing/>
    </w:pPr>
  </w:style>
  <w:style w:type="paragraph" w:styleId="BalloonText">
    <w:name w:val="Balloon Text"/>
    <w:basedOn w:val="Normal"/>
    <w:link w:val="BalloonTextChar"/>
    <w:uiPriority w:val="99"/>
    <w:semiHidden/>
    <w:unhideWhenUsed/>
    <w:rsid w:val="007F5415"/>
    <w:rPr>
      <w:rFonts w:ascii="Tahoma" w:hAnsi="Tahoma" w:cs="Tahoma"/>
      <w:sz w:val="16"/>
      <w:szCs w:val="16"/>
    </w:rPr>
  </w:style>
  <w:style w:type="character" w:customStyle="1" w:styleId="BalloonTextChar">
    <w:name w:val="Balloon Text Char"/>
    <w:basedOn w:val="DefaultParagraphFont"/>
    <w:link w:val="BalloonText"/>
    <w:uiPriority w:val="99"/>
    <w:semiHidden/>
    <w:rsid w:val="007F5415"/>
    <w:rPr>
      <w:rFonts w:ascii="Tahoma" w:hAnsi="Tahoma" w:cs="Tahoma"/>
      <w:sz w:val="16"/>
      <w:szCs w:val="16"/>
    </w:rPr>
  </w:style>
  <w:style w:type="character" w:styleId="Hyperlink">
    <w:name w:val="Hyperlink"/>
    <w:basedOn w:val="DefaultParagraphFont"/>
    <w:uiPriority w:val="99"/>
    <w:unhideWhenUsed/>
    <w:rsid w:val="00C26B3B"/>
    <w:rPr>
      <w:color w:val="0563C1" w:themeColor="hyperlink"/>
      <w:u w:val="single"/>
    </w:rPr>
  </w:style>
  <w:style w:type="character" w:customStyle="1" w:styleId="UnresolvedMention1">
    <w:name w:val="Unresolved Mention1"/>
    <w:basedOn w:val="DefaultParagraphFont"/>
    <w:uiPriority w:val="99"/>
    <w:semiHidden/>
    <w:unhideWhenUsed/>
    <w:rsid w:val="00C26B3B"/>
    <w:rPr>
      <w:color w:val="605E5C"/>
      <w:shd w:val="clear" w:color="auto" w:fill="E1DFDD"/>
    </w:rPr>
  </w:style>
  <w:style w:type="paragraph" w:styleId="Header">
    <w:name w:val="header"/>
    <w:basedOn w:val="Normal"/>
    <w:link w:val="HeaderChar"/>
    <w:uiPriority w:val="99"/>
    <w:unhideWhenUsed/>
    <w:rsid w:val="00671F75"/>
    <w:pPr>
      <w:tabs>
        <w:tab w:val="center" w:pos="4680"/>
        <w:tab w:val="right" w:pos="9360"/>
      </w:tabs>
    </w:pPr>
  </w:style>
  <w:style w:type="character" w:customStyle="1" w:styleId="HeaderChar">
    <w:name w:val="Header Char"/>
    <w:basedOn w:val="DefaultParagraphFont"/>
    <w:link w:val="Header"/>
    <w:uiPriority w:val="99"/>
    <w:rsid w:val="00671F75"/>
  </w:style>
  <w:style w:type="paragraph" w:styleId="Footer">
    <w:name w:val="footer"/>
    <w:basedOn w:val="Normal"/>
    <w:link w:val="FooterChar"/>
    <w:uiPriority w:val="99"/>
    <w:unhideWhenUsed/>
    <w:rsid w:val="00671F75"/>
    <w:pPr>
      <w:tabs>
        <w:tab w:val="center" w:pos="4680"/>
        <w:tab w:val="right" w:pos="9360"/>
      </w:tabs>
    </w:pPr>
  </w:style>
  <w:style w:type="character" w:customStyle="1" w:styleId="FooterChar">
    <w:name w:val="Footer Char"/>
    <w:basedOn w:val="DefaultParagraphFont"/>
    <w:link w:val="Footer"/>
    <w:uiPriority w:val="99"/>
    <w:rsid w:val="00671F75"/>
  </w:style>
  <w:style w:type="paragraph" w:styleId="NormalWeb">
    <w:name w:val="Normal (Web)"/>
    <w:basedOn w:val="Normal"/>
    <w:uiPriority w:val="99"/>
    <w:semiHidden/>
    <w:unhideWhenUsed/>
    <w:rsid w:val="00F02E84"/>
    <w:pPr>
      <w:spacing w:before="100" w:beforeAutospacing="1" w:after="100" w:afterAutospacing="1"/>
    </w:pPr>
    <w:rPr>
      <w:rFonts w:ascii="Times New Roman" w:eastAsiaTheme="minorEastAsia"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0.xml"/><Relationship Id="rId10" Type="http://schemas.openxmlformats.org/officeDocument/2006/relationships/footer" Target="footer2.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sers\imtiyazalam\Desktop\IBRCS\2024-25\Assignment%201\ANCH20052024\DATA\XLSANCH20052023-X1-BOF.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Users\imtiyazalam\Desktop\IBRCS\2024-25\Assignment%201\ANCH20052024\DATA\XLSANCH20052023-X1-Ox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Users\imtiyazalam\Desktop\IBRCS\2024-25\Assignment%201\ANCH20052024\DATA\XLSANCH20052023-X1-Ox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Users\imtiyazalam\Desktop\IBRCS\2024-25\Assignment%201\ANCH20052024\DATA\XLSANCH20052023-X1-BOF.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Users\imtiyazalam\Desktop\IBRCS\2024-25\Assignment%201\ANCH20052024\DATA\XLSPRKN24072023-X1-STRan.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Users\imtiyazalam\Desktop\IBRCS\2024-25\Assignment%201\ANCH20052024\DATA\XLSPRKN24072023-X1-STRan.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Users\imtiyazalam\Desktop\IBRCS\2024-25\Assignment%201\ANCH20052024\DATA\XLSPRKN24072023-X1-STRan.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Users\imtiyazalam\Desktop\IBRCS\2024-25\Assignment%201\ANCH20052024\DATA\XLSPRKN24072023-X1-STRan.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Users\imtiyazalam\Desktop\IBRCS\2024-25\Assignment%201\ANCH20052024\DATA\XLSPRKN24072023-X1-STRan.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Users\imtiyazalam\Desktop\IBRCS\2024-25\Assignment%201\ANCH20052024\DATA\XLSANCH20052023-X1-Ox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Users\imtiyazalam\Desktop\IBRCS\2024-25\Assignment%201\ANCH20052024\DATA\XLSANCH20052023-X1-Ox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'Body Weight'!$I$14</c:f>
              <c:strCache>
                <c:ptCount val="1"/>
                <c:pt idx="0">
                  <c:v>%Change</c:v>
                </c:pt>
              </c:strCache>
            </c:strRef>
          </c:tx>
          <c:spPr>
            <a:pattFill prst="pct90">
              <a:fgClr>
                <a:schemeClr val="tx1"/>
              </a:fgClr>
              <a:bgClr>
                <a:schemeClr val="bg1"/>
              </a:bgClr>
            </a:pattFill>
            <a:ln w="15875">
              <a:solidFill>
                <a:schemeClr val="tx1"/>
              </a:solidFill>
            </a:ln>
            <a:effectLst/>
          </c:spPr>
          <c:invertIfNegative val="0"/>
          <c:errBars>
            <c:errBarType val="both"/>
            <c:errValType val="cust"/>
            <c:noEndCap val="0"/>
            <c:plus>
              <c:numRef>
                <c:f>'Body Weight'!$N$15:$N$19</c:f>
                <c:numCache>
                  <c:formatCode>General</c:formatCode>
                  <c:ptCount val="5"/>
                  <c:pt idx="0">
                    <c:v>1.6729807983801028</c:v>
                  </c:pt>
                  <c:pt idx="1">
                    <c:v>1.7635049427405518</c:v>
                  </c:pt>
                  <c:pt idx="2">
                    <c:v>1.6777519147949267</c:v>
                  </c:pt>
                  <c:pt idx="3">
                    <c:v>2.2216152033818877</c:v>
                  </c:pt>
                  <c:pt idx="4">
                    <c:v>1.1415454529562525</c:v>
                  </c:pt>
                </c:numCache>
              </c:numRef>
            </c:plus>
            <c:minus>
              <c:numLit>
                <c:formatCode>General</c:formatCode>
                <c:ptCount val="1"/>
                <c:pt idx="0">
                  <c:v>1</c:v>
                </c:pt>
              </c:numLit>
            </c:minus>
            <c:spPr>
              <a:noFill/>
              <a:ln w="15875" cap="flat" cmpd="sng" algn="ctr">
                <a:solidFill>
                  <a:schemeClr val="tx1"/>
                </a:solidFill>
                <a:round/>
              </a:ln>
              <a:effectLst/>
            </c:spPr>
          </c:errBars>
          <c:cat>
            <c:strRef>
              <c:f>'Body Weight'!$F$15:$F$19</c:f>
              <c:strCache>
                <c:ptCount val="5"/>
                <c:pt idx="0">
                  <c:v>Group I</c:v>
                </c:pt>
                <c:pt idx="1">
                  <c:v>Group II</c:v>
                </c:pt>
                <c:pt idx="2">
                  <c:v>Group III</c:v>
                </c:pt>
                <c:pt idx="3">
                  <c:v>Group IV</c:v>
                </c:pt>
                <c:pt idx="4">
                  <c:v>Group V</c:v>
                </c:pt>
              </c:strCache>
            </c:strRef>
          </c:cat>
          <c:val>
            <c:numRef>
              <c:f>'Body Weight'!$I$15:$I$19</c:f>
              <c:numCache>
                <c:formatCode>0.00</c:formatCode>
                <c:ptCount val="5"/>
                <c:pt idx="0">
                  <c:v>16.554067712927793</c:v>
                </c:pt>
                <c:pt idx="1">
                  <c:v>15.442799600024172</c:v>
                </c:pt>
                <c:pt idx="2">
                  <c:v>15.194831409027016</c:v>
                </c:pt>
                <c:pt idx="3">
                  <c:v>13.471295716068385</c:v>
                </c:pt>
                <c:pt idx="4">
                  <c:v>9.6561826015124641</c:v>
                </c:pt>
              </c:numCache>
            </c:numRef>
          </c:val>
          <c:extLst>
            <c:ext xmlns:c16="http://schemas.microsoft.com/office/drawing/2014/chart" uri="{C3380CC4-5D6E-409C-BE32-E72D297353CC}">
              <c16:uniqueId val="{00000000-AB89-7347-9CAA-DB705482A2C4}"/>
            </c:ext>
          </c:extLst>
        </c:ser>
        <c:dLbls>
          <c:showLegendKey val="0"/>
          <c:showVal val="0"/>
          <c:showCatName val="0"/>
          <c:showSerName val="0"/>
          <c:showPercent val="0"/>
          <c:showBubbleSize val="0"/>
        </c:dLbls>
        <c:gapWidth val="100"/>
        <c:overlap val="-27"/>
        <c:axId val="50700288"/>
        <c:axId val="50701824"/>
      </c:barChart>
      <c:catAx>
        <c:axId val="50700288"/>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701824"/>
        <c:crosses val="autoZero"/>
        <c:auto val="1"/>
        <c:lblAlgn val="ctr"/>
        <c:lblOffset val="100"/>
        <c:noMultiLvlLbl val="0"/>
      </c:catAx>
      <c:valAx>
        <c:axId val="50701824"/>
        <c:scaling>
          <c:orientation val="minMax"/>
          <c:max val="20"/>
          <c:min val="5"/>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70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SOD</a:t>
            </a:r>
          </a:p>
        </c:rich>
      </c:tx>
      <c:overlay val="0"/>
      <c:spPr>
        <a:noFill/>
        <a:ln>
          <a:noFill/>
        </a:ln>
        <a:effectLst/>
      </c:spPr>
    </c:title>
    <c:autoTitleDeleted val="0"/>
    <c:plotArea>
      <c:layout/>
      <c:barChart>
        <c:barDir val="col"/>
        <c:grouping val="clustered"/>
        <c:varyColors val="0"/>
        <c:ser>
          <c:idx val="0"/>
          <c:order val="0"/>
          <c:spPr>
            <a:pattFill prst="pct90">
              <a:fgClr>
                <a:sysClr val="windowText" lastClr="000000"/>
              </a:fgClr>
              <a:bgClr>
                <a:schemeClr val="bg1"/>
              </a:bgClr>
            </a:pattFill>
            <a:ln w="15875">
              <a:solidFill>
                <a:schemeClr val="tx1"/>
              </a:solidFill>
            </a:ln>
            <a:effectLst/>
          </c:spPr>
          <c:invertIfNegative val="0"/>
          <c:errBars>
            <c:errBarType val="both"/>
            <c:errValType val="cust"/>
            <c:noEndCap val="0"/>
            <c:plus>
              <c:numRef>
                <c:f>SOD!$B$14:$F$14</c:f>
                <c:numCache>
                  <c:formatCode>General</c:formatCode>
                  <c:ptCount val="5"/>
                  <c:pt idx="0">
                    <c:v>0.55475618227173162</c:v>
                  </c:pt>
                  <c:pt idx="1">
                    <c:v>0.61124719161048191</c:v>
                  </c:pt>
                  <c:pt idx="2">
                    <c:v>0.74684870837224038</c:v>
                  </c:pt>
                  <c:pt idx="3">
                    <c:v>0.52741701478336056</c:v>
                  </c:pt>
                  <c:pt idx="4">
                    <c:v>0.30771817656822931</c:v>
                  </c:pt>
                </c:numCache>
              </c:numRef>
            </c:plus>
            <c:minus>
              <c:numRef>
                <c:f>SOD!$B$14:$F$14</c:f>
                <c:numCache>
                  <c:formatCode>General</c:formatCode>
                  <c:ptCount val="5"/>
                  <c:pt idx="0">
                    <c:v>0.55475618227173162</c:v>
                  </c:pt>
                  <c:pt idx="1">
                    <c:v>0.61124719161048191</c:v>
                  </c:pt>
                  <c:pt idx="2">
                    <c:v>0.74684870837224038</c:v>
                  </c:pt>
                  <c:pt idx="3">
                    <c:v>0.52741701478336056</c:v>
                  </c:pt>
                  <c:pt idx="4">
                    <c:v>0.30771817656822931</c:v>
                  </c:pt>
                </c:numCache>
              </c:numRef>
            </c:minus>
            <c:spPr>
              <a:noFill/>
              <a:ln w="15875" cap="flat" cmpd="sng" algn="ctr">
                <a:solidFill>
                  <a:schemeClr val="tx1"/>
                </a:solidFill>
                <a:round/>
              </a:ln>
              <a:effectLst/>
            </c:spPr>
          </c:errBars>
          <c:cat>
            <c:strRef>
              <c:f>SOD!$B$4:$F$4</c:f>
              <c:strCache>
                <c:ptCount val="5"/>
                <c:pt idx="0">
                  <c:v>Group I</c:v>
                </c:pt>
                <c:pt idx="1">
                  <c:v>Group II</c:v>
                </c:pt>
                <c:pt idx="2">
                  <c:v>Group III</c:v>
                </c:pt>
                <c:pt idx="3">
                  <c:v>Group IV</c:v>
                </c:pt>
                <c:pt idx="4">
                  <c:v>Group V</c:v>
                </c:pt>
              </c:strCache>
            </c:strRef>
          </c:cat>
          <c:val>
            <c:numRef>
              <c:f>SOD!$B$12:$F$12</c:f>
              <c:numCache>
                <c:formatCode>0.00</c:formatCode>
                <c:ptCount val="5"/>
                <c:pt idx="0">
                  <c:v>7.2214285714285706</c:v>
                </c:pt>
                <c:pt idx="1">
                  <c:v>6.3642857142857121</c:v>
                </c:pt>
                <c:pt idx="2">
                  <c:v>7.1185714285714266</c:v>
                </c:pt>
                <c:pt idx="3">
                  <c:v>4.7614285714285725</c:v>
                </c:pt>
                <c:pt idx="4">
                  <c:v>2.5700000000000003</c:v>
                </c:pt>
              </c:numCache>
            </c:numRef>
          </c:val>
          <c:extLst>
            <c:ext xmlns:c16="http://schemas.microsoft.com/office/drawing/2014/chart" uri="{C3380CC4-5D6E-409C-BE32-E72D297353CC}">
              <c16:uniqueId val="{00000000-008C-F448-8DFC-5BD67892E1BE}"/>
            </c:ext>
          </c:extLst>
        </c:ser>
        <c:dLbls>
          <c:showLegendKey val="0"/>
          <c:showVal val="0"/>
          <c:showCatName val="0"/>
          <c:showSerName val="0"/>
          <c:showPercent val="0"/>
          <c:showBubbleSize val="0"/>
        </c:dLbls>
        <c:gapWidth val="100"/>
        <c:overlap val="-27"/>
        <c:axId val="50488448"/>
        <c:axId val="50489984"/>
      </c:barChart>
      <c:catAx>
        <c:axId val="50488448"/>
        <c:scaling>
          <c:orientation val="minMax"/>
        </c:scaling>
        <c:delete val="0"/>
        <c:axPos val="b"/>
        <c:numFmt formatCode="General" sourceLinked="0"/>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489984"/>
        <c:crosses val="autoZero"/>
        <c:auto val="1"/>
        <c:lblAlgn val="ctr"/>
        <c:lblOffset val="100"/>
        <c:noMultiLvlLbl val="0"/>
      </c:catAx>
      <c:valAx>
        <c:axId val="50489984"/>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U/mg protein</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488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CAT</a:t>
            </a:r>
          </a:p>
        </c:rich>
      </c:tx>
      <c:overlay val="0"/>
      <c:spPr>
        <a:noFill/>
        <a:ln>
          <a:noFill/>
        </a:ln>
        <a:effectLst/>
      </c:spPr>
    </c:title>
    <c:autoTitleDeleted val="0"/>
    <c:plotArea>
      <c:layout/>
      <c:barChart>
        <c:barDir val="col"/>
        <c:grouping val="clustered"/>
        <c:varyColors val="0"/>
        <c:ser>
          <c:idx val="0"/>
          <c:order val="0"/>
          <c:spPr>
            <a:pattFill prst="pct90">
              <a:fgClr>
                <a:sysClr val="windowText" lastClr="000000"/>
              </a:fgClr>
              <a:bgClr>
                <a:schemeClr val="bg1"/>
              </a:bgClr>
            </a:pattFill>
            <a:ln w="15875">
              <a:solidFill>
                <a:schemeClr val="tx1"/>
              </a:solidFill>
            </a:ln>
            <a:effectLst/>
          </c:spPr>
          <c:invertIfNegative val="0"/>
          <c:errBars>
            <c:errBarType val="both"/>
            <c:errValType val="cust"/>
            <c:noEndCap val="0"/>
            <c:plus>
              <c:numRef>
                <c:f>CAT!$B$14:$F$14</c:f>
                <c:numCache>
                  <c:formatCode>General</c:formatCode>
                  <c:ptCount val="5"/>
                  <c:pt idx="0">
                    <c:v>0.33806069575389347</c:v>
                  </c:pt>
                  <c:pt idx="1">
                    <c:v>0.19899577816599825</c:v>
                  </c:pt>
                  <c:pt idx="2">
                    <c:v>0.2751227308071863</c:v>
                  </c:pt>
                  <c:pt idx="3">
                    <c:v>0.37345145118818135</c:v>
                  </c:pt>
                  <c:pt idx="4">
                    <c:v>0.43488836631538269</c:v>
                  </c:pt>
                </c:numCache>
              </c:numRef>
            </c:plus>
            <c:minus>
              <c:numRef>
                <c:f>CAT!$B$14:$F$14</c:f>
                <c:numCache>
                  <c:formatCode>General</c:formatCode>
                  <c:ptCount val="5"/>
                  <c:pt idx="0">
                    <c:v>0.33806069575389347</c:v>
                  </c:pt>
                  <c:pt idx="1">
                    <c:v>0.19899577816599825</c:v>
                  </c:pt>
                  <c:pt idx="2">
                    <c:v>0.2751227308071863</c:v>
                  </c:pt>
                  <c:pt idx="3">
                    <c:v>0.37345145118818135</c:v>
                  </c:pt>
                  <c:pt idx="4">
                    <c:v>0.43488836631538269</c:v>
                  </c:pt>
                </c:numCache>
              </c:numRef>
            </c:minus>
            <c:spPr>
              <a:noFill/>
              <a:ln w="15875" cap="flat" cmpd="sng" algn="ctr">
                <a:solidFill>
                  <a:schemeClr val="tx1"/>
                </a:solidFill>
                <a:round/>
              </a:ln>
              <a:effectLst/>
            </c:spPr>
          </c:errBars>
          <c:cat>
            <c:strRef>
              <c:f>CAT!$B$4:$F$4</c:f>
              <c:strCache>
                <c:ptCount val="5"/>
                <c:pt idx="0">
                  <c:v>Group I</c:v>
                </c:pt>
                <c:pt idx="1">
                  <c:v>Group II</c:v>
                </c:pt>
                <c:pt idx="2">
                  <c:v>Group III</c:v>
                </c:pt>
                <c:pt idx="3">
                  <c:v>Group IV</c:v>
                </c:pt>
                <c:pt idx="4">
                  <c:v>Group V</c:v>
                </c:pt>
              </c:strCache>
            </c:strRef>
          </c:cat>
          <c:val>
            <c:numRef>
              <c:f>CAT!$B$12:$F$12</c:f>
              <c:numCache>
                <c:formatCode>0.00</c:formatCode>
                <c:ptCount val="5"/>
                <c:pt idx="0">
                  <c:v>5.6042857142857114</c:v>
                </c:pt>
                <c:pt idx="1">
                  <c:v>6.4857142857142875</c:v>
                </c:pt>
                <c:pt idx="2">
                  <c:v>5.1414285714285706</c:v>
                </c:pt>
                <c:pt idx="3">
                  <c:v>3.0642857142857136</c:v>
                </c:pt>
                <c:pt idx="4">
                  <c:v>2.7857142857142869</c:v>
                </c:pt>
              </c:numCache>
            </c:numRef>
          </c:val>
          <c:extLst>
            <c:ext xmlns:c16="http://schemas.microsoft.com/office/drawing/2014/chart" uri="{C3380CC4-5D6E-409C-BE32-E72D297353CC}">
              <c16:uniqueId val="{00000000-5E39-E246-B7F7-B1A29B383F94}"/>
            </c:ext>
          </c:extLst>
        </c:ser>
        <c:dLbls>
          <c:showLegendKey val="0"/>
          <c:showVal val="0"/>
          <c:showCatName val="0"/>
          <c:showSerName val="0"/>
          <c:showPercent val="0"/>
          <c:showBubbleSize val="0"/>
        </c:dLbls>
        <c:gapWidth val="100"/>
        <c:overlap val="-27"/>
        <c:axId val="50624768"/>
        <c:axId val="50651904"/>
      </c:barChart>
      <c:catAx>
        <c:axId val="50624768"/>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651904"/>
        <c:crosses val="autoZero"/>
        <c:auto val="1"/>
        <c:lblAlgn val="ctr"/>
        <c:lblOffset val="100"/>
        <c:noMultiLvlLbl val="0"/>
      </c:catAx>
      <c:valAx>
        <c:axId val="50651904"/>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U/mg protein</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624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Testes!$I$13</c:f>
              <c:strCache>
                <c:ptCount val="1"/>
                <c:pt idx="0">
                  <c:v>Testis (g) (Mean)</c:v>
                </c:pt>
              </c:strCache>
            </c:strRef>
          </c:tx>
          <c:spPr>
            <a:pattFill prst="pct90">
              <a:fgClr>
                <a:schemeClr val="tx1"/>
              </a:fgClr>
              <a:bgClr>
                <a:schemeClr val="bg1"/>
              </a:bgClr>
            </a:pattFill>
            <a:ln w="15875">
              <a:solidFill>
                <a:schemeClr val="tx1"/>
              </a:solidFill>
            </a:ln>
            <a:effectLst/>
          </c:spPr>
          <c:invertIfNegative val="0"/>
          <c:errBars>
            <c:errBarType val="both"/>
            <c:errValType val="cust"/>
            <c:noEndCap val="0"/>
            <c:plus>
              <c:numRef>
                <c:f>Testes!$N$14:$N$18</c:f>
                <c:numCache>
                  <c:formatCode>General</c:formatCode>
                  <c:ptCount val="5"/>
                  <c:pt idx="0">
                    <c:v>1.7515784912142392E-2</c:v>
                  </c:pt>
                  <c:pt idx="1">
                    <c:v>1.9665571282766022E-2</c:v>
                  </c:pt>
                  <c:pt idx="2">
                    <c:v>9.3131462931466558E-3</c:v>
                  </c:pt>
                  <c:pt idx="3">
                    <c:v>1.327367606168226E-2</c:v>
                  </c:pt>
                  <c:pt idx="4">
                    <c:v>2.4261192101314225E-2</c:v>
                  </c:pt>
                </c:numCache>
              </c:numRef>
            </c:plus>
            <c:minus>
              <c:numRef>
                <c:f>Testes!$N$14:$N$18</c:f>
                <c:numCache>
                  <c:formatCode>General</c:formatCode>
                  <c:ptCount val="5"/>
                  <c:pt idx="0">
                    <c:v>1.7515784912142392E-2</c:v>
                  </c:pt>
                  <c:pt idx="1">
                    <c:v>1.9665571282766022E-2</c:v>
                  </c:pt>
                  <c:pt idx="2">
                    <c:v>9.3131462931466558E-3</c:v>
                  </c:pt>
                  <c:pt idx="3">
                    <c:v>1.327367606168226E-2</c:v>
                  </c:pt>
                  <c:pt idx="4">
                    <c:v>2.4261192101314225E-2</c:v>
                  </c:pt>
                </c:numCache>
              </c:numRef>
            </c:minus>
            <c:spPr>
              <a:noFill/>
              <a:ln w="15875" cap="flat" cmpd="sng" algn="ctr">
                <a:solidFill>
                  <a:schemeClr val="tx1"/>
                </a:solidFill>
                <a:round/>
              </a:ln>
              <a:effectLst/>
            </c:spPr>
          </c:errBars>
          <c:cat>
            <c:strRef>
              <c:f>Testes!$F$14:$F$18</c:f>
              <c:strCache>
                <c:ptCount val="5"/>
                <c:pt idx="0">
                  <c:v>Group I</c:v>
                </c:pt>
                <c:pt idx="1">
                  <c:v>Group II</c:v>
                </c:pt>
                <c:pt idx="2">
                  <c:v>Group III</c:v>
                </c:pt>
                <c:pt idx="3">
                  <c:v>Group IV</c:v>
                </c:pt>
                <c:pt idx="4">
                  <c:v>Group V</c:v>
                </c:pt>
              </c:strCache>
            </c:strRef>
          </c:cat>
          <c:val>
            <c:numRef>
              <c:f>Testes!$I$14:$I$18</c:f>
              <c:numCache>
                <c:formatCode>0.00</c:formatCode>
                <c:ptCount val="5"/>
                <c:pt idx="0">
                  <c:v>1.678571428571429</c:v>
                </c:pt>
                <c:pt idx="1">
                  <c:v>1.6078571428571427</c:v>
                </c:pt>
                <c:pt idx="2">
                  <c:v>1.5828571428571425</c:v>
                </c:pt>
                <c:pt idx="3">
                  <c:v>1.5149999999999997</c:v>
                </c:pt>
                <c:pt idx="4">
                  <c:v>1.4857142857142851</c:v>
                </c:pt>
              </c:numCache>
            </c:numRef>
          </c:val>
          <c:extLst>
            <c:ext xmlns:c16="http://schemas.microsoft.com/office/drawing/2014/chart" uri="{C3380CC4-5D6E-409C-BE32-E72D297353CC}">
              <c16:uniqueId val="{00000000-F210-3942-9E54-9EB65C45C2D4}"/>
            </c:ext>
          </c:extLst>
        </c:ser>
        <c:dLbls>
          <c:showLegendKey val="0"/>
          <c:showVal val="0"/>
          <c:showCatName val="0"/>
          <c:showSerName val="0"/>
          <c:showPercent val="0"/>
          <c:showBubbleSize val="0"/>
        </c:dLbls>
        <c:gapWidth val="100"/>
        <c:overlap val="-27"/>
        <c:axId val="78089216"/>
        <c:axId val="78164736"/>
      </c:barChart>
      <c:catAx>
        <c:axId val="78089216"/>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78164736"/>
        <c:crosses val="autoZero"/>
        <c:auto val="1"/>
        <c:lblAlgn val="ctr"/>
        <c:lblOffset val="100"/>
        <c:noMultiLvlLbl val="0"/>
      </c:catAx>
      <c:valAx>
        <c:axId val="78164736"/>
        <c:scaling>
          <c:orientation val="minMax"/>
          <c:max val="2"/>
          <c:min val="1"/>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g</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78089216"/>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SC!$J$16</c:f>
              <c:strCache>
                <c:ptCount val="1"/>
                <c:pt idx="0">
                  <c:v>Nv</c:v>
                </c:pt>
              </c:strCache>
            </c:strRef>
          </c:tx>
          <c:spPr>
            <a:pattFill prst="pct90">
              <a:fgClr>
                <a:schemeClr val="tx1"/>
              </a:fgClr>
              <a:bgClr>
                <a:schemeClr val="bg1"/>
              </a:bgClr>
            </a:pattFill>
            <a:ln w="15875">
              <a:solidFill>
                <a:schemeClr val="tx1"/>
              </a:solidFill>
            </a:ln>
            <a:effectLst/>
          </c:spPr>
          <c:invertIfNegative val="0"/>
          <c:errBars>
            <c:errBarType val="both"/>
            <c:errValType val="cust"/>
            <c:noEndCap val="0"/>
            <c:plus>
              <c:numRef>
                <c:f>SC!$J$26:$J$30</c:f>
                <c:numCache>
                  <c:formatCode>General</c:formatCode>
                  <c:ptCount val="5"/>
                  <c:pt idx="0">
                    <c:v>20.61944881916385</c:v>
                  </c:pt>
                  <c:pt idx="1">
                    <c:v>8.7569574254400706</c:v>
                  </c:pt>
                  <c:pt idx="2">
                    <c:v>10.606532434132669</c:v>
                  </c:pt>
                  <c:pt idx="3">
                    <c:v>18.789342420503679</c:v>
                  </c:pt>
                  <c:pt idx="4">
                    <c:v>5.8914340112569095</c:v>
                  </c:pt>
                </c:numCache>
              </c:numRef>
            </c:plus>
            <c:minus>
              <c:numRef>
                <c:f>SC!$J$26:$J$30</c:f>
                <c:numCache>
                  <c:formatCode>General</c:formatCode>
                  <c:ptCount val="5"/>
                  <c:pt idx="0">
                    <c:v>20.61944881916385</c:v>
                  </c:pt>
                  <c:pt idx="1">
                    <c:v>8.7569574254400706</c:v>
                  </c:pt>
                  <c:pt idx="2">
                    <c:v>10.606532434132669</c:v>
                  </c:pt>
                  <c:pt idx="3">
                    <c:v>18.789342420503679</c:v>
                  </c:pt>
                  <c:pt idx="4">
                    <c:v>5.8914340112569095</c:v>
                  </c:pt>
                </c:numCache>
              </c:numRef>
            </c:minus>
            <c:spPr>
              <a:noFill/>
              <a:ln w="15875" cap="flat" cmpd="sng" algn="ctr">
                <a:solidFill>
                  <a:schemeClr val="tx1"/>
                </a:solidFill>
                <a:round/>
              </a:ln>
              <a:effectLst/>
            </c:spPr>
          </c:errBars>
          <c:cat>
            <c:strRef>
              <c:f>SC!$I$17:$I$21</c:f>
              <c:strCache>
                <c:ptCount val="5"/>
                <c:pt idx="0">
                  <c:v>Group I</c:v>
                </c:pt>
                <c:pt idx="1">
                  <c:v>Group II</c:v>
                </c:pt>
                <c:pt idx="2">
                  <c:v>Group III</c:v>
                </c:pt>
                <c:pt idx="3">
                  <c:v>Group IV</c:v>
                </c:pt>
                <c:pt idx="4">
                  <c:v>Group V</c:v>
                </c:pt>
              </c:strCache>
            </c:strRef>
          </c:cat>
          <c:val>
            <c:numRef>
              <c:f>SC!$J$17:$J$21</c:f>
              <c:numCache>
                <c:formatCode>0.00</c:formatCode>
                <c:ptCount val="5"/>
                <c:pt idx="0">
                  <c:v>547.93650793650795</c:v>
                </c:pt>
                <c:pt idx="1">
                  <c:v>565.39682539682531</c:v>
                </c:pt>
                <c:pt idx="2">
                  <c:v>540.31746031746036</c:v>
                </c:pt>
                <c:pt idx="3">
                  <c:v>491.74603174603169</c:v>
                </c:pt>
                <c:pt idx="4">
                  <c:v>420.95238095238091</c:v>
                </c:pt>
              </c:numCache>
            </c:numRef>
          </c:val>
          <c:extLst>
            <c:ext xmlns:c16="http://schemas.microsoft.com/office/drawing/2014/chart" uri="{C3380CC4-5D6E-409C-BE32-E72D297353CC}">
              <c16:uniqueId val="{00000000-A55C-A440-A83D-98B5279E4C56}"/>
            </c:ext>
          </c:extLst>
        </c:ser>
        <c:dLbls>
          <c:showLegendKey val="0"/>
          <c:showVal val="0"/>
          <c:showCatName val="0"/>
          <c:showSerName val="0"/>
          <c:showPercent val="0"/>
          <c:showBubbleSize val="0"/>
        </c:dLbls>
        <c:gapWidth val="100"/>
        <c:overlap val="-27"/>
        <c:axId val="146387712"/>
        <c:axId val="146389248"/>
      </c:barChart>
      <c:catAx>
        <c:axId val="146387712"/>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6389248"/>
        <c:crosses val="autoZero"/>
        <c:auto val="1"/>
        <c:lblAlgn val="ctr"/>
        <c:lblOffset val="100"/>
        <c:noMultiLvlLbl val="0"/>
      </c:catAx>
      <c:valAx>
        <c:axId val="146389248"/>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sz="1000" b="0" i="0" u="none" strike="noStrike" kern="1200" baseline="0">
                    <a:solidFill>
                      <a:schemeClr val="tx1"/>
                    </a:solidFill>
                  </a:rPr>
                  <a:t>Nv (µm</a:t>
                </a:r>
                <a:r>
                  <a:rPr lang="en-US" sz="1000" b="0" i="0" u="none" strike="noStrike" baseline="30000">
                    <a:solidFill>
                      <a:schemeClr val="tx1"/>
                    </a:solidFill>
                    <a:effectLst/>
                  </a:rPr>
                  <a:t>3</a:t>
                </a:r>
                <a:r>
                  <a:rPr lang="en-IN" sz="1000" b="0" i="0" u="none" strike="noStrike" baseline="0">
                    <a:solidFill>
                      <a:schemeClr val="tx1"/>
                    </a:solidFill>
                    <a:effectLst/>
                  </a:rPr>
                  <a:t> </a:t>
                </a:r>
                <a:r>
                  <a:rPr lang="en-GB" sz="1000" b="0" i="0" u="none" strike="noStrike" kern="1200" baseline="0">
                    <a:solidFill>
                      <a:schemeClr val="tx1"/>
                    </a:solidFill>
                  </a:rPr>
                  <a:t>)</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6387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90">
              <a:fgClr>
                <a:schemeClr val="tx1"/>
              </a:fgClr>
              <a:bgClr>
                <a:schemeClr val="bg1"/>
              </a:bgClr>
            </a:pattFill>
            <a:ln w="15875">
              <a:solidFill>
                <a:schemeClr val="tx1"/>
              </a:solidFill>
            </a:ln>
            <a:effectLst/>
          </c:spPr>
          <c:invertIfNegative val="0"/>
          <c:errBars>
            <c:errBarType val="both"/>
            <c:errValType val="cust"/>
            <c:noEndCap val="0"/>
            <c:plus>
              <c:numRef>
                <c:f>SG!$J$26:$J$30</c:f>
                <c:numCache>
                  <c:formatCode>General</c:formatCode>
                  <c:ptCount val="5"/>
                  <c:pt idx="0">
                    <c:v>19.32487803916726</c:v>
                  </c:pt>
                  <c:pt idx="1">
                    <c:v>3.6675483948666474</c:v>
                  </c:pt>
                  <c:pt idx="2">
                    <c:v>18.759908218821341</c:v>
                  </c:pt>
                  <c:pt idx="3">
                    <c:v>28.250579429371744</c:v>
                  </c:pt>
                  <c:pt idx="4">
                    <c:v>18.518941794104592</c:v>
                  </c:pt>
                </c:numCache>
              </c:numRef>
            </c:plus>
            <c:minus>
              <c:numRef>
                <c:f>SG!$J$26:$J$30</c:f>
                <c:numCache>
                  <c:formatCode>General</c:formatCode>
                  <c:ptCount val="5"/>
                  <c:pt idx="0">
                    <c:v>19.32487803916726</c:v>
                  </c:pt>
                  <c:pt idx="1">
                    <c:v>3.6675483948666474</c:v>
                  </c:pt>
                  <c:pt idx="2">
                    <c:v>18.759908218821341</c:v>
                  </c:pt>
                  <c:pt idx="3">
                    <c:v>28.250579429371744</c:v>
                  </c:pt>
                  <c:pt idx="4">
                    <c:v>18.518941794104592</c:v>
                  </c:pt>
                </c:numCache>
              </c:numRef>
            </c:minus>
            <c:spPr>
              <a:noFill/>
              <a:ln w="15875" cap="flat" cmpd="sng" algn="ctr">
                <a:solidFill>
                  <a:schemeClr val="tx1"/>
                </a:solidFill>
                <a:round/>
              </a:ln>
              <a:effectLst/>
            </c:spPr>
          </c:errBars>
          <c:cat>
            <c:strRef>
              <c:f>SG!$I$17:$I$21</c:f>
              <c:strCache>
                <c:ptCount val="5"/>
                <c:pt idx="0">
                  <c:v>Group I</c:v>
                </c:pt>
                <c:pt idx="1">
                  <c:v>Group II</c:v>
                </c:pt>
                <c:pt idx="2">
                  <c:v>Group III</c:v>
                </c:pt>
                <c:pt idx="3">
                  <c:v>Group IV</c:v>
                </c:pt>
                <c:pt idx="4">
                  <c:v>Group V</c:v>
                </c:pt>
              </c:strCache>
            </c:strRef>
          </c:cat>
          <c:val>
            <c:numRef>
              <c:f>SG!$J$17:$J$21</c:f>
              <c:numCache>
                <c:formatCode>0.00</c:formatCode>
                <c:ptCount val="5"/>
                <c:pt idx="0">
                  <c:v>865.07936507936552</c:v>
                </c:pt>
                <c:pt idx="1">
                  <c:v>908.25396825396831</c:v>
                </c:pt>
                <c:pt idx="2">
                  <c:v>835.55555555555543</c:v>
                </c:pt>
                <c:pt idx="3">
                  <c:v>589.20634920634961</c:v>
                </c:pt>
                <c:pt idx="4">
                  <c:v>469.2063492063491</c:v>
                </c:pt>
              </c:numCache>
            </c:numRef>
          </c:val>
          <c:extLst>
            <c:ext xmlns:c16="http://schemas.microsoft.com/office/drawing/2014/chart" uri="{C3380CC4-5D6E-409C-BE32-E72D297353CC}">
              <c16:uniqueId val="{00000000-EE16-8840-A598-3C4CF1EF1C90}"/>
            </c:ext>
          </c:extLst>
        </c:ser>
        <c:dLbls>
          <c:showLegendKey val="0"/>
          <c:showVal val="0"/>
          <c:showCatName val="0"/>
          <c:showSerName val="0"/>
          <c:showPercent val="0"/>
          <c:showBubbleSize val="0"/>
        </c:dLbls>
        <c:gapWidth val="100"/>
        <c:overlap val="-27"/>
        <c:axId val="146669568"/>
        <c:axId val="147325312"/>
      </c:barChart>
      <c:catAx>
        <c:axId val="146669568"/>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7325312"/>
        <c:crosses val="autoZero"/>
        <c:auto val="1"/>
        <c:lblAlgn val="ctr"/>
        <c:lblOffset val="100"/>
        <c:noMultiLvlLbl val="0"/>
      </c:catAx>
      <c:valAx>
        <c:axId val="147325312"/>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Nv (µm</a:t>
                </a:r>
                <a:r>
                  <a:rPr lang="en-US" sz="1000" b="0" i="0" u="none" strike="noStrike" baseline="30000">
                    <a:solidFill>
                      <a:schemeClr val="tx1"/>
                    </a:solidFill>
                    <a:effectLst/>
                  </a:rPr>
                  <a:t>3</a:t>
                </a:r>
                <a:r>
                  <a:rPr lang="en-IN" sz="1000" b="0" i="0" u="none" strike="noStrike" baseline="0">
                    <a:solidFill>
                      <a:schemeClr val="tx1"/>
                    </a:solidFill>
                    <a:effectLst/>
                  </a:rPr>
                  <a:t> </a:t>
                </a:r>
                <a:r>
                  <a:rPr lang="en-GB">
                    <a:solidFill>
                      <a:schemeClr val="tx1"/>
                    </a:solidFill>
                  </a:rPr>
                  <a:t>)</a:t>
                </a:r>
              </a:p>
            </c:rich>
          </c:tx>
          <c:overlay val="0"/>
          <c:spPr>
            <a:noFill/>
            <a:ln>
              <a:noFill/>
            </a:ln>
            <a:effectLst/>
          </c:spPr>
        </c:title>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6669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S!$J$16</c:f>
              <c:strCache>
                <c:ptCount val="1"/>
                <c:pt idx="0">
                  <c:v>Nv</c:v>
                </c:pt>
              </c:strCache>
            </c:strRef>
          </c:tx>
          <c:spPr>
            <a:pattFill prst="pct90">
              <a:fgClr>
                <a:schemeClr val="tx1"/>
              </a:fgClr>
              <a:bgClr>
                <a:schemeClr val="bg1"/>
              </a:bgClr>
            </a:pattFill>
            <a:ln w="15875">
              <a:solidFill>
                <a:schemeClr val="tx1"/>
              </a:solidFill>
            </a:ln>
            <a:effectLst/>
          </c:spPr>
          <c:invertIfNegative val="0"/>
          <c:errBars>
            <c:errBarType val="both"/>
            <c:errValType val="cust"/>
            <c:noEndCap val="0"/>
            <c:plus>
              <c:numRef>
                <c:f>S!$J$26:$J$30</c:f>
                <c:numCache>
                  <c:formatCode>General</c:formatCode>
                  <c:ptCount val="5"/>
                  <c:pt idx="0">
                    <c:v>19.59135731895725</c:v>
                  </c:pt>
                  <c:pt idx="1">
                    <c:v>5.5460235687421964</c:v>
                  </c:pt>
                  <c:pt idx="2">
                    <c:v>44.108785406417425</c:v>
                  </c:pt>
                  <c:pt idx="3">
                    <c:v>53.326278192971145</c:v>
                  </c:pt>
                  <c:pt idx="4">
                    <c:v>43.125672553097324</c:v>
                  </c:pt>
                </c:numCache>
              </c:numRef>
            </c:plus>
            <c:minus>
              <c:numRef>
                <c:f>S!$J$26:$J$30</c:f>
                <c:numCache>
                  <c:formatCode>General</c:formatCode>
                  <c:ptCount val="5"/>
                  <c:pt idx="0">
                    <c:v>19.59135731895725</c:v>
                  </c:pt>
                  <c:pt idx="1">
                    <c:v>5.5460235687421964</c:v>
                  </c:pt>
                  <c:pt idx="2">
                    <c:v>44.108785406417425</c:v>
                  </c:pt>
                  <c:pt idx="3">
                    <c:v>53.326278192971145</c:v>
                  </c:pt>
                  <c:pt idx="4">
                    <c:v>43.125672553097324</c:v>
                  </c:pt>
                </c:numCache>
              </c:numRef>
            </c:minus>
            <c:spPr>
              <a:noFill/>
              <a:ln w="15875" cap="flat" cmpd="sng" algn="ctr">
                <a:solidFill>
                  <a:schemeClr val="tx1"/>
                </a:solidFill>
                <a:round/>
              </a:ln>
              <a:effectLst/>
            </c:spPr>
          </c:errBars>
          <c:cat>
            <c:strRef>
              <c:f>S!$I$17:$I$21</c:f>
              <c:strCache>
                <c:ptCount val="5"/>
                <c:pt idx="0">
                  <c:v>Group I</c:v>
                </c:pt>
                <c:pt idx="1">
                  <c:v>Group II</c:v>
                </c:pt>
                <c:pt idx="2">
                  <c:v>Group III</c:v>
                </c:pt>
                <c:pt idx="3">
                  <c:v>Group IV</c:v>
                </c:pt>
                <c:pt idx="4">
                  <c:v>Group V</c:v>
                </c:pt>
              </c:strCache>
            </c:strRef>
          </c:cat>
          <c:val>
            <c:numRef>
              <c:f>S!$J$17:$J$21</c:f>
              <c:numCache>
                <c:formatCode>0.00</c:formatCode>
                <c:ptCount val="5"/>
                <c:pt idx="0">
                  <c:v>690.47619047619082</c:v>
                </c:pt>
                <c:pt idx="1">
                  <c:v>696.50793650793651</c:v>
                </c:pt>
                <c:pt idx="2">
                  <c:v>844.12698412698421</c:v>
                </c:pt>
                <c:pt idx="3">
                  <c:v>875.8730158730159</c:v>
                </c:pt>
                <c:pt idx="4">
                  <c:v>669.20634920634961</c:v>
                </c:pt>
              </c:numCache>
            </c:numRef>
          </c:val>
          <c:extLst>
            <c:ext xmlns:c16="http://schemas.microsoft.com/office/drawing/2014/chart" uri="{C3380CC4-5D6E-409C-BE32-E72D297353CC}">
              <c16:uniqueId val="{00000000-22B5-E84C-B329-95C1A905A14F}"/>
            </c:ext>
          </c:extLst>
        </c:ser>
        <c:dLbls>
          <c:showLegendKey val="0"/>
          <c:showVal val="0"/>
          <c:showCatName val="0"/>
          <c:showSerName val="0"/>
          <c:showPercent val="0"/>
          <c:showBubbleSize val="0"/>
        </c:dLbls>
        <c:gapWidth val="100"/>
        <c:overlap val="-27"/>
        <c:axId val="147424000"/>
        <c:axId val="147425536"/>
      </c:barChart>
      <c:catAx>
        <c:axId val="147424000"/>
        <c:scaling>
          <c:orientation val="minMax"/>
        </c:scaling>
        <c:delete val="0"/>
        <c:axPos val="b"/>
        <c:numFmt formatCode="#,##0.00" sourceLinked="0"/>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7425536"/>
        <c:crosses val="autoZero"/>
        <c:auto val="1"/>
        <c:lblAlgn val="ctr"/>
        <c:lblOffset val="100"/>
        <c:noMultiLvlLbl val="0"/>
      </c:catAx>
      <c:valAx>
        <c:axId val="147425536"/>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sz="1000" b="0" i="0" u="none" strike="noStrike" kern="1200" baseline="0">
                    <a:solidFill>
                      <a:schemeClr val="tx1"/>
                    </a:solidFill>
                  </a:rPr>
                  <a:t>Nv (µm</a:t>
                </a:r>
                <a:r>
                  <a:rPr lang="en-US" sz="1000" b="0" i="0" u="none" strike="noStrike" baseline="30000">
                    <a:solidFill>
                      <a:schemeClr val="tx1"/>
                    </a:solidFill>
                    <a:effectLst/>
                  </a:rPr>
                  <a:t>3</a:t>
                </a:r>
                <a:r>
                  <a:rPr lang="en-IN" sz="1000" b="0" i="0" u="none" strike="noStrike" baseline="0">
                    <a:solidFill>
                      <a:schemeClr val="tx1"/>
                    </a:solidFill>
                    <a:effectLst/>
                  </a:rPr>
                  <a:t> </a:t>
                </a:r>
                <a:r>
                  <a:rPr lang="en-GB" sz="1000" b="0" i="0" u="none" strike="noStrike" kern="1200" baseline="0">
                    <a:solidFill>
                      <a:schemeClr val="tx1"/>
                    </a:solidFill>
                  </a:rPr>
                  <a:t>)</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7424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SD!$J$16</c:f>
              <c:strCache>
                <c:ptCount val="1"/>
                <c:pt idx="0">
                  <c:v>Nv</c:v>
                </c:pt>
              </c:strCache>
            </c:strRef>
          </c:tx>
          <c:spPr>
            <a:pattFill prst="pct90">
              <a:fgClr>
                <a:schemeClr val="tx1"/>
              </a:fgClr>
              <a:bgClr>
                <a:schemeClr val="bg1"/>
              </a:bgClr>
            </a:pattFill>
            <a:ln w="15875">
              <a:solidFill>
                <a:schemeClr val="tx1"/>
              </a:solidFill>
            </a:ln>
            <a:effectLst/>
          </c:spPr>
          <c:invertIfNegative val="0"/>
          <c:errBars>
            <c:errBarType val="both"/>
            <c:errValType val="cust"/>
            <c:noEndCap val="0"/>
            <c:plus>
              <c:numRef>
                <c:f>SD!$J$26:$J$30</c:f>
                <c:numCache>
                  <c:formatCode>General</c:formatCode>
                  <c:ptCount val="5"/>
                  <c:pt idx="0">
                    <c:v>26.911573797026527</c:v>
                  </c:pt>
                  <c:pt idx="1">
                    <c:v>14.500907145902476</c:v>
                  </c:pt>
                  <c:pt idx="2">
                    <c:v>26.415038561370803</c:v>
                  </c:pt>
                  <c:pt idx="3">
                    <c:v>33.171033452659543</c:v>
                  </c:pt>
                  <c:pt idx="4">
                    <c:v>41.44196908788539</c:v>
                  </c:pt>
                </c:numCache>
              </c:numRef>
            </c:plus>
            <c:minus>
              <c:numRef>
                <c:f>SD!$J$26:$J$30</c:f>
                <c:numCache>
                  <c:formatCode>General</c:formatCode>
                  <c:ptCount val="5"/>
                  <c:pt idx="0">
                    <c:v>26.911573797026527</c:v>
                  </c:pt>
                  <c:pt idx="1">
                    <c:v>14.500907145902476</c:v>
                  </c:pt>
                  <c:pt idx="2">
                    <c:v>26.415038561370803</c:v>
                  </c:pt>
                  <c:pt idx="3">
                    <c:v>33.171033452659543</c:v>
                  </c:pt>
                  <c:pt idx="4">
                    <c:v>41.44196908788539</c:v>
                  </c:pt>
                </c:numCache>
              </c:numRef>
            </c:minus>
            <c:spPr>
              <a:noFill/>
              <a:ln w="15875" cap="flat" cmpd="sng" algn="ctr">
                <a:solidFill>
                  <a:schemeClr val="tx1"/>
                </a:solidFill>
                <a:round/>
              </a:ln>
              <a:effectLst/>
            </c:spPr>
          </c:errBars>
          <c:cat>
            <c:strRef>
              <c:f>SD!$I$17:$I$21</c:f>
              <c:strCache>
                <c:ptCount val="5"/>
                <c:pt idx="0">
                  <c:v>Group I</c:v>
                </c:pt>
                <c:pt idx="1">
                  <c:v>Group II</c:v>
                </c:pt>
                <c:pt idx="2">
                  <c:v>Group III</c:v>
                </c:pt>
                <c:pt idx="3">
                  <c:v>Group IV</c:v>
                </c:pt>
                <c:pt idx="4">
                  <c:v>Group V</c:v>
                </c:pt>
              </c:strCache>
            </c:strRef>
          </c:cat>
          <c:val>
            <c:numRef>
              <c:f>SD!$J$17:$J$21</c:f>
              <c:numCache>
                <c:formatCode>0.00</c:formatCode>
                <c:ptCount val="5"/>
                <c:pt idx="0">
                  <c:v>1000.6349206349204</c:v>
                </c:pt>
                <c:pt idx="1">
                  <c:v>1035.2380952380952</c:v>
                </c:pt>
                <c:pt idx="2">
                  <c:v>947.61904761904782</c:v>
                </c:pt>
                <c:pt idx="3">
                  <c:v>778.09523809523796</c:v>
                </c:pt>
                <c:pt idx="4">
                  <c:v>593.65079365079362</c:v>
                </c:pt>
              </c:numCache>
            </c:numRef>
          </c:val>
          <c:extLst>
            <c:ext xmlns:c16="http://schemas.microsoft.com/office/drawing/2014/chart" uri="{C3380CC4-5D6E-409C-BE32-E72D297353CC}">
              <c16:uniqueId val="{00000000-AE7A-6443-A45F-8ABAE97A5462}"/>
            </c:ext>
          </c:extLst>
        </c:ser>
        <c:dLbls>
          <c:showLegendKey val="0"/>
          <c:showVal val="0"/>
          <c:showCatName val="0"/>
          <c:showSerName val="0"/>
          <c:showPercent val="0"/>
          <c:showBubbleSize val="0"/>
        </c:dLbls>
        <c:gapWidth val="100"/>
        <c:overlap val="-27"/>
        <c:axId val="147758080"/>
        <c:axId val="50073600"/>
      </c:barChart>
      <c:catAx>
        <c:axId val="147758080"/>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073600"/>
        <c:crosses val="autoZero"/>
        <c:auto val="1"/>
        <c:lblAlgn val="ctr"/>
        <c:lblOffset val="100"/>
        <c:noMultiLvlLbl val="0"/>
      </c:catAx>
      <c:valAx>
        <c:axId val="50073600"/>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sz="1000" b="0" i="0" u="none" strike="noStrike" kern="1200" baseline="0">
                    <a:solidFill>
                      <a:schemeClr val="tx1"/>
                    </a:solidFill>
                  </a:rPr>
                  <a:t>Nv (µm</a:t>
                </a:r>
                <a:r>
                  <a:rPr lang="en-US" sz="1000" b="0" i="0" u="none" strike="noStrike" baseline="30000">
                    <a:solidFill>
                      <a:schemeClr val="tx1"/>
                    </a:solidFill>
                    <a:effectLst/>
                  </a:rPr>
                  <a:t>3</a:t>
                </a:r>
                <a:r>
                  <a:rPr lang="en-IN" sz="1000" b="0" i="0" u="none" strike="noStrike" baseline="0">
                    <a:solidFill>
                      <a:schemeClr val="tx1"/>
                    </a:solidFill>
                    <a:effectLst/>
                  </a:rPr>
                  <a:t> </a:t>
                </a:r>
                <a:r>
                  <a:rPr lang="en-GB" sz="1000" b="0" i="0" u="none" strike="noStrike" kern="1200" baseline="0">
                    <a:solidFill>
                      <a:schemeClr val="tx1"/>
                    </a:solidFill>
                  </a:rPr>
                  <a:t>)</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7758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S!$K$45</c:f>
              <c:strCache>
                <c:ptCount val="1"/>
                <c:pt idx="0">
                  <c:v>Spermatocytes</c:v>
                </c:pt>
              </c:strCache>
            </c:strRef>
          </c:tx>
          <c:spPr>
            <a:ln w="28575" cap="rnd">
              <a:solidFill>
                <a:schemeClr val="tx1"/>
              </a:solidFill>
              <a:prstDash val="solid"/>
              <a:round/>
            </a:ln>
            <a:effectLst/>
          </c:spPr>
          <c:marker>
            <c:symbol val="square"/>
            <c:size val="5"/>
            <c:spPr>
              <a:solidFill>
                <a:schemeClr val="tx1"/>
              </a:solidFill>
              <a:ln w="9525">
                <a:solidFill>
                  <a:schemeClr val="tx1"/>
                </a:solidFill>
              </a:ln>
              <a:effectLst/>
            </c:spPr>
          </c:marker>
          <c:errBars>
            <c:errDir val="y"/>
            <c:errBarType val="both"/>
            <c:errValType val="cust"/>
            <c:noEndCap val="0"/>
            <c:plus>
              <c:numRef>
                <c:f>S!$K$26:$K$30</c:f>
                <c:numCache>
                  <c:formatCode>General</c:formatCode>
                  <c:ptCount val="5"/>
                  <c:pt idx="0">
                    <c:v>2.1550493050852973E-3</c:v>
                  </c:pt>
                  <c:pt idx="1">
                    <c:v>6.1006259256164111E-4</c:v>
                  </c:pt>
                  <c:pt idx="2">
                    <c:v>4.851966394705926E-3</c:v>
                  </c:pt>
                  <c:pt idx="3">
                    <c:v>5.8658906012268317E-3</c:v>
                  </c:pt>
                  <c:pt idx="4">
                    <c:v>4.7438239808406989E-3</c:v>
                  </c:pt>
                </c:numCache>
              </c:numRef>
            </c:plus>
            <c:minus>
              <c:numRef>
                <c:f>S!$K$26:$K$30</c:f>
                <c:numCache>
                  <c:formatCode>General</c:formatCode>
                  <c:ptCount val="5"/>
                  <c:pt idx="0">
                    <c:v>2.1550493050852973E-3</c:v>
                  </c:pt>
                  <c:pt idx="1">
                    <c:v>6.1006259256164111E-4</c:v>
                  </c:pt>
                  <c:pt idx="2">
                    <c:v>4.851966394705926E-3</c:v>
                  </c:pt>
                  <c:pt idx="3">
                    <c:v>5.8658906012268317E-3</c:v>
                  </c:pt>
                  <c:pt idx="4">
                    <c:v>4.7438239808406989E-3</c:v>
                  </c:pt>
                </c:numCache>
              </c:numRef>
            </c:minus>
            <c:spPr>
              <a:noFill/>
              <a:ln w="15875" cap="flat" cmpd="sng" algn="ctr">
                <a:solidFill>
                  <a:schemeClr val="tx1"/>
                </a:solidFill>
                <a:round/>
              </a:ln>
              <a:effectLst/>
            </c:spPr>
          </c:errBars>
          <c:cat>
            <c:strRef>
              <c:f>S!$J$46:$J$50</c:f>
              <c:strCache>
                <c:ptCount val="5"/>
                <c:pt idx="0">
                  <c:v>Group I</c:v>
                </c:pt>
                <c:pt idx="1">
                  <c:v>Group II</c:v>
                </c:pt>
                <c:pt idx="2">
                  <c:v>Group III</c:v>
                </c:pt>
                <c:pt idx="3">
                  <c:v>Group IV</c:v>
                </c:pt>
                <c:pt idx="4">
                  <c:v>Group V</c:v>
                </c:pt>
              </c:strCache>
            </c:strRef>
          </c:cat>
          <c:val>
            <c:numRef>
              <c:f>S!$K$46:$K$50</c:f>
              <c:numCache>
                <c:formatCode>0.00</c:formatCode>
                <c:ptCount val="5"/>
                <c:pt idx="0">
                  <c:v>7.5952380952380993E-2</c:v>
                </c:pt>
                <c:pt idx="1">
                  <c:v>7.6615873015873026E-2</c:v>
                </c:pt>
                <c:pt idx="2">
                  <c:v>9.2853968253968258E-2</c:v>
                </c:pt>
                <c:pt idx="3">
                  <c:v>9.6346031746031721E-2</c:v>
                </c:pt>
                <c:pt idx="4">
                  <c:v>7.3612698412698449E-2</c:v>
                </c:pt>
              </c:numCache>
            </c:numRef>
          </c:val>
          <c:smooth val="0"/>
          <c:extLst>
            <c:ext xmlns:c16="http://schemas.microsoft.com/office/drawing/2014/chart" uri="{C3380CC4-5D6E-409C-BE32-E72D297353CC}">
              <c16:uniqueId val="{00000000-9E51-024E-851B-94BABD426EA6}"/>
            </c:ext>
          </c:extLst>
        </c:ser>
        <c:ser>
          <c:idx val="1"/>
          <c:order val="1"/>
          <c:tx>
            <c:strRef>
              <c:f>S!$L$45</c:f>
              <c:strCache>
                <c:ptCount val="1"/>
                <c:pt idx="0">
                  <c:v>Spermatogonia</c:v>
                </c:pt>
              </c:strCache>
            </c:strRef>
          </c:tx>
          <c:spPr>
            <a:ln w="28575" cap="rnd">
              <a:solidFill>
                <a:schemeClr val="tx1"/>
              </a:solidFill>
              <a:prstDash val="solid"/>
              <a:round/>
            </a:ln>
            <a:effectLst/>
          </c:spPr>
          <c:marker>
            <c:symbol val="diamond"/>
            <c:size val="5"/>
            <c:spPr>
              <a:solidFill>
                <a:schemeClr val="tx1"/>
              </a:solidFill>
              <a:ln w="9525">
                <a:solidFill>
                  <a:schemeClr val="tx1"/>
                </a:solidFill>
              </a:ln>
              <a:effectLst/>
            </c:spPr>
          </c:marker>
          <c:errBars>
            <c:errDir val="y"/>
            <c:errBarType val="both"/>
            <c:errValType val="cust"/>
            <c:noEndCap val="0"/>
            <c:plus>
              <c:numRef>
                <c:f>S!$K$64:$K$68</c:f>
                <c:numCache>
                  <c:formatCode>General</c:formatCode>
                  <c:ptCount val="5"/>
                  <c:pt idx="0">
                    <c:v>2.1257365843083994E-3</c:v>
                  </c:pt>
                  <c:pt idx="1">
                    <c:v>4.0343032343533139E-4</c:v>
                  </c:pt>
                  <c:pt idx="2">
                    <c:v>2.0635899040703496E-3</c:v>
                  </c:pt>
                  <c:pt idx="3">
                    <c:v>3.1075637372308816E-3</c:v>
                  </c:pt>
                  <c:pt idx="4">
                    <c:v>2.037083597351488E-3</c:v>
                  </c:pt>
                </c:numCache>
              </c:numRef>
            </c:plus>
            <c:minus>
              <c:numRef>
                <c:f>S!$K$64:$K$68</c:f>
                <c:numCache>
                  <c:formatCode>General</c:formatCode>
                  <c:ptCount val="5"/>
                  <c:pt idx="0">
                    <c:v>2.1257365843083994E-3</c:v>
                  </c:pt>
                  <c:pt idx="1">
                    <c:v>4.0343032343533139E-4</c:v>
                  </c:pt>
                  <c:pt idx="2">
                    <c:v>2.0635899040703496E-3</c:v>
                  </c:pt>
                  <c:pt idx="3">
                    <c:v>3.1075637372308816E-3</c:v>
                  </c:pt>
                  <c:pt idx="4">
                    <c:v>2.037083597351488E-3</c:v>
                  </c:pt>
                </c:numCache>
              </c:numRef>
            </c:minus>
            <c:spPr>
              <a:noFill/>
              <a:ln w="15875" cap="flat" cmpd="sng" algn="ctr">
                <a:solidFill>
                  <a:schemeClr val="tx1"/>
                </a:solidFill>
                <a:round/>
              </a:ln>
              <a:effectLst/>
            </c:spPr>
          </c:errBars>
          <c:cat>
            <c:strRef>
              <c:f>S!$J$46:$J$50</c:f>
              <c:strCache>
                <c:ptCount val="5"/>
                <c:pt idx="0">
                  <c:v>Group I</c:v>
                </c:pt>
                <c:pt idx="1">
                  <c:v>Group II</c:v>
                </c:pt>
                <c:pt idx="2">
                  <c:v>Group III</c:v>
                </c:pt>
                <c:pt idx="3">
                  <c:v>Group IV</c:v>
                </c:pt>
                <c:pt idx="4">
                  <c:v>Group V</c:v>
                </c:pt>
              </c:strCache>
            </c:strRef>
          </c:cat>
          <c:val>
            <c:numRef>
              <c:f>S!$L$46:$L$50</c:f>
              <c:numCache>
                <c:formatCode>0.00</c:formatCode>
                <c:ptCount val="5"/>
                <c:pt idx="0">
                  <c:v>9.5158730158730165E-2</c:v>
                </c:pt>
                <c:pt idx="1">
                  <c:v>9.9907936507936543E-2</c:v>
                </c:pt>
                <c:pt idx="2">
                  <c:v>9.1911111111111068E-2</c:v>
                </c:pt>
                <c:pt idx="3">
                  <c:v>6.4812698412698475E-2</c:v>
                </c:pt>
                <c:pt idx="4">
                  <c:v>5.1612698412698436E-2</c:v>
                </c:pt>
              </c:numCache>
            </c:numRef>
          </c:val>
          <c:smooth val="0"/>
          <c:extLst>
            <c:ext xmlns:c16="http://schemas.microsoft.com/office/drawing/2014/chart" uri="{C3380CC4-5D6E-409C-BE32-E72D297353CC}">
              <c16:uniqueId val="{00000001-9E51-024E-851B-94BABD426EA6}"/>
            </c:ext>
          </c:extLst>
        </c:ser>
        <c:ser>
          <c:idx val="2"/>
          <c:order val="2"/>
          <c:tx>
            <c:strRef>
              <c:f>S!$M$45</c:f>
              <c:strCache>
                <c:ptCount val="1"/>
                <c:pt idx="0">
                  <c:v>Spermatids</c:v>
                </c:pt>
              </c:strCache>
            </c:strRef>
          </c:tx>
          <c:spPr>
            <a:ln w="28575" cap="rnd">
              <a:solidFill>
                <a:schemeClr val="tx1"/>
              </a:solidFill>
              <a:prstDash val="solid"/>
              <a:round/>
            </a:ln>
            <a:effectLst/>
          </c:spPr>
          <c:marker>
            <c:symbol val="triangle"/>
            <c:size val="5"/>
            <c:spPr>
              <a:solidFill>
                <a:schemeClr val="tx1"/>
              </a:solidFill>
              <a:ln w="9525">
                <a:solidFill>
                  <a:schemeClr val="tx1"/>
                </a:solidFill>
              </a:ln>
              <a:effectLst/>
            </c:spPr>
          </c:marker>
          <c:errBars>
            <c:errDir val="y"/>
            <c:errBarType val="both"/>
            <c:errValType val="cust"/>
            <c:noEndCap val="0"/>
            <c:plus>
              <c:numRef>
                <c:f>S!$K$56:$K$60</c:f>
                <c:numCache>
                  <c:formatCode>General</c:formatCode>
                  <c:ptCount val="5"/>
                  <c:pt idx="0">
                    <c:v>2.9602731176729198E-3</c:v>
                  </c:pt>
                  <c:pt idx="1">
                    <c:v>1.5950997860492732E-3</c:v>
                  </c:pt>
                  <c:pt idx="2">
                    <c:v>2.9056542417507892E-3</c:v>
                  </c:pt>
                  <c:pt idx="3">
                    <c:v>3.648813679792555E-3</c:v>
                  </c:pt>
                  <c:pt idx="4">
                    <c:v>4.5586165996673918E-3</c:v>
                  </c:pt>
                </c:numCache>
              </c:numRef>
            </c:plus>
            <c:minus>
              <c:numRef>
                <c:f>S!$K$56:$K$60</c:f>
                <c:numCache>
                  <c:formatCode>General</c:formatCode>
                  <c:ptCount val="5"/>
                  <c:pt idx="0">
                    <c:v>2.9602731176729198E-3</c:v>
                  </c:pt>
                  <c:pt idx="1">
                    <c:v>1.5950997860492732E-3</c:v>
                  </c:pt>
                  <c:pt idx="2">
                    <c:v>2.9056542417507892E-3</c:v>
                  </c:pt>
                  <c:pt idx="3">
                    <c:v>3.648813679792555E-3</c:v>
                  </c:pt>
                  <c:pt idx="4">
                    <c:v>4.5586165996673918E-3</c:v>
                  </c:pt>
                </c:numCache>
              </c:numRef>
            </c:minus>
            <c:spPr>
              <a:noFill/>
              <a:ln w="15875" cap="flat" cmpd="sng" algn="ctr">
                <a:solidFill>
                  <a:schemeClr val="tx1"/>
                </a:solidFill>
                <a:round/>
              </a:ln>
              <a:effectLst/>
            </c:spPr>
          </c:errBars>
          <c:cat>
            <c:strRef>
              <c:f>S!$J$46:$J$50</c:f>
              <c:strCache>
                <c:ptCount val="5"/>
                <c:pt idx="0">
                  <c:v>Group I</c:v>
                </c:pt>
                <c:pt idx="1">
                  <c:v>Group II</c:v>
                </c:pt>
                <c:pt idx="2">
                  <c:v>Group III</c:v>
                </c:pt>
                <c:pt idx="3">
                  <c:v>Group IV</c:v>
                </c:pt>
                <c:pt idx="4">
                  <c:v>Group V</c:v>
                </c:pt>
              </c:strCache>
            </c:strRef>
          </c:cat>
          <c:val>
            <c:numRef>
              <c:f>S!$M$46:$M$50</c:f>
              <c:numCache>
                <c:formatCode>0.00</c:formatCode>
                <c:ptCount val="5"/>
                <c:pt idx="0">
                  <c:v>0.11006984126984128</c:v>
                </c:pt>
                <c:pt idx="1">
                  <c:v>0.11387619047619051</c:v>
                </c:pt>
                <c:pt idx="2">
                  <c:v>0.10423809523809523</c:v>
                </c:pt>
                <c:pt idx="3">
                  <c:v>8.5590476190476286E-2</c:v>
                </c:pt>
                <c:pt idx="4">
                  <c:v>6.5301587301587319E-2</c:v>
                </c:pt>
              </c:numCache>
            </c:numRef>
          </c:val>
          <c:smooth val="0"/>
          <c:extLst>
            <c:ext xmlns:c16="http://schemas.microsoft.com/office/drawing/2014/chart" uri="{C3380CC4-5D6E-409C-BE32-E72D297353CC}">
              <c16:uniqueId val="{00000002-9E51-024E-851B-94BABD426EA6}"/>
            </c:ext>
          </c:extLst>
        </c:ser>
        <c:dLbls>
          <c:showLegendKey val="0"/>
          <c:showVal val="0"/>
          <c:showCatName val="0"/>
          <c:showSerName val="0"/>
          <c:showPercent val="0"/>
          <c:showBubbleSize val="0"/>
        </c:dLbls>
        <c:marker val="1"/>
        <c:smooth val="0"/>
        <c:axId val="50121728"/>
        <c:axId val="50328320"/>
      </c:lineChart>
      <c:catAx>
        <c:axId val="50121728"/>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328320"/>
        <c:crosses val="autoZero"/>
        <c:auto val="1"/>
        <c:lblAlgn val="ctr"/>
        <c:lblOffset val="100"/>
        <c:noMultiLvlLbl val="0"/>
      </c:catAx>
      <c:valAx>
        <c:axId val="50328320"/>
        <c:scaling>
          <c:orientation val="minMax"/>
          <c:min val="3.0000000000000002E-2"/>
        </c:scaling>
        <c:delete val="0"/>
        <c:axPos val="l"/>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GB"/>
                  <a:t>10</a:t>
                </a:r>
                <a:r>
                  <a:rPr lang="en-US" sz="1000" b="0" i="0" u="none" strike="noStrike" baseline="30000">
                    <a:effectLst/>
                  </a:rPr>
                  <a:t>6</a:t>
                </a:r>
                <a:r>
                  <a:rPr lang="en-IN" sz="1000" b="0" i="0" u="none" strike="noStrike" baseline="0">
                    <a:effectLst/>
                  </a:rPr>
                  <a:t>/testis</a:t>
                </a:r>
                <a:endParaRPr lang="en-GB"/>
              </a:p>
            </c:rich>
          </c:tx>
          <c:overlay val="0"/>
          <c:spPr>
            <a:noFill/>
            <a:ln>
              <a:noFill/>
            </a:ln>
            <a:effectLst/>
          </c:spPr>
        </c:title>
        <c:numFmt formatCode="0.00" sourceLinked="1"/>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121728"/>
        <c:crosses val="autoZero"/>
        <c:crossBetween val="between"/>
      </c:valAx>
      <c:spPr>
        <a:noFill/>
        <a:ln>
          <a:noFill/>
        </a:ln>
        <a:effectLst/>
      </c:spPr>
    </c:plotArea>
    <c:legend>
      <c:legendPos val="tr"/>
      <c:overlay val="1"/>
      <c:spPr>
        <a:noFill/>
        <a:ln>
          <a:noFill/>
        </a:ln>
        <a:effectLst/>
      </c:spPr>
      <c:txPr>
        <a:bodyPr rot="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GSH</a:t>
            </a:r>
          </a:p>
        </c:rich>
      </c:tx>
      <c:overlay val="0"/>
      <c:spPr>
        <a:noFill/>
        <a:ln>
          <a:noFill/>
        </a:ln>
        <a:effectLst/>
      </c:spPr>
    </c:title>
    <c:autoTitleDeleted val="0"/>
    <c:plotArea>
      <c:layout/>
      <c:barChart>
        <c:barDir val="col"/>
        <c:grouping val="clustered"/>
        <c:varyColors val="0"/>
        <c:ser>
          <c:idx val="0"/>
          <c:order val="0"/>
          <c:spPr>
            <a:pattFill prst="pct90">
              <a:fgClr>
                <a:sysClr val="windowText" lastClr="000000"/>
              </a:fgClr>
              <a:bgClr>
                <a:schemeClr val="bg1"/>
              </a:bgClr>
            </a:pattFill>
            <a:ln w="15875">
              <a:solidFill>
                <a:schemeClr val="tx1"/>
              </a:solidFill>
            </a:ln>
            <a:effectLst/>
          </c:spPr>
          <c:invertIfNegative val="0"/>
          <c:errBars>
            <c:errBarType val="both"/>
            <c:errValType val="cust"/>
            <c:noEndCap val="0"/>
            <c:plus>
              <c:numRef>
                <c:f>GSH!$B$14:$F$14</c:f>
                <c:numCache>
                  <c:formatCode>General</c:formatCode>
                  <c:ptCount val="5"/>
                  <c:pt idx="0">
                    <c:v>1.1897295754014998</c:v>
                  </c:pt>
                  <c:pt idx="1">
                    <c:v>1.0187781130046958</c:v>
                  </c:pt>
                  <c:pt idx="2">
                    <c:v>0.81581101919967891</c:v>
                  </c:pt>
                  <c:pt idx="3">
                    <c:v>1.035594738585049</c:v>
                  </c:pt>
                  <c:pt idx="4">
                    <c:v>0.91065611392178725</c:v>
                  </c:pt>
                </c:numCache>
              </c:numRef>
            </c:plus>
            <c:minus>
              <c:numRef>
                <c:f>GSH!$B$14:$F$14</c:f>
                <c:numCache>
                  <c:formatCode>General</c:formatCode>
                  <c:ptCount val="5"/>
                  <c:pt idx="0">
                    <c:v>1.1897295754014998</c:v>
                  </c:pt>
                  <c:pt idx="1">
                    <c:v>1.0187781130046958</c:v>
                  </c:pt>
                  <c:pt idx="2">
                    <c:v>0.81581101919967891</c:v>
                  </c:pt>
                  <c:pt idx="3">
                    <c:v>1.035594738585049</c:v>
                  </c:pt>
                  <c:pt idx="4">
                    <c:v>0.91065611392178725</c:v>
                  </c:pt>
                </c:numCache>
              </c:numRef>
            </c:minus>
            <c:spPr>
              <a:noFill/>
              <a:ln w="15875" cap="flat" cmpd="sng" algn="ctr">
                <a:solidFill>
                  <a:schemeClr val="tx1"/>
                </a:solidFill>
                <a:round/>
              </a:ln>
              <a:effectLst/>
            </c:spPr>
          </c:errBars>
          <c:cat>
            <c:strRef>
              <c:f>GSH!$B$4:$F$4</c:f>
              <c:strCache>
                <c:ptCount val="5"/>
                <c:pt idx="0">
                  <c:v>Group I</c:v>
                </c:pt>
                <c:pt idx="1">
                  <c:v>Group II</c:v>
                </c:pt>
                <c:pt idx="2">
                  <c:v>Group III</c:v>
                </c:pt>
                <c:pt idx="3">
                  <c:v>Group IV</c:v>
                </c:pt>
                <c:pt idx="4">
                  <c:v>Group V</c:v>
                </c:pt>
              </c:strCache>
            </c:strRef>
          </c:cat>
          <c:val>
            <c:numRef>
              <c:f>GSH!$B$12:$F$12</c:f>
              <c:numCache>
                <c:formatCode>0.00</c:formatCode>
                <c:ptCount val="5"/>
                <c:pt idx="0">
                  <c:v>15.054285714285719</c:v>
                </c:pt>
                <c:pt idx="1">
                  <c:v>13.445714285714292</c:v>
                </c:pt>
                <c:pt idx="2">
                  <c:v>11.209999999999999</c:v>
                </c:pt>
                <c:pt idx="3">
                  <c:v>9.6742857142857144</c:v>
                </c:pt>
                <c:pt idx="4">
                  <c:v>5.8842857142857126</c:v>
                </c:pt>
              </c:numCache>
            </c:numRef>
          </c:val>
          <c:extLst>
            <c:ext xmlns:c16="http://schemas.microsoft.com/office/drawing/2014/chart" uri="{C3380CC4-5D6E-409C-BE32-E72D297353CC}">
              <c16:uniqueId val="{00000000-5496-DE47-837D-DCC231EEAD65}"/>
            </c:ext>
          </c:extLst>
        </c:ser>
        <c:dLbls>
          <c:showLegendKey val="0"/>
          <c:showVal val="0"/>
          <c:showCatName val="0"/>
          <c:showSerName val="0"/>
          <c:showPercent val="0"/>
          <c:showBubbleSize val="0"/>
        </c:dLbls>
        <c:gapWidth val="100"/>
        <c:overlap val="-27"/>
        <c:axId val="50340992"/>
        <c:axId val="50342528"/>
      </c:barChart>
      <c:catAx>
        <c:axId val="50340992"/>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342528"/>
        <c:crosses val="autoZero"/>
        <c:auto val="1"/>
        <c:lblAlgn val="ctr"/>
        <c:lblOffset val="100"/>
        <c:noMultiLvlLbl val="0"/>
      </c:catAx>
      <c:valAx>
        <c:axId val="50342528"/>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sz="1000" b="0" i="0" u="none" strike="noStrike" baseline="0">
                    <a:effectLst/>
                    <a:sym typeface="Symbol" pitchFamily="2" charset="2"/>
                  </a:rPr>
                  <a:t></a:t>
                </a:r>
                <a:r>
                  <a:rPr lang="en-GB">
                    <a:solidFill>
                      <a:schemeClr val="tx1"/>
                    </a:solidFill>
                  </a:rPr>
                  <a:t>M/g tissue</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340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GPx</a:t>
            </a:r>
          </a:p>
        </c:rich>
      </c:tx>
      <c:overlay val="0"/>
      <c:spPr>
        <a:noFill/>
        <a:ln>
          <a:noFill/>
        </a:ln>
        <a:effectLst/>
      </c:spPr>
    </c:title>
    <c:autoTitleDeleted val="0"/>
    <c:plotArea>
      <c:layout/>
      <c:barChart>
        <c:barDir val="col"/>
        <c:grouping val="clustered"/>
        <c:varyColors val="0"/>
        <c:ser>
          <c:idx val="0"/>
          <c:order val="0"/>
          <c:spPr>
            <a:pattFill prst="pct90">
              <a:fgClr>
                <a:sysClr val="windowText" lastClr="000000"/>
              </a:fgClr>
              <a:bgClr>
                <a:schemeClr val="bg1"/>
              </a:bgClr>
            </a:pattFill>
            <a:ln w="15875">
              <a:solidFill>
                <a:schemeClr val="tx1"/>
              </a:solidFill>
            </a:ln>
            <a:effectLst/>
          </c:spPr>
          <c:invertIfNegative val="0"/>
          <c:errBars>
            <c:errBarType val="both"/>
            <c:errValType val="cust"/>
            <c:noEndCap val="0"/>
            <c:plus>
              <c:numRef>
                <c:f>GPx!$B$14:$F$14</c:f>
                <c:numCache>
                  <c:formatCode>General</c:formatCode>
                  <c:ptCount val="5"/>
                  <c:pt idx="0">
                    <c:v>0.30679382161248242</c:v>
                  </c:pt>
                  <c:pt idx="1">
                    <c:v>0.59217689028511977</c:v>
                  </c:pt>
                  <c:pt idx="2">
                    <c:v>0.59942205725272313</c:v>
                  </c:pt>
                  <c:pt idx="3">
                    <c:v>0.20056722285646159</c:v>
                  </c:pt>
                  <c:pt idx="4">
                    <c:v>0.33045937928971608</c:v>
                  </c:pt>
                </c:numCache>
              </c:numRef>
            </c:plus>
            <c:minus>
              <c:numRef>
                <c:f>GPx!$B$14:$F$14</c:f>
                <c:numCache>
                  <c:formatCode>General</c:formatCode>
                  <c:ptCount val="5"/>
                  <c:pt idx="0">
                    <c:v>0.30679382161248242</c:v>
                  </c:pt>
                  <c:pt idx="1">
                    <c:v>0.59217689028511977</c:v>
                  </c:pt>
                  <c:pt idx="2">
                    <c:v>0.59942205725272313</c:v>
                  </c:pt>
                  <c:pt idx="3">
                    <c:v>0.20056722285646159</c:v>
                  </c:pt>
                  <c:pt idx="4">
                    <c:v>0.33045937928971608</c:v>
                  </c:pt>
                </c:numCache>
              </c:numRef>
            </c:minus>
            <c:spPr>
              <a:noFill/>
              <a:ln w="15875" cap="flat" cmpd="sng" algn="ctr">
                <a:solidFill>
                  <a:schemeClr val="tx1"/>
                </a:solidFill>
                <a:round/>
              </a:ln>
              <a:effectLst/>
            </c:spPr>
          </c:errBars>
          <c:cat>
            <c:strRef>
              <c:f>GPx!$B$4:$F$4</c:f>
              <c:strCache>
                <c:ptCount val="5"/>
                <c:pt idx="0">
                  <c:v>Group I</c:v>
                </c:pt>
                <c:pt idx="1">
                  <c:v>Group II</c:v>
                </c:pt>
                <c:pt idx="2">
                  <c:v>Group III</c:v>
                </c:pt>
                <c:pt idx="3">
                  <c:v>Group IV</c:v>
                </c:pt>
                <c:pt idx="4">
                  <c:v>Group V</c:v>
                </c:pt>
              </c:strCache>
            </c:strRef>
          </c:cat>
          <c:val>
            <c:numRef>
              <c:f>GPx!$B$12:$F$12</c:f>
              <c:numCache>
                <c:formatCode>0.00</c:formatCode>
                <c:ptCount val="5"/>
                <c:pt idx="0">
                  <c:v>4.1628571428571419</c:v>
                </c:pt>
                <c:pt idx="1">
                  <c:v>4.4485714285714284</c:v>
                </c:pt>
                <c:pt idx="2">
                  <c:v>5.4614285714285717</c:v>
                </c:pt>
                <c:pt idx="3">
                  <c:v>2.4528571428571433</c:v>
                </c:pt>
                <c:pt idx="4">
                  <c:v>1.9771428571428571</c:v>
                </c:pt>
              </c:numCache>
            </c:numRef>
          </c:val>
          <c:extLst>
            <c:ext xmlns:c16="http://schemas.microsoft.com/office/drawing/2014/chart" uri="{C3380CC4-5D6E-409C-BE32-E72D297353CC}">
              <c16:uniqueId val="{00000000-449C-7F4C-A501-0E32BF001AFD}"/>
            </c:ext>
          </c:extLst>
        </c:ser>
        <c:dLbls>
          <c:showLegendKey val="0"/>
          <c:showVal val="0"/>
          <c:showCatName val="0"/>
          <c:showSerName val="0"/>
          <c:showPercent val="0"/>
          <c:showBubbleSize val="0"/>
        </c:dLbls>
        <c:gapWidth val="100"/>
        <c:overlap val="-27"/>
        <c:axId val="50383872"/>
        <c:axId val="50402048"/>
      </c:barChart>
      <c:catAx>
        <c:axId val="50383872"/>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402048"/>
        <c:crosses val="autoZero"/>
        <c:auto val="1"/>
        <c:lblAlgn val="ctr"/>
        <c:lblOffset val="100"/>
        <c:noMultiLvlLbl val="0"/>
      </c:catAx>
      <c:valAx>
        <c:axId val="50402048"/>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nmol/min/mg protein</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38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0.20833</cdr:x>
      <cdr:y>0.1088</cdr:y>
    </cdr:from>
    <cdr:to>
      <cdr:x>0.88333</cdr:x>
      <cdr:y>0.12732</cdr:y>
    </cdr:to>
    <cdr:sp macro="" textlink="">
      <cdr:nvSpPr>
        <cdr:cNvPr id="2" name="Left Bracket 1">
          <a:extLst xmlns:a="http://schemas.openxmlformats.org/drawingml/2006/main">
            <a:ext uri="{FF2B5EF4-FFF2-40B4-BE49-F238E27FC236}">
              <a16:creationId xmlns:a16="http://schemas.microsoft.com/office/drawing/2014/main" id="{5E6554D1-41EC-BFA0-7E92-3AD8694CE13B}"/>
            </a:ext>
          </a:extLst>
        </cdr:cNvPr>
        <cdr:cNvSpPr/>
      </cdr:nvSpPr>
      <cdr:spPr>
        <a:xfrm xmlns:a="http://schemas.openxmlformats.org/drawingml/2006/main" rot="5400000">
          <a:off x="2470148" y="-1219198"/>
          <a:ext cx="50803"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0.87222</cdr:x>
      <cdr:y>0.08102</cdr:y>
    </cdr:from>
    <cdr:to>
      <cdr:x>0.93333</cdr:x>
      <cdr:y>0.15046</cdr:y>
    </cdr:to>
    <cdr:sp macro="" textlink="">
      <cdr:nvSpPr>
        <cdr:cNvPr id="3" name="TextBox 2">
          <a:extLst xmlns:a="http://schemas.openxmlformats.org/drawingml/2006/main">
            <a:ext uri="{FF2B5EF4-FFF2-40B4-BE49-F238E27FC236}">
              <a16:creationId xmlns:a16="http://schemas.microsoft.com/office/drawing/2014/main" id="{85EAA7F9-C169-C86A-4C8B-5E1208F83218}"/>
            </a:ext>
          </a:extLst>
        </cdr:cNvPr>
        <cdr:cNvSpPr txBox="1"/>
      </cdr:nvSpPr>
      <cdr:spPr>
        <a:xfrm xmlns:a="http://schemas.openxmlformats.org/drawingml/2006/main">
          <a:off x="3987800" y="222250"/>
          <a:ext cx="279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10.xml><?xml version="1.0" encoding="utf-8"?>
<c:userShapes xmlns:c="http://schemas.openxmlformats.org/drawingml/2006/chart">
  <cdr:relSizeAnchor xmlns:cdr="http://schemas.openxmlformats.org/drawingml/2006/chartDrawing">
    <cdr:from>
      <cdr:x>0.19722</cdr:x>
      <cdr:y>0.18056</cdr:y>
    </cdr:from>
    <cdr:to>
      <cdr:x>0.87222</cdr:x>
      <cdr:y>0.19908</cdr:y>
    </cdr:to>
    <cdr:sp macro="" textlink="">
      <cdr:nvSpPr>
        <cdr:cNvPr id="2" name="Left Bracket 1">
          <a:extLst xmlns:a="http://schemas.openxmlformats.org/drawingml/2006/main">
            <a:ext uri="{FF2B5EF4-FFF2-40B4-BE49-F238E27FC236}">
              <a16:creationId xmlns:a16="http://schemas.microsoft.com/office/drawing/2014/main" id="{76C31567-3E38-63A8-5B61-02D0C0153B08}"/>
            </a:ext>
          </a:extLst>
        </cdr:cNvPr>
        <cdr:cNvSpPr/>
      </cdr:nvSpPr>
      <cdr:spPr>
        <a:xfrm xmlns:a="http://schemas.openxmlformats.org/drawingml/2006/main" rot="5400000">
          <a:off x="2419348" y="-10223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cdr:x>
      <cdr:y>0.22685</cdr:y>
    </cdr:from>
    <cdr:to>
      <cdr:x>0.69167</cdr:x>
      <cdr:y>0.24352</cdr:y>
    </cdr:to>
    <cdr:sp macro="" textlink="">
      <cdr:nvSpPr>
        <cdr:cNvPr id="3" name="Left Bracket 2">
          <a:extLst xmlns:a="http://schemas.openxmlformats.org/drawingml/2006/main">
            <a:ext uri="{FF2B5EF4-FFF2-40B4-BE49-F238E27FC236}">
              <a16:creationId xmlns:a16="http://schemas.microsoft.com/office/drawing/2014/main" id="{E41BE4B1-0493-6C76-653F-BD35574CD761}"/>
            </a:ext>
          </a:extLst>
        </cdr:cNvPr>
        <cdr:cNvSpPr/>
      </cdr:nvSpPr>
      <cdr:spPr>
        <a:xfrm xmlns:a="http://schemas.openxmlformats.org/drawingml/2006/main" rot="5400000">
          <a:off x="2015493" y="-478793"/>
          <a:ext cx="45729" cy="2247915"/>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0.86389</cdr:x>
      <cdr:y>0.14815</cdr:y>
    </cdr:from>
    <cdr:to>
      <cdr:x>0.96111</cdr:x>
      <cdr:y>0.22917</cdr:y>
    </cdr:to>
    <cdr:sp macro="" textlink="">
      <cdr:nvSpPr>
        <cdr:cNvPr id="4" name="TextBox 1">
          <a:extLst xmlns:a="http://schemas.openxmlformats.org/drawingml/2006/main">
            <a:ext uri="{FF2B5EF4-FFF2-40B4-BE49-F238E27FC236}">
              <a16:creationId xmlns:a16="http://schemas.microsoft.com/office/drawing/2014/main" id="{C1F102A3-60FC-E0ED-0AD3-333FDC23193A}"/>
            </a:ext>
          </a:extLst>
        </cdr:cNvPr>
        <cdr:cNvSpPr txBox="1"/>
      </cdr:nvSpPr>
      <cdr:spPr>
        <a:xfrm xmlns:a="http://schemas.openxmlformats.org/drawingml/2006/main">
          <a:off x="3949700" y="4064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0.68333</cdr:x>
      <cdr:y>0.19444</cdr:y>
    </cdr:from>
    <cdr:to>
      <cdr:x>0.78055</cdr:x>
      <cdr:y>0.27546</cdr:y>
    </cdr:to>
    <cdr:sp macro="" textlink="">
      <cdr:nvSpPr>
        <cdr:cNvPr id="5" name="TextBox 1">
          <a:extLst xmlns:a="http://schemas.openxmlformats.org/drawingml/2006/main">
            <a:ext uri="{FF2B5EF4-FFF2-40B4-BE49-F238E27FC236}">
              <a16:creationId xmlns:a16="http://schemas.microsoft.com/office/drawing/2014/main" id="{C1F102A3-60FC-E0ED-0AD3-333FDC23193A}"/>
            </a:ext>
          </a:extLst>
        </cdr:cNvPr>
        <cdr:cNvSpPr txBox="1"/>
      </cdr:nvSpPr>
      <cdr:spPr>
        <a:xfrm xmlns:a="http://schemas.openxmlformats.org/drawingml/2006/main">
          <a:off x="3124200" y="5334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0.01965</cdr:y>
    </cdr:from>
    <cdr:to>
      <cdr:x>1</cdr:x>
      <cdr:y>0.1178</cdr:y>
    </cdr:to>
    <cdr:sp macro="" textlink="">
      <cdr:nvSpPr>
        <cdr:cNvPr id="6" name="Text Box 1"/>
        <cdr:cNvSpPr txBox="1"/>
      </cdr:nvSpPr>
      <cdr:spPr>
        <a:xfrm xmlns:a="http://schemas.openxmlformats.org/drawingml/2006/main">
          <a:off x="4302755" y="53892"/>
          <a:ext cx="269245" cy="2692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A</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0.19722</cdr:x>
      <cdr:y>0.22222</cdr:y>
    </cdr:from>
    <cdr:to>
      <cdr:x>0.87222</cdr:x>
      <cdr:y>0.24074</cdr:y>
    </cdr:to>
    <cdr:sp macro="" textlink="">
      <cdr:nvSpPr>
        <cdr:cNvPr id="2" name="Left Bracket 1">
          <a:extLst xmlns:a="http://schemas.openxmlformats.org/drawingml/2006/main">
            <a:ext uri="{FF2B5EF4-FFF2-40B4-BE49-F238E27FC236}">
              <a16:creationId xmlns:a16="http://schemas.microsoft.com/office/drawing/2014/main" id="{8A3FBE32-D9D7-8E3B-A121-01B745899BB3}"/>
            </a:ext>
          </a:extLst>
        </cdr:cNvPr>
        <cdr:cNvSpPr/>
      </cdr:nvSpPr>
      <cdr:spPr>
        <a:xfrm xmlns:a="http://schemas.openxmlformats.org/drawingml/2006/main" rot="5400000">
          <a:off x="2419348" y="-9080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cdr:x>
      <cdr:y>0.26852</cdr:y>
    </cdr:from>
    <cdr:to>
      <cdr:x>0.69167</cdr:x>
      <cdr:y>0.28519</cdr:y>
    </cdr:to>
    <cdr:sp macro="" textlink="">
      <cdr:nvSpPr>
        <cdr:cNvPr id="3" name="Left Bracket 2">
          <a:extLst xmlns:a="http://schemas.openxmlformats.org/drawingml/2006/main">
            <a:ext uri="{FF2B5EF4-FFF2-40B4-BE49-F238E27FC236}">
              <a16:creationId xmlns:a16="http://schemas.microsoft.com/office/drawing/2014/main" id="{196C0924-BC1A-6966-2D3B-69C1431F7E6E}"/>
            </a:ext>
          </a:extLst>
        </cdr:cNvPr>
        <cdr:cNvSpPr/>
      </cdr:nvSpPr>
      <cdr:spPr>
        <a:xfrm xmlns:a="http://schemas.openxmlformats.org/drawingml/2006/main" rot="5400000">
          <a:off x="2015493" y="-364493"/>
          <a:ext cx="45729" cy="2247915"/>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0.86111</cdr:x>
      <cdr:y>0.19444</cdr:y>
    </cdr:from>
    <cdr:to>
      <cdr:x>0.95833</cdr:x>
      <cdr:y>0.27546</cdr:y>
    </cdr:to>
    <cdr:sp macro="" textlink="">
      <cdr:nvSpPr>
        <cdr:cNvPr id="4" name="TextBox 1">
          <a:extLst xmlns:a="http://schemas.openxmlformats.org/drawingml/2006/main">
            <a:ext uri="{FF2B5EF4-FFF2-40B4-BE49-F238E27FC236}">
              <a16:creationId xmlns:a16="http://schemas.microsoft.com/office/drawing/2014/main" id="{9687FBA1-8496-C40C-C39F-7A5B9D6D3778}"/>
            </a:ext>
          </a:extLst>
        </cdr:cNvPr>
        <cdr:cNvSpPr txBox="1"/>
      </cdr:nvSpPr>
      <cdr:spPr>
        <a:xfrm xmlns:a="http://schemas.openxmlformats.org/drawingml/2006/main">
          <a:off x="3937000" y="5334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0.68056</cdr:x>
      <cdr:y>0.24074</cdr:y>
    </cdr:from>
    <cdr:to>
      <cdr:x>0.77778</cdr:x>
      <cdr:y>0.32176</cdr:y>
    </cdr:to>
    <cdr:sp macro="" textlink="">
      <cdr:nvSpPr>
        <cdr:cNvPr id="5" name="TextBox 1">
          <a:extLst xmlns:a="http://schemas.openxmlformats.org/drawingml/2006/main">
            <a:ext uri="{FF2B5EF4-FFF2-40B4-BE49-F238E27FC236}">
              <a16:creationId xmlns:a16="http://schemas.microsoft.com/office/drawing/2014/main" id="{9687FBA1-8496-C40C-C39F-7A5B9D6D3778}"/>
            </a:ext>
          </a:extLst>
        </cdr:cNvPr>
        <cdr:cNvSpPr txBox="1"/>
      </cdr:nvSpPr>
      <cdr:spPr>
        <a:xfrm xmlns:a="http://schemas.openxmlformats.org/drawingml/2006/main">
          <a:off x="3111500" y="6604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cdr:y>
    </cdr:from>
    <cdr:to>
      <cdr:x>1</cdr:x>
      <cdr:y>0.09815</cdr:y>
    </cdr:to>
    <cdr:sp macro="" textlink="">
      <cdr:nvSpPr>
        <cdr:cNvPr id="6" name="Text Box 1"/>
        <cdr:cNvSpPr txBox="1"/>
      </cdr:nvSpPr>
      <cdr:spPr>
        <a:xfrm xmlns:a="http://schemas.openxmlformats.org/drawingml/2006/main">
          <a:off x="4302755" y="0"/>
          <a:ext cx="269245" cy="2692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B</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0.225</cdr:x>
      <cdr:y>0.14352</cdr:y>
    </cdr:from>
    <cdr:to>
      <cdr:x>0.9</cdr:x>
      <cdr:y>0.16204</cdr:y>
    </cdr:to>
    <cdr:sp macro="" textlink="">
      <cdr:nvSpPr>
        <cdr:cNvPr id="2" name="Left Bracket 1">
          <a:extLst xmlns:a="http://schemas.openxmlformats.org/drawingml/2006/main">
            <a:ext uri="{FF2B5EF4-FFF2-40B4-BE49-F238E27FC236}">
              <a16:creationId xmlns:a16="http://schemas.microsoft.com/office/drawing/2014/main" id="{B0EC6945-79BE-852C-D3EA-33D23F1EE68B}"/>
            </a:ext>
          </a:extLst>
        </cdr:cNvPr>
        <cdr:cNvSpPr/>
      </cdr:nvSpPr>
      <cdr:spPr>
        <a:xfrm xmlns:a="http://schemas.openxmlformats.org/drawingml/2006/main" rot="5400000">
          <a:off x="2546348" y="-1123946"/>
          <a:ext cx="50803"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0.225</cdr:x>
      <cdr:y>0.19167</cdr:y>
    </cdr:from>
    <cdr:to>
      <cdr:x>0.72222</cdr:x>
      <cdr:y>0.20834</cdr:y>
    </cdr:to>
    <cdr:sp macro="" textlink="">
      <cdr:nvSpPr>
        <cdr:cNvPr id="3" name="Left Bracket 2">
          <a:extLst xmlns:a="http://schemas.openxmlformats.org/drawingml/2006/main">
            <a:ext uri="{FF2B5EF4-FFF2-40B4-BE49-F238E27FC236}">
              <a16:creationId xmlns:a16="http://schemas.microsoft.com/office/drawing/2014/main" id="{086F95E3-5760-42DD-25A1-7722D0F0AD1A}"/>
            </a:ext>
          </a:extLst>
        </cdr:cNvPr>
        <cdr:cNvSpPr/>
      </cdr:nvSpPr>
      <cdr:spPr>
        <a:xfrm xmlns:a="http://schemas.openxmlformats.org/drawingml/2006/main" rot="5400000">
          <a:off x="2142490" y="-588003"/>
          <a:ext cx="45719" cy="22733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0.225</cdr:x>
      <cdr:y>0.23148</cdr:y>
    </cdr:from>
    <cdr:to>
      <cdr:x>0.55556</cdr:x>
      <cdr:y>0.24815</cdr:y>
    </cdr:to>
    <cdr:sp macro="" textlink="">
      <cdr:nvSpPr>
        <cdr:cNvPr id="4" name="Left Bracket 3">
          <a:extLst xmlns:a="http://schemas.openxmlformats.org/drawingml/2006/main">
            <a:ext uri="{FF2B5EF4-FFF2-40B4-BE49-F238E27FC236}">
              <a16:creationId xmlns:a16="http://schemas.microsoft.com/office/drawing/2014/main" id="{F6BA12CA-379E-7E14-A274-84922597715F}"/>
            </a:ext>
          </a:extLst>
        </cdr:cNvPr>
        <cdr:cNvSpPr/>
      </cdr:nvSpPr>
      <cdr:spPr>
        <a:xfrm xmlns:a="http://schemas.openxmlformats.org/drawingml/2006/main" rot="5400000">
          <a:off x="1761490" y="-97788"/>
          <a:ext cx="45719" cy="15113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0.225</cdr:x>
      <cdr:y>0.26852</cdr:y>
    </cdr:from>
    <cdr:to>
      <cdr:x>0.39444</cdr:x>
      <cdr:y>0.28519</cdr:y>
    </cdr:to>
    <cdr:sp macro="" textlink="">
      <cdr:nvSpPr>
        <cdr:cNvPr id="5" name="Left Bracket 4">
          <a:extLst xmlns:a="http://schemas.openxmlformats.org/drawingml/2006/main">
            <a:ext uri="{FF2B5EF4-FFF2-40B4-BE49-F238E27FC236}">
              <a16:creationId xmlns:a16="http://schemas.microsoft.com/office/drawing/2014/main" id="{AFFB4F15-A674-0CB0-34E2-B0A08C7B83A4}"/>
            </a:ext>
          </a:extLst>
        </cdr:cNvPr>
        <cdr:cNvSpPr/>
      </cdr:nvSpPr>
      <cdr:spPr>
        <a:xfrm xmlns:a="http://schemas.openxmlformats.org/drawingml/2006/main" rot="5400000">
          <a:off x="1393190" y="372112"/>
          <a:ext cx="45719" cy="7747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0.88611</cdr:x>
      <cdr:y>0.11806</cdr:y>
    </cdr:from>
    <cdr:to>
      <cdr:x>1</cdr:x>
      <cdr:y>0.18287</cdr:y>
    </cdr:to>
    <cdr:sp macro="" textlink="">
      <cdr:nvSpPr>
        <cdr:cNvPr id="6" name="TextBox 5">
          <a:extLst xmlns:a="http://schemas.openxmlformats.org/drawingml/2006/main">
            <a:ext uri="{FF2B5EF4-FFF2-40B4-BE49-F238E27FC236}">
              <a16:creationId xmlns:a16="http://schemas.microsoft.com/office/drawing/2014/main" id="{64D9A680-6AA2-AB61-4808-B0E0762CEE0A}"/>
            </a:ext>
          </a:extLst>
        </cdr:cNvPr>
        <cdr:cNvSpPr txBox="1"/>
      </cdr:nvSpPr>
      <cdr:spPr>
        <a:xfrm xmlns:a="http://schemas.openxmlformats.org/drawingml/2006/main">
          <a:off x="4051300" y="323850"/>
          <a:ext cx="520700" cy="177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dr:relSizeAnchor xmlns:cdr="http://schemas.openxmlformats.org/drawingml/2006/chartDrawing">
    <cdr:from>
      <cdr:x>0.71389</cdr:x>
      <cdr:y>0.16204</cdr:y>
    </cdr:from>
    <cdr:to>
      <cdr:x>0.82778</cdr:x>
      <cdr:y>0.22685</cdr:y>
    </cdr:to>
    <cdr:sp macro="" textlink="">
      <cdr:nvSpPr>
        <cdr:cNvPr id="7" name="TextBox 1">
          <a:extLst xmlns:a="http://schemas.openxmlformats.org/drawingml/2006/main">
            <a:ext uri="{FF2B5EF4-FFF2-40B4-BE49-F238E27FC236}">
              <a16:creationId xmlns:a16="http://schemas.microsoft.com/office/drawing/2014/main" id="{37665C47-FAFE-BC45-32BF-FD01C2F0A1DA}"/>
            </a:ext>
          </a:extLst>
        </cdr:cNvPr>
        <cdr:cNvSpPr txBox="1"/>
      </cdr:nvSpPr>
      <cdr:spPr>
        <a:xfrm xmlns:a="http://schemas.openxmlformats.org/drawingml/2006/main">
          <a:off x="3263900" y="444500"/>
          <a:ext cx="520700" cy="177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0.54444</cdr:x>
      <cdr:y>0.2037</cdr:y>
    </cdr:from>
    <cdr:to>
      <cdr:x>0.65833</cdr:x>
      <cdr:y>0.26852</cdr:y>
    </cdr:to>
    <cdr:sp macro="" textlink="">
      <cdr:nvSpPr>
        <cdr:cNvPr id="8" name="TextBox 1">
          <a:extLst xmlns:a="http://schemas.openxmlformats.org/drawingml/2006/main">
            <a:ext uri="{FF2B5EF4-FFF2-40B4-BE49-F238E27FC236}">
              <a16:creationId xmlns:a16="http://schemas.microsoft.com/office/drawing/2014/main" id="{37665C47-FAFE-BC45-32BF-FD01C2F0A1DA}"/>
            </a:ext>
          </a:extLst>
        </cdr:cNvPr>
        <cdr:cNvSpPr txBox="1"/>
      </cdr:nvSpPr>
      <cdr:spPr>
        <a:xfrm xmlns:a="http://schemas.openxmlformats.org/drawingml/2006/main">
          <a:off x="2489200" y="558800"/>
          <a:ext cx="520700" cy="177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0.38333</cdr:x>
      <cdr:y>0.24074</cdr:y>
    </cdr:from>
    <cdr:to>
      <cdr:x>0.49722</cdr:x>
      <cdr:y>0.30556</cdr:y>
    </cdr:to>
    <cdr:sp macro="" textlink="">
      <cdr:nvSpPr>
        <cdr:cNvPr id="9" name="TextBox 1">
          <a:extLst xmlns:a="http://schemas.openxmlformats.org/drawingml/2006/main">
            <a:ext uri="{FF2B5EF4-FFF2-40B4-BE49-F238E27FC236}">
              <a16:creationId xmlns:a16="http://schemas.microsoft.com/office/drawing/2014/main" id="{37665C47-FAFE-BC45-32BF-FD01C2F0A1DA}"/>
            </a:ext>
          </a:extLst>
        </cdr:cNvPr>
        <cdr:cNvSpPr txBox="1"/>
      </cdr:nvSpPr>
      <cdr:spPr>
        <a:xfrm xmlns:a="http://schemas.openxmlformats.org/drawingml/2006/main">
          <a:off x="1752600" y="660400"/>
          <a:ext cx="520700" cy="177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0.21944</cdr:x>
      <cdr:y>0.13426</cdr:y>
    </cdr:from>
    <cdr:to>
      <cdr:x>0.89444</cdr:x>
      <cdr:y>0.15278</cdr:y>
    </cdr:to>
    <cdr:sp macro="" textlink="">
      <cdr:nvSpPr>
        <cdr:cNvPr id="2" name="Left Bracket 1">
          <a:extLst xmlns:a="http://schemas.openxmlformats.org/drawingml/2006/main">
            <a:ext uri="{FF2B5EF4-FFF2-40B4-BE49-F238E27FC236}">
              <a16:creationId xmlns:a16="http://schemas.microsoft.com/office/drawing/2014/main" id="{B0DBFAB1-E050-35B1-DCA0-F949520DAB4B}"/>
            </a:ext>
          </a:extLst>
        </cdr:cNvPr>
        <cdr:cNvSpPr/>
      </cdr:nvSpPr>
      <cdr:spPr>
        <a:xfrm xmlns:a="http://schemas.openxmlformats.org/drawingml/2006/main" rot="5400000">
          <a:off x="2520948" y="-11493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0.88611</cdr:x>
      <cdr:y>0.10648</cdr:y>
    </cdr:from>
    <cdr:to>
      <cdr:x>1</cdr:x>
      <cdr:y>0.1713</cdr:y>
    </cdr:to>
    <cdr:sp macro="" textlink="">
      <cdr:nvSpPr>
        <cdr:cNvPr id="3" name="TextBox 1">
          <a:extLst xmlns:a="http://schemas.openxmlformats.org/drawingml/2006/main">
            <a:ext uri="{FF2B5EF4-FFF2-40B4-BE49-F238E27FC236}">
              <a16:creationId xmlns:a16="http://schemas.microsoft.com/office/drawing/2014/main" id="{21773D04-1DC1-F28E-B1AB-92A9D5D573C0}"/>
            </a:ext>
          </a:extLst>
        </cdr:cNvPr>
        <cdr:cNvSpPr txBox="1"/>
      </cdr:nvSpPr>
      <cdr:spPr>
        <a:xfrm xmlns:a="http://schemas.openxmlformats.org/drawingml/2006/main">
          <a:off x="4051295" y="2921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0.01828</cdr:y>
    </cdr:from>
    <cdr:to>
      <cdr:x>1</cdr:x>
      <cdr:y>0.11643</cdr:y>
    </cdr:to>
    <cdr:sp macro="" textlink="">
      <cdr:nvSpPr>
        <cdr:cNvPr id="4" name="Text Box 1"/>
        <cdr:cNvSpPr txBox="1"/>
      </cdr:nvSpPr>
      <cdr:spPr>
        <a:xfrm xmlns:a="http://schemas.openxmlformats.org/drawingml/2006/main">
          <a:off x="4302760" y="50144"/>
          <a:ext cx="269240" cy="2692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A</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0.23333</cdr:x>
      <cdr:y>0.05556</cdr:y>
    </cdr:from>
    <cdr:to>
      <cdr:x>0.90833</cdr:x>
      <cdr:y>0.07408</cdr:y>
    </cdr:to>
    <cdr:sp macro="" textlink="">
      <cdr:nvSpPr>
        <cdr:cNvPr id="2" name="Left Bracket 1">
          <a:extLst xmlns:a="http://schemas.openxmlformats.org/drawingml/2006/main">
            <a:ext uri="{FF2B5EF4-FFF2-40B4-BE49-F238E27FC236}">
              <a16:creationId xmlns:a16="http://schemas.microsoft.com/office/drawing/2014/main" id="{587307DE-D30C-570F-337B-D9F614C86581}"/>
            </a:ext>
          </a:extLst>
        </cdr:cNvPr>
        <cdr:cNvSpPr/>
      </cdr:nvSpPr>
      <cdr:spPr>
        <a:xfrm xmlns:a="http://schemas.openxmlformats.org/drawingml/2006/main" rot="5400000">
          <a:off x="2584448" y="-13652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0.23333</cdr:x>
      <cdr:y>0.10833</cdr:y>
    </cdr:from>
    <cdr:to>
      <cdr:x>0.725</cdr:x>
      <cdr:y>0.125</cdr:y>
    </cdr:to>
    <cdr:sp macro="" textlink="">
      <cdr:nvSpPr>
        <cdr:cNvPr id="3" name="Left Bracket 2">
          <a:extLst xmlns:a="http://schemas.openxmlformats.org/drawingml/2006/main">
            <a:ext uri="{FF2B5EF4-FFF2-40B4-BE49-F238E27FC236}">
              <a16:creationId xmlns:a16="http://schemas.microsoft.com/office/drawing/2014/main" id="{2BC13440-8A8A-4812-11F4-DD407CE03E8E}"/>
            </a:ext>
          </a:extLst>
        </cdr:cNvPr>
        <cdr:cNvSpPr/>
      </cdr:nvSpPr>
      <cdr:spPr>
        <a:xfrm xmlns:a="http://schemas.openxmlformats.org/drawingml/2006/main" rot="5400000">
          <a:off x="2167890" y="-803906"/>
          <a:ext cx="45719" cy="22479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0.71667</cdr:x>
      <cdr:y>0.0787</cdr:y>
    </cdr:from>
    <cdr:to>
      <cdr:x>0.83056</cdr:x>
      <cdr:y>0.14352</cdr:y>
    </cdr:to>
    <cdr:sp macro="" textlink="">
      <cdr:nvSpPr>
        <cdr:cNvPr id="4" name="TextBox 1">
          <a:extLst xmlns:a="http://schemas.openxmlformats.org/drawingml/2006/main">
            <a:ext uri="{FF2B5EF4-FFF2-40B4-BE49-F238E27FC236}">
              <a16:creationId xmlns:a16="http://schemas.microsoft.com/office/drawing/2014/main" id="{BE6CF3F4-84A3-91D0-0F35-8CF123F7B1E7}"/>
            </a:ext>
          </a:extLst>
        </cdr:cNvPr>
        <cdr:cNvSpPr txBox="1"/>
      </cdr:nvSpPr>
      <cdr:spPr>
        <a:xfrm xmlns:a="http://schemas.openxmlformats.org/drawingml/2006/main">
          <a:off x="3276600" y="2159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0.90278</cdr:x>
      <cdr:y>0.02778</cdr:y>
    </cdr:from>
    <cdr:to>
      <cdr:x>0.98889</cdr:x>
      <cdr:y>0.09954</cdr:y>
    </cdr:to>
    <cdr:sp macro="" textlink="">
      <cdr:nvSpPr>
        <cdr:cNvPr id="5" name="TextBox 1">
          <a:extLst xmlns:a="http://schemas.openxmlformats.org/drawingml/2006/main">
            <a:ext uri="{FF2B5EF4-FFF2-40B4-BE49-F238E27FC236}">
              <a16:creationId xmlns:a16="http://schemas.microsoft.com/office/drawing/2014/main" id="{E3C41077-3F34-398B-92DF-4B226FCD42F1}"/>
            </a:ext>
          </a:extLst>
        </cdr:cNvPr>
        <cdr:cNvSpPr txBox="1"/>
      </cdr:nvSpPr>
      <cdr:spPr>
        <a:xfrm xmlns:a="http://schemas.openxmlformats.org/drawingml/2006/main">
          <a:off x="4127500" y="76200"/>
          <a:ext cx="393700" cy="196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0.95082</cdr:x>
      <cdr:y>0</cdr:y>
    </cdr:from>
    <cdr:to>
      <cdr:x>1</cdr:x>
      <cdr:y>0.09815</cdr:y>
    </cdr:to>
    <cdr:sp macro="" textlink="">
      <cdr:nvSpPr>
        <cdr:cNvPr id="6" name="Text Box 1"/>
        <cdr:cNvSpPr txBox="1"/>
      </cdr:nvSpPr>
      <cdr:spPr>
        <a:xfrm xmlns:a="http://schemas.openxmlformats.org/drawingml/2006/main">
          <a:off x="4347148" y="0"/>
          <a:ext cx="224852" cy="2692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B</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0.225</cdr:x>
      <cdr:y>0.0463</cdr:y>
    </cdr:from>
    <cdr:to>
      <cdr:x>0.71667</cdr:x>
      <cdr:y>0.06296</cdr:y>
    </cdr:to>
    <cdr:sp macro="" textlink="">
      <cdr:nvSpPr>
        <cdr:cNvPr id="2" name="Left Bracket 1">
          <a:extLst xmlns:a="http://schemas.openxmlformats.org/drawingml/2006/main">
            <a:ext uri="{FF2B5EF4-FFF2-40B4-BE49-F238E27FC236}">
              <a16:creationId xmlns:a16="http://schemas.microsoft.com/office/drawing/2014/main" id="{1DD23FDB-3785-7A9A-E9F9-5F654EA8BE1C}"/>
            </a:ext>
          </a:extLst>
        </cdr:cNvPr>
        <cdr:cNvSpPr/>
      </cdr:nvSpPr>
      <cdr:spPr>
        <a:xfrm xmlns:a="http://schemas.openxmlformats.org/drawingml/2006/main" rot="5400000">
          <a:off x="2129790" y="-974089"/>
          <a:ext cx="45719" cy="22479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0.225</cdr:x>
      <cdr:y>0.09722</cdr:y>
    </cdr:from>
    <cdr:to>
      <cdr:x>0.56111</cdr:x>
      <cdr:y>0.11389</cdr:y>
    </cdr:to>
    <cdr:sp macro="" textlink="">
      <cdr:nvSpPr>
        <cdr:cNvPr id="3" name="Left Bracket 2">
          <a:extLst xmlns:a="http://schemas.openxmlformats.org/drawingml/2006/main">
            <a:ext uri="{FF2B5EF4-FFF2-40B4-BE49-F238E27FC236}">
              <a16:creationId xmlns:a16="http://schemas.microsoft.com/office/drawing/2014/main" id="{790A3B5F-18C7-6A4A-5B13-BDF7CB2B4CAC}"/>
            </a:ext>
          </a:extLst>
        </cdr:cNvPr>
        <cdr:cNvSpPr/>
      </cdr:nvSpPr>
      <cdr:spPr>
        <a:xfrm xmlns:a="http://schemas.openxmlformats.org/drawingml/2006/main" rot="5400000">
          <a:off x="1774190" y="-478788"/>
          <a:ext cx="45719" cy="15367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0.70833</cdr:x>
      <cdr:y>0.01389</cdr:y>
    </cdr:from>
    <cdr:to>
      <cdr:x>0.80556</cdr:x>
      <cdr:y>0.09491</cdr:y>
    </cdr:to>
    <cdr:sp macro="" textlink="">
      <cdr:nvSpPr>
        <cdr:cNvPr id="4" name="TextBox 1">
          <a:extLst xmlns:a="http://schemas.openxmlformats.org/drawingml/2006/main">
            <a:ext uri="{FF2B5EF4-FFF2-40B4-BE49-F238E27FC236}">
              <a16:creationId xmlns:a16="http://schemas.microsoft.com/office/drawing/2014/main" id="{24E8FD9D-4FD5-D544-485B-52ACFDAB9837}"/>
            </a:ext>
          </a:extLst>
        </cdr:cNvPr>
        <cdr:cNvSpPr txBox="1"/>
      </cdr:nvSpPr>
      <cdr:spPr>
        <a:xfrm xmlns:a="http://schemas.openxmlformats.org/drawingml/2006/main">
          <a:off x="3238500" y="38100"/>
          <a:ext cx="444500" cy="222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0.55278</cdr:x>
      <cdr:y>0.06481</cdr:y>
    </cdr:from>
    <cdr:to>
      <cdr:x>0.65</cdr:x>
      <cdr:y>0.14583</cdr:y>
    </cdr:to>
    <cdr:sp macro="" textlink="">
      <cdr:nvSpPr>
        <cdr:cNvPr id="5" name="TextBox 1">
          <a:extLst xmlns:a="http://schemas.openxmlformats.org/drawingml/2006/main">
            <a:ext uri="{FF2B5EF4-FFF2-40B4-BE49-F238E27FC236}">
              <a16:creationId xmlns:a16="http://schemas.microsoft.com/office/drawing/2014/main" id="{E8B3FFD3-E612-730A-46C3-27861BE84B7F}"/>
            </a:ext>
          </a:extLst>
        </cdr:cNvPr>
        <cdr:cNvSpPr txBox="1"/>
      </cdr:nvSpPr>
      <cdr:spPr>
        <a:xfrm xmlns:a="http://schemas.openxmlformats.org/drawingml/2006/main">
          <a:off x="2527300" y="177800"/>
          <a:ext cx="444500" cy="222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cdr:y>
    </cdr:from>
    <cdr:to>
      <cdr:x>1</cdr:x>
      <cdr:y>0.09815</cdr:y>
    </cdr:to>
    <cdr:sp macro="" textlink="">
      <cdr:nvSpPr>
        <cdr:cNvPr id="6" name="Text Box 1"/>
        <cdr:cNvSpPr txBox="1"/>
      </cdr:nvSpPr>
      <cdr:spPr>
        <a:xfrm xmlns:a="http://schemas.openxmlformats.org/drawingml/2006/main">
          <a:off x="4302760" y="0"/>
          <a:ext cx="269240" cy="2692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C</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0.23333</cdr:x>
      <cdr:y>0.06481</cdr:y>
    </cdr:from>
    <cdr:to>
      <cdr:x>0.90833</cdr:x>
      <cdr:y>0.08333</cdr:y>
    </cdr:to>
    <cdr:sp macro="" textlink="">
      <cdr:nvSpPr>
        <cdr:cNvPr id="2" name="Left Bracket 1">
          <a:extLst xmlns:a="http://schemas.openxmlformats.org/drawingml/2006/main">
            <a:ext uri="{FF2B5EF4-FFF2-40B4-BE49-F238E27FC236}">
              <a16:creationId xmlns:a16="http://schemas.microsoft.com/office/drawing/2014/main" id="{A40FFFE5-05CF-5433-D309-370FCF32220F}"/>
            </a:ext>
          </a:extLst>
        </cdr:cNvPr>
        <cdr:cNvSpPr/>
      </cdr:nvSpPr>
      <cdr:spPr>
        <a:xfrm xmlns:a="http://schemas.openxmlformats.org/drawingml/2006/main" rot="5400000">
          <a:off x="2584448" y="-13398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0.23333</cdr:x>
      <cdr:y>0.12037</cdr:y>
    </cdr:from>
    <cdr:to>
      <cdr:x>0.725</cdr:x>
      <cdr:y>0.13704</cdr:y>
    </cdr:to>
    <cdr:sp macro="" textlink="">
      <cdr:nvSpPr>
        <cdr:cNvPr id="3" name="Left Bracket 2">
          <a:extLst xmlns:a="http://schemas.openxmlformats.org/drawingml/2006/main">
            <a:ext uri="{FF2B5EF4-FFF2-40B4-BE49-F238E27FC236}">
              <a16:creationId xmlns:a16="http://schemas.microsoft.com/office/drawing/2014/main" id="{60E340E6-73B7-01B7-27E3-16A6E6316C8B}"/>
            </a:ext>
          </a:extLst>
        </cdr:cNvPr>
        <cdr:cNvSpPr/>
      </cdr:nvSpPr>
      <cdr:spPr>
        <a:xfrm xmlns:a="http://schemas.openxmlformats.org/drawingml/2006/main" rot="5400000">
          <a:off x="2167890" y="-770889"/>
          <a:ext cx="45719" cy="22479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0.90278</cdr:x>
      <cdr:y>0.03241</cdr:y>
    </cdr:from>
    <cdr:to>
      <cdr:x>1</cdr:x>
      <cdr:y>0.11343</cdr:y>
    </cdr:to>
    <cdr:sp macro="" textlink="">
      <cdr:nvSpPr>
        <cdr:cNvPr id="4" name="TextBox 1">
          <a:extLst xmlns:a="http://schemas.openxmlformats.org/drawingml/2006/main">
            <a:ext uri="{FF2B5EF4-FFF2-40B4-BE49-F238E27FC236}">
              <a16:creationId xmlns:a16="http://schemas.microsoft.com/office/drawing/2014/main" id="{0853223F-C139-1617-A2EB-8805F9989D0F}"/>
            </a:ext>
          </a:extLst>
        </cdr:cNvPr>
        <cdr:cNvSpPr txBox="1"/>
      </cdr:nvSpPr>
      <cdr:spPr>
        <a:xfrm xmlns:a="http://schemas.openxmlformats.org/drawingml/2006/main">
          <a:off x="4127500" y="88900"/>
          <a:ext cx="444500" cy="222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0.71944</cdr:x>
      <cdr:y>0.08796</cdr:y>
    </cdr:from>
    <cdr:to>
      <cdr:x>0.81667</cdr:x>
      <cdr:y>0.16898</cdr:y>
    </cdr:to>
    <cdr:sp macro="" textlink="">
      <cdr:nvSpPr>
        <cdr:cNvPr id="5" name="TextBox 1">
          <a:extLst xmlns:a="http://schemas.openxmlformats.org/drawingml/2006/main">
            <a:ext uri="{FF2B5EF4-FFF2-40B4-BE49-F238E27FC236}">
              <a16:creationId xmlns:a16="http://schemas.microsoft.com/office/drawing/2014/main" id="{B9FA6A6D-D1C4-97D5-A1CD-FCABAAD44C6B}"/>
            </a:ext>
          </a:extLst>
        </cdr:cNvPr>
        <cdr:cNvSpPr txBox="1"/>
      </cdr:nvSpPr>
      <cdr:spPr>
        <a:xfrm xmlns:a="http://schemas.openxmlformats.org/drawingml/2006/main">
          <a:off x="3289300" y="241300"/>
          <a:ext cx="444500" cy="222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cdr:y>
    </cdr:from>
    <cdr:to>
      <cdr:x>1</cdr:x>
      <cdr:y>0.09815</cdr:y>
    </cdr:to>
    <cdr:sp macro="" textlink="">
      <cdr:nvSpPr>
        <cdr:cNvPr id="6" name="Text Box 1"/>
        <cdr:cNvSpPr txBox="1"/>
      </cdr:nvSpPr>
      <cdr:spPr>
        <a:xfrm xmlns:a="http://schemas.openxmlformats.org/drawingml/2006/main">
          <a:off x="4302760" y="-3844977"/>
          <a:ext cx="269240" cy="2692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D</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0.68611</cdr:x>
      <cdr:y>0.47685</cdr:y>
    </cdr:from>
    <cdr:to>
      <cdr:x>0.8</cdr:x>
      <cdr:y>0.54167</cdr:y>
    </cdr:to>
    <cdr:sp macro="" textlink="">
      <cdr:nvSpPr>
        <cdr:cNvPr id="2" name="TextBox 1">
          <a:extLst xmlns:a="http://schemas.openxmlformats.org/drawingml/2006/main">
            <a:ext uri="{FF2B5EF4-FFF2-40B4-BE49-F238E27FC236}">
              <a16:creationId xmlns:a16="http://schemas.microsoft.com/office/drawing/2014/main" id="{F86CA091-E077-5B45-B1D6-D50F90336670}"/>
            </a:ext>
          </a:extLst>
        </cdr:cNvPr>
        <cdr:cNvSpPr txBox="1"/>
      </cdr:nvSpPr>
      <cdr:spPr>
        <a:xfrm xmlns:a="http://schemas.openxmlformats.org/drawingml/2006/main">
          <a:off x="3136900" y="13081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0.70833</cdr:x>
      <cdr:y>0.30093</cdr:y>
    </cdr:from>
    <cdr:to>
      <cdr:x>0.82222</cdr:x>
      <cdr:y>0.36575</cdr:y>
    </cdr:to>
    <cdr:sp macro="" textlink="">
      <cdr:nvSpPr>
        <cdr:cNvPr id="3" name="TextBox 1">
          <a:extLst xmlns:a="http://schemas.openxmlformats.org/drawingml/2006/main">
            <a:ext uri="{FF2B5EF4-FFF2-40B4-BE49-F238E27FC236}">
              <a16:creationId xmlns:a16="http://schemas.microsoft.com/office/drawing/2014/main" id="{B27083CB-2637-4E8A-E267-AF207E78A891}"/>
            </a:ext>
          </a:extLst>
        </cdr:cNvPr>
        <cdr:cNvSpPr txBox="1"/>
      </cdr:nvSpPr>
      <cdr:spPr>
        <a:xfrm xmlns:a="http://schemas.openxmlformats.org/drawingml/2006/main">
          <a:off x="3238500" y="8255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0.69444</cdr:x>
      <cdr:y>0.15741</cdr:y>
    </cdr:from>
    <cdr:to>
      <cdr:x>0.80833</cdr:x>
      <cdr:y>0.22223</cdr:y>
    </cdr:to>
    <cdr:sp macro="" textlink="">
      <cdr:nvSpPr>
        <cdr:cNvPr id="4" name="TextBox 1">
          <a:extLst xmlns:a="http://schemas.openxmlformats.org/drawingml/2006/main">
            <a:ext uri="{FF2B5EF4-FFF2-40B4-BE49-F238E27FC236}">
              <a16:creationId xmlns:a16="http://schemas.microsoft.com/office/drawing/2014/main" id="{B27083CB-2637-4E8A-E267-AF207E78A891}"/>
            </a:ext>
          </a:extLst>
        </cdr:cNvPr>
        <cdr:cNvSpPr txBox="1"/>
      </cdr:nvSpPr>
      <cdr:spPr>
        <a:xfrm xmlns:a="http://schemas.openxmlformats.org/drawingml/2006/main">
          <a:off x="3175000" y="4318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0.875</cdr:x>
      <cdr:y>0.48611</cdr:y>
    </cdr:from>
    <cdr:to>
      <cdr:x>0.98889</cdr:x>
      <cdr:y>0.55093</cdr:y>
    </cdr:to>
    <cdr:sp macro="" textlink="">
      <cdr:nvSpPr>
        <cdr:cNvPr id="5" name="TextBox 1">
          <a:extLst xmlns:a="http://schemas.openxmlformats.org/drawingml/2006/main">
            <a:ext uri="{FF2B5EF4-FFF2-40B4-BE49-F238E27FC236}">
              <a16:creationId xmlns:a16="http://schemas.microsoft.com/office/drawing/2014/main" id="{B27083CB-2637-4E8A-E267-AF207E78A891}"/>
            </a:ext>
          </a:extLst>
        </cdr:cNvPr>
        <cdr:cNvSpPr txBox="1"/>
      </cdr:nvSpPr>
      <cdr:spPr>
        <a:xfrm xmlns:a="http://schemas.openxmlformats.org/drawingml/2006/main">
          <a:off x="4000500" y="13335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0.84722</cdr:x>
      <cdr:y>0.61111</cdr:y>
    </cdr:from>
    <cdr:to>
      <cdr:x>0.96111</cdr:x>
      <cdr:y>0.67593</cdr:y>
    </cdr:to>
    <cdr:sp macro="" textlink="">
      <cdr:nvSpPr>
        <cdr:cNvPr id="6" name="TextBox 1">
          <a:extLst xmlns:a="http://schemas.openxmlformats.org/drawingml/2006/main">
            <a:ext uri="{FF2B5EF4-FFF2-40B4-BE49-F238E27FC236}">
              <a16:creationId xmlns:a16="http://schemas.microsoft.com/office/drawing/2014/main" id="{B27083CB-2637-4E8A-E267-AF207E78A891}"/>
            </a:ext>
          </a:extLst>
        </cdr:cNvPr>
        <cdr:cNvSpPr txBox="1"/>
      </cdr:nvSpPr>
      <cdr:spPr>
        <a:xfrm xmlns:a="http://schemas.openxmlformats.org/drawingml/2006/main">
          <a:off x="3873500" y="16764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userShapes>
</file>

<file path=word/drawings/drawing8.xml><?xml version="1.0" encoding="utf-8"?>
<c:userShapes xmlns:c="http://schemas.openxmlformats.org/drawingml/2006/chart">
  <cdr:relSizeAnchor xmlns:cdr="http://schemas.openxmlformats.org/drawingml/2006/chartDrawing">
    <cdr:from>
      <cdr:x>0.20833</cdr:x>
      <cdr:y>0.1713</cdr:y>
    </cdr:from>
    <cdr:to>
      <cdr:x>0.88333</cdr:x>
      <cdr:y>0.18982</cdr:y>
    </cdr:to>
    <cdr:sp macro="" textlink="">
      <cdr:nvSpPr>
        <cdr:cNvPr id="2" name="Left Bracket 1">
          <a:extLst xmlns:a="http://schemas.openxmlformats.org/drawingml/2006/main">
            <a:ext uri="{FF2B5EF4-FFF2-40B4-BE49-F238E27FC236}">
              <a16:creationId xmlns:a16="http://schemas.microsoft.com/office/drawing/2014/main" id="{336968D7-4F3E-5558-8240-9BCACA238C02}"/>
            </a:ext>
          </a:extLst>
        </cdr:cNvPr>
        <cdr:cNvSpPr/>
      </cdr:nvSpPr>
      <cdr:spPr>
        <a:xfrm xmlns:a="http://schemas.openxmlformats.org/drawingml/2006/main" rot="5400000">
          <a:off x="2470148" y="-10477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0.21111</cdr:x>
      <cdr:y>0.20833</cdr:y>
    </cdr:from>
    <cdr:to>
      <cdr:x>0.70278</cdr:x>
      <cdr:y>0.225</cdr:y>
    </cdr:to>
    <cdr:sp macro="" textlink="">
      <cdr:nvSpPr>
        <cdr:cNvPr id="3" name="Left Bracket 2">
          <a:extLst xmlns:a="http://schemas.openxmlformats.org/drawingml/2006/main">
            <a:ext uri="{FF2B5EF4-FFF2-40B4-BE49-F238E27FC236}">
              <a16:creationId xmlns:a16="http://schemas.microsoft.com/office/drawing/2014/main" id="{9D05394B-6D07-8DF3-ED9E-68C637EC4811}"/>
            </a:ext>
          </a:extLst>
        </cdr:cNvPr>
        <cdr:cNvSpPr/>
      </cdr:nvSpPr>
      <cdr:spPr>
        <a:xfrm xmlns:a="http://schemas.openxmlformats.org/drawingml/2006/main" rot="5400000">
          <a:off x="2066293" y="-529593"/>
          <a:ext cx="45729" cy="2247915"/>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0.87222</cdr:x>
      <cdr:y>0.14352</cdr:y>
    </cdr:from>
    <cdr:to>
      <cdr:x>0.96944</cdr:x>
      <cdr:y>0.22454</cdr:y>
    </cdr:to>
    <cdr:sp macro="" textlink="">
      <cdr:nvSpPr>
        <cdr:cNvPr id="4" name="TextBox 1">
          <a:extLst xmlns:a="http://schemas.openxmlformats.org/drawingml/2006/main">
            <a:ext uri="{FF2B5EF4-FFF2-40B4-BE49-F238E27FC236}">
              <a16:creationId xmlns:a16="http://schemas.microsoft.com/office/drawing/2014/main" id="{4703072A-D6D4-4B90-584E-D2CEE9E96339}"/>
            </a:ext>
          </a:extLst>
        </cdr:cNvPr>
        <cdr:cNvSpPr txBox="1"/>
      </cdr:nvSpPr>
      <cdr:spPr>
        <a:xfrm xmlns:a="http://schemas.openxmlformats.org/drawingml/2006/main">
          <a:off x="3987800" y="3937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0.69167</cdr:x>
      <cdr:y>0.17593</cdr:y>
    </cdr:from>
    <cdr:to>
      <cdr:x>0.78889</cdr:x>
      <cdr:y>0.25695</cdr:y>
    </cdr:to>
    <cdr:sp macro="" textlink="">
      <cdr:nvSpPr>
        <cdr:cNvPr id="5" name="TextBox 1">
          <a:extLst xmlns:a="http://schemas.openxmlformats.org/drawingml/2006/main">
            <a:ext uri="{FF2B5EF4-FFF2-40B4-BE49-F238E27FC236}">
              <a16:creationId xmlns:a16="http://schemas.microsoft.com/office/drawing/2014/main" id="{4703072A-D6D4-4B90-584E-D2CEE9E96339}"/>
            </a:ext>
          </a:extLst>
        </cdr:cNvPr>
        <cdr:cNvSpPr txBox="1"/>
      </cdr:nvSpPr>
      <cdr:spPr>
        <a:xfrm xmlns:a="http://schemas.openxmlformats.org/drawingml/2006/main">
          <a:off x="3162300" y="4826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0.01852</cdr:y>
    </cdr:from>
    <cdr:to>
      <cdr:x>1</cdr:x>
      <cdr:y>0.11667</cdr:y>
    </cdr:to>
    <cdr:sp macro="" textlink="">
      <cdr:nvSpPr>
        <cdr:cNvPr id="6" name="Text Box 1"/>
        <cdr:cNvSpPr txBox="1"/>
      </cdr:nvSpPr>
      <cdr:spPr>
        <a:xfrm xmlns:a="http://schemas.openxmlformats.org/drawingml/2006/main">
          <a:off x="4353555" y="50800"/>
          <a:ext cx="269245" cy="2692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A</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0.19444</cdr:x>
      <cdr:y>0.21296</cdr:y>
    </cdr:from>
    <cdr:to>
      <cdr:x>0.86944</cdr:x>
      <cdr:y>0.23148</cdr:y>
    </cdr:to>
    <cdr:sp macro="" textlink="">
      <cdr:nvSpPr>
        <cdr:cNvPr id="3" name="Left Bracket 2">
          <a:extLst xmlns:a="http://schemas.openxmlformats.org/drawingml/2006/main">
            <a:ext uri="{FF2B5EF4-FFF2-40B4-BE49-F238E27FC236}">
              <a16:creationId xmlns:a16="http://schemas.microsoft.com/office/drawing/2014/main" id="{1A1AC862-19E7-3956-2CBB-56B3BB566EF4}"/>
            </a:ext>
          </a:extLst>
        </cdr:cNvPr>
        <cdr:cNvSpPr/>
      </cdr:nvSpPr>
      <cdr:spPr>
        <a:xfrm xmlns:a="http://schemas.openxmlformats.org/drawingml/2006/main" rot="5400000">
          <a:off x="2406648" y="-9334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0.19444</cdr:x>
      <cdr:y>0.25</cdr:y>
    </cdr:from>
    <cdr:to>
      <cdr:x>0.68611</cdr:x>
      <cdr:y>0.26667</cdr:y>
    </cdr:to>
    <cdr:sp macro="" textlink="">
      <cdr:nvSpPr>
        <cdr:cNvPr id="4" name="Left Bracket 3">
          <a:extLst xmlns:a="http://schemas.openxmlformats.org/drawingml/2006/main">
            <a:ext uri="{FF2B5EF4-FFF2-40B4-BE49-F238E27FC236}">
              <a16:creationId xmlns:a16="http://schemas.microsoft.com/office/drawing/2014/main" id="{57611652-6E5A-6467-5F8D-45B04FA4C2EC}"/>
            </a:ext>
          </a:extLst>
        </cdr:cNvPr>
        <cdr:cNvSpPr/>
      </cdr:nvSpPr>
      <cdr:spPr>
        <a:xfrm xmlns:a="http://schemas.openxmlformats.org/drawingml/2006/main" rot="5400000">
          <a:off x="1990093" y="-415293"/>
          <a:ext cx="45729" cy="2247915"/>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0.86111</cdr:x>
      <cdr:y>0.18519</cdr:y>
    </cdr:from>
    <cdr:to>
      <cdr:x>0.95833</cdr:x>
      <cdr:y>0.26621</cdr:y>
    </cdr:to>
    <cdr:sp macro="" textlink="">
      <cdr:nvSpPr>
        <cdr:cNvPr id="5" name="TextBox 1">
          <a:extLst xmlns:a="http://schemas.openxmlformats.org/drawingml/2006/main">
            <a:ext uri="{FF2B5EF4-FFF2-40B4-BE49-F238E27FC236}">
              <a16:creationId xmlns:a16="http://schemas.microsoft.com/office/drawing/2014/main" id="{BFB836D8-326F-D477-21D5-216B61BADCD2}"/>
            </a:ext>
          </a:extLst>
        </cdr:cNvPr>
        <cdr:cNvSpPr txBox="1"/>
      </cdr:nvSpPr>
      <cdr:spPr>
        <a:xfrm xmlns:a="http://schemas.openxmlformats.org/drawingml/2006/main">
          <a:off x="3937000" y="5080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0.67778</cdr:x>
      <cdr:y>0.22222</cdr:y>
    </cdr:from>
    <cdr:to>
      <cdr:x>0.77501</cdr:x>
      <cdr:y>0.30324</cdr:y>
    </cdr:to>
    <cdr:sp macro="" textlink="">
      <cdr:nvSpPr>
        <cdr:cNvPr id="6" name="TextBox 1">
          <a:extLst xmlns:a="http://schemas.openxmlformats.org/drawingml/2006/main">
            <a:ext uri="{FF2B5EF4-FFF2-40B4-BE49-F238E27FC236}">
              <a16:creationId xmlns:a16="http://schemas.microsoft.com/office/drawing/2014/main" id="{4EF36B42-92E5-062F-3856-9542EA7F37B5}"/>
            </a:ext>
          </a:extLst>
        </cdr:cNvPr>
        <cdr:cNvSpPr txBox="1"/>
      </cdr:nvSpPr>
      <cdr:spPr>
        <a:xfrm xmlns:a="http://schemas.openxmlformats.org/drawingml/2006/main">
          <a:off x="3098800" y="609600"/>
          <a:ext cx="444535"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0.01965</cdr:y>
    </cdr:from>
    <cdr:to>
      <cdr:x>1</cdr:x>
      <cdr:y>0.1178</cdr:y>
    </cdr:to>
    <cdr:sp macro="" textlink="">
      <cdr:nvSpPr>
        <cdr:cNvPr id="2" name="Text Box 1"/>
        <cdr:cNvSpPr txBox="1"/>
      </cdr:nvSpPr>
      <cdr:spPr>
        <a:xfrm xmlns:a="http://schemas.openxmlformats.org/drawingml/2006/main">
          <a:off x="4302755" y="53892"/>
          <a:ext cx="269245" cy="2692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B</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936</TotalTime>
  <Pages>34</Pages>
  <Words>6481</Words>
  <Characters>36943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imtiyaz alam</dc:creator>
  <cp:keywords/>
  <dc:description/>
  <cp:lastModifiedBy>SDI 1137</cp:lastModifiedBy>
  <cp:revision>72</cp:revision>
  <dcterms:created xsi:type="dcterms:W3CDTF">2024-07-09T13:00:00Z</dcterms:created>
  <dcterms:modified xsi:type="dcterms:W3CDTF">2025-05-19T09:52:00Z</dcterms:modified>
</cp:coreProperties>
</file>