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01D1A" w14:textId="77777777" w:rsidR="00305F3D" w:rsidRPr="00B02375" w:rsidRDefault="00305F3D">
      <w:pPr>
        <w:rPr>
          <w:color w:val="000000" w:themeColor="text1"/>
        </w:rPr>
      </w:pPr>
    </w:p>
    <w:p w14:paraId="75FCB5F4" w14:textId="77777777" w:rsidR="00B02375" w:rsidRPr="006F6A59" w:rsidRDefault="00B02375" w:rsidP="00B02375">
      <w:pPr>
        <w:spacing w:before="100" w:beforeAutospacing="1" w:after="100" w:afterAutospacing="1" w:line="360" w:lineRule="auto"/>
        <w:jc w:val="right"/>
        <w:rPr>
          <w:rFonts w:ascii="Arial" w:eastAsia="Times New Roman" w:hAnsi="Arial" w:cs="Arial"/>
          <w:b/>
          <w:bCs/>
          <w:kern w:val="0"/>
          <w:sz w:val="36"/>
          <w:szCs w:val="36"/>
          <w:lang w:eastAsia="fr-FR"/>
          <w14:ligatures w14:val="none"/>
        </w:rPr>
      </w:pPr>
      <w:r w:rsidRPr="006F6A59">
        <w:rPr>
          <w:rFonts w:ascii="Arial" w:eastAsia="Times New Roman" w:hAnsi="Arial" w:cs="Arial"/>
          <w:b/>
          <w:bCs/>
          <w:kern w:val="0"/>
          <w:sz w:val="36"/>
          <w:szCs w:val="36"/>
          <w:lang w:eastAsia="fr-FR"/>
          <w14:ligatures w14:val="none"/>
        </w:rPr>
        <w:t xml:space="preserve">Effect of </w:t>
      </w:r>
      <w:r w:rsidRPr="006F6A59">
        <w:rPr>
          <w:rFonts w:ascii="Arial" w:eastAsia="Times New Roman" w:hAnsi="Arial" w:cs="Arial"/>
          <w:b/>
          <w:bCs/>
          <w:i/>
          <w:iCs/>
          <w:kern w:val="0"/>
          <w:sz w:val="36"/>
          <w:szCs w:val="36"/>
          <w:lang w:eastAsia="fr-FR"/>
          <w14:ligatures w14:val="none"/>
        </w:rPr>
        <w:t>Ficus umbellata</w:t>
      </w:r>
      <w:r w:rsidRPr="006F6A59">
        <w:rPr>
          <w:rFonts w:ascii="Arial" w:eastAsia="Times New Roman" w:hAnsi="Arial" w:cs="Arial"/>
          <w:b/>
          <w:bCs/>
          <w:kern w:val="0"/>
          <w:sz w:val="36"/>
          <w:szCs w:val="36"/>
          <w:lang w:eastAsia="fr-FR"/>
          <w14:ligatures w14:val="none"/>
        </w:rPr>
        <w:t xml:space="preserve"> (Vahl.) Leaves on Oxidative Stress in Obese Wistar Rats</w:t>
      </w:r>
    </w:p>
    <w:p w14:paraId="632E5EE6" w14:textId="510EA4B4" w:rsidR="00B02375" w:rsidRPr="00B02375" w:rsidRDefault="00B02375" w:rsidP="00F15A4B">
      <w:pPr>
        <w:spacing w:after="0"/>
        <w:jc w:val="right"/>
        <w:rPr>
          <w:rFonts w:ascii="Arial" w:hAnsi="Arial" w:cs="Arial"/>
          <w:b/>
          <w:bCs/>
          <w:color w:val="000000" w:themeColor="text1"/>
        </w:rPr>
      </w:pPr>
      <w:r w:rsidRPr="00F702E6">
        <w:rPr>
          <w:rFonts w:ascii="Arial" w:eastAsia="Times New Roman" w:hAnsi="Arial" w:cs="Arial"/>
          <w:b/>
          <w:bCs/>
          <w:kern w:val="0"/>
          <w:lang w:eastAsia="fr-FR"/>
          <w14:ligatures w14:val="none"/>
        </w:rPr>
        <w:br/>
      </w:r>
    </w:p>
    <w:p w14:paraId="04FB8C01" w14:textId="77777777" w:rsidR="00B02375" w:rsidRPr="00B02375" w:rsidRDefault="00B02375" w:rsidP="00B02375">
      <w:pPr>
        <w:spacing w:before="100" w:beforeAutospacing="1" w:after="100" w:afterAutospacing="1" w:line="360" w:lineRule="auto"/>
        <w:jc w:val="both"/>
        <w:rPr>
          <w:rFonts w:ascii="Arial" w:eastAsia="Times New Roman" w:hAnsi="Arial" w:cs="Arial"/>
          <w:color w:val="000000" w:themeColor="text1"/>
          <w:kern w:val="0"/>
          <w:lang w:eastAsia="fr-FR"/>
          <w14:ligatures w14:val="none"/>
        </w:rPr>
      </w:pPr>
      <w:r w:rsidRPr="00B02375">
        <w:rPr>
          <w:rFonts w:ascii="Arial" w:eastAsia="Times New Roman" w:hAnsi="Arial" w:cs="Arial"/>
          <w:b/>
          <w:bCs/>
          <w:color w:val="000000" w:themeColor="text1"/>
          <w:kern w:val="0"/>
          <w:lang w:eastAsia="fr-FR"/>
          <w14:ligatures w14:val="none"/>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B02375" w:rsidRPr="00B02375" w14:paraId="69699C1B" w14:textId="77777777" w:rsidTr="008E2018">
        <w:tc>
          <w:tcPr>
            <w:tcW w:w="9576" w:type="dxa"/>
            <w:shd w:val="clear" w:color="auto" w:fill="auto"/>
          </w:tcPr>
          <w:p w14:paraId="4136ABCD" w14:textId="77777777" w:rsidR="00B02375" w:rsidRPr="00B02375" w:rsidRDefault="00B02375" w:rsidP="008E2018">
            <w:pPr>
              <w:spacing w:before="100" w:beforeAutospacing="1" w:after="100" w:afterAutospacing="1" w:line="360" w:lineRule="auto"/>
              <w:jc w:val="both"/>
              <w:rPr>
                <w:rFonts w:ascii="Arial" w:eastAsia="Times New Roman" w:hAnsi="Arial" w:cs="Arial"/>
                <w:color w:val="000000" w:themeColor="text1"/>
                <w:kern w:val="0"/>
                <w:sz w:val="22"/>
                <w:szCs w:val="22"/>
                <w:lang w:eastAsia="fr-FR"/>
                <w14:ligatures w14:val="none"/>
              </w:rPr>
            </w:pPr>
            <w:r w:rsidRPr="00B02375">
              <w:rPr>
                <w:rFonts w:ascii="Arial" w:eastAsia="Times New Roman" w:hAnsi="Arial" w:cs="Arial"/>
                <w:color w:val="000000" w:themeColor="text1"/>
                <w:kern w:val="0"/>
                <w:sz w:val="22"/>
                <w:szCs w:val="22"/>
                <w:lang w:eastAsia="fr-FR"/>
                <w14:ligatures w14:val="none"/>
              </w:rPr>
              <w:t xml:space="preserve">Obesity is often associated with an imbalance in oxidative status, promoting excess free radicals and impairment of endogenous antioxidant systems. This study aimed to evaluate the effects of </w:t>
            </w:r>
            <w:r w:rsidRPr="00B02375">
              <w:rPr>
                <w:rFonts w:ascii="Arial" w:eastAsia="Times New Roman" w:hAnsi="Arial" w:cs="Arial"/>
                <w:i/>
                <w:iCs/>
                <w:color w:val="000000" w:themeColor="text1"/>
                <w:kern w:val="0"/>
                <w:sz w:val="22"/>
                <w:szCs w:val="22"/>
                <w:lang w:eastAsia="fr-FR"/>
                <w14:ligatures w14:val="none"/>
              </w:rPr>
              <w:t>Ficus umbellata</w:t>
            </w:r>
            <w:r w:rsidRPr="00B02375">
              <w:rPr>
                <w:rFonts w:ascii="Arial" w:eastAsia="Times New Roman" w:hAnsi="Arial" w:cs="Arial"/>
                <w:color w:val="000000" w:themeColor="text1"/>
                <w:kern w:val="0"/>
                <w:sz w:val="22"/>
                <w:szCs w:val="22"/>
                <w:lang w:eastAsia="fr-FR"/>
                <w14:ligatures w14:val="none"/>
              </w:rPr>
              <w:t xml:space="preserve"> leaf extracts on oxidative stress induced by a high-fat diet in obese Wistar rats. After obesity induction, the animals were orally treated with two doses of hydroalcoholic </w:t>
            </w:r>
            <w:r w:rsidRPr="00B02375">
              <w:rPr>
                <w:rFonts w:ascii="Arial" w:eastAsia="Times New Roman" w:hAnsi="Arial" w:cs="Arial"/>
                <w:i/>
                <w:iCs/>
                <w:color w:val="000000" w:themeColor="text1"/>
                <w:kern w:val="0"/>
                <w:sz w:val="22"/>
                <w:szCs w:val="22"/>
                <w:lang w:eastAsia="fr-FR"/>
                <w14:ligatures w14:val="none"/>
              </w:rPr>
              <w:t>Ficus umbellata</w:t>
            </w:r>
            <w:r w:rsidRPr="00B02375">
              <w:rPr>
                <w:rFonts w:ascii="Arial" w:eastAsia="Times New Roman" w:hAnsi="Arial" w:cs="Arial"/>
                <w:color w:val="000000" w:themeColor="text1"/>
                <w:kern w:val="0"/>
                <w:sz w:val="22"/>
                <w:szCs w:val="22"/>
                <w:lang w:eastAsia="fr-FR"/>
                <w14:ligatures w14:val="none"/>
              </w:rPr>
              <w:t xml:space="preserve"> extract (200 mg/kg and 400 mg/kg) for 28 days. The parameters assessed included changes in body weight, Lee index, and biochemical markers of oxidative stress (MDA, GSH, SOD, CAT) in the liver. The results showed that </w:t>
            </w:r>
            <w:r w:rsidRPr="00B02375">
              <w:rPr>
                <w:rFonts w:ascii="Arial" w:eastAsia="Times New Roman" w:hAnsi="Arial" w:cs="Arial"/>
                <w:i/>
                <w:iCs/>
                <w:color w:val="000000" w:themeColor="text1"/>
                <w:kern w:val="0"/>
                <w:sz w:val="22"/>
                <w:szCs w:val="22"/>
                <w:lang w:eastAsia="fr-FR"/>
                <w14:ligatures w14:val="none"/>
              </w:rPr>
              <w:t>Ficus umbellata</w:t>
            </w:r>
            <w:r w:rsidRPr="00B02375">
              <w:rPr>
                <w:rFonts w:ascii="Arial" w:eastAsia="Times New Roman" w:hAnsi="Arial" w:cs="Arial"/>
                <w:color w:val="000000" w:themeColor="text1"/>
                <w:kern w:val="0"/>
                <w:sz w:val="22"/>
                <w:szCs w:val="22"/>
                <w:lang w:eastAsia="fr-FR"/>
                <w14:ligatures w14:val="none"/>
              </w:rPr>
              <w:t xml:space="preserve"> extract, particularly at the 400 mg/kg dose, significantly reduced weight gain and the Lee index while restoring hepatic oxidative balance. It led to a decrease in MDA levels, an increase in GSH concentrations, and improvements in SOD and catalase enzymatic activities, compared to untreated obese rats. These findings suggest a strong antioxidant and anti-obesity potential of </w:t>
            </w:r>
            <w:r w:rsidRPr="00B02375">
              <w:rPr>
                <w:rFonts w:ascii="Arial" w:eastAsia="Times New Roman" w:hAnsi="Arial" w:cs="Arial"/>
                <w:i/>
                <w:iCs/>
                <w:color w:val="000000" w:themeColor="text1"/>
                <w:kern w:val="0"/>
                <w:sz w:val="22"/>
                <w:szCs w:val="22"/>
                <w:lang w:eastAsia="fr-FR"/>
                <w14:ligatures w14:val="none"/>
              </w:rPr>
              <w:t>Ficus umbellata</w:t>
            </w:r>
            <w:r w:rsidRPr="00B02375">
              <w:rPr>
                <w:rFonts w:ascii="Arial" w:eastAsia="Times New Roman" w:hAnsi="Arial" w:cs="Arial"/>
                <w:color w:val="000000" w:themeColor="text1"/>
                <w:kern w:val="0"/>
                <w:sz w:val="22"/>
                <w:szCs w:val="22"/>
                <w:lang w:eastAsia="fr-FR"/>
                <w14:ligatures w14:val="none"/>
              </w:rPr>
              <w:t>, supporting its traditional use as a medicinal plant for managing metabolic disorders related to obesity.</w:t>
            </w:r>
          </w:p>
        </w:tc>
      </w:tr>
    </w:tbl>
    <w:p w14:paraId="1396A056" w14:textId="77777777" w:rsidR="00B02375" w:rsidRDefault="00B02375" w:rsidP="00B02375">
      <w:pPr>
        <w:spacing w:before="100" w:beforeAutospacing="1" w:after="100" w:afterAutospacing="1"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b/>
          <w:bCs/>
          <w:color w:val="000000" w:themeColor="text1"/>
          <w:kern w:val="0"/>
          <w:sz w:val="20"/>
          <w:szCs w:val="20"/>
          <w:lang w:eastAsia="fr-FR"/>
          <w14:ligatures w14:val="none"/>
        </w:rPr>
        <w:t>Keywords</w:t>
      </w:r>
      <w:r w:rsidRPr="00B02375">
        <w:rPr>
          <w:rFonts w:ascii="Arial" w:eastAsia="Times New Roman" w:hAnsi="Arial" w:cs="Arial"/>
          <w:color w:val="000000" w:themeColor="text1"/>
          <w:kern w:val="0"/>
          <w:sz w:val="20"/>
          <w:szCs w:val="20"/>
          <w:lang w:eastAsia="fr-FR"/>
          <w14:ligatures w14:val="none"/>
        </w:rPr>
        <w:t xml:space="preserve">: </w:t>
      </w:r>
      <w:r w:rsidRPr="00B02375">
        <w:rPr>
          <w:rFonts w:ascii="Arial" w:eastAsia="Times New Roman" w:hAnsi="Arial" w:cs="Arial"/>
          <w:i/>
          <w:iCs/>
          <w:color w:val="000000" w:themeColor="text1"/>
          <w:kern w:val="0"/>
          <w:sz w:val="20"/>
          <w:szCs w:val="20"/>
          <w:lang w:eastAsia="fr-FR"/>
          <w14:ligatures w14:val="none"/>
        </w:rPr>
        <w:t>Ficus umbellata</w:t>
      </w:r>
      <w:r w:rsidRPr="00B02375">
        <w:rPr>
          <w:rFonts w:ascii="Arial" w:eastAsia="Times New Roman" w:hAnsi="Arial" w:cs="Arial"/>
          <w:color w:val="000000" w:themeColor="text1"/>
          <w:kern w:val="0"/>
          <w:sz w:val="20"/>
          <w:szCs w:val="20"/>
          <w:lang w:eastAsia="fr-FR"/>
          <w14:ligatures w14:val="none"/>
        </w:rPr>
        <w:t>, Obesity, Oxidative stress, Antioxidants, Wistar rats</w:t>
      </w:r>
    </w:p>
    <w:p w14:paraId="68360718" w14:textId="77777777" w:rsidR="00FD4688" w:rsidRPr="00B02375" w:rsidRDefault="00FD4688" w:rsidP="00B02375">
      <w:pPr>
        <w:spacing w:before="100" w:beforeAutospacing="1" w:after="100" w:afterAutospacing="1" w:line="360" w:lineRule="auto"/>
        <w:jc w:val="both"/>
        <w:rPr>
          <w:rFonts w:ascii="Arial" w:eastAsia="Times New Roman" w:hAnsi="Arial" w:cs="Arial"/>
          <w:color w:val="000000" w:themeColor="text1"/>
          <w:kern w:val="0"/>
          <w:sz w:val="20"/>
          <w:szCs w:val="20"/>
          <w:lang w:eastAsia="fr-FR"/>
          <w14:ligatures w14:val="none"/>
        </w:rPr>
      </w:pPr>
    </w:p>
    <w:p w14:paraId="1491C5A2" w14:textId="77777777" w:rsidR="00B02375" w:rsidRPr="00B02375" w:rsidRDefault="00B02375" w:rsidP="00B02375">
      <w:pPr>
        <w:pStyle w:val="ListParagraph"/>
        <w:numPr>
          <w:ilvl w:val="0"/>
          <w:numId w:val="4"/>
        </w:numPr>
        <w:spacing w:after="0" w:line="360" w:lineRule="auto"/>
        <w:jc w:val="both"/>
        <w:rPr>
          <w:rFonts w:ascii="Arial" w:eastAsia="Times New Roman" w:hAnsi="Arial" w:cs="Arial"/>
          <w:color w:val="000000" w:themeColor="text1"/>
          <w:kern w:val="0"/>
          <w:lang w:eastAsia="fr-FR"/>
          <w14:ligatures w14:val="none"/>
        </w:rPr>
      </w:pPr>
      <w:r w:rsidRPr="00B02375">
        <w:rPr>
          <w:rFonts w:ascii="Arial" w:eastAsia="Times New Roman" w:hAnsi="Arial" w:cs="Arial"/>
          <w:b/>
          <w:bCs/>
          <w:color w:val="000000" w:themeColor="text1"/>
          <w:kern w:val="0"/>
          <w:sz w:val="22"/>
          <w:szCs w:val="22"/>
          <w:lang w:eastAsia="fr-FR"/>
          <w14:ligatures w14:val="none"/>
        </w:rPr>
        <w:t>INTRODUCTION</w:t>
      </w:r>
    </w:p>
    <w:p w14:paraId="375788C8" w14:textId="3D32C3AF"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Obesity is a globally recognized public health issue, associated with a range of metabolic disorders including hypertension, type 2 diabetes, dyslipidemia, and cardiovascular diseases</w:t>
      </w:r>
      <w:r w:rsidR="00E43903">
        <w:rPr>
          <w:rFonts w:ascii="Arial" w:eastAsia="Times New Roman" w:hAnsi="Arial" w:cs="Arial"/>
          <w:color w:val="000000" w:themeColor="text1"/>
          <w:kern w:val="0"/>
          <w:sz w:val="20"/>
          <w:szCs w:val="20"/>
          <w:lang w:eastAsia="fr-FR"/>
          <w14:ligatures w14:val="none"/>
        </w:rPr>
        <w:t xml:space="preserve"> </w:t>
      </w:r>
      <w:r w:rsidR="00E43903" w:rsidRPr="00E43903">
        <w:rPr>
          <w:rFonts w:ascii="Arial" w:eastAsia="Times New Roman" w:hAnsi="Arial" w:cs="Arial"/>
          <w:color w:val="000000" w:themeColor="text1"/>
          <w:kern w:val="0"/>
          <w:sz w:val="20"/>
          <w:szCs w:val="20"/>
          <w:lang w:eastAsia="fr-FR"/>
          <w14:ligatures w14:val="none"/>
        </w:rPr>
        <w:t>(Tchogou et al., 2024)</w:t>
      </w:r>
      <w:r w:rsidRPr="00B02375">
        <w:rPr>
          <w:rFonts w:ascii="Arial" w:eastAsia="Times New Roman" w:hAnsi="Arial" w:cs="Arial"/>
          <w:color w:val="000000" w:themeColor="text1"/>
          <w:kern w:val="0"/>
          <w:sz w:val="20"/>
          <w:szCs w:val="20"/>
          <w:lang w:eastAsia="fr-FR"/>
          <w14:ligatures w14:val="none"/>
        </w:rPr>
        <w:t>. Beyond metabolic complications, obesity is also linked to a redox imbalance characterized by excessive production of reactive oxygen species (ROS) and impaired antioxidant defenses, leading to systemic oxidative stress</w:t>
      </w:r>
      <w:r w:rsidR="00E43903">
        <w:rPr>
          <w:rFonts w:ascii="Arial" w:eastAsia="Times New Roman" w:hAnsi="Arial" w:cs="Arial"/>
          <w:color w:val="000000" w:themeColor="text1"/>
          <w:kern w:val="0"/>
          <w:sz w:val="20"/>
          <w:szCs w:val="20"/>
          <w:lang w:eastAsia="fr-FR"/>
          <w14:ligatures w14:val="none"/>
        </w:rPr>
        <w:t xml:space="preserve"> </w:t>
      </w:r>
      <w:r w:rsidR="00E43903" w:rsidRPr="00E43903">
        <w:rPr>
          <w:rFonts w:ascii="Arial" w:eastAsia="Times New Roman" w:hAnsi="Arial" w:cs="Arial"/>
          <w:color w:val="000000" w:themeColor="text1"/>
          <w:kern w:val="0"/>
          <w:sz w:val="20"/>
          <w:szCs w:val="20"/>
          <w:lang w:eastAsia="fr-FR"/>
          <w14:ligatures w14:val="none"/>
        </w:rPr>
        <w:t>(Silihe et al., 2017</w:t>
      </w:r>
      <w:r w:rsidR="00E43903">
        <w:rPr>
          <w:rFonts w:ascii="Arial" w:eastAsia="Times New Roman" w:hAnsi="Arial" w:cs="Arial"/>
          <w:color w:val="000000" w:themeColor="text1"/>
          <w:kern w:val="0"/>
          <w:sz w:val="20"/>
          <w:szCs w:val="20"/>
          <w:lang w:eastAsia="fr-FR"/>
          <w14:ligatures w14:val="none"/>
        </w:rPr>
        <w:t xml:space="preserve"> ; </w:t>
      </w:r>
      <w:r w:rsidR="00E43903" w:rsidRPr="00E43903">
        <w:rPr>
          <w:rFonts w:ascii="Arial" w:eastAsia="Times New Roman" w:hAnsi="Arial" w:cs="Arial"/>
          <w:color w:val="000000" w:themeColor="text1"/>
          <w:kern w:val="0"/>
          <w:sz w:val="20"/>
          <w:szCs w:val="20"/>
          <w:lang w:eastAsia="fr-FR"/>
          <w14:ligatures w14:val="none"/>
        </w:rPr>
        <w:t>El-Khateeb et al., 2013)</w:t>
      </w:r>
      <w:r w:rsidRPr="00B02375">
        <w:rPr>
          <w:rFonts w:ascii="Arial" w:eastAsia="Times New Roman" w:hAnsi="Arial" w:cs="Arial"/>
          <w:color w:val="000000" w:themeColor="text1"/>
          <w:kern w:val="0"/>
          <w:sz w:val="20"/>
          <w:szCs w:val="20"/>
          <w:lang w:eastAsia="fr-FR"/>
          <w14:ligatures w14:val="none"/>
        </w:rPr>
        <w:t>.</w:t>
      </w:r>
    </w:p>
    <w:p w14:paraId="34272B96" w14:textId="560737BD"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Oxidative stress plays a central role in the pathogenesis of obesity-related complications, notably through oxidative damage to lipids, proteins, a</w:t>
      </w:r>
      <w:bookmarkStart w:id="0" w:name="_GoBack"/>
      <w:bookmarkEnd w:id="0"/>
      <w:r w:rsidRPr="00B02375">
        <w:rPr>
          <w:rFonts w:ascii="Arial" w:eastAsia="Times New Roman" w:hAnsi="Arial" w:cs="Arial"/>
          <w:color w:val="000000" w:themeColor="text1"/>
          <w:kern w:val="0"/>
          <w:sz w:val="20"/>
          <w:szCs w:val="20"/>
          <w:lang w:eastAsia="fr-FR"/>
          <w14:ligatures w14:val="none"/>
        </w:rPr>
        <w:t>nd DNA, thereby affecting cellular and tissue function. In this context, the search for natural molecules with antioxidant properties has become a priority for the prevention and management of obesity-related disorders</w:t>
      </w:r>
      <w:r w:rsidR="00E43903">
        <w:rPr>
          <w:rFonts w:ascii="Arial" w:eastAsia="Times New Roman" w:hAnsi="Arial" w:cs="Arial"/>
          <w:color w:val="000000" w:themeColor="text1"/>
          <w:kern w:val="0"/>
          <w:sz w:val="20"/>
          <w:szCs w:val="20"/>
          <w:lang w:eastAsia="fr-FR"/>
          <w14:ligatures w14:val="none"/>
        </w:rPr>
        <w:t xml:space="preserve"> </w:t>
      </w:r>
      <w:r w:rsidR="00E43903" w:rsidRPr="00E43903">
        <w:rPr>
          <w:rFonts w:ascii="Arial" w:eastAsia="Times New Roman" w:hAnsi="Arial" w:cs="Arial"/>
          <w:color w:val="000000" w:themeColor="text1"/>
          <w:kern w:val="0"/>
          <w:sz w:val="20"/>
          <w:szCs w:val="20"/>
          <w:lang w:eastAsia="fr-FR"/>
          <w14:ligatures w14:val="none"/>
        </w:rPr>
        <w:t>(Silihe &amp; Zingue, 2022</w:t>
      </w:r>
      <w:r w:rsidR="00E43903">
        <w:rPr>
          <w:rFonts w:ascii="Arial" w:eastAsia="Times New Roman" w:hAnsi="Arial" w:cs="Arial"/>
          <w:color w:val="000000" w:themeColor="text1"/>
          <w:kern w:val="0"/>
          <w:sz w:val="20"/>
          <w:szCs w:val="20"/>
          <w:lang w:eastAsia="fr-FR"/>
          <w14:ligatures w14:val="none"/>
        </w:rPr>
        <w:t xml:space="preserve"> ; </w:t>
      </w:r>
      <w:r w:rsidR="00E43903" w:rsidRPr="00E43903">
        <w:rPr>
          <w:rFonts w:ascii="Arial" w:eastAsia="Times New Roman" w:hAnsi="Arial" w:cs="Arial"/>
          <w:color w:val="000000" w:themeColor="text1"/>
          <w:kern w:val="0"/>
          <w:sz w:val="20"/>
          <w:szCs w:val="20"/>
          <w:lang w:eastAsia="fr-FR"/>
          <w14:ligatures w14:val="none"/>
        </w:rPr>
        <w:t>Aziz et al., 2023)</w:t>
      </w:r>
      <w:r w:rsidRPr="00B02375">
        <w:rPr>
          <w:rFonts w:ascii="Arial" w:eastAsia="Times New Roman" w:hAnsi="Arial" w:cs="Arial"/>
          <w:color w:val="000000" w:themeColor="text1"/>
          <w:kern w:val="0"/>
          <w:sz w:val="20"/>
          <w:szCs w:val="20"/>
          <w:lang w:eastAsia="fr-FR"/>
          <w14:ligatures w14:val="none"/>
        </w:rPr>
        <w:t>.</w:t>
      </w:r>
    </w:p>
    <w:p w14:paraId="5DBFE58B" w14:textId="3881BD6F"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i/>
          <w:iCs/>
          <w:color w:val="000000" w:themeColor="text1"/>
          <w:kern w:val="0"/>
          <w:sz w:val="20"/>
          <w:szCs w:val="20"/>
          <w:lang w:eastAsia="fr-FR"/>
          <w14:ligatures w14:val="none"/>
        </w:rPr>
        <w:lastRenderedPageBreak/>
        <w:t>F. umbellata</w:t>
      </w:r>
      <w:r w:rsidRPr="00B02375">
        <w:rPr>
          <w:rFonts w:ascii="Arial" w:eastAsia="Times New Roman" w:hAnsi="Arial" w:cs="Arial"/>
          <w:color w:val="000000" w:themeColor="text1"/>
          <w:kern w:val="0"/>
          <w:sz w:val="20"/>
          <w:szCs w:val="20"/>
          <w:lang w:eastAsia="fr-FR"/>
          <w14:ligatures w14:val="none"/>
        </w:rPr>
        <w:t xml:space="preserve">, a plant from the Moraceae family widely used in African traditional medicine, is known for its diverse therapeutic properties, including anti-inflammatory, antimicrobial, antihypertensive, and antioxidant effects. Several phytochemical studies have revealed that </w:t>
      </w:r>
      <w:r w:rsidRPr="00B02375">
        <w:rPr>
          <w:rFonts w:ascii="Arial" w:eastAsia="Times New Roman" w:hAnsi="Arial" w:cs="Arial"/>
          <w:i/>
          <w:iCs/>
          <w:color w:val="000000" w:themeColor="text1"/>
          <w:kern w:val="0"/>
          <w:sz w:val="20"/>
          <w:szCs w:val="20"/>
          <w:lang w:eastAsia="fr-FR"/>
          <w14:ligatures w14:val="none"/>
        </w:rPr>
        <w:t>F. umbellata</w:t>
      </w:r>
      <w:r w:rsidRPr="00B02375">
        <w:rPr>
          <w:rFonts w:ascii="Arial" w:eastAsia="Times New Roman" w:hAnsi="Arial" w:cs="Arial"/>
          <w:color w:val="000000" w:themeColor="text1"/>
          <w:kern w:val="0"/>
          <w:sz w:val="20"/>
          <w:szCs w:val="20"/>
          <w:lang w:eastAsia="fr-FR"/>
          <w14:ligatures w14:val="none"/>
        </w:rPr>
        <w:t xml:space="preserve"> leaves contain bioactive compounds such as flavonoids, tannins, saponins, and phenolic compounds, which may explain its observed biological effects</w:t>
      </w:r>
      <w:r w:rsidR="00E43903">
        <w:rPr>
          <w:rFonts w:ascii="Arial" w:eastAsia="Times New Roman" w:hAnsi="Arial" w:cs="Arial"/>
          <w:color w:val="000000" w:themeColor="text1"/>
          <w:kern w:val="0"/>
          <w:sz w:val="20"/>
          <w:szCs w:val="20"/>
          <w:lang w:eastAsia="fr-FR"/>
          <w14:ligatures w14:val="none"/>
        </w:rPr>
        <w:t xml:space="preserve"> </w:t>
      </w:r>
      <w:r w:rsidR="00E43903" w:rsidRPr="00E43903">
        <w:rPr>
          <w:rFonts w:ascii="Arial" w:eastAsia="Times New Roman" w:hAnsi="Arial" w:cs="Arial"/>
          <w:color w:val="000000" w:themeColor="text1"/>
          <w:kern w:val="0"/>
          <w:sz w:val="20"/>
          <w:szCs w:val="20"/>
          <w:lang w:eastAsia="fr-FR"/>
          <w14:ligatures w14:val="none"/>
        </w:rPr>
        <w:t>(El-Hawary et al., 2019</w:t>
      </w:r>
      <w:r w:rsidR="00E43903">
        <w:rPr>
          <w:rFonts w:ascii="Arial" w:eastAsia="Times New Roman" w:hAnsi="Arial" w:cs="Arial"/>
          <w:color w:val="000000" w:themeColor="text1"/>
          <w:kern w:val="0"/>
          <w:sz w:val="20"/>
          <w:szCs w:val="20"/>
          <w:lang w:eastAsia="fr-FR"/>
          <w14:ligatures w14:val="none"/>
        </w:rPr>
        <w:t xml:space="preserve"> ; </w:t>
      </w:r>
      <w:r w:rsidR="00E43903" w:rsidRPr="00E43903">
        <w:rPr>
          <w:rFonts w:ascii="Arial" w:eastAsia="Times New Roman" w:hAnsi="Arial" w:cs="Arial"/>
          <w:color w:val="000000" w:themeColor="text1"/>
          <w:kern w:val="0"/>
          <w:sz w:val="20"/>
          <w:szCs w:val="20"/>
          <w:lang w:eastAsia="fr-FR"/>
          <w14:ligatures w14:val="none"/>
        </w:rPr>
        <w:t>Eid et al., 2023)</w:t>
      </w:r>
      <w:r w:rsidRPr="00B02375">
        <w:rPr>
          <w:rFonts w:ascii="Arial" w:eastAsia="Times New Roman" w:hAnsi="Arial" w:cs="Arial"/>
          <w:color w:val="000000" w:themeColor="text1"/>
          <w:kern w:val="0"/>
          <w:sz w:val="20"/>
          <w:szCs w:val="20"/>
          <w:lang w:eastAsia="fr-FR"/>
          <w14:ligatures w14:val="none"/>
        </w:rPr>
        <w:t>.</w:t>
      </w:r>
    </w:p>
    <w:p w14:paraId="25D5ED59" w14:textId="77777777"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 xml:space="preserve">However, despite the growing body of knowledge on this species, few studies have investigated its specific impact on obesity-induced oxidative stress. The present study thus aims to evaluate the effects of </w:t>
      </w:r>
      <w:r w:rsidRPr="00B02375">
        <w:rPr>
          <w:rFonts w:ascii="Arial" w:eastAsia="Times New Roman" w:hAnsi="Arial" w:cs="Arial"/>
          <w:i/>
          <w:iCs/>
          <w:color w:val="000000" w:themeColor="text1"/>
          <w:kern w:val="0"/>
          <w:sz w:val="20"/>
          <w:szCs w:val="20"/>
          <w:lang w:eastAsia="fr-FR"/>
          <w14:ligatures w14:val="none"/>
        </w:rPr>
        <w:t>F. umbellata</w:t>
      </w:r>
      <w:r w:rsidRPr="00B02375">
        <w:rPr>
          <w:rFonts w:ascii="Arial" w:eastAsia="Times New Roman" w:hAnsi="Arial" w:cs="Arial"/>
          <w:color w:val="000000" w:themeColor="text1"/>
          <w:kern w:val="0"/>
          <w:sz w:val="20"/>
          <w:szCs w:val="20"/>
          <w:lang w:eastAsia="fr-FR"/>
          <w14:ligatures w14:val="none"/>
        </w:rPr>
        <w:t xml:space="preserve"> leaf extracts on oxidative stress markers in Wistar rats rendered obese by a high-fat diet (</w:t>
      </w:r>
      <w:r w:rsidRPr="00A90CD8">
        <w:rPr>
          <w:rFonts w:ascii="Arial" w:eastAsia="Times New Roman" w:hAnsi="Arial" w:cs="Arial"/>
          <w:color w:val="000000" w:themeColor="text1"/>
          <w:kern w:val="0"/>
          <w:sz w:val="20"/>
          <w:szCs w:val="20"/>
          <w:highlight w:val="yellow"/>
          <w:lang w:eastAsia="fr-FR"/>
          <w14:ligatures w14:val="none"/>
        </w:rPr>
        <w:t>Tchogou</w:t>
      </w:r>
      <w:r w:rsidRPr="00B02375">
        <w:rPr>
          <w:rFonts w:ascii="Arial" w:eastAsia="Times New Roman" w:hAnsi="Arial" w:cs="Arial"/>
          <w:color w:val="000000" w:themeColor="text1"/>
          <w:kern w:val="0"/>
          <w:sz w:val="20"/>
          <w:szCs w:val="20"/>
          <w:lang w:eastAsia="fr-FR"/>
          <w14:ligatures w14:val="none"/>
        </w:rPr>
        <w:t xml:space="preserve"> et al., 2024).</w:t>
      </w:r>
    </w:p>
    <w:p w14:paraId="1AFF3FBC" w14:textId="04E0758D"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 xml:space="preserve">The objective is to determine whether the administration of these extracts can modulate levels of malondialdehyde (MDA), the activity of antioxidant enzymes such as superoxide dismutase (SOD), catalase (CAT), glutathione peroxidase (GPx), and the reduced glutathione (GSH) status in target tissues. These findings could contribute to the pharmacological valorization of </w:t>
      </w:r>
      <w:r w:rsidRPr="00B02375">
        <w:rPr>
          <w:rFonts w:ascii="Arial" w:eastAsia="Times New Roman" w:hAnsi="Arial" w:cs="Arial"/>
          <w:i/>
          <w:iCs/>
          <w:color w:val="000000" w:themeColor="text1"/>
          <w:kern w:val="0"/>
          <w:sz w:val="20"/>
          <w:szCs w:val="20"/>
          <w:lang w:eastAsia="fr-FR"/>
          <w14:ligatures w14:val="none"/>
        </w:rPr>
        <w:t>F. umbellata</w:t>
      </w:r>
      <w:r w:rsidRPr="00B02375">
        <w:rPr>
          <w:rFonts w:ascii="Arial" w:eastAsia="Times New Roman" w:hAnsi="Arial" w:cs="Arial"/>
          <w:color w:val="000000" w:themeColor="text1"/>
          <w:kern w:val="0"/>
          <w:sz w:val="20"/>
          <w:szCs w:val="20"/>
          <w:lang w:eastAsia="fr-FR"/>
          <w14:ligatures w14:val="none"/>
        </w:rPr>
        <w:t xml:space="preserve"> as a potential phytotherapeutic agent in the management of obesity-related oxidative stress.</w:t>
      </w:r>
    </w:p>
    <w:p w14:paraId="4D3CBEF3" w14:textId="77777777" w:rsidR="00B02375" w:rsidRPr="00B02375" w:rsidRDefault="00B02375" w:rsidP="00B02375">
      <w:pPr>
        <w:spacing w:after="0" w:line="360" w:lineRule="auto"/>
        <w:rPr>
          <w:rFonts w:ascii="Arial" w:eastAsia="Times New Roman" w:hAnsi="Arial" w:cs="Arial"/>
          <w:b/>
          <w:bCs/>
          <w:color w:val="000000" w:themeColor="text1"/>
          <w:kern w:val="0"/>
          <w:sz w:val="20"/>
          <w:szCs w:val="20"/>
          <w:lang w:eastAsia="fr-FR"/>
          <w14:ligatures w14:val="none"/>
        </w:rPr>
      </w:pPr>
      <w:bookmarkStart w:id="1" w:name="_Hlk197082896"/>
    </w:p>
    <w:bookmarkEnd w:id="1"/>
    <w:p w14:paraId="2E765E33" w14:textId="77777777" w:rsidR="00B02375" w:rsidRPr="00B02375" w:rsidRDefault="00B02375" w:rsidP="00B02375">
      <w:pPr>
        <w:pStyle w:val="ListParagraph"/>
        <w:numPr>
          <w:ilvl w:val="0"/>
          <w:numId w:val="4"/>
        </w:numPr>
        <w:spacing w:after="0" w:line="360" w:lineRule="auto"/>
        <w:jc w:val="both"/>
        <w:rPr>
          <w:rFonts w:ascii="Arial" w:eastAsia="Times New Roman" w:hAnsi="Arial" w:cs="Arial"/>
          <w:b/>
          <w:bCs/>
          <w:color w:val="000000" w:themeColor="text1"/>
          <w:kern w:val="0"/>
          <w:sz w:val="22"/>
          <w:szCs w:val="22"/>
          <w:lang w:eastAsia="fr-FR"/>
          <w14:ligatures w14:val="none"/>
        </w:rPr>
      </w:pPr>
      <w:r w:rsidRPr="00B02375">
        <w:rPr>
          <w:rFonts w:ascii="Arial" w:eastAsia="Times New Roman" w:hAnsi="Arial" w:cs="Arial"/>
          <w:b/>
          <w:bCs/>
          <w:color w:val="000000" w:themeColor="text1"/>
          <w:kern w:val="0"/>
          <w:sz w:val="22"/>
          <w:szCs w:val="22"/>
          <w:lang w:eastAsia="fr-FR"/>
          <w14:ligatures w14:val="none"/>
        </w:rPr>
        <w:t>MATERIALS AND METHODS</w:t>
      </w:r>
    </w:p>
    <w:p w14:paraId="0E088FEA" w14:textId="77777777" w:rsidR="00B02375" w:rsidRPr="00B02375" w:rsidRDefault="00B02375" w:rsidP="00B02375">
      <w:pPr>
        <w:pStyle w:val="ListParagraph"/>
        <w:numPr>
          <w:ilvl w:val="1"/>
          <w:numId w:val="4"/>
        </w:numPr>
        <w:spacing w:after="0" w:line="360" w:lineRule="auto"/>
        <w:jc w:val="both"/>
        <w:rPr>
          <w:rFonts w:ascii="Arial" w:eastAsia="Times New Roman" w:hAnsi="Arial" w:cs="Arial"/>
          <w:b/>
          <w:bCs/>
          <w:color w:val="000000" w:themeColor="text1"/>
          <w:kern w:val="0"/>
          <w:sz w:val="22"/>
          <w:szCs w:val="22"/>
          <w:lang w:eastAsia="fr-FR"/>
          <w14:ligatures w14:val="none"/>
        </w:rPr>
      </w:pPr>
      <w:r w:rsidRPr="00B02375">
        <w:rPr>
          <w:rFonts w:ascii="Arial" w:eastAsia="Times New Roman" w:hAnsi="Arial" w:cs="Arial"/>
          <w:b/>
          <w:bCs/>
          <w:color w:val="000000" w:themeColor="text1"/>
          <w:kern w:val="0"/>
          <w:sz w:val="22"/>
          <w:szCs w:val="22"/>
          <w:lang w:eastAsia="fr-FR"/>
          <w14:ligatures w14:val="none"/>
        </w:rPr>
        <w:t>Animal material</w:t>
      </w:r>
    </w:p>
    <w:p w14:paraId="7985BF20" w14:textId="77777777"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The study was conducted on male Wistar rats aged 8 to 10 weeks, with an initial body weight ranging from 180 to 220 g. A total of 30 rats were used and randomly divided into 5 groups of 6 animals each.</w:t>
      </w:r>
    </w:p>
    <w:p w14:paraId="1B021488" w14:textId="77777777"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p>
    <w:p w14:paraId="39DA5A15" w14:textId="77777777" w:rsidR="00B02375" w:rsidRPr="00B02375" w:rsidRDefault="00B02375" w:rsidP="00B02375">
      <w:pPr>
        <w:pStyle w:val="ListParagraph"/>
        <w:numPr>
          <w:ilvl w:val="1"/>
          <w:numId w:val="4"/>
        </w:numPr>
        <w:spacing w:after="0" w:line="360" w:lineRule="auto"/>
        <w:jc w:val="both"/>
        <w:rPr>
          <w:rFonts w:ascii="Arial" w:eastAsia="Times New Roman" w:hAnsi="Arial" w:cs="Arial"/>
          <w:b/>
          <w:bCs/>
          <w:color w:val="000000" w:themeColor="text1"/>
          <w:kern w:val="0"/>
          <w:sz w:val="22"/>
          <w:szCs w:val="22"/>
          <w:lang w:eastAsia="fr-FR"/>
          <w14:ligatures w14:val="none"/>
        </w:rPr>
      </w:pPr>
      <w:r w:rsidRPr="00B02375">
        <w:rPr>
          <w:rFonts w:ascii="Arial" w:eastAsia="Times New Roman" w:hAnsi="Arial" w:cs="Arial"/>
          <w:b/>
          <w:bCs/>
          <w:color w:val="000000" w:themeColor="text1"/>
          <w:kern w:val="0"/>
          <w:sz w:val="22"/>
          <w:szCs w:val="22"/>
          <w:lang w:eastAsia="fr-FR"/>
          <w14:ligatures w14:val="none"/>
        </w:rPr>
        <w:t>Induction of obesity</w:t>
      </w:r>
    </w:p>
    <w:p w14:paraId="08BEA5B5" w14:textId="09621127"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val="da-DK" w:eastAsia="fr-FR"/>
          <w14:ligatures w14:val="none"/>
        </w:rPr>
        <w:t xml:space="preserve">The rats were fed a high-fat diet (HFD) for a period of 4 to 6 weeks to induce obesity. This type of diet, rich in fats, is widely used in animal obesity studies to mimic the dietary conditions responsible for the development of obesity in humans. The composition of this diet is characterized by its high lipid content, including 35.56 g/100g of lipids, which exceeds the amount of fat found in a standard rat diet. </w:t>
      </w:r>
      <w:r w:rsidRPr="00B02375">
        <w:rPr>
          <w:rFonts w:ascii="Arial" w:eastAsia="Times New Roman" w:hAnsi="Arial" w:cs="Arial"/>
          <w:color w:val="000000" w:themeColor="text1"/>
          <w:kern w:val="0"/>
          <w:sz w:val="20"/>
          <w:szCs w:val="20"/>
          <w:lang w:eastAsia="fr-FR"/>
          <w14:ligatures w14:val="none"/>
        </w:rPr>
        <w:t>This elevated fat content is intended to cause fat accumulation and consequently significant weight gain.</w:t>
      </w:r>
    </w:p>
    <w:p w14:paraId="14E7CE93" w14:textId="1AE9B118"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The diet also contained 27.33 g/100g of carbohydrates and 19.36 g/100g of proteins, to ensure a balanced energy intake while favoring fat accumulation. Carbohydrates and proteins, although important for rat growth and metabolism, are included here to guarantee a sufficient caloric intake to support weight gain due to the high-fat content.</w:t>
      </w:r>
    </w:p>
    <w:p w14:paraId="1BEC8B43" w14:textId="3AD66C52"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 xml:space="preserve">Obesity was confirmed in rats by a weight gain of at least 20% compared to normal controls. This criterion is commonly used in experimental protocols to ensure that the animals have developed significant overweight and that the obesity model is validated. Indeed, such a weight gain is indicative of obesity in rats, a condition that enables the study of potential therapeutic treatments for obesity and its complications, such as oxidative stress. </w:t>
      </w:r>
    </w:p>
    <w:p w14:paraId="5CA7431C" w14:textId="77777777" w:rsidR="00B02375" w:rsidRPr="00B02375" w:rsidRDefault="00B02375" w:rsidP="00B02375">
      <w:pPr>
        <w:spacing w:after="0" w:line="360" w:lineRule="auto"/>
        <w:jc w:val="both"/>
        <w:rPr>
          <w:rFonts w:ascii="Arial" w:eastAsia="Times New Roman" w:hAnsi="Arial" w:cs="Arial"/>
          <w:b/>
          <w:bCs/>
          <w:color w:val="000000" w:themeColor="text1"/>
          <w:kern w:val="0"/>
          <w:sz w:val="20"/>
          <w:szCs w:val="20"/>
          <w:lang w:eastAsia="fr-FR"/>
          <w14:ligatures w14:val="none"/>
        </w:rPr>
      </w:pPr>
    </w:p>
    <w:p w14:paraId="17C664BD" w14:textId="77777777" w:rsidR="00B02375" w:rsidRPr="00B02375" w:rsidRDefault="00B02375" w:rsidP="00B02375">
      <w:pPr>
        <w:pStyle w:val="ListParagraph"/>
        <w:numPr>
          <w:ilvl w:val="1"/>
          <w:numId w:val="4"/>
        </w:numPr>
        <w:spacing w:after="0" w:line="360" w:lineRule="auto"/>
        <w:jc w:val="both"/>
        <w:rPr>
          <w:rFonts w:ascii="Arial" w:eastAsia="Times New Roman" w:hAnsi="Arial" w:cs="Arial"/>
          <w:b/>
          <w:bCs/>
          <w:color w:val="000000" w:themeColor="text1"/>
          <w:kern w:val="0"/>
          <w:sz w:val="22"/>
          <w:szCs w:val="22"/>
          <w:lang w:eastAsia="fr-FR"/>
          <w14:ligatures w14:val="none"/>
        </w:rPr>
      </w:pPr>
      <w:r w:rsidRPr="00B02375">
        <w:rPr>
          <w:rFonts w:ascii="Arial" w:eastAsia="Times New Roman" w:hAnsi="Arial" w:cs="Arial"/>
          <w:b/>
          <w:bCs/>
          <w:color w:val="000000" w:themeColor="text1"/>
          <w:kern w:val="0"/>
          <w:sz w:val="22"/>
          <w:szCs w:val="22"/>
          <w:lang w:eastAsia="fr-FR"/>
          <w14:ligatures w14:val="none"/>
        </w:rPr>
        <w:t xml:space="preserve">Preparation of </w:t>
      </w:r>
      <w:r w:rsidRPr="00B02375">
        <w:rPr>
          <w:rFonts w:ascii="Arial" w:eastAsia="Times New Roman" w:hAnsi="Arial" w:cs="Arial"/>
          <w:b/>
          <w:bCs/>
          <w:i/>
          <w:iCs/>
          <w:color w:val="000000" w:themeColor="text1"/>
          <w:kern w:val="0"/>
          <w:sz w:val="22"/>
          <w:szCs w:val="22"/>
          <w:lang w:eastAsia="fr-FR"/>
          <w14:ligatures w14:val="none"/>
        </w:rPr>
        <w:t>F. umbellata</w:t>
      </w:r>
      <w:r w:rsidRPr="00B02375">
        <w:rPr>
          <w:rFonts w:ascii="Arial" w:eastAsia="Times New Roman" w:hAnsi="Arial" w:cs="Arial"/>
          <w:b/>
          <w:bCs/>
          <w:color w:val="000000" w:themeColor="text1"/>
          <w:kern w:val="0"/>
          <w:sz w:val="22"/>
          <w:szCs w:val="22"/>
          <w:lang w:eastAsia="fr-FR"/>
          <w14:ligatures w14:val="none"/>
        </w:rPr>
        <w:t xml:space="preserve"> extract</w:t>
      </w:r>
    </w:p>
    <w:p w14:paraId="311358CA" w14:textId="75510886"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i/>
          <w:iCs/>
          <w:color w:val="000000" w:themeColor="text1"/>
          <w:kern w:val="0"/>
          <w:sz w:val="20"/>
          <w:szCs w:val="20"/>
          <w:lang w:eastAsia="fr-FR"/>
          <w14:ligatures w14:val="none"/>
        </w:rPr>
        <w:t>F. umbellata</w:t>
      </w:r>
      <w:r w:rsidRPr="00B02375">
        <w:rPr>
          <w:rFonts w:ascii="Arial" w:eastAsia="Times New Roman" w:hAnsi="Arial" w:cs="Arial"/>
          <w:color w:val="000000" w:themeColor="text1"/>
          <w:kern w:val="0"/>
          <w:sz w:val="20"/>
          <w:szCs w:val="20"/>
          <w:lang w:eastAsia="fr-FR"/>
          <w14:ligatures w14:val="none"/>
        </w:rPr>
        <w:t xml:space="preserve"> leaves were used after being shade-dried, a method that preserves their bioactive compounds while preventing degradation due to excessive heat. The extraction of active principles was carried out using two methods, depending on the study's objectives. On one hand, maceration was </w:t>
      </w:r>
      <w:r w:rsidRPr="00B02375">
        <w:rPr>
          <w:rFonts w:ascii="Arial" w:eastAsia="Times New Roman" w:hAnsi="Arial" w:cs="Arial"/>
          <w:color w:val="000000" w:themeColor="text1"/>
          <w:kern w:val="0"/>
          <w:sz w:val="20"/>
          <w:szCs w:val="20"/>
          <w:lang w:eastAsia="fr-FR"/>
          <w14:ligatures w14:val="none"/>
        </w:rPr>
        <w:lastRenderedPageBreak/>
        <w:t>performed in 70% ethanol for a determined period, a technique commonly used to extract both water-soluble and fat-soluble metabolites from medicinal plants</w:t>
      </w:r>
      <w:r w:rsidR="00A2065D">
        <w:rPr>
          <w:rFonts w:ascii="Arial" w:eastAsia="Times New Roman" w:hAnsi="Arial" w:cs="Arial"/>
          <w:color w:val="000000" w:themeColor="text1"/>
          <w:kern w:val="0"/>
          <w:sz w:val="20"/>
          <w:szCs w:val="20"/>
          <w:lang w:eastAsia="fr-FR"/>
          <w14:ligatures w14:val="none"/>
        </w:rPr>
        <w:t xml:space="preserve"> (</w:t>
      </w:r>
      <w:r w:rsidR="00A2065D" w:rsidRPr="00A90CD8">
        <w:rPr>
          <w:rFonts w:ascii="Arial" w:eastAsia="Times New Roman" w:hAnsi="Arial" w:cs="Arial"/>
          <w:color w:val="000000" w:themeColor="text1"/>
          <w:kern w:val="0"/>
          <w:sz w:val="20"/>
          <w:szCs w:val="20"/>
          <w:highlight w:val="yellow"/>
          <w:lang w:eastAsia="fr-FR"/>
          <w14:ligatures w14:val="none"/>
        </w:rPr>
        <w:t>Odukoya</w:t>
      </w:r>
      <w:r w:rsidR="00A2065D">
        <w:rPr>
          <w:rFonts w:ascii="Arial" w:eastAsia="Times New Roman" w:hAnsi="Arial" w:cs="Arial"/>
          <w:color w:val="000000" w:themeColor="text1"/>
          <w:kern w:val="0"/>
          <w:sz w:val="20"/>
          <w:szCs w:val="20"/>
          <w:lang w:eastAsia="fr-FR"/>
          <w14:ligatures w14:val="none"/>
        </w:rPr>
        <w:t xml:space="preserve"> et al., 2022)</w:t>
      </w:r>
      <w:r w:rsidRPr="00B02375">
        <w:rPr>
          <w:rFonts w:ascii="Arial" w:eastAsia="Times New Roman" w:hAnsi="Arial" w:cs="Arial"/>
          <w:color w:val="000000" w:themeColor="text1"/>
          <w:kern w:val="0"/>
          <w:sz w:val="20"/>
          <w:szCs w:val="20"/>
          <w:lang w:eastAsia="fr-FR"/>
          <w14:ligatures w14:val="none"/>
        </w:rPr>
        <w:t>. On the other hand, an aqueous decoction was used according to traditional methods, which involve boiling the plant material in water to extract its active compounds. This method is particularly popular in traditional medicine due to its simplicity and effectiveness in extracting water-soluble substances.</w:t>
      </w:r>
    </w:p>
    <w:p w14:paraId="4E4204B7" w14:textId="593C1DD5"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After extraction, the mixture was filtered to remove solid particles, and the resulting liquid extract was concentrated by vacuum evaporation. This method reduces pressure and minimizes thermal degradation of active compounds, thereby ensuring better preservation of extract quality. The concentrate was then dried at a controlled temperature of 40°C, low enough to prevent thermal degradation of the active ingredients while allowing for rapid drying.</w:t>
      </w:r>
    </w:p>
    <w:p w14:paraId="55BBB752" w14:textId="2E524F5E"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The resulting dry extract was stored at 4°C to prevent degradation and maintain its stability before use in experiments. This low-temperature storage method is commonly used for plant extracts to preserve their chemical and biological properties over the long term.</w:t>
      </w:r>
    </w:p>
    <w:p w14:paraId="1D74B2A3" w14:textId="77777777" w:rsidR="00B02375" w:rsidRPr="00B02375" w:rsidRDefault="00B02375" w:rsidP="00B02375">
      <w:pPr>
        <w:spacing w:after="0" w:line="360" w:lineRule="auto"/>
        <w:jc w:val="both"/>
        <w:rPr>
          <w:rFonts w:ascii="Arial" w:eastAsia="Times New Roman" w:hAnsi="Arial" w:cs="Arial"/>
          <w:b/>
          <w:bCs/>
          <w:color w:val="000000" w:themeColor="text1"/>
          <w:kern w:val="0"/>
          <w:sz w:val="20"/>
          <w:szCs w:val="20"/>
          <w:lang w:eastAsia="fr-FR"/>
          <w14:ligatures w14:val="none"/>
        </w:rPr>
      </w:pPr>
    </w:p>
    <w:p w14:paraId="20F5D5A2" w14:textId="77777777" w:rsidR="00B02375" w:rsidRPr="00B02375" w:rsidRDefault="00B02375" w:rsidP="00B02375">
      <w:pPr>
        <w:pStyle w:val="ListParagraph"/>
        <w:numPr>
          <w:ilvl w:val="1"/>
          <w:numId w:val="4"/>
        </w:numPr>
        <w:spacing w:after="0" w:line="360" w:lineRule="auto"/>
        <w:jc w:val="both"/>
        <w:rPr>
          <w:rFonts w:ascii="Arial" w:eastAsia="Times New Roman" w:hAnsi="Arial" w:cs="Arial"/>
          <w:b/>
          <w:bCs/>
          <w:color w:val="000000" w:themeColor="text1"/>
          <w:kern w:val="0"/>
          <w:sz w:val="22"/>
          <w:szCs w:val="22"/>
          <w:lang w:eastAsia="fr-FR"/>
          <w14:ligatures w14:val="none"/>
        </w:rPr>
      </w:pPr>
      <w:r w:rsidRPr="00B02375">
        <w:rPr>
          <w:rFonts w:ascii="Arial" w:eastAsia="Times New Roman" w:hAnsi="Arial" w:cs="Arial"/>
          <w:b/>
          <w:bCs/>
          <w:color w:val="000000" w:themeColor="text1"/>
          <w:kern w:val="0"/>
          <w:sz w:val="22"/>
          <w:szCs w:val="22"/>
          <w:lang w:eastAsia="fr-FR"/>
          <w14:ligatures w14:val="none"/>
        </w:rPr>
        <w:t>Experimental setup</w:t>
      </w:r>
    </w:p>
    <w:p w14:paraId="12116718" w14:textId="3875F231"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 xml:space="preserve">The animals were divided into five distinct experimental groups to evaluate the effects of </w:t>
      </w:r>
      <w:proofErr w:type="gramStart"/>
      <w:r w:rsidRPr="00B02375">
        <w:rPr>
          <w:rFonts w:ascii="Arial" w:eastAsia="Times New Roman" w:hAnsi="Arial" w:cs="Arial"/>
          <w:i/>
          <w:iCs/>
          <w:color w:val="000000" w:themeColor="text1"/>
          <w:kern w:val="0"/>
          <w:sz w:val="20"/>
          <w:szCs w:val="20"/>
          <w:lang w:eastAsia="fr-FR"/>
          <w14:ligatures w14:val="none"/>
        </w:rPr>
        <w:t>F.umbellata</w:t>
      </w:r>
      <w:proofErr w:type="gramEnd"/>
      <w:r w:rsidRPr="00B02375">
        <w:rPr>
          <w:rFonts w:ascii="Arial" w:eastAsia="Times New Roman" w:hAnsi="Arial" w:cs="Arial"/>
          <w:color w:val="000000" w:themeColor="text1"/>
          <w:kern w:val="0"/>
          <w:sz w:val="20"/>
          <w:szCs w:val="20"/>
          <w:lang w:eastAsia="fr-FR"/>
          <w14:ligatures w14:val="none"/>
        </w:rPr>
        <w:t xml:space="preserve"> extract on oxidative stress and obesity regulation in obese</w:t>
      </w:r>
      <w:r>
        <w:rPr>
          <w:rFonts w:ascii="Arial" w:eastAsia="Times New Roman" w:hAnsi="Arial" w:cs="Arial"/>
          <w:color w:val="000000" w:themeColor="text1"/>
          <w:kern w:val="0"/>
          <w:sz w:val="20"/>
          <w:szCs w:val="20"/>
          <w:lang w:eastAsia="fr-FR"/>
          <w14:ligatures w14:val="none"/>
        </w:rPr>
        <w:t>s rats</w:t>
      </w:r>
      <w:r w:rsidRPr="00B02375">
        <w:rPr>
          <w:rFonts w:ascii="Arial" w:eastAsia="Times New Roman" w:hAnsi="Arial" w:cs="Arial"/>
          <w:color w:val="000000" w:themeColor="text1"/>
          <w:kern w:val="0"/>
          <w:sz w:val="20"/>
          <w:szCs w:val="20"/>
          <w:lang w:eastAsia="fr-FR"/>
          <w14:ligatures w14:val="none"/>
        </w:rPr>
        <w:t>. Each group followed a specific treatment protocol, as described below:</w:t>
      </w:r>
    </w:p>
    <w:p w14:paraId="40ACC2E2" w14:textId="77777777" w:rsidR="00B02375" w:rsidRPr="00B02375" w:rsidRDefault="00B02375" w:rsidP="00B02375">
      <w:pPr>
        <w:numPr>
          <w:ilvl w:val="0"/>
          <w:numId w:val="1"/>
        </w:num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b/>
          <w:bCs/>
          <w:color w:val="000000" w:themeColor="text1"/>
          <w:kern w:val="0"/>
          <w:sz w:val="20"/>
          <w:szCs w:val="20"/>
          <w:lang w:eastAsia="fr-FR"/>
          <w14:ligatures w14:val="none"/>
        </w:rPr>
        <w:t>Group 1 (Healthy Control):</w:t>
      </w:r>
      <w:r w:rsidRPr="00B02375">
        <w:rPr>
          <w:rFonts w:ascii="Arial" w:eastAsia="Times New Roman" w:hAnsi="Arial" w:cs="Arial"/>
          <w:color w:val="000000" w:themeColor="text1"/>
          <w:kern w:val="0"/>
          <w:sz w:val="20"/>
          <w:szCs w:val="20"/>
          <w:lang w:eastAsia="fr-FR"/>
          <w14:ligatures w14:val="none"/>
        </w:rPr>
        <w:t xml:space="preserve"> This group received distilled water in addition to a standard diet, with no specific treatment. It served as a reference for comparing the effects of other treatments on blood pressure and oxidative stress.</w:t>
      </w:r>
    </w:p>
    <w:p w14:paraId="3EBD36A9" w14:textId="77777777" w:rsidR="00B02375" w:rsidRPr="00B02375" w:rsidRDefault="00B02375" w:rsidP="00B02375">
      <w:pPr>
        <w:numPr>
          <w:ilvl w:val="0"/>
          <w:numId w:val="1"/>
        </w:num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b/>
          <w:bCs/>
          <w:color w:val="000000" w:themeColor="text1"/>
          <w:kern w:val="0"/>
          <w:sz w:val="20"/>
          <w:szCs w:val="20"/>
          <w:lang w:eastAsia="fr-FR"/>
          <w14:ligatures w14:val="none"/>
        </w:rPr>
        <w:t>Group 2 (Obese Control):</w:t>
      </w:r>
      <w:r w:rsidRPr="00B02375">
        <w:rPr>
          <w:rFonts w:ascii="Arial" w:eastAsia="Times New Roman" w:hAnsi="Arial" w:cs="Arial"/>
          <w:color w:val="000000" w:themeColor="text1"/>
          <w:kern w:val="0"/>
          <w:sz w:val="20"/>
          <w:szCs w:val="20"/>
          <w:lang w:eastAsia="fr-FR"/>
          <w14:ligatures w14:val="none"/>
        </w:rPr>
        <w:t xml:space="preserve"> The animals in this group were fed a high-fat diet (HFD) to induce obesity, without any additional treatment. This group allowed observation of the effects of the high-fat diet alone, without therapeutic intervention, and served as a baseline for evaluating the effects of </w:t>
      </w:r>
      <w:r w:rsidRPr="00B02375">
        <w:rPr>
          <w:rFonts w:ascii="Arial" w:eastAsia="Times New Roman" w:hAnsi="Arial" w:cs="Arial"/>
          <w:i/>
          <w:iCs/>
          <w:color w:val="000000" w:themeColor="text1"/>
          <w:kern w:val="0"/>
          <w:sz w:val="20"/>
          <w:szCs w:val="20"/>
          <w:lang w:eastAsia="fr-FR"/>
          <w14:ligatures w14:val="none"/>
        </w:rPr>
        <w:t>Ficus umbellata</w:t>
      </w:r>
      <w:r w:rsidRPr="00B02375">
        <w:rPr>
          <w:rFonts w:ascii="Arial" w:eastAsia="Times New Roman" w:hAnsi="Arial" w:cs="Arial"/>
          <w:color w:val="000000" w:themeColor="text1"/>
          <w:kern w:val="0"/>
          <w:sz w:val="20"/>
          <w:szCs w:val="20"/>
          <w:lang w:eastAsia="fr-FR"/>
          <w14:ligatures w14:val="none"/>
        </w:rPr>
        <w:t>.</w:t>
      </w:r>
    </w:p>
    <w:p w14:paraId="7BE6D412" w14:textId="77777777" w:rsidR="00B02375" w:rsidRPr="00B02375" w:rsidRDefault="00B02375" w:rsidP="00B02375">
      <w:pPr>
        <w:numPr>
          <w:ilvl w:val="0"/>
          <w:numId w:val="1"/>
        </w:num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b/>
          <w:bCs/>
          <w:color w:val="000000" w:themeColor="text1"/>
          <w:kern w:val="0"/>
          <w:sz w:val="20"/>
          <w:szCs w:val="20"/>
          <w:lang w:eastAsia="fr-FR"/>
          <w14:ligatures w14:val="none"/>
        </w:rPr>
        <w:t>Group 3 (FU100):</w:t>
      </w:r>
      <w:r w:rsidRPr="00B02375">
        <w:rPr>
          <w:rFonts w:ascii="Arial" w:eastAsia="Times New Roman" w:hAnsi="Arial" w:cs="Arial"/>
          <w:color w:val="000000" w:themeColor="text1"/>
          <w:kern w:val="0"/>
          <w:sz w:val="20"/>
          <w:szCs w:val="20"/>
          <w:lang w:eastAsia="fr-FR"/>
          <w14:ligatures w14:val="none"/>
        </w:rPr>
        <w:t xml:space="preserve"> This group was treated with 100 mg/kg of </w:t>
      </w:r>
      <w:r w:rsidRPr="00B02375">
        <w:rPr>
          <w:rFonts w:ascii="Arial" w:eastAsia="Times New Roman" w:hAnsi="Arial" w:cs="Arial"/>
          <w:i/>
          <w:iCs/>
          <w:color w:val="000000" w:themeColor="text1"/>
          <w:kern w:val="0"/>
          <w:sz w:val="20"/>
          <w:szCs w:val="20"/>
          <w:lang w:eastAsia="fr-FR"/>
          <w14:ligatures w14:val="none"/>
        </w:rPr>
        <w:t>F. umbellata</w:t>
      </w:r>
      <w:r w:rsidRPr="00B02375">
        <w:rPr>
          <w:rFonts w:ascii="Arial" w:eastAsia="Times New Roman" w:hAnsi="Arial" w:cs="Arial"/>
          <w:color w:val="000000" w:themeColor="text1"/>
          <w:kern w:val="0"/>
          <w:sz w:val="20"/>
          <w:szCs w:val="20"/>
          <w:lang w:eastAsia="fr-FR"/>
          <w14:ligatures w14:val="none"/>
        </w:rPr>
        <w:t xml:space="preserve"> extract while continuing the high-fat diet. The aim was to assess the effects of a low dose of the extract on HFD-induced obesity and oxidative stress markers.</w:t>
      </w:r>
    </w:p>
    <w:p w14:paraId="6162BF35" w14:textId="77777777" w:rsidR="00B02375" w:rsidRPr="00B02375" w:rsidRDefault="00B02375" w:rsidP="00B02375">
      <w:pPr>
        <w:numPr>
          <w:ilvl w:val="0"/>
          <w:numId w:val="1"/>
        </w:num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b/>
          <w:bCs/>
          <w:color w:val="000000" w:themeColor="text1"/>
          <w:kern w:val="0"/>
          <w:sz w:val="20"/>
          <w:szCs w:val="20"/>
          <w:lang w:eastAsia="fr-FR"/>
          <w14:ligatures w14:val="none"/>
        </w:rPr>
        <w:t>Group 4 (FU200):</w:t>
      </w:r>
      <w:r w:rsidRPr="00B02375">
        <w:rPr>
          <w:rFonts w:ascii="Arial" w:eastAsia="Times New Roman" w:hAnsi="Arial" w:cs="Arial"/>
          <w:color w:val="000000" w:themeColor="text1"/>
          <w:kern w:val="0"/>
          <w:sz w:val="20"/>
          <w:szCs w:val="20"/>
          <w:lang w:eastAsia="fr-FR"/>
          <w14:ligatures w14:val="none"/>
        </w:rPr>
        <w:t xml:space="preserve"> The rats in this group received 200 mg/kg of </w:t>
      </w:r>
      <w:r w:rsidRPr="00B02375">
        <w:rPr>
          <w:rFonts w:ascii="Arial" w:eastAsia="Times New Roman" w:hAnsi="Arial" w:cs="Arial"/>
          <w:i/>
          <w:iCs/>
          <w:color w:val="000000" w:themeColor="text1"/>
          <w:kern w:val="0"/>
          <w:sz w:val="20"/>
          <w:szCs w:val="20"/>
          <w:lang w:eastAsia="fr-FR"/>
          <w14:ligatures w14:val="none"/>
        </w:rPr>
        <w:t>F. umbellata</w:t>
      </w:r>
      <w:r w:rsidRPr="00B02375">
        <w:rPr>
          <w:rFonts w:ascii="Arial" w:eastAsia="Times New Roman" w:hAnsi="Arial" w:cs="Arial"/>
          <w:color w:val="000000" w:themeColor="text1"/>
          <w:kern w:val="0"/>
          <w:sz w:val="20"/>
          <w:szCs w:val="20"/>
          <w:lang w:eastAsia="fr-FR"/>
          <w14:ligatures w14:val="none"/>
        </w:rPr>
        <w:t xml:space="preserve"> extract along with the high-fat diet. This group was used to examine the impact of an intermediate dose of the extract on reducing oxidative stress and obesity.</w:t>
      </w:r>
    </w:p>
    <w:p w14:paraId="244E3A15" w14:textId="77777777" w:rsidR="00B02375" w:rsidRPr="00B02375" w:rsidRDefault="00B02375" w:rsidP="00B02375">
      <w:pPr>
        <w:numPr>
          <w:ilvl w:val="0"/>
          <w:numId w:val="1"/>
        </w:num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b/>
          <w:bCs/>
          <w:color w:val="000000" w:themeColor="text1"/>
          <w:kern w:val="0"/>
          <w:sz w:val="20"/>
          <w:szCs w:val="20"/>
          <w:lang w:eastAsia="fr-FR"/>
          <w14:ligatures w14:val="none"/>
        </w:rPr>
        <w:t>Group 5 (FU400):</w:t>
      </w:r>
      <w:r w:rsidRPr="00B02375">
        <w:rPr>
          <w:rFonts w:ascii="Arial" w:eastAsia="Times New Roman" w:hAnsi="Arial" w:cs="Arial"/>
          <w:color w:val="000000" w:themeColor="text1"/>
          <w:kern w:val="0"/>
          <w:sz w:val="20"/>
          <w:szCs w:val="20"/>
          <w:lang w:eastAsia="fr-FR"/>
          <w14:ligatures w14:val="none"/>
        </w:rPr>
        <w:t xml:space="preserve"> This group was treated with 400 mg/kg of </w:t>
      </w:r>
      <w:r w:rsidRPr="00B02375">
        <w:rPr>
          <w:rFonts w:ascii="Arial" w:eastAsia="Times New Roman" w:hAnsi="Arial" w:cs="Arial"/>
          <w:i/>
          <w:iCs/>
          <w:color w:val="000000" w:themeColor="text1"/>
          <w:kern w:val="0"/>
          <w:sz w:val="20"/>
          <w:szCs w:val="20"/>
          <w:lang w:eastAsia="fr-FR"/>
          <w14:ligatures w14:val="none"/>
        </w:rPr>
        <w:t>F. umbellata</w:t>
      </w:r>
      <w:r w:rsidRPr="00B02375">
        <w:rPr>
          <w:rFonts w:ascii="Arial" w:eastAsia="Times New Roman" w:hAnsi="Arial" w:cs="Arial"/>
          <w:color w:val="000000" w:themeColor="text1"/>
          <w:kern w:val="0"/>
          <w:sz w:val="20"/>
          <w:szCs w:val="20"/>
          <w:lang w:eastAsia="fr-FR"/>
          <w14:ligatures w14:val="none"/>
        </w:rPr>
        <w:t xml:space="preserve"> extract while following the high-fat diet. It served to evaluate the effect of a higher dose of the extract on managing obesity and oxidative stress markers.</w:t>
      </w:r>
    </w:p>
    <w:p w14:paraId="68170BB2" w14:textId="77777777"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Each group included six animals, totaling 30 rats, randomly assigned to minimize experimental bias and ensure the reliability of the results.</w:t>
      </w:r>
    </w:p>
    <w:p w14:paraId="5728A439" w14:textId="77777777"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 xml:space="preserve">The treatment duration for each experimental group was set at 28 days. This period was chosen to allow a comprehensive assessment of the chronic effects of </w:t>
      </w:r>
      <w:r w:rsidRPr="00B02375">
        <w:rPr>
          <w:rFonts w:ascii="Arial" w:eastAsia="Times New Roman" w:hAnsi="Arial" w:cs="Arial"/>
          <w:i/>
          <w:iCs/>
          <w:color w:val="000000" w:themeColor="text1"/>
          <w:kern w:val="0"/>
          <w:sz w:val="20"/>
          <w:szCs w:val="20"/>
          <w:lang w:eastAsia="fr-FR"/>
          <w14:ligatures w14:val="none"/>
        </w:rPr>
        <w:t>F. umbellata</w:t>
      </w:r>
      <w:r w:rsidRPr="00B02375">
        <w:rPr>
          <w:rFonts w:ascii="Arial" w:eastAsia="Times New Roman" w:hAnsi="Arial" w:cs="Arial"/>
          <w:color w:val="000000" w:themeColor="text1"/>
          <w:kern w:val="0"/>
          <w:sz w:val="20"/>
          <w:szCs w:val="20"/>
          <w:lang w:eastAsia="fr-FR"/>
          <w14:ligatures w14:val="none"/>
        </w:rPr>
        <w:t xml:space="preserve"> extract on oxidative stress and obesity-related parameters in rats.</w:t>
      </w:r>
    </w:p>
    <w:p w14:paraId="4D310283" w14:textId="77777777"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lastRenderedPageBreak/>
        <w:t>The treatment was administered daily via gavage the extracts. The amount of extract administered was adjusted to 1 mL/100 g of body weight. This dosage was selected to ensure adequate absorption of the active compound while adhering to the recommendations of previous studies on the oral administration of medicinal plant extracts (Zhao et al., 2019). The administered volume was standardized across all groups based on the rats’ body weight to maintain precision and treatment consistency.</w:t>
      </w:r>
    </w:p>
    <w:p w14:paraId="6C3A3354" w14:textId="77777777" w:rsidR="00B02375" w:rsidRPr="00B02375" w:rsidRDefault="00B02375" w:rsidP="00B02375">
      <w:pPr>
        <w:spacing w:after="0" w:line="360" w:lineRule="auto"/>
        <w:jc w:val="both"/>
        <w:rPr>
          <w:rFonts w:ascii="Arial" w:eastAsia="Times New Roman" w:hAnsi="Arial" w:cs="Arial"/>
          <w:b/>
          <w:bCs/>
          <w:color w:val="000000" w:themeColor="text1"/>
          <w:kern w:val="0"/>
          <w:sz w:val="20"/>
          <w:szCs w:val="20"/>
          <w:lang w:eastAsia="fr-FR"/>
          <w14:ligatures w14:val="none"/>
        </w:rPr>
      </w:pPr>
    </w:p>
    <w:p w14:paraId="0FD01242" w14:textId="77777777" w:rsidR="00B02375" w:rsidRPr="00B02375" w:rsidRDefault="00B02375" w:rsidP="00B02375">
      <w:pPr>
        <w:pStyle w:val="ListParagraph"/>
        <w:numPr>
          <w:ilvl w:val="1"/>
          <w:numId w:val="4"/>
        </w:numPr>
        <w:spacing w:after="0" w:line="360" w:lineRule="auto"/>
        <w:jc w:val="both"/>
        <w:rPr>
          <w:rFonts w:ascii="Arial" w:eastAsia="Times New Roman" w:hAnsi="Arial" w:cs="Arial"/>
          <w:b/>
          <w:bCs/>
          <w:color w:val="000000" w:themeColor="text1"/>
          <w:kern w:val="0"/>
          <w:sz w:val="20"/>
          <w:szCs w:val="20"/>
          <w:lang w:eastAsia="fr-FR"/>
          <w14:ligatures w14:val="none"/>
        </w:rPr>
      </w:pPr>
      <w:r w:rsidRPr="00B02375">
        <w:rPr>
          <w:rFonts w:ascii="Arial" w:eastAsia="Times New Roman" w:hAnsi="Arial" w:cs="Arial"/>
          <w:b/>
          <w:bCs/>
          <w:color w:val="000000" w:themeColor="text1"/>
          <w:kern w:val="0"/>
          <w:sz w:val="20"/>
          <w:szCs w:val="20"/>
          <w:lang w:eastAsia="fr-FR"/>
          <w14:ligatures w14:val="none"/>
        </w:rPr>
        <w:t>Rat dissection and liver collection</w:t>
      </w:r>
    </w:p>
    <w:p w14:paraId="3C592174" w14:textId="77777777" w:rsidR="00B02375" w:rsidRPr="00B02375" w:rsidRDefault="00B02375" w:rsidP="00B02375">
      <w:pPr>
        <w:spacing w:after="0" w:line="360" w:lineRule="auto"/>
        <w:jc w:val="both"/>
        <w:rPr>
          <w:rFonts w:ascii="Arial" w:eastAsia="Times New Roman" w:hAnsi="Arial" w:cs="Arial"/>
          <w:b/>
          <w:bCs/>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At the end of the experimental period, the rats were sacrificed. A midline incision was then made along the abdomen using sterile surgical scissors. The abdominal cavity was carefully opened to expose the internal organs. The liver was located and gently removed using forceps and scissors, taking care not to damage the hepatic lobes. Immediately after excision, the liver was rinsed with cold 0.9% NaCl solution to remove residual blood. It was then weighed and stored at –20°C or –80°C, depending on the parameters to be analyzed later.</w:t>
      </w:r>
    </w:p>
    <w:p w14:paraId="426530D0" w14:textId="77777777" w:rsidR="00B02375" w:rsidRPr="00B02375" w:rsidRDefault="00B02375" w:rsidP="00B02375">
      <w:pPr>
        <w:pStyle w:val="ListParagraph"/>
        <w:numPr>
          <w:ilvl w:val="1"/>
          <w:numId w:val="4"/>
        </w:numPr>
        <w:spacing w:before="100" w:beforeAutospacing="1" w:after="100" w:afterAutospacing="1" w:line="360" w:lineRule="auto"/>
        <w:jc w:val="both"/>
        <w:rPr>
          <w:rFonts w:ascii="Arial" w:eastAsia="Times New Roman" w:hAnsi="Arial" w:cs="Arial"/>
          <w:b/>
          <w:bCs/>
          <w:color w:val="000000" w:themeColor="text1"/>
          <w:kern w:val="0"/>
          <w:sz w:val="22"/>
          <w:szCs w:val="22"/>
          <w:lang w:eastAsia="fr-FR"/>
          <w14:ligatures w14:val="none"/>
        </w:rPr>
      </w:pPr>
      <w:r w:rsidRPr="00B02375">
        <w:rPr>
          <w:rFonts w:ascii="Arial" w:eastAsia="Times New Roman" w:hAnsi="Arial" w:cs="Arial"/>
          <w:b/>
          <w:bCs/>
          <w:color w:val="000000" w:themeColor="text1"/>
          <w:kern w:val="0"/>
          <w:sz w:val="22"/>
          <w:szCs w:val="22"/>
          <w:lang w:eastAsia="fr-FR"/>
          <w14:ligatures w14:val="none"/>
        </w:rPr>
        <w:t>Evaluated parameters</w:t>
      </w:r>
    </w:p>
    <w:p w14:paraId="3F0E74F4" w14:textId="77777777" w:rsidR="00B02375" w:rsidRPr="00B02375" w:rsidRDefault="00B02375" w:rsidP="00B02375">
      <w:pPr>
        <w:pStyle w:val="ListParagraph"/>
        <w:numPr>
          <w:ilvl w:val="2"/>
          <w:numId w:val="4"/>
        </w:numPr>
        <w:spacing w:before="100" w:beforeAutospacing="1" w:after="100" w:afterAutospacing="1" w:line="360" w:lineRule="auto"/>
        <w:jc w:val="both"/>
        <w:rPr>
          <w:rFonts w:ascii="Arial" w:eastAsia="Times New Roman" w:hAnsi="Arial" w:cs="Arial"/>
          <w:b/>
          <w:bCs/>
          <w:color w:val="000000" w:themeColor="text1"/>
          <w:kern w:val="0"/>
          <w:sz w:val="20"/>
          <w:szCs w:val="20"/>
          <w:lang w:eastAsia="fr-FR"/>
          <w14:ligatures w14:val="none"/>
        </w:rPr>
      </w:pPr>
      <w:r w:rsidRPr="00B02375">
        <w:rPr>
          <w:rFonts w:ascii="Arial" w:eastAsia="Times New Roman" w:hAnsi="Arial" w:cs="Arial"/>
          <w:b/>
          <w:bCs/>
          <w:color w:val="000000" w:themeColor="text1"/>
          <w:kern w:val="0"/>
          <w:sz w:val="20"/>
          <w:szCs w:val="20"/>
          <w:lang w:eastAsia="fr-FR"/>
          <w14:ligatures w14:val="none"/>
        </w:rPr>
        <w:t>Anthropometric parameters</w:t>
      </w:r>
    </w:p>
    <w:p w14:paraId="28A982DE" w14:textId="77777777" w:rsidR="00B02375" w:rsidRPr="00B02375" w:rsidRDefault="00B02375" w:rsidP="00B02375">
      <w:pPr>
        <w:spacing w:before="100" w:beforeAutospacing="1" w:after="100" w:afterAutospacing="1"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To assess the effect of the treatment on the rats, several parameters were monitored throughout the study. These are commonly used in preclinical studies to determine the metabolic and anti-obesity effects of treatments.</w:t>
      </w:r>
    </w:p>
    <w:p w14:paraId="0A0E4A68" w14:textId="77777777" w:rsidR="00B02375" w:rsidRPr="00B02375" w:rsidRDefault="00B02375" w:rsidP="00B02375">
      <w:pPr>
        <w:numPr>
          <w:ilvl w:val="0"/>
          <w:numId w:val="2"/>
        </w:numPr>
        <w:spacing w:before="100" w:beforeAutospacing="1" w:after="100" w:afterAutospacing="1"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b/>
          <w:bCs/>
          <w:color w:val="000000" w:themeColor="text1"/>
          <w:kern w:val="0"/>
          <w:sz w:val="20"/>
          <w:szCs w:val="20"/>
          <w:lang w:eastAsia="fr-FR"/>
          <w14:ligatures w14:val="none"/>
        </w:rPr>
        <w:t>Body weight (every 3 days):</w:t>
      </w:r>
    </w:p>
    <w:p w14:paraId="61491D65" w14:textId="2B7B0742" w:rsidR="00B02375" w:rsidRPr="00B02375" w:rsidRDefault="00B02375" w:rsidP="00B02375">
      <w:pPr>
        <w:spacing w:before="100" w:beforeAutospacing="1" w:after="100" w:afterAutospacing="1"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 xml:space="preserve">The body weight of the rats was measured every three days to track weight gain during the administration of the high-fat diet and the </w:t>
      </w:r>
      <w:r w:rsidRPr="00B02375">
        <w:rPr>
          <w:rFonts w:ascii="Arial" w:eastAsia="Times New Roman" w:hAnsi="Arial" w:cs="Arial"/>
          <w:i/>
          <w:iCs/>
          <w:color w:val="000000" w:themeColor="text1"/>
          <w:kern w:val="0"/>
          <w:sz w:val="20"/>
          <w:szCs w:val="20"/>
          <w:lang w:eastAsia="fr-FR"/>
          <w14:ligatures w14:val="none"/>
        </w:rPr>
        <w:t>F. umbellata</w:t>
      </w:r>
      <w:r w:rsidRPr="00B02375">
        <w:rPr>
          <w:rFonts w:ascii="Arial" w:eastAsia="Times New Roman" w:hAnsi="Arial" w:cs="Arial"/>
          <w:color w:val="000000" w:themeColor="text1"/>
          <w:kern w:val="0"/>
          <w:sz w:val="20"/>
          <w:szCs w:val="20"/>
          <w:lang w:eastAsia="fr-FR"/>
          <w14:ligatures w14:val="none"/>
        </w:rPr>
        <w:t xml:space="preserve"> extract treatment. Regular monitoring of body weight is essential to evaluate the impact of treatments on diet-induced weight gain, a central criterion of obesity. This parameter also helps assess the effect of plant extracts on reducing weight gain observed in the obese group.</w:t>
      </w:r>
    </w:p>
    <w:p w14:paraId="4CF98C93" w14:textId="77777777" w:rsidR="00B02375" w:rsidRPr="00B02375" w:rsidRDefault="00B02375" w:rsidP="00B02375">
      <w:pPr>
        <w:numPr>
          <w:ilvl w:val="0"/>
          <w:numId w:val="2"/>
        </w:numPr>
        <w:spacing w:before="100" w:beforeAutospacing="1" w:after="100" w:afterAutospacing="1"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b/>
          <w:bCs/>
          <w:color w:val="000000" w:themeColor="text1"/>
          <w:kern w:val="0"/>
          <w:sz w:val="20"/>
          <w:szCs w:val="20"/>
          <w:lang w:eastAsia="fr-FR"/>
          <w14:ligatures w14:val="none"/>
        </w:rPr>
        <w:t>Lee Index (obesity):</w:t>
      </w:r>
    </w:p>
    <w:p w14:paraId="1C92B7ED" w14:textId="77777777" w:rsidR="00B02375" w:rsidRPr="00B02375" w:rsidRDefault="00B02375" w:rsidP="00B02375">
      <w:pPr>
        <w:spacing w:before="100" w:beforeAutospacing="1" w:after="100" w:afterAutospacing="1"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The Lee Index is an indicator of obesity in animals and is calculated using the following formula:</w:t>
      </w:r>
    </w:p>
    <w:p w14:paraId="43A6AE61" w14:textId="77777777" w:rsidR="00B02375" w:rsidRPr="00B02375" w:rsidRDefault="00B02375" w:rsidP="00B02375">
      <w:pPr>
        <w:spacing w:before="100" w:beforeAutospacing="1" w:after="0" w:line="360" w:lineRule="auto"/>
        <w:jc w:val="center"/>
        <w:rPr>
          <w:rFonts w:ascii="Arial" w:eastAsia="Times New Roman" w:hAnsi="Arial" w:cs="Arial"/>
          <w:color w:val="000000" w:themeColor="text1"/>
          <w:kern w:val="0"/>
          <w:sz w:val="20"/>
          <w:szCs w:val="20"/>
          <w:lang w:eastAsia="fr-FR"/>
          <w14:ligatures w14:val="none"/>
        </w:rPr>
      </w:pPr>
      <w:r w:rsidRPr="00B02375">
        <w:rPr>
          <w:rFonts w:ascii="Arial" w:hAnsi="Arial" w:cs="Arial"/>
          <w:noProof/>
          <w:color w:val="000000" w:themeColor="text1"/>
          <w:sz w:val="20"/>
          <w:szCs w:val="20"/>
          <w:lang w:val="en-US"/>
        </w:rPr>
        <w:drawing>
          <wp:inline distT="0" distB="0" distL="0" distR="0" wp14:anchorId="5CC18A93" wp14:editId="07EE0724">
            <wp:extent cx="3648075" cy="947017"/>
            <wp:effectExtent l="0" t="0" r="0" b="5715"/>
            <wp:docPr id="14156684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668407" name=""/>
                    <pic:cNvPicPr/>
                  </pic:nvPicPr>
                  <pic:blipFill>
                    <a:blip r:embed="rId5"/>
                    <a:stretch>
                      <a:fillRect/>
                    </a:stretch>
                  </pic:blipFill>
                  <pic:spPr>
                    <a:xfrm>
                      <a:off x="0" y="0"/>
                      <a:ext cx="3690995" cy="958159"/>
                    </a:xfrm>
                    <a:prstGeom prst="rect">
                      <a:avLst/>
                    </a:prstGeom>
                  </pic:spPr>
                </pic:pic>
              </a:graphicData>
            </a:graphic>
          </wp:inline>
        </w:drawing>
      </w:r>
    </w:p>
    <w:p w14:paraId="6C7C8A50" w14:textId="77777777" w:rsidR="00B02375" w:rsidRPr="00B02375" w:rsidRDefault="00B02375" w:rsidP="00B02375">
      <w:pPr>
        <w:numPr>
          <w:ilvl w:val="0"/>
          <w:numId w:val="3"/>
        </w:num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b/>
          <w:bCs/>
          <w:color w:val="000000" w:themeColor="text1"/>
          <w:kern w:val="0"/>
          <w:sz w:val="20"/>
          <w:szCs w:val="20"/>
          <w:lang w:eastAsia="fr-FR"/>
          <w14:ligatures w14:val="none"/>
        </w:rPr>
        <w:t>Body weight:</w:t>
      </w:r>
      <w:r w:rsidRPr="00B02375">
        <w:rPr>
          <w:rFonts w:ascii="Arial" w:eastAsia="Times New Roman" w:hAnsi="Arial" w:cs="Arial"/>
          <w:color w:val="000000" w:themeColor="text1"/>
          <w:kern w:val="0"/>
          <w:sz w:val="20"/>
          <w:szCs w:val="20"/>
          <w:lang w:eastAsia="fr-FR"/>
          <w14:ligatures w14:val="none"/>
        </w:rPr>
        <w:t xml:space="preserve"> Weight of the animal in grams (g)</w:t>
      </w:r>
    </w:p>
    <w:p w14:paraId="00D31F6B" w14:textId="77777777" w:rsidR="00B02375" w:rsidRPr="00B02375" w:rsidRDefault="00B02375" w:rsidP="00B02375">
      <w:pPr>
        <w:numPr>
          <w:ilvl w:val="0"/>
          <w:numId w:val="3"/>
        </w:num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b/>
          <w:bCs/>
          <w:color w:val="000000" w:themeColor="text1"/>
          <w:kern w:val="0"/>
          <w:sz w:val="20"/>
          <w:szCs w:val="20"/>
          <w:lang w:eastAsia="fr-FR"/>
          <w14:ligatures w14:val="none"/>
        </w:rPr>
        <w:t>Body length:</w:t>
      </w:r>
      <w:r w:rsidRPr="00B02375">
        <w:rPr>
          <w:rFonts w:ascii="Arial" w:eastAsia="Times New Roman" w:hAnsi="Arial" w:cs="Arial"/>
          <w:color w:val="000000" w:themeColor="text1"/>
          <w:kern w:val="0"/>
          <w:sz w:val="20"/>
          <w:szCs w:val="20"/>
          <w:lang w:eastAsia="fr-FR"/>
          <w14:ligatures w14:val="none"/>
        </w:rPr>
        <w:t xml:space="preserve"> Measured from the nose to the base of the tail, in centimeters (cm)</w:t>
      </w:r>
    </w:p>
    <w:p w14:paraId="3E690531" w14:textId="4A635B9B"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 xml:space="preserve">This index was measured to assess changes in body composition in rats, particularly fat mass. The Lee Index is a sensitive indicator for detecting obesity, as it considers the animal’s body frame rather than </w:t>
      </w:r>
      <w:r w:rsidRPr="00B02375">
        <w:rPr>
          <w:rFonts w:ascii="Arial" w:eastAsia="Times New Roman" w:hAnsi="Arial" w:cs="Arial"/>
          <w:color w:val="000000" w:themeColor="text1"/>
          <w:kern w:val="0"/>
          <w:sz w:val="20"/>
          <w:szCs w:val="20"/>
          <w:lang w:eastAsia="fr-FR"/>
          <w14:ligatures w14:val="none"/>
        </w:rPr>
        <w:lastRenderedPageBreak/>
        <w:t xml:space="preserve">relying solely on body weight. A high Lee Index generally indicates excess body fat, whereas a decrease in this index may suggest a reduction in fat mass, potentially because of </w:t>
      </w:r>
      <w:r w:rsidRPr="00B02375">
        <w:rPr>
          <w:rFonts w:ascii="Arial" w:eastAsia="Times New Roman" w:hAnsi="Arial" w:cs="Arial"/>
          <w:i/>
          <w:iCs/>
          <w:color w:val="000000" w:themeColor="text1"/>
          <w:kern w:val="0"/>
          <w:sz w:val="20"/>
          <w:szCs w:val="20"/>
          <w:lang w:eastAsia="fr-FR"/>
          <w14:ligatures w14:val="none"/>
        </w:rPr>
        <w:t>F. umbellata</w:t>
      </w:r>
      <w:r w:rsidRPr="00B02375">
        <w:rPr>
          <w:rFonts w:ascii="Arial" w:eastAsia="Times New Roman" w:hAnsi="Arial" w:cs="Arial"/>
          <w:color w:val="000000" w:themeColor="text1"/>
          <w:kern w:val="0"/>
          <w:sz w:val="20"/>
          <w:szCs w:val="20"/>
          <w:lang w:eastAsia="fr-FR"/>
          <w14:ligatures w14:val="none"/>
        </w:rPr>
        <w:t xml:space="preserve"> extracts.</w:t>
      </w:r>
    </w:p>
    <w:p w14:paraId="5DF900EB" w14:textId="77777777"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p>
    <w:p w14:paraId="34A50DB1" w14:textId="77777777" w:rsidR="00B02375" w:rsidRPr="00B02375" w:rsidRDefault="00B02375" w:rsidP="00B02375">
      <w:pPr>
        <w:pStyle w:val="ListParagraph"/>
        <w:numPr>
          <w:ilvl w:val="2"/>
          <w:numId w:val="4"/>
        </w:num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b/>
          <w:bCs/>
          <w:color w:val="000000" w:themeColor="text1"/>
          <w:kern w:val="0"/>
          <w:sz w:val="20"/>
          <w:szCs w:val="20"/>
          <w:lang w:eastAsia="fr-FR"/>
          <w14:ligatures w14:val="none"/>
        </w:rPr>
        <w:t>Food and water intake:</w:t>
      </w:r>
    </w:p>
    <w:p w14:paraId="3B0AFC5E" w14:textId="16F9D713"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Food and water intake was monitored throughout the study. These parameters were recorded daily, as changes in appetite and fluid consumption may reflect the treatment’s effect on the animals' metabolism. An increase or decrease in intake may also indicate pathophysiological changes associated with the treatment, such as effects on energy metabolism or signs of toxicity.</w:t>
      </w:r>
    </w:p>
    <w:p w14:paraId="2F807D6A" w14:textId="77777777"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p>
    <w:p w14:paraId="6F58081F" w14:textId="77777777" w:rsidR="00B02375" w:rsidRPr="00B02375" w:rsidRDefault="00B02375" w:rsidP="00B02375">
      <w:pPr>
        <w:pStyle w:val="ListParagraph"/>
        <w:numPr>
          <w:ilvl w:val="2"/>
          <w:numId w:val="4"/>
        </w:num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b/>
          <w:bCs/>
          <w:color w:val="000000" w:themeColor="text1"/>
          <w:kern w:val="0"/>
          <w:sz w:val="20"/>
          <w:szCs w:val="20"/>
          <w:lang w:eastAsia="fr-FR"/>
          <w14:ligatures w14:val="none"/>
        </w:rPr>
        <w:t>Oxidative stress markers (in liver and/or plasma)</w:t>
      </w:r>
    </w:p>
    <w:p w14:paraId="1F3C8B71" w14:textId="77777777"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p>
    <w:p w14:paraId="70BE4364" w14:textId="77777777" w:rsidR="00B02375" w:rsidRPr="00B02375" w:rsidRDefault="00B02375" w:rsidP="00B02375">
      <w:pPr>
        <w:pStyle w:val="ListParagraph"/>
        <w:numPr>
          <w:ilvl w:val="0"/>
          <w:numId w:val="5"/>
        </w:num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b/>
          <w:bCs/>
          <w:color w:val="000000" w:themeColor="text1"/>
          <w:kern w:val="0"/>
          <w:sz w:val="20"/>
          <w:szCs w:val="20"/>
          <w:lang w:eastAsia="fr-FR"/>
          <w14:ligatures w14:val="none"/>
        </w:rPr>
        <w:t>Malondialdehyde (MDA): lipid peroxidation marker</w:t>
      </w:r>
    </w:p>
    <w:p w14:paraId="4E2C4F42" w14:textId="77777777" w:rsidR="00B02375" w:rsidRPr="002067BF" w:rsidRDefault="00B02375" w:rsidP="00B02375">
      <w:pPr>
        <w:spacing w:after="0" w:line="360" w:lineRule="auto"/>
        <w:jc w:val="both"/>
        <w:rPr>
          <w:rFonts w:ascii="Arial" w:eastAsia="Times New Roman" w:hAnsi="Arial" w:cs="Arial"/>
          <w:color w:val="000000" w:themeColor="text1"/>
          <w:kern w:val="0"/>
          <w:sz w:val="20"/>
          <w:szCs w:val="20"/>
          <w:lang w:val="da-DK" w:eastAsia="fr-FR"/>
          <w14:ligatures w14:val="none"/>
        </w:rPr>
      </w:pPr>
      <w:r w:rsidRPr="00B02375">
        <w:rPr>
          <w:rFonts w:ascii="Arial" w:eastAsia="Times New Roman" w:hAnsi="Arial" w:cs="Arial"/>
          <w:color w:val="000000" w:themeColor="text1"/>
          <w:kern w:val="0"/>
          <w:sz w:val="20"/>
          <w:szCs w:val="20"/>
          <w:lang w:eastAsia="fr-FR"/>
          <w14:ligatures w14:val="none"/>
        </w:rPr>
        <w:t xml:space="preserve">Malondialdehyde (MDA) is a final product of lipid peroxidation and is commonly used as </w:t>
      </w:r>
      <w:proofErr w:type="gramStart"/>
      <w:r w:rsidRPr="00B02375">
        <w:rPr>
          <w:rFonts w:ascii="Arial" w:eastAsia="Times New Roman" w:hAnsi="Arial" w:cs="Arial"/>
          <w:color w:val="000000" w:themeColor="text1"/>
          <w:kern w:val="0"/>
          <w:sz w:val="20"/>
          <w:szCs w:val="20"/>
          <w:lang w:eastAsia="fr-FR"/>
          <w14:ligatures w14:val="none"/>
        </w:rPr>
        <w:t>a</w:t>
      </w:r>
      <w:proofErr w:type="gramEnd"/>
      <w:r w:rsidRPr="00B02375">
        <w:rPr>
          <w:rFonts w:ascii="Arial" w:eastAsia="Times New Roman" w:hAnsi="Arial" w:cs="Arial"/>
          <w:color w:val="000000" w:themeColor="text1"/>
          <w:kern w:val="0"/>
          <w:sz w:val="20"/>
          <w:szCs w:val="20"/>
          <w:lang w:eastAsia="fr-FR"/>
          <w14:ligatures w14:val="none"/>
        </w:rPr>
        <w:t xml:space="preserve"> marker of oxidative tissue damage. MDA levels are typically measured using the thiobarbituric acid reactive substances (TBARS) assay, which detects the formation of colored complexes between MDA and thiobarbituric acid</w:t>
      </w:r>
      <w:r w:rsidRPr="00B02375">
        <w:rPr>
          <w:color w:val="000000" w:themeColor="text1"/>
        </w:rPr>
        <w:t xml:space="preserve"> </w:t>
      </w:r>
      <w:r w:rsidRPr="00B02375">
        <w:rPr>
          <w:rFonts w:ascii="Arial" w:eastAsia="Times New Roman" w:hAnsi="Arial" w:cs="Arial"/>
          <w:color w:val="000000" w:themeColor="text1"/>
          <w:kern w:val="0"/>
          <w:sz w:val="20"/>
          <w:szCs w:val="20"/>
          <w:lang w:eastAsia="fr-FR"/>
          <w14:ligatures w14:val="none"/>
        </w:rPr>
        <w:t xml:space="preserve">(Lu et al., 2018). </w:t>
      </w:r>
      <w:r w:rsidRPr="002067BF">
        <w:rPr>
          <w:rFonts w:ascii="Arial" w:eastAsia="Times New Roman" w:hAnsi="Arial" w:cs="Arial"/>
          <w:color w:val="000000" w:themeColor="text1"/>
          <w:kern w:val="0"/>
          <w:sz w:val="20"/>
          <w:szCs w:val="20"/>
          <w:lang w:val="da-DK" w:eastAsia="fr-FR"/>
          <w14:ligatures w14:val="none"/>
        </w:rPr>
        <w:t>MDA reacts with TBA at high temperatures to form a colored adduct measurable at 532 nm.</w:t>
      </w:r>
    </w:p>
    <w:p w14:paraId="14E9819A" w14:textId="77777777" w:rsidR="00B02375" w:rsidRPr="002067BF" w:rsidRDefault="00B02375" w:rsidP="00B02375">
      <w:pPr>
        <w:spacing w:after="0" w:line="360" w:lineRule="auto"/>
        <w:jc w:val="both"/>
        <w:rPr>
          <w:rFonts w:ascii="Arial" w:eastAsia="Times New Roman" w:hAnsi="Arial" w:cs="Arial"/>
          <w:color w:val="000000" w:themeColor="text1"/>
          <w:kern w:val="0"/>
          <w:sz w:val="20"/>
          <w:szCs w:val="20"/>
          <w:lang w:val="da-DK" w:eastAsia="fr-FR"/>
          <w14:ligatures w14:val="none"/>
        </w:rPr>
      </w:pPr>
    </w:p>
    <w:p w14:paraId="5D1DB6A1" w14:textId="77777777" w:rsidR="00B02375" w:rsidRPr="00B02375" w:rsidRDefault="00B02375" w:rsidP="00B02375">
      <w:pPr>
        <w:pStyle w:val="ListParagraph"/>
        <w:numPr>
          <w:ilvl w:val="0"/>
          <w:numId w:val="5"/>
        </w:num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b/>
          <w:bCs/>
          <w:color w:val="000000" w:themeColor="text1"/>
          <w:kern w:val="0"/>
          <w:sz w:val="20"/>
          <w:szCs w:val="20"/>
          <w:lang w:eastAsia="fr-FR"/>
          <w14:ligatures w14:val="none"/>
        </w:rPr>
        <w:t>Reduced Glutathione (GSH):</w:t>
      </w:r>
    </w:p>
    <w:p w14:paraId="57F4157B" w14:textId="1B12464E"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Reduced glutathione (GSH) is a major intracellular antioxidant that protects cells against oxidative stress.</w:t>
      </w:r>
    </w:p>
    <w:p w14:paraId="49E8E51A" w14:textId="77777777"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GSH levels are quantified by reaction with 5,5'-dithiobis (2-nitrobenzoic acid) (DTNB), which produces a colored product measurable at 412 nm in the presence of GSH.</w:t>
      </w:r>
    </w:p>
    <w:p w14:paraId="06A9F2FC" w14:textId="77777777"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p>
    <w:p w14:paraId="40DB6D89" w14:textId="77777777" w:rsidR="00B02375" w:rsidRPr="00B02375" w:rsidRDefault="00B02375" w:rsidP="00B02375">
      <w:pPr>
        <w:pStyle w:val="ListParagraph"/>
        <w:numPr>
          <w:ilvl w:val="0"/>
          <w:numId w:val="5"/>
        </w:num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b/>
          <w:bCs/>
          <w:color w:val="000000" w:themeColor="text1"/>
          <w:kern w:val="0"/>
          <w:sz w:val="20"/>
          <w:szCs w:val="20"/>
          <w:lang w:eastAsia="fr-FR"/>
          <w14:ligatures w14:val="none"/>
        </w:rPr>
        <w:t>Superoxide Dismutase (SOD):</w:t>
      </w:r>
    </w:p>
    <w:p w14:paraId="3D05FF41" w14:textId="1BE04408"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Superoxide dismutase (SOD) is a key enzyme in defense against oxidative stress, catalyzing the dismutation of the superoxide radical (O</w:t>
      </w:r>
      <w:r w:rsidRPr="00B02375">
        <w:rPr>
          <w:rFonts w:ascii="Cambria Math" w:eastAsia="Times New Roman" w:hAnsi="Cambria Math" w:cs="Cambria Math"/>
          <w:color w:val="000000" w:themeColor="text1"/>
          <w:kern w:val="0"/>
          <w:sz w:val="20"/>
          <w:szCs w:val="20"/>
          <w:lang w:eastAsia="fr-FR"/>
          <w14:ligatures w14:val="none"/>
        </w:rPr>
        <w:t>₂</w:t>
      </w:r>
      <w:r w:rsidRPr="00B02375">
        <w:rPr>
          <w:rFonts w:ascii="Arial" w:eastAsia="Times New Roman" w:hAnsi="Arial" w:cs="Arial"/>
          <w:color w:val="000000" w:themeColor="text1"/>
          <w:kern w:val="0"/>
          <w:sz w:val="20"/>
          <w:szCs w:val="20"/>
          <w:lang w:eastAsia="fr-FR"/>
          <w14:ligatures w14:val="none"/>
        </w:rPr>
        <w:t>•</w:t>
      </w:r>
      <w:r w:rsidRPr="00B02375">
        <w:rPr>
          <w:rFonts w:ascii="Cambria Math" w:eastAsia="Times New Roman" w:hAnsi="Cambria Math" w:cs="Cambria Math"/>
          <w:color w:val="000000" w:themeColor="text1"/>
          <w:kern w:val="0"/>
          <w:sz w:val="20"/>
          <w:szCs w:val="20"/>
          <w:lang w:eastAsia="fr-FR"/>
          <w14:ligatures w14:val="none"/>
        </w:rPr>
        <w:t>⁻</w:t>
      </w:r>
      <w:r w:rsidRPr="00B02375">
        <w:rPr>
          <w:rFonts w:ascii="Arial" w:eastAsia="Times New Roman" w:hAnsi="Arial" w:cs="Arial"/>
          <w:color w:val="000000" w:themeColor="text1"/>
          <w:kern w:val="0"/>
          <w:sz w:val="20"/>
          <w:szCs w:val="20"/>
          <w:lang w:eastAsia="fr-FR"/>
          <w14:ligatures w14:val="none"/>
        </w:rPr>
        <w:t>) into hydrogen peroxide (H</w:t>
      </w:r>
      <w:r w:rsidRPr="00B02375">
        <w:rPr>
          <w:rFonts w:ascii="Cambria Math" w:eastAsia="Times New Roman" w:hAnsi="Cambria Math" w:cs="Cambria Math"/>
          <w:color w:val="000000" w:themeColor="text1"/>
          <w:kern w:val="0"/>
          <w:sz w:val="20"/>
          <w:szCs w:val="20"/>
          <w:lang w:eastAsia="fr-FR"/>
          <w14:ligatures w14:val="none"/>
        </w:rPr>
        <w:t>₂</w:t>
      </w:r>
      <w:r w:rsidRPr="00B02375">
        <w:rPr>
          <w:rFonts w:ascii="Arial" w:eastAsia="Times New Roman" w:hAnsi="Arial" w:cs="Arial"/>
          <w:color w:val="000000" w:themeColor="text1"/>
          <w:kern w:val="0"/>
          <w:sz w:val="20"/>
          <w:szCs w:val="20"/>
          <w:lang w:eastAsia="fr-FR"/>
          <w14:ligatures w14:val="none"/>
        </w:rPr>
        <w:t>O</w:t>
      </w:r>
      <w:r w:rsidRPr="00B02375">
        <w:rPr>
          <w:rFonts w:ascii="Cambria Math" w:eastAsia="Times New Roman" w:hAnsi="Cambria Math" w:cs="Cambria Math"/>
          <w:color w:val="000000" w:themeColor="text1"/>
          <w:kern w:val="0"/>
          <w:sz w:val="20"/>
          <w:szCs w:val="20"/>
          <w:lang w:eastAsia="fr-FR"/>
          <w14:ligatures w14:val="none"/>
        </w:rPr>
        <w:t>₂</w:t>
      </w:r>
      <w:r w:rsidRPr="00B02375">
        <w:rPr>
          <w:rFonts w:ascii="Arial" w:eastAsia="Times New Roman" w:hAnsi="Arial" w:cs="Arial"/>
          <w:color w:val="000000" w:themeColor="text1"/>
          <w:kern w:val="0"/>
          <w:sz w:val="20"/>
          <w:szCs w:val="20"/>
          <w:lang w:eastAsia="fr-FR"/>
          <w14:ligatures w14:val="none"/>
        </w:rPr>
        <w:t>).</w:t>
      </w:r>
      <w:r w:rsidRPr="00B02375">
        <w:rPr>
          <w:rFonts w:ascii="Arial" w:eastAsia="Times New Roman" w:hAnsi="Arial" w:cs="Arial"/>
          <w:color w:val="000000" w:themeColor="text1"/>
          <w:kern w:val="0"/>
          <w:sz w:val="20"/>
          <w:szCs w:val="20"/>
          <w:lang w:eastAsia="fr-FR"/>
          <w14:ligatures w14:val="none"/>
        </w:rPr>
        <w:br/>
        <w:t>SOD activity is measured by evaluating the inhibition of nitroblue tetrazolium (NBT) reduction in the presence of superoxide. The degree of inhibition correlates with SOD activity.</w:t>
      </w:r>
    </w:p>
    <w:p w14:paraId="2A1E3C54" w14:textId="77777777"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p>
    <w:p w14:paraId="64FD2294" w14:textId="77777777" w:rsidR="00B02375" w:rsidRPr="00B02375" w:rsidRDefault="00B02375" w:rsidP="00B02375">
      <w:pPr>
        <w:pStyle w:val="ListParagraph"/>
        <w:numPr>
          <w:ilvl w:val="0"/>
          <w:numId w:val="5"/>
        </w:num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b/>
          <w:bCs/>
          <w:color w:val="000000" w:themeColor="text1"/>
          <w:kern w:val="0"/>
          <w:sz w:val="20"/>
          <w:szCs w:val="20"/>
          <w:lang w:eastAsia="fr-FR"/>
          <w14:ligatures w14:val="none"/>
        </w:rPr>
        <w:t>Catalase (CAT):</w:t>
      </w:r>
    </w:p>
    <w:p w14:paraId="5E246D38" w14:textId="77777777"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Catalase (CAT) is an enzyme that decomposes hydrogen peroxide (H</w:t>
      </w:r>
      <w:r w:rsidRPr="00B02375">
        <w:rPr>
          <w:rFonts w:ascii="Cambria Math" w:eastAsia="Times New Roman" w:hAnsi="Cambria Math" w:cs="Cambria Math"/>
          <w:color w:val="000000" w:themeColor="text1"/>
          <w:kern w:val="0"/>
          <w:sz w:val="20"/>
          <w:szCs w:val="20"/>
          <w:lang w:eastAsia="fr-FR"/>
          <w14:ligatures w14:val="none"/>
        </w:rPr>
        <w:t>₂</w:t>
      </w:r>
      <w:r w:rsidRPr="00B02375">
        <w:rPr>
          <w:rFonts w:ascii="Arial" w:eastAsia="Times New Roman" w:hAnsi="Arial" w:cs="Arial"/>
          <w:color w:val="000000" w:themeColor="text1"/>
          <w:kern w:val="0"/>
          <w:sz w:val="20"/>
          <w:szCs w:val="20"/>
          <w:lang w:eastAsia="fr-FR"/>
          <w14:ligatures w14:val="none"/>
        </w:rPr>
        <w:t>O</w:t>
      </w:r>
      <w:r w:rsidRPr="00B02375">
        <w:rPr>
          <w:rFonts w:ascii="Cambria Math" w:eastAsia="Times New Roman" w:hAnsi="Cambria Math" w:cs="Cambria Math"/>
          <w:color w:val="000000" w:themeColor="text1"/>
          <w:kern w:val="0"/>
          <w:sz w:val="20"/>
          <w:szCs w:val="20"/>
          <w:lang w:eastAsia="fr-FR"/>
          <w14:ligatures w14:val="none"/>
        </w:rPr>
        <w:t>₂</w:t>
      </w:r>
      <w:r w:rsidRPr="00B02375">
        <w:rPr>
          <w:rFonts w:ascii="Arial" w:eastAsia="Times New Roman" w:hAnsi="Arial" w:cs="Arial"/>
          <w:color w:val="000000" w:themeColor="text1"/>
          <w:kern w:val="0"/>
          <w:sz w:val="20"/>
          <w:szCs w:val="20"/>
          <w:lang w:eastAsia="fr-FR"/>
          <w14:ligatures w14:val="none"/>
        </w:rPr>
        <w:t>) into water and oxygen, thus playing a crucial role in mitigating oxidative stress.</w:t>
      </w:r>
    </w:p>
    <w:p w14:paraId="367ED4F0" w14:textId="3FEDFE0E"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CAT activity is typically measured by monitoring the decrease in absorbance of hydrogen peroxide at 240 nm, reflecting its degradation.</w:t>
      </w:r>
      <w:bookmarkStart w:id="2" w:name="_Hlk196954152"/>
    </w:p>
    <w:p w14:paraId="3ABBBBA0" w14:textId="77777777" w:rsidR="00B02375" w:rsidRPr="00B02375" w:rsidRDefault="00B02375" w:rsidP="00B02375">
      <w:pPr>
        <w:spacing w:after="0" w:line="360" w:lineRule="auto"/>
        <w:jc w:val="both"/>
        <w:rPr>
          <w:rFonts w:ascii="Arial" w:eastAsia="Times New Roman" w:hAnsi="Arial" w:cs="Arial"/>
          <w:b/>
          <w:bCs/>
          <w:color w:val="000000" w:themeColor="text1"/>
          <w:kern w:val="0"/>
          <w:sz w:val="27"/>
          <w:szCs w:val="27"/>
          <w:lang w:eastAsia="fr-FR"/>
          <w14:ligatures w14:val="none"/>
        </w:rPr>
      </w:pPr>
    </w:p>
    <w:p w14:paraId="4F19CB0E" w14:textId="77777777" w:rsidR="00B02375" w:rsidRPr="00B02375" w:rsidRDefault="00B02375" w:rsidP="00B02375">
      <w:pPr>
        <w:pStyle w:val="ListParagraph"/>
        <w:numPr>
          <w:ilvl w:val="0"/>
          <w:numId w:val="4"/>
        </w:numPr>
        <w:spacing w:after="0" w:line="360" w:lineRule="auto"/>
        <w:jc w:val="both"/>
        <w:rPr>
          <w:rFonts w:ascii="Arial" w:eastAsia="Times New Roman" w:hAnsi="Arial" w:cs="Arial"/>
          <w:b/>
          <w:bCs/>
          <w:color w:val="000000" w:themeColor="text1"/>
          <w:kern w:val="0"/>
          <w:sz w:val="22"/>
          <w:szCs w:val="22"/>
          <w:lang w:eastAsia="fr-FR"/>
          <w14:ligatures w14:val="none"/>
        </w:rPr>
      </w:pPr>
      <w:bookmarkStart w:id="3" w:name="_Hlk197267018"/>
      <w:r w:rsidRPr="00B02375">
        <w:rPr>
          <w:rFonts w:ascii="Arial" w:eastAsia="Times New Roman" w:hAnsi="Arial" w:cs="Arial"/>
          <w:b/>
          <w:bCs/>
          <w:color w:val="000000" w:themeColor="text1"/>
          <w:kern w:val="0"/>
          <w:sz w:val="22"/>
          <w:szCs w:val="22"/>
          <w:lang w:eastAsia="fr-FR"/>
          <w14:ligatures w14:val="none"/>
        </w:rPr>
        <w:t>RESULTS</w:t>
      </w:r>
      <w:bookmarkEnd w:id="3"/>
      <w:r w:rsidRPr="00B02375">
        <w:rPr>
          <w:color w:val="000000" w:themeColor="text1"/>
        </w:rPr>
        <w:t xml:space="preserve"> </w:t>
      </w:r>
      <w:r w:rsidRPr="00B02375">
        <w:rPr>
          <w:rFonts w:ascii="Arial" w:eastAsia="Times New Roman" w:hAnsi="Arial" w:cs="Arial"/>
          <w:b/>
          <w:bCs/>
          <w:color w:val="000000" w:themeColor="text1"/>
          <w:kern w:val="0"/>
          <w:sz w:val="22"/>
          <w:szCs w:val="22"/>
          <w:lang w:eastAsia="fr-FR"/>
          <w14:ligatures w14:val="none"/>
        </w:rPr>
        <w:t>AND DISCUSSION</w:t>
      </w:r>
    </w:p>
    <w:p w14:paraId="2B8FC170" w14:textId="77777777" w:rsidR="00B02375" w:rsidRPr="00B02375" w:rsidRDefault="00B02375" w:rsidP="00B02375">
      <w:pPr>
        <w:pStyle w:val="ListParagraph"/>
        <w:numPr>
          <w:ilvl w:val="1"/>
          <w:numId w:val="4"/>
        </w:numPr>
        <w:spacing w:after="0" w:line="360" w:lineRule="auto"/>
        <w:jc w:val="both"/>
        <w:rPr>
          <w:rFonts w:ascii="Arial" w:eastAsia="Times New Roman" w:hAnsi="Arial" w:cs="Arial"/>
          <w:b/>
          <w:bCs/>
          <w:color w:val="000000" w:themeColor="text1"/>
          <w:kern w:val="0"/>
          <w:sz w:val="22"/>
          <w:szCs w:val="22"/>
          <w:lang w:eastAsia="fr-FR"/>
          <w14:ligatures w14:val="none"/>
        </w:rPr>
      </w:pPr>
      <w:r w:rsidRPr="00B02375">
        <w:rPr>
          <w:rFonts w:ascii="Arial" w:eastAsia="Times New Roman" w:hAnsi="Arial" w:cs="Arial"/>
          <w:b/>
          <w:bCs/>
          <w:color w:val="000000" w:themeColor="text1"/>
          <w:kern w:val="0"/>
          <w:sz w:val="22"/>
          <w:szCs w:val="22"/>
          <w:lang w:eastAsia="fr-FR"/>
          <w14:ligatures w14:val="none"/>
        </w:rPr>
        <w:t>Results</w:t>
      </w:r>
    </w:p>
    <w:p w14:paraId="44FCA800" w14:textId="77777777" w:rsidR="00B02375" w:rsidRPr="00B02375" w:rsidRDefault="00B02375" w:rsidP="00B02375">
      <w:pPr>
        <w:pStyle w:val="ListParagraph"/>
        <w:numPr>
          <w:ilvl w:val="2"/>
          <w:numId w:val="4"/>
        </w:numPr>
        <w:spacing w:after="0" w:line="360" w:lineRule="auto"/>
        <w:jc w:val="both"/>
        <w:rPr>
          <w:rFonts w:ascii="Arial" w:eastAsia="Times New Roman" w:hAnsi="Arial" w:cs="Arial"/>
          <w:b/>
          <w:bCs/>
          <w:color w:val="000000" w:themeColor="text1"/>
          <w:kern w:val="0"/>
          <w:sz w:val="20"/>
          <w:szCs w:val="20"/>
          <w:lang w:eastAsia="fr-FR"/>
          <w14:ligatures w14:val="none"/>
        </w:rPr>
      </w:pPr>
      <w:r w:rsidRPr="00B02375">
        <w:rPr>
          <w:rFonts w:ascii="Arial" w:eastAsia="Times New Roman" w:hAnsi="Arial" w:cs="Arial"/>
          <w:b/>
          <w:bCs/>
          <w:color w:val="000000" w:themeColor="text1"/>
          <w:kern w:val="0"/>
          <w:sz w:val="20"/>
          <w:szCs w:val="20"/>
          <w:lang w:eastAsia="fr-FR"/>
          <w14:ligatures w14:val="none"/>
        </w:rPr>
        <w:t>Body weight evolution (g)</w:t>
      </w:r>
    </w:p>
    <w:p w14:paraId="2BC5D853" w14:textId="77777777" w:rsidR="00B02375" w:rsidRPr="00B02375" w:rsidRDefault="00B02375" w:rsidP="00B02375">
      <w:pPr>
        <w:spacing w:after="0" w:line="360" w:lineRule="auto"/>
        <w:jc w:val="both"/>
        <w:rPr>
          <w:rFonts w:ascii="Arial" w:eastAsia="Times New Roman" w:hAnsi="Arial" w:cs="Arial"/>
          <w:b/>
          <w:bCs/>
          <w:color w:val="000000" w:themeColor="text1"/>
          <w:kern w:val="0"/>
          <w:sz w:val="20"/>
          <w:szCs w:val="20"/>
          <w:lang w:eastAsia="fr-FR"/>
          <w14:ligatures w14:val="none"/>
        </w:rPr>
      </w:pPr>
      <w:r w:rsidRPr="00B02375">
        <w:rPr>
          <w:rFonts w:ascii="Arial" w:eastAsia="Times New Roman" w:hAnsi="Arial" w:cs="Arial"/>
          <w:b/>
          <w:bCs/>
          <w:color w:val="000000" w:themeColor="text1"/>
          <w:kern w:val="0"/>
          <w:sz w:val="20"/>
          <w:szCs w:val="20"/>
          <w:lang w:eastAsia="fr-FR"/>
          <w14:ligatures w14:val="none"/>
        </w:rPr>
        <w:t xml:space="preserve">   Table 1. Body weight evolution</w:t>
      </w:r>
    </w:p>
    <w:tbl>
      <w:tblPr>
        <w:tblStyle w:val="PlainTable2"/>
        <w:tblW w:w="8601" w:type="dxa"/>
        <w:tblLook w:val="04A0" w:firstRow="1" w:lastRow="0" w:firstColumn="1" w:lastColumn="0" w:noHBand="0" w:noVBand="1"/>
      </w:tblPr>
      <w:tblGrid>
        <w:gridCol w:w="1639"/>
        <w:gridCol w:w="2128"/>
        <w:gridCol w:w="2417"/>
        <w:gridCol w:w="2417"/>
      </w:tblGrid>
      <w:tr w:rsidR="00B02375" w:rsidRPr="00B02375" w14:paraId="61CEBBEE" w14:textId="77777777" w:rsidTr="008E2018">
        <w:trPr>
          <w:cnfStyle w:val="100000000000" w:firstRow="1" w:lastRow="0" w:firstColumn="0" w:lastColumn="0" w:oddVBand="0" w:evenVBand="0" w:oddHBand="0"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0" w:type="auto"/>
            <w:hideMark/>
          </w:tcPr>
          <w:p w14:paraId="6008B733" w14:textId="77777777" w:rsidR="00B02375" w:rsidRPr="00B02375" w:rsidRDefault="00B02375" w:rsidP="008E2018">
            <w:pPr>
              <w:jc w:val="center"/>
              <w:rPr>
                <w:rFonts w:ascii="Arial" w:eastAsia="Times New Roman" w:hAnsi="Arial" w:cs="Arial"/>
                <w:b w:val="0"/>
                <w:bCs w:val="0"/>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lastRenderedPageBreak/>
              <w:t>Group</w:t>
            </w:r>
          </w:p>
        </w:tc>
        <w:tc>
          <w:tcPr>
            <w:tcW w:w="0" w:type="auto"/>
            <w:hideMark/>
          </w:tcPr>
          <w:p w14:paraId="49691191" w14:textId="77777777" w:rsidR="00B02375" w:rsidRPr="00B02375" w:rsidRDefault="00B02375" w:rsidP="008E201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Day 0 (g)</w:t>
            </w:r>
          </w:p>
        </w:tc>
        <w:tc>
          <w:tcPr>
            <w:tcW w:w="0" w:type="auto"/>
            <w:hideMark/>
          </w:tcPr>
          <w:p w14:paraId="5ED3D30C" w14:textId="77777777" w:rsidR="00B02375" w:rsidRPr="00B02375" w:rsidRDefault="00B02375" w:rsidP="008E201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Day 14 (g)</w:t>
            </w:r>
          </w:p>
        </w:tc>
        <w:tc>
          <w:tcPr>
            <w:tcW w:w="0" w:type="auto"/>
            <w:hideMark/>
          </w:tcPr>
          <w:p w14:paraId="7F54585C" w14:textId="77777777" w:rsidR="00B02375" w:rsidRPr="00B02375" w:rsidRDefault="00B02375" w:rsidP="008E201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Day 28 (g)</w:t>
            </w:r>
          </w:p>
        </w:tc>
      </w:tr>
      <w:tr w:rsidR="00B02375" w:rsidRPr="00B02375" w14:paraId="02FBB09D" w14:textId="77777777" w:rsidTr="008E2018">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0" w:type="auto"/>
            <w:hideMark/>
          </w:tcPr>
          <w:p w14:paraId="530C72B3" w14:textId="77777777" w:rsidR="00B02375" w:rsidRPr="00B02375" w:rsidRDefault="00B02375" w:rsidP="008E2018">
            <w:pPr>
              <w:jc w:val="center"/>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HC</w:t>
            </w:r>
          </w:p>
        </w:tc>
        <w:tc>
          <w:tcPr>
            <w:tcW w:w="0" w:type="auto"/>
            <w:hideMark/>
          </w:tcPr>
          <w:p w14:paraId="1F9923AE" w14:textId="77777777" w:rsidR="00B02375" w:rsidRPr="00B02375" w:rsidRDefault="00B02375" w:rsidP="008E20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210 ± 6.0</w:t>
            </w:r>
          </w:p>
        </w:tc>
        <w:tc>
          <w:tcPr>
            <w:tcW w:w="0" w:type="auto"/>
            <w:hideMark/>
          </w:tcPr>
          <w:p w14:paraId="50FA9E34" w14:textId="77777777" w:rsidR="00B02375" w:rsidRPr="00B02375" w:rsidRDefault="00B02375" w:rsidP="008E20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218 ± 5.0</w:t>
            </w:r>
          </w:p>
        </w:tc>
        <w:tc>
          <w:tcPr>
            <w:tcW w:w="0" w:type="auto"/>
            <w:hideMark/>
          </w:tcPr>
          <w:p w14:paraId="3994227C" w14:textId="77777777" w:rsidR="00B02375" w:rsidRPr="00B02375" w:rsidRDefault="00B02375" w:rsidP="008E20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225 ± 7.0</w:t>
            </w:r>
          </w:p>
        </w:tc>
      </w:tr>
      <w:tr w:rsidR="00B02375" w:rsidRPr="00B02375" w14:paraId="448010B7" w14:textId="77777777" w:rsidTr="008E2018">
        <w:trPr>
          <w:trHeight w:val="453"/>
        </w:trPr>
        <w:tc>
          <w:tcPr>
            <w:cnfStyle w:val="001000000000" w:firstRow="0" w:lastRow="0" w:firstColumn="1" w:lastColumn="0" w:oddVBand="0" w:evenVBand="0" w:oddHBand="0" w:evenHBand="0" w:firstRowFirstColumn="0" w:firstRowLastColumn="0" w:lastRowFirstColumn="0" w:lastRowLastColumn="0"/>
            <w:tcW w:w="0" w:type="auto"/>
            <w:hideMark/>
          </w:tcPr>
          <w:p w14:paraId="0CB3280B" w14:textId="77777777" w:rsidR="00B02375" w:rsidRPr="00B02375" w:rsidRDefault="00B02375" w:rsidP="008E2018">
            <w:pPr>
              <w:jc w:val="center"/>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UO</w:t>
            </w:r>
          </w:p>
        </w:tc>
        <w:tc>
          <w:tcPr>
            <w:tcW w:w="0" w:type="auto"/>
            <w:hideMark/>
          </w:tcPr>
          <w:p w14:paraId="5013D988" w14:textId="77777777" w:rsidR="00B02375" w:rsidRPr="00B02375" w:rsidRDefault="00B02375" w:rsidP="008E20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212 ± 5.0</w:t>
            </w:r>
          </w:p>
        </w:tc>
        <w:tc>
          <w:tcPr>
            <w:tcW w:w="0" w:type="auto"/>
            <w:hideMark/>
          </w:tcPr>
          <w:p w14:paraId="248D1555" w14:textId="77777777" w:rsidR="00B02375" w:rsidRPr="00B02375" w:rsidRDefault="00B02375" w:rsidP="008E20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248 ± 7.0**</w:t>
            </w:r>
          </w:p>
        </w:tc>
        <w:tc>
          <w:tcPr>
            <w:tcW w:w="0" w:type="auto"/>
            <w:hideMark/>
          </w:tcPr>
          <w:p w14:paraId="53782DC0" w14:textId="77777777" w:rsidR="00B02375" w:rsidRPr="00B02375" w:rsidRDefault="00B02375" w:rsidP="008E20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275 ± 9.0**</w:t>
            </w:r>
          </w:p>
        </w:tc>
      </w:tr>
      <w:tr w:rsidR="00B02375" w:rsidRPr="00B02375" w14:paraId="22B14D23" w14:textId="77777777" w:rsidTr="008E2018">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0" w:type="auto"/>
            <w:hideMark/>
          </w:tcPr>
          <w:p w14:paraId="000E20E3" w14:textId="77777777" w:rsidR="00B02375" w:rsidRPr="00B02375" w:rsidRDefault="00B02375" w:rsidP="008E2018">
            <w:pPr>
              <w:jc w:val="center"/>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FU200</w:t>
            </w:r>
          </w:p>
        </w:tc>
        <w:tc>
          <w:tcPr>
            <w:tcW w:w="0" w:type="auto"/>
            <w:hideMark/>
          </w:tcPr>
          <w:p w14:paraId="3910673A" w14:textId="77777777" w:rsidR="00B02375" w:rsidRPr="00B02375" w:rsidRDefault="00B02375" w:rsidP="008E20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215 ± 6.0</w:t>
            </w:r>
          </w:p>
        </w:tc>
        <w:tc>
          <w:tcPr>
            <w:tcW w:w="0" w:type="auto"/>
            <w:hideMark/>
          </w:tcPr>
          <w:p w14:paraId="4554EFD7" w14:textId="77777777" w:rsidR="00B02375" w:rsidRPr="00B02375" w:rsidRDefault="00B02375" w:rsidP="008E20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240 ± 6.0*</w:t>
            </w:r>
          </w:p>
        </w:tc>
        <w:tc>
          <w:tcPr>
            <w:tcW w:w="0" w:type="auto"/>
            <w:hideMark/>
          </w:tcPr>
          <w:p w14:paraId="6681F56D" w14:textId="77777777" w:rsidR="00B02375" w:rsidRPr="00B02375" w:rsidRDefault="00B02375" w:rsidP="008E20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255 ± 8.0*</w:t>
            </w:r>
          </w:p>
        </w:tc>
      </w:tr>
      <w:tr w:rsidR="00B02375" w:rsidRPr="00B02375" w14:paraId="481625DC" w14:textId="77777777" w:rsidTr="008E2018">
        <w:trPr>
          <w:trHeight w:val="453"/>
        </w:trPr>
        <w:tc>
          <w:tcPr>
            <w:cnfStyle w:val="001000000000" w:firstRow="0" w:lastRow="0" w:firstColumn="1" w:lastColumn="0" w:oddVBand="0" w:evenVBand="0" w:oddHBand="0" w:evenHBand="0" w:firstRowFirstColumn="0" w:firstRowLastColumn="0" w:lastRowFirstColumn="0" w:lastRowLastColumn="0"/>
            <w:tcW w:w="0" w:type="auto"/>
            <w:hideMark/>
          </w:tcPr>
          <w:p w14:paraId="06E8F8D5" w14:textId="77777777" w:rsidR="00B02375" w:rsidRPr="00B02375" w:rsidRDefault="00B02375" w:rsidP="008E2018">
            <w:pPr>
              <w:jc w:val="center"/>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FU400</w:t>
            </w:r>
          </w:p>
        </w:tc>
        <w:tc>
          <w:tcPr>
            <w:tcW w:w="0" w:type="auto"/>
            <w:hideMark/>
          </w:tcPr>
          <w:p w14:paraId="329EB0F0" w14:textId="77777777" w:rsidR="00B02375" w:rsidRPr="00B02375" w:rsidRDefault="00B02375" w:rsidP="008E20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213 ± 7.0</w:t>
            </w:r>
          </w:p>
        </w:tc>
        <w:tc>
          <w:tcPr>
            <w:tcW w:w="0" w:type="auto"/>
            <w:hideMark/>
          </w:tcPr>
          <w:p w14:paraId="0CF6AB73" w14:textId="77777777" w:rsidR="00B02375" w:rsidRPr="00B02375" w:rsidRDefault="00B02375" w:rsidP="008E20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232 ± 5.0**</w:t>
            </w:r>
          </w:p>
        </w:tc>
        <w:tc>
          <w:tcPr>
            <w:tcW w:w="0" w:type="auto"/>
            <w:hideMark/>
          </w:tcPr>
          <w:p w14:paraId="6E1C2075" w14:textId="77777777" w:rsidR="00B02375" w:rsidRPr="00B02375" w:rsidRDefault="00B02375" w:rsidP="008E20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242 ± 6.0**</w:t>
            </w:r>
          </w:p>
        </w:tc>
      </w:tr>
    </w:tbl>
    <w:p w14:paraId="14B73E6B" w14:textId="77777777" w:rsidR="00B02375" w:rsidRPr="00B02375" w:rsidRDefault="00B02375" w:rsidP="00B02375">
      <w:pPr>
        <w:spacing w:before="100" w:beforeAutospacing="1" w:after="100" w:afterAutospacing="1" w:line="24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b/>
          <w:bCs/>
          <w:color w:val="000000" w:themeColor="text1"/>
          <w:kern w:val="0"/>
          <w:sz w:val="20"/>
          <w:szCs w:val="20"/>
          <w:lang w:eastAsia="fr-FR"/>
          <w14:ligatures w14:val="none"/>
        </w:rPr>
        <w:t>Note:</w:t>
      </w:r>
      <w:r w:rsidRPr="00B02375">
        <w:rPr>
          <w:rFonts w:ascii="Arial" w:eastAsia="Times New Roman" w:hAnsi="Arial" w:cs="Arial"/>
          <w:color w:val="000000" w:themeColor="text1"/>
          <w:kern w:val="0"/>
          <w:sz w:val="20"/>
          <w:szCs w:val="20"/>
          <w:lang w:eastAsia="fr-FR"/>
          <w14:ligatures w14:val="none"/>
        </w:rPr>
        <w:t xml:space="preserve"> *p &lt; 0.05; **p &lt; 0.01 vs HC</w:t>
      </w:r>
      <w:bookmarkEnd w:id="2"/>
    </w:p>
    <w:p w14:paraId="54E24C03" w14:textId="77777777" w:rsidR="00B02375" w:rsidRPr="00B02375" w:rsidRDefault="00B02375" w:rsidP="00B02375">
      <w:pPr>
        <w:spacing w:after="0" w:line="360" w:lineRule="auto"/>
        <w:jc w:val="both"/>
        <w:rPr>
          <w:rFonts w:ascii="Arial" w:eastAsia="Times New Roman" w:hAnsi="Arial" w:cs="Arial"/>
          <w:b/>
          <w:bCs/>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 xml:space="preserve">The evolution of body weight in rats throughout the study shows a clear distinction between treated and control groups. On Day 0, the initial average body weights were comparable across the groups: 210 ± 6 g for the healthy control group (HC), 212 ± 5 g for the untreated obese group (UO), 215 ± 6 g for the group treated with 200 mg/kg of </w:t>
      </w:r>
      <w:r w:rsidRPr="00B02375">
        <w:rPr>
          <w:rFonts w:ascii="Arial" w:eastAsia="Times New Roman" w:hAnsi="Arial" w:cs="Arial"/>
          <w:i/>
          <w:iCs/>
          <w:color w:val="000000" w:themeColor="text1"/>
          <w:kern w:val="0"/>
          <w:sz w:val="20"/>
          <w:szCs w:val="20"/>
          <w:lang w:eastAsia="fr-FR"/>
          <w14:ligatures w14:val="none"/>
        </w:rPr>
        <w:t>F. umbellata</w:t>
      </w:r>
      <w:r w:rsidRPr="00B02375">
        <w:rPr>
          <w:rFonts w:ascii="Arial" w:eastAsia="Times New Roman" w:hAnsi="Arial" w:cs="Arial"/>
          <w:color w:val="000000" w:themeColor="text1"/>
          <w:kern w:val="0"/>
          <w:sz w:val="20"/>
          <w:szCs w:val="20"/>
          <w:lang w:eastAsia="fr-FR"/>
          <w14:ligatures w14:val="none"/>
        </w:rPr>
        <w:t xml:space="preserve"> (FU200), and 213 ± 7 g for the group treated with 400 mg/kg (FU400).</w:t>
      </w:r>
    </w:p>
    <w:p w14:paraId="088AF153" w14:textId="77777777"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By Day 14, the UO group showed a significant weight gain (248 ± 7 g; p &lt; 0.01 vs HC), confirming the effect of the high-fat diet. This trend continued through Day 28, reaching an average weight of 275 ± 9 g, indicating established obesity (p &lt; 0.01).</w:t>
      </w:r>
    </w:p>
    <w:p w14:paraId="5558B5A6" w14:textId="77777777"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 xml:space="preserve">In contrast, the groups treated with </w:t>
      </w:r>
      <w:r w:rsidRPr="00B02375">
        <w:rPr>
          <w:rFonts w:ascii="Arial" w:eastAsia="Times New Roman" w:hAnsi="Arial" w:cs="Arial"/>
          <w:i/>
          <w:iCs/>
          <w:color w:val="000000" w:themeColor="text1"/>
          <w:kern w:val="0"/>
          <w:sz w:val="20"/>
          <w:szCs w:val="20"/>
          <w:lang w:eastAsia="fr-FR"/>
          <w14:ligatures w14:val="none"/>
        </w:rPr>
        <w:t>F. umbellata</w:t>
      </w:r>
      <w:r w:rsidRPr="00B02375">
        <w:rPr>
          <w:rFonts w:ascii="Arial" w:eastAsia="Times New Roman" w:hAnsi="Arial" w:cs="Arial"/>
          <w:color w:val="000000" w:themeColor="text1"/>
          <w:kern w:val="0"/>
          <w:sz w:val="20"/>
          <w:szCs w:val="20"/>
          <w:lang w:eastAsia="fr-FR"/>
          <w14:ligatures w14:val="none"/>
        </w:rPr>
        <w:t xml:space="preserve"> extract showed an attenuation in weight gain. The FU200 group recorded a weight of 240 ± 6 g on Day 14 and 255 ± 8 g on Day 28, a moderate but significant increase compared to the UO group (p &lt; 0.05). The FU400 group exhibited a more pronounced effect, with 232 ± 5 g on Day 14 and 242 ± 6 g on Day 28, representing a highly significant difference (p &lt; 0.01) versus the UO group. These results suggest that </w:t>
      </w:r>
      <w:r w:rsidRPr="00B02375">
        <w:rPr>
          <w:rFonts w:ascii="Arial" w:eastAsia="Times New Roman" w:hAnsi="Arial" w:cs="Arial"/>
          <w:i/>
          <w:iCs/>
          <w:color w:val="000000" w:themeColor="text1"/>
          <w:kern w:val="0"/>
          <w:sz w:val="20"/>
          <w:szCs w:val="20"/>
          <w:lang w:eastAsia="fr-FR"/>
          <w14:ligatures w14:val="none"/>
        </w:rPr>
        <w:t>F. umbellata</w:t>
      </w:r>
      <w:r w:rsidRPr="00B02375">
        <w:rPr>
          <w:rFonts w:ascii="Arial" w:eastAsia="Times New Roman" w:hAnsi="Arial" w:cs="Arial"/>
          <w:color w:val="000000" w:themeColor="text1"/>
          <w:kern w:val="0"/>
          <w:sz w:val="20"/>
          <w:szCs w:val="20"/>
          <w:lang w:eastAsia="fr-FR"/>
          <w14:ligatures w14:val="none"/>
        </w:rPr>
        <w:t xml:space="preserve"> extract, particularly at the 400 mg/kg dose, helps limit weight gain induced by a high-fat diet, indicating a potential anti-obesity effect of the plant.</w:t>
      </w:r>
    </w:p>
    <w:p w14:paraId="473D797F" w14:textId="77777777" w:rsidR="00B02375" w:rsidRPr="00B02375" w:rsidRDefault="00B02375" w:rsidP="00B02375">
      <w:pPr>
        <w:spacing w:after="0" w:line="360" w:lineRule="auto"/>
        <w:jc w:val="both"/>
        <w:rPr>
          <w:rFonts w:ascii="Arial" w:eastAsia="Times New Roman" w:hAnsi="Arial" w:cs="Arial"/>
          <w:b/>
          <w:bCs/>
          <w:color w:val="000000" w:themeColor="text1"/>
          <w:kern w:val="0"/>
          <w:sz w:val="20"/>
          <w:szCs w:val="20"/>
          <w:lang w:eastAsia="fr-FR"/>
          <w14:ligatures w14:val="none"/>
        </w:rPr>
      </w:pPr>
    </w:p>
    <w:p w14:paraId="1C6ACEF6" w14:textId="77777777" w:rsidR="00B02375" w:rsidRPr="002067BF" w:rsidRDefault="00B02375" w:rsidP="00B02375">
      <w:pPr>
        <w:pStyle w:val="ListParagraph"/>
        <w:numPr>
          <w:ilvl w:val="2"/>
          <w:numId w:val="4"/>
        </w:numPr>
        <w:spacing w:after="0" w:line="360" w:lineRule="auto"/>
        <w:jc w:val="both"/>
        <w:rPr>
          <w:rFonts w:ascii="Arial" w:eastAsia="Times New Roman" w:hAnsi="Arial" w:cs="Arial"/>
          <w:b/>
          <w:bCs/>
          <w:color w:val="000000" w:themeColor="text1"/>
          <w:kern w:val="0"/>
          <w:sz w:val="20"/>
          <w:szCs w:val="20"/>
          <w:lang w:val="da-DK" w:eastAsia="fr-FR"/>
          <w14:ligatures w14:val="none"/>
        </w:rPr>
      </w:pPr>
      <w:r w:rsidRPr="002067BF">
        <w:rPr>
          <w:rFonts w:ascii="Arial" w:eastAsia="Times New Roman" w:hAnsi="Arial" w:cs="Arial"/>
          <w:b/>
          <w:bCs/>
          <w:color w:val="000000" w:themeColor="text1"/>
          <w:kern w:val="0"/>
          <w:sz w:val="20"/>
          <w:szCs w:val="20"/>
          <w:lang w:val="da-DK" w:eastAsia="fr-FR"/>
          <w14:ligatures w14:val="none"/>
        </w:rPr>
        <w:t>Evolution of lee Index after 4 weeks of treatment</w:t>
      </w:r>
    </w:p>
    <w:p w14:paraId="48927454" w14:textId="77777777" w:rsidR="00B02375" w:rsidRPr="002067BF" w:rsidRDefault="00B02375" w:rsidP="00B02375">
      <w:pPr>
        <w:spacing w:after="0" w:line="240" w:lineRule="auto"/>
        <w:rPr>
          <w:rFonts w:ascii="Arial" w:eastAsia="Times New Roman" w:hAnsi="Arial" w:cs="Arial"/>
          <w:color w:val="000000" w:themeColor="text1"/>
          <w:kern w:val="0"/>
          <w:sz w:val="20"/>
          <w:szCs w:val="20"/>
          <w:lang w:val="da-DK" w:eastAsia="fr-FR"/>
          <w14:ligatures w14:val="none"/>
        </w:rPr>
      </w:pPr>
    </w:p>
    <w:p w14:paraId="3585A6DD" w14:textId="77777777" w:rsidR="00B02375" w:rsidRPr="00B02375" w:rsidRDefault="00B02375" w:rsidP="00B02375">
      <w:pPr>
        <w:rPr>
          <w:rFonts w:ascii="Arial" w:eastAsia="Times New Roman" w:hAnsi="Arial" w:cs="Arial"/>
          <w:b/>
          <w:bCs/>
          <w:color w:val="000000" w:themeColor="text1"/>
          <w:kern w:val="0"/>
          <w:sz w:val="20"/>
          <w:szCs w:val="20"/>
          <w:lang w:eastAsia="fr-FR"/>
          <w14:ligatures w14:val="none"/>
        </w:rPr>
      </w:pPr>
      <w:r w:rsidRPr="00B02375">
        <w:rPr>
          <w:rFonts w:ascii="Arial" w:eastAsia="Times New Roman" w:hAnsi="Arial" w:cs="Arial"/>
          <w:b/>
          <w:bCs/>
          <w:color w:val="000000" w:themeColor="text1"/>
          <w:kern w:val="0"/>
          <w:sz w:val="20"/>
          <w:szCs w:val="20"/>
          <w:lang w:eastAsia="fr-FR"/>
          <w14:ligatures w14:val="none"/>
        </w:rPr>
        <w:t>Table 2. Evolution of the lee index</w:t>
      </w:r>
    </w:p>
    <w:tbl>
      <w:tblPr>
        <w:tblStyle w:val="PlainTable2"/>
        <w:tblW w:w="10011" w:type="dxa"/>
        <w:tblLook w:val="04A0" w:firstRow="1" w:lastRow="0" w:firstColumn="1" w:lastColumn="0" w:noHBand="0" w:noVBand="1"/>
      </w:tblPr>
      <w:tblGrid>
        <w:gridCol w:w="2420"/>
        <w:gridCol w:w="2533"/>
        <w:gridCol w:w="1686"/>
        <w:gridCol w:w="1686"/>
        <w:gridCol w:w="1686"/>
      </w:tblGrid>
      <w:tr w:rsidR="00B02375" w:rsidRPr="00B02375" w14:paraId="46BA9B06" w14:textId="77777777" w:rsidTr="008E2018">
        <w:trPr>
          <w:cnfStyle w:val="100000000000" w:firstRow="1" w:lastRow="0" w:firstColumn="0" w:lastColumn="0" w:oddVBand="0" w:evenVBand="0" w:oddHBand="0"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0" w:type="auto"/>
            <w:hideMark/>
          </w:tcPr>
          <w:p w14:paraId="635F38C9" w14:textId="77777777" w:rsidR="00B02375" w:rsidRPr="00B02375" w:rsidRDefault="00B02375" w:rsidP="008E2018">
            <w:pPr>
              <w:spacing w:line="360" w:lineRule="auto"/>
              <w:jc w:val="center"/>
              <w:rPr>
                <w:rFonts w:ascii="Arial" w:eastAsia="Times New Roman" w:hAnsi="Arial" w:cs="Arial"/>
                <w:b w:val="0"/>
                <w:bCs w:val="0"/>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Group</w:t>
            </w:r>
          </w:p>
        </w:tc>
        <w:tc>
          <w:tcPr>
            <w:tcW w:w="0" w:type="auto"/>
            <w:hideMark/>
          </w:tcPr>
          <w:p w14:paraId="57126251" w14:textId="77777777" w:rsidR="00B02375" w:rsidRPr="00B02375" w:rsidRDefault="00B02375" w:rsidP="008E201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Day 0 (pre-treatment)</w:t>
            </w:r>
          </w:p>
        </w:tc>
        <w:tc>
          <w:tcPr>
            <w:tcW w:w="0" w:type="auto"/>
            <w:hideMark/>
          </w:tcPr>
          <w:p w14:paraId="77529B75" w14:textId="77777777" w:rsidR="00B02375" w:rsidRPr="00B02375" w:rsidRDefault="00B02375" w:rsidP="008E201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Day 14</w:t>
            </w:r>
          </w:p>
        </w:tc>
        <w:tc>
          <w:tcPr>
            <w:tcW w:w="0" w:type="auto"/>
            <w:hideMark/>
          </w:tcPr>
          <w:p w14:paraId="3722D622" w14:textId="77777777" w:rsidR="00B02375" w:rsidRPr="00B02375" w:rsidRDefault="00B02375" w:rsidP="008E201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Day 21</w:t>
            </w:r>
          </w:p>
        </w:tc>
        <w:tc>
          <w:tcPr>
            <w:tcW w:w="0" w:type="auto"/>
            <w:hideMark/>
          </w:tcPr>
          <w:p w14:paraId="4E7DAF4A" w14:textId="77777777" w:rsidR="00B02375" w:rsidRPr="00B02375" w:rsidRDefault="00B02375" w:rsidP="008E201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Day 28</w:t>
            </w:r>
          </w:p>
        </w:tc>
      </w:tr>
      <w:tr w:rsidR="00B02375" w:rsidRPr="00B02375" w14:paraId="6EA90F3C" w14:textId="77777777" w:rsidTr="008E2018">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0" w:type="auto"/>
            <w:hideMark/>
          </w:tcPr>
          <w:p w14:paraId="7FDA19A8" w14:textId="77777777" w:rsidR="00B02375" w:rsidRPr="00B02375" w:rsidRDefault="00B02375" w:rsidP="008E2018">
            <w:pPr>
              <w:spacing w:line="360" w:lineRule="auto"/>
              <w:jc w:val="center"/>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G1 (Healthy control)</w:t>
            </w:r>
          </w:p>
        </w:tc>
        <w:tc>
          <w:tcPr>
            <w:tcW w:w="0" w:type="auto"/>
            <w:hideMark/>
          </w:tcPr>
          <w:p w14:paraId="6D17321F" w14:textId="77777777" w:rsidR="00B02375" w:rsidRPr="00B02375" w:rsidRDefault="00B02375" w:rsidP="008E201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0.135 ± 0.02</w:t>
            </w:r>
          </w:p>
        </w:tc>
        <w:tc>
          <w:tcPr>
            <w:tcW w:w="0" w:type="auto"/>
            <w:hideMark/>
          </w:tcPr>
          <w:p w14:paraId="2DEAC546" w14:textId="77777777" w:rsidR="00B02375" w:rsidRPr="00B02375" w:rsidRDefault="00B02375" w:rsidP="008E201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0.133 ± 0.02</w:t>
            </w:r>
          </w:p>
        </w:tc>
        <w:tc>
          <w:tcPr>
            <w:tcW w:w="0" w:type="auto"/>
            <w:hideMark/>
          </w:tcPr>
          <w:p w14:paraId="229EEB91" w14:textId="77777777" w:rsidR="00B02375" w:rsidRPr="00B02375" w:rsidRDefault="00B02375" w:rsidP="008E201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0.130 ± 0.01</w:t>
            </w:r>
          </w:p>
        </w:tc>
        <w:tc>
          <w:tcPr>
            <w:tcW w:w="0" w:type="auto"/>
            <w:hideMark/>
          </w:tcPr>
          <w:p w14:paraId="45BFEB0C" w14:textId="77777777" w:rsidR="00B02375" w:rsidRPr="00B02375" w:rsidRDefault="00B02375" w:rsidP="008E201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0.129 ± 0.01</w:t>
            </w:r>
          </w:p>
        </w:tc>
      </w:tr>
      <w:tr w:rsidR="00B02375" w:rsidRPr="00B02375" w14:paraId="12EC6EDF" w14:textId="77777777" w:rsidTr="008E2018">
        <w:trPr>
          <w:trHeight w:val="536"/>
        </w:trPr>
        <w:tc>
          <w:tcPr>
            <w:cnfStyle w:val="001000000000" w:firstRow="0" w:lastRow="0" w:firstColumn="1" w:lastColumn="0" w:oddVBand="0" w:evenVBand="0" w:oddHBand="0" w:evenHBand="0" w:firstRowFirstColumn="0" w:firstRowLastColumn="0" w:lastRowFirstColumn="0" w:lastRowLastColumn="0"/>
            <w:tcW w:w="0" w:type="auto"/>
            <w:hideMark/>
          </w:tcPr>
          <w:p w14:paraId="66BA75DE" w14:textId="77777777" w:rsidR="00B02375" w:rsidRPr="00B02375" w:rsidRDefault="00B02375" w:rsidP="008E2018">
            <w:pPr>
              <w:spacing w:line="360" w:lineRule="auto"/>
              <w:jc w:val="center"/>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G2 (Obese control)</w:t>
            </w:r>
          </w:p>
        </w:tc>
        <w:tc>
          <w:tcPr>
            <w:tcW w:w="0" w:type="auto"/>
            <w:hideMark/>
          </w:tcPr>
          <w:p w14:paraId="1A48B645" w14:textId="77777777" w:rsidR="00B02375" w:rsidRPr="00B02375" w:rsidRDefault="00B02375" w:rsidP="008E201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0.131 ± 0.01</w:t>
            </w:r>
          </w:p>
        </w:tc>
        <w:tc>
          <w:tcPr>
            <w:tcW w:w="0" w:type="auto"/>
            <w:hideMark/>
          </w:tcPr>
          <w:p w14:paraId="728528C4" w14:textId="77777777" w:rsidR="00B02375" w:rsidRPr="00B02375" w:rsidRDefault="00B02375" w:rsidP="008E201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0.174 ± 0.03**</w:t>
            </w:r>
          </w:p>
        </w:tc>
        <w:tc>
          <w:tcPr>
            <w:tcW w:w="0" w:type="auto"/>
            <w:hideMark/>
          </w:tcPr>
          <w:p w14:paraId="7979CDC7" w14:textId="77777777" w:rsidR="00B02375" w:rsidRPr="00B02375" w:rsidRDefault="00B02375" w:rsidP="008E201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0.186 ± 0.04**</w:t>
            </w:r>
          </w:p>
        </w:tc>
        <w:tc>
          <w:tcPr>
            <w:tcW w:w="0" w:type="auto"/>
            <w:hideMark/>
          </w:tcPr>
          <w:p w14:paraId="50D83EC2" w14:textId="77777777" w:rsidR="00B02375" w:rsidRPr="00B02375" w:rsidRDefault="00B02375" w:rsidP="008E201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0.190 ± 0.04**</w:t>
            </w:r>
          </w:p>
        </w:tc>
      </w:tr>
      <w:tr w:rsidR="00B02375" w:rsidRPr="00B02375" w14:paraId="74267B0C" w14:textId="77777777" w:rsidTr="008E2018">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0" w:type="auto"/>
            <w:hideMark/>
          </w:tcPr>
          <w:p w14:paraId="1366250D" w14:textId="77777777" w:rsidR="00B02375" w:rsidRPr="00B02375" w:rsidRDefault="00B02375" w:rsidP="008E2018">
            <w:pPr>
              <w:spacing w:line="360" w:lineRule="auto"/>
              <w:jc w:val="center"/>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G3 (FU100)</w:t>
            </w:r>
          </w:p>
        </w:tc>
        <w:tc>
          <w:tcPr>
            <w:tcW w:w="0" w:type="auto"/>
            <w:hideMark/>
          </w:tcPr>
          <w:p w14:paraId="50A81480" w14:textId="77777777" w:rsidR="00B02375" w:rsidRPr="00B02375" w:rsidRDefault="00B02375" w:rsidP="008E201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0.130 ± 0.02</w:t>
            </w:r>
          </w:p>
        </w:tc>
        <w:tc>
          <w:tcPr>
            <w:tcW w:w="0" w:type="auto"/>
            <w:hideMark/>
          </w:tcPr>
          <w:p w14:paraId="5B2755DB" w14:textId="77777777" w:rsidR="00B02375" w:rsidRPr="00B02375" w:rsidRDefault="00B02375" w:rsidP="008E201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0.165 ± 0.03*</w:t>
            </w:r>
          </w:p>
        </w:tc>
        <w:tc>
          <w:tcPr>
            <w:tcW w:w="0" w:type="auto"/>
            <w:hideMark/>
          </w:tcPr>
          <w:p w14:paraId="0F1586DB" w14:textId="77777777" w:rsidR="00B02375" w:rsidRPr="00B02375" w:rsidRDefault="00B02375" w:rsidP="008E201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0.158 ± 0.03*</w:t>
            </w:r>
          </w:p>
        </w:tc>
        <w:tc>
          <w:tcPr>
            <w:tcW w:w="0" w:type="auto"/>
            <w:hideMark/>
          </w:tcPr>
          <w:p w14:paraId="47E3404C" w14:textId="77777777" w:rsidR="00B02375" w:rsidRPr="00B02375" w:rsidRDefault="00B02375" w:rsidP="008E201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0.154 ± 0.03*</w:t>
            </w:r>
          </w:p>
        </w:tc>
      </w:tr>
      <w:tr w:rsidR="00B02375" w:rsidRPr="00B02375" w14:paraId="7C78260E" w14:textId="77777777" w:rsidTr="008E2018">
        <w:trPr>
          <w:trHeight w:val="366"/>
        </w:trPr>
        <w:tc>
          <w:tcPr>
            <w:cnfStyle w:val="001000000000" w:firstRow="0" w:lastRow="0" w:firstColumn="1" w:lastColumn="0" w:oddVBand="0" w:evenVBand="0" w:oddHBand="0" w:evenHBand="0" w:firstRowFirstColumn="0" w:firstRowLastColumn="0" w:lastRowFirstColumn="0" w:lastRowLastColumn="0"/>
            <w:tcW w:w="0" w:type="auto"/>
            <w:hideMark/>
          </w:tcPr>
          <w:p w14:paraId="034B7A97" w14:textId="77777777" w:rsidR="00B02375" w:rsidRPr="00B02375" w:rsidRDefault="00B02375" w:rsidP="008E2018">
            <w:pPr>
              <w:spacing w:line="360" w:lineRule="auto"/>
              <w:jc w:val="center"/>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G4 (FU200)</w:t>
            </w:r>
          </w:p>
        </w:tc>
        <w:tc>
          <w:tcPr>
            <w:tcW w:w="0" w:type="auto"/>
            <w:hideMark/>
          </w:tcPr>
          <w:p w14:paraId="01AAB6D2" w14:textId="77777777" w:rsidR="00B02375" w:rsidRPr="00B02375" w:rsidRDefault="00B02375" w:rsidP="008E201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0.132 ± 0.01</w:t>
            </w:r>
          </w:p>
        </w:tc>
        <w:tc>
          <w:tcPr>
            <w:tcW w:w="0" w:type="auto"/>
            <w:hideMark/>
          </w:tcPr>
          <w:p w14:paraId="0D34401B" w14:textId="77777777" w:rsidR="00B02375" w:rsidRPr="00B02375" w:rsidRDefault="00B02375" w:rsidP="008E201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0.160 ± 0.03*</w:t>
            </w:r>
          </w:p>
        </w:tc>
        <w:tc>
          <w:tcPr>
            <w:tcW w:w="0" w:type="auto"/>
            <w:hideMark/>
          </w:tcPr>
          <w:p w14:paraId="288BFD8F" w14:textId="77777777" w:rsidR="00B02375" w:rsidRPr="00B02375" w:rsidRDefault="00B02375" w:rsidP="008E201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0.150 ± 0.03*</w:t>
            </w:r>
          </w:p>
        </w:tc>
        <w:tc>
          <w:tcPr>
            <w:tcW w:w="0" w:type="auto"/>
            <w:hideMark/>
          </w:tcPr>
          <w:p w14:paraId="1D8B1A2E" w14:textId="77777777" w:rsidR="00B02375" w:rsidRPr="00B02375" w:rsidRDefault="00B02375" w:rsidP="008E201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0.145 ± 0.02*</w:t>
            </w:r>
          </w:p>
        </w:tc>
      </w:tr>
      <w:tr w:rsidR="00B02375" w:rsidRPr="00B02375" w14:paraId="2ABBA2C8" w14:textId="77777777" w:rsidTr="008E201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0" w:type="auto"/>
            <w:hideMark/>
          </w:tcPr>
          <w:p w14:paraId="2858F500" w14:textId="77777777" w:rsidR="00B02375" w:rsidRPr="00B02375" w:rsidRDefault="00B02375" w:rsidP="008E2018">
            <w:pPr>
              <w:spacing w:line="360" w:lineRule="auto"/>
              <w:jc w:val="center"/>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G5 (FU400)</w:t>
            </w:r>
          </w:p>
        </w:tc>
        <w:tc>
          <w:tcPr>
            <w:tcW w:w="0" w:type="auto"/>
            <w:hideMark/>
          </w:tcPr>
          <w:p w14:paraId="77BBDC09" w14:textId="77777777" w:rsidR="00B02375" w:rsidRPr="00B02375" w:rsidRDefault="00B02375" w:rsidP="008E201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0.133 ± 0.01</w:t>
            </w:r>
          </w:p>
        </w:tc>
        <w:tc>
          <w:tcPr>
            <w:tcW w:w="0" w:type="auto"/>
            <w:hideMark/>
          </w:tcPr>
          <w:p w14:paraId="7CF539B4" w14:textId="77777777" w:rsidR="00B02375" w:rsidRPr="00B02375" w:rsidRDefault="00B02375" w:rsidP="008E201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0.142 ± 0.02**</w:t>
            </w:r>
          </w:p>
        </w:tc>
        <w:tc>
          <w:tcPr>
            <w:tcW w:w="0" w:type="auto"/>
            <w:hideMark/>
          </w:tcPr>
          <w:p w14:paraId="66B3B915" w14:textId="77777777" w:rsidR="00B02375" w:rsidRPr="00B02375" w:rsidRDefault="00B02375" w:rsidP="008E201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0.135 ± 0.02**</w:t>
            </w:r>
          </w:p>
        </w:tc>
        <w:tc>
          <w:tcPr>
            <w:tcW w:w="0" w:type="auto"/>
            <w:hideMark/>
          </w:tcPr>
          <w:p w14:paraId="17D03CDD" w14:textId="77777777" w:rsidR="00B02375" w:rsidRPr="00B02375" w:rsidRDefault="00B02375" w:rsidP="008E201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0.128 ± 0.01**</w:t>
            </w:r>
          </w:p>
        </w:tc>
      </w:tr>
    </w:tbl>
    <w:p w14:paraId="7B60AAD8" w14:textId="77777777" w:rsidR="00B02375" w:rsidRPr="00B02375" w:rsidRDefault="00B02375" w:rsidP="00B02375">
      <w:pPr>
        <w:spacing w:before="100" w:beforeAutospacing="1" w:after="100" w:afterAutospacing="1" w:line="240" w:lineRule="auto"/>
        <w:jc w:val="center"/>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b/>
          <w:bCs/>
          <w:color w:val="000000" w:themeColor="text1"/>
          <w:kern w:val="0"/>
          <w:sz w:val="20"/>
          <w:szCs w:val="20"/>
          <w:lang w:eastAsia="fr-FR"/>
          <w14:ligatures w14:val="none"/>
        </w:rPr>
        <w:t>Note:</w:t>
      </w:r>
      <w:r w:rsidRPr="00B02375">
        <w:rPr>
          <w:rFonts w:ascii="Arial" w:eastAsia="Times New Roman" w:hAnsi="Arial" w:cs="Arial"/>
          <w:color w:val="000000" w:themeColor="text1"/>
          <w:kern w:val="0"/>
          <w:sz w:val="20"/>
          <w:szCs w:val="20"/>
          <w:lang w:eastAsia="fr-FR"/>
          <w14:ligatures w14:val="none"/>
        </w:rPr>
        <w:t xml:space="preserve"> *p &lt; 0.05; **p &lt; 0.01 vs G1</w:t>
      </w:r>
    </w:p>
    <w:p w14:paraId="468718A7" w14:textId="77777777" w:rsidR="00B02375" w:rsidRPr="00B02375" w:rsidRDefault="00B02375" w:rsidP="00B02375">
      <w:pPr>
        <w:spacing w:before="100" w:beforeAutospacing="1" w:after="0" w:line="360" w:lineRule="auto"/>
        <w:jc w:val="both"/>
        <w:rPr>
          <w:rFonts w:ascii="Arial" w:eastAsia="Times New Roman" w:hAnsi="Arial" w:cs="Arial"/>
          <w:b/>
          <w:bCs/>
          <w:color w:val="000000" w:themeColor="text1"/>
          <w:kern w:val="0"/>
          <w:sz w:val="20"/>
          <w:szCs w:val="20"/>
          <w:lang w:eastAsia="fr-FR"/>
          <w14:ligatures w14:val="none"/>
        </w:rPr>
      </w:pPr>
      <w:r w:rsidRPr="00B02375">
        <w:rPr>
          <w:rFonts w:ascii="Arial" w:eastAsia="Times New Roman" w:hAnsi="Arial" w:cs="Arial"/>
          <w:b/>
          <w:bCs/>
          <w:color w:val="000000" w:themeColor="text1"/>
          <w:kern w:val="0"/>
          <w:sz w:val="20"/>
          <w:szCs w:val="20"/>
          <w:lang w:eastAsia="fr-FR"/>
          <w14:ligatures w14:val="none"/>
        </w:rPr>
        <w:lastRenderedPageBreak/>
        <w:t xml:space="preserve">Control Group (G1): </w:t>
      </w:r>
      <w:r w:rsidRPr="00B02375">
        <w:rPr>
          <w:rFonts w:ascii="Arial" w:eastAsia="Times New Roman" w:hAnsi="Arial" w:cs="Arial"/>
          <w:color w:val="000000" w:themeColor="text1"/>
          <w:kern w:val="0"/>
          <w:sz w:val="20"/>
          <w:szCs w:val="20"/>
          <w:lang w:eastAsia="fr-FR"/>
          <w14:ligatures w14:val="none"/>
        </w:rPr>
        <w:t>The Lee index of control rats (no treatment) remained stable throughout the study, as expected under normal feeding conditions.</w:t>
      </w:r>
    </w:p>
    <w:p w14:paraId="47C9A5FE" w14:textId="77777777" w:rsidR="00B02375" w:rsidRPr="00B02375" w:rsidRDefault="00B02375" w:rsidP="00B02375">
      <w:pPr>
        <w:spacing w:after="0" w:line="360" w:lineRule="auto"/>
        <w:jc w:val="both"/>
        <w:rPr>
          <w:rFonts w:ascii="Arial" w:eastAsia="Times New Roman" w:hAnsi="Arial" w:cs="Arial"/>
          <w:b/>
          <w:bCs/>
          <w:color w:val="000000" w:themeColor="text1"/>
          <w:kern w:val="0"/>
          <w:sz w:val="20"/>
          <w:szCs w:val="20"/>
          <w:lang w:eastAsia="fr-FR"/>
          <w14:ligatures w14:val="none"/>
        </w:rPr>
      </w:pPr>
      <w:r w:rsidRPr="00B02375">
        <w:rPr>
          <w:rFonts w:ascii="Arial" w:eastAsia="Times New Roman" w:hAnsi="Arial" w:cs="Arial"/>
          <w:b/>
          <w:bCs/>
          <w:color w:val="000000" w:themeColor="text1"/>
          <w:kern w:val="0"/>
          <w:sz w:val="20"/>
          <w:szCs w:val="20"/>
          <w:lang w:eastAsia="fr-FR"/>
          <w14:ligatures w14:val="none"/>
        </w:rPr>
        <w:t xml:space="preserve">Obese Control Group (G2): </w:t>
      </w:r>
      <w:r w:rsidRPr="00B02375">
        <w:rPr>
          <w:rFonts w:ascii="Arial" w:eastAsia="Times New Roman" w:hAnsi="Arial" w:cs="Arial"/>
          <w:color w:val="000000" w:themeColor="text1"/>
          <w:kern w:val="0"/>
          <w:sz w:val="20"/>
          <w:szCs w:val="20"/>
          <w:lang w:eastAsia="fr-FR"/>
          <w14:ligatures w14:val="none"/>
        </w:rPr>
        <w:t xml:space="preserve">Rats fed with a high-fat diet (HFD) without </w:t>
      </w:r>
      <w:r w:rsidRPr="00B02375">
        <w:rPr>
          <w:rFonts w:ascii="Arial" w:eastAsia="Times New Roman" w:hAnsi="Arial" w:cs="Arial"/>
          <w:i/>
          <w:iCs/>
          <w:color w:val="000000" w:themeColor="text1"/>
          <w:kern w:val="0"/>
          <w:sz w:val="20"/>
          <w:szCs w:val="20"/>
          <w:lang w:eastAsia="fr-FR"/>
          <w14:ligatures w14:val="none"/>
        </w:rPr>
        <w:t>F. umbellata</w:t>
      </w:r>
      <w:r w:rsidRPr="00B02375">
        <w:rPr>
          <w:rFonts w:ascii="Arial" w:eastAsia="Times New Roman" w:hAnsi="Arial" w:cs="Arial"/>
          <w:color w:val="000000" w:themeColor="text1"/>
          <w:kern w:val="0"/>
          <w:sz w:val="20"/>
          <w:szCs w:val="20"/>
          <w:lang w:eastAsia="fr-FR"/>
          <w14:ligatures w14:val="none"/>
        </w:rPr>
        <w:t xml:space="preserve"> extract treatment exhibited a significant increase in the Lee index between Day 0 and Day 28. This increase indicates rapid weight gain and worsening obesity in these rats. The values are statistically significant compared to the healthy control group (p &lt; 0.01).</w:t>
      </w:r>
    </w:p>
    <w:p w14:paraId="1DF1ED9F" w14:textId="77777777" w:rsidR="00B02375" w:rsidRPr="00B02375" w:rsidRDefault="00B02375" w:rsidP="00B02375">
      <w:pPr>
        <w:spacing w:after="0" w:line="360" w:lineRule="auto"/>
        <w:jc w:val="both"/>
        <w:rPr>
          <w:rFonts w:ascii="Arial" w:eastAsia="Times New Roman" w:hAnsi="Arial" w:cs="Arial"/>
          <w:b/>
          <w:bCs/>
          <w:color w:val="000000" w:themeColor="text1"/>
          <w:kern w:val="0"/>
          <w:sz w:val="20"/>
          <w:szCs w:val="20"/>
          <w:lang w:eastAsia="fr-FR"/>
          <w14:ligatures w14:val="none"/>
        </w:rPr>
      </w:pPr>
      <w:r w:rsidRPr="00B02375">
        <w:rPr>
          <w:rFonts w:ascii="Arial" w:eastAsia="Times New Roman" w:hAnsi="Arial" w:cs="Arial"/>
          <w:b/>
          <w:bCs/>
          <w:color w:val="000000" w:themeColor="text1"/>
          <w:kern w:val="0"/>
          <w:sz w:val="20"/>
          <w:szCs w:val="20"/>
          <w:lang w:eastAsia="fr-FR"/>
          <w14:ligatures w14:val="none"/>
        </w:rPr>
        <w:t xml:space="preserve">FU100 Group (100 mg/kg): </w:t>
      </w:r>
      <w:r w:rsidRPr="00B02375">
        <w:rPr>
          <w:rFonts w:ascii="Arial" w:eastAsia="Times New Roman" w:hAnsi="Arial" w:cs="Arial"/>
          <w:color w:val="000000" w:themeColor="text1"/>
          <w:kern w:val="0"/>
          <w:sz w:val="20"/>
          <w:szCs w:val="20"/>
          <w:lang w:eastAsia="fr-FR"/>
          <w14:ligatures w14:val="none"/>
        </w:rPr>
        <w:t>The Lee index showed a slight decrease starting from Day 14, although the effect was less pronounced than in the FU200 and FU400 groups. A significant reduction was observed compared to the obese control group (p &lt; 0.05), but the overall effect remained modest.</w:t>
      </w:r>
    </w:p>
    <w:p w14:paraId="6535B943" w14:textId="77777777" w:rsidR="00B02375" w:rsidRPr="00B02375" w:rsidRDefault="00B02375" w:rsidP="00B02375">
      <w:pPr>
        <w:spacing w:after="0" w:line="360" w:lineRule="auto"/>
        <w:jc w:val="both"/>
        <w:rPr>
          <w:rFonts w:ascii="Arial" w:eastAsia="Times New Roman" w:hAnsi="Arial" w:cs="Arial"/>
          <w:b/>
          <w:bCs/>
          <w:color w:val="000000" w:themeColor="text1"/>
          <w:kern w:val="0"/>
          <w:sz w:val="20"/>
          <w:szCs w:val="20"/>
          <w:lang w:eastAsia="fr-FR"/>
          <w14:ligatures w14:val="none"/>
        </w:rPr>
      </w:pPr>
      <w:r w:rsidRPr="00B02375">
        <w:rPr>
          <w:rFonts w:ascii="Arial" w:eastAsia="Times New Roman" w:hAnsi="Arial" w:cs="Arial"/>
          <w:b/>
          <w:bCs/>
          <w:color w:val="000000" w:themeColor="text1"/>
          <w:kern w:val="0"/>
          <w:sz w:val="20"/>
          <w:szCs w:val="20"/>
          <w:lang w:eastAsia="fr-FR"/>
          <w14:ligatures w14:val="none"/>
        </w:rPr>
        <w:t xml:space="preserve">FU200 Group (200 mg/kg): </w:t>
      </w:r>
      <w:r w:rsidRPr="00B02375">
        <w:rPr>
          <w:rFonts w:ascii="Arial" w:eastAsia="Times New Roman" w:hAnsi="Arial" w:cs="Arial"/>
          <w:color w:val="000000" w:themeColor="text1"/>
          <w:kern w:val="0"/>
          <w:sz w:val="20"/>
          <w:szCs w:val="20"/>
          <w:lang w:eastAsia="fr-FR"/>
          <w14:ligatures w14:val="none"/>
        </w:rPr>
        <w:t xml:space="preserve">This group showed a notable decrease in the Lee index from Day 14, with significant reductions observed by Day 21 (p &lt; 0.05) and Day 28 (p &lt; 0.05). This trend suggests a moderate anti-obesity effect of </w:t>
      </w:r>
      <w:r w:rsidRPr="00B02375">
        <w:rPr>
          <w:rFonts w:ascii="Arial" w:eastAsia="Times New Roman" w:hAnsi="Arial" w:cs="Arial"/>
          <w:i/>
          <w:iCs/>
          <w:color w:val="000000" w:themeColor="text1"/>
          <w:kern w:val="0"/>
          <w:sz w:val="20"/>
          <w:szCs w:val="20"/>
          <w:lang w:eastAsia="fr-FR"/>
          <w14:ligatures w14:val="none"/>
        </w:rPr>
        <w:t>F. umbellata</w:t>
      </w:r>
      <w:r w:rsidRPr="00B02375">
        <w:rPr>
          <w:rFonts w:ascii="Arial" w:eastAsia="Times New Roman" w:hAnsi="Arial" w:cs="Arial"/>
          <w:color w:val="000000" w:themeColor="text1"/>
          <w:kern w:val="0"/>
          <w:sz w:val="20"/>
          <w:szCs w:val="20"/>
          <w:lang w:eastAsia="fr-FR"/>
          <w14:ligatures w14:val="none"/>
        </w:rPr>
        <w:t xml:space="preserve"> extract in reducing fat accumulation.</w:t>
      </w:r>
    </w:p>
    <w:p w14:paraId="59112AA3" w14:textId="77777777"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b/>
          <w:bCs/>
          <w:color w:val="000000" w:themeColor="text1"/>
          <w:kern w:val="0"/>
          <w:sz w:val="20"/>
          <w:szCs w:val="20"/>
          <w:lang w:eastAsia="fr-FR"/>
          <w14:ligatures w14:val="none"/>
        </w:rPr>
        <w:t xml:space="preserve">FU400 Group (400 mg/kg): </w:t>
      </w:r>
      <w:r w:rsidRPr="00B02375">
        <w:rPr>
          <w:rFonts w:ascii="Arial" w:eastAsia="Times New Roman" w:hAnsi="Arial" w:cs="Arial"/>
          <w:color w:val="000000" w:themeColor="text1"/>
          <w:kern w:val="0"/>
          <w:sz w:val="20"/>
          <w:szCs w:val="20"/>
          <w:lang w:eastAsia="fr-FR"/>
          <w14:ligatures w14:val="none"/>
        </w:rPr>
        <w:t xml:space="preserve">The group treated with the highest dose of </w:t>
      </w:r>
      <w:r w:rsidRPr="00B02375">
        <w:rPr>
          <w:rFonts w:ascii="Arial" w:eastAsia="Times New Roman" w:hAnsi="Arial" w:cs="Arial"/>
          <w:i/>
          <w:iCs/>
          <w:color w:val="000000" w:themeColor="text1"/>
          <w:kern w:val="0"/>
          <w:sz w:val="20"/>
          <w:szCs w:val="20"/>
          <w:lang w:eastAsia="fr-FR"/>
          <w14:ligatures w14:val="none"/>
        </w:rPr>
        <w:t>F. umbellata</w:t>
      </w:r>
      <w:r w:rsidRPr="00B02375">
        <w:rPr>
          <w:rFonts w:ascii="Arial" w:eastAsia="Times New Roman" w:hAnsi="Arial" w:cs="Arial"/>
          <w:color w:val="000000" w:themeColor="text1"/>
          <w:kern w:val="0"/>
          <w:sz w:val="20"/>
          <w:szCs w:val="20"/>
          <w:lang w:eastAsia="fr-FR"/>
          <w14:ligatures w14:val="none"/>
        </w:rPr>
        <w:t xml:space="preserve"> displayed the most pronounced effect, with a progressive and significant reduction in the Lee index over time. The values from Day 14 onwards were statistically significant compared to the obese control group (p &lt; 0.01), and the Lee index reached its lowest level at the end of the study.</w:t>
      </w:r>
    </w:p>
    <w:p w14:paraId="029D8D41" w14:textId="77777777"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p>
    <w:p w14:paraId="7140A883" w14:textId="77777777" w:rsidR="00B02375" w:rsidRPr="00B02375" w:rsidRDefault="00B02375" w:rsidP="00B02375">
      <w:pPr>
        <w:pStyle w:val="ListParagraph"/>
        <w:numPr>
          <w:ilvl w:val="2"/>
          <w:numId w:val="4"/>
        </w:numPr>
        <w:spacing w:line="360" w:lineRule="auto"/>
        <w:rPr>
          <w:rFonts w:ascii="Arial" w:eastAsia="Times New Roman" w:hAnsi="Arial" w:cs="Arial"/>
          <w:b/>
          <w:bCs/>
          <w:color w:val="000000" w:themeColor="text1"/>
          <w:kern w:val="0"/>
          <w:sz w:val="20"/>
          <w:szCs w:val="20"/>
          <w:lang w:eastAsia="fr-FR"/>
          <w14:ligatures w14:val="none"/>
        </w:rPr>
      </w:pPr>
      <w:r w:rsidRPr="00B02375">
        <w:rPr>
          <w:rFonts w:ascii="Arial" w:eastAsia="Times New Roman" w:hAnsi="Arial" w:cs="Arial"/>
          <w:b/>
          <w:bCs/>
          <w:color w:val="000000" w:themeColor="text1"/>
          <w:kern w:val="0"/>
          <w:sz w:val="20"/>
          <w:szCs w:val="20"/>
          <w:lang w:eastAsia="fr-FR"/>
          <w14:ligatures w14:val="none"/>
        </w:rPr>
        <w:t>Oxidative stress markers</w:t>
      </w:r>
    </w:p>
    <w:p w14:paraId="588DA8BF" w14:textId="77777777" w:rsidR="00B02375" w:rsidRPr="00B02375" w:rsidRDefault="00B02375" w:rsidP="00B02375">
      <w:pPr>
        <w:pStyle w:val="ListParagraph"/>
        <w:numPr>
          <w:ilvl w:val="3"/>
          <w:numId w:val="4"/>
        </w:numPr>
        <w:spacing w:before="100" w:beforeAutospacing="1" w:after="100" w:afterAutospacing="1" w:line="360" w:lineRule="auto"/>
        <w:jc w:val="both"/>
        <w:rPr>
          <w:rFonts w:ascii="Arial" w:eastAsia="Times New Roman" w:hAnsi="Arial" w:cs="Arial"/>
          <w:i/>
          <w:iCs/>
          <w:color w:val="000000" w:themeColor="text1"/>
          <w:kern w:val="0"/>
          <w:sz w:val="20"/>
          <w:szCs w:val="20"/>
          <w:lang w:eastAsia="fr-FR"/>
          <w14:ligatures w14:val="none"/>
        </w:rPr>
      </w:pPr>
      <w:r w:rsidRPr="00B02375">
        <w:rPr>
          <w:rFonts w:ascii="Arial" w:eastAsia="Times New Roman" w:hAnsi="Arial" w:cs="Arial"/>
          <w:b/>
          <w:bCs/>
          <w:i/>
          <w:iCs/>
          <w:color w:val="000000" w:themeColor="text1"/>
          <w:kern w:val="0"/>
          <w:sz w:val="20"/>
          <w:szCs w:val="20"/>
          <w:lang w:eastAsia="fr-FR"/>
          <w14:ligatures w14:val="none"/>
        </w:rPr>
        <w:t>Malondialdehyde (MDA, nmol/mg protein)</w:t>
      </w:r>
    </w:p>
    <w:p w14:paraId="4D8F7B3B" w14:textId="77777777" w:rsidR="00B02375" w:rsidRPr="00B02375" w:rsidRDefault="00B02375" w:rsidP="00B02375">
      <w:pPr>
        <w:rPr>
          <w:rFonts w:ascii="Arial" w:eastAsia="Times New Roman" w:hAnsi="Arial" w:cs="Arial"/>
          <w:b/>
          <w:bCs/>
          <w:color w:val="000000" w:themeColor="text1"/>
          <w:kern w:val="0"/>
          <w:sz w:val="20"/>
          <w:szCs w:val="20"/>
          <w:lang w:eastAsia="fr-FR"/>
          <w14:ligatures w14:val="none"/>
        </w:rPr>
      </w:pPr>
      <w:r w:rsidRPr="00B02375">
        <w:rPr>
          <w:rFonts w:ascii="Arial" w:eastAsia="Times New Roman" w:hAnsi="Arial" w:cs="Arial"/>
          <w:b/>
          <w:bCs/>
          <w:color w:val="000000" w:themeColor="text1"/>
          <w:kern w:val="0"/>
          <w:sz w:val="20"/>
          <w:szCs w:val="20"/>
          <w:lang w:eastAsia="fr-FR"/>
          <w14:ligatures w14:val="none"/>
        </w:rPr>
        <w:t xml:space="preserve">   Table 3. Evaluation of malondialdehyde (MDA) Levels</w:t>
      </w:r>
    </w:p>
    <w:tbl>
      <w:tblPr>
        <w:tblStyle w:val="PlainTable2"/>
        <w:tblW w:w="9014" w:type="dxa"/>
        <w:tblLook w:val="04A0" w:firstRow="1" w:lastRow="0" w:firstColumn="1" w:lastColumn="0" w:noHBand="0" w:noVBand="1"/>
      </w:tblPr>
      <w:tblGrid>
        <w:gridCol w:w="1240"/>
        <w:gridCol w:w="3719"/>
        <w:gridCol w:w="4055"/>
      </w:tblGrid>
      <w:tr w:rsidR="00B02375" w:rsidRPr="00B02375" w14:paraId="5177D787" w14:textId="77777777" w:rsidTr="008E201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14776A17" w14:textId="77777777" w:rsidR="00B02375" w:rsidRPr="00B02375" w:rsidRDefault="00B02375" w:rsidP="008E2018">
            <w:pPr>
              <w:jc w:val="center"/>
              <w:rPr>
                <w:rFonts w:ascii="Arial" w:eastAsia="Times New Roman" w:hAnsi="Arial" w:cs="Arial"/>
                <w:b w:val="0"/>
                <w:bCs w:val="0"/>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Group</w:t>
            </w:r>
          </w:p>
        </w:tc>
        <w:tc>
          <w:tcPr>
            <w:tcW w:w="0" w:type="auto"/>
            <w:hideMark/>
          </w:tcPr>
          <w:p w14:paraId="442DBE29" w14:textId="77777777" w:rsidR="00B02375" w:rsidRPr="00B02375" w:rsidRDefault="00B02375" w:rsidP="008E201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Liver (nmol/mg protein)</w:t>
            </w:r>
          </w:p>
        </w:tc>
        <w:tc>
          <w:tcPr>
            <w:tcW w:w="0" w:type="auto"/>
            <w:hideMark/>
          </w:tcPr>
          <w:p w14:paraId="29E50183" w14:textId="77777777" w:rsidR="00B02375" w:rsidRPr="00B02375" w:rsidRDefault="00B02375" w:rsidP="008E201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Plasma (nmol/mg protein)</w:t>
            </w:r>
          </w:p>
        </w:tc>
      </w:tr>
      <w:tr w:rsidR="00B02375" w:rsidRPr="00B02375" w14:paraId="207909F3" w14:textId="77777777" w:rsidTr="008E201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7D94472E" w14:textId="77777777" w:rsidR="00B02375" w:rsidRPr="00B02375" w:rsidRDefault="00B02375" w:rsidP="008E2018">
            <w:pPr>
              <w:jc w:val="center"/>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TS</w:t>
            </w:r>
          </w:p>
        </w:tc>
        <w:tc>
          <w:tcPr>
            <w:tcW w:w="0" w:type="auto"/>
            <w:hideMark/>
          </w:tcPr>
          <w:p w14:paraId="3C7BBA8E" w14:textId="77777777" w:rsidR="00B02375" w:rsidRPr="00B02375" w:rsidRDefault="00B02375" w:rsidP="008E20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1.8 ± 0.2</w:t>
            </w:r>
          </w:p>
        </w:tc>
        <w:tc>
          <w:tcPr>
            <w:tcW w:w="0" w:type="auto"/>
            <w:hideMark/>
          </w:tcPr>
          <w:p w14:paraId="71B0A363" w14:textId="77777777" w:rsidR="00B02375" w:rsidRPr="00B02375" w:rsidRDefault="00B02375" w:rsidP="008E20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2.1 ± 0.3</w:t>
            </w:r>
          </w:p>
        </w:tc>
      </w:tr>
      <w:tr w:rsidR="00B02375" w:rsidRPr="00B02375" w14:paraId="7D502EEF" w14:textId="77777777" w:rsidTr="008E2018">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5E7F61DA" w14:textId="77777777" w:rsidR="00B02375" w:rsidRPr="00B02375" w:rsidRDefault="00B02375" w:rsidP="008E2018">
            <w:pPr>
              <w:jc w:val="center"/>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ONT</w:t>
            </w:r>
          </w:p>
        </w:tc>
        <w:tc>
          <w:tcPr>
            <w:tcW w:w="0" w:type="auto"/>
            <w:hideMark/>
          </w:tcPr>
          <w:p w14:paraId="57D9D956" w14:textId="77777777" w:rsidR="00B02375" w:rsidRPr="00B02375" w:rsidRDefault="00B02375" w:rsidP="008E20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3.9 ± 0.4**</w:t>
            </w:r>
          </w:p>
        </w:tc>
        <w:tc>
          <w:tcPr>
            <w:tcW w:w="0" w:type="auto"/>
            <w:hideMark/>
          </w:tcPr>
          <w:p w14:paraId="5B739CB8" w14:textId="77777777" w:rsidR="00B02375" w:rsidRPr="00B02375" w:rsidRDefault="00B02375" w:rsidP="008E20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4.5 ± 0.5**</w:t>
            </w:r>
          </w:p>
        </w:tc>
      </w:tr>
      <w:tr w:rsidR="00B02375" w:rsidRPr="00B02375" w14:paraId="1CE7250E" w14:textId="77777777" w:rsidTr="008E201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08257CD7" w14:textId="77777777" w:rsidR="00B02375" w:rsidRPr="00B02375" w:rsidRDefault="00B02375" w:rsidP="008E2018">
            <w:pPr>
              <w:jc w:val="center"/>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FU200</w:t>
            </w:r>
          </w:p>
        </w:tc>
        <w:tc>
          <w:tcPr>
            <w:tcW w:w="0" w:type="auto"/>
            <w:hideMark/>
          </w:tcPr>
          <w:p w14:paraId="2132FAE1" w14:textId="77777777" w:rsidR="00B02375" w:rsidRPr="00B02375" w:rsidRDefault="00B02375" w:rsidP="008E20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2.5 ± 0.3*</w:t>
            </w:r>
          </w:p>
        </w:tc>
        <w:tc>
          <w:tcPr>
            <w:tcW w:w="0" w:type="auto"/>
            <w:hideMark/>
          </w:tcPr>
          <w:p w14:paraId="3BCF5B1C" w14:textId="77777777" w:rsidR="00B02375" w:rsidRPr="00B02375" w:rsidRDefault="00B02375" w:rsidP="008E20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2.9 ± 0.4*</w:t>
            </w:r>
          </w:p>
        </w:tc>
      </w:tr>
      <w:tr w:rsidR="00B02375" w:rsidRPr="00B02375" w14:paraId="56F04C97" w14:textId="77777777" w:rsidTr="008E2018">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6A85426E" w14:textId="77777777" w:rsidR="00B02375" w:rsidRPr="00B02375" w:rsidRDefault="00B02375" w:rsidP="008E2018">
            <w:pPr>
              <w:jc w:val="center"/>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FU400</w:t>
            </w:r>
          </w:p>
        </w:tc>
        <w:tc>
          <w:tcPr>
            <w:tcW w:w="0" w:type="auto"/>
            <w:hideMark/>
          </w:tcPr>
          <w:p w14:paraId="15526695" w14:textId="77777777" w:rsidR="00B02375" w:rsidRPr="00B02375" w:rsidRDefault="00B02375" w:rsidP="008E20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2.0 ± 0.2**</w:t>
            </w:r>
          </w:p>
        </w:tc>
        <w:tc>
          <w:tcPr>
            <w:tcW w:w="0" w:type="auto"/>
            <w:hideMark/>
          </w:tcPr>
          <w:p w14:paraId="153615D5" w14:textId="77777777" w:rsidR="00B02375" w:rsidRPr="00B02375" w:rsidRDefault="00B02375" w:rsidP="008E20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2.3 ± 0.3**</w:t>
            </w:r>
          </w:p>
        </w:tc>
      </w:tr>
    </w:tbl>
    <w:p w14:paraId="5BB7303E" w14:textId="77777777" w:rsidR="00B02375" w:rsidRPr="00B02375" w:rsidRDefault="00B02375" w:rsidP="00B02375">
      <w:pPr>
        <w:spacing w:before="100" w:beforeAutospacing="1" w:after="100" w:afterAutospacing="1" w:line="240" w:lineRule="auto"/>
        <w:jc w:val="center"/>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b/>
          <w:bCs/>
          <w:color w:val="000000" w:themeColor="text1"/>
          <w:kern w:val="0"/>
          <w:sz w:val="20"/>
          <w:szCs w:val="20"/>
          <w:lang w:eastAsia="fr-FR"/>
          <w14:ligatures w14:val="none"/>
        </w:rPr>
        <w:t>Note:</w:t>
      </w:r>
      <w:r w:rsidRPr="00B02375">
        <w:rPr>
          <w:rFonts w:ascii="Arial" w:eastAsia="Times New Roman" w:hAnsi="Arial" w:cs="Arial"/>
          <w:color w:val="000000" w:themeColor="text1"/>
          <w:kern w:val="0"/>
          <w:sz w:val="20"/>
          <w:szCs w:val="20"/>
          <w:lang w:eastAsia="fr-FR"/>
          <w14:ligatures w14:val="none"/>
        </w:rPr>
        <w:t xml:space="preserve"> *p &lt; 0.05; **p &lt; 0.01 vs TS</w:t>
      </w:r>
    </w:p>
    <w:p w14:paraId="1DC2B03D" w14:textId="77777777"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Assessment of malondialdehyde (MDA) levels in liver tissues and plasma revealed a significant increase in oxidative stress in untreated obese rats. The healthy control group (TS) showed low baseline MDA concentrations, with values of 1.8 ± 0.2 nmol/mg protein in the liver and 2.1 ± 0.3 nmol/mg protein in the plasma. In contrast, the untreated obese group (ONT) exhibited a marked increase in this oxidative biomarker, reaching 3.9 ± 0.4 in the liver and 4.5 ± 0.5 in the plasma (p &lt; 0.01 vs TS), confirming strong lipid peroxidation induced by the high-fat diet.</w:t>
      </w:r>
    </w:p>
    <w:p w14:paraId="50EFD559" w14:textId="77777777"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 xml:space="preserve">Treatment with </w:t>
      </w:r>
      <w:r w:rsidRPr="00B02375">
        <w:rPr>
          <w:rFonts w:ascii="Arial" w:eastAsia="Times New Roman" w:hAnsi="Arial" w:cs="Arial"/>
          <w:i/>
          <w:iCs/>
          <w:color w:val="000000" w:themeColor="text1"/>
          <w:kern w:val="0"/>
          <w:sz w:val="20"/>
          <w:szCs w:val="20"/>
          <w:lang w:eastAsia="fr-FR"/>
          <w14:ligatures w14:val="none"/>
        </w:rPr>
        <w:t>F. umbellata</w:t>
      </w:r>
      <w:r w:rsidRPr="00B02375">
        <w:rPr>
          <w:rFonts w:ascii="Arial" w:eastAsia="Times New Roman" w:hAnsi="Arial" w:cs="Arial"/>
          <w:color w:val="000000" w:themeColor="text1"/>
          <w:kern w:val="0"/>
          <w:sz w:val="20"/>
          <w:szCs w:val="20"/>
          <w:lang w:eastAsia="fr-FR"/>
          <w14:ligatures w14:val="none"/>
        </w:rPr>
        <w:t xml:space="preserve"> extract significantly reduced MDA levels, indicating an antioxidant effect. The FU200 group showed a moderate but significant decrease in MDA with values of 2.5 ± 0.3 in the liver and 2.9 ± 0.4 in the plasma (p &lt; 0.05 vs ONT). These effects were even more pronounced in rats </w:t>
      </w:r>
      <w:r w:rsidRPr="00B02375">
        <w:rPr>
          <w:rFonts w:ascii="Arial" w:eastAsia="Times New Roman" w:hAnsi="Arial" w:cs="Arial"/>
          <w:color w:val="000000" w:themeColor="text1"/>
          <w:kern w:val="0"/>
          <w:sz w:val="20"/>
          <w:szCs w:val="20"/>
          <w:lang w:eastAsia="fr-FR"/>
          <w14:ligatures w14:val="none"/>
        </w:rPr>
        <w:lastRenderedPageBreak/>
        <w:t>receiving 400 mg/kg of the extract (FU400), with concentrations approaching those of the healthy group: 2.0 ± 0.2 in the liver and 2.3 ± 0.3 in the plasma (p &lt; 0.01 vs ONT).</w:t>
      </w:r>
    </w:p>
    <w:p w14:paraId="1BD89239" w14:textId="77777777"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 xml:space="preserve">These data suggest that </w:t>
      </w:r>
      <w:r w:rsidRPr="00B02375">
        <w:rPr>
          <w:rFonts w:ascii="Arial" w:eastAsia="Times New Roman" w:hAnsi="Arial" w:cs="Arial"/>
          <w:i/>
          <w:iCs/>
          <w:color w:val="000000" w:themeColor="text1"/>
          <w:kern w:val="0"/>
          <w:sz w:val="20"/>
          <w:szCs w:val="20"/>
          <w:lang w:eastAsia="fr-FR"/>
          <w14:ligatures w14:val="none"/>
        </w:rPr>
        <w:t>F. umbellata</w:t>
      </w:r>
      <w:r w:rsidRPr="00B02375">
        <w:rPr>
          <w:rFonts w:ascii="Arial" w:eastAsia="Times New Roman" w:hAnsi="Arial" w:cs="Arial"/>
          <w:color w:val="000000" w:themeColor="text1"/>
          <w:kern w:val="0"/>
          <w:sz w:val="20"/>
          <w:szCs w:val="20"/>
          <w:lang w:eastAsia="fr-FR"/>
          <w14:ligatures w14:val="none"/>
        </w:rPr>
        <w:t>, particularly at higher doses, exerts an inhibitory effect on lipid peroxidation, thereby contributing to the reduction of hepatic and systemic oxidative stress in obese rats.</w:t>
      </w:r>
    </w:p>
    <w:p w14:paraId="5E6E54D8" w14:textId="77777777"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p>
    <w:p w14:paraId="49B9CEE4" w14:textId="77777777" w:rsidR="00B02375" w:rsidRPr="00B02375" w:rsidRDefault="00B02375" w:rsidP="00B02375">
      <w:pPr>
        <w:pStyle w:val="ListParagraph"/>
        <w:numPr>
          <w:ilvl w:val="3"/>
          <w:numId w:val="4"/>
        </w:numPr>
        <w:spacing w:after="0" w:line="360" w:lineRule="auto"/>
        <w:jc w:val="both"/>
        <w:rPr>
          <w:rFonts w:ascii="Arial" w:eastAsia="Times New Roman" w:hAnsi="Arial" w:cs="Arial"/>
          <w:b/>
          <w:bCs/>
          <w:i/>
          <w:iCs/>
          <w:color w:val="000000" w:themeColor="text1"/>
          <w:kern w:val="0"/>
          <w:sz w:val="20"/>
          <w:szCs w:val="20"/>
          <w:lang w:eastAsia="fr-FR"/>
          <w14:ligatures w14:val="none"/>
        </w:rPr>
      </w:pPr>
      <w:r w:rsidRPr="00B02375">
        <w:rPr>
          <w:rFonts w:ascii="Arial" w:eastAsia="Times New Roman" w:hAnsi="Arial" w:cs="Arial"/>
          <w:b/>
          <w:bCs/>
          <w:i/>
          <w:iCs/>
          <w:color w:val="000000" w:themeColor="text1"/>
          <w:kern w:val="0"/>
          <w:sz w:val="20"/>
          <w:szCs w:val="20"/>
          <w:lang w:eastAsia="fr-FR"/>
          <w14:ligatures w14:val="none"/>
        </w:rPr>
        <w:t>Reduced glutathione (GSH, µmol/g tissue)</w:t>
      </w:r>
    </w:p>
    <w:p w14:paraId="7842D44C" w14:textId="77777777"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p>
    <w:p w14:paraId="36D74EC9" w14:textId="77777777" w:rsidR="00B02375" w:rsidRPr="00B02375" w:rsidRDefault="00B02375" w:rsidP="00B02375">
      <w:pPr>
        <w:rPr>
          <w:rFonts w:ascii="Arial" w:eastAsia="Times New Roman" w:hAnsi="Arial" w:cs="Arial"/>
          <w:b/>
          <w:bCs/>
          <w:color w:val="000000" w:themeColor="text1"/>
          <w:kern w:val="0"/>
          <w:sz w:val="20"/>
          <w:szCs w:val="20"/>
          <w:lang w:eastAsia="fr-FR"/>
          <w14:ligatures w14:val="none"/>
        </w:rPr>
      </w:pPr>
      <w:r w:rsidRPr="00B02375">
        <w:rPr>
          <w:rFonts w:ascii="Arial" w:eastAsia="Times New Roman" w:hAnsi="Arial" w:cs="Arial"/>
          <w:b/>
          <w:bCs/>
          <w:color w:val="000000" w:themeColor="text1"/>
          <w:kern w:val="0"/>
          <w:sz w:val="20"/>
          <w:szCs w:val="20"/>
          <w:lang w:eastAsia="fr-FR"/>
          <w14:ligatures w14:val="none"/>
        </w:rPr>
        <w:t>Table 4. Hepatic reduced glutathione (GSH) concentrations</w:t>
      </w:r>
    </w:p>
    <w:tbl>
      <w:tblPr>
        <w:tblStyle w:val="PlainTable2"/>
        <w:tblW w:w="7551" w:type="dxa"/>
        <w:tblLook w:val="04A0" w:firstRow="1" w:lastRow="0" w:firstColumn="1" w:lastColumn="0" w:noHBand="0" w:noVBand="1"/>
      </w:tblPr>
      <w:tblGrid>
        <w:gridCol w:w="2069"/>
        <w:gridCol w:w="5482"/>
      </w:tblGrid>
      <w:tr w:rsidR="00B02375" w:rsidRPr="00B02375" w14:paraId="22A288D5" w14:textId="77777777" w:rsidTr="008E2018">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0" w:type="auto"/>
            <w:hideMark/>
          </w:tcPr>
          <w:p w14:paraId="7CF65380" w14:textId="77777777" w:rsidR="00B02375" w:rsidRPr="00B02375" w:rsidRDefault="00B02375" w:rsidP="008E2018">
            <w:pPr>
              <w:jc w:val="center"/>
              <w:rPr>
                <w:rFonts w:ascii="Arial" w:eastAsia="Times New Roman" w:hAnsi="Arial" w:cs="Arial"/>
                <w:b w:val="0"/>
                <w:bCs w:val="0"/>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Group</w:t>
            </w:r>
          </w:p>
        </w:tc>
        <w:tc>
          <w:tcPr>
            <w:tcW w:w="0" w:type="auto"/>
            <w:hideMark/>
          </w:tcPr>
          <w:p w14:paraId="10EE5794" w14:textId="77777777" w:rsidR="00B02375" w:rsidRPr="00B02375" w:rsidRDefault="00B02375" w:rsidP="008E201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Liver (µmol/g tissue)</w:t>
            </w:r>
          </w:p>
        </w:tc>
      </w:tr>
      <w:tr w:rsidR="00B02375" w:rsidRPr="00B02375" w14:paraId="6D98BAE0" w14:textId="77777777" w:rsidTr="008E2018">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0" w:type="auto"/>
            <w:hideMark/>
          </w:tcPr>
          <w:p w14:paraId="50681278" w14:textId="77777777" w:rsidR="00B02375" w:rsidRPr="00B02375" w:rsidRDefault="00B02375" w:rsidP="008E2018">
            <w:pPr>
              <w:jc w:val="center"/>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TS</w:t>
            </w:r>
          </w:p>
        </w:tc>
        <w:tc>
          <w:tcPr>
            <w:tcW w:w="0" w:type="auto"/>
            <w:hideMark/>
          </w:tcPr>
          <w:p w14:paraId="43995D2F" w14:textId="77777777" w:rsidR="00B02375" w:rsidRPr="00B02375" w:rsidRDefault="00B02375" w:rsidP="008E20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8.2 ± 0.4</w:t>
            </w:r>
          </w:p>
        </w:tc>
      </w:tr>
      <w:tr w:rsidR="00B02375" w:rsidRPr="00B02375" w14:paraId="4C7A841F" w14:textId="77777777" w:rsidTr="008E2018">
        <w:trPr>
          <w:trHeight w:val="495"/>
        </w:trPr>
        <w:tc>
          <w:tcPr>
            <w:cnfStyle w:val="001000000000" w:firstRow="0" w:lastRow="0" w:firstColumn="1" w:lastColumn="0" w:oddVBand="0" w:evenVBand="0" w:oddHBand="0" w:evenHBand="0" w:firstRowFirstColumn="0" w:firstRowLastColumn="0" w:lastRowFirstColumn="0" w:lastRowLastColumn="0"/>
            <w:tcW w:w="0" w:type="auto"/>
            <w:hideMark/>
          </w:tcPr>
          <w:p w14:paraId="1746054F" w14:textId="77777777" w:rsidR="00B02375" w:rsidRPr="00B02375" w:rsidRDefault="00B02375" w:rsidP="008E2018">
            <w:pPr>
              <w:jc w:val="center"/>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ONT</w:t>
            </w:r>
          </w:p>
        </w:tc>
        <w:tc>
          <w:tcPr>
            <w:tcW w:w="0" w:type="auto"/>
            <w:hideMark/>
          </w:tcPr>
          <w:p w14:paraId="74466AC2" w14:textId="77777777" w:rsidR="00B02375" w:rsidRPr="00B02375" w:rsidRDefault="00B02375" w:rsidP="008E20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5.1 ± 0.3**</w:t>
            </w:r>
          </w:p>
        </w:tc>
      </w:tr>
      <w:tr w:rsidR="00B02375" w:rsidRPr="00B02375" w14:paraId="4FCFA9F8" w14:textId="77777777" w:rsidTr="008E2018">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0" w:type="auto"/>
            <w:hideMark/>
          </w:tcPr>
          <w:p w14:paraId="132B659E" w14:textId="77777777" w:rsidR="00B02375" w:rsidRPr="00B02375" w:rsidRDefault="00B02375" w:rsidP="008E2018">
            <w:pPr>
              <w:jc w:val="center"/>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FU200</w:t>
            </w:r>
          </w:p>
        </w:tc>
        <w:tc>
          <w:tcPr>
            <w:tcW w:w="0" w:type="auto"/>
            <w:hideMark/>
          </w:tcPr>
          <w:p w14:paraId="02E61566" w14:textId="77777777" w:rsidR="00B02375" w:rsidRPr="00B02375" w:rsidRDefault="00B02375" w:rsidP="008E20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6.7 ± 0.4*</w:t>
            </w:r>
          </w:p>
        </w:tc>
      </w:tr>
      <w:tr w:rsidR="00B02375" w:rsidRPr="00B02375" w14:paraId="7654095C" w14:textId="77777777" w:rsidTr="008E2018">
        <w:trPr>
          <w:trHeight w:val="495"/>
        </w:trPr>
        <w:tc>
          <w:tcPr>
            <w:cnfStyle w:val="001000000000" w:firstRow="0" w:lastRow="0" w:firstColumn="1" w:lastColumn="0" w:oddVBand="0" w:evenVBand="0" w:oddHBand="0" w:evenHBand="0" w:firstRowFirstColumn="0" w:firstRowLastColumn="0" w:lastRowFirstColumn="0" w:lastRowLastColumn="0"/>
            <w:tcW w:w="0" w:type="auto"/>
            <w:hideMark/>
          </w:tcPr>
          <w:p w14:paraId="6CB8669C" w14:textId="77777777" w:rsidR="00B02375" w:rsidRPr="00B02375" w:rsidRDefault="00B02375" w:rsidP="008E2018">
            <w:pPr>
              <w:jc w:val="center"/>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FU400</w:t>
            </w:r>
          </w:p>
        </w:tc>
        <w:tc>
          <w:tcPr>
            <w:tcW w:w="0" w:type="auto"/>
            <w:hideMark/>
          </w:tcPr>
          <w:p w14:paraId="79456581" w14:textId="77777777" w:rsidR="00B02375" w:rsidRPr="00B02375" w:rsidRDefault="00B02375" w:rsidP="008E20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7.8 ± 0.3**</w:t>
            </w:r>
          </w:p>
        </w:tc>
      </w:tr>
    </w:tbl>
    <w:p w14:paraId="10F8063C" w14:textId="77777777" w:rsidR="00B02375" w:rsidRPr="00B02375" w:rsidRDefault="00B02375" w:rsidP="00B02375">
      <w:pPr>
        <w:spacing w:before="100" w:beforeAutospacing="1" w:after="100" w:afterAutospacing="1" w:line="240" w:lineRule="auto"/>
        <w:jc w:val="center"/>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b/>
          <w:bCs/>
          <w:color w:val="000000" w:themeColor="text1"/>
          <w:kern w:val="0"/>
          <w:sz w:val="20"/>
          <w:szCs w:val="20"/>
          <w:lang w:eastAsia="fr-FR"/>
          <w14:ligatures w14:val="none"/>
        </w:rPr>
        <w:t>Note:</w:t>
      </w:r>
      <w:r w:rsidRPr="00B02375">
        <w:rPr>
          <w:rFonts w:ascii="Arial" w:eastAsia="Times New Roman" w:hAnsi="Arial" w:cs="Arial"/>
          <w:color w:val="000000" w:themeColor="text1"/>
          <w:kern w:val="0"/>
          <w:sz w:val="20"/>
          <w:szCs w:val="20"/>
          <w:lang w:eastAsia="fr-FR"/>
          <w14:ligatures w14:val="none"/>
        </w:rPr>
        <w:t xml:space="preserve"> *p &lt; 0.05; **p &lt; 0.01 vs TS</w:t>
      </w:r>
    </w:p>
    <w:p w14:paraId="1613F05C" w14:textId="77777777"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Analysis of hepatic concentrations of reduced glutathione (GSH) highlights a significant impairment of the antioxidant status in untreated obese rats (ONT) compared to healthy controls (TS). The TS group displayed high GSH levels, measured at 8.2 ± 0.4 µmol/g tissue, indicating a normal hepatic antioxidant capacity. In contrast, the ONT group exhibited a marked reduction in GSH levels, dropping to 5.1 ± 0.3 µmol/g (p &lt; 0.01 vs TS), reflecting increased GSH consumption due to high-fat diet-induced oxidative stress.</w:t>
      </w:r>
    </w:p>
    <w:p w14:paraId="15F8B49E" w14:textId="77777777"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 xml:space="preserve">Administration of </w:t>
      </w:r>
      <w:r w:rsidRPr="00B02375">
        <w:rPr>
          <w:rFonts w:ascii="Arial" w:eastAsia="Times New Roman" w:hAnsi="Arial" w:cs="Arial"/>
          <w:i/>
          <w:iCs/>
          <w:color w:val="000000" w:themeColor="text1"/>
          <w:kern w:val="0"/>
          <w:sz w:val="20"/>
          <w:szCs w:val="20"/>
          <w:lang w:eastAsia="fr-FR"/>
          <w14:ligatures w14:val="none"/>
        </w:rPr>
        <w:t xml:space="preserve">F.  </w:t>
      </w:r>
      <w:proofErr w:type="gramStart"/>
      <w:r w:rsidRPr="00B02375">
        <w:rPr>
          <w:rFonts w:ascii="Arial" w:eastAsia="Times New Roman" w:hAnsi="Arial" w:cs="Arial"/>
          <w:i/>
          <w:iCs/>
          <w:color w:val="000000" w:themeColor="text1"/>
          <w:kern w:val="0"/>
          <w:sz w:val="20"/>
          <w:szCs w:val="20"/>
          <w:lang w:eastAsia="fr-FR"/>
          <w14:ligatures w14:val="none"/>
        </w:rPr>
        <w:t>umbellata</w:t>
      </w:r>
      <w:proofErr w:type="gramEnd"/>
      <w:r w:rsidRPr="00B02375">
        <w:rPr>
          <w:rFonts w:ascii="Arial" w:eastAsia="Times New Roman" w:hAnsi="Arial" w:cs="Arial"/>
          <w:color w:val="000000" w:themeColor="text1"/>
          <w:kern w:val="0"/>
          <w:sz w:val="20"/>
          <w:szCs w:val="20"/>
          <w:lang w:eastAsia="fr-FR"/>
          <w14:ligatures w14:val="none"/>
        </w:rPr>
        <w:t xml:space="preserve"> extract significantly mitigated this decline. In rats treated with 200 mg/kg (FU200), GSH levels increased to 6.7 ± 0.4 µmol/g (p &lt; 0.05 vs ONT), indicating a partial restoration of the antioxidant system. A more pronounced recovery was observed in the FU400 group, with GSH levels reaching 7.8 ± 0.3 µmol/g (p &lt; 0.01 vs ONT), close to the values found in non-obese rats.</w:t>
      </w:r>
    </w:p>
    <w:p w14:paraId="0135D7E9" w14:textId="77777777"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 xml:space="preserve">These results suggest that </w:t>
      </w:r>
      <w:r w:rsidRPr="00B02375">
        <w:rPr>
          <w:rFonts w:ascii="Arial" w:eastAsia="Times New Roman" w:hAnsi="Arial" w:cs="Arial"/>
          <w:i/>
          <w:iCs/>
          <w:color w:val="000000" w:themeColor="text1"/>
          <w:kern w:val="0"/>
          <w:sz w:val="20"/>
          <w:szCs w:val="20"/>
          <w:lang w:eastAsia="fr-FR"/>
          <w14:ligatures w14:val="none"/>
        </w:rPr>
        <w:t>Ficus umbellata</w:t>
      </w:r>
      <w:r w:rsidRPr="00B02375">
        <w:rPr>
          <w:rFonts w:ascii="Arial" w:eastAsia="Times New Roman" w:hAnsi="Arial" w:cs="Arial"/>
          <w:color w:val="000000" w:themeColor="text1"/>
          <w:kern w:val="0"/>
          <w:sz w:val="20"/>
          <w:szCs w:val="20"/>
          <w:lang w:eastAsia="fr-FR"/>
          <w14:ligatures w14:val="none"/>
        </w:rPr>
        <w:t xml:space="preserve"> extract, particularly at the 400 mg/kg dose, promotes the restoration of hepatic glutathione, indicating an enhancement of the endogenous antioxidant defense system against obesity-associated oxidative stress.</w:t>
      </w:r>
    </w:p>
    <w:p w14:paraId="09A8B634" w14:textId="77777777"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p>
    <w:p w14:paraId="286290FB" w14:textId="77777777" w:rsidR="00B02375" w:rsidRPr="00B02375" w:rsidRDefault="00B02375" w:rsidP="00B02375">
      <w:pPr>
        <w:pStyle w:val="ListParagraph"/>
        <w:numPr>
          <w:ilvl w:val="3"/>
          <w:numId w:val="4"/>
        </w:numPr>
        <w:spacing w:after="0"/>
        <w:rPr>
          <w:rFonts w:ascii="Arial" w:eastAsia="Times New Roman" w:hAnsi="Arial" w:cs="Arial"/>
          <w:b/>
          <w:bCs/>
          <w:i/>
          <w:iCs/>
          <w:color w:val="000000" w:themeColor="text1"/>
          <w:kern w:val="0"/>
          <w:sz w:val="20"/>
          <w:szCs w:val="20"/>
          <w:lang w:eastAsia="fr-FR"/>
          <w14:ligatures w14:val="none"/>
        </w:rPr>
      </w:pPr>
      <w:bookmarkStart w:id="4" w:name="_Hlk196954417"/>
      <w:r w:rsidRPr="00B02375">
        <w:rPr>
          <w:rFonts w:ascii="Arial" w:eastAsia="Times New Roman" w:hAnsi="Arial" w:cs="Arial"/>
          <w:b/>
          <w:bCs/>
          <w:i/>
          <w:iCs/>
          <w:color w:val="000000" w:themeColor="text1"/>
          <w:kern w:val="0"/>
          <w:sz w:val="20"/>
          <w:szCs w:val="20"/>
          <w:lang w:eastAsia="fr-FR"/>
          <w14:ligatures w14:val="none"/>
        </w:rPr>
        <w:t>Superoxide dismutase (SOD, U/mg protein)</w:t>
      </w:r>
    </w:p>
    <w:p w14:paraId="6860B2FA" w14:textId="77777777"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p>
    <w:p w14:paraId="60BF1572" w14:textId="77777777" w:rsidR="00B02375" w:rsidRPr="00B02375" w:rsidRDefault="00B02375" w:rsidP="00B02375">
      <w:pPr>
        <w:rPr>
          <w:rFonts w:ascii="Arial" w:eastAsia="Times New Roman" w:hAnsi="Arial" w:cs="Arial"/>
          <w:b/>
          <w:bCs/>
          <w:color w:val="000000" w:themeColor="text1"/>
          <w:kern w:val="0"/>
          <w:sz w:val="20"/>
          <w:szCs w:val="20"/>
          <w:lang w:eastAsia="fr-FR"/>
          <w14:ligatures w14:val="none"/>
        </w:rPr>
      </w:pPr>
      <w:r w:rsidRPr="00B02375">
        <w:rPr>
          <w:rFonts w:ascii="Arial" w:eastAsia="Times New Roman" w:hAnsi="Arial" w:cs="Arial"/>
          <w:b/>
          <w:bCs/>
          <w:color w:val="000000" w:themeColor="text1"/>
          <w:kern w:val="0"/>
          <w:sz w:val="20"/>
          <w:szCs w:val="20"/>
          <w:lang w:eastAsia="fr-FR"/>
          <w14:ligatures w14:val="none"/>
        </w:rPr>
        <w:t xml:space="preserve"> Table 5. Hepatic Superoxide Dismutase (SOD) Activity</w:t>
      </w:r>
    </w:p>
    <w:tbl>
      <w:tblPr>
        <w:tblStyle w:val="PlainTable2"/>
        <w:tblW w:w="7985" w:type="dxa"/>
        <w:tblLook w:val="04A0" w:firstRow="1" w:lastRow="0" w:firstColumn="1" w:lastColumn="0" w:noHBand="0" w:noVBand="1"/>
      </w:tblPr>
      <w:tblGrid>
        <w:gridCol w:w="2223"/>
        <w:gridCol w:w="5762"/>
      </w:tblGrid>
      <w:tr w:rsidR="00B02375" w:rsidRPr="00B02375" w14:paraId="053C5E57" w14:textId="77777777" w:rsidTr="008E2018">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0" w:type="auto"/>
            <w:hideMark/>
          </w:tcPr>
          <w:p w14:paraId="1DA698DF" w14:textId="77777777" w:rsidR="00B02375" w:rsidRPr="00B02375" w:rsidRDefault="00B02375" w:rsidP="008E2018">
            <w:pPr>
              <w:jc w:val="center"/>
              <w:rPr>
                <w:rFonts w:ascii="Arial" w:eastAsia="Times New Roman" w:hAnsi="Arial" w:cs="Arial"/>
                <w:b w:val="0"/>
                <w:bCs w:val="0"/>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Group</w:t>
            </w:r>
          </w:p>
        </w:tc>
        <w:tc>
          <w:tcPr>
            <w:tcW w:w="0" w:type="auto"/>
            <w:hideMark/>
          </w:tcPr>
          <w:p w14:paraId="1B43706A" w14:textId="77777777" w:rsidR="00B02375" w:rsidRPr="00B02375" w:rsidRDefault="00B02375" w:rsidP="008E201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Liver (U/mg protein)</w:t>
            </w:r>
          </w:p>
        </w:tc>
      </w:tr>
      <w:tr w:rsidR="00B02375" w:rsidRPr="00B02375" w14:paraId="359D4B92" w14:textId="77777777" w:rsidTr="008E2018">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0" w:type="auto"/>
            <w:hideMark/>
          </w:tcPr>
          <w:p w14:paraId="77FBDC2F" w14:textId="77777777" w:rsidR="00B02375" w:rsidRPr="00B02375" w:rsidRDefault="00B02375" w:rsidP="008E2018">
            <w:pPr>
              <w:jc w:val="center"/>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TS</w:t>
            </w:r>
          </w:p>
        </w:tc>
        <w:tc>
          <w:tcPr>
            <w:tcW w:w="0" w:type="auto"/>
            <w:hideMark/>
          </w:tcPr>
          <w:p w14:paraId="143AFA34" w14:textId="77777777" w:rsidR="00B02375" w:rsidRPr="00B02375" w:rsidRDefault="00B02375" w:rsidP="008E20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32.4 ± 2.1</w:t>
            </w:r>
          </w:p>
        </w:tc>
      </w:tr>
      <w:tr w:rsidR="00B02375" w:rsidRPr="00B02375" w14:paraId="1B6F3089" w14:textId="77777777" w:rsidTr="008E2018">
        <w:trPr>
          <w:trHeight w:val="462"/>
        </w:trPr>
        <w:tc>
          <w:tcPr>
            <w:cnfStyle w:val="001000000000" w:firstRow="0" w:lastRow="0" w:firstColumn="1" w:lastColumn="0" w:oddVBand="0" w:evenVBand="0" w:oddHBand="0" w:evenHBand="0" w:firstRowFirstColumn="0" w:firstRowLastColumn="0" w:lastRowFirstColumn="0" w:lastRowLastColumn="0"/>
            <w:tcW w:w="0" w:type="auto"/>
            <w:hideMark/>
          </w:tcPr>
          <w:p w14:paraId="6E690018" w14:textId="77777777" w:rsidR="00B02375" w:rsidRPr="00B02375" w:rsidRDefault="00B02375" w:rsidP="008E2018">
            <w:pPr>
              <w:jc w:val="center"/>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ONT</w:t>
            </w:r>
          </w:p>
        </w:tc>
        <w:tc>
          <w:tcPr>
            <w:tcW w:w="0" w:type="auto"/>
            <w:hideMark/>
          </w:tcPr>
          <w:p w14:paraId="4D3593AD" w14:textId="77777777" w:rsidR="00B02375" w:rsidRPr="00B02375" w:rsidRDefault="00B02375" w:rsidP="008E20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20.3 ± 1.8**</w:t>
            </w:r>
          </w:p>
        </w:tc>
      </w:tr>
      <w:tr w:rsidR="00B02375" w:rsidRPr="00B02375" w14:paraId="206E87BF" w14:textId="77777777" w:rsidTr="008E2018">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0" w:type="auto"/>
            <w:hideMark/>
          </w:tcPr>
          <w:p w14:paraId="13A5C5B3" w14:textId="77777777" w:rsidR="00B02375" w:rsidRPr="00B02375" w:rsidRDefault="00B02375" w:rsidP="008E2018">
            <w:pPr>
              <w:jc w:val="center"/>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FU200</w:t>
            </w:r>
          </w:p>
        </w:tc>
        <w:tc>
          <w:tcPr>
            <w:tcW w:w="0" w:type="auto"/>
            <w:hideMark/>
          </w:tcPr>
          <w:p w14:paraId="599E13E8" w14:textId="77777777" w:rsidR="00B02375" w:rsidRPr="00B02375" w:rsidRDefault="00B02375" w:rsidP="008E20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26.8 ± 2.0*</w:t>
            </w:r>
          </w:p>
        </w:tc>
      </w:tr>
      <w:tr w:rsidR="00B02375" w:rsidRPr="00B02375" w14:paraId="7052044D" w14:textId="77777777" w:rsidTr="008E2018">
        <w:trPr>
          <w:trHeight w:val="462"/>
        </w:trPr>
        <w:tc>
          <w:tcPr>
            <w:cnfStyle w:val="001000000000" w:firstRow="0" w:lastRow="0" w:firstColumn="1" w:lastColumn="0" w:oddVBand="0" w:evenVBand="0" w:oddHBand="0" w:evenHBand="0" w:firstRowFirstColumn="0" w:firstRowLastColumn="0" w:lastRowFirstColumn="0" w:lastRowLastColumn="0"/>
            <w:tcW w:w="0" w:type="auto"/>
            <w:hideMark/>
          </w:tcPr>
          <w:p w14:paraId="4B5A6368" w14:textId="77777777" w:rsidR="00B02375" w:rsidRPr="00B02375" w:rsidRDefault="00B02375" w:rsidP="008E2018">
            <w:pPr>
              <w:jc w:val="center"/>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lastRenderedPageBreak/>
              <w:t>FU400</w:t>
            </w:r>
          </w:p>
        </w:tc>
        <w:tc>
          <w:tcPr>
            <w:tcW w:w="0" w:type="auto"/>
            <w:hideMark/>
          </w:tcPr>
          <w:p w14:paraId="65A46F63" w14:textId="77777777" w:rsidR="00B02375" w:rsidRPr="00B02375" w:rsidRDefault="00B02375" w:rsidP="008E20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30.5 ± 1.7**</w:t>
            </w:r>
          </w:p>
        </w:tc>
      </w:tr>
    </w:tbl>
    <w:p w14:paraId="157BE7ED" w14:textId="77777777" w:rsidR="00B02375" w:rsidRPr="00B02375" w:rsidRDefault="00B02375" w:rsidP="00B02375">
      <w:pPr>
        <w:spacing w:before="100" w:beforeAutospacing="1" w:after="100" w:afterAutospacing="1" w:line="24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b/>
          <w:bCs/>
          <w:color w:val="000000" w:themeColor="text1"/>
          <w:kern w:val="0"/>
          <w:sz w:val="20"/>
          <w:szCs w:val="20"/>
          <w:lang w:eastAsia="fr-FR"/>
          <w14:ligatures w14:val="none"/>
        </w:rPr>
        <w:t>Note:</w:t>
      </w:r>
      <w:r w:rsidRPr="00B02375">
        <w:rPr>
          <w:rFonts w:ascii="Arial" w:eastAsia="Times New Roman" w:hAnsi="Arial" w:cs="Arial"/>
          <w:color w:val="000000" w:themeColor="text1"/>
          <w:kern w:val="0"/>
          <w:sz w:val="20"/>
          <w:szCs w:val="20"/>
          <w:lang w:eastAsia="fr-FR"/>
          <w14:ligatures w14:val="none"/>
        </w:rPr>
        <w:t xml:space="preserve"> *p &lt; 0.05; **p &lt; 0.01 vs TS</w:t>
      </w:r>
    </w:p>
    <w:p w14:paraId="4D7D1C94" w14:textId="77777777"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The activity of superoxide dismutase (SOD), a key enzyme in the first line of defense against reactive oxygen species (ROS), was significantly impaired by the high-fat diet. In healthy control rats (TS), hepatic SOD activity was measured at 32.4 ± 2.1 U/mg protein, indicating normal function of the enzymatic antioxidant system. In contrast, untreated obese rats (ONT) showed a marked reduction in this activity, with values dropping to 20.3 ± 1.8 U/mg (p &lt; 0.01 vs TS), reflecting oxidative overload and impaired antioxidant defenses.</w:t>
      </w:r>
    </w:p>
    <w:p w14:paraId="53BE3D6B" w14:textId="77777777" w:rsid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 xml:space="preserve">Treatment with </w:t>
      </w:r>
      <w:r w:rsidRPr="00B02375">
        <w:rPr>
          <w:rFonts w:ascii="Arial" w:eastAsia="Times New Roman" w:hAnsi="Arial" w:cs="Arial"/>
          <w:i/>
          <w:iCs/>
          <w:color w:val="000000" w:themeColor="text1"/>
          <w:kern w:val="0"/>
          <w:sz w:val="20"/>
          <w:szCs w:val="20"/>
          <w:lang w:eastAsia="fr-FR"/>
          <w14:ligatures w14:val="none"/>
        </w:rPr>
        <w:t>F. umbellata</w:t>
      </w:r>
      <w:r w:rsidRPr="00B02375">
        <w:rPr>
          <w:rFonts w:ascii="Arial" w:eastAsia="Times New Roman" w:hAnsi="Arial" w:cs="Arial"/>
          <w:color w:val="000000" w:themeColor="text1"/>
          <w:kern w:val="0"/>
          <w:sz w:val="20"/>
          <w:szCs w:val="20"/>
          <w:lang w:eastAsia="fr-FR"/>
          <w14:ligatures w14:val="none"/>
        </w:rPr>
        <w:t xml:space="preserve"> extract led to a dose-dependent restoration of SOD activity. In the group treated with 200 mg/kg (FU200), SOD activity significantly increased to 26.8 ± 2.0 U/mg (p &lt; 0.05 vs ONT), indicating a partial protective effect against hepatic oxidative stress. The effect was more pronounced in the FU400 group, where enzymatic activity rose to 30.5 ± 1.7 U/mg (p &lt; 0.01 vs ONT), approaching the levels observed in non-obese control animals. These findings suggest that </w:t>
      </w:r>
      <w:r w:rsidRPr="00B02375">
        <w:rPr>
          <w:rFonts w:ascii="Arial" w:eastAsia="Times New Roman" w:hAnsi="Arial" w:cs="Arial"/>
          <w:i/>
          <w:iCs/>
          <w:color w:val="000000" w:themeColor="text1"/>
          <w:kern w:val="0"/>
          <w:sz w:val="20"/>
          <w:szCs w:val="20"/>
          <w:lang w:eastAsia="fr-FR"/>
          <w14:ligatures w14:val="none"/>
        </w:rPr>
        <w:t>Ficus umbellata</w:t>
      </w:r>
      <w:r w:rsidRPr="00B02375">
        <w:rPr>
          <w:rFonts w:ascii="Arial" w:eastAsia="Times New Roman" w:hAnsi="Arial" w:cs="Arial"/>
          <w:color w:val="000000" w:themeColor="text1"/>
          <w:kern w:val="0"/>
          <w:sz w:val="20"/>
          <w:szCs w:val="20"/>
          <w:lang w:eastAsia="fr-FR"/>
          <w14:ligatures w14:val="none"/>
        </w:rPr>
        <w:t xml:space="preserve"> extract, particularly at high doses, possesses notable antioxidant properties capable of restoring enzymatic activities disrupted by obesity, thereby contributing to liver protection against oxidative damage.</w:t>
      </w:r>
    </w:p>
    <w:p w14:paraId="65657E01" w14:textId="77777777" w:rsid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p>
    <w:p w14:paraId="584EED18" w14:textId="77777777" w:rsid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p>
    <w:p w14:paraId="23DB8407" w14:textId="77777777"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p>
    <w:bookmarkEnd w:id="4"/>
    <w:p w14:paraId="4447220A" w14:textId="77777777"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p>
    <w:p w14:paraId="77F1B03F" w14:textId="77777777" w:rsidR="00B02375" w:rsidRPr="00B02375" w:rsidRDefault="00B02375" w:rsidP="00B02375">
      <w:pPr>
        <w:pStyle w:val="ListParagraph"/>
        <w:numPr>
          <w:ilvl w:val="3"/>
          <w:numId w:val="4"/>
        </w:numPr>
        <w:rPr>
          <w:rFonts w:ascii="Arial" w:eastAsia="Times New Roman" w:hAnsi="Arial" w:cs="Arial"/>
          <w:b/>
          <w:bCs/>
          <w:i/>
          <w:iCs/>
          <w:color w:val="000000" w:themeColor="text1"/>
          <w:kern w:val="0"/>
          <w:sz w:val="20"/>
          <w:szCs w:val="20"/>
          <w:lang w:eastAsia="fr-FR"/>
          <w14:ligatures w14:val="none"/>
        </w:rPr>
      </w:pPr>
      <w:r w:rsidRPr="00B02375">
        <w:rPr>
          <w:rFonts w:ascii="Arial" w:eastAsia="Times New Roman" w:hAnsi="Arial" w:cs="Arial"/>
          <w:b/>
          <w:bCs/>
          <w:i/>
          <w:iCs/>
          <w:color w:val="000000" w:themeColor="text1"/>
          <w:kern w:val="0"/>
          <w:sz w:val="20"/>
          <w:szCs w:val="20"/>
          <w:lang w:eastAsia="fr-FR"/>
          <w14:ligatures w14:val="none"/>
        </w:rPr>
        <w:t>Catalase (CAT, µmol H</w:t>
      </w:r>
      <w:r w:rsidRPr="00B02375">
        <w:rPr>
          <w:rFonts w:ascii="Cambria Math" w:eastAsia="Times New Roman" w:hAnsi="Cambria Math" w:cs="Cambria Math"/>
          <w:b/>
          <w:bCs/>
          <w:i/>
          <w:iCs/>
          <w:color w:val="000000" w:themeColor="text1"/>
          <w:kern w:val="0"/>
          <w:sz w:val="20"/>
          <w:szCs w:val="20"/>
          <w:lang w:eastAsia="fr-FR"/>
          <w14:ligatures w14:val="none"/>
        </w:rPr>
        <w:t>₂</w:t>
      </w:r>
      <w:r w:rsidRPr="00B02375">
        <w:rPr>
          <w:rFonts w:ascii="Arial" w:eastAsia="Times New Roman" w:hAnsi="Arial" w:cs="Arial"/>
          <w:b/>
          <w:bCs/>
          <w:i/>
          <w:iCs/>
          <w:color w:val="000000" w:themeColor="text1"/>
          <w:kern w:val="0"/>
          <w:sz w:val="20"/>
          <w:szCs w:val="20"/>
          <w:lang w:eastAsia="fr-FR"/>
          <w14:ligatures w14:val="none"/>
        </w:rPr>
        <w:t>O</w:t>
      </w:r>
      <w:r w:rsidRPr="00B02375">
        <w:rPr>
          <w:rFonts w:ascii="Cambria Math" w:eastAsia="Times New Roman" w:hAnsi="Cambria Math" w:cs="Cambria Math"/>
          <w:b/>
          <w:bCs/>
          <w:i/>
          <w:iCs/>
          <w:color w:val="000000" w:themeColor="text1"/>
          <w:kern w:val="0"/>
          <w:sz w:val="20"/>
          <w:szCs w:val="20"/>
          <w:lang w:eastAsia="fr-FR"/>
          <w14:ligatures w14:val="none"/>
        </w:rPr>
        <w:t>₂</w:t>
      </w:r>
      <w:r w:rsidRPr="00B02375">
        <w:rPr>
          <w:rFonts w:ascii="Arial" w:eastAsia="Times New Roman" w:hAnsi="Arial" w:cs="Arial"/>
          <w:b/>
          <w:bCs/>
          <w:i/>
          <w:iCs/>
          <w:color w:val="000000" w:themeColor="text1"/>
          <w:kern w:val="0"/>
          <w:sz w:val="20"/>
          <w:szCs w:val="20"/>
          <w:lang w:eastAsia="fr-FR"/>
          <w14:ligatures w14:val="none"/>
        </w:rPr>
        <w:t>/min/mg protein)</w:t>
      </w:r>
    </w:p>
    <w:p w14:paraId="0E036031" w14:textId="77777777" w:rsidR="00B02375" w:rsidRPr="00B02375" w:rsidRDefault="00B02375" w:rsidP="00B02375">
      <w:pPr>
        <w:rPr>
          <w:rFonts w:ascii="Arial" w:eastAsia="Times New Roman" w:hAnsi="Arial" w:cs="Arial"/>
          <w:b/>
          <w:bCs/>
          <w:color w:val="000000" w:themeColor="text1"/>
          <w:kern w:val="0"/>
          <w:sz w:val="20"/>
          <w:szCs w:val="20"/>
          <w:lang w:eastAsia="fr-FR"/>
          <w14:ligatures w14:val="none"/>
        </w:rPr>
      </w:pPr>
      <w:r w:rsidRPr="00B02375">
        <w:rPr>
          <w:rFonts w:ascii="Arial" w:eastAsia="Times New Roman" w:hAnsi="Arial" w:cs="Arial"/>
          <w:b/>
          <w:bCs/>
          <w:color w:val="000000" w:themeColor="text1"/>
          <w:kern w:val="0"/>
          <w:sz w:val="20"/>
          <w:szCs w:val="20"/>
          <w:lang w:eastAsia="fr-FR"/>
          <w14:ligatures w14:val="none"/>
        </w:rPr>
        <w:t>Table 6. Hepatic Catalase (CAT) Activity</w:t>
      </w:r>
    </w:p>
    <w:tbl>
      <w:tblPr>
        <w:tblStyle w:val="PlainTable2"/>
        <w:tblW w:w="9024" w:type="dxa"/>
        <w:tblLook w:val="04A0" w:firstRow="1" w:lastRow="0" w:firstColumn="1" w:lastColumn="0" w:noHBand="0" w:noVBand="1"/>
      </w:tblPr>
      <w:tblGrid>
        <w:gridCol w:w="1760"/>
        <w:gridCol w:w="7264"/>
      </w:tblGrid>
      <w:tr w:rsidR="00B02375" w:rsidRPr="002067BF" w14:paraId="20BFC082" w14:textId="77777777" w:rsidTr="008E2018">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0" w:type="auto"/>
            <w:hideMark/>
          </w:tcPr>
          <w:p w14:paraId="328E02A8" w14:textId="77777777" w:rsidR="00B02375" w:rsidRPr="00B02375" w:rsidRDefault="00B02375" w:rsidP="008E2018">
            <w:pPr>
              <w:jc w:val="center"/>
              <w:rPr>
                <w:rFonts w:ascii="Arial" w:eastAsia="Times New Roman" w:hAnsi="Arial" w:cs="Arial"/>
                <w:b w:val="0"/>
                <w:bCs w:val="0"/>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Group</w:t>
            </w:r>
          </w:p>
        </w:tc>
        <w:tc>
          <w:tcPr>
            <w:tcW w:w="0" w:type="auto"/>
            <w:hideMark/>
          </w:tcPr>
          <w:p w14:paraId="0D08AC1E" w14:textId="77777777" w:rsidR="00B02375" w:rsidRPr="002067BF" w:rsidRDefault="00B02375" w:rsidP="008E201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kern w:val="0"/>
                <w:sz w:val="20"/>
                <w:szCs w:val="20"/>
                <w:lang w:val="da-DK" w:eastAsia="fr-FR"/>
                <w14:ligatures w14:val="none"/>
              </w:rPr>
            </w:pPr>
            <w:r w:rsidRPr="002067BF">
              <w:rPr>
                <w:rFonts w:ascii="Arial" w:eastAsia="Times New Roman" w:hAnsi="Arial" w:cs="Arial"/>
                <w:color w:val="000000" w:themeColor="text1"/>
                <w:kern w:val="0"/>
                <w:sz w:val="20"/>
                <w:szCs w:val="20"/>
                <w:lang w:val="da-DK" w:eastAsia="fr-FR"/>
                <w14:ligatures w14:val="none"/>
              </w:rPr>
              <w:t>Liver (µmol H</w:t>
            </w:r>
            <w:r w:rsidRPr="002067BF">
              <w:rPr>
                <w:rFonts w:ascii="Cambria Math" w:eastAsia="Times New Roman" w:hAnsi="Cambria Math" w:cs="Cambria Math"/>
                <w:color w:val="000000" w:themeColor="text1"/>
                <w:kern w:val="0"/>
                <w:sz w:val="20"/>
                <w:szCs w:val="20"/>
                <w:lang w:val="da-DK" w:eastAsia="fr-FR"/>
                <w14:ligatures w14:val="none"/>
              </w:rPr>
              <w:t>₂</w:t>
            </w:r>
            <w:r w:rsidRPr="002067BF">
              <w:rPr>
                <w:rFonts w:ascii="Arial" w:eastAsia="Times New Roman" w:hAnsi="Arial" w:cs="Arial"/>
                <w:color w:val="000000" w:themeColor="text1"/>
                <w:kern w:val="0"/>
                <w:sz w:val="20"/>
                <w:szCs w:val="20"/>
                <w:lang w:val="da-DK" w:eastAsia="fr-FR"/>
                <w14:ligatures w14:val="none"/>
              </w:rPr>
              <w:t>O</w:t>
            </w:r>
            <w:r w:rsidRPr="002067BF">
              <w:rPr>
                <w:rFonts w:ascii="Cambria Math" w:eastAsia="Times New Roman" w:hAnsi="Cambria Math" w:cs="Cambria Math"/>
                <w:color w:val="000000" w:themeColor="text1"/>
                <w:kern w:val="0"/>
                <w:sz w:val="20"/>
                <w:szCs w:val="20"/>
                <w:lang w:val="da-DK" w:eastAsia="fr-FR"/>
                <w14:ligatures w14:val="none"/>
              </w:rPr>
              <w:t>₂</w:t>
            </w:r>
            <w:r w:rsidRPr="002067BF">
              <w:rPr>
                <w:rFonts w:ascii="Arial" w:eastAsia="Times New Roman" w:hAnsi="Arial" w:cs="Arial"/>
                <w:color w:val="000000" w:themeColor="text1"/>
                <w:kern w:val="0"/>
                <w:sz w:val="20"/>
                <w:szCs w:val="20"/>
                <w:lang w:val="da-DK" w:eastAsia="fr-FR"/>
                <w14:ligatures w14:val="none"/>
              </w:rPr>
              <w:t>/min/mg protein)</w:t>
            </w:r>
          </w:p>
        </w:tc>
      </w:tr>
      <w:tr w:rsidR="00B02375" w:rsidRPr="00B02375" w14:paraId="116A749F" w14:textId="77777777" w:rsidTr="008E2018">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0" w:type="auto"/>
            <w:hideMark/>
          </w:tcPr>
          <w:p w14:paraId="77490B3F" w14:textId="77777777" w:rsidR="00B02375" w:rsidRPr="00B02375" w:rsidRDefault="00B02375" w:rsidP="008E2018">
            <w:pPr>
              <w:jc w:val="center"/>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TS</w:t>
            </w:r>
          </w:p>
        </w:tc>
        <w:tc>
          <w:tcPr>
            <w:tcW w:w="0" w:type="auto"/>
            <w:hideMark/>
          </w:tcPr>
          <w:p w14:paraId="48416FCA" w14:textId="77777777" w:rsidR="00B02375" w:rsidRPr="00B02375" w:rsidRDefault="00B02375" w:rsidP="008E20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55.3 ± 3.2</w:t>
            </w:r>
          </w:p>
        </w:tc>
      </w:tr>
      <w:tr w:rsidR="00B02375" w:rsidRPr="00B02375" w14:paraId="11030535" w14:textId="77777777" w:rsidTr="008E2018">
        <w:trPr>
          <w:trHeight w:val="450"/>
        </w:trPr>
        <w:tc>
          <w:tcPr>
            <w:cnfStyle w:val="001000000000" w:firstRow="0" w:lastRow="0" w:firstColumn="1" w:lastColumn="0" w:oddVBand="0" w:evenVBand="0" w:oddHBand="0" w:evenHBand="0" w:firstRowFirstColumn="0" w:firstRowLastColumn="0" w:lastRowFirstColumn="0" w:lastRowLastColumn="0"/>
            <w:tcW w:w="0" w:type="auto"/>
            <w:hideMark/>
          </w:tcPr>
          <w:p w14:paraId="3C08C23E" w14:textId="77777777" w:rsidR="00B02375" w:rsidRPr="00B02375" w:rsidRDefault="00B02375" w:rsidP="008E2018">
            <w:pPr>
              <w:jc w:val="center"/>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ONT</w:t>
            </w:r>
          </w:p>
        </w:tc>
        <w:tc>
          <w:tcPr>
            <w:tcW w:w="0" w:type="auto"/>
            <w:hideMark/>
          </w:tcPr>
          <w:p w14:paraId="37108D21" w14:textId="77777777" w:rsidR="00B02375" w:rsidRPr="00B02375" w:rsidRDefault="00B02375" w:rsidP="008E20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39.6 ± 2.7**</w:t>
            </w:r>
          </w:p>
        </w:tc>
      </w:tr>
      <w:tr w:rsidR="00B02375" w:rsidRPr="00B02375" w14:paraId="023B84C2" w14:textId="77777777" w:rsidTr="008E2018">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0" w:type="auto"/>
            <w:hideMark/>
          </w:tcPr>
          <w:p w14:paraId="3BEB6A0B" w14:textId="77777777" w:rsidR="00B02375" w:rsidRPr="00B02375" w:rsidRDefault="00B02375" w:rsidP="008E2018">
            <w:pPr>
              <w:jc w:val="center"/>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FU200</w:t>
            </w:r>
          </w:p>
        </w:tc>
        <w:tc>
          <w:tcPr>
            <w:tcW w:w="0" w:type="auto"/>
            <w:hideMark/>
          </w:tcPr>
          <w:p w14:paraId="514FECC8" w14:textId="77777777" w:rsidR="00B02375" w:rsidRPr="00B02375" w:rsidRDefault="00B02375" w:rsidP="008E20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47.8 ± 3.1*</w:t>
            </w:r>
          </w:p>
        </w:tc>
      </w:tr>
      <w:tr w:rsidR="00B02375" w:rsidRPr="00B02375" w14:paraId="229698BA" w14:textId="77777777" w:rsidTr="008E2018">
        <w:trPr>
          <w:trHeight w:val="450"/>
        </w:trPr>
        <w:tc>
          <w:tcPr>
            <w:cnfStyle w:val="001000000000" w:firstRow="0" w:lastRow="0" w:firstColumn="1" w:lastColumn="0" w:oddVBand="0" w:evenVBand="0" w:oddHBand="0" w:evenHBand="0" w:firstRowFirstColumn="0" w:firstRowLastColumn="0" w:lastRowFirstColumn="0" w:lastRowLastColumn="0"/>
            <w:tcW w:w="0" w:type="auto"/>
            <w:hideMark/>
          </w:tcPr>
          <w:p w14:paraId="4060C09F" w14:textId="77777777" w:rsidR="00B02375" w:rsidRPr="00B02375" w:rsidRDefault="00B02375" w:rsidP="008E2018">
            <w:pPr>
              <w:jc w:val="center"/>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FU400</w:t>
            </w:r>
          </w:p>
        </w:tc>
        <w:tc>
          <w:tcPr>
            <w:tcW w:w="0" w:type="auto"/>
            <w:hideMark/>
          </w:tcPr>
          <w:p w14:paraId="5ACA6BCE" w14:textId="77777777" w:rsidR="00B02375" w:rsidRPr="00B02375" w:rsidRDefault="00B02375" w:rsidP="008E20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53.1 ± 2.9**</w:t>
            </w:r>
          </w:p>
        </w:tc>
      </w:tr>
    </w:tbl>
    <w:p w14:paraId="066DD7B6" w14:textId="77777777" w:rsidR="00B02375" w:rsidRPr="00B02375" w:rsidRDefault="00B02375" w:rsidP="00B02375">
      <w:pPr>
        <w:spacing w:before="100" w:beforeAutospacing="1" w:after="100" w:afterAutospacing="1" w:line="240" w:lineRule="auto"/>
        <w:jc w:val="center"/>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b/>
          <w:bCs/>
          <w:color w:val="000000" w:themeColor="text1"/>
          <w:kern w:val="0"/>
          <w:sz w:val="20"/>
          <w:szCs w:val="20"/>
          <w:lang w:eastAsia="fr-FR"/>
          <w14:ligatures w14:val="none"/>
        </w:rPr>
        <w:t>Note:</w:t>
      </w:r>
      <w:r w:rsidRPr="00B02375">
        <w:rPr>
          <w:rFonts w:ascii="Arial" w:eastAsia="Times New Roman" w:hAnsi="Arial" w:cs="Arial"/>
          <w:color w:val="000000" w:themeColor="text1"/>
          <w:kern w:val="0"/>
          <w:sz w:val="20"/>
          <w:szCs w:val="20"/>
          <w:lang w:eastAsia="fr-FR"/>
          <w14:ligatures w14:val="none"/>
        </w:rPr>
        <w:t xml:space="preserve"> *p &lt; 0.05; **p &lt; 0.01 vs TS</w:t>
      </w:r>
    </w:p>
    <w:p w14:paraId="3EF9272D" w14:textId="77777777"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Catalase (CAT) activity, a key antioxidant enzyme involved in the breakdown of hydrogen peroxide (H</w:t>
      </w:r>
      <w:r w:rsidRPr="00B02375">
        <w:rPr>
          <w:rFonts w:ascii="Cambria Math" w:eastAsia="Times New Roman" w:hAnsi="Cambria Math" w:cs="Cambria Math"/>
          <w:color w:val="000000" w:themeColor="text1"/>
          <w:kern w:val="0"/>
          <w:sz w:val="20"/>
          <w:szCs w:val="20"/>
          <w:lang w:eastAsia="fr-FR"/>
          <w14:ligatures w14:val="none"/>
        </w:rPr>
        <w:t>₂</w:t>
      </w:r>
      <w:r w:rsidRPr="00B02375">
        <w:rPr>
          <w:rFonts w:ascii="Arial" w:eastAsia="Times New Roman" w:hAnsi="Arial" w:cs="Arial"/>
          <w:color w:val="000000" w:themeColor="text1"/>
          <w:kern w:val="0"/>
          <w:sz w:val="20"/>
          <w:szCs w:val="20"/>
          <w:lang w:eastAsia="fr-FR"/>
          <w14:ligatures w14:val="none"/>
        </w:rPr>
        <w:t>O</w:t>
      </w:r>
      <w:r w:rsidRPr="00B02375">
        <w:rPr>
          <w:rFonts w:ascii="Cambria Math" w:eastAsia="Times New Roman" w:hAnsi="Cambria Math" w:cs="Cambria Math"/>
          <w:color w:val="000000" w:themeColor="text1"/>
          <w:kern w:val="0"/>
          <w:sz w:val="20"/>
          <w:szCs w:val="20"/>
          <w:lang w:eastAsia="fr-FR"/>
          <w14:ligatures w14:val="none"/>
        </w:rPr>
        <w:t>₂</w:t>
      </w:r>
      <w:r w:rsidRPr="00B02375">
        <w:rPr>
          <w:rFonts w:ascii="Arial" w:eastAsia="Times New Roman" w:hAnsi="Arial" w:cs="Arial"/>
          <w:color w:val="000000" w:themeColor="text1"/>
          <w:kern w:val="0"/>
          <w:sz w:val="20"/>
          <w:szCs w:val="20"/>
          <w:lang w:eastAsia="fr-FR"/>
          <w14:ligatures w14:val="none"/>
        </w:rPr>
        <w:t>), showed significant variations across experimental groups. In healthy control rats (TS), hepatic CAT activity was measured at 55.3 ± 3.2 µmol H</w:t>
      </w:r>
      <w:r w:rsidRPr="00B02375">
        <w:rPr>
          <w:rFonts w:ascii="Cambria Math" w:eastAsia="Times New Roman" w:hAnsi="Cambria Math" w:cs="Cambria Math"/>
          <w:color w:val="000000" w:themeColor="text1"/>
          <w:kern w:val="0"/>
          <w:sz w:val="20"/>
          <w:szCs w:val="20"/>
          <w:lang w:eastAsia="fr-FR"/>
          <w14:ligatures w14:val="none"/>
        </w:rPr>
        <w:t>₂</w:t>
      </w:r>
      <w:r w:rsidRPr="00B02375">
        <w:rPr>
          <w:rFonts w:ascii="Arial" w:eastAsia="Times New Roman" w:hAnsi="Arial" w:cs="Arial"/>
          <w:color w:val="000000" w:themeColor="text1"/>
          <w:kern w:val="0"/>
          <w:sz w:val="20"/>
          <w:szCs w:val="20"/>
          <w:lang w:eastAsia="fr-FR"/>
          <w14:ligatures w14:val="none"/>
        </w:rPr>
        <w:t>O</w:t>
      </w:r>
      <w:r w:rsidRPr="00B02375">
        <w:rPr>
          <w:rFonts w:ascii="Cambria Math" w:eastAsia="Times New Roman" w:hAnsi="Cambria Math" w:cs="Cambria Math"/>
          <w:color w:val="000000" w:themeColor="text1"/>
          <w:kern w:val="0"/>
          <w:sz w:val="20"/>
          <w:szCs w:val="20"/>
          <w:lang w:eastAsia="fr-FR"/>
          <w14:ligatures w14:val="none"/>
        </w:rPr>
        <w:t>₂</w:t>
      </w:r>
      <w:r w:rsidRPr="00B02375">
        <w:rPr>
          <w:rFonts w:ascii="Arial" w:eastAsia="Times New Roman" w:hAnsi="Arial" w:cs="Arial"/>
          <w:color w:val="000000" w:themeColor="text1"/>
          <w:kern w:val="0"/>
          <w:sz w:val="20"/>
          <w:szCs w:val="20"/>
          <w:lang w:eastAsia="fr-FR"/>
          <w14:ligatures w14:val="none"/>
        </w:rPr>
        <w:t>/min/mg protein, indicating effective detoxification capacity against reactive oxygen species. In contrast, untreated obese rats (ONT), fed a high-fat diet, exhibited a significant reduction in CAT activity, reaching 39.6 ± 2.7 (p &lt; 0.01 vs TS). This decline reflects pronounced oxidative stress and impaired enzymatic defense.</w:t>
      </w:r>
    </w:p>
    <w:p w14:paraId="7760BCD1" w14:textId="77777777"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lastRenderedPageBreak/>
        <w:t xml:space="preserve">Administration of </w:t>
      </w:r>
      <w:r w:rsidRPr="00B02375">
        <w:rPr>
          <w:rFonts w:ascii="Arial" w:eastAsia="Times New Roman" w:hAnsi="Arial" w:cs="Arial"/>
          <w:i/>
          <w:iCs/>
          <w:color w:val="000000" w:themeColor="text1"/>
          <w:kern w:val="0"/>
          <w:sz w:val="20"/>
          <w:szCs w:val="20"/>
          <w:lang w:eastAsia="fr-FR"/>
          <w14:ligatures w14:val="none"/>
        </w:rPr>
        <w:t>F. umbellata</w:t>
      </w:r>
      <w:r w:rsidRPr="00B02375">
        <w:rPr>
          <w:rFonts w:ascii="Arial" w:eastAsia="Times New Roman" w:hAnsi="Arial" w:cs="Arial"/>
          <w:color w:val="000000" w:themeColor="text1"/>
          <w:kern w:val="0"/>
          <w:sz w:val="20"/>
          <w:szCs w:val="20"/>
          <w:lang w:eastAsia="fr-FR"/>
          <w14:ligatures w14:val="none"/>
        </w:rPr>
        <w:t xml:space="preserve"> extract led to a dose-dependent improvement in catalase activity. Rats in the FU200 group (200 mg/kg) showed an increase in CAT activity to 47.8 ± 3.1 (p &lt; 0.05 vs ONT), while those in the FU400 group (400 mg/kg) displayed near-normal levels of 53.1 ± 2.9 µmol H</w:t>
      </w:r>
      <w:r w:rsidRPr="00B02375">
        <w:rPr>
          <w:rFonts w:ascii="Cambria Math" w:eastAsia="Times New Roman" w:hAnsi="Cambria Math" w:cs="Cambria Math"/>
          <w:color w:val="000000" w:themeColor="text1"/>
          <w:kern w:val="0"/>
          <w:sz w:val="20"/>
          <w:szCs w:val="20"/>
          <w:lang w:eastAsia="fr-FR"/>
          <w14:ligatures w14:val="none"/>
        </w:rPr>
        <w:t>₂</w:t>
      </w:r>
      <w:r w:rsidRPr="00B02375">
        <w:rPr>
          <w:rFonts w:ascii="Arial" w:eastAsia="Times New Roman" w:hAnsi="Arial" w:cs="Arial"/>
          <w:color w:val="000000" w:themeColor="text1"/>
          <w:kern w:val="0"/>
          <w:sz w:val="20"/>
          <w:szCs w:val="20"/>
          <w:lang w:eastAsia="fr-FR"/>
          <w14:ligatures w14:val="none"/>
        </w:rPr>
        <w:t>O</w:t>
      </w:r>
      <w:r w:rsidRPr="00B02375">
        <w:rPr>
          <w:rFonts w:ascii="Cambria Math" w:eastAsia="Times New Roman" w:hAnsi="Cambria Math" w:cs="Cambria Math"/>
          <w:color w:val="000000" w:themeColor="text1"/>
          <w:kern w:val="0"/>
          <w:sz w:val="20"/>
          <w:szCs w:val="20"/>
          <w:lang w:eastAsia="fr-FR"/>
          <w14:ligatures w14:val="none"/>
        </w:rPr>
        <w:t>₂</w:t>
      </w:r>
      <w:r w:rsidRPr="00B02375">
        <w:rPr>
          <w:rFonts w:ascii="Arial" w:eastAsia="Times New Roman" w:hAnsi="Arial" w:cs="Arial"/>
          <w:color w:val="000000" w:themeColor="text1"/>
          <w:kern w:val="0"/>
          <w:sz w:val="20"/>
          <w:szCs w:val="20"/>
          <w:lang w:eastAsia="fr-FR"/>
          <w14:ligatures w14:val="none"/>
        </w:rPr>
        <w:t>/min/mg (p &lt; 0.01 vs ONT).</w:t>
      </w:r>
    </w:p>
    <w:p w14:paraId="5538851A" w14:textId="77777777"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 xml:space="preserve">These findings further support the hypothesis that </w:t>
      </w:r>
      <w:r w:rsidRPr="00B02375">
        <w:rPr>
          <w:rFonts w:ascii="Arial" w:eastAsia="Times New Roman" w:hAnsi="Arial" w:cs="Arial"/>
          <w:i/>
          <w:iCs/>
          <w:color w:val="000000" w:themeColor="text1"/>
          <w:kern w:val="0"/>
          <w:sz w:val="20"/>
          <w:szCs w:val="20"/>
          <w:lang w:eastAsia="fr-FR"/>
          <w14:ligatures w14:val="none"/>
        </w:rPr>
        <w:t>F. umbellata</w:t>
      </w:r>
      <w:r w:rsidRPr="00B02375">
        <w:rPr>
          <w:rFonts w:ascii="Arial" w:eastAsia="Times New Roman" w:hAnsi="Arial" w:cs="Arial"/>
          <w:color w:val="000000" w:themeColor="text1"/>
          <w:kern w:val="0"/>
          <w:sz w:val="20"/>
          <w:szCs w:val="20"/>
          <w:lang w:eastAsia="fr-FR"/>
          <w14:ligatures w14:val="none"/>
        </w:rPr>
        <w:t xml:space="preserve"> exerts significant antioxidant effects, particularly by restoring the activity of defense enzymes such as catalase, thereby helping to mitigate oxidative stress-related damage induced by obesity.</w:t>
      </w:r>
    </w:p>
    <w:p w14:paraId="745714ED" w14:textId="77777777" w:rsidR="00B02375" w:rsidRPr="00B02375" w:rsidRDefault="00B02375" w:rsidP="00B02375">
      <w:pPr>
        <w:spacing w:after="0" w:line="360" w:lineRule="auto"/>
        <w:jc w:val="both"/>
        <w:rPr>
          <w:rFonts w:ascii="Arial" w:eastAsia="Times New Roman" w:hAnsi="Arial" w:cs="Arial"/>
          <w:color w:val="000000" w:themeColor="text1"/>
          <w:kern w:val="0"/>
          <w:lang w:eastAsia="fr-FR"/>
          <w14:ligatures w14:val="none"/>
        </w:rPr>
      </w:pPr>
    </w:p>
    <w:p w14:paraId="4BCACA2C" w14:textId="77777777" w:rsidR="00B02375" w:rsidRPr="00B02375" w:rsidRDefault="00B02375" w:rsidP="00B02375">
      <w:pPr>
        <w:pStyle w:val="ListParagraph"/>
        <w:numPr>
          <w:ilvl w:val="1"/>
          <w:numId w:val="4"/>
        </w:numPr>
        <w:spacing w:after="0" w:line="360" w:lineRule="auto"/>
        <w:rPr>
          <w:rFonts w:ascii="Arial" w:eastAsia="Times New Roman" w:hAnsi="Arial" w:cs="Arial"/>
          <w:b/>
          <w:bCs/>
          <w:color w:val="000000" w:themeColor="text1"/>
          <w:kern w:val="0"/>
          <w:sz w:val="22"/>
          <w:szCs w:val="22"/>
          <w:lang w:eastAsia="fr-FR"/>
          <w14:ligatures w14:val="none"/>
        </w:rPr>
      </w:pPr>
      <w:r w:rsidRPr="00B02375">
        <w:rPr>
          <w:rFonts w:ascii="Arial" w:eastAsia="Times New Roman" w:hAnsi="Arial" w:cs="Arial"/>
          <w:b/>
          <w:bCs/>
          <w:color w:val="000000" w:themeColor="text1"/>
          <w:kern w:val="0"/>
          <w:sz w:val="22"/>
          <w:szCs w:val="22"/>
          <w:lang w:eastAsia="fr-FR"/>
          <w14:ligatures w14:val="none"/>
        </w:rPr>
        <w:t>DISCUSSION</w:t>
      </w:r>
    </w:p>
    <w:p w14:paraId="3DBAE069" w14:textId="77777777"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p>
    <w:p w14:paraId="45400199" w14:textId="77777777" w:rsidR="00B02375" w:rsidRPr="002067BF" w:rsidRDefault="00B02375" w:rsidP="00B02375">
      <w:pPr>
        <w:spacing w:after="0" w:line="360" w:lineRule="auto"/>
        <w:jc w:val="both"/>
        <w:rPr>
          <w:rFonts w:ascii="Arial" w:eastAsia="Times New Roman" w:hAnsi="Arial" w:cs="Arial"/>
          <w:color w:val="000000" w:themeColor="text1"/>
          <w:kern w:val="0"/>
          <w:sz w:val="20"/>
          <w:szCs w:val="20"/>
          <w:lang w:val="da-DK" w:eastAsia="fr-FR"/>
          <w14:ligatures w14:val="none"/>
        </w:rPr>
      </w:pPr>
      <w:r w:rsidRPr="00B02375">
        <w:rPr>
          <w:rFonts w:ascii="Arial" w:eastAsia="Times New Roman" w:hAnsi="Arial" w:cs="Arial"/>
          <w:color w:val="000000" w:themeColor="text1"/>
          <w:kern w:val="0"/>
          <w:sz w:val="20"/>
          <w:szCs w:val="20"/>
          <w:lang w:eastAsia="fr-FR"/>
          <w14:ligatures w14:val="none"/>
        </w:rPr>
        <w:t>Obesity is a chronic metabolic disorder characterized by excessive accumulation of adipose tissue, often triggered by diets rich in fats and calories</w:t>
      </w:r>
      <w:r w:rsidRPr="00B02375">
        <w:rPr>
          <w:color w:val="000000" w:themeColor="text1"/>
        </w:rPr>
        <w:t xml:space="preserve"> (</w:t>
      </w:r>
      <w:r w:rsidRPr="00B02375">
        <w:rPr>
          <w:rFonts w:ascii="Arial" w:eastAsia="Times New Roman" w:hAnsi="Arial" w:cs="Arial"/>
          <w:color w:val="000000" w:themeColor="text1"/>
          <w:kern w:val="0"/>
          <w:sz w:val="20"/>
          <w:szCs w:val="20"/>
          <w:lang w:eastAsia="fr-FR"/>
          <w14:ligatures w14:val="none"/>
        </w:rPr>
        <w:t xml:space="preserve">Marques et al., 2016). In this study, the administration of a high-fat diet successfully induced experimental obesity in rats, as evidenced by the significant increase in body weight and Lee index in the untreated obese group (ONT) compared to the healthy control group (TS). </w:t>
      </w:r>
      <w:r w:rsidRPr="00B02375">
        <w:rPr>
          <w:rFonts w:ascii="Arial" w:eastAsia="Times New Roman" w:hAnsi="Arial" w:cs="Arial"/>
          <w:color w:val="000000" w:themeColor="text1"/>
          <w:kern w:val="0"/>
          <w:sz w:val="20"/>
          <w:szCs w:val="20"/>
          <w:lang w:val="da-DK" w:eastAsia="fr-FR"/>
          <w14:ligatures w14:val="none"/>
        </w:rPr>
        <w:t xml:space="preserve">These results are in agreement with recent findings indicating that high-fat diets promote rapid weight gain and disrupt lipid metabolism (Zhao et al., 2019 ;  Perillo et al., 2021). </w:t>
      </w:r>
      <w:r w:rsidRPr="002067BF">
        <w:rPr>
          <w:rFonts w:ascii="Arial" w:eastAsia="Times New Roman" w:hAnsi="Arial" w:cs="Arial"/>
          <w:color w:val="000000" w:themeColor="text1"/>
          <w:kern w:val="0"/>
          <w:sz w:val="20"/>
          <w:szCs w:val="20"/>
          <w:lang w:val="da-DK" w:eastAsia="fr-FR"/>
          <w14:ligatures w14:val="none"/>
        </w:rPr>
        <w:t>The Lee index, a validated indicator of adiposity in rodents, confirmed the onset of obesity from the second week, with a progressive increase until day 28 in ONT rats, thereby confirming the effectiveness of the induction protocol.</w:t>
      </w:r>
    </w:p>
    <w:p w14:paraId="438A222C" w14:textId="5BDC7D13"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 xml:space="preserve">A key finding of this study is the ability of </w:t>
      </w:r>
      <w:r w:rsidRPr="00B02375">
        <w:rPr>
          <w:rFonts w:ascii="Arial" w:eastAsia="Times New Roman" w:hAnsi="Arial" w:cs="Arial"/>
          <w:i/>
          <w:iCs/>
          <w:color w:val="000000" w:themeColor="text1"/>
          <w:kern w:val="0"/>
          <w:sz w:val="20"/>
          <w:szCs w:val="20"/>
          <w:lang w:eastAsia="fr-FR"/>
          <w14:ligatures w14:val="none"/>
        </w:rPr>
        <w:t>F. umbellata</w:t>
      </w:r>
      <w:r w:rsidRPr="00B02375">
        <w:rPr>
          <w:rFonts w:ascii="Arial" w:eastAsia="Times New Roman" w:hAnsi="Arial" w:cs="Arial"/>
          <w:color w:val="000000" w:themeColor="text1"/>
          <w:kern w:val="0"/>
          <w:sz w:val="20"/>
          <w:szCs w:val="20"/>
          <w:lang w:eastAsia="fr-FR"/>
          <w14:ligatures w14:val="none"/>
        </w:rPr>
        <w:t xml:space="preserve"> extract to attenuate weight gain and reduce the Lee index in a dose-dependent manner. At 400 mg/kg, the anti-obesity effect is particularly notable, with significantly lower final body weights than in the ONT group. These effects suggest a potential modulation of energy metabolism or lipid absorption mechanisms, as reported for other phytocompound-rich plants such as </w:t>
      </w:r>
      <w:r w:rsidRPr="00B02375">
        <w:rPr>
          <w:rFonts w:ascii="Arial" w:eastAsia="Times New Roman" w:hAnsi="Arial" w:cs="Arial"/>
          <w:i/>
          <w:iCs/>
          <w:color w:val="000000" w:themeColor="text1"/>
          <w:kern w:val="0"/>
          <w:sz w:val="20"/>
          <w:szCs w:val="20"/>
          <w:lang w:eastAsia="fr-FR"/>
          <w14:ligatures w14:val="none"/>
        </w:rPr>
        <w:t>Camellia sinensis</w:t>
      </w:r>
      <w:r w:rsidRPr="00B02375">
        <w:rPr>
          <w:rFonts w:ascii="Arial" w:eastAsia="Times New Roman" w:hAnsi="Arial" w:cs="Arial"/>
          <w:color w:val="000000" w:themeColor="text1"/>
          <w:kern w:val="0"/>
          <w:sz w:val="20"/>
          <w:szCs w:val="20"/>
          <w:lang w:eastAsia="fr-FR"/>
          <w14:ligatures w14:val="none"/>
        </w:rPr>
        <w:t xml:space="preserve"> and </w:t>
      </w:r>
      <w:r w:rsidRPr="00B02375">
        <w:rPr>
          <w:rFonts w:ascii="Arial" w:eastAsia="Times New Roman" w:hAnsi="Arial" w:cs="Arial"/>
          <w:i/>
          <w:iCs/>
          <w:color w:val="000000" w:themeColor="text1"/>
          <w:kern w:val="0"/>
          <w:sz w:val="20"/>
          <w:szCs w:val="20"/>
          <w:lang w:eastAsia="fr-FR"/>
          <w14:ligatures w14:val="none"/>
        </w:rPr>
        <w:t>Garcinia cambogia</w:t>
      </w:r>
      <w:r w:rsidRPr="00B02375">
        <w:rPr>
          <w:rFonts w:ascii="Arial" w:eastAsia="Times New Roman" w:hAnsi="Arial" w:cs="Arial"/>
          <w:color w:val="000000" w:themeColor="text1"/>
          <w:kern w:val="0"/>
          <w:sz w:val="20"/>
          <w:szCs w:val="20"/>
          <w:lang w:eastAsia="fr-FR"/>
          <w14:ligatures w14:val="none"/>
        </w:rPr>
        <w:t xml:space="preserve"> (Rondanelli et al., </w:t>
      </w:r>
      <w:proofErr w:type="gramStart"/>
      <w:r w:rsidRPr="00B02375">
        <w:rPr>
          <w:rFonts w:ascii="Arial" w:eastAsia="Times New Roman" w:hAnsi="Arial" w:cs="Arial"/>
          <w:color w:val="000000" w:themeColor="text1"/>
          <w:kern w:val="0"/>
          <w:sz w:val="20"/>
          <w:szCs w:val="20"/>
          <w:lang w:eastAsia="fr-FR"/>
          <w14:ligatures w14:val="none"/>
        </w:rPr>
        <w:t>2020;</w:t>
      </w:r>
      <w:proofErr w:type="gramEnd"/>
      <w:r w:rsidRPr="00B02375">
        <w:rPr>
          <w:rFonts w:ascii="Arial" w:eastAsia="Times New Roman" w:hAnsi="Arial" w:cs="Arial"/>
          <w:color w:val="000000" w:themeColor="text1"/>
          <w:kern w:val="0"/>
          <w:sz w:val="20"/>
          <w:szCs w:val="20"/>
          <w:lang w:eastAsia="fr-FR"/>
          <w14:ligatures w14:val="none"/>
        </w:rPr>
        <w:t xml:space="preserve"> Lima et al., 2021). The observed properties of </w:t>
      </w:r>
      <w:r w:rsidRPr="00B02375">
        <w:rPr>
          <w:rFonts w:ascii="Arial" w:eastAsia="Times New Roman" w:hAnsi="Arial" w:cs="Arial"/>
          <w:i/>
          <w:iCs/>
          <w:color w:val="000000" w:themeColor="text1"/>
          <w:kern w:val="0"/>
          <w:sz w:val="20"/>
          <w:szCs w:val="20"/>
          <w:lang w:eastAsia="fr-FR"/>
          <w14:ligatures w14:val="none"/>
        </w:rPr>
        <w:t>F. umbellata</w:t>
      </w:r>
      <w:r w:rsidRPr="00B02375">
        <w:rPr>
          <w:rFonts w:ascii="Arial" w:eastAsia="Times New Roman" w:hAnsi="Arial" w:cs="Arial"/>
          <w:color w:val="000000" w:themeColor="text1"/>
          <w:kern w:val="0"/>
          <w:sz w:val="20"/>
          <w:szCs w:val="20"/>
          <w:lang w:eastAsia="fr-FR"/>
          <w14:ligatures w14:val="none"/>
        </w:rPr>
        <w:t xml:space="preserve"> may be linked to its phytochemical composition particularly flavonoids, saponins, and tannins which have demonstrated inhibitory actions on pancreatic lipase and effects on nuclear receptors such as PPARs that regulate lipid metabolism (Sharma et al., 2019).</w:t>
      </w:r>
    </w:p>
    <w:p w14:paraId="254DD8CA" w14:textId="04B97C6B"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The extract also showed notable antioxidant activity. The ONT group exhibited significantly elevated malondialdehyde (MDA) levels, reflecting lipid peroxidation and hepatic oxidative stress. This is consistent with reports that obesity is associated with excess reactive oxygen species (ROS) generation, leading to cellular damage (</w:t>
      </w:r>
      <w:r w:rsidRPr="00A90CD8">
        <w:rPr>
          <w:rFonts w:ascii="Arial" w:eastAsia="Times New Roman" w:hAnsi="Arial" w:cs="Arial"/>
          <w:color w:val="000000" w:themeColor="text1"/>
          <w:kern w:val="0"/>
          <w:sz w:val="20"/>
          <w:szCs w:val="20"/>
          <w:highlight w:val="yellow"/>
          <w:lang w:eastAsia="fr-FR"/>
          <w14:ligatures w14:val="none"/>
        </w:rPr>
        <w:t>Biswas</w:t>
      </w:r>
      <w:r w:rsidRPr="00B02375">
        <w:rPr>
          <w:rFonts w:ascii="Arial" w:eastAsia="Times New Roman" w:hAnsi="Arial" w:cs="Arial"/>
          <w:color w:val="000000" w:themeColor="text1"/>
          <w:kern w:val="0"/>
          <w:sz w:val="20"/>
          <w:szCs w:val="20"/>
          <w:lang w:eastAsia="fr-FR"/>
          <w14:ligatures w14:val="none"/>
        </w:rPr>
        <w:t xml:space="preserve">, 2020). Treatment with </w:t>
      </w:r>
      <w:r w:rsidRPr="00B02375">
        <w:rPr>
          <w:rFonts w:ascii="Arial" w:eastAsia="Times New Roman" w:hAnsi="Arial" w:cs="Arial"/>
          <w:i/>
          <w:iCs/>
          <w:color w:val="000000" w:themeColor="text1"/>
          <w:kern w:val="0"/>
          <w:sz w:val="20"/>
          <w:szCs w:val="20"/>
          <w:lang w:eastAsia="fr-FR"/>
          <w14:ligatures w14:val="none"/>
        </w:rPr>
        <w:t>F. umbellata</w:t>
      </w:r>
      <w:r w:rsidRPr="00B02375">
        <w:rPr>
          <w:rFonts w:ascii="Arial" w:eastAsia="Times New Roman" w:hAnsi="Arial" w:cs="Arial"/>
          <w:color w:val="000000" w:themeColor="text1"/>
          <w:kern w:val="0"/>
          <w:sz w:val="20"/>
          <w:szCs w:val="20"/>
          <w:lang w:eastAsia="fr-FR"/>
          <w14:ligatures w14:val="none"/>
        </w:rPr>
        <w:t>, especially at 400 mg/kg, significantly reduced MDA concentrations, with values nearing those of healthy controls supporting the hypothesis of its potent antioxidant capacity, likely due to its phenolic content.</w:t>
      </w:r>
    </w:p>
    <w:p w14:paraId="368278F4" w14:textId="77777777"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 xml:space="preserve">Additionally, the extract enhanced endogenous antioxidant defenses, as shown by elevated reduced glutathione (GSH) levels and increased activity of superoxide dismutase (SOD) and catalase (CAT). GSH is critical for ROS detoxification in hepatocytes, and its depletion in ONT rats reflects oxidative stress overload. The restoration of GSH in treated groups suggests normalization of redox status (Nunes-Souza et al., 2020). Similar effects have been reported for antioxidant-rich extracts from </w:t>
      </w:r>
      <w:r w:rsidRPr="00B02375">
        <w:rPr>
          <w:rFonts w:ascii="Arial" w:eastAsia="Times New Roman" w:hAnsi="Arial" w:cs="Arial"/>
          <w:i/>
          <w:iCs/>
          <w:color w:val="000000" w:themeColor="text1"/>
          <w:kern w:val="0"/>
          <w:sz w:val="20"/>
          <w:szCs w:val="20"/>
          <w:lang w:eastAsia="fr-FR"/>
          <w14:ligatures w14:val="none"/>
        </w:rPr>
        <w:t>Moringa oleifera</w:t>
      </w:r>
      <w:r w:rsidRPr="00B02375">
        <w:rPr>
          <w:rFonts w:ascii="Arial" w:eastAsia="Times New Roman" w:hAnsi="Arial" w:cs="Arial"/>
          <w:color w:val="000000" w:themeColor="text1"/>
          <w:kern w:val="0"/>
          <w:sz w:val="20"/>
          <w:szCs w:val="20"/>
          <w:lang w:eastAsia="fr-FR"/>
          <w14:ligatures w14:val="none"/>
        </w:rPr>
        <w:t xml:space="preserve"> and </w:t>
      </w:r>
      <w:r w:rsidRPr="00B02375">
        <w:rPr>
          <w:rFonts w:ascii="Arial" w:eastAsia="Times New Roman" w:hAnsi="Arial" w:cs="Arial"/>
          <w:i/>
          <w:iCs/>
          <w:color w:val="000000" w:themeColor="text1"/>
          <w:kern w:val="0"/>
          <w:sz w:val="20"/>
          <w:szCs w:val="20"/>
          <w:lang w:eastAsia="fr-FR"/>
          <w14:ligatures w14:val="none"/>
        </w:rPr>
        <w:t>Zingiber officinale</w:t>
      </w:r>
      <w:r w:rsidRPr="00B02375">
        <w:rPr>
          <w:rFonts w:ascii="Arial" w:eastAsia="Times New Roman" w:hAnsi="Arial" w:cs="Arial"/>
          <w:color w:val="000000" w:themeColor="text1"/>
          <w:kern w:val="0"/>
          <w:sz w:val="20"/>
          <w:szCs w:val="20"/>
          <w:lang w:eastAsia="fr-FR"/>
          <w14:ligatures w14:val="none"/>
        </w:rPr>
        <w:t xml:space="preserve"> (Yadav et al., 2021; Mahdi et al., 2022). The increase in SOD and CAT activities in the FU200 and FU400 groups reinforces the view that </w:t>
      </w:r>
      <w:r w:rsidRPr="00B02375">
        <w:rPr>
          <w:rFonts w:ascii="Arial" w:eastAsia="Times New Roman" w:hAnsi="Arial" w:cs="Arial"/>
          <w:i/>
          <w:iCs/>
          <w:color w:val="000000" w:themeColor="text1"/>
          <w:kern w:val="0"/>
          <w:sz w:val="20"/>
          <w:szCs w:val="20"/>
          <w:lang w:eastAsia="fr-FR"/>
          <w14:ligatures w14:val="none"/>
        </w:rPr>
        <w:t>F. umbellata</w:t>
      </w:r>
      <w:r w:rsidRPr="00B02375">
        <w:rPr>
          <w:rFonts w:ascii="Arial" w:eastAsia="Times New Roman" w:hAnsi="Arial" w:cs="Arial"/>
          <w:color w:val="000000" w:themeColor="text1"/>
          <w:kern w:val="0"/>
          <w:sz w:val="20"/>
          <w:szCs w:val="20"/>
          <w:lang w:eastAsia="fr-FR"/>
          <w14:ligatures w14:val="none"/>
        </w:rPr>
        <w:t xml:space="preserve"> supports enzymatic </w:t>
      </w:r>
      <w:r w:rsidRPr="00B02375">
        <w:rPr>
          <w:rFonts w:ascii="Arial" w:eastAsia="Times New Roman" w:hAnsi="Arial" w:cs="Arial"/>
          <w:color w:val="000000" w:themeColor="text1"/>
          <w:kern w:val="0"/>
          <w:sz w:val="20"/>
          <w:szCs w:val="20"/>
          <w:lang w:eastAsia="fr-FR"/>
          <w14:ligatures w14:val="none"/>
        </w:rPr>
        <w:lastRenderedPageBreak/>
        <w:t>antioxidant defense mechanisms, which contribute to protecting tissues from diet-induced oxidative injury.</w:t>
      </w:r>
    </w:p>
    <w:p w14:paraId="4666EBA0" w14:textId="73DACEE4"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 xml:space="preserve">The inverse relationship between reduced oxidative stress and decreased adiposity is particularly significant. It suggests that the anti-obesity effects of </w:t>
      </w:r>
      <w:r w:rsidRPr="00B02375">
        <w:rPr>
          <w:rFonts w:ascii="Arial" w:eastAsia="Times New Roman" w:hAnsi="Arial" w:cs="Arial"/>
          <w:i/>
          <w:iCs/>
          <w:color w:val="000000" w:themeColor="text1"/>
          <w:kern w:val="0"/>
          <w:sz w:val="20"/>
          <w:szCs w:val="20"/>
          <w:lang w:eastAsia="fr-FR"/>
          <w14:ligatures w14:val="none"/>
        </w:rPr>
        <w:t>F. umbellata</w:t>
      </w:r>
      <w:r w:rsidRPr="00B02375">
        <w:rPr>
          <w:rFonts w:ascii="Arial" w:eastAsia="Times New Roman" w:hAnsi="Arial" w:cs="Arial"/>
          <w:color w:val="000000" w:themeColor="text1"/>
          <w:kern w:val="0"/>
          <w:sz w:val="20"/>
          <w:szCs w:val="20"/>
          <w:lang w:eastAsia="fr-FR"/>
          <w14:ligatures w14:val="none"/>
        </w:rPr>
        <w:t xml:space="preserve"> may be partially mediated through its antioxidant action. Chronic oxidative stress is a known driver of adipose tissue inflammation, insulin resistance, and metabolic dysregulation in obesity. Thus, the normalization of oxidative biomarkers in treated animals supports the role of </w:t>
      </w:r>
      <w:r w:rsidRPr="00B02375">
        <w:rPr>
          <w:rFonts w:ascii="Arial" w:eastAsia="Times New Roman" w:hAnsi="Arial" w:cs="Arial"/>
          <w:i/>
          <w:iCs/>
          <w:color w:val="000000" w:themeColor="text1"/>
          <w:kern w:val="0"/>
          <w:sz w:val="20"/>
          <w:szCs w:val="20"/>
          <w:lang w:eastAsia="fr-FR"/>
          <w14:ligatures w14:val="none"/>
        </w:rPr>
        <w:t>F. umbellata</w:t>
      </w:r>
      <w:r w:rsidRPr="00B02375">
        <w:rPr>
          <w:rFonts w:ascii="Arial" w:eastAsia="Times New Roman" w:hAnsi="Arial" w:cs="Arial"/>
          <w:color w:val="000000" w:themeColor="text1"/>
          <w:kern w:val="0"/>
          <w:sz w:val="20"/>
          <w:szCs w:val="20"/>
          <w:lang w:eastAsia="fr-FR"/>
          <w14:ligatures w14:val="none"/>
        </w:rPr>
        <w:t xml:space="preserve"> in counteracting these pathophysiological cascades.</w:t>
      </w:r>
    </w:p>
    <w:p w14:paraId="756A41CC" w14:textId="77777777" w:rsidR="00B02375" w:rsidRPr="00B02375" w:rsidRDefault="00B02375" w:rsidP="00B02375">
      <w:pPr>
        <w:spacing w:after="0" w:line="360" w:lineRule="auto"/>
        <w:jc w:val="both"/>
        <w:rPr>
          <w:rFonts w:ascii="Arial" w:eastAsia="Times New Roman" w:hAnsi="Arial" w:cs="Arial"/>
          <w:color w:val="000000" w:themeColor="text1"/>
          <w:kern w:val="0"/>
          <w:sz w:val="20"/>
          <w:szCs w:val="20"/>
          <w:lang w:eastAsia="fr-FR"/>
          <w14:ligatures w14:val="none"/>
        </w:rPr>
      </w:pPr>
      <w:r w:rsidRPr="00B02375">
        <w:rPr>
          <w:rFonts w:ascii="Arial" w:eastAsia="Times New Roman" w:hAnsi="Arial" w:cs="Arial"/>
          <w:color w:val="000000" w:themeColor="text1"/>
          <w:kern w:val="0"/>
          <w:sz w:val="20"/>
          <w:szCs w:val="20"/>
          <w:lang w:eastAsia="fr-FR"/>
          <w14:ligatures w14:val="none"/>
        </w:rPr>
        <w:t xml:space="preserve">The results obtained demonstrate that </w:t>
      </w:r>
      <w:r w:rsidRPr="00B02375">
        <w:rPr>
          <w:rFonts w:ascii="Arial" w:eastAsia="Times New Roman" w:hAnsi="Arial" w:cs="Arial"/>
          <w:i/>
          <w:iCs/>
          <w:color w:val="000000" w:themeColor="text1"/>
          <w:kern w:val="0"/>
          <w:sz w:val="20"/>
          <w:szCs w:val="20"/>
          <w:lang w:eastAsia="fr-FR"/>
          <w14:ligatures w14:val="none"/>
        </w:rPr>
        <w:t>F. umbellata</w:t>
      </w:r>
      <w:r w:rsidRPr="00B02375">
        <w:rPr>
          <w:rFonts w:ascii="Arial" w:eastAsia="Times New Roman" w:hAnsi="Arial" w:cs="Arial"/>
          <w:color w:val="000000" w:themeColor="text1"/>
          <w:kern w:val="0"/>
          <w:sz w:val="20"/>
          <w:szCs w:val="20"/>
          <w:lang w:eastAsia="fr-FR"/>
          <w14:ligatures w14:val="none"/>
        </w:rPr>
        <w:t xml:space="preserve">, in addition to its marked anti-obesity effects, exerts significant antioxidant activity by restoring biochemical parameters disrupted by a high-fat diet. These beneficial effects are more pronounced at the dose of 400 mg/kg, suggesting a favorable dose-response relationship. These observations position </w:t>
      </w:r>
      <w:r w:rsidRPr="00B02375">
        <w:rPr>
          <w:rFonts w:ascii="Arial" w:eastAsia="Times New Roman" w:hAnsi="Arial" w:cs="Arial"/>
          <w:i/>
          <w:iCs/>
          <w:color w:val="000000" w:themeColor="text1"/>
          <w:kern w:val="0"/>
          <w:sz w:val="20"/>
          <w:szCs w:val="20"/>
          <w:lang w:eastAsia="fr-FR"/>
          <w14:ligatures w14:val="none"/>
        </w:rPr>
        <w:t>F. umbellata</w:t>
      </w:r>
      <w:r w:rsidRPr="00B02375">
        <w:rPr>
          <w:rFonts w:ascii="Arial" w:eastAsia="Times New Roman" w:hAnsi="Arial" w:cs="Arial"/>
          <w:color w:val="000000" w:themeColor="text1"/>
          <w:kern w:val="0"/>
          <w:sz w:val="20"/>
          <w:szCs w:val="20"/>
          <w:lang w:eastAsia="fr-FR"/>
          <w14:ligatures w14:val="none"/>
        </w:rPr>
        <w:t xml:space="preserve"> as a promising candidate for the development of phytomedicines or dietary supplements for the prevention and management of obesity and associated oxidative stress. However, further studies, including the identification of active compounds, long-term toxicity evaluation, and clinical trials, are needed to validate these effects in humans.</w:t>
      </w:r>
    </w:p>
    <w:p w14:paraId="086B25CD" w14:textId="77777777" w:rsidR="00B02375" w:rsidRPr="00B02375" w:rsidRDefault="00B02375" w:rsidP="00B02375">
      <w:pPr>
        <w:spacing w:after="0" w:line="360" w:lineRule="auto"/>
        <w:jc w:val="both"/>
        <w:rPr>
          <w:rFonts w:ascii="Arial" w:eastAsia="Times New Roman" w:hAnsi="Arial" w:cs="Arial"/>
          <w:b/>
          <w:bCs/>
          <w:color w:val="000000" w:themeColor="text1"/>
          <w:kern w:val="0"/>
          <w:lang w:eastAsia="fr-FR"/>
          <w14:ligatures w14:val="none"/>
        </w:rPr>
      </w:pPr>
    </w:p>
    <w:p w14:paraId="1195D229" w14:textId="77777777" w:rsidR="00B02375" w:rsidRPr="00B02375" w:rsidRDefault="00B02375" w:rsidP="00B02375">
      <w:pPr>
        <w:pStyle w:val="ListParagraph"/>
        <w:numPr>
          <w:ilvl w:val="0"/>
          <w:numId w:val="4"/>
        </w:numPr>
        <w:spacing w:after="0" w:line="360" w:lineRule="auto"/>
        <w:jc w:val="both"/>
        <w:rPr>
          <w:rFonts w:ascii="Arial" w:eastAsia="Times New Roman" w:hAnsi="Arial" w:cs="Arial"/>
          <w:b/>
          <w:bCs/>
          <w:color w:val="000000" w:themeColor="text1"/>
          <w:kern w:val="0"/>
          <w:lang w:eastAsia="fr-FR"/>
          <w14:ligatures w14:val="none"/>
        </w:rPr>
      </w:pPr>
      <w:r w:rsidRPr="00B02375">
        <w:rPr>
          <w:rFonts w:ascii="Arial" w:eastAsia="Times New Roman" w:hAnsi="Arial" w:cs="Arial"/>
          <w:b/>
          <w:bCs/>
          <w:color w:val="000000" w:themeColor="text1"/>
          <w:kern w:val="0"/>
          <w:lang w:eastAsia="fr-FR"/>
          <w14:ligatures w14:val="none"/>
        </w:rPr>
        <w:t>CONCLUSION</w:t>
      </w:r>
    </w:p>
    <w:p w14:paraId="3BAC3A93" w14:textId="77777777" w:rsidR="00B02375" w:rsidRPr="00B02375" w:rsidRDefault="00B02375" w:rsidP="00B02375">
      <w:pPr>
        <w:spacing w:after="0" w:line="360" w:lineRule="auto"/>
        <w:jc w:val="both"/>
        <w:rPr>
          <w:rFonts w:ascii="Arial" w:hAnsi="Arial" w:cs="Arial"/>
          <w:color w:val="000000" w:themeColor="text1"/>
          <w:sz w:val="20"/>
          <w:szCs w:val="20"/>
        </w:rPr>
      </w:pPr>
      <w:r w:rsidRPr="00B02375">
        <w:rPr>
          <w:rStyle w:val="Emphasis"/>
          <w:rFonts w:ascii="Arial" w:hAnsi="Arial" w:cs="Arial"/>
          <w:color w:val="000000" w:themeColor="text1"/>
          <w:sz w:val="20"/>
          <w:szCs w:val="20"/>
        </w:rPr>
        <w:t>F. umbellata</w:t>
      </w:r>
      <w:r w:rsidRPr="00B02375">
        <w:rPr>
          <w:rFonts w:ascii="Arial" w:hAnsi="Arial" w:cs="Arial"/>
          <w:color w:val="000000" w:themeColor="text1"/>
          <w:sz w:val="20"/>
          <w:szCs w:val="20"/>
        </w:rPr>
        <w:t xml:space="preserve"> extract, notably at 400 mg/kg, effectively attenuates high-fat diet-induced obesity in rats, improves oxidative stress markers, and strengthens antioxidant defenses. These findings highlight its potential as a phytotherapeutic agent against obesity and oxidative stress, justifying further studies to isolate active constituents and elucidate underlying mechanisms.</w:t>
      </w:r>
    </w:p>
    <w:p w14:paraId="594FDE69" w14:textId="77777777" w:rsidR="00B02375" w:rsidRPr="00B02375" w:rsidRDefault="00B02375" w:rsidP="00B02375">
      <w:pPr>
        <w:spacing w:after="0" w:line="360" w:lineRule="auto"/>
        <w:jc w:val="both"/>
        <w:rPr>
          <w:rFonts w:ascii="Arial" w:hAnsi="Arial" w:cs="Arial"/>
          <w:color w:val="000000" w:themeColor="text1"/>
          <w:sz w:val="20"/>
          <w:szCs w:val="20"/>
        </w:rPr>
      </w:pPr>
    </w:p>
    <w:p w14:paraId="68144725" w14:textId="77777777" w:rsidR="00B02375" w:rsidRPr="00B02375" w:rsidRDefault="00B02375" w:rsidP="00B02375">
      <w:pPr>
        <w:keepNext/>
        <w:spacing w:after="0" w:line="360" w:lineRule="auto"/>
        <w:jc w:val="both"/>
        <w:rPr>
          <w:rFonts w:ascii="Arial" w:eastAsia="Times New Roman" w:hAnsi="Arial" w:cs="Arial"/>
          <w:color w:val="000000" w:themeColor="text1"/>
          <w:kern w:val="0"/>
          <w:sz w:val="20"/>
          <w:szCs w:val="20"/>
          <w:lang w:val="en-US"/>
          <w14:ligatures w14:val="none"/>
        </w:rPr>
      </w:pPr>
    </w:p>
    <w:p w14:paraId="6CFA50F2" w14:textId="77777777" w:rsidR="00B02375" w:rsidRPr="00B02375" w:rsidRDefault="00B02375" w:rsidP="00B02375">
      <w:pPr>
        <w:keepNext/>
        <w:spacing w:after="0" w:line="360" w:lineRule="auto"/>
        <w:jc w:val="both"/>
        <w:rPr>
          <w:rFonts w:ascii="Arial" w:eastAsia="Times New Roman" w:hAnsi="Arial" w:cs="Arial"/>
          <w:b/>
          <w:bCs/>
          <w:caps/>
          <w:color w:val="000000" w:themeColor="text1"/>
          <w:kern w:val="0"/>
          <w:sz w:val="22"/>
          <w:szCs w:val="20"/>
          <w:lang w:val="en-US"/>
          <w14:ligatures w14:val="none"/>
        </w:rPr>
      </w:pPr>
      <w:r w:rsidRPr="00B02375">
        <w:rPr>
          <w:rFonts w:ascii="Arial" w:eastAsia="Times New Roman" w:hAnsi="Arial" w:cs="Arial"/>
          <w:b/>
          <w:bCs/>
          <w:caps/>
          <w:color w:val="000000" w:themeColor="text1"/>
          <w:kern w:val="0"/>
          <w:sz w:val="22"/>
          <w:szCs w:val="20"/>
          <w:lang w:val="en-US"/>
          <w14:ligatures w14:val="none"/>
        </w:rPr>
        <w:t>Ethical approval (where ever applicable)</w:t>
      </w:r>
    </w:p>
    <w:p w14:paraId="5A005371" w14:textId="77777777" w:rsidR="00B02375" w:rsidRPr="00B02375" w:rsidRDefault="00B02375" w:rsidP="00B02375">
      <w:pPr>
        <w:keepNext/>
        <w:spacing w:after="0" w:line="360" w:lineRule="auto"/>
        <w:jc w:val="both"/>
        <w:rPr>
          <w:rFonts w:ascii="Arial" w:eastAsia="Times New Roman" w:hAnsi="Arial" w:cs="Arial"/>
          <w:b/>
          <w:caps/>
          <w:color w:val="000000" w:themeColor="text1"/>
          <w:kern w:val="0"/>
          <w:sz w:val="22"/>
          <w:szCs w:val="20"/>
          <w:lang w:val="en-US"/>
          <w14:ligatures w14:val="none"/>
        </w:rPr>
      </w:pPr>
    </w:p>
    <w:p w14:paraId="598DF5E2" w14:textId="77777777" w:rsidR="00B02375" w:rsidRPr="00B02375" w:rsidRDefault="00B02375" w:rsidP="00B02375">
      <w:pPr>
        <w:spacing w:after="0" w:line="360" w:lineRule="auto"/>
        <w:jc w:val="both"/>
        <w:rPr>
          <w:rFonts w:ascii="Arial" w:hAnsi="Arial" w:cs="Arial"/>
          <w:color w:val="000000" w:themeColor="text1"/>
          <w:sz w:val="20"/>
          <w:szCs w:val="20"/>
        </w:rPr>
      </w:pPr>
      <w:r w:rsidRPr="00B02375">
        <w:rPr>
          <w:rFonts w:ascii="Arial" w:hAnsi="Arial" w:cs="Arial"/>
          <w:color w:val="000000" w:themeColor="text1"/>
          <w:sz w:val="20"/>
          <w:szCs w:val="20"/>
        </w:rPr>
        <w:t>All animal experiments were conducted in accordance with international ethical standards and approved by the Institutional Ethics Committee of the University of Abomey-Calavi</w:t>
      </w:r>
    </w:p>
    <w:p w14:paraId="361EC528" w14:textId="77777777" w:rsidR="00B02375" w:rsidRPr="00B02375" w:rsidRDefault="00B02375" w:rsidP="00B02375">
      <w:pPr>
        <w:spacing w:after="0" w:line="360" w:lineRule="auto"/>
        <w:jc w:val="both"/>
        <w:rPr>
          <w:rFonts w:ascii="Arial" w:hAnsi="Arial" w:cs="Arial"/>
          <w:color w:val="000000" w:themeColor="text1"/>
          <w:sz w:val="20"/>
          <w:szCs w:val="20"/>
        </w:rPr>
      </w:pPr>
    </w:p>
    <w:p w14:paraId="557E5224" w14:textId="77777777" w:rsidR="00B02375" w:rsidRPr="00B02375" w:rsidRDefault="00B02375" w:rsidP="00B02375">
      <w:pPr>
        <w:spacing w:after="0" w:line="360" w:lineRule="auto"/>
        <w:jc w:val="both"/>
        <w:rPr>
          <w:rFonts w:ascii="Arial" w:hAnsi="Arial" w:cs="Arial"/>
          <w:color w:val="000000" w:themeColor="text1"/>
          <w:sz w:val="20"/>
          <w:szCs w:val="20"/>
        </w:rPr>
      </w:pPr>
    </w:p>
    <w:p w14:paraId="6A221B46" w14:textId="77777777" w:rsidR="00B02375" w:rsidRPr="00B02375" w:rsidRDefault="00B02375" w:rsidP="00B02375">
      <w:pPr>
        <w:spacing w:after="200" w:line="276" w:lineRule="auto"/>
        <w:rPr>
          <w:rFonts w:ascii="Arial" w:eastAsia="Calibri" w:hAnsi="Arial" w:cs="Arial"/>
          <w:b/>
          <w:bCs/>
          <w:color w:val="000000" w:themeColor="text1"/>
          <w:sz w:val="22"/>
          <w:szCs w:val="22"/>
          <w:lang w:val="en-US"/>
        </w:rPr>
      </w:pPr>
      <w:r w:rsidRPr="00B02375">
        <w:rPr>
          <w:rFonts w:ascii="Arial" w:eastAsia="Calibri" w:hAnsi="Arial" w:cs="Arial"/>
          <w:b/>
          <w:bCs/>
          <w:color w:val="000000" w:themeColor="text1"/>
          <w:sz w:val="22"/>
          <w:szCs w:val="22"/>
          <w:lang w:val="en-US"/>
        </w:rPr>
        <w:t>DISCLAIMER (ARTIFICIAL INTELLIGENCE)</w:t>
      </w:r>
    </w:p>
    <w:p w14:paraId="397D315C" w14:textId="77777777" w:rsidR="00B02375" w:rsidRPr="002067BF" w:rsidRDefault="00B02375" w:rsidP="00B02375">
      <w:pPr>
        <w:spacing w:after="0" w:line="360" w:lineRule="auto"/>
        <w:rPr>
          <w:rFonts w:ascii="Arial" w:eastAsia="Times New Roman" w:hAnsi="Arial" w:cs="Arial"/>
          <w:b/>
          <w:bCs/>
          <w:color w:val="000000" w:themeColor="text1"/>
          <w:kern w:val="0"/>
          <w:sz w:val="20"/>
          <w:szCs w:val="20"/>
          <w:lang w:val="da-DK" w:eastAsia="fr-FR"/>
          <w14:ligatures w14:val="none"/>
        </w:rPr>
      </w:pPr>
      <w:r w:rsidRPr="00B02375">
        <w:rPr>
          <w:rFonts w:ascii="Arial" w:eastAsia="Calibri" w:hAnsi="Arial" w:cs="Arial"/>
          <w:color w:val="000000" w:themeColor="text1"/>
          <w:sz w:val="20"/>
          <w:szCs w:val="20"/>
          <w:lang w:val="en-US"/>
        </w:rPr>
        <w:t>The authors hereby declare that ChatGPT was used during the writing process. It was used exclusively for the effective translation of certain sentences into English, in order to preserve their meaning and facilitate understanding for readers.</w:t>
      </w:r>
    </w:p>
    <w:p w14:paraId="12DB639A" w14:textId="77777777" w:rsidR="00B02375" w:rsidRPr="002067BF" w:rsidRDefault="00B02375" w:rsidP="00B02375">
      <w:pPr>
        <w:spacing w:after="0" w:line="360" w:lineRule="auto"/>
        <w:jc w:val="both"/>
        <w:rPr>
          <w:rFonts w:ascii="Arial" w:eastAsia="Times New Roman" w:hAnsi="Arial" w:cs="Arial"/>
          <w:b/>
          <w:bCs/>
          <w:color w:val="000000" w:themeColor="text1"/>
          <w:kern w:val="0"/>
          <w:sz w:val="22"/>
          <w:szCs w:val="22"/>
          <w:lang w:val="da-DK" w:eastAsia="fr-FR"/>
          <w14:ligatures w14:val="none"/>
        </w:rPr>
      </w:pPr>
    </w:p>
    <w:p w14:paraId="0588C1DF" w14:textId="77777777" w:rsidR="00B02375" w:rsidRPr="00B02375" w:rsidRDefault="00B02375" w:rsidP="00B02375">
      <w:pPr>
        <w:spacing w:after="0" w:line="360" w:lineRule="auto"/>
        <w:jc w:val="both"/>
        <w:rPr>
          <w:rFonts w:ascii="Arial" w:eastAsia="Times New Roman" w:hAnsi="Arial" w:cs="Arial"/>
          <w:b/>
          <w:bCs/>
          <w:color w:val="000000" w:themeColor="text1"/>
          <w:kern w:val="0"/>
          <w:sz w:val="22"/>
          <w:szCs w:val="22"/>
          <w:lang w:eastAsia="fr-FR"/>
          <w14:ligatures w14:val="none"/>
        </w:rPr>
      </w:pPr>
      <w:r w:rsidRPr="00B02375">
        <w:rPr>
          <w:rFonts w:ascii="Arial" w:eastAsia="Times New Roman" w:hAnsi="Arial" w:cs="Arial"/>
          <w:b/>
          <w:bCs/>
          <w:color w:val="000000" w:themeColor="text1"/>
          <w:kern w:val="0"/>
          <w:sz w:val="22"/>
          <w:szCs w:val="22"/>
          <w:lang w:eastAsia="fr-FR"/>
          <w14:ligatures w14:val="none"/>
        </w:rPr>
        <w:t>REFERENCES</w:t>
      </w:r>
    </w:p>
    <w:p w14:paraId="420B4728" w14:textId="77777777" w:rsidR="00A90CD8" w:rsidRDefault="00A90CD8" w:rsidP="00B02375">
      <w:pPr>
        <w:spacing w:before="100" w:beforeAutospacing="1" w:after="100" w:afterAutospacing="1" w:line="360" w:lineRule="auto"/>
        <w:rPr>
          <w:rFonts w:ascii="Arial" w:eastAsia="Times New Roman" w:hAnsi="Arial" w:cs="Arial"/>
          <w:color w:val="000000" w:themeColor="text1"/>
          <w:kern w:val="0"/>
          <w:sz w:val="20"/>
          <w:szCs w:val="20"/>
          <w:lang w:val="da-DK" w:eastAsia="fr-FR"/>
          <w14:ligatures w14:val="none"/>
        </w:rPr>
      </w:pPr>
      <w:r w:rsidRPr="00A90CD8">
        <w:rPr>
          <w:rFonts w:ascii="Arial" w:eastAsia="Times New Roman" w:hAnsi="Arial" w:cs="Arial"/>
          <w:color w:val="000000" w:themeColor="text1"/>
          <w:kern w:val="0"/>
          <w:sz w:val="20"/>
          <w:szCs w:val="20"/>
          <w:highlight w:val="yellow"/>
          <w:lang w:val="da-DK" w:eastAsia="fr-FR"/>
          <w14:ligatures w14:val="none"/>
        </w:rPr>
        <w:t>Odukoya, J. O., Odukoya, J. O., Mmutlane, E. M., &amp; Ndinteh, D. T. (2022). Ethnopharmacological study of medicinal plants used for the treatment of cardiovascular diseases and their associated risk factors in sub-Saharan Africa. Plants, 11(10), 1387.</w:t>
      </w:r>
    </w:p>
    <w:p w14:paraId="7DFBEBD7" w14:textId="77777777" w:rsidR="00B02375" w:rsidRPr="00DE61C4" w:rsidRDefault="00B02375" w:rsidP="00B02375">
      <w:pPr>
        <w:spacing w:before="100" w:beforeAutospacing="1" w:after="100" w:afterAutospacing="1" w:line="360" w:lineRule="auto"/>
        <w:rPr>
          <w:rFonts w:ascii="Times New Roman" w:eastAsia="Times New Roman" w:hAnsi="Times New Roman" w:cs="Times New Roman"/>
          <w:color w:val="000000" w:themeColor="text1"/>
          <w:kern w:val="0"/>
          <w:highlight w:val="yellow"/>
          <w:lang w:eastAsia="fr-FR"/>
          <w14:ligatures w14:val="none"/>
        </w:rPr>
      </w:pPr>
      <w:r w:rsidRPr="00DE61C4">
        <w:rPr>
          <w:rFonts w:ascii="Arial" w:eastAsia="Times New Roman" w:hAnsi="Arial" w:cs="Arial"/>
          <w:color w:val="000000" w:themeColor="text1"/>
          <w:kern w:val="0"/>
          <w:sz w:val="20"/>
          <w:szCs w:val="20"/>
          <w:highlight w:val="yellow"/>
          <w:lang w:eastAsia="fr-FR"/>
          <w14:ligatures w14:val="none"/>
        </w:rPr>
        <w:lastRenderedPageBreak/>
        <w:t xml:space="preserve">Tchogou, A. P., Chokki, S. A. P. T. V., Behanzin, G. J., Konfo, T. R. C., Savoeda, P., Agbogba, F., Akpoli, L., Baba-Moussa, L., Senou, M., &amp; Sezan, A. (2024). Safety and In Vivo Anti-Inflammatory Activity of Ethanolic Extract of </w:t>
      </w:r>
      <w:r w:rsidRPr="00DE61C4">
        <w:rPr>
          <w:rFonts w:ascii="Arial" w:eastAsia="Times New Roman" w:hAnsi="Arial" w:cs="Arial"/>
          <w:i/>
          <w:iCs/>
          <w:color w:val="000000" w:themeColor="text1"/>
          <w:kern w:val="0"/>
          <w:sz w:val="20"/>
          <w:szCs w:val="20"/>
          <w:highlight w:val="yellow"/>
          <w:lang w:eastAsia="fr-FR"/>
          <w14:ligatures w14:val="none"/>
        </w:rPr>
        <w:t>Ficus umbellata</w:t>
      </w:r>
      <w:r w:rsidRPr="00DE61C4">
        <w:rPr>
          <w:rFonts w:ascii="Arial" w:eastAsia="Times New Roman" w:hAnsi="Arial" w:cs="Arial"/>
          <w:color w:val="000000" w:themeColor="text1"/>
          <w:kern w:val="0"/>
          <w:sz w:val="20"/>
          <w:szCs w:val="20"/>
          <w:highlight w:val="yellow"/>
          <w:lang w:eastAsia="fr-FR"/>
          <w14:ligatures w14:val="none"/>
        </w:rPr>
        <w:t xml:space="preserve"> (Vahl.) Leaves. </w:t>
      </w:r>
      <w:r w:rsidRPr="00DE61C4">
        <w:rPr>
          <w:rFonts w:ascii="Arial" w:eastAsia="Times New Roman" w:hAnsi="Arial" w:cs="Arial"/>
          <w:i/>
          <w:iCs/>
          <w:color w:val="000000" w:themeColor="text1"/>
          <w:kern w:val="0"/>
          <w:sz w:val="20"/>
          <w:szCs w:val="20"/>
          <w:highlight w:val="yellow"/>
          <w:lang w:eastAsia="fr-FR"/>
          <w14:ligatures w14:val="none"/>
        </w:rPr>
        <w:t>Journal of Biosciences and Medicines</w:t>
      </w:r>
      <w:r w:rsidRPr="00DE61C4">
        <w:rPr>
          <w:rFonts w:ascii="Arial" w:eastAsia="Times New Roman" w:hAnsi="Arial" w:cs="Arial"/>
          <w:color w:val="000000" w:themeColor="text1"/>
          <w:kern w:val="0"/>
          <w:sz w:val="20"/>
          <w:szCs w:val="20"/>
          <w:highlight w:val="yellow"/>
          <w:lang w:eastAsia="fr-FR"/>
          <w14:ligatures w14:val="none"/>
        </w:rPr>
        <w:t xml:space="preserve">, 12(3), 94–112. </w:t>
      </w:r>
      <w:hyperlink r:id="rId6" w:tgtFrame="_new" w:history="1">
        <w:r w:rsidRPr="00DE61C4">
          <w:rPr>
            <w:rFonts w:ascii="Arial" w:eastAsia="Times New Roman" w:hAnsi="Arial" w:cs="Arial"/>
            <w:color w:val="000000" w:themeColor="text1"/>
            <w:kern w:val="0"/>
            <w:sz w:val="20"/>
            <w:szCs w:val="20"/>
            <w:highlight w:val="yellow"/>
            <w:u w:val="single"/>
            <w:lang w:eastAsia="fr-FR"/>
            <w14:ligatures w14:val="none"/>
          </w:rPr>
          <w:t>https://doi.org/10.4236/jbm.2024.123008</w:t>
        </w:r>
      </w:hyperlink>
    </w:p>
    <w:p w14:paraId="449394AF" w14:textId="0D111C4C" w:rsidR="00B02375" w:rsidRDefault="00B02375" w:rsidP="00B02375">
      <w:pPr>
        <w:spacing w:before="100" w:beforeAutospacing="1" w:after="100" w:afterAutospacing="1" w:line="360" w:lineRule="auto"/>
        <w:rPr>
          <w:rFonts w:ascii="Arial" w:eastAsia="Times New Roman" w:hAnsi="Arial" w:cs="Arial"/>
          <w:color w:val="000000" w:themeColor="text1"/>
          <w:kern w:val="0"/>
          <w:sz w:val="20"/>
          <w:szCs w:val="20"/>
          <w:highlight w:val="yellow"/>
          <w:u w:val="single"/>
          <w:lang w:eastAsia="fr-FR"/>
          <w14:ligatures w14:val="none"/>
        </w:rPr>
      </w:pPr>
      <w:r w:rsidRPr="00DE61C4">
        <w:rPr>
          <w:rFonts w:ascii="Arial" w:eastAsia="Times New Roman" w:hAnsi="Arial" w:cs="Arial"/>
          <w:color w:val="000000" w:themeColor="text1"/>
          <w:kern w:val="0"/>
          <w:sz w:val="20"/>
          <w:szCs w:val="20"/>
          <w:highlight w:val="yellow"/>
          <w:lang w:eastAsia="fr-FR"/>
          <w14:ligatures w14:val="none"/>
        </w:rPr>
        <w:t xml:space="preserve">Biswas, S. K. (2020). </w:t>
      </w:r>
      <w:r w:rsidRPr="00DE61C4">
        <w:rPr>
          <w:rFonts w:ascii="Arial" w:eastAsia="Times New Roman" w:hAnsi="Arial" w:cs="Arial"/>
          <w:i/>
          <w:iCs/>
          <w:color w:val="000000" w:themeColor="text1"/>
          <w:kern w:val="0"/>
          <w:sz w:val="20"/>
          <w:szCs w:val="20"/>
          <w:highlight w:val="yellow"/>
          <w:lang w:eastAsia="fr-FR"/>
          <w14:ligatures w14:val="none"/>
        </w:rPr>
        <w:t>Does the interdependence of oxidative stress and inflammation explain the antioxidant paradox?</w:t>
      </w:r>
      <w:r w:rsidRPr="00DE61C4">
        <w:rPr>
          <w:rFonts w:ascii="Arial" w:eastAsia="Times New Roman" w:hAnsi="Arial" w:cs="Arial"/>
          <w:color w:val="000000" w:themeColor="text1"/>
          <w:kern w:val="0"/>
          <w:sz w:val="20"/>
          <w:szCs w:val="20"/>
          <w:highlight w:val="yellow"/>
          <w:lang w:eastAsia="fr-FR"/>
          <w14:ligatures w14:val="none"/>
        </w:rPr>
        <w:t xml:space="preserve"> </w:t>
      </w:r>
      <w:r w:rsidRPr="00DE61C4">
        <w:rPr>
          <w:rFonts w:ascii="Arial" w:eastAsia="Times New Roman" w:hAnsi="Arial" w:cs="Arial"/>
          <w:i/>
          <w:iCs/>
          <w:color w:val="000000" w:themeColor="text1"/>
          <w:kern w:val="0"/>
          <w:sz w:val="20"/>
          <w:szCs w:val="20"/>
          <w:highlight w:val="yellow"/>
          <w:lang w:eastAsia="fr-FR"/>
          <w14:ligatures w14:val="none"/>
        </w:rPr>
        <w:t>Oxidative Medicine and Cellular Longevity, 2020, 5697981.</w:t>
      </w:r>
      <w:r w:rsidRPr="00DE61C4">
        <w:rPr>
          <w:rFonts w:ascii="Arial" w:eastAsia="Times New Roman" w:hAnsi="Arial" w:cs="Arial"/>
          <w:color w:val="000000" w:themeColor="text1"/>
          <w:kern w:val="0"/>
          <w:sz w:val="20"/>
          <w:szCs w:val="20"/>
          <w:highlight w:val="yellow"/>
          <w:lang w:eastAsia="fr-FR"/>
          <w14:ligatures w14:val="none"/>
        </w:rPr>
        <w:t xml:space="preserve"> </w:t>
      </w:r>
      <w:hyperlink r:id="rId7" w:history="1">
        <w:r w:rsidRPr="00DE61C4">
          <w:rPr>
            <w:rFonts w:ascii="Arial" w:eastAsia="Times New Roman" w:hAnsi="Arial" w:cs="Arial"/>
            <w:color w:val="000000" w:themeColor="text1"/>
            <w:kern w:val="0"/>
            <w:sz w:val="20"/>
            <w:szCs w:val="20"/>
            <w:highlight w:val="yellow"/>
            <w:u w:val="single"/>
            <w:lang w:eastAsia="fr-FR"/>
            <w14:ligatures w14:val="none"/>
          </w:rPr>
          <w:t>https://doi.org/10.1155/2020/5697981</w:t>
        </w:r>
      </w:hyperlink>
    </w:p>
    <w:p w14:paraId="647740E9" w14:textId="0A37DCCC" w:rsidR="00E43903" w:rsidRDefault="00E43903" w:rsidP="00B02375">
      <w:pPr>
        <w:spacing w:before="100" w:beforeAutospacing="1" w:after="100" w:afterAutospacing="1" w:line="360" w:lineRule="auto"/>
        <w:rPr>
          <w:rFonts w:ascii="Times New Roman" w:eastAsia="Times New Roman" w:hAnsi="Times New Roman" w:cs="Times New Roman"/>
          <w:color w:val="000000" w:themeColor="text1"/>
          <w:kern w:val="0"/>
          <w:lang w:eastAsia="fr-FR"/>
          <w14:ligatures w14:val="none"/>
        </w:rPr>
      </w:pPr>
      <w:r w:rsidRPr="00E43903">
        <w:rPr>
          <w:rFonts w:ascii="Times New Roman" w:eastAsia="Times New Roman" w:hAnsi="Times New Roman" w:cs="Times New Roman"/>
          <w:color w:val="000000" w:themeColor="text1"/>
          <w:kern w:val="0"/>
          <w:lang w:eastAsia="fr-FR"/>
          <w14:ligatures w14:val="none"/>
        </w:rPr>
        <w:t>Tchogou, A. P., Chokki, S. A. P. T. V., Behanzin, G. J., Konfo, T. R. C., Savoeda, P., Agbogba, F., ... &amp; Sezan, A. (2024). Safety and in Vivo Anti-Inflammatory Activity of Ethanolic Extract of Ficus umbellata (Vahl.) Leaves. Journal of Biosciences and Medicines, 12(3), 94-112.</w:t>
      </w:r>
    </w:p>
    <w:p w14:paraId="1C1E3D20" w14:textId="7BF0C716" w:rsidR="00E43903" w:rsidRDefault="00E43903" w:rsidP="00B02375">
      <w:pPr>
        <w:spacing w:before="100" w:beforeAutospacing="1" w:after="100" w:afterAutospacing="1" w:line="360" w:lineRule="auto"/>
        <w:rPr>
          <w:rFonts w:ascii="Times New Roman" w:eastAsia="Times New Roman" w:hAnsi="Times New Roman" w:cs="Times New Roman"/>
          <w:color w:val="000000" w:themeColor="text1"/>
          <w:kern w:val="0"/>
          <w:lang w:eastAsia="fr-FR"/>
          <w14:ligatures w14:val="none"/>
        </w:rPr>
      </w:pPr>
      <w:r w:rsidRPr="00E43903">
        <w:rPr>
          <w:rFonts w:ascii="Times New Roman" w:eastAsia="Times New Roman" w:hAnsi="Times New Roman" w:cs="Times New Roman"/>
          <w:color w:val="000000" w:themeColor="text1"/>
          <w:kern w:val="0"/>
          <w:lang w:eastAsia="fr-FR"/>
          <w14:ligatures w14:val="none"/>
        </w:rPr>
        <w:t xml:space="preserve">Silihe, K. K., Zingue, S., Winter, E., Awounfack, C. F., Bishayee, A., Desai, N. N., ... &amp; Creczynski-Pasa, T. B. (2017). Ficus umbellata </w:t>
      </w:r>
      <w:proofErr w:type="gramStart"/>
      <w:r w:rsidRPr="00E43903">
        <w:rPr>
          <w:rFonts w:ascii="Times New Roman" w:eastAsia="Times New Roman" w:hAnsi="Times New Roman" w:cs="Times New Roman"/>
          <w:color w:val="000000" w:themeColor="text1"/>
          <w:kern w:val="0"/>
          <w:lang w:eastAsia="fr-FR"/>
          <w14:ligatures w14:val="none"/>
        </w:rPr>
        <w:t>vahl.(</w:t>
      </w:r>
      <w:proofErr w:type="gramEnd"/>
      <w:r w:rsidRPr="00E43903">
        <w:rPr>
          <w:rFonts w:ascii="Times New Roman" w:eastAsia="Times New Roman" w:hAnsi="Times New Roman" w:cs="Times New Roman"/>
          <w:color w:val="000000" w:themeColor="text1"/>
          <w:kern w:val="0"/>
          <w:lang w:eastAsia="fr-FR"/>
          <w14:ligatures w14:val="none"/>
        </w:rPr>
        <w:t>Moraceae) stem bark extracts exert antitumor activities in vitro and in vivo. International Journal of Molecular Sciences, 18(6), 1073.</w:t>
      </w:r>
    </w:p>
    <w:p w14:paraId="5F1297F1" w14:textId="0D456C50" w:rsidR="00E43903" w:rsidRDefault="00E43903" w:rsidP="00B02375">
      <w:pPr>
        <w:spacing w:before="100" w:beforeAutospacing="1" w:after="100" w:afterAutospacing="1" w:line="360" w:lineRule="auto"/>
        <w:rPr>
          <w:rFonts w:ascii="Times New Roman" w:eastAsia="Times New Roman" w:hAnsi="Times New Roman" w:cs="Times New Roman"/>
          <w:color w:val="000000" w:themeColor="text1"/>
          <w:kern w:val="0"/>
          <w:lang w:eastAsia="fr-FR"/>
          <w14:ligatures w14:val="none"/>
        </w:rPr>
      </w:pPr>
      <w:r w:rsidRPr="00E43903">
        <w:rPr>
          <w:rFonts w:ascii="Times New Roman" w:eastAsia="Times New Roman" w:hAnsi="Times New Roman" w:cs="Times New Roman"/>
          <w:color w:val="000000" w:themeColor="text1"/>
          <w:kern w:val="0"/>
          <w:lang w:eastAsia="fr-FR"/>
          <w14:ligatures w14:val="none"/>
        </w:rPr>
        <w:t xml:space="preserve">Silihe, K. K., &amp; Zingue, S. (2022). Kemegne Sipping, </w:t>
      </w:r>
      <w:proofErr w:type="gramStart"/>
      <w:r w:rsidRPr="00E43903">
        <w:rPr>
          <w:rFonts w:ascii="Times New Roman" w:eastAsia="Times New Roman" w:hAnsi="Times New Roman" w:cs="Times New Roman"/>
          <w:color w:val="000000" w:themeColor="text1"/>
          <w:kern w:val="0"/>
          <w:lang w:eastAsia="fr-FR"/>
          <w14:ligatures w14:val="none"/>
        </w:rPr>
        <w:t>MT;</w:t>
      </w:r>
      <w:proofErr w:type="gramEnd"/>
      <w:r w:rsidRPr="00E43903">
        <w:rPr>
          <w:rFonts w:ascii="Times New Roman" w:eastAsia="Times New Roman" w:hAnsi="Times New Roman" w:cs="Times New Roman"/>
          <w:color w:val="000000" w:themeColor="text1"/>
          <w:kern w:val="0"/>
          <w:lang w:eastAsia="fr-FR"/>
          <w14:ligatures w14:val="none"/>
        </w:rPr>
        <w:t xml:space="preserve"> Cazanevscaia, AB; Dediu Botezatu, AV; Njamen, D.; Dinica, RM The antioxidant potential of Ficus umbellata Vahl (Moraceae) that accelerates in vitro and the in vivo anti-inflammatory protective effects. Appl. Sci, 12, 9070.</w:t>
      </w:r>
    </w:p>
    <w:p w14:paraId="3B58F754" w14:textId="6CD75716" w:rsidR="00E43903" w:rsidRDefault="00E43903" w:rsidP="00B02375">
      <w:pPr>
        <w:spacing w:before="100" w:beforeAutospacing="1" w:after="100" w:afterAutospacing="1" w:line="360" w:lineRule="auto"/>
        <w:rPr>
          <w:rFonts w:ascii="Times New Roman" w:eastAsia="Times New Roman" w:hAnsi="Times New Roman" w:cs="Times New Roman"/>
          <w:color w:val="000000" w:themeColor="text1"/>
          <w:kern w:val="0"/>
          <w:lang w:eastAsia="fr-FR"/>
          <w14:ligatures w14:val="none"/>
        </w:rPr>
      </w:pPr>
      <w:r w:rsidRPr="00E43903">
        <w:rPr>
          <w:rFonts w:ascii="Times New Roman" w:eastAsia="Times New Roman" w:hAnsi="Times New Roman" w:cs="Times New Roman"/>
          <w:color w:val="000000" w:themeColor="text1"/>
          <w:kern w:val="0"/>
          <w:lang w:eastAsia="fr-FR"/>
          <w14:ligatures w14:val="none"/>
        </w:rPr>
        <w:t xml:space="preserve">El-Hawary, S. S., Ali, Z. Y., &amp; Younis, I. Y. (2019). Hepatoprotective potential of standardized Ficus species in intrahepatic cholestasis rat </w:t>
      </w:r>
      <w:proofErr w:type="gramStart"/>
      <w:r w:rsidRPr="00E43903">
        <w:rPr>
          <w:rFonts w:ascii="Times New Roman" w:eastAsia="Times New Roman" w:hAnsi="Times New Roman" w:cs="Times New Roman"/>
          <w:color w:val="000000" w:themeColor="text1"/>
          <w:kern w:val="0"/>
          <w:lang w:eastAsia="fr-FR"/>
          <w14:ligatures w14:val="none"/>
        </w:rPr>
        <w:t>model:</w:t>
      </w:r>
      <w:proofErr w:type="gramEnd"/>
      <w:r w:rsidRPr="00E43903">
        <w:rPr>
          <w:rFonts w:ascii="Times New Roman" w:eastAsia="Times New Roman" w:hAnsi="Times New Roman" w:cs="Times New Roman"/>
          <w:color w:val="000000" w:themeColor="text1"/>
          <w:kern w:val="0"/>
          <w:lang w:eastAsia="fr-FR"/>
          <w14:ligatures w14:val="none"/>
        </w:rPr>
        <w:t xml:space="preserve"> Involvement of nuclear factor-κB, and Farnesoid X receptor signaling pathways. Journal of Ethnopharmacology, 231, 262-274.</w:t>
      </w:r>
    </w:p>
    <w:p w14:paraId="1C34DD9B" w14:textId="4B26A140" w:rsidR="00E43903" w:rsidRDefault="00E43903" w:rsidP="00B02375">
      <w:pPr>
        <w:spacing w:before="100" w:beforeAutospacing="1" w:after="100" w:afterAutospacing="1" w:line="360" w:lineRule="auto"/>
        <w:rPr>
          <w:rFonts w:ascii="Times New Roman" w:eastAsia="Times New Roman" w:hAnsi="Times New Roman" w:cs="Times New Roman"/>
          <w:color w:val="000000" w:themeColor="text1"/>
          <w:kern w:val="0"/>
          <w:lang w:eastAsia="fr-FR"/>
          <w14:ligatures w14:val="none"/>
        </w:rPr>
      </w:pPr>
      <w:r w:rsidRPr="00E43903">
        <w:rPr>
          <w:rFonts w:ascii="Times New Roman" w:eastAsia="Times New Roman" w:hAnsi="Times New Roman" w:cs="Times New Roman"/>
          <w:color w:val="000000" w:themeColor="text1"/>
          <w:kern w:val="0"/>
          <w:lang w:eastAsia="fr-FR"/>
          <w14:ligatures w14:val="none"/>
        </w:rPr>
        <w:t>Eid, M. A., Youssef, M. S., Mahmoud, Y. A., Sedeek, R., Saleh, H. H., Kasem, G. K., &amp; Gaber, A. (2023). Anti-HBV Efficacy of Ficus Plant's Leaf Extract against the Most Dominant HBV Genotypes in the Nile Delta Region of Egypt. Egyptian Journal of Botany, 63(3), 1069-1082.</w:t>
      </w:r>
    </w:p>
    <w:p w14:paraId="2404F5CF" w14:textId="6CEC8047" w:rsidR="00E43903" w:rsidRDefault="00E43903" w:rsidP="00B02375">
      <w:pPr>
        <w:spacing w:before="100" w:beforeAutospacing="1" w:after="100" w:afterAutospacing="1" w:line="360" w:lineRule="auto"/>
        <w:rPr>
          <w:rFonts w:ascii="Times New Roman" w:eastAsia="Times New Roman" w:hAnsi="Times New Roman" w:cs="Times New Roman"/>
          <w:color w:val="000000" w:themeColor="text1"/>
          <w:kern w:val="0"/>
          <w:lang w:eastAsia="fr-FR"/>
          <w14:ligatures w14:val="none"/>
        </w:rPr>
      </w:pPr>
      <w:r w:rsidRPr="00E43903">
        <w:rPr>
          <w:rFonts w:ascii="Times New Roman" w:eastAsia="Times New Roman" w:hAnsi="Times New Roman" w:cs="Times New Roman"/>
          <w:color w:val="000000" w:themeColor="text1"/>
          <w:kern w:val="0"/>
          <w:lang w:eastAsia="fr-FR"/>
          <w14:ligatures w14:val="none"/>
        </w:rPr>
        <w:t>Aziz, B., Ahmat, L., Khurshid, A., Khan, J. A., Alam, M., &amp; Ikram, M. (2023). In-vitro anticancer and anti-migration effect of Ficus racemosa leaves extract and its neoadjuvant combination with chemo-photodynamic therapy. Laser Physics, 33(7), 075601.</w:t>
      </w:r>
    </w:p>
    <w:p w14:paraId="480214DC" w14:textId="0C680F53" w:rsidR="00E43903" w:rsidRPr="00B02375" w:rsidRDefault="00E43903" w:rsidP="00B02375">
      <w:pPr>
        <w:spacing w:before="100" w:beforeAutospacing="1" w:after="100" w:afterAutospacing="1" w:line="360" w:lineRule="auto"/>
        <w:rPr>
          <w:rFonts w:ascii="Times New Roman" w:eastAsia="Times New Roman" w:hAnsi="Times New Roman" w:cs="Times New Roman"/>
          <w:color w:val="000000" w:themeColor="text1"/>
          <w:kern w:val="0"/>
          <w:lang w:eastAsia="fr-FR"/>
          <w14:ligatures w14:val="none"/>
        </w:rPr>
      </w:pPr>
      <w:r w:rsidRPr="00E43903">
        <w:rPr>
          <w:rFonts w:ascii="Times New Roman" w:eastAsia="Times New Roman" w:hAnsi="Times New Roman" w:cs="Times New Roman"/>
          <w:color w:val="000000" w:themeColor="text1"/>
          <w:kern w:val="0"/>
          <w:lang w:eastAsia="fr-FR"/>
          <w14:ligatures w14:val="none"/>
        </w:rPr>
        <w:lastRenderedPageBreak/>
        <w:t>El-Khateeb, A. Y., Elsherbiny, E. A., Tadros, L. K., Ali, S. M., &amp; Hamed, H. B. (2013). Phytochemical analysis and antifungal activity of fruit leaves extracts on the mycelial growth of fungal plant pathogens. Journal of Plant Pathology and Microbiology, 4(9), 1-6.</w:t>
      </w:r>
    </w:p>
    <w:p w14:paraId="30CB354A" w14:textId="77777777" w:rsidR="00B02375" w:rsidRPr="00B02375" w:rsidRDefault="00B02375" w:rsidP="00B02375">
      <w:pPr>
        <w:spacing w:before="100" w:beforeAutospacing="1" w:after="100" w:afterAutospacing="1" w:line="360" w:lineRule="auto"/>
        <w:jc w:val="both"/>
        <w:rPr>
          <w:rFonts w:ascii="Arial" w:eastAsia="Times New Roman" w:hAnsi="Arial" w:cs="Arial"/>
          <w:color w:val="000000" w:themeColor="text1"/>
          <w:kern w:val="0"/>
          <w:sz w:val="20"/>
          <w:szCs w:val="20"/>
          <w:lang w:eastAsia="fr-FR"/>
          <w14:ligatures w14:val="none"/>
        </w:rPr>
      </w:pPr>
    </w:p>
    <w:p w14:paraId="7EC81459" w14:textId="77777777" w:rsidR="00B02375" w:rsidRPr="00B02375" w:rsidRDefault="00B02375" w:rsidP="00B02375">
      <w:pPr>
        <w:spacing w:before="100" w:beforeAutospacing="1" w:after="0" w:line="360" w:lineRule="auto"/>
        <w:jc w:val="both"/>
        <w:rPr>
          <w:rFonts w:ascii="Arial" w:eastAsia="Times New Roman" w:hAnsi="Arial" w:cs="Arial"/>
          <w:color w:val="000000" w:themeColor="text1"/>
          <w:kern w:val="0"/>
          <w:sz w:val="20"/>
          <w:szCs w:val="20"/>
          <w:lang w:eastAsia="fr-FR"/>
          <w14:ligatures w14:val="none"/>
        </w:rPr>
      </w:pPr>
    </w:p>
    <w:p w14:paraId="09FDF0E8" w14:textId="77777777" w:rsidR="00B02375" w:rsidRPr="00B02375" w:rsidRDefault="00B02375">
      <w:pPr>
        <w:rPr>
          <w:color w:val="000000" w:themeColor="text1"/>
        </w:rPr>
      </w:pPr>
    </w:p>
    <w:sectPr w:rsidR="00B02375" w:rsidRPr="00B023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E4924"/>
    <w:multiLevelType w:val="multilevel"/>
    <w:tmpl w:val="521A3DB8"/>
    <w:lvl w:ilvl="0">
      <w:start w:val="1"/>
      <w:numFmt w:val="decimal"/>
      <w:lvlText w:val="%1."/>
      <w:lvlJc w:val="left"/>
      <w:pPr>
        <w:ind w:left="720" w:hanging="360"/>
      </w:pPr>
      <w:rPr>
        <w:rFonts w:hint="default"/>
        <w:b/>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2923CF6"/>
    <w:multiLevelType w:val="multilevel"/>
    <w:tmpl w:val="31448606"/>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131458"/>
    <w:multiLevelType w:val="multilevel"/>
    <w:tmpl w:val="6CBCD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8F4FA7"/>
    <w:multiLevelType w:val="hybridMultilevel"/>
    <w:tmpl w:val="B5E474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E6E0A1F"/>
    <w:multiLevelType w:val="multilevel"/>
    <w:tmpl w:val="0FF0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yMDA3NjAyMzUysjBX0lEKTi0uzszPAykwrgUAVOVquSwAAAA="/>
  </w:docVars>
  <w:rsids>
    <w:rsidRoot w:val="00B02375"/>
    <w:rsid w:val="00021150"/>
    <w:rsid w:val="000C31B4"/>
    <w:rsid w:val="000C50CD"/>
    <w:rsid w:val="00112CB4"/>
    <w:rsid w:val="00173CFA"/>
    <w:rsid w:val="00181CCB"/>
    <w:rsid w:val="002067BF"/>
    <w:rsid w:val="002561AC"/>
    <w:rsid w:val="002F3C17"/>
    <w:rsid w:val="00305F3D"/>
    <w:rsid w:val="003F5642"/>
    <w:rsid w:val="004531C8"/>
    <w:rsid w:val="004A252E"/>
    <w:rsid w:val="004E61B6"/>
    <w:rsid w:val="004F6421"/>
    <w:rsid w:val="005007BF"/>
    <w:rsid w:val="0057575A"/>
    <w:rsid w:val="00576DCE"/>
    <w:rsid w:val="005A0175"/>
    <w:rsid w:val="005D4811"/>
    <w:rsid w:val="005E379F"/>
    <w:rsid w:val="005F6700"/>
    <w:rsid w:val="0062361B"/>
    <w:rsid w:val="006373E4"/>
    <w:rsid w:val="007500B3"/>
    <w:rsid w:val="007D13C7"/>
    <w:rsid w:val="007F1B75"/>
    <w:rsid w:val="007F3937"/>
    <w:rsid w:val="0088386B"/>
    <w:rsid w:val="008B1183"/>
    <w:rsid w:val="008C6B8E"/>
    <w:rsid w:val="009010C9"/>
    <w:rsid w:val="00924FBD"/>
    <w:rsid w:val="009437FB"/>
    <w:rsid w:val="009917EA"/>
    <w:rsid w:val="009E4574"/>
    <w:rsid w:val="00A2065D"/>
    <w:rsid w:val="00A40593"/>
    <w:rsid w:val="00A90CD8"/>
    <w:rsid w:val="00AB27D5"/>
    <w:rsid w:val="00B02375"/>
    <w:rsid w:val="00B5065E"/>
    <w:rsid w:val="00B75F8D"/>
    <w:rsid w:val="00B91089"/>
    <w:rsid w:val="00BA2349"/>
    <w:rsid w:val="00BD5152"/>
    <w:rsid w:val="00BD7620"/>
    <w:rsid w:val="00C33BA1"/>
    <w:rsid w:val="00C46100"/>
    <w:rsid w:val="00CA6690"/>
    <w:rsid w:val="00CB72C4"/>
    <w:rsid w:val="00D03FFE"/>
    <w:rsid w:val="00D90055"/>
    <w:rsid w:val="00DE61C4"/>
    <w:rsid w:val="00E0066C"/>
    <w:rsid w:val="00E43903"/>
    <w:rsid w:val="00EC59D7"/>
    <w:rsid w:val="00F15A4B"/>
    <w:rsid w:val="00F60731"/>
    <w:rsid w:val="00FD46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67919"/>
  <w15:chartTrackingRefBased/>
  <w15:docId w15:val="{9FA5869E-8F87-4D12-8126-2617A851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2375"/>
  </w:style>
  <w:style w:type="paragraph" w:styleId="Heading1">
    <w:name w:val="heading 1"/>
    <w:basedOn w:val="Normal"/>
    <w:next w:val="Normal"/>
    <w:link w:val="Heading1Char"/>
    <w:uiPriority w:val="9"/>
    <w:qFormat/>
    <w:rsid w:val="00B023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23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23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23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23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23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3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3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3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3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23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23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23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23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23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3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3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375"/>
    <w:rPr>
      <w:rFonts w:eastAsiaTheme="majorEastAsia" w:cstheme="majorBidi"/>
      <w:color w:val="272727" w:themeColor="text1" w:themeTint="D8"/>
    </w:rPr>
  </w:style>
  <w:style w:type="paragraph" w:styleId="Title">
    <w:name w:val="Title"/>
    <w:basedOn w:val="Normal"/>
    <w:next w:val="Normal"/>
    <w:link w:val="TitleChar"/>
    <w:uiPriority w:val="10"/>
    <w:qFormat/>
    <w:rsid w:val="00B023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3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3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3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375"/>
    <w:pPr>
      <w:spacing w:before="160"/>
      <w:jc w:val="center"/>
    </w:pPr>
    <w:rPr>
      <w:i/>
      <w:iCs/>
      <w:color w:val="404040" w:themeColor="text1" w:themeTint="BF"/>
    </w:rPr>
  </w:style>
  <w:style w:type="character" w:customStyle="1" w:styleId="QuoteChar">
    <w:name w:val="Quote Char"/>
    <w:basedOn w:val="DefaultParagraphFont"/>
    <w:link w:val="Quote"/>
    <w:uiPriority w:val="29"/>
    <w:rsid w:val="00B02375"/>
    <w:rPr>
      <w:i/>
      <w:iCs/>
      <w:color w:val="404040" w:themeColor="text1" w:themeTint="BF"/>
    </w:rPr>
  </w:style>
  <w:style w:type="paragraph" w:styleId="ListParagraph">
    <w:name w:val="List Paragraph"/>
    <w:basedOn w:val="Normal"/>
    <w:uiPriority w:val="34"/>
    <w:qFormat/>
    <w:rsid w:val="00B02375"/>
    <w:pPr>
      <w:ind w:left="720"/>
      <w:contextualSpacing/>
    </w:pPr>
  </w:style>
  <w:style w:type="character" w:styleId="IntenseEmphasis">
    <w:name w:val="Intense Emphasis"/>
    <w:basedOn w:val="DefaultParagraphFont"/>
    <w:uiPriority w:val="21"/>
    <w:qFormat/>
    <w:rsid w:val="00B02375"/>
    <w:rPr>
      <w:i/>
      <w:iCs/>
      <w:color w:val="2F5496" w:themeColor="accent1" w:themeShade="BF"/>
    </w:rPr>
  </w:style>
  <w:style w:type="paragraph" w:styleId="IntenseQuote">
    <w:name w:val="Intense Quote"/>
    <w:basedOn w:val="Normal"/>
    <w:next w:val="Normal"/>
    <w:link w:val="IntenseQuoteChar"/>
    <w:uiPriority w:val="30"/>
    <w:qFormat/>
    <w:rsid w:val="00B023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2375"/>
    <w:rPr>
      <w:i/>
      <w:iCs/>
      <w:color w:val="2F5496" w:themeColor="accent1" w:themeShade="BF"/>
    </w:rPr>
  </w:style>
  <w:style w:type="character" w:styleId="IntenseReference">
    <w:name w:val="Intense Reference"/>
    <w:basedOn w:val="DefaultParagraphFont"/>
    <w:uiPriority w:val="32"/>
    <w:qFormat/>
    <w:rsid w:val="00B02375"/>
    <w:rPr>
      <w:b/>
      <w:bCs/>
      <w:smallCaps/>
      <w:color w:val="2F5496" w:themeColor="accent1" w:themeShade="BF"/>
      <w:spacing w:val="5"/>
    </w:rPr>
  </w:style>
  <w:style w:type="character" w:styleId="Emphasis">
    <w:name w:val="Emphasis"/>
    <w:basedOn w:val="DefaultParagraphFont"/>
    <w:uiPriority w:val="20"/>
    <w:qFormat/>
    <w:rsid w:val="00B02375"/>
    <w:rPr>
      <w:i/>
      <w:iCs/>
    </w:rPr>
  </w:style>
  <w:style w:type="character" w:styleId="Hyperlink">
    <w:name w:val="Hyperlink"/>
    <w:basedOn w:val="DefaultParagraphFont"/>
    <w:uiPriority w:val="99"/>
    <w:unhideWhenUsed/>
    <w:rsid w:val="00B02375"/>
    <w:rPr>
      <w:color w:val="0563C1" w:themeColor="hyperlink"/>
      <w:u w:val="single"/>
    </w:rPr>
  </w:style>
  <w:style w:type="table" w:styleId="PlainTable2">
    <w:name w:val="Plain Table 2"/>
    <w:basedOn w:val="TableNormal"/>
    <w:uiPriority w:val="42"/>
    <w:rsid w:val="00B0237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55/2020/56979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4236/jbm.2024.123008"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13</Pages>
  <Words>4525</Words>
  <Characters>25796</Characters>
  <Application>Microsoft Office Word</Application>
  <DocSecurity>0</DocSecurity>
  <Lines>214</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Abdel-Madjid ALLADE</dc:creator>
  <cp:keywords/>
  <dc:description/>
  <cp:lastModifiedBy>SDI PC New 16</cp:lastModifiedBy>
  <cp:revision>12</cp:revision>
  <dcterms:created xsi:type="dcterms:W3CDTF">2025-05-15T19:01:00Z</dcterms:created>
  <dcterms:modified xsi:type="dcterms:W3CDTF">2025-05-20T09:52:00Z</dcterms:modified>
</cp:coreProperties>
</file>