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0A8" w:rsidRDefault="00ED45D5">
      <w:pPr>
        <w:ind w:left="-142"/>
        <w:jc w:val="center"/>
        <w:rPr>
          <w:rFonts w:ascii="Times New Roman" w:hAnsi="Times New Roman" w:cs="Times New Roman"/>
          <w:b/>
          <w:sz w:val="28"/>
          <w:szCs w:val="28"/>
          <w:lang w:val="en-IN"/>
        </w:rPr>
      </w:pPr>
      <w:r>
        <w:rPr>
          <w:rFonts w:ascii="Times New Roman" w:hAnsi="Times New Roman" w:cs="Times New Roman"/>
          <w:b/>
          <w:sz w:val="24"/>
          <w:szCs w:val="24"/>
          <w:lang w:val="en-IN"/>
        </w:rPr>
        <w:t xml:space="preserve">DELVING </w:t>
      </w:r>
      <w:r>
        <w:rPr>
          <w:rFonts w:ascii="Times New Roman" w:hAnsi="Times New Roman" w:cs="Times New Roman"/>
          <w:b/>
          <w:sz w:val="24"/>
          <w:szCs w:val="24"/>
        </w:rPr>
        <w:t>A</w:t>
      </w:r>
      <w:r>
        <w:rPr>
          <w:rFonts w:ascii="Times New Roman" w:hAnsi="Times New Roman" w:cs="Times New Roman"/>
          <w:b/>
          <w:sz w:val="24"/>
          <w:szCs w:val="24"/>
          <w:lang w:val="en-IN"/>
        </w:rPr>
        <w:t>UTOIMMUNE HEMOLYTIC ANEMIA IN TODDLER AND ASSOCIATED COMPLICATIONS: A RARE CASE REPORT</w:t>
      </w:r>
    </w:p>
    <w:p w:rsidR="00ED50A8" w:rsidRDefault="00ED50A8">
      <w:pPr>
        <w:pStyle w:val="ListParagraph"/>
        <w:ind w:left="-142"/>
        <w:jc w:val="both"/>
        <w:rPr>
          <w:rFonts w:ascii="Times New Roman" w:hAnsi="Times New Roman" w:cs="Times New Roman"/>
          <w:sz w:val="20"/>
          <w:szCs w:val="20"/>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ABSTRACT</w:t>
      </w:r>
    </w:p>
    <w:p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Autoimmune </w:t>
      </w:r>
      <w:proofErr w:type="spellStart"/>
      <w:r>
        <w:rPr>
          <w:rFonts w:ascii="Times New Roman" w:hAnsi="Times New Roman" w:cs="Times New Roman"/>
          <w:sz w:val="24"/>
          <w:szCs w:val="24"/>
          <w:lang w:val="en-IN"/>
        </w:rPr>
        <w:t>hemolytic</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 xml:space="preserve"> (AIHA) refers to a rapid breakdown of red blood cells, leading to a decrease in </w:t>
      </w:r>
      <w:proofErr w:type="spellStart"/>
      <w:r>
        <w:rPr>
          <w:rFonts w:ascii="Times New Roman" w:hAnsi="Times New Roman" w:cs="Times New Roman"/>
          <w:sz w:val="24"/>
          <w:szCs w:val="24"/>
          <w:lang w:val="en-IN"/>
        </w:rPr>
        <w:t>hemoglobin</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hematocrit</w:t>
      </w:r>
      <w:proofErr w:type="spellEnd"/>
      <w:r>
        <w:rPr>
          <w:rFonts w:ascii="Times New Roman" w:hAnsi="Times New Roman" w:cs="Times New Roman"/>
          <w:sz w:val="24"/>
          <w:szCs w:val="24"/>
          <w:lang w:val="en-IN"/>
        </w:rPr>
        <w:t xml:space="preserve"> levels. In </w:t>
      </w:r>
      <w:proofErr w:type="spellStart"/>
      <w:r>
        <w:rPr>
          <w:rFonts w:ascii="Times New Roman" w:hAnsi="Times New Roman" w:cs="Times New Roman"/>
          <w:sz w:val="24"/>
          <w:szCs w:val="24"/>
          <w:lang w:val="en-IN"/>
        </w:rPr>
        <w:t>pediatric</w:t>
      </w:r>
      <w:proofErr w:type="spellEnd"/>
      <w:r>
        <w:rPr>
          <w:rFonts w:ascii="Times New Roman" w:hAnsi="Times New Roman" w:cs="Times New Roman"/>
          <w:sz w:val="24"/>
          <w:szCs w:val="24"/>
          <w:lang w:val="en-IN"/>
        </w:rPr>
        <w:t xml:space="preserve"> patients, it is less a rare condition. </w:t>
      </w:r>
      <w:r>
        <w:rPr>
          <w:rFonts w:ascii="Times New Roman" w:hAnsi="Times New Roman" w:cs="Times New Roman"/>
          <w:sz w:val="24"/>
          <w:szCs w:val="24"/>
          <w:lang w:val="en-IN"/>
        </w:rPr>
        <w:t xml:space="preserve">A </w:t>
      </w:r>
      <w:proofErr w:type="gramStart"/>
      <w:r>
        <w:rPr>
          <w:rFonts w:ascii="Times New Roman" w:hAnsi="Times New Roman" w:cs="Times New Roman"/>
          <w:sz w:val="24"/>
          <w:szCs w:val="24"/>
          <w:lang w:val="en-IN"/>
        </w:rPr>
        <w:t>03</w:t>
      </w:r>
      <w:r>
        <w:rPr>
          <w:rFonts w:ascii="Times New Roman" w:hAnsi="Times New Roman" w:cs="Times New Roman"/>
          <w:sz w:val="24"/>
          <w:szCs w:val="24"/>
          <w:lang w:val="en-IN"/>
        </w:rPr>
        <w:t xml:space="preserve"> year old</w:t>
      </w:r>
      <w:proofErr w:type="gramEnd"/>
      <w:r>
        <w:rPr>
          <w:rFonts w:ascii="Times New Roman" w:hAnsi="Times New Roman" w:cs="Times New Roman"/>
          <w:sz w:val="24"/>
          <w:szCs w:val="24"/>
          <w:lang w:val="en-IN"/>
        </w:rPr>
        <w:t xml:space="preserve"> male</w:t>
      </w:r>
      <w:r>
        <w:rPr>
          <w:rFonts w:ascii="Times New Roman" w:hAnsi="Times New Roman" w:cs="Times New Roman"/>
          <w:sz w:val="24"/>
          <w:szCs w:val="24"/>
          <w:lang w:val="en-IN"/>
        </w:rPr>
        <w:t xml:space="preserve"> patient was admitted in a tertiary care hos</w:t>
      </w:r>
      <w:r>
        <w:rPr>
          <w:rFonts w:ascii="Times New Roman" w:hAnsi="Times New Roman" w:cs="Times New Roman"/>
          <w:sz w:val="24"/>
          <w:szCs w:val="24"/>
          <w:lang w:val="en-IN"/>
        </w:rPr>
        <w:t>pital with complaints of</w:t>
      </w:r>
      <w:r>
        <w:rPr>
          <w:rFonts w:ascii="Times New Roman" w:hAnsi="Times New Roman"/>
          <w:sz w:val="24"/>
          <w:szCs w:val="24"/>
          <w:lang w:val="en-IN"/>
        </w:rPr>
        <w:t xml:space="preserve"> fever since the last day morning, vomiting since previous day of 5 episodes, containing mostly mucus material, abdominal pain, decreased appetite for 2 days, yellowish discoloration of eyes and dark </w:t>
      </w:r>
      <w:proofErr w:type="spellStart"/>
      <w:r>
        <w:rPr>
          <w:rFonts w:ascii="Times New Roman" w:hAnsi="Times New Roman"/>
          <w:sz w:val="24"/>
          <w:szCs w:val="24"/>
          <w:lang w:val="en-IN"/>
        </w:rPr>
        <w:t>colored</w:t>
      </w:r>
      <w:proofErr w:type="spellEnd"/>
      <w:r>
        <w:rPr>
          <w:rFonts w:ascii="Times New Roman" w:hAnsi="Times New Roman"/>
          <w:sz w:val="24"/>
          <w:szCs w:val="24"/>
          <w:lang w:val="en-IN"/>
        </w:rPr>
        <w:t xml:space="preserve"> urine noted, and decreas</w:t>
      </w:r>
      <w:r>
        <w:rPr>
          <w:rFonts w:ascii="Times New Roman" w:hAnsi="Times New Roman"/>
          <w:sz w:val="24"/>
          <w:szCs w:val="24"/>
          <w:lang w:val="en-IN"/>
        </w:rPr>
        <w:t xml:space="preserve">ed urine output. History of travel to Dubai, ate cheese for the first time. The serology showed positive in Direct Coombs Test (DCT) with decrease in </w:t>
      </w:r>
      <w:proofErr w:type="spellStart"/>
      <w:r>
        <w:rPr>
          <w:rFonts w:ascii="Times New Roman" w:hAnsi="Times New Roman"/>
          <w:sz w:val="24"/>
          <w:szCs w:val="24"/>
          <w:lang w:val="en-IN"/>
        </w:rPr>
        <w:t>Hemoglobin</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Hematocrit</w:t>
      </w:r>
      <w:proofErr w:type="spellEnd"/>
      <w:r>
        <w:rPr>
          <w:rFonts w:ascii="Times New Roman" w:hAnsi="Times New Roman"/>
          <w:sz w:val="24"/>
          <w:szCs w:val="24"/>
          <w:lang w:val="en-IN"/>
        </w:rPr>
        <w:t xml:space="preserve">, </w:t>
      </w:r>
      <w:r>
        <w:rPr>
          <w:rFonts w:ascii="Times New Roman" w:eastAsia="Arial" w:hAnsi="Times New Roman" w:cs="Times New Roman"/>
          <w:color w:val="001D35"/>
          <w:sz w:val="24"/>
          <w:szCs w:val="24"/>
          <w:lang w:val="en-IN"/>
        </w:rPr>
        <w:t xml:space="preserve">MCH, MCHC with Blood Picture showed as features of </w:t>
      </w:r>
      <w:proofErr w:type="spellStart"/>
      <w:r>
        <w:rPr>
          <w:rFonts w:ascii="Times New Roman" w:eastAsia="Arial" w:hAnsi="Times New Roman" w:cs="Times New Roman"/>
          <w:color w:val="001D35"/>
          <w:sz w:val="24"/>
          <w:szCs w:val="24"/>
          <w:lang w:val="en-IN"/>
        </w:rPr>
        <w:t>Hemolytic</w:t>
      </w:r>
      <w:proofErr w:type="spellEnd"/>
      <w:r>
        <w:rPr>
          <w:rFonts w:ascii="Times New Roman" w:eastAsia="Arial" w:hAnsi="Times New Roman" w:cs="Times New Roman"/>
          <w:color w:val="001D35"/>
          <w:sz w:val="24"/>
          <w:szCs w:val="24"/>
          <w:lang w:val="en-IN"/>
        </w:rPr>
        <w:t xml:space="preserve"> </w:t>
      </w:r>
      <w:proofErr w:type="spellStart"/>
      <w:r>
        <w:rPr>
          <w:rFonts w:ascii="Times New Roman" w:eastAsia="Arial" w:hAnsi="Times New Roman" w:cs="Times New Roman"/>
          <w:color w:val="001D35"/>
          <w:sz w:val="24"/>
          <w:szCs w:val="24"/>
          <w:lang w:val="en-IN"/>
        </w:rPr>
        <w:t>Anemia</w:t>
      </w:r>
      <w:proofErr w:type="spellEnd"/>
      <w:r>
        <w:rPr>
          <w:rFonts w:ascii="Times New Roman" w:eastAsia="Arial" w:hAnsi="Times New Roman" w:cs="Times New Roman"/>
          <w:color w:val="001D35"/>
          <w:sz w:val="24"/>
          <w:szCs w:val="24"/>
          <w:lang w:val="en-IN"/>
        </w:rPr>
        <w:t>. CRP, Bilirubi</w:t>
      </w:r>
      <w:r>
        <w:rPr>
          <w:rFonts w:ascii="Times New Roman" w:eastAsia="Arial" w:hAnsi="Times New Roman" w:cs="Times New Roman"/>
          <w:color w:val="001D35"/>
          <w:sz w:val="24"/>
          <w:szCs w:val="24"/>
          <w:lang w:val="en-IN"/>
        </w:rPr>
        <w:t xml:space="preserve">n, AST, ALP, Serum LDH levels were increased. This confirmed Autoimmune </w:t>
      </w:r>
      <w:proofErr w:type="spellStart"/>
      <w:r>
        <w:rPr>
          <w:rFonts w:ascii="Times New Roman" w:eastAsia="Arial" w:hAnsi="Times New Roman" w:cs="Times New Roman"/>
          <w:color w:val="001D35"/>
          <w:sz w:val="24"/>
          <w:szCs w:val="24"/>
          <w:lang w:val="en-IN"/>
        </w:rPr>
        <w:t>Hemolyic</w:t>
      </w:r>
      <w:proofErr w:type="spellEnd"/>
      <w:r>
        <w:rPr>
          <w:rFonts w:ascii="Times New Roman" w:eastAsia="Arial" w:hAnsi="Times New Roman" w:cs="Times New Roman"/>
          <w:color w:val="001D35"/>
          <w:sz w:val="24"/>
          <w:szCs w:val="24"/>
          <w:lang w:val="en-IN"/>
        </w:rPr>
        <w:t xml:space="preserve"> </w:t>
      </w:r>
      <w:proofErr w:type="spellStart"/>
      <w:r>
        <w:rPr>
          <w:rFonts w:ascii="Times New Roman" w:eastAsia="Arial" w:hAnsi="Times New Roman" w:cs="Times New Roman"/>
          <w:color w:val="001D35"/>
          <w:sz w:val="24"/>
          <w:szCs w:val="24"/>
          <w:lang w:val="en-IN"/>
        </w:rPr>
        <w:t>Anemia</w:t>
      </w:r>
      <w:proofErr w:type="spellEnd"/>
      <w:r>
        <w:rPr>
          <w:rFonts w:ascii="Times New Roman" w:eastAsia="Arial" w:hAnsi="Times New Roman" w:cs="Times New Roman"/>
          <w:color w:val="001D35"/>
          <w:sz w:val="24"/>
          <w:szCs w:val="24"/>
          <w:lang w:val="en-IN"/>
        </w:rPr>
        <w:t xml:space="preserve"> associated with liver enzyme elevation potentially due to severe </w:t>
      </w:r>
      <w:proofErr w:type="spellStart"/>
      <w:r>
        <w:rPr>
          <w:rFonts w:ascii="Times New Roman" w:eastAsia="Arial" w:hAnsi="Times New Roman" w:cs="Times New Roman"/>
          <w:color w:val="001D35"/>
          <w:sz w:val="24"/>
          <w:szCs w:val="24"/>
          <w:lang w:val="en-IN"/>
        </w:rPr>
        <w:t>hemolysis</w:t>
      </w:r>
      <w:proofErr w:type="spellEnd"/>
      <w:r>
        <w:rPr>
          <w:rFonts w:ascii="Times New Roman" w:eastAsia="Arial" w:hAnsi="Times New Roman" w:cs="Times New Roman"/>
          <w:color w:val="001D35"/>
          <w:sz w:val="24"/>
          <w:szCs w:val="24"/>
          <w:lang w:val="en-IN"/>
        </w:rPr>
        <w:t>, a rare condition with an estimated incidence of 0.2 per one million individuals younger than</w:t>
      </w:r>
      <w:r>
        <w:rPr>
          <w:rFonts w:ascii="Times New Roman" w:eastAsia="Arial" w:hAnsi="Times New Roman" w:cs="Times New Roman"/>
          <w:color w:val="001D35"/>
          <w:sz w:val="24"/>
          <w:szCs w:val="24"/>
          <w:lang w:val="en-IN"/>
        </w:rPr>
        <w:t xml:space="preserve"> 20 years. </w:t>
      </w:r>
      <w:r>
        <w:rPr>
          <w:rFonts w:ascii="Times New Roman" w:hAnsi="Times New Roman" w:cs="Times New Roman"/>
          <w:sz w:val="24"/>
          <w:szCs w:val="24"/>
          <w:lang w:val="en-IN"/>
        </w:rPr>
        <w:t xml:space="preserve"> Plan of care was primarily</w:t>
      </w:r>
      <w:r>
        <w:rPr>
          <w:rFonts w:ascii="Times New Roman" w:hAnsi="Times New Roman" w:cs="Times New Roman"/>
          <w:sz w:val="24"/>
          <w:szCs w:val="24"/>
          <w:lang w:val="en-IN"/>
        </w:rPr>
        <w:t xml:space="preserve"> with IV corticosteroids, blood transfusion, folate supplements. Other supportive medications were also given. The </w:t>
      </w:r>
      <w:r>
        <w:rPr>
          <w:rFonts w:ascii="Times New Roman" w:hAnsi="Times New Roman"/>
          <w:sz w:val="24"/>
          <w:szCs w:val="24"/>
          <w:lang w:val="en-IN"/>
        </w:rPr>
        <w:t>condition improved during the course of time in hospital and was discharged with oral medications.</w:t>
      </w:r>
    </w:p>
    <w:p w:rsidR="00ED50A8" w:rsidRDefault="00ED50A8">
      <w:pPr>
        <w:ind w:firstLine="720"/>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sz w:val="24"/>
          <w:szCs w:val="24"/>
          <w:lang w:val="en-IN"/>
        </w:rPr>
      </w:pPr>
      <w:r>
        <w:rPr>
          <w:rFonts w:ascii="Times New Roman" w:hAnsi="Times New Roman" w:cs="Times New Roman"/>
          <w:b/>
          <w:sz w:val="24"/>
          <w:szCs w:val="24"/>
          <w:u w:val="single"/>
          <w:lang w:val="en-IN"/>
        </w:rPr>
        <w:t>KEY</w:t>
      </w:r>
      <w:r>
        <w:rPr>
          <w:rFonts w:ascii="Times New Roman" w:hAnsi="Times New Roman" w:cs="Times New Roman"/>
          <w:b/>
          <w:sz w:val="24"/>
          <w:szCs w:val="24"/>
          <w:u w:val="single"/>
          <w:lang w:val="en-IN"/>
        </w:rPr>
        <w:t>WORDS:</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Direct Coombs Test (DCT),</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Autoimmune </w:t>
      </w:r>
      <w:proofErr w:type="spellStart"/>
      <w:r>
        <w:rPr>
          <w:rFonts w:ascii="Times New Roman" w:hAnsi="Times New Roman" w:cs="Times New Roman"/>
          <w:sz w:val="24"/>
          <w:szCs w:val="24"/>
          <w:lang w:val="en-IN"/>
        </w:rPr>
        <w:t>Hemolytic</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 xml:space="preserve"> (AIHA), Liver Enzyme, </w:t>
      </w:r>
      <w:proofErr w:type="spellStart"/>
      <w:r>
        <w:rPr>
          <w:rFonts w:ascii="Times New Roman" w:hAnsi="Times New Roman" w:cs="Times New Roman"/>
          <w:sz w:val="24"/>
          <w:szCs w:val="24"/>
          <w:lang w:val="en-IN"/>
        </w:rPr>
        <w:t>hemolysis</w:t>
      </w:r>
      <w:proofErr w:type="spellEnd"/>
      <w:r>
        <w:rPr>
          <w:rFonts w:ascii="Times New Roman" w:hAnsi="Times New Roman" w:cs="Times New Roman"/>
          <w:sz w:val="24"/>
          <w:szCs w:val="24"/>
          <w:lang w:val="en-IN"/>
        </w:rPr>
        <w:t>, corticosteroids</w:t>
      </w:r>
    </w:p>
    <w:p w:rsidR="00ED50A8" w:rsidRDefault="00ED50A8">
      <w:pPr>
        <w:jc w:val="both"/>
        <w:rPr>
          <w:rFonts w:ascii="Times New Roman" w:hAnsi="Times New Roman" w:cs="Times New Roman"/>
          <w:sz w:val="24"/>
          <w:szCs w:val="24"/>
          <w:lang w:val="en-IN"/>
        </w:rPr>
      </w:pPr>
    </w:p>
    <w:p w:rsidR="00ED50A8" w:rsidRDefault="00ED50A8">
      <w:pPr>
        <w:jc w:val="both"/>
        <w:rPr>
          <w:rFonts w:ascii="Times New Roman" w:hAnsi="Times New Roman" w:cs="Times New Roman"/>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INTRODUCTION</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 xml:space="preserve">Autoimmune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(AIHA) is a rare but clinically significant disorder in which the immune system produces </w:t>
      </w:r>
      <w:r>
        <w:rPr>
          <w:rFonts w:ascii="Times New Roman" w:hAnsi="Times New Roman"/>
          <w:sz w:val="24"/>
          <w:szCs w:val="24"/>
          <w:lang w:val="en-IN"/>
        </w:rPr>
        <w:t xml:space="preserve">antibodies that target and destroy the body’s own red blood cells, leading to </w:t>
      </w:r>
      <w:proofErr w:type="spellStart"/>
      <w:r>
        <w:rPr>
          <w:rFonts w:ascii="Times New Roman" w:hAnsi="Times New Roman"/>
          <w:sz w:val="24"/>
          <w:szCs w:val="24"/>
          <w:lang w:val="en-IN"/>
        </w:rPr>
        <w:t>hemolysis</w:t>
      </w:r>
      <w:proofErr w:type="spellEnd"/>
      <w:r>
        <w:rPr>
          <w:rFonts w:ascii="Times New Roman" w:hAnsi="Times New Roman"/>
          <w:sz w:val="24"/>
          <w:szCs w:val="24"/>
          <w:lang w:val="en-IN"/>
        </w:rPr>
        <w:t xml:space="preserve"> and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This condition is more common in adults but remains relatively rare in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populations. AIHA can be classified into two main types: warm autoimmune </w:t>
      </w:r>
      <w:proofErr w:type="spellStart"/>
      <w:r>
        <w:rPr>
          <w:rFonts w:ascii="Times New Roman" w:hAnsi="Times New Roman"/>
          <w:sz w:val="24"/>
          <w:szCs w:val="24"/>
          <w:lang w:val="en-IN"/>
        </w:rPr>
        <w:t>he</w:t>
      </w:r>
      <w:r>
        <w:rPr>
          <w:rFonts w:ascii="Times New Roman" w:hAnsi="Times New Roman"/>
          <w:sz w:val="24"/>
          <w:szCs w:val="24"/>
          <w:lang w:val="en-IN"/>
        </w:rPr>
        <w:t>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(WAIHA), where antibodies react at body temperature, and cold agglutinin disease (CAD), where antibodies are active at colder temperatures. In children, AIHA can be primary (idiopathic) or secondary, often associated with infections, autoimm</w:t>
      </w:r>
      <w:r>
        <w:rPr>
          <w:rFonts w:ascii="Times New Roman" w:hAnsi="Times New Roman"/>
          <w:sz w:val="24"/>
          <w:szCs w:val="24"/>
          <w:lang w:val="en-IN"/>
        </w:rPr>
        <w:t xml:space="preserve">une diseases (such as systemic lupus erythematosus), or hematologic malignancies (e.g., lymphoma or </w:t>
      </w:r>
      <w:proofErr w:type="spellStart"/>
      <w:r>
        <w:rPr>
          <w:rFonts w:ascii="Times New Roman" w:hAnsi="Times New Roman"/>
          <w:sz w:val="24"/>
          <w:szCs w:val="24"/>
          <w:lang w:val="en-IN"/>
        </w:rPr>
        <w:t>leukemia</w:t>
      </w:r>
      <w:proofErr w:type="spellEnd"/>
      <w:r>
        <w:rPr>
          <w:rFonts w:ascii="Times New Roman" w:hAnsi="Times New Roman"/>
          <w:sz w:val="24"/>
          <w:szCs w:val="24"/>
          <w:lang w:val="en-IN"/>
        </w:rPr>
        <w:t>) [1][2].</w:t>
      </w:r>
    </w:p>
    <w:p w:rsidR="00ED50A8" w:rsidRDefault="00ED45D5">
      <w:pPr>
        <w:ind w:firstLine="720"/>
        <w:jc w:val="both"/>
        <w:rPr>
          <w:rFonts w:ascii="Times New Roman" w:hAnsi="Times New Roman"/>
          <w:sz w:val="24"/>
          <w:szCs w:val="24"/>
          <w:lang w:val="en-IN"/>
        </w:rPr>
      </w:pP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AIHA often presents with clinical features such as pallor, jaundice, fatigue, and splenomegaly, and it can be triggered by viral</w:t>
      </w:r>
      <w:r>
        <w:rPr>
          <w:rFonts w:ascii="Times New Roman" w:hAnsi="Times New Roman"/>
          <w:sz w:val="24"/>
          <w:szCs w:val="24"/>
          <w:lang w:val="en-IN"/>
        </w:rPr>
        <w:t xml:space="preserve"> infections like Epstein-Barr virus or Mycoplasma pneumoniae, or as part of an underlying autoimmune condition. Diagnosis is confirmed through laboratory tests, including a direct Coombs test, reticulocyte count, and peripheral blood smear, which show evid</w:t>
      </w:r>
      <w:r>
        <w:rPr>
          <w:rFonts w:ascii="Times New Roman" w:hAnsi="Times New Roman"/>
          <w:sz w:val="24"/>
          <w:szCs w:val="24"/>
          <w:lang w:val="en-IN"/>
        </w:rPr>
        <w:t xml:space="preserve">ence of </w:t>
      </w:r>
      <w:proofErr w:type="spellStart"/>
      <w:r>
        <w:rPr>
          <w:rFonts w:ascii="Times New Roman" w:hAnsi="Times New Roman"/>
          <w:sz w:val="24"/>
          <w:szCs w:val="24"/>
          <w:lang w:val="en-IN"/>
        </w:rPr>
        <w:t>hemolysis</w:t>
      </w:r>
      <w:proofErr w:type="spellEnd"/>
      <w:r>
        <w:rPr>
          <w:rFonts w:ascii="Times New Roman" w:hAnsi="Times New Roman"/>
          <w:sz w:val="24"/>
          <w:szCs w:val="24"/>
          <w:lang w:val="en-IN"/>
        </w:rPr>
        <w:t xml:space="preserve"> and antibody-coated red blood cells [3][4].</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The management of AIHA in children depends on the severity of the disease and may include corticosteroids, intravenous immunoglobulin (</w:t>
      </w:r>
      <w:proofErr w:type="spellStart"/>
      <w:r>
        <w:rPr>
          <w:rFonts w:ascii="Times New Roman" w:hAnsi="Times New Roman"/>
          <w:sz w:val="24"/>
          <w:szCs w:val="24"/>
          <w:lang w:val="en-IN"/>
        </w:rPr>
        <w:t>IVIg</w:t>
      </w:r>
      <w:proofErr w:type="spellEnd"/>
      <w:r>
        <w:rPr>
          <w:rFonts w:ascii="Times New Roman" w:hAnsi="Times New Roman"/>
          <w:sz w:val="24"/>
          <w:szCs w:val="24"/>
          <w:lang w:val="en-IN"/>
        </w:rPr>
        <w:t>), or, in more refractory cases, rituximab, azathioprin</w:t>
      </w:r>
      <w:r>
        <w:rPr>
          <w:rFonts w:ascii="Times New Roman" w:hAnsi="Times New Roman"/>
          <w:sz w:val="24"/>
          <w:szCs w:val="24"/>
          <w:lang w:val="en-IN"/>
        </w:rPr>
        <w:t xml:space="preserve">e, or splenectomy. Early diagnosis and treatment are essential to prevent severe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crises, and potential organ damage [5][6].</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Although AIHA in children is uncommon, it remains an important condition to consider in the differential diagnosis</w:t>
      </w:r>
      <w:r>
        <w:rPr>
          <w:rFonts w:ascii="Times New Roman" w:hAnsi="Times New Roman"/>
          <w:sz w:val="24"/>
          <w:szCs w:val="24"/>
          <w:lang w:val="en-IN"/>
        </w:rPr>
        <w:t xml:space="preserve"> of unexplained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Further research into the pathophysiology and optimal management strategies for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AIHA is needed to improve patient outcomes [7][8].</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 xml:space="preserve">Autoimmune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(AIHA) is considered a rare condition, particularly in </w:t>
      </w:r>
      <w:proofErr w:type="spellStart"/>
      <w:r>
        <w:rPr>
          <w:rFonts w:ascii="Times New Roman" w:hAnsi="Times New Roman"/>
          <w:sz w:val="24"/>
          <w:szCs w:val="24"/>
          <w:lang w:val="en-IN"/>
        </w:rPr>
        <w:t>pediatri</w:t>
      </w:r>
      <w:r>
        <w:rPr>
          <w:rFonts w:ascii="Times New Roman" w:hAnsi="Times New Roman"/>
          <w:sz w:val="24"/>
          <w:szCs w:val="24"/>
          <w:lang w:val="en-IN"/>
        </w:rPr>
        <w:t>c</w:t>
      </w:r>
      <w:proofErr w:type="spellEnd"/>
      <w:r>
        <w:rPr>
          <w:rFonts w:ascii="Times New Roman" w:hAnsi="Times New Roman"/>
          <w:sz w:val="24"/>
          <w:szCs w:val="24"/>
          <w:lang w:val="en-IN"/>
        </w:rPr>
        <w:t xml:space="preserve"> populations. While the overall incidence of AIHA in children is not precisely established, it is generally estimated to account for less than 1% of all cases of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in children. The incidence rate for AIHA in children is thought to be around 0.1 to 0.</w:t>
      </w:r>
      <w:r>
        <w:rPr>
          <w:rFonts w:ascii="Times New Roman" w:hAnsi="Times New Roman"/>
          <w:sz w:val="24"/>
          <w:szCs w:val="24"/>
          <w:lang w:val="en-IN"/>
        </w:rPr>
        <w:t xml:space="preserve">2 cases per 100,000 children per year. This rarity is reflected in the overall low frequency of autoimmune-related hematologic disorders in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populations compared to adults. Despite its rarity, AIHA is important to recognize because, in some cases,</w:t>
      </w:r>
      <w:r>
        <w:rPr>
          <w:rFonts w:ascii="Times New Roman" w:hAnsi="Times New Roman"/>
          <w:sz w:val="24"/>
          <w:szCs w:val="24"/>
          <w:lang w:val="en-IN"/>
        </w:rPr>
        <w:t xml:space="preserve"> it can lead to significant morbidity or mortality if not promptly diagnosed and treated. The condition may be idiopathic or secondary to infections, malignancies, or autoimmune disorders, but its exact incidence is difficult to pinpoint because of its het</w:t>
      </w:r>
      <w:r>
        <w:rPr>
          <w:rFonts w:ascii="Times New Roman" w:hAnsi="Times New Roman"/>
          <w:sz w:val="24"/>
          <w:szCs w:val="24"/>
          <w:lang w:val="en-IN"/>
        </w:rPr>
        <w:t xml:space="preserve">erogeneous nature and the overlap with other causes of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in children </w:t>
      </w:r>
    </w:p>
    <w:p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Here we are reporting a case of wrong dosage form and monitoring of DMARDs induced Abdominal Uterine Bleeding with endometrial polyp followed by severe </w:t>
      </w:r>
      <w:proofErr w:type="spellStart"/>
      <w:proofErr w:type="gram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9][10].</w:t>
      </w:r>
    </w:p>
    <w:p w:rsidR="00ED50A8" w:rsidRDefault="00ED50A8">
      <w:pPr>
        <w:ind w:firstLine="720"/>
        <w:jc w:val="both"/>
        <w:rPr>
          <w:rFonts w:ascii="Times New Roman" w:hAnsi="Times New Roman" w:cs="Times New Roman"/>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CASE REPORT</w:t>
      </w:r>
    </w:p>
    <w:p w:rsidR="00ED50A8" w:rsidRDefault="00ED45D5">
      <w:pPr>
        <w:jc w:val="both"/>
        <w:rPr>
          <w:rFonts w:ascii="Times New Roman" w:hAnsi="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A</w:t>
      </w:r>
      <w:r>
        <w:rPr>
          <w:rFonts w:ascii="Times New Roman" w:hAnsi="Times New Roman" w:cs="Times New Roman"/>
          <w:b/>
          <w:sz w:val="24"/>
          <w:szCs w:val="24"/>
          <w:lang w:val="en-IN"/>
        </w:rPr>
        <w:t xml:space="preserve"> </w:t>
      </w:r>
      <w:proofErr w:type="gramStart"/>
      <w:r>
        <w:rPr>
          <w:rFonts w:ascii="Times New Roman" w:hAnsi="Times New Roman" w:cs="Times New Roman"/>
          <w:bCs/>
          <w:sz w:val="24"/>
          <w:szCs w:val="24"/>
          <w:lang w:val="en-IN"/>
        </w:rPr>
        <w:t>03 year old</w:t>
      </w:r>
      <w:proofErr w:type="gramEnd"/>
      <w:r>
        <w:rPr>
          <w:rFonts w:ascii="Times New Roman" w:hAnsi="Times New Roman" w:cs="Times New Roman"/>
          <w:bCs/>
          <w:sz w:val="24"/>
          <w:szCs w:val="24"/>
          <w:lang w:val="en-IN"/>
        </w:rPr>
        <w:t xml:space="preserve"> male patient was admitted to </w:t>
      </w:r>
      <w:proofErr w:type="spellStart"/>
      <w:r>
        <w:rPr>
          <w:rFonts w:ascii="Times New Roman" w:hAnsi="Times New Roman" w:cs="Times New Roman"/>
          <w:bCs/>
          <w:sz w:val="24"/>
          <w:szCs w:val="24"/>
          <w:lang w:val="en-IN"/>
        </w:rPr>
        <w:t>Pediatrics</w:t>
      </w:r>
      <w:proofErr w:type="spellEnd"/>
      <w:r>
        <w:rPr>
          <w:rFonts w:ascii="Times New Roman" w:hAnsi="Times New Roman" w:cs="Times New Roman"/>
          <w:bCs/>
          <w:sz w:val="24"/>
          <w:szCs w:val="24"/>
          <w:lang w:val="en-IN"/>
        </w:rPr>
        <w:t xml:space="preserve"> department with the complaints</w:t>
      </w:r>
      <w:r>
        <w:rPr>
          <w:rFonts w:ascii="Times New Roman" w:hAnsi="Times New Roman"/>
          <w:bCs/>
          <w:sz w:val="24"/>
          <w:szCs w:val="24"/>
          <w:lang w:val="en-IN"/>
        </w:rPr>
        <w:t xml:space="preserve"> of fever, 5 episodes of vomiting with mucus content, yellowish discolouration of eyes and dark coloured urine noted on a day before admit. Abdominal pain, decreased appeti</w:t>
      </w:r>
      <w:r>
        <w:rPr>
          <w:rFonts w:ascii="Times New Roman" w:hAnsi="Times New Roman"/>
          <w:bCs/>
          <w:sz w:val="24"/>
          <w:szCs w:val="24"/>
          <w:lang w:val="en-IN"/>
        </w:rPr>
        <w:t xml:space="preserve">te for last 2 days. </w:t>
      </w:r>
    </w:p>
    <w:p w:rsidR="00ED50A8" w:rsidRDefault="00ED45D5">
      <w:pPr>
        <w:jc w:val="both"/>
        <w:rPr>
          <w:rFonts w:ascii="Times New Roman" w:hAnsi="Times New Roman"/>
          <w:bCs/>
          <w:sz w:val="24"/>
          <w:szCs w:val="24"/>
          <w:lang w:val="en-IN"/>
        </w:rPr>
      </w:pPr>
      <w:r>
        <w:rPr>
          <w:rFonts w:ascii="Times New Roman" w:hAnsi="Times New Roman" w:cs="Times New Roman"/>
          <w:bCs/>
          <w:sz w:val="24"/>
          <w:szCs w:val="24"/>
          <w:lang w:val="en-IN"/>
        </w:rPr>
        <w:tab/>
        <w:t>The patient was conscious, oriented with icterus, heart sounds were heard, chest was clear, was able to move all limbs and was having abdominal distension. He was i</w:t>
      </w:r>
      <w:r>
        <w:rPr>
          <w:rFonts w:ascii="Times New Roman" w:hAnsi="Times New Roman"/>
          <w:bCs/>
          <w:sz w:val="24"/>
          <w:szCs w:val="24"/>
          <w:lang w:val="en-IN"/>
        </w:rPr>
        <w:t xml:space="preserve">mmunized </w:t>
      </w:r>
      <w:proofErr w:type="spellStart"/>
      <w:r>
        <w:rPr>
          <w:rFonts w:ascii="Times New Roman" w:hAnsi="Times New Roman"/>
          <w:bCs/>
          <w:sz w:val="24"/>
          <w:szCs w:val="24"/>
          <w:lang w:val="en-IN"/>
        </w:rPr>
        <w:t>upto</w:t>
      </w:r>
      <w:proofErr w:type="spellEnd"/>
      <w:r>
        <w:rPr>
          <w:rFonts w:ascii="Times New Roman" w:hAnsi="Times New Roman"/>
          <w:bCs/>
          <w:sz w:val="24"/>
          <w:szCs w:val="24"/>
          <w:lang w:val="en-IN"/>
        </w:rPr>
        <w:t xml:space="preserve"> age, </w:t>
      </w:r>
      <w:proofErr w:type="spellStart"/>
      <w:r>
        <w:rPr>
          <w:rFonts w:ascii="Times New Roman" w:hAnsi="Times New Roman"/>
          <w:bCs/>
          <w:sz w:val="24"/>
          <w:szCs w:val="24"/>
          <w:lang w:val="en-IN"/>
        </w:rPr>
        <w:t>well nourished</w:t>
      </w:r>
      <w:proofErr w:type="spellEnd"/>
      <w:r>
        <w:rPr>
          <w:rFonts w:ascii="Times New Roman" w:hAnsi="Times New Roman"/>
          <w:bCs/>
          <w:sz w:val="24"/>
          <w:szCs w:val="24"/>
          <w:lang w:val="en-IN"/>
        </w:rPr>
        <w:t xml:space="preserve"> and attained all milestones </w:t>
      </w:r>
      <w:proofErr w:type="spellStart"/>
      <w:r>
        <w:rPr>
          <w:rFonts w:ascii="Times New Roman" w:hAnsi="Times New Roman"/>
          <w:bCs/>
          <w:sz w:val="24"/>
          <w:szCs w:val="24"/>
          <w:lang w:val="en-IN"/>
        </w:rPr>
        <w:t>upto</w:t>
      </w:r>
      <w:proofErr w:type="spellEnd"/>
      <w:r>
        <w:rPr>
          <w:rFonts w:ascii="Times New Roman" w:hAnsi="Times New Roman"/>
          <w:bCs/>
          <w:sz w:val="24"/>
          <w:szCs w:val="24"/>
          <w:lang w:val="en-IN"/>
        </w:rPr>
        <w:t xml:space="preserve"> </w:t>
      </w:r>
      <w:r>
        <w:rPr>
          <w:rFonts w:ascii="Times New Roman" w:hAnsi="Times New Roman"/>
          <w:bCs/>
          <w:sz w:val="24"/>
          <w:szCs w:val="24"/>
          <w:lang w:val="en-IN"/>
        </w:rPr>
        <w:t>age. The weaning was at 1.5 years age. He was taken SYP. CEFIXIME 2 doses was taken on last day from outside clinic. History of travel to Dubai and ate cheese for first time. The provisional diagnosis was food poison or cheese allergy.</w:t>
      </w:r>
      <w:r>
        <w:rPr>
          <w:rFonts w:ascii="Times New Roman" w:hAnsi="Times New Roman" w:cs="Times New Roman"/>
          <w:bCs/>
          <w:sz w:val="24"/>
          <w:szCs w:val="24"/>
          <w:lang w:val="en-IN"/>
        </w:rPr>
        <w:t xml:space="preserve"> During admission, he</w:t>
      </w:r>
      <w:r>
        <w:rPr>
          <w:rFonts w:ascii="Times New Roman" w:hAnsi="Times New Roman" w:cs="Times New Roman"/>
          <w:bCs/>
          <w:sz w:val="24"/>
          <w:szCs w:val="24"/>
          <w:lang w:val="en-IN"/>
        </w:rPr>
        <w:t xml:space="preserve"> had a Pulse Rate of 72 beats/min, Respiratory Rate of 20 breaths/min, Blood Pressure of 120/80mmHg. His laboratory investigation showed an elevation in </w:t>
      </w:r>
      <w:r>
        <w:rPr>
          <w:rFonts w:ascii="Times New Roman" w:hAnsi="Times New Roman"/>
          <w:bCs/>
          <w:sz w:val="24"/>
          <w:szCs w:val="24"/>
          <w:lang w:val="en-IN"/>
        </w:rPr>
        <w:t xml:space="preserve">CRP (71.0, 71.0, 45.0 mg/L), Bilirubin (4.96 </w:t>
      </w:r>
      <w:proofErr w:type="spellStart"/>
      <w:r>
        <w:rPr>
          <w:rFonts w:ascii="Times New Roman" w:hAnsi="Times New Roman"/>
          <w:bCs/>
          <w:sz w:val="24"/>
          <w:szCs w:val="24"/>
          <w:lang w:val="en-IN"/>
        </w:rPr>
        <w:t>mgldL</w:t>
      </w:r>
      <w:proofErr w:type="spellEnd"/>
      <w:r>
        <w:rPr>
          <w:rFonts w:ascii="Times New Roman" w:hAnsi="Times New Roman"/>
          <w:bCs/>
          <w:sz w:val="24"/>
          <w:szCs w:val="24"/>
          <w:lang w:val="en-IN"/>
        </w:rPr>
        <w:t xml:space="preserve">), AST (97 U/L), ALP (146 U/L), Serum LDH (1843 U/L) </w:t>
      </w:r>
      <w:r>
        <w:rPr>
          <w:rFonts w:ascii="Times New Roman" w:hAnsi="Times New Roman"/>
          <w:bCs/>
          <w:sz w:val="24"/>
          <w:szCs w:val="24"/>
          <w:lang w:val="en-IN"/>
        </w:rPr>
        <w:t xml:space="preserve">and the declined parameters were </w:t>
      </w:r>
      <w:proofErr w:type="spellStart"/>
      <w:r>
        <w:rPr>
          <w:rFonts w:ascii="Times New Roman" w:hAnsi="Times New Roman"/>
          <w:bCs/>
          <w:sz w:val="24"/>
          <w:szCs w:val="24"/>
          <w:lang w:val="en-IN"/>
        </w:rPr>
        <w:t>Hemoglobin</w:t>
      </w:r>
      <w:proofErr w:type="spellEnd"/>
      <w:r>
        <w:rPr>
          <w:rFonts w:ascii="Times New Roman" w:hAnsi="Times New Roman"/>
          <w:bCs/>
          <w:sz w:val="24"/>
          <w:szCs w:val="24"/>
          <w:lang w:val="en-IN"/>
        </w:rPr>
        <w:t xml:space="preserve"> (4.9, 7.0 g/dL), </w:t>
      </w:r>
      <w:proofErr w:type="spellStart"/>
      <w:r>
        <w:rPr>
          <w:rFonts w:ascii="Times New Roman" w:hAnsi="Times New Roman"/>
          <w:bCs/>
          <w:sz w:val="24"/>
          <w:szCs w:val="24"/>
          <w:lang w:val="en-IN"/>
        </w:rPr>
        <w:t>Hematocrit</w:t>
      </w:r>
      <w:proofErr w:type="spellEnd"/>
      <w:r>
        <w:rPr>
          <w:rFonts w:ascii="Times New Roman" w:hAnsi="Times New Roman"/>
          <w:bCs/>
          <w:sz w:val="24"/>
          <w:szCs w:val="24"/>
          <w:lang w:val="en-IN"/>
        </w:rPr>
        <w:t xml:space="preserve"> (50.1%), MCH (23.9 </w:t>
      </w:r>
      <w:proofErr w:type="spellStart"/>
      <w:r>
        <w:rPr>
          <w:rFonts w:ascii="Times New Roman" w:hAnsi="Times New Roman"/>
          <w:bCs/>
          <w:sz w:val="24"/>
          <w:szCs w:val="24"/>
          <w:lang w:val="en-IN"/>
        </w:rPr>
        <w:t>pg</w:t>
      </w:r>
      <w:proofErr w:type="spellEnd"/>
      <w:r>
        <w:rPr>
          <w:rFonts w:ascii="Times New Roman" w:hAnsi="Times New Roman"/>
          <w:bCs/>
          <w:sz w:val="24"/>
          <w:szCs w:val="24"/>
          <w:lang w:val="en-IN"/>
        </w:rPr>
        <w:t xml:space="preserve">), MCHC (28.7 </w:t>
      </w:r>
      <w:proofErr w:type="spellStart"/>
      <w:r>
        <w:rPr>
          <w:rFonts w:ascii="Times New Roman" w:hAnsi="Times New Roman"/>
          <w:bCs/>
          <w:sz w:val="24"/>
          <w:szCs w:val="24"/>
          <w:lang w:val="en-IN"/>
        </w:rPr>
        <w:t>fL</w:t>
      </w:r>
      <w:proofErr w:type="spellEnd"/>
      <w:r>
        <w:rPr>
          <w:rFonts w:ascii="Times New Roman" w:hAnsi="Times New Roman"/>
          <w:bCs/>
          <w:sz w:val="24"/>
          <w:szCs w:val="24"/>
          <w:lang w:val="en-IN"/>
        </w:rPr>
        <w:t xml:space="preserve">). Direct Coombs Test was positive. Blood picture showed features of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USG Abdomen showed borderline hepatomegaly. Based on these i</w:t>
      </w:r>
      <w:r>
        <w:rPr>
          <w:rFonts w:ascii="Times New Roman" w:hAnsi="Times New Roman"/>
          <w:bCs/>
          <w:sz w:val="24"/>
          <w:szCs w:val="24"/>
          <w:lang w:val="en-IN"/>
        </w:rPr>
        <w:t xml:space="preserve">nvestigations, he was diagnosed as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(AIHA).</w:t>
      </w:r>
    </w:p>
    <w:p w:rsidR="00ED50A8" w:rsidRDefault="00ED45D5">
      <w:pPr>
        <w:jc w:val="both"/>
        <w:rPr>
          <w:rFonts w:ascii="Times New Roman" w:eastAsia="Arial" w:hAnsi="Times New Roman" w:cs="Times New Roman"/>
          <w:color w:val="000000" w:themeColor="text1"/>
          <w:sz w:val="24"/>
          <w:szCs w:val="24"/>
          <w:lang w:val="en-IN"/>
        </w:rPr>
      </w:pPr>
      <w:r>
        <w:rPr>
          <w:rFonts w:ascii="Times New Roman" w:eastAsia="Arial" w:hAnsi="Times New Roman" w:cs="Times New Roman"/>
          <w:color w:val="000000" w:themeColor="text1"/>
          <w:sz w:val="24"/>
          <w:szCs w:val="24"/>
          <w:lang w:val="en-IN"/>
        </w:rPr>
        <w:t>I</w:t>
      </w:r>
      <w:r>
        <w:rPr>
          <w:rFonts w:ascii="Times New Roman" w:eastAsia="Arial" w:hAnsi="Times New Roman" w:cs="Times New Roman"/>
          <w:color w:val="000000" w:themeColor="text1"/>
          <w:sz w:val="24"/>
          <w:szCs w:val="24"/>
          <w:lang w:val="en-IN"/>
        </w:rPr>
        <w:t>nitially</w:t>
      </w:r>
      <w:r>
        <w:rPr>
          <w:rFonts w:ascii="Times New Roman" w:eastAsia="Arial" w:hAnsi="Times New Roman"/>
          <w:color w:val="000000" w:themeColor="text1"/>
          <w:sz w:val="24"/>
          <w:szCs w:val="24"/>
          <w:lang w:val="en-IN"/>
        </w:rPr>
        <w:t xml:space="preserve"> 20 PRBC given to manage the severe </w:t>
      </w:r>
      <w:proofErr w:type="spellStart"/>
      <w:r>
        <w:rPr>
          <w:rFonts w:ascii="Times New Roman" w:eastAsia="Arial" w:hAnsi="Times New Roman"/>
          <w:color w:val="000000" w:themeColor="text1"/>
          <w:sz w:val="24"/>
          <w:szCs w:val="24"/>
          <w:lang w:val="en-IN"/>
        </w:rPr>
        <w:t>anemia</w:t>
      </w:r>
      <w:proofErr w:type="spellEnd"/>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To manage the autoimmune condition, IV Corticosteroids were given (INJ. METHYL PREDNISOLONE 40 mg IV </w:t>
      </w:r>
      <w:proofErr w:type="gramStart"/>
      <w:r>
        <w:rPr>
          <w:rFonts w:ascii="Times New Roman" w:eastAsia="Arial" w:hAnsi="Times New Roman"/>
          <w:color w:val="000000" w:themeColor="text1"/>
          <w:sz w:val="24"/>
          <w:szCs w:val="24"/>
          <w:lang w:val="en-IN"/>
        </w:rPr>
        <w:t>OD )</w:t>
      </w:r>
      <w:proofErr w:type="gramEnd"/>
      <w:r>
        <w:rPr>
          <w:rFonts w:ascii="Times New Roman" w:eastAsia="Arial" w:hAnsi="Times New Roman"/>
          <w:color w:val="000000" w:themeColor="text1"/>
          <w:sz w:val="24"/>
          <w:szCs w:val="24"/>
          <w:lang w:val="en-IN"/>
        </w:rPr>
        <w:t>, then converted to oral fo</w:t>
      </w:r>
      <w:r>
        <w:rPr>
          <w:rFonts w:ascii="Times New Roman" w:eastAsia="Arial" w:hAnsi="Times New Roman"/>
          <w:color w:val="000000" w:themeColor="text1"/>
          <w:sz w:val="24"/>
          <w:szCs w:val="24"/>
          <w:lang w:val="en-IN"/>
        </w:rPr>
        <w:t>rm (T. PREDNISOLONE 10 mg P/O 1-1-1. To prevent the infection condition IV antibiotics were given (INJ. CEFOTAXIME SODIUM 100 mg, IV Q8H) and later converted to oral form (SYP. CEFIXIME 5 ml P/O BD). To prevent the gastric irritations H2 blockers were give</w:t>
      </w:r>
      <w:r>
        <w:rPr>
          <w:rFonts w:ascii="Times New Roman" w:eastAsia="Arial" w:hAnsi="Times New Roman"/>
          <w:color w:val="000000" w:themeColor="text1"/>
          <w:sz w:val="24"/>
          <w:szCs w:val="24"/>
          <w:lang w:val="en-IN"/>
        </w:rPr>
        <w:t xml:space="preserve">n (INJ. RANITIDINE 50 mg IV BD) and then converted to oral form (SYP. RANITIDINE 5 ml P/O BD). To improve the GI motility </w:t>
      </w:r>
      <w:proofErr w:type="gramStart"/>
      <w:r>
        <w:rPr>
          <w:rFonts w:ascii="Times New Roman" w:eastAsia="Arial" w:hAnsi="Times New Roman"/>
          <w:color w:val="000000" w:themeColor="text1"/>
          <w:sz w:val="24"/>
          <w:szCs w:val="24"/>
          <w:lang w:val="en-IN"/>
        </w:rPr>
        <w:t>( SYP</w:t>
      </w:r>
      <w:proofErr w:type="gramEnd"/>
      <w:r>
        <w:rPr>
          <w:rFonts w:ascii="Times New Roman" w:eastAsia="Arial" w:hAnsi="Times New Roman"/>
          <w:color w:val="000000" w:themeColor="text1"/>
          <w:sz w:val="24"/>
          <w:szCs w:val="24"/>
          <w:lang w:val="en-IN"/>
        </w:rPr>
        <w:t xml:space="preserve">. SUCRALFATE 5 ml P/O BD) were added. To manage the iron deficiency, (T. FOLIC ACID 5 mg P/O 0-1/2-0) were given. To prevent the </w:t>
      </w:r>
      <w:r>
        <w:rPr>
          <w:rFonts w:ascii="Times New Roman" w:eastAsia="Arial" w:hAnsi="Times New Roman"/>
          <w:color w:val="000000" w:themeColor="text1"/>
          <w:sz w:val="24"/>
          <w:szCs w:val="24"/>
          <w:lang w:val="en-IN"/>
        </w:rPr>
        <w:t>thrombophlebitis condition, (THROMBOTAS OINTMENT L/A 1-0-1) were given.</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On 9th day of admission, the patient was symptomatically stable and was discharged with T. PREDNISOLONE 10 mg P/O 1/2-1/2-1/2, T. FOLIC ACID 5 mg P/O 1/2-0-0, SYP. RANITIDINE 5 ml P/O </w:t>
      </w:r>
      <w:r>
        <w:rPr>
          <w:rFonts w:ascii="Times New Roman" w:eastAsia="Arial" w:hAnsi="Times New Roman"/>
          <w:color w:val="000000" w:themeColor="text1"/>
          <w:sz w:val="24"/>
          <w:szCs w:val="24"/>
          <w:lang w:val="en-IN"/>
        </w:rPr>
        <w:t>1-0-1.</w:t>
      </w:r>
    </w:p>
    <w:p w:rsidR="00ED50A8" w:rsidRDefault="00ED50A8">
      <w:pPr>
        <w:jc w:val="both"/>
        <w:rPr>
          <w:rFonts w:ascii="Times New Roman" w:eastAsia="Arial" w:hAnsi="Times New Roman" w:cs="Times New Roman"/>
          <w:color w:val="000000" w:themeColor="text1"/>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w:t>
      </w:r>
    </w:p>
    <w:p w:rsidR="00ED50A8" w:rsidRDefault="00ED45D5">
      <w:pPr>
        <w:pStyle w:val="NormalWeb"/>
        <w:jc w:val="both"/>
        <w:rPr>
          <w:lang w:val="en-IN"/>
        </w:rPr>
      </w:pPr>
      <w:r>
        <w:rPr>
          <w:b/>
          <w:lang w:val="en-IN"/>
        </w:rPr>
        <w:tab/>
      </w:r>
      <w:r>
        <w:rPr>
          <w:bCs/>
          <w:lang w:val="en-IN"/>
        </w:rPr>
        <w:t xml:space="preserve"> </w:t>
      </w:r>
      <w:r>
        <w:t xml:space="preserve">Autoimmune Hemolytic Anemia (AIHA) is a rare but potentially serious hematologic condition in pediatric patients, characterized by the immune system producing antibodies that attack the body's own red blood cells, leading to </w:t>
      </w:r>
      <w:r>
        <w:t>their premature destruction and resulting in anemia. The prevalence in individuals under 20 years is approximately 0.2 per million, making it a rare clinical finding in this age group. AIHA may present acutely or insidiously, with symptoms including pallor</w:t>
      </w:r>
      <w:r>
        <w:t>, fatigue, jaundice, dark urine, hepatosplenomegaly, and in severe cases, cardiovascular compromise. In this rare case, the child presented with complications such as severe anemia, hyperbilirubinemia, borderline hepatomegaly, and thrombophlebitis, highlig</w:t>
      </w:r>
      <w:r>
        <w:t xml:space="preserve">hting the aggressive nature of the disease. Diagnosis is primarily based on clinical features, laboratory findings including a positive direct antiglobulin (Coombs) test, and supportive markers of hemolysis such as elevated LDH, indirect bilirubin, and </w:t>
      </w:r>
      <w:proofErr w:type="spellStart"/>
      <w:r>
        <w:t>ret</w:t>
      </w:r>
      <w:r>
        <w:t>iculocytosis</w:t>
      </w:r>
      <w:proofErr w:type="spellEnd"/>
      <w:r>
        <w:t>. Management typically involves corticosteroids as first-line therapy, with immunosuppressants or IVIG used in refractory cases; blood transfusions may be required for acute anemia, though cross-matching can be challenging due to autoantibodies</w:t>
      </w:r>
      <w:r>
        <w:t>. Prognosis depends largely on the underlying cause and the patient’s response to therapy, with early diagnosis and intervention being crucial to avoid long-term complications like chronic anemia, iron overload, organ damage, or thromboembolic events. Regu</w:t>
      </w:r>
      <w:r>
        <w:t>lar follow-up is essential for monitoring disease activity, therapy response, and early detection of relapses or complications, ensuring optimal long-term outcomes for affected children.</w:t>
      </w:r>
      <w:r>
        <w:rPr>
          <w:lang w:val="en-IN"/>
        </w:rPr>
        <w:t xml:space="preserve"> [11, 12]</w:t>
      </w:r>
    </w:p>
    <w:p w:rsidR="00ED50A8" w:rsidRDefault="00ED50A8">
      <w:pPr>
        <w:jc w:val="both"/>
        <w:rPr>
          <w:rFonts w:ascii="Times New Roman" w:hAnsi="Times New Roman" w:cs="Times New Roman"/>
          <w:bCs/>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CONCLUSION</w:t>
      </w:r>
    </w:p>
    <w:p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w:t>
      </w:r>
      <w:r>
        <w:rPr>
          <w:rFonts w:ascii="Times New Roman" w:hAnsi="Times New Roman"/>
          <w:bCs/>
          <w:sz w:val="24"/>
          <w:szCs w:val="24"/>
          <w:lang w:val="en-IN"/>
        </w:rPr>
        <w:t xml:space="preserve">his rare case of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w:t>
      </w:r>
      <w:r>
        <w:rPr>
          <w:rFonts w:ascii="Times New Roman" w:hAnsi="Times New Roman"/>
          <w:bCs/>
          <w:sz w:val="24"/>
          <w:szCs w:val="24"/>
          <w:lang w:val="en-IN"/>
        </w:rPr>
        <w:t xml:space="preserve">AIHA) in a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patient highlights the importance of a comprehensive approach to diagnosis and management, particularly when secondary causes are suspected. First-line treatment with corticosteroids was initiated, with close monitoring for any signs o</w:t>
      </w:r>
      <w:r>
        <w:rPr>
          <w:rFonts w:ascii="Times New Roman" w:hAnsi="Times New Roman"/>
          <w:bCs/>
          <w:sz w:val="24"/>
          <w:szCs w:val="24"/>
          <w:lang w:val="en-IN"/>
        </w:rPr>
        <w:t xml:space="preserve">f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crises or complications. Given the patient’s response to therapy, the prognosis remains </w:t>
      </w:r>
      <w:proofErr w:type="spellStart"/>
      <w:r>
        <w:rPr>
          <w:rFonts w:ascii="Times New Roman" w:hAnsi="Times New Roman"/>
          <w:bCs/>
          <w:sz w:val="24"/>
          <w:szCs w:val="24"/>
          <w:lang w:val="en-IN"/>
        </w:rPr>
        <w:t>favorable</w:t>
      </w:r>
      <w:proofErr w:type="spellEnd"/>
      <w:r>
        <w:rPr>
          <w:rFonts w:ascii="Times New Roman" w:hAnsi="Times New Roman"/>
          <w:bCs/>
          <w:sz w:val="24"/>
          <w:szCs w:val="24"/>
          <w:lang w:val="en-IN"/>
        </w:rPr>
        <w:t>, though ongoing follow-up is necessary to ensure complete recovery. This case emphasizes that while AIHA is rare in children, it should be conside</w:t>
      </w:r>
      <w:r>
        <w:rPr>
          <w:rFonts w:ascii="Times New Roman" w:hAnsi="Times New Roman"/>
          <w:bCs/>
          <w:sz w:val="24"/>
          <w:szCs w:val="24"/>
          <w:lang w:val="en-IN"/>
        </w:rPr>
        <w:t xml:space="preserve">red in the differential diagnosis of unexplained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especially when accompanied by jaundice, splenomegaly, or a recent viral infection. Early diagnosis and appropriate management are crucial for preventing complications and improving outcomes. </w:t>
      </w:r>
    </w:p>
    <w:p w:rsidR="00ED50A8" w:rsidRDefault="00ED50A8">
      <w:pPr>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ACKNO</w:t>
      </w:r>
      <w:r>
        <w:rPr>
          <w:rFonts w:ascii="Times New Roman" w:hAnsi="Times New Roman" w:cs="Times New Roman"/>
          <w:b/>
          <w:sz w:val="24"/>
          <w:szCs w:val="24"/>
          <w:lang w:val="en-IN"/>
        </w:rPr>
        <w:t>WLEDGEMENT</w:t>
      </w:r>
    </w:p>
    <w:p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 xml:space="preserve">The case report was supported by the </w:t>
      </w:r>
      <w:proofErr w:type="gramStart"/>
      <w:r>
        <w:rPr>
          <w:rFonts w:ascii="Times New Roman" w:hAnsi="Times New Roman" w:cs="Times New Roman"/>
          <w:bCs/>
          <w:sz w:val="24"/>
          <w:szCs w:val="24"/>
          <w:lang w:val="en-IN"/>
        </w:rPr>
        <w:t>above mentioned</w:t>
      </w:r>
      <w:proofErr w:type="gramEnd"/>
      <w:r>
        <w:rPr>
          <w:rFonts w:ascii="Times New Roman" w:hAnsi="Times New Roman" w:cs="Times New Roman"/>
          <w:bCs/>
          <w:sz w:val="24"/>
          <w:szCs w:val="24"/>
          <w:lang w:val="en-IN"/>
        </w:rPr>
        <w:t xml:space="preserve"> institution. We express our gratitude to the co- authors and guide who supported throughout the work.</w:t>
      </w:r>
    </w:p>
    <w:p w:rsidR="00ED50A8" w:rsidRDefault="00ED50A8">
      <w:pPr>
        <w:jc w:val="both"/>
        <w:rPr>
          <w:rFonts w:ascii="Times New Roman" w:hAnsi="Times New Roman" w:cs="Times New Roman"/>
          <w:bCs/>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CONFLICT OF INTEREST</w:t>
      </w:r>
    </w:p>
    <w:p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The authors declare that they have no conflict of interest.</w:t>
      </w: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FUNDIN</w:t>
      </w:r>
      <w:r>
        <w:rPr>
          <w:rFonts w:ascii="Times New Roman" w:hAnsi="Times New Roman" w:cs="Times New Roman"/>
          <w:b/>
          <w:sz w:val="24"/>
          <w:szCs w:val="24"/>
          <w:lang w:val="en-IN"/>
        </w:rPr>
        <w:t>G</w:t>
      </w:r>
    </w:p>
    <w:p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This received no specific grant from any funding agency in public, commercial or not for profit sectors.</w:t>
      </w:r>
    </w:p>
    <w:p w:rsidR="004C2B8E" w:rsidRPr="007A4135" w:rsidRDefault="004C2B8E" w:rsidP="004C2B8E">
      <w:pPr>
        <w:rPr>
          <w:highlight w:val="yellow"/>
        </w:rPr>
      </w:pPr>
      <w:r w:rsidRPr="007A4135">
        <w:rPr>
          <w:highlight w:val="yellow"/>
        </w:rPr>
        <w:t>Disclaimer (Artificial intelligence)</w:t>
      </w:r>
    </w:p>
    <w:p w:rsidR="004C2B8E" w:rsidRPr="007A4135" w:rsidRDefault="004C2B8E" w:rsidP="004C2B8E">
      <w:pPr>
        <w:rPr>
          <w:highlight w:val="yellow"/>
        </w:rPr>
      </w:pPr>
      <w:r w:rsidRPr="007A4135">
        <w:rPr>
          <w:highlight w:val="yellow"/>
        </w:rPr>
        <w:t xml:space="preserve">Option 1: </w:t>
      </w:r>
    </w:p>
    <w:p w:rsidR="004C2B8E" w:rsidRPr="007A4135" w:rsidRDefault="004C2B8E" w:rsidP="004C2B8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4C2B8E" w:rsidRPr="007A4135" w:rsidRDefault="004C2B8E" w:rsidP="004C2B8E">
      <w:pPr>
        <w:rPr>
          <w:highlight w:val="yellow"/>
        </w:rPr>
      </w:pPr>
      <w:r w:rsidRPr="007A4135">
        <w:rPr>
          <w:highlight w:val="yellow"/>
        </w:rPr>
        <w:t xml:space="preserve">Option 2: </w:t>
      </w:r>
    </w:p>
    <w:p w:rsidR="004C2B8E" w:rsidRPr="007A4135" w:rsidRDefault="004C2B8E" w:rsidP="004C2B8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C2B8E" w:rsidRPr="007A4135" w:rsidRDefault="004C2B8E" w:rsidP="004C2B8E">
      <w:pPr>
        <w:rPr>
          <w:highlight w:val="yellow"/>
        </w:rPr>
      </w:pPr>
      <w:r w:rsidRPr="007A4135">
        <w:rPr>
          <w:highlight w:val="yellow"/>
        </w:rPr>
        <w:t>Details of the AI usage are given below:</w:t>
      </w:r>
    </w:p>
    <w:p w:rsidR="004C2B8E" w:rsidRPr="007A4135" w:rsidRDefault="004C2B8E" w:rsidP="004C2B8E">
      <w:pPr>
        <w:rPr>
          <w:highlight w:val="yellow"/>
        </w:rPr>
      </w:pPr>
      <w:r w:rsidRPr="007A4135">
        <w:rPr>
          <w:highlight w:val="yellow"/>
        </w:rPr>
        <w:t>1.</w:t>
      </w:r>
    </w:p>
    <w:p w:rsidR="004C2B8E" w:rsidRPr="007A4135" w:rsidRDefault="004C2B8E" w:rsidP="004C2B8E">
      <w:pPr>
        <w:rPr>
          <w:highlight w:val="yellow"/>
        </w:rPr>
      </w:pPr>
      <w:r w:rsidRPr="007A4135">
        <w:rPr>
          <w:highlight w:val="yellow"/>
        </w:rPr>
        <w:t>2.</w:t>
      </w:r>
    </w:p>
    <w:p w:rsidR="004C2B8E" w:rsidRPr="00D047BB" w:rsidRDefault="004C2B8E" w:rsidP="004C2B8E">
      <w:r w:rsidRPr="007A4135">
        <w:rPr>
          <w:highlight w:val="yellow"/>
        </w:rPr>
        <w:t>3.</w:t>
      </w:r>
    </w:p>
    <w:p w:rsidR="004C2B8E" w:rsidRDefault="004C2B8E">
      <w:pPr>
        <w:jc w:val="both"/>
        <w:rPr>
          <w:rFonts w:ascii="Times New Roman" w:hAnsi="Times New Roman" w:cs="Times New Roman"/>
          <w:bCs/>
          <w:sz w:val="24"/>
          <w:szCs w:val="24"/>
          <w:lang w:val="en-IN"/>
        </w:rPr>
      </w:pPr>
      <w:bookmarkStart w:id="0" w:name="_GoBack"/>
      <w:bookmarkEnd w:id="0"/>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REFERNCE</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1. </w:t>
      </w:r>
      <w:proofErr w:type="spellStart"/>
      <w:r>
        <w:rPr>
          <w:rFonts w:ascii="Times New Roman" w:hAnsi="Times New Roman"/>
          <w:bCs/>
          <w:sz w:val="24"/>
          <w:szCs w:val="24"/>
          <w:lang w:val="en-IN"/>
        </w:rPr>
        <w:t>Teshima</w:t>
      </w:r>
      <w:proofErr w:type="spellEnd"/>
      <w:r>
        <w:rPr>
          <w:rFonts w:ascii="Times New Roman" w:hAnsi="Times New Roman"/>
          <w:bCs/>
          <w:sz w:val="24"/>
          <w:szCs w:val="24"/>
          <w:lang w:val="en-IN"/>
        </w:rPr>
        <w:t xml:space="preserve">, T., et al. (2022).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Diagnosis and Management."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 xml:space="preserve"> Reviews, 16(4), 12</w:t>
      </w:r>
      <w:r>
        <w:rPr>
          <w:rFonts w:ascii="Times New Roman" w:hAnsi="Times New Roman"/>
          <w:bCs/>
          <w:sz w:val="24"/>
          <w:szCs w:val="24"/>
          <w:lang w:val="en-IN"/>
        </w:rPr>
        <w:t>3-133.</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2. </w:t>
      </w:r>
      <w:proofErr w:type="spellStart"/>
      <w:r>
        <w:rPr>
          <w:rFonts w:ascii="Times New Roman" w:hAnsi="Times New Roman"/>
          <w:bCs/>
          <w:sz w:val="24"/>
          <w:szCs w:val="24"/>
          <w:lang w:val="en-IN"/>
        </w:rPr>
        <w:t>Godefroy</w:t>
      </w:r>
      <w:proofErr w:type="spellEnd"/>
      <w:r>
        <w:rPr>
          <w:rFonts w:ascii="Times New Roman" w:hAnsi="Times New Roman"/>
          <w:bCs/>
          <w:sz w:val="24"/>
          <w:szCs w:val="24"/>
          <w:lang w:val="en-IN"/>
        </w:rPr>
        <w:t xml:space="preserve">, O., et al. (2017).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Patients: A Review of the Literature." Journal of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/Oncology, 39(5), 339-348.</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3. </w:t>
      </w:r>
      <w:proofErr w:type="spellStart"/>
      <w:r>
        <w:rPr>
          <w:rFonts w:ascii="Times New Roman" w:hAnsi="Times New Roman"/>
          <w:bCs/>
          <w:sz w:val="24"/>
          <w:szCs w:val="24"/>
          <w:lang w:val="en-IN"/>
        </w:rPr>
        <w:t>Soubrier</w:t>
      </w:r>
      <w:proofErr w:type="spellEnd"/>
      <w:r>
        <w:rPr>
          <w:rFonts w:ascii="Times New Roman" w:hAnsi="Times New Roman"/>
          <w:bCs/>
          <w:sz w:val="24"/>
          <w:szCs w:val="24"/>
          <w:lang w:val="en-IN"/>
        </w:rPr>
        <w:t xml:space="preserve">, M., et al. (2018).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Pati</w:t>
      </w:r>
      <w:r>
        <w:rPr>
          <w:rFonts w:ascii="Times New Roman" w:hAnsi="Times New Roman"/>
          <w:bCs/>
          <w:sz w:val="24"/>
          <w:szCs w:val="24"/>
          <w:lang w:val="en-IN"/>
        </w:rPr>
        <w:t xml:space="preserve">ents: An Update on Treatment Approaches."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Blood &amp; Cancer, 65(2), e26729.</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4. Pascual, C., et al. (2015).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A Study of 101 Cases." Journal of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/Oncology, 37(4), 273-278.</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lastRenderedPageBreak/>
        <w:t>5. Zhao, L., et al.</w:t>
      </w:r>
      <w:r>
        <w:rPr>
          <w:rFonts w:ascii="Times New Roman" w:hAnsi="Times New Roman"/>
          <w:bCs/>
          <w:sz w:val="24"/>
          <w:szCs w:val="24"/>
          <w:lang w:val="en-IN"/>
        </w:rPr>
        <w:t xml:space="preserve"> (2021).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Etiology</w:t>
      </w:r>
      <w:proofErr w:type="spellEnd"/>
      <w:r>
        <w:rPr>
          <w:rFonts w:ascii="Times New Roman" w:hAnsi="Times New Roman"/>
          <w:bCs/>
          <w:sz w:val="24"/>
          <w:szCs w:val="24"/>
          <w:lang w:val="en-IN"/>
        </w:rPr>
        <w:t xml:space="preserve">, Diagnosis, and Management."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 xml:space="preserve"> and Oncology Journal, 45(2), 105-114.</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6. </w:t>
      </w:r>
      <w:proofErr w:type="spellStart"/>
      <w:r>
        <w:rPr>
          <w:rFonts w:ascii="Times New Roman" w:hAnsi="Times New Roman"/>
          <w:bCs/>
          <w:sz w:val="24"/>
          <w:szCs w:val="24"/>
          <w:lang w:val="en-IN"/>
        </w:rPr>
        <w:t>Reiff</w:t>
      </w:r>
      <w:proofErr w:type="spellEnd"/>
      <w:r>
        <w:rPr>
          <w:rFonts w:ascii="Times New Roman" w:hAnsi="Times New Roman"/>
          <w:bCs/>
          <w:sz w:val="24"/>
          <w:szCs w:val="24"/>
          <w:lang w:val="en-IN"/>
        </w:rPr>
        <w:t xml:space="preserve">, A., et al. (2019). "Secondary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Childhood: A Review of 50 Cases."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 xml:space="preserve"> Reports, 11(1), 25-32.</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7. Liu, Q., et al. (2020).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with Systemic Lupus Erythematosus: Case Series and Literature Review." Rheumatology International, 40(10), 1693-1701.</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8. Miller, M., et al. (2016). "Manag</w:t>
      </w:r>
      <w:r>
        <w:rPr>
          <w:rFonts w:ascii="Times New Roman" w:hAnsi="Times New Roman"/>
          <w:bCs/>
          <w:sz w:val="24"/>
          <w:szCs w:val="24"/>
          <w:lang w:val="en-IN"/>
        </w:rPr>
        <w:t xml:space="preserve">ement of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A Comprehensive Review." American Journal of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 38(3), 143-149.</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9. Frost, J., et al. (2021).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Incidence, Diagnosis, and Treatment."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Bloo</w:t>
      </w:r>
      <w:r>
        <w:rPr>
          <w:rFonts w:ascii="Times New Roman" w:hAnsi="Times New Roman"/>
          <w:bCs/>
          <w:sz w:val="24"/>
          <w:szCs w:val="24"/>
          <w:lang w:val="en-IN"/>
        </w:rPr>
        <w:t>d &amp; Cancer, 68(5), e28909.</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10. Sato, T., et al. (2019). "Epidemiology of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Childhood: A Nationwide Study." </w:t>
      </w:r>
      <w:proofErr w:type="spellStart"/>
      <w:r>
        <w:rPr>
          <w:rFonts w:ascii="Times New Roman" w:hAnsi="Times New Roman"/>
          <w:bCs/>
          <w:sz w:val="24"/>
          <w:szCs w:val="24"/>
          <w:lang w:val="en-IN"/>
        </w:rPr>
        <w:t>Pediatrics</w:t>
      </w:r>
      <w:proofErr w:type="spellEnd"/>
      <w:r>
        <w:rPr>
          <w:rFonts w:ascii="Times New Roman" w:hAnsi="Times New Roman"/>
          <w:bCs/>
          <w:sz w:val="24"/>
          <w:szCs w:val="24"/>
          <w:lang w:val="en-IN"/>
        </w:rPr>
        <w:t xml:space="preserve"> International, 61(10), 995-1001.</w:t>
      </w:r>
    </w:p>
    <w:p w:rsidR="00ED50A8" w:rsidRDefault="00ED45D5">
      <w:pPr>
        <w:jc w:val="both"/>
        <w:rPr>
          <w:rFonts w:ascii="Times New Roman" w:hAnsi="Times New Roman"/>
          <w:bCs/>
          <w:sz w:val="24"/>
          <w:szCs w:val="24"/>
          <w:lang w:val="en-IN"/>
        </w:rPr>
      </w:pPr>
      <w:r>
        <w:rPr>
          <w:rFonts w:ascii="Times New Roman" w:hAnsi="Times New Roman"/>
          <w:bCs/>
          <w:sz w:val="24"/>
          <w:szCs w:val="24"/>
          <w:lang w:val="en-IN"/>
        </w:rPr>
        <w:t xml:space="preserve">11. Alvarado, G., et al. (2020).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Children: </w:t>
      </w:r>
      <w:r>
        <w:rPr>
          <w:rFonts w:ascii="Times New Roman" w:hAnsi="Times New Roman"/>
          <w:bCs/>
          <w:sz w:val="24"/>
          <w:szCs w:val="24"/>
          <w:lang w:val="en-IN"/>
        </w:rPr>
        <w:t xml:space="preserve">An Updated Review."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 xml:space="preserve"> &amp; Oncology Journal, 37(3), 157-162.</w:t>
      </w:r>
    </w:p>
    <w:p w:rsidR="00ED50A8" w:rsidRDefault="00ED45D5">
      <w:pPr>
        <w:jc w:val="both"/>
        <w:rPr>
          <w:rFonts w:ascii="Times New Roman" w:hAnsi="Times New Roman" w:cs="Times New Roman"/>
          <w:bCs/>
          <w:sz w:val="24"/>
          <w:szCs w:val="24"/>
          <w:lang w:val="en-IN"/>
        </w:rPr>
      </w:pPr>
      <w:r>
        <w:rPr>
          <w:rFonts w:ascii="Times New Roman" w:hAnsi="Times New Roman"/>
          <w:bCs/>
          <w:sz w:val="24"/>
          <w:szCs w:val="24"/>
          <w:lang w:val="en-IN"/>
        </w:rPr>
        <w:t xml:space="preserve">12. Cai, X., et al. (2021). "Management and Outcomes of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in </w:t>
      </w:r>
      <w:proofErr w:type="spellStart"/>
      <w:r>
        <w:rPr>
          <w:rFonts w:ascii="Times New Roman" w:hAnsi="Times New Roman"/>
          <w:bCs/>
          <w:sz w:val="24"/>
          <w:szCs w:val="24"/>
          <w:lang w:val="en-IN"/>
        </w:rPr>
        <w:t>Pediatrics</w:t>
      </w:r>
      <w:proofErr w:type="spellEnd"/>
      <w:r>
        <w:rPr>
          <w:rFonts w:ascii="Times New Roman" w:hAnsi="Times New Roman"/>
          <w:bCs/>
          <w:sz w:val="24"/>
          <w:szCs w:val="24"/>
          <w:lang w:val="en-IN"/>
        </w:rPr>
        <w:t xml:space="preserve">." Journal of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Hematology</w:t>
      </w:r>
      <w:proofErr w:type="spellEnd"/>
      <w:r>
        <w:rPr>
          <w:rFonts w:ascii="Times New Roman" w:hAnsi="Times New Roman"/>
          <w:bCs/>
          <w:sz w:val="24"/>
          <w:szCs w:val="24"/>
          <w:lang w:val="en-IN"/>
        </w:rPr>
        <w:t>/Oncology, 43(7), 480-485</w:t>
      </w:r>
    </w:p>
    <w:p w:rsidR="00ED50A8" w:rsidRDefault="00ED50A8">
      <w:pPr>
        <w:jc w:val="both"/>
        <w:rPr>
          <w:rFonts w:ascii="Times New Roman" w:hAnsi="Times New Roman" w:cs="Times New Roman"/>
          <w:bCs/>
          <w:sz w:val="24"/>
          <w:szCs w:val="24"/>
          <w:lang w:val="en-IN"/>
        </w:rPr>
      </w:pPr>
    </w:p>
    <w:p w:rsidR="00ED50A8" w:rsidRDefault="00ED50A8">
      <w:pPr>
        <w:jc w:val="both"/>
        <w:rPr>
          <w:rFonts w:ascii="Times New Roman" w:hAnsi="Times New Roman" w:cs="Times New Roman"/>
          <w:bCs/>
          <w:sz w:val="24"/>
          <w:szCs w:val="24"/>
          <w:lang w:val="en-IN"/>
        </w:rPr>
      </w:pPr>
    </w:p>
    <w:p w:rsidR="00ED50A8" w:rsidRDefault="00ED50A8">
      <w:pPr>
        <w:jc w:val="both"/>
        <w:rPr>
          <w:rFonts w:ascii="Times New Roman" w:eastAsia="Arial" w:hAnsi="Times New Roman" w:cs="Times New Roman"/>
          <w:color w:val="000000" w:themeColor="text1"/>
          <w:sz w:val="24"/>
          <w:szCs w:val="24"/>
          <w:lang w:val="en-IN"/>
        </w:rPr>
      </w:pPr>
    </w:p>
    <w:p w:rsidR="00ED50A8" w:rsidRDefault="00ED45D5">
      <w:pPr>
        <w:jc w:val="both"/>
        <w:rPr>
          <w:rFonts w:ascii="Times New Roman" w:hAnsi="Times New Roman" w:cs="Times New Roman"/>
          <w:lang w:val="en-IN"/>
        </w:rPr>
      </w:pPr>
      <w:r>
        <w:rPr>
          <w:rFonts w:ascii="Times New Roman" w:hAnsi="Times New Roman" w:cs="Times New Roman"/>
          <w:b/>
          <w:sz w:val="24"/>
          <w:szCs w:val="24"/>
          <w:lang w:val="en-IN"/>
        </w:rPr>
        <w:tab/>
      </w:r>
    </w:p>
    <w:sectPr w:rsidR="00ED50A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5D5" w:rsidRDefault="00ED45D5">
      <w:pPr>
        <w:spacing w:line="240" w:lineRule="auto"/>
      </w:pPr>
      <w:r>
        <w:separator/>
      </w:r>
    </w:p>
  </w:endnote>
  <w:endnote w:type="continuationSeparator" w:id="0">
    <w:p w:rsidR="00ED45D5" w:rsidRDefault="00ED4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5D5" w:rsidRDefault="00ED45D5">
      <w:pPr>
        <w:spacing w:after="0"/>
      </w:pPr>
      <w:r>
        <w:separator/>
      </w:r>
    </w:p>
  </w:footnote>
  <w:footnote w:type="continuationSeparator" w:id="0">
    <w:p w:rsidR="00ED45D5" w:rsidRDefault="00ED45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E292D"/>
    <w:rsid w:val="00185000"/>
    <w:rsid w:val="001C3876"/>
    <w:rsid w:val="00207951"/>
    <w:rsid w:val="0025793D"/>
    <w:rsid w:val="00282126"/>
    <w:rsid w:val="002A25C8"/>
    <w:rsid w:val="002B095F"/>
    <w:rsid w:val="002B3E25"/>
    <w:rsid w:val="00313175"/>
    <w:rsid w:val="00366D7A"/>
    <w:rsid w:val="004C2B8E"/>
    <w:rsid w:val="00592C19"/>
    <w:rsid w:val="0077143C"/>
    <w:rsid w:val="00881B07"/>
    <w:rsid w:val="00940077"/>
    <w:rsid w:val="009A10FB"/>
    <w:rsid w:val="009E678E"/>
    <w:rsid w:val="009F4AEB"/>
    <w:rsid w:val="00A821AC"/>
    <w:rsid w:val="00B979F9"/>
    <w:rsid w:val="00BF61CE"/>
    <w:rsid w:val="00C35867"/>
    <w:rsid w:val="00C92ACB"/>
    <w:rsid w:val="00CB63DC"/>
    <w:rsid w:val="00CC5A88"/>
    <w:rsid w:val="00CE292D"/>
    <w:rsid w:val="00D22874"/>
    <w:rsid w:val="00D77913"/>
    <w:rsid w:val="00E70FD2"/>
    <w:rsid w:val="00ED45D5"/>
    <w:rsid w:val="00ED50A8"/>
    <w:rsid w:val="01F60955"/>
    <w:rsid w:val="02D83384"/>
    <w:rsid w:val="03BA528A"/>
    <w:rsid w:val="05AC00CE"/>
    <w:rsid w:val="05DE3D4C"/>
    <w:rsid w:val="06E66521"/>
    <w:rsid w:val="08335CA5"/>
    <w:rsid w:val="0F24695F"/>
    <w:rsid w:val="10693D3C"/>
    <w:rsid w:val="163254FA"/>
    <w:rsid w:val="1AB502B0"/>
    <w:rsid w:val="1BFB10D2"/>
    <w:rsid w:val="230577C5"/>
    <w:rsid w:val="269946D0"/>
    <w:rsid w:val="286A40B8"/>
    <w:rsid w:val="2A636BFD"/>
    <w:rsid w:val="2B017811"/>
    <w:rsid w:val="2BC438A8"/>
    <w:rsid w:val="312915B6"/>
    <w:rsid w:val="336F2EB9"/>
    <w:rsid w:val="388E4356"/>
    <w:rsid w:val="38985F5B"/>
    <w:rsid w:val="3C434957"/>
    <w:rsid w:val="3D0D00DF"/>
    <w:rsid w:val="482A7D9C"/>
    <w:rsid w:val="48E17FF5"/>
    <w:rsid w:val="4A133393"/>
    <w:rsid w:val="4FC32510"/>
    <w:rsid w:val="5851523E"/>
    <w:rsid w:val="68B004C1"/>
    <w:rsid w:val="68DC3EE0"/>
    <w:rsid w:val="741B502B"/>
    <w:rsid w:val="757A0E2F"/>
    <w:rsid w:val="7735263F"/>
    <w:rsid w:val="799E6055"/>
    <w:rsid w:val="7D043B81"/>
    <w:rsid w:val="7D40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A92"/>
  <w15:docId w15:val="{C0646348-33B0-4C68-8255-75B2CB4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6</Pages>
  <Words>1826</Words>
  <Characters>10411</Characters>
  <Application>Microsoft Office Word</Application>
  <DocSecurity>0</DocSecurity>
  <Lines>86</Lines>
  <Paragraphs>24</Paragraphs>
  <ScaleCrop>false</ScaleCrop>
  <Company>HP</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SDI 1137</cp:lastModifiedBy>
  <cp:revision>12</cp:revision>
  <dcterms:created xsi:type="dcterms:W3CDTF">2023-11-01T06:14:00Z</dcterms:created>
  <dcterms:modified xsi:type="dcterms:W3CDTF">2025-04-11T06:40:00Z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66E3A3A266324714B3090FAECCB4477D_12</vt:lpwstr>
  </property>
</Properties>
</file>