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363A" w14:textId="77777777" w:rsidR="00F0420A" w:rsidRDefault="00000000">
      <w:pPr>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bCs/>
          <w:sz w:val="36"/>
          <w:szCs w:val="36"/>
          <w:lang w:val="en-GB"/>
        </w:rPr>
        <w:t xml:space="preserve">Comprehensive Evaluation of the Antihyperlipidemic Effects of </w:t>
      </w:r>
      <w:proofErr w:type="spellStart"/>
      <w:r>
        <w:rPr>
          <w:rFonts w:ascii="Times New Roman" w:hAnsi="Times New Roman" w:cs="Times New Roman"/>
          <w:b/>
          <w:bCs/>
          <w:i/>
          <w:sz w:val="36"/>
          <w:szCs w:val="36"/>
          <w:lang w:val="en-GB"/>
        </w:rPr>
        <w:t>Sida</w:t>
      </w:r>
      <w:proofErr w:type="spellEnd"/>
      <w:r>
        <w:rPr>
          <w:rFonts w:ascii="Times New Roman" w:hAnsi="Times New Roman" w:cs="Times New Roman"/>
          <w:b/>
          <w:bCs/>
          <w:i/>
          <w:sz w:val="36"/>
          <w:szCs w:val="36"/>
          <w:lang w:val="en-GB"/>
        </w:rPr>
        <w:t xml:space="preserve"> cordifolia</w:t>
      </w:r>
      <w:r>
        <w:rPr>
          <w:rFonts w:ascii="Times New Roman" w:hAnsi="Times New Roman" w:cs="Times New Roman"/>
          <w:b/>
          <w:bCs/>
          <w:sz w:val="36"/>
          <w:szCs w:val="36"/>
          <w:lang w:val="en-GB"/>
        </w:rPr>
        <w:t xml:space="preserve"> in Rodent Models”</w:t>
      </w:r>
    </w:p>
    <w:p w14:paraId="53F610C8" w14:textId="77777777" w:rsidR="00F0420A" w:rsidRDefault="00F0420A">
      <w:pPr>
        <w:spacing w:line="360" w:lineRule="auto"/>
        <w:jc w:val="both"/>
        <w:rPr>
          <w:rFonts w:ascii="Times New Roman" w:hAnsi="Times New Roman" w:cs="Times New Roman"/>
          <w:sz w:val="24"/>
          <w:szCs w:val="24"/>
          <w:shd w:val="clear" w:color="auto" w:fill="FFFFFF"/>
        </w:rPr>
      </w:pPr>
    </w:p>
    <w:p w14:paraId="21EEADF6" w14:textId="77777777" w:rsidR="00F0420A" w:rsidRDefault="00000000">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5C948005" w14:textId="77777777" w:rsidR="00F0420A" w:rsidRDefault="00000000">
      <w:pPr>
        <w:spacing w:line="360" w:lineRule="auto"/>
        <w:jc w:val="both"/>
        <w:rPr>
          <w:rFonts w:ascii="Times New Roman" w:hAnsi="Times New Roman" w:cs="Times New Roman"/>
          <w:sz w:val="24"/>
          <w:szCs w:val="24"/>
          <w:shd w:val="clear" w:color="auto" w:fill="FFFFFF"/>
        </w:rPr>
      </w:pPr>
      <w:r>
        <w:t xml:space="preserve">Hyperlipidemia is a major risk factor for cardiovascular diseases and metabolic disorders, necessitating the development of safe and effective therapeutic agents. </w:t>
      </w:r>
      <w:proofErr w:type="spellStart"/>
      <w:r>
        <w:rPr>
          <w:rStyle w:val="Emphasis"/>
        </w:rPr>
        <w:t>Sida</w:t>
      </w:r>
      <w:proofErr w:type="spellEnd"/>
      <w:r>
        <w:rPr>
          <w:rStyle w:val="Emphasis"/>
        </w:rPr>
        <w:t xml:space="preserve"> cordifolia</w:t>
      </w:r>
      <w:r>
        <w:t xml:space="preserve">, a medicinal plant traditionally used in Ayurvedic medicine, has shown potential lipid-lowering properties. This study aimed to comprehensively evaluate the antihyperlipidemic effects of </w:t>
      </w:r>
      <w:proofErr w:type="spellStart"/>
      <w:r>
        <w:rPr>
          <w:rStyle w:val="Emphasis"/>
        </w:rPr>
        <w:t>Sida</w:t>
      </w:r>
      <w:proofErr w:type="spellEnd"/>
      <w:r>
        <w:rPr>
          <w:rStyle w:val="Emphasis"/>
        </w:rPr>
        <w:t xml:space="preserve"> cordifolia</w:t>
      </w:r>
      <w:r>
        <w:t xml:space="preserve"> extracts in rodent models. Wistar albino rats were divided into normal control, hyperlipidemic control, standard (atorvastatin-treated), and test groups treated with ethanolic and aqueous extracts of </w:t>
      </w:r>
      <w:proofErr w:type="spellStart"/>
      <w:r>
        <w:rPr>
          <w:rStyle w:val="Emphasis"/>
        </w:rPr>
        <w:t>Sida</w:t>
      </w:r>
      <w:proofErr w:type="spellEnd"/>
      <w:r>
        <w:rPr>
          <w:rStyle w:val="Emphasis"/>
        </w:rPr>
        <w:t xml:space="preserve"> cordifolia</w:t>
      </w:r>
      <w:r>
        <w:t xml:space="preserve"> at varying doses. Hyperlipidemia was induced using a high-fat diet. Serum lipid profiles—including total cholesterol, triglycerides, LDL-C, and HDL-C—were measured at baseline and post-treatment. Histopathological analysis of liver tissues was also performed to assess hepatic integrity. Results indicated a significant reduction in total cholesterol, triglycerides, and LDL-C, with a concurrent increase in HDL-C levels in </w:t>
      </w:r>
      <w:proofErr w:type="spellStart"/>
      <w:r>
        <w:rPr>
          <w:rStyle w:val="Emphasis"/>
        </w:rPr>
        <w:t>Sida</w:t>
      </w:r>
      <w:proofErr w:type="spellEnd"/>
      <w:r>
        <w:rPr>
          <w:rStyle w:val="Emphasis"/>
        </w:rPr>
        <w:t xml:space="preserve"> cordifolia</w:t>
      </w:r>
      <w:r>
        <w:t xml:space="preserve">-treated groups, particularly at higher doses. Histological findings supported biochemical results, showing reduced lipid accumulation and improved hepatic architecture. These findings suggest that </w:t>
      </w:r>
      <w:proofErr w:type="spellStart"/>
      <w:r>
        <w:rPr>
          <w:rStyle w:val="Emphasis"/>
        </w:rPr>
        <w:t>Sida</w:t>
      </w:r>
      <w:proofErr w:type="spellEnd"/>
      <w:r>
        <w:rPr>
          <w:rStyle w:val="Emphasis"/>
        </w:rPr>
        <w:t xml:space="preserve"> cordifolia</w:t>
      </w:r>
      <w:r>
        <w:t xml:space="preserve"> possesses potent antihyperlipidemic activity, supporting its potential use as a natural therapeutic agent for managing dyslipidemia. </w:t>
      </w:r>
      <w:r>
        <w:rPr>
          <w:rFonts w:ascii="Times New Roman" w:hAnsi="Times New Roman" w:cs="Times New Roman"/>
          <w:sz w:val="24"/>
          <w:szCs w:val="24"/>
          <w:shd w:val="clear" w:color="auto" w:fill="FFFFFF"/>
        </w:rPr>
        <w:t xml:space="preserve">These findings position </w:t>
      </w:r>
      <w:proofErr w:type="spellStart"/>
      <w:r>
        <w:rPr>
          <w:rFonts w:ascii="Times New Roman" w:hAnsi="Times New Roman" w:cs="Times New Roman"/>
          <w:sz w:val="24"/>
          <w:szCs w:val="24"/>
          <w:shd w:val="clear" w:color="auto" w:fill="FFFFFF"/>
        </w:rPr>
        <w:t>Sida</w:t>
      </w:r>
      <w:proofErr w:type="spellEnd"/>
      <w:r>
        <w:rPr>
          <w:rFonts w:ascii="Times New Roman" w:hAnsi="Times New Roman" w:cs="Times New Roman"/>
          <w:sz w:val="24"/>
          <w:szCs w:val="24"/>
          <w:shd w:val="clear" w:color="auto" w:fill="FFFFFF"/>
        </w:rPr>
        <w:t xml:space="preserve"> cordifolia as a promising natural candidate for the management of hyperlipidemia, warranting further clinical validation and standardization for therapeutic use.</w:t>
      </w:r>
      <w:r>
        <w:rPr>
          <w:rFonts w:ascii="Times New Roman" w:hAnsi="Times New Roman" w:cs="Times New Roman"/>
          <w:sz w:val="24"/>
          <w:szCs w:val="24"/>
          <w:shd w:val="clear" w:color="auto" w:fill="FFFFFF"/>
        </w:rPr>
        <w:br/>
      </w:r>
      <w:r>
        <w:rPr>
          <w:rFonts w:ascii="Times New Roman" w:hAnsi="Times New Roman" w:cs="Times New Roman"/>
          <w:b/>
          <w:sz w:val="24"/>
          <w:szCs w:val="24"/>
          <w:shd w:val="clear" w:color="auto" w:fill="FFFFFF"/>
        </w:rPr>
        <w:t>Keywords:</w:t>
      </w:r>
      <w:r>
        <w:rPr>
          <w:rFonts w:ascii="Times New Roman" w:hAnsi="Times New Roman" w:cs="Times New Roman"/>
          <w:sz w:val="24"/>
          <w:szCs w:val="24"/>
          <w:shd w:val="clear" w:color="auto" w:fill="FFFFFF"/>
        </w:rPr>
        <w:t xml:space="preserve"> Hyperlipidemia, medicinal plant, total cholesterol, </w:t>
      </w:r>
      <w:proofErr w:type="spellStart"/>
      <w:r>
        <w:rPr>
          <w:rFonts w:ascii="Times New Roman" w:hAnsi="Times New Roman" w:cs="Times New Roman"/>
          <w:i/>
          <w:sz w:val="24"/>
          <w:szCs w:val="24"/>
          <w:shd w:val="clear" w:color="auto" w:fill="FFFFFF"/>
        </w:rPr>
        <w:t>Sida</w:t>
      </w:r>
      <w:proofErr w:type="spellEnd"/>
      <w:r>
        <w:rPr>
          <w:rFonts w:ascii="Times New Roman" w:hAnsi="Times New Roman" w:cs="Times New Roman"/>
          <w:i/>
          <w:sz w:val="24"/>
          <w:szCs w:val="24"/>
          <w:shd w:val="clear" w:color="auto" w:fill="FFFFFF"/>
        </w:rPr>
        <w:t xml:space="preserve"> cordifolia. </w:t>
      </w:r>
      <w:r>
        <w:rPr>
          <w:rFonts w:ascii="Times New Roman" w:hAnsi="Times New Roman" w:cs="Times New Roman"/>
          <w:sz w:val="24"/>
          <w:szCs w:val="24"/>
          <w:shd w:val="clear" w:color="auto" w:fill="FFFFFF"/>
        </w:rPr>
        <w:t>Alternative</w:t>
      </w:r>
    </w:p>
    <w:p w14:paraId="48002EDC" w14:textId="77777777" w:rsidR="00F0420A" w:rsidRPr="0044751A" w:rsidRDefault="00000000">
      <w:pPr>
        <w:spacing w:line="360" w:lineRule="auto"/>
        <w:jc w:val="both"/>
        <w:rPr>
          <w:rFonts w:ascii="Times New Roman" w:hAnsi="Times New Roman" w:cs="Times New Roman"/>
          <w:b/>
          <w:bCs/>
          <w:sz w:val="24"/>
          <w:szCs w:val="24"/>
          <w:shd w:val="clear" w:color="auto" w:fill="FFFFFF"/>
        </w:rPr>
      </w:pPr>
      <w:r w:rsidRPr="0044751A">
        <w:rPr>
          <w:rFonts w:ascii="Times New Roman" w:hAnsi="Times New Roman" w:cs="Times New Roman"/>
          <w:b/>
          <w:bCs/>
          <w:sz w:val="24"/>
          <w:szCs w:val="24"/>
          <w:shd w:val="clear" w:color="auto" w:fill="FFFFFF"/>
        </w:rPr>
        <w:t xml:space="preserve">Introduction: </w:t>
      </w:r>
    </w:p>
    <w:p w14:paraId="4A128F1B" w14:textId="77777777" w:rsidR="00F0420A" w:rsidRDefault="00000000">
      <w:pPr>
        <w:spacing w:line="360" w:lineRule="auto"/>
        <w:jc w:val="both"/>
        <w:rPr>
          <w:rStyle w:val="extn-css-0"/>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prevalent condition that affects both industrialized and developing nations worldwide is hyperlipidemia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ZOTERO_ITEM CSL_CITATION {"citationID":"kcZ0A4ui","properties":{"formattedCitation":"(1)","plainCitation":"(1)","noteIndex":0},"citationItems":[{"id":2280,"uris":["http://zotero.org/users/local/zvQEVGC3/items/H6PWTPFD"],"itemData":{"id":2280,"type":"article-journal","abstract":"Cardiovascular disease remains the top cause of morbidity and mortality in the United States. Atherosclerotic plaques are known to start in adolescence, and, therefore, young adults can be affected by coronary artery disease. Children with known risk factors, such as genetic predisposition, including familial hyperlipidemias, diabetes, and renal diseases, are at higher risk. With childhood obesity becoming an epidemic in certain parts of the United States, this problem is further highlighted as an important issue affecting children's health. There are unclear recommendations for pediatricians regarding cholesterol screening of pediatric populations, when to initiate hyperlipidemia treatment with statin therapy, and when to refer to a specialist for further management. This article reviews the epidemiology and pathophysiology of hyperlipidemia, recommendations for screening and types of screening, management (including pharmacology), prognosis, and prevention.","container-title":"Pediatrics in Review","DOI":"10.1542/pir.2019-0053","ISSN":"1526-3347","issue":"8","journalAbbreviation":"Pediatr Rev","language":"eng","note":"PMID: 32737252","page":"393-402","source":"PubMed","title":"Hyperlipidemia","volume":"41","author":[{"family":"Stewart","given":"Jeremy"},{"family":"McCallin","given":"Tracy"},{"family":"Martinez","given":"Julian"},{"family":"Chacko","given":"Sheebu"},{"family":"Yusuf","given":"Shabana"}],"issued":{"date-parts":[["2020",8]]}}}],"schema":"https://github.com/citation-style-language/schema/raw/master/csl-citation.json"} </w:instrText>
      </w:r>
      <w:r>
        <w:rPr>
          <w:rFonts w:ascii="Times New Roman" w:hAnsi="Times New Roman" w:cs="Times New Roman"/>
          <w:sz w:val="24"/>
          <w:szCs w:val="24"/>
          <w:shd w:val="clear" w:color="auto" w:fill="FFFFFF"/>
        </w:rPr>
        <w:fldChar w:fldCharType="separate"/>
      </w:r>
      <w:r>
        <w:rPr>
          <w:rFonts w:ascii="Times New Roman" w:hAnsi="Times New Roman" w:cs="Times New Roman"/>
          <w:sz w:val="24"/>
        </w:rPr>
        <w:t>(1)</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The blood lipid levels, in this condition, are higher than usual. Hepatic and renal failure, cerebral strokes, cardiovascular disease, and other severe and occasionally fatal consequences are all more likely associated with elevated lipid levels (cholesterol, fats, and triglycerides)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ZOTERO_ITEM CSL_CITATION {"citationID":"5d08rMz4","properties":{"formattedCitation":"(2,3)","plainCitation":"(2,3)","noteIndex":0},"citationItems":[{"id":2282,"uris":["http://zotero.org/users/local/zvQEVGC3/items/UB2GKI89"],"itemData":{"id":2282,"type":"article-journal","abstract":"Background\nOne of the major risk factors for cardiovascular disease is atherogenic dyslipidemia. There was, however, little information available in Ethiopia. Therefore, the purpose of this study was to estimate the prevalence of atherogenic dyslipidemia and related risk factors in Northeast Ethiopian hypertension patients.\n\nMaterials and methods\nA systematic random sampling technique was used to perform a cross-sectional study at an institution with 384 chosen participants. A structured questionnaire was used to collect the socio-demographic, anthropometric, lifestyle, and clinical characteristics of the respondents. Student’s t-test, Mann-Whitney test, and Pearson’s Chi-square test were employed to compare groups based on the type of data. Furthermore, Bivariate and multivariable logistic regression analyses were performed to identify factors independently associated with dyslipidemia. Crude and adjusted odds ratios and their corresponding 95% Confidence Intervals (CI) were computed. In all cases, statistical significance was declared at p &lt;0.05.\n\nResults\nThe majority (93.2%; 95%CI: 90.6–95.6) of patients had at least one atherogenic dyslipidemia. The prevalence of elevated total cholesterol (TC), elevated triglyceride (TG), raised low-density lipoprotein cholesterol (LDL-c), and reduced high-density lipoprotein cholesterol (HDL-c) were 47.7%, 50.3%, 44.3%, and 59.6%, respectively. Being≥ 40 years were at higher risk for having elevated levels of TC (AOR: 3.22, 95% CI: 2.40–4.32), TG (AOR: 2.30, 95% CI: 1.61–3.79), and LDL-c (AOR: 4.68, 95% CI: 2.0–10.95) than those who were below 40years. Obese participants were more likely to have high concentrations of TC (AOR: 2.57, 95%CI: 2.10–3.22), LDL-c (AOR: 3.13, 95% CI: 1.97–5.10), HDL-c (AOR: 2.71, 95% CI: 1.77–4.58), and TG (AOR: 2.23, 95%CI: 1.79–4.16).\n\nConclusion\nThis study revealed that a high prevalence of atherogenic dyslipidemia. Thus, to prevent atherogenic dyslipidemia, it is crucial to create routine blood lipid testing programs and carry out suitable intervention programs focused on risk factor reduction.","container-title":"PLOS ONE","DOI":"10.1371/journal.pone.0277185","ISSN":"1932-6203","issue":"2","journalAbbreviation":"PLoS One","note":"PMID: 36787318\nPMCID: PMC9928121","page":"e0277185","source":"PubMed Central","title":"Atherogenic dyslipidemia and associated risk factors among hypertensive patients of five health facilities in Northeast Ethiopia","volume":"18","author":[{"family":"Mohammed","given":"Ousman"},{"family":"Alemayehu","given":"Ermiyas"},{"family":"Ebrahim","given":"Endris"},{"family":"Fiseha","given":"Mesfin"},{"family":"Gedefie","given":"Alemu"},{"family":"Ali","given":"Abdurrahman"},{"family":"Ebrahim","given":"Hussen"},{"family":"Tilahun","given":"Mihret"}],"issued":{"date-parts":[["2023",2,14]]}}},{"id":2324,"uris":["http://zotero.org/users/local/zvQEVGC3/items/BKPILYT2"],"itemData":{"id":2324,"type":"article-journal","container-title":"Journal of Complementary and Alternative Medical Research","DOI":"10.9734/jocamr/2025/v26i1618","ISSN":"2456-6276","issue":"1","language":"en","page":"115-123","source":"journaljocamr.com","title":"Investigating the Anti-diabetic and Lipid-regulating Properties of Eclipta alba in Alloxan-induced Diabetes","volume":"26","author":[{"family":"Shohan","given":"FM Sharifuzzaman"},{"family":"Dey","given":"Susmoy"},{"family":"Pranto","given":"Tasin Islam"},{"family":"Ullah","given":"Md Rahmat"},{"family":"Tasnim","given":"Sadia"},{"family":"Baroi","given":"Juliana Aditi"},{"family":"Rasna","given":"Israt Jahan"}],"issued":{"date-parts":[["2025",1,15]]}}}],"schema":"https://github.com/citation-style-language/schema/raw/master/csl-citation.json"} </w:instrText>
      </w:r>
      <w:r>
        <w:rPr>
          <w:rFonts w:ascii="Times New Roman" w:hAnsi="Times New Roman" w:cs="Times New Roman"/>
          <w:sz w:val="24"/>
          <w:szCs w:val="24"/>
          <w:shd w:val="clear" w:color="auto" w:fill="FFFFFF"/>
        </w:rPr>
        <w:fldChar w:fldCharType="separate"/>
      </w:r>
      <w:r>
        <w:rPr>
          <w:rFonts w:ascii="Times New Roman" w:hAnsi="Times New Roman" w:cs="Times New Roman"/>
          <w:sz w:val="24"/>
        </w:rPr>
        <w:t>(2,3)</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This condition is typically undetectable, and the patient learns about it through normal blood analysis. Patients may experience several problems in the advanced stages of the disease, including angina and </w:t>
      </w:r>
      <w:r>
        <w:rPr>
          <w:rFonts w:ascii="Times New Roman" w:hAnsi="Times New Roman" w:cs="Times New Roman"/>
          <w:sz w:val="24"/>
          <w:szCs w:val="24"/>
          <w:shd w:val="clear" w:color="auto" w:fill="FFFFFF"/>
        </w:rPr>
        <w:lastRenderedPageBreak/>
        <w:t>hypertension</w:t>
      </w:r>
      <w:r>
        <w:rPr>
          <w:rStyle w:val="extn-css-0"/>
          <w:rFonts w:ascii="Times New Roman" w:hAnsi="Times New Roman" w:cs="Times New Roman"/>
          <w:sz w:val="24"/>
          <w:szCs w:val="24"/>
          <w:shd w:val="clear" w:color="auto" w:fill="FFFFFF"/>
        </w:rPr>
        <w:t>Patients may </w:t>
      </w:r>
      <w:r>
        <w:rPr>
          <w:rStyle w:val="extn-css-1tmeul0"/>
          <w:rFonts w:ascii="Times New Roman" w:hAnsi="Times New Roman" w:cs="Times New Roman"/>
          <w:sz w:val="24"/>
          <w:szCs w:val="24"/>
          <w:shd w:val="clear" w:color="auto" w:fill="FFFFFF"/>
        </w:rPr>
        <w:t>experience several problems, including </w:t>
      </w:r>
      <w:r>
        <w:rPr>
          <w:rStyle w:val="extn-css-0"/>
          <w:rFonts w:ascii="Times New Roman" w:hAnsi="Times New Roman" w:cs="Times New Roman"/>
          <w:sz w:val="24"/>
          <w:szCs w:val="24"/>
          <w:shd w:val="clear" w:color="auto" w:fill="FFFFFF"/>
        </w:rPr>
        <w:t>angina and hypertension, </w:t>
      </w:r>
      <w:r>
        <w:rPr>
          <w:rStyle w:val="extn-css-1tmeul0"/>
          <w:rFonts w:ascii="Times New Roman" w:hAnsi="Times New Roman" w:cs="Times New Roman"/>
          <w:sz w:val="24"/>
          <w:szCs w:val="24"/>
          <w:shd w:val="clear" w:color="auto" w:fill="FFFFFF"/>
        </w:rPr>
        <w:t>when </w:t>
      </w:r>
      <w:r>
        <w:rPr>
          <w:rStyle w:val="extn-css-0"/>
          <w:rFonts w:ascii="Times New Roman" w:hAnsi="Times New Roman" w:cs="Times New Roman"/>
          <w:sz w:val="24"/>
          <w:szCs w:val="24"/>
          <w:shd w:val="clear" w:color="auto" w:fill="FFFFFF"/>
        </w:rPr>
        <w:t>the </w:t>
      </w:r>
      <w:r>
        <w:rPr>
          <w:rStyle w:val="extn-css-1tmeul0"/>
          <w:rFonts w:ascii="Times New Roman" w:hAnsi="Times New Roman" w:cs="Times New Roman"/>
          <w:sz w:val="24"/>
          <w:szCs w:val="24"/>
          <w:shd w:val="clear" w:color="auto" w:fill="FFFFFF"/>
        </w:rPr>
        <w:t>condition </w:t>
      </w:r>
      <w:r>
        <w:rPr>
          <w:rStyle w:val="extn-css-0"/>
          <w:rFonts w:ascii="Times New Roman" w:hAnsi="Times New Roman" w:cs="Times New Roman"/>
          <w:sz w:val="24"/>
          <w:szCs w:val="24"/>
          <w:shd w:val="clear" w:color="auto" w:fill="FFFFFF"/>
        </w:rPr>
        <w:t xml:space="preserve">is progressed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{"citationID":"4G3KFDZI","properties":{"formattedCitation":"(2,4,5)","plainCitation":"(2,4,5)","noteIndex":0},"citationItems":[{"id":2282,"uris":["http://zotero.org/users/local/zvQEVGC3/items/UB2GKI89"],"itemData":{"id":2282,"type":"article-journal","abstract":"Background\nOne of the major risk factors for cardiovascular disease is atherogenic dyslipidemia. There was, however, little information available in Ethiopia. Therefore, the purpose of this study was to estimate the prevalence of atherogenic dyslipidemia and related risk factors in Northeast Ethiopian hypertension patients.\n\nMaterials and methods\nA systematic random sampling technique was used to perform a cross-sectional study at an institution with 384 chosen participants. A structured questionnaire was used to collect the socio-demographic, anthropometric, lifestyle, and clinical characteristics of the respondents. Student’s t-test, Mann-Whitney test, and Pearson’s Chi-square test were employed to compare groups based on the type of data. Furthermore, Bivariate and multivariable logistic regression analyses were performed to identify factors independently associated with dyslipidemia. Crude and adjusted odds ratios and their corresponding 95% Confidence Intervals (CI) were computed. In all cases, statistical significance was declared at p &lt;0.05.\n\nResults\nThe majority (93.2%; 95%CI: 90.6–95.6) of patients had at least one atherogenic dyslipidemia. The prevalence of elevated total cholesterol (TC), elevated triglyceride (TG), raised low-density lipoprotein cholesterol (LDL-c), and reduced high-density lipoprotein cholesterol (HDL-c) were 47.7%, 50.3%, 44.3%, and 59.6%, respectively. Being≥ 40 years were at higher risk for having elevated levels of TC (AOR: 3.22, 95% CI: 2.40–4.32), TG (AOR: 2.30, 95% CI: 1.61–3.79), and LDL-c (AOR: 4.68, 95% CI: 2.0–10.95) than those who were below 40years. Obese participants were more likely to have high concentrations of TC (AOR: 2.57, 95%CI: 2.10–3.22), LDL-c (AOR: 3.13, 95% CI: 1.97–5.10), HDL-c (AOR: 2.71, 95% CI: 1.77–4.58), and TG (AOR: 2.23, 95%CI: 1.79–4.16).\n\nConclusion\nThis study revealed that a high prevalence of atherogenic dyslipidemia. Thus, to prevent atherogenic dyslipidemia, it is crucial to create routine blood lipid testing programs and carry out suitable intervention programs focused on risk factor reduction.","container-title":"PLOS ONE","DOI":"10.1371/journal.pone.0277185","ISSN":"1932-6203","issue":"2","journalAbbreviation":"PLoS One","note":"PMID: 36787318\nPMCID: PMC9928121","page":"e0277185","source":"PubMed Central","title":"Atherogenic dyslipidemia and associated risk factors among hypertensive patients of five health facilities in Northeast Ethiopia","volume":"18","author":[{"family":"Mohammed","given":"Ousman"},{"family":"Alemayehu","given":"Ermiyas"},{"family":"Ebrahim","given":"Endris"},{"family":"Fiseha","given":"Mesfin"},{"family":"Gedefie","given":"Alemu"},{"family":"Ali","given":"Abdurrahman"},{"family":"Ebrahim","given":"Hussen"},{"family":"Tilahun","given":"Mihret"}],"issued":{"date-parts":[["2023",2,14]]}}},{"id":2285,"uris":["http://zotero.org/users/local/zvQEVGC3/items/M6PRNXPP"],"itemData":{"id":2285,"type":"article-journal","source":"ResearchGate","title":"Hyperlipidemia: pathophysiology, causes, complications, and treatment. A review 3","title-short":"Hyperlipidemia","author":[{"family":"Mosa","given":"Amal"},{"family":"alkareem","given":"Zahraa","non-dropping-particle":"abd-"},{"family":"Naser","given":"Iman"}],"issued":{"date-parts":[["2021",12,4]]}},"locator":"3"},{"id":194,"uris":["http://zotero.org/users/local/zvQEVGC3/items/JJE6F7VA"],"itemData":{"id":194,"type":"article-journal","abstract":"Hypertension is a major public health problem and important area of research due to its high prevalence and being major risk factor for cardiovascular diseases and other complications. Objectives. (1) To assess the prevalence of hypertension and its associated factors and (2) to estimate awareness, treatment, and adequacy of control of hypertension among study subjects. Methods and Materials. A community based cross-sectional study with multistage sampling design was conducted among urban population of Varanasi. A modified WHO STEPS interview schedule on 640 study subjects aged 25–64 years was used. Results. The prevalence of hypertension was 32.9% (male: 40.9%, female: 26.0%). Mean systolic and diastolic BP were 124.25 ± 15.05 mmHg and 83.45 ± 9.49 mmHg, respectively. Higher odds of being hypertensive were found in male subjects, eldest age group, married subjects, subjects of upper socioeconomic status, illiterate subjects, and retired subjects. Tobacco and alcohol consumption, overweight, obesity, and abdominal obesity were also associated with hypertension. Out of the total hypertensive 211 subjects, only 81 (38.4%) were aware about their hypertension status; out of those, 57 (70.4%) were seeking treatment and 20 (35.08%) had their blood pressure adequately controlled. Conclusion. Around one-third of the subjects were hypertensive and half of the study subjects were prehypertensive in this area. The awareness, treatment, and control of high blood pressure were also very low.","container-title":"International Journal of Hypertension","DOI":"10.1155/2017/5491838","ISSN":"2090-0384","language":"en","note":"publisher: Hindawi","page":"e5491838","source":"www.hindawi.com","title":"Prevalence and Associated Risk Factors of Hypertension: A Cross-Sectional Study in Urban Varanasi","title-short":"Prevalence and Associated Risk Factors of Hypertension","volume":"2017","author":[{"family":"Singh","given":"Shikha"},{"family":"Shankar","given":"Ravi"},{"family":"Singh","given":"Gyan Prakash"}],"issued":{"date-parts":[["2017",12,3]]}}}],"schema":"https://github.com/citation-style-language/schema/raw/master/csl-citation.json"}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(2,4,5)</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Hyperlipidemia comes in two main forms. The first category is primary hyperlipidemia, which is typically inherited and brought on by genetic anomalies. The other kind, known as secondary hyperlipidemia, is caused by risk factors such as hypothyroidism, drunkenness, medications (B-blockers), obesity, thyroid dysfunction, and chronic renal failure. To achieve the therapeutic goal of controlled blood lipid levels, hyperlipidemia can be treated with medications (hypolipidemic drugs), lifestyle changes, and good behavior, or both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{"citationID":"vwrs1ll8","properties":{"formattedCitation":"(6,7)","plainCitation":"(6,7)","noteIndex":0},"citationItems":[{"id":2288,"uris":["http://zotero.org/users/local/zvQEVGC3/items/VCLBGPZE"],"itemData":{"id":2288,"type":"article-journal","abstract":"Hyperlipidemia is a condition characterized by an elevation of any or all lipid profile and/or lipoproteins in the blood. Although elevated low density lipoprotein cholesterol (LDL) is thought to be the best indicator of atherosclerosis risk, (Amit et al., 2011) dyslipidemia (abnormal amount of lipids in the blood) can also describe elevated total cholesterol (TC) or triglycerides (TG), or low levels of high density lipoprotein cholesterol (HDL).Hyperlipidemia is the major precursor of lipid related ailment such as atherosclerosis, coronary artery disease and also involved in sudden death syndrome. The main cause of hyperlipidemia includes changes in lifestyle habits in which risk factor is mainly poor diet i.e. with a fat intake greater than 40 percent of total calories, saturated fat intake greater than 10 percent of total calories; and cholesterol intake greater than 300 milligrams per day or treatable medical conditions (Durrington, 1995). The pathophysiology of hyperlipidemia can be studied under the two basic classification of hyperlipidemia-primary and secondary hyperlipidemia. The pathophysiology of primary hyperlipidemia involve the idiopathic hyperchylomicronemia in which defect in lipid metabolism leads to hypertriglyceridemia and hyperchylomicronemia caused by a defect in lipoprotein lipase activity or the absence of the surface apoprotein CII31. In secondary hyperlipidemia, the postprandial absorption of chylomicrons from the gastrointestinal tract occurs 30-60 min after ingestion of a meal containing fat that may increase serum triglycerides for 3-10 hours (Bennett, 2005). Here we x-rayed the root causes of various hyperlipidemia, their clinical manifestation and possible treatment ranging from pharmacological to change in dieting. Improved lifestyle or healthy lifestyle may be a possible way out from lipid related diseases.","container-title":"IOSR Journal of Dental and Medical Sciences","DOI":"10.9790/0853-1410693100","journalAbbreviation":"IOSR Journal of Dental and Medical Sciences","page":"93-100","source":"ResearchGate","title":"Hyperlipidemia: Etiology and Possible Control","title-short":"Hyperlipidemia","volume":"14","author":[{"family":"Pe","given":"Onwe"},{"family":"Cs","given":"Anyigor-Ogah"},{"family":"Okorocha","given":"Albert"},{"family":"Ao","given":"Afoke"}],"issued":{"date-parts":[["2015",11,1]]}}},{"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(6,7)</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However, numerous therapeutic plant extracts have been investigated and have demonstrated a significant benefit in regulating blood lipid levels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cEwiX3Qx","properties":{"formattedCitation":"(7\\uc0\\u8211{}9)","plainCitation":"(7–9)","noteIndex":0},"citationItems":[{"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id":2291,"uris":["http://zotero.org/users/local/zvQEVGC3/items/5ITHCY8A"],"itemData":{"id":2291,"type":"article-journal","abstract":"Hyperlipidemia is a common metabolic disorder contributing to morbidities and mortalities due to cardiovascular and cerebrovascular diseases. Conventional antihyperlipidemic drugs have limited efficacies and important side effects, so that alternative lipid lowering agents are needed. Salvia officinalis L. (sage) leaves have PPAR γ agonistic, pancreatic lipase and lipid absorption inhibitory, antioxidant, lipid peroxidation inhibitory and antiinflammatory effects. Thus, in this randomized double-blind placebo-controlled clinical trial with 67 hyperlipidemic (hypercholesterolemic and/or hypertriglyceridemic) patients aged 56.4 ± 30.3 years (mean ± SD), the effects of taking sage leaf extract (one 500 mg capsule every 8 h for 2 months) on fasting blood levels of lipids, creatinine and liver enzymes including SGOT and SGPT were evaluated in 34 patients and compared with the placebo group (n = 33). The extract lowered the blood levels of total cholesterol (p &lt; 0.001), triglyceride (p = 0.001), LDL (p = 0.004) and VLDL (p = 0.001), but increased the blood HDL levels (p &lt; 0.001) without any significant effects on the blood levels of SGOT, SGPT and creatinine (p &gt; 0.05) compared with the placebo group at the endpoint. No adverse effects were reported. The results suggest that sage may be effective and safe in the treatment of hyperlipidemia.","container-title":"Phytotherapy research: PTR","DOI":"10.1002/ptr.3506","ISSN":"1099-1573","issue":"12","journalAbbreviation":"Phytother Res","language":"eng","note":"PMID: 21506190","page":"1849-1853","source":"PubMed","title":"Antihyperlipidemic effects of Salvia officinalis L. leaf extract in patients with hyperlipidemia: a randomized double-blind placebo-controlled clinical trial","title-short":"Antihyperlipidemic effects of Salvia officinalis L. leaf extract in patients with hyperlipidemia","volume":"25","author":[{"family":"Kianbakht","given":"S."},{"family":"Abasi","given":"B."},{"family":"Perham","given":"M."},{"family":"Hashem Dabaghian","given":"F."}],"issued":{"date-parts":[["2011",12]]}}},{"id":139,"uris":["http://zotero.org/users/local/zvQEVGC3/items/WXW3WE97"],"itemData":{"id":139,"type":"article-journal","abstract":"The objective of the present study is to evaluate the hypolipidemic activity of Cyperous rotundus on CCl4 induced Dyslipemia in rat. The aqueous extract of Cyperous rotundus significantly show the hypolipidimic activation through lipid profile liver marker enzyme.","container-title":"Asian Journal of Pharmacy and Technology","issue":"2","language":"English","note":"publisher: Asian Journal of Pharmacy and Technology","page":"51-53","source":"ajptonline.com","title":"Hypolipidemic Activity of Cyperous rotundus on CCl4 Induced Dyslipidemia in Rats","volume":"2","author":[{"family":"A","given":"Dominic Amalraj"},{"family":"C","given":"Parkavi"},{"family":"K","given":"Murugaiah"},{"family":"T.s","given":"Dhanaraj"}],"issued":{"date-parts":[["2012",6,28]]}}}],"schema":"https://github.com/citation-style-language/schema/raw/master/csl-citation.json"}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szCs w:val="24"/>
        </w:rPr>
        <w:t>(7–9)</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15,499 people were enrolled and analyzed in a study conducted by the National Health and Nutrition Examination Survey (NHANES), which was carried out between 2007 and 2018.The distribution of lipids and the prevalence of hyperlipidemia in subpopulations were evaluated using a cross-sectional study. Black people had higher serum levels of HDL-C and considerably lower mean serum levels of triglycerides and total cholesterol than white people (P&lt;0.001). Mexican Americans, on the other hand, had significantly lower serum HDL-C and much higher mean serum tri-glycerides than white people (P&lt;0.001)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{"citationID":"ObeTzPBn","properties":{"formattedCitation":"(7)","plainCitation":"(7)","noteIndex":0},"citationItems":[{"id":2293,"uris":["http://zotero.org/users/local/zvQEVGC3/items/PZST5KVK"],"itemData":{"id":2293,"type":"article-journal","abstract":"BACKGROUND: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locator":"2007-2018"}],"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(7)</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LDL cholesterol levels and the likelihood of atherosclerotic CVD events in the future are the important factors that determine whether to start lipid-lowering medication in primary prevention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{"citationID":"xepsmMZT","properties":{"formattedCitation":"(10)","plainCitation":"(10)","noteIndex":0},"citationItems":[{"id":2296,"uris":["http://zotero.org/users/local/zvQEVGC3/items/FGK3SQHH"],"itemData":{"id":2296,"type":"article-journal","abstract":"The risk of cardiovascular disease has been reported to have a linear relationship with LDL levels. Additionally, the currently recommended LDL target goal of 70 mg/dl does not diminish the CV risk entirely leaving behind some residual risk. Previous attempts to maximally lower the LDL levels with statin monotherapy have met dejection due to the increased side effects associated with the treatment. Nevertheless, with the new advancements in clinical medicine, it has now become possible to bring down the LDL levels to as low as 15 mg/dl using PCSK9 monoclonal antibodies alone or in combination with statins. The development of inclisiran, siRNA silencer targeting PCSK9 gene, is a one step forward in these endeavors. Moreover, various studies aiming to lower the CV risk and mortality by lowering LDL levels have demonstrated encouraging results. The current challenge is to explore this arena to redefine the target LDL levels, if required, to avoid any suboptimal treatment. After thorough literature search in the PubMed, Embase, Scopus, and Google Scholar, we present this article to provide a brief overview of the safety and efficacy of lowering LDL below the current goal.","container-title":"Journal of Lipids","DOI":"10.1155/2018/8598054","ISSN":"2090-3030","journalAbbreviation":"J Lipids","language":"eng","note":"PMID: 29850255\nPMCID: PMC5937425","page":"8598054","source":"PubMed","title":"Safety and Efficacy of Extremely Low LDL-Cholesterol Levels and Its Prospects in Hyperlipidemia Management","volume":"2018","author":[{"family":"Bandyopadhyay","given":"Dhrubajyoti"},{"family":"Qureshi","given":"Arshna"},{"family":"Ghosh","given":"Sudeshna"},{"family":"Ashish","given":"Kumar"},{"family":"Heise","given":"Lyndsey R."},{"family":"Hajra","given":"Adrija"},{"family":"Ghosh","given":"Raktim K."}],"issued":{"date-parts":[["2018"]]}}}],"schema":"https://github.com/citation-style-language/schema/raw/master/csl-citation.json"}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(10)</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Drug treat-</w:t>
      </w:r>
      <w:proofErr w:type="spellStart"/>
      <w:r>
        <w:rPr>
          <w:rStyle w:val="extn-css-0"/>
          <w:rFonts w:ascii="Times New Roman" w:hAnsi="Times New Roman" w:cs="Times New Roman"/>
          <w:sz w:val="24"/>
          <w:szCs w:val="24"/>
          <w:shd w:val="clear" w:color="auto" w:fill="FFFFFF"/>
        </w:rPr>
        <w:t>ment</w:t>
      </w:r>
      <w:proofErr w:type="spellEnd"/>
      <w:r>
        <w:rPr>
          <w:rStyle w:val="extn-css-0"/>
          <w:rFonts w:ascii="Times New Roman" w:hAnsi="Times New Roman" w:cs="Times New Roman"/>
          <w:sz w:val="24"/>
          <w:szCs w:val="24"/>
          <w:shd w:val="clear" w:color="auto" w:fill="FFFFFF"/>
        </w:rPr>
        <w:t xml:space="preserve"> is recommended without multifactorial risk assessment in individuals with severe HTG, diabetes mellitus, monogenic hyperlipidemia, and established atherosclerotic CVD. It is not rec-</w:t>
      </w:r>
      <w:proofErr w:type="spellStart"/>
      <w:r>
        <w:rPr>
          <w:rStyle w:val="extn-css-0"/>
          <w:rFonts w:ascii="Times New Roman" w:hAnsi="Times New Roman" w:cs="Times New Roman"/>
          <w:sz w:val="24"/>
          <w:szCs w:val="24"/>
          <w:shd w:val="clear" w:color="auto" w:fill="FFFFFF"/>
        </w:rPr>
        <w:t>ommended</w:t>
      </w:r>
      <w:proofErr w:type="spellEnd"/>
      <w:r>
        <w:rPr>
          <w:rStyle w:val="extn-css-0"/>
          <w:rFonts w:ascii="Times New Roman" w:hAnsi="Times New Roman" w:cs="Times New Roman"/>
          <w:sz w:val="24"/>
          <w:szCs w:val="24"/>
          <w:shd w:val="clear" w:color="auto" w:fill="FFFFFF"/>
        </w:rPr>
        <w:t xml:space="preserve"> to use lipid modification treatments when pregnant or nursing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{"citationID":"monI5De6","properties":{"formattedCitation":"(11)","plainCitation":"(11)","noteIndex":0},"citationItems":[{"id":937,"uris":["http://zotero.org/users/local/zvQEVGC3/items/2NAWMN3J"],"itemData":{"id":937,"type":"article-journal","abstract":"Hyperlipidemia is a medical condition characterized by an increase in one or more of the plasma lipids, including triglycerides, cholesterol, cholesterol esters, phospholipids and or plasma lipoproteins including very low-density lipoprotein and low-density lipoprotein along with reduced high-density lipoprotein levels. This elevation of plasma lipids is among the leading risk factors associated with cardiovascular diseases. In the meantime, statins and fibrates remain the major anti-hyperlipidemic agents for the treatment of elevated plasma cholesterol and triglycerides respectively, with the price of severe side effects on the muscles and the liver. The present review focuses mainly on the types of hyperlipidemias, lipid metabolism, treatments and new drug targets for the treatment of elevated lipid profile. Many agents such as lanosterol synthase inhibitors, squalene epoxidase inhibitors, diacyl glycerol acyl transferase inhibitors, ATP citrate lyase inhibitors have shown a promising potential in the treatment of hyperlipidemia in clinical trials.","container-title":"Biomedical and Pharmacology Journal","DOI":"10.13005/bpj/504","journalAbbreviation":"Biomedical and Pharmacology Journal","page":"399-409","source":"ResearchGate","title":"A Review Article on Hyperlipidemia: Types, Treatments and New Drug Targets","title-short":"A Review Article on Hyperlipidemia","volume":"7","author":[{"family":"Shattat","given":"Ghassan"}],"issued":{"date-parts":[["2014",12,30]]}}}],"schema":"https://github.com/citation-style-language/schema/raw/master/csl-citation.json"}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(11)</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The Molecular Process and Impact of the Most Popular Lipid-Lowering Drugs on Metabolism Statins. 3-hydroxy-methyl-glutaryl-CoA reductase is mostly inhibited in the liver by statins. This enzyme limits the rate at which cholesterol is </w:t>
      </w:r>
      <w:proofErr w:type="spellStart"/>
      <w:r>
        <w:rPr>
          <w:rStyle w:val="extn-css-0"/>
          <w:rFonts w:ascii="Times New Roman" w:hAnsi="Times New Roman" w:cs="Times New Roman"/>
          <w:sz w:val="24"/>
          <w:szCs w:val="24"/>
          <w:shd w:val="clear" w:color="auto" w:fill="FFFFFF"/>
        </w:rPr>
        <w:t>biosynthesised</w:t>
      </w:r>
      <w:proofErr w:type="spellEnd"/>
      <w:r>
        <w:rPr>
          <w:rStyle w:val="extn-css-0"/>
          <w:rFonts w:ascii="Times New Roman" w:hAnsi="Times New Roman" w:cs="Times New Roman"/>
          <w:sz w:val="24"/>
          <w:szCs w:val="24"/>
          <w:shd w:val="clear" w:color="auto" w:fill="FFFFFF"/>
        </w:rPr>
        <w:t xml:space="preserve">. Reduced intrahepatic cholesterol causes increased expression of the hepatic LDL receptor, which in turn reduces the amount of </w:t>
      </w:r>
      <w:proofErr w:type="spellStart"/>
      <w:r>
        <w:rPr>
          <w:rStyle w:val="extn-css-0"/>
          <w:rFonts w:ascii="Times New Roman" w:hAnsi="Times New Roman" w:cs="Times New Roman"/>
          <w:sz w:val="24"/>
          <w:szCs w:val="24"/>
          <w:shd w:val="clear" w:color="auto" w:fill="FFFFFF"/>
        </w:rPr>
        <w:t>LDLc</w:t>
      </w:r>
      <w:proofErr w:type="spellEnd"/>
      <w:r>
        <w:rPr>
          <w:rStyle w:val="extn-css-0"/>
          <w:rFonts w:ascii="Times New Roman" w:hAnsi="Times New Roman" w:cs="Times New Roman"/>
          <w:sz w:val="24"/>
          <w:szCs w:val="24"/>
          <w:shd w:val="clear" w:color="auto" w:fill="FFFFFF"/>
        </w:rPr>
        <w:t xml:space="preserve"> in the </w:t>
      </w:r>
      <w:proofErr w:type="spellStart"/>
      <w:proofErr w:type="gramStart"/>
      <w:r>
        <w:rPr>
          <w:rStyle w:val="extn-css-0"/>
          <w:rFonts w:ascii="Times New Roman" w:hAnsi="Times New Roman" w:cs="Times New Roman"/>
          <w:sz w:val="24"/>
          <w:szCs w:val="24"/>
          <w:shd w:val="clear" w:color="auto" w:fill="FFFFFF"/>
        </w:rPr>
        <w:t>blood.They</w:t>
      </w:r>
      <w:proofErr w:type="spellEnd"/>
      <w:proofErr w:type="gramEnd"/>
      <w:r>
        <w:rPr>
          <w:rStyle w:val="extn-css-0"/>
          <w:rFonts w:ascii="Times New Roman" w:hAnsi="Times New Roman" w:cs="Times New Roman"/>
          <w:sz w:val="24"/>
          <w:szCs w:val="24"/>
          <w:shd w:val="clear" w:color="auto" w:fill="FFFFFF"/>
        </w:rPr>
        <w:t xml:space="preserve"> are the most effective way to prevent CVD because, regardless of LDL cholesterol levels, they reduce the risk of CVD by approximately one fifth for every 1 mmol/l drop in LDL cholesterol. Sometimes side effects include muscle aches, myositis (inflammation of the muscles), and elevated creatine kinase, which can impact patient compliance. It is best to avoid co-treatment with drugs that compete with statins for the same degrading enzymes, such as macrolide antibiotics. For the same reason, grapefruit juice should be avoided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{"citationID":"fTOhvWpg","properties":{"formattedCitation":"(12)","plainCitation":"(12)","noteIndex":0},"citationItems":[{"id":2301,"uris":["http://zotero.org/users/local/zvQEVGC3/items/E28GJRUR"],"itemData":{"id":2301,"type":"article-journal","abstract":"Hyperlipidemia is recognized as one of the major risk factors for the development of coronary artery disease and progression of atherosclerotic lesions. Dietary therapy together with hypolipidemic drugs are central to the management of hyperlipidemia, which aims to prevent atherosclerotic plaque progression, induce regression, and so decrease the risk of acute coronary events in patients with pre-existing coronary or peripheral vascular disease. In patients at high risk of coronary artery disease but without evidence of atherosclerosis, treatment is designed to prevent the premature development of coronary artery disease, whereas in those with hypertriglyceridemia, treatment aims to prevent the development of hepatomegaly, splenomegaly, and pancreatitis. The 3-hydroxy-3-methylglutaryl coenzyme A (HMG-CoA) reductase inhibitors, or statins, are the most potent lipid-lowering agents currently available, and their use in the treatment of hyperlipidemia provides the focus for this review. Particular emphasis is given to cerivastatin, a new HMG-CoA reductase inhibitor that combines potent cholesterol-lowering properties with significant triglyceride-reducing effects. Recently completed primary and secondary intervention trials have shown that the significant reductions in low-density lipoprotein (LDL) cholesterol achieved with statins result in significant reductions in morbidity and mortality associated with coronary artery disease as well as reductions in the incidence of stroke and total mortality. Such benefits occur early in the course of statin therapy and have led to suggestions that these drugs may possess antiatherogenic effects over and above their capacity to lower atherogenic lipids and lipoproteins. Experimental studies have also shown statin-induced improvements in endothelial function, decreased platelet thrombus formation, improvements in fibrinolytic activity, and reductions in the frequency of transient myocardial ischemia.","container-title":"The American Journal of Cardiology","DOI":"10.1016/s0002-9149(98)00423-8","ISSN":"0002-9149","issue":"4B","journalAbbreviation":"Am J Cardiol","language":"eng","note":"PMID: 9737640","page":"3J-10J","source":"PubMed","title":"Current and future treatment of hyperlipidemia: the role of statins","title-short":"Current and future treatment of hyperlipidemia","volume":"82","author":[{"family":"Farnier","given":"M."},{"family":"Davignon","given":"J."}],"issued":{"date-parts":[["1998",8,27]]}}}],"schema":"https://github.com/citation-style-language/schema/raw/master/csl-citation.json"}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(12)</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Statins, also </w:t>
      </w:r>
      <w:r>
        <w:rPr>
          <w:rStyle w:val="extn-css-0"/>
          <w:rFonts w:ascii="Times New Roman" w:hAnsi="Times New Roman" w:cs="Times New Roman"/>
          <w:sz w:val="24"/>
          <w:szCs w:val="24"/>
          <w:shd w:val="clear" w:color="auto" w:fill="FFFFFF"/>
        </w:rPr>
        <w:lastRenderedPageBreak/>
        <w:t xml:space="preserve">known as hydroxymethyl-glutaryl-coenzyme A (HMG-CoA) reductase inhibitors, are well </w:t>
      </w:r>
      <w:proofErr w:type="spellStart"/>
      <w:r>
        <w:rPr>
          <w:rStyle w:val="extn-css-0"/>
          <w:rFonts w:ascii="Times New Roman" w:hAnsi="Times New Roman" w:cs="Times New Roman"/>
          <w:sz w:val="24"/>
          <w:szCs w:val="24"/>
          <w:shd w:val="clear" w:color="auto" w:fill="FFFFFF"/>
        </w:rPr>
        <w:t>toler-ated</w:t>
      </w:r>
      <w:proofErr w:type="spellEnd"/>
      <w:r>
        <w:rPr>
          <w:rStyle w:val="extn-css-0"/>
          <w:rFonts w:ascii="Times New Roman" w:hAnsi="Times New Roman" w:cs="Times New Roman"/>
          <w:sz w:val="24"/>
          <w:szCs w:val="24"/>
          <w:shd w:val="clear" w:color="auto" w:fill="FFFFFF"/>
        </w:rPr>
        <w:t xml:space="preserve"> but linked to a number of statin-associated symptoms (SAS), such as central nervous system complaints, diabetes mellitus (DM), and statin-associated muscular symptoms (SAMS)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{"citationID":"rwX9ZafW","properties":{"formattedCitation":"(13)","plainCitation":"(13)","noteIndex":0},"citationItems":[{"id":2303,"uris":["http://zotero.org/users/local/zvQEVGC3/items/CWQHPC6N"],"itemData":{"id":2303,"type":"book","abstract":"“Metabolism of Human Diseases” examines the physiology of key organs (e.g. brain, eye, lung, heart, blood vessels, blood, immune system, gastrointestinal tract, pancreas, liver, fat tissue, kidney, reproductive system, teeth, bone and joints) and how defective metabolism and signaling pathways within these organs contribute to common human diseases. The latter include depression, schizophrenia, epilepsy, Parkinson's disease, Alzheimer’s disease, migraine, multiple sclerosis, Down syndrome, macular degeneration, glaucoma, asthma, COPD, pneumonia, atherosclerotic heart disease, heart failure, stroke, varicose veins, Sickle cell disease, hyperlipidemia, fever, sepsis, allergies, peptic ulcer, gastroenteritis, lactose intolerance, colon cancer, diabetes, cirrhosis, metabolic syndrome, hypertension, chronic kidney disease, gout, urinary tract infections, kidney stones, dental caries, osteoporosis, osteoarthritis, rheumatoid arthritis, breast cancer and prostate cancer. The book also describes commonly used drugs and explains their molecular targets. It provides the first comprehensive and detailed summary of the metabolism of individual organs and their physiological and pathological functioning. Thus it serves as a useful supplement to previous textbooks of human physiology. “Metabolism of Human Diseases” is a must-have, state-of-the-art textbook written by International experts for graduate students, postdocs and scientists in metabolic research, biochemistry, physiology and pharmacy as well as for physicians interested in molecular mechanisms underlying common human diseases.","ISBN":"978-3-7091-0714-0","note":"page: 416\nDOI: 10.1007/978-3-7091-0715-7","number-of-pages":"1","source":"ResearchGate","title":"Metabolism of Human Diseases: Organ Physiology and Pathophysiology","title-short":"Metabolism of Human Diseases","author":[{"family":"Lammert","given":"E."},{"family":"Zeeb","given":"M."}],"issued":{"date-parts":[["2014",1,1]]}}}],"schema":"https://github.com/citation-style-language/schema/raw/master/csl-citation.json"}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(13)</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 Since these symptoms are uncommon in clinical trials and it is unknown how they are related to statins, they are referred to as "statin-associated symptoms." Nevertheless, SAS are crucial be-</w:t>
      </w:r>
      <w:proofErr w:type="gramStart"/>
      <w:r>
        <w:rPr>
          <w:rStyle w:val="extn-css-0"/>
          <w:rFonts w:ascii="Times New Roman" w:hAnsi="Times New Roman" w:cs="Times New Roman"/>
          <w:sz w:val="24"/>
          <w:szCs w:val="24"/>
          <w:shd w:val="clear" w:color="auto" w:fill="FFFFFF"/>
        </w:rPr>
        <w:t>cause</w:t>
      </w:r>
      <w:proofErr w:type="gramEnd"/>
      <w:r>
        <w:rPr>
          <w:rStyle w:val="extn-css-0"/>
          <w:rFonts w:ascii="Times New Roman" w:hAnsi="Times New Roman" w:cs="Times New Roman"/>
          <w:sz w:val="24"/>
          <w:szCs w:val="24"/>
          <w:shd w:val="clear" w:color="auto" w:fill="FFFFFF"/>
        </w:rPr>
        <w:t xml:space="preserve"> they encourage the lowering of dosages or the stopping of these life-saving medications. The most common SAS is SAMS, and 5–10% of statin users may experience mild myalgia. Rhabdomyolysis and statin-induced necrotizing autoimmune myopathy (SINAM), two clinically significant muscle complaints, are uncommon. SINAM appears to be triggered by antibodies against HMG-CoA reductase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{"citationID":"fZ7DznLx","properties":{"formattedCitation":"(14)","plainCitation":"(14)","noteIndex":0},"citationItems":[{"id":2306,"uris":["http://zotero.org/users/local/zvQEVGC3/items/3744E9BE"],"itemData":{"id":2306,"type":"article-journal","abstract":"BACKGROUND: Hydroxymethyl glutaryl coenzyme A reductase inhibitors, commonly called statins, are some of the most commonly prescribed medications worldwide. Evidence suggests that statin therapy has significant mortality and morbidity benefit for both primary and secondary prevention from cardiovascular disease. Nonetheless, concern has been expressed regarding the adverse effects of long term statin use. The purpose of this article was to review the current medical literature regarding the safety of statins.\nMETHODS: Major trials and review articles on the safety of statins were identified in a search of the MEDLINE database from 1980 to 2016, which was limited to English articles.\nRESULTS: Myalgia is the most common side effect of statin use, with documented rates from 1-10%. Rhabdomyolysis is the most serious adverse effect from statin use, though it occurs quite rarely (less than 0.1%). The most common risk factors for statin-related myopathy include hypothyroidism, polypharmacy and alcohol abuse. Derangement in liver function tests is common, affecting up to 1% of patients; however, the clinical significance of this is unknown. Some statin drugs are potentially diabetogenic and the risk appears to increase in those patients on higher doses. Pitavastatin has not been associated with increased risk of diabetes. Statins have not been proven to increase the risk of malignancy, dementia, mood disorders or acute interstitial nephritis. However, statins do have multiple drug interactions, primarily those which interact with the cytochrome p450 enzyme group.\nCONCLUSIONS: Overall, statin drugs appear to be safe for use in the vast majority of patients. However, patients with multiple medical co-morbidities are at increased risk of adverse effects from long-term statin use.","container-title":"Acta Cardiologica Sinica","DOI":"10.6515/acs20160611a","ISSN":"1011-6842","issue":"6","journalAbbreviation":"Acta Cardiol Sin","language":"eng","note":"PMID: 27899849\nPMCID: PMC5126440","page":"631-639","source":"PubMed","title":"Statin Therapy: Review of Safety and Potential Side Effects","title-short":"Statin Therapy","volume":"32","author":[{"family":"Ramkumar","given":"Satish"},{"family":"Raghunath","given":"Ajay"},{"family":"Raghunath","given":"Sudhakshini"}],"issued":{"date-parts":[["2016",11]]}}}],"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(14)</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While there is strong evidence linking statins to diabetes mellitus, there is only anecdotal evidence linking statins to other SAS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KNTcLC1c","properties":{"formattedCitation":"(15)","plainCitation":"(15)","noteIndex":0},"citationItems":[{"id":2308,"uris":["http://zotero.org/users/local/zvQEVGC3/items/GMUKF4PN"],"itemData":{"id":2308,"type":"article-journal","abstract":"Hydroxy-methyl-glutaryl-coenzyme A (HMG-CoA) reductase inhibitors or statins are well tolerated, but associated with various statin-associated symptoms (SAS), including statin-associated muscle symptoms (SAMS), diabetes mellitus (DM), and central nervous system complaints. These are \"statin-associated symptoms\" because they are rare in clinical trials, making their causative relationship to statins unclear. SAS are, nevertheless, important because they prompt dose reduction or discontinuation of these life-saving mediations. SAMS is the most frequent SAS, and mild myalgia may affect 5% to 10% of statin users. Clinically important muscle symptoms, including rhabdomyolysis and statin-induced necrotizing autoimmune myopathy (SINAM), are rare. Antibodies against HMG-CoA reductase apparently provoke SINAM. Good evidence links statins to DM, but evidence linking statins to other SAS is largely anecdotal. Management of SAS requires making the possible diagnosis, altering or discontinuing the statin treatment, and using alternative lipid-lowering therapy.","container-title":"Journal of the American College of Cardiology","DOI":"10.1016/j.jacc.2016.02.071","ISSN":"1558-3597","issue":"20","journalAbbreviation":"J Am Coll Cardiol","language":"eng","note":"PMID: 27199064","page":"2395-2410","source":"PubMed","title":"Statin-Associated Side Effects","volume":"67","author":[{"family":"Thompson","given":"Paul D."},{"family":"Panza","given":"Gregory"},{"family":"Zaleski","given":"Amanda"},{"family":"Taylor","given":"Beth"}],"issued":{"date-parts":[["2016",5,24]]}}}],"schema":"https://github.com/citation-style-language/schema/raw/master/csl-citation.json"}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(15)</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Natural products and their function in preserving and enhancing health and well-being have received increasing attention. Numerous natural products have been demonstrated to be beneficial in lowering plasma cholesterol levels and promoting safety profiles, and the cholesterol-lowering action of dietary plants has been well investigated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0WrDVA2D","properties":{"formattedCitation":"(16\\uc0\\u8211{}20)","plainCitation":"(16–20)","noteIndex":0},"citationItems":[{"id":2310,"uris":["http://zotero.org/users/local/zvQEVGC3/items/I7DT5A44"],"itemData":{"id":2310,"type":"article-journal","abstract":"Hyperlipidemia is an abnormality of lipid metabolism, characterized by an elevation of total cholesterol, triglyceride, and low density lipoprotein-cholesterol, and/or a decreasing of high density lipoprotein cholesterol in circulating levels. Hyperlipidemia has been ranked as one of the greatest risk factors contributing to prevalence and severity of coronary heart diseases. Hyperlipidemia-associated lipid disorders are considered the cause of atherosclerotic cardiovascular disease. There has been a growing interest in natural products and their role in the maintenance and improvement of health and wellness. The cholesterol-lowering effect of dietary plants has been well studied and various natural products were shown to be helpful in lowering plasma cholesterol levels and encouraging safety profile. The main focus of this review is to describe what we know to date of natural products, along with their lipid-lowering mechanisms, which are either through inhibition of cholesterol absorption, inhibition of cholesterol synthesis or antioxidant mechanisms.","container-title":"Archives of Physiology and Biochemistry","DOI":"10.1080/13813455.2018.1441315","ISSN":"1744-4160","issue":"2","journalAbbreviation":"Arch Physiol Biochem","language":"eng","note":"PMID: 29457523","page":"128-135","source":"PubMed","title":"Natural products for controlling hyperlipidemia: review","title-short":"Natural products for controlling hyperlipidemia","volume":"125","author":[{"family":"El-Tantawy","given":"Walid Hamdy"},{"family":"Temraz","given":"Abeer"}],"issued":{"date-parts":[["2019",5]]}}},{"id":2328,"uris":["http://zotero.org/users/local/zvQEVGC3/items/JSEHJ4EZ"],"itemData":{"id":2328,"type":"article-journal","container-title":"Journal of Complementary and Alternative Medical Research","DOI":"10.9734/jocamr/2025/v26i1615","ISSN":"2456-6276","issue":"1","language":"en","page":"79-86","source":"journaljocamr.com","title":"Exploring the Therapeutic Efficacy of Ethanolic Extract of Benincasa hispida in Alloxan Induced Diabetic Rats","volume":"26","author":[{"family":"Toha","given":"Ikram Wahid"},{"family":"Promi","given":"Shafia Islam"},{"family":"Barai","given":"Sampa"},{"family":"Mamun","given":"Abdullah Al"},{"family":"Sagir","given":"Shabira"},{"family":"Tasnim","given":"Sadia"},{"family":"Sony","given":"Ambia","dropping-particle":"khatun"},{"family":"Rasna","given":"Israt Jahan"}],"issued":{"date-parts":[["2025",1,13]]}}},{"id":19,"uris":["http://zotero.org/users/local/zvQEVGC3/items/E8NS8PRT"],"itemData":{"id":19,"type":"article-journal","abstract":"Gynura procumbens (Lour.) Merr. is a well-known plant used in folkloric medicine in tropical Asian countries. The plant is prevalently employed by traditional healers in the treatment of diabetes, cancer, hypertension, inflammation, fever, and skin disorders. Several scientific studies reported that Gynura procumbens possesses considerable therapeutic value for the development of emerging treatment options. The diverse pharmacological effects of this plant are attributed to its vast phytoconstituent content. Different chemical classes, including alkaloids, flavonoids, phenolics, steroids, proteins, and polysaccharides, have been isolated from this plant. In this review, we tried to explore the different aspects of Gynura procumbens as an established medicinal plant. The data gathered here give an indication that the plant Gynura procumbens is a good natural source of chemical compounds with different types of pharmacological actions, and these chemical compounds can be used as models for the development of de novo therapeutic agents.","container-title":"Current Topics in Medicinal Chemistry","DOI":"10.2174/1568026621666211004094902","ISSN":"1873-4294","issue":"29","journalAbbreviation":"Curr Top Med Chem","language":"eng","note":"PMID: 34607545","page":"2671-2686","source":"PubMed","title":"Current Knowledge Regarding Pharmacological Profile and Chemical Constituents of Gynura procumbens","volume":"21","author":[{"family":"Haque","given":"Ehfazul"},{"family":"Kamal","given":"Mir Shahriar"},{"family":"Tahsin","given":"Md Rafat"},{"family":"Ahmed","given":"Raju"},{"family":"Choudhury","given":"Jakir Ahmed"},{"family":"Chowdhury","given":"Abu Asad"},{"family":"Kabir","given":"Shaila"},{"family":"Amran","given":"Md Shah"},{"family":"Uddin","given":"Md Sahab"}],"issued":{"date-parts":[["2021"]]}}},{"id":32,"uris":["http://zotero.org/users/local/zvQEVGC3/items/67STWKNR"],"itemData":{"id":32,"type":"article-journal","abstract":"Background. Diabetes mellitus is one of the most notable health dilemmas. Analyzing plants for new antidiabetic remedies has become an impressive territory for life science researchers. Gynura procumbens has long been used to treat diabetes. Thus, we strived to ascertain the hypoglycemic potentiality of extract of leaves of G. procumbens by in vivo and in silico approaches. Methods. Fresh leaves of G. procumbens were collected and shade-dried to prepare ethanolic extracts to evaluate pharmacological parameters. Diabetes was induced in rats via injecting alloxan through the intraperitoneal route at a dose of 150 mg/kg body weight. Humalyzer 3000 was used to perform a biochemical assay of collected samples from rats. Anti-hyperglycemic activity study along with overdose toxicity test was performed. The pharmacological activity of this plant was also evaluated through a molecular docking study. This in silico study investigated the binding affinity of natural ligands from G. procumbens against glycoside hydrolase enzymes. Results. We detected a peak plasma concentration of G. procumbens at 3 hours 45 minutes that is roughly similar to the peak plasma concentration of metformin. Again, in OGTT and anti-hyperglycemic tests, it has been ascertained that both plant extract and metformin can exert significant and highly significant hypoglycemic activity in a dose-dependent manner. Metformin exhibited better therapeutic efficacy than that of plant extract, but it possessed null statistical significance. Also, our safety profile expressed that, similar to metformin, the plant extract can restore the disturbed pathological state in a dose-oriented approach with a wide safety margin. In silico study also validated the potentialities of natural constituents of G. procumbens. Conclusion. This study suggested that G. procumbens can be considered as potential antidiabetic plant. Robust and meticulous investigation regarding plant chemistry and pharmacology in the future may bring about a new dimension that will aid in discovering antidiabetic drugs from this plant in the diabetes management system.","container-title":"Evidence-Based Complementary and Alternative Medicine","DOI":"10.1155/2022/9095504","ISSN":"1741-427X","language":"en","note":"publisher: Hindawi","page":"e9095504","source":"www.hindawi.com","title":"In Vivo and In Silico Assessment of Diabetes Ameliorating Potentiality and Safety Profile of &lt;i&gt;Gynura procumbens&lt;/i&gt; Leaves","volume":"2022","author":[{"family":"Tahsin","given":"Md Rafat"},{"family":"Tithi","given":"Tanzia Islam"},{"family":"Mim","given":"Sabiha Rahman"},{"family":"Haque","given":"Ehfazul"},{"family":"Sultana","given":"Arifa"},{"family":"Bahar","given":"Nasiba Binte"},{"family":"Ahmed","given":"Raju"},{"family":"Chowdhury","given":"Jakir Ahmed"},{"family":"Chowdhury","given":"Abu Asad"},{"family":"Kabir","given":"Shaila"},{"family":"Aktar","given":"Fahima"},{"family":"Uddin","given":"Md Sahab"},{"family":"Amran","given":"Md Shah"}],"issued":{"date-parts":[["2022",1,19]]}}},{"id":2095,"uris":["http://zotero.org/users/local/zvQEVGC3/items/5YUCMWA5"],"itemData":{"id":2095,"type":"article-journal","abstract":"Introduction The liver, the most important metabolic organ of the body, performs a wide variety of vital functions. Hepatic cell injury occurs by the activation of reactive oxygen species (ROS) that are generated by carbon tetrachloride (CCl4), xenobiotics, and other toxic substances through cytochrome P450-dependent steps resulting from the covalent bond formation with lipoproteins and nucleic acids. Observing the urgent state of hepatotoxic patients worldwide, different medicinal plants and their properties can be explored to combat such free radical damage to the liver. In vivo and in silico studies were designed and conducted to evaluate the antioxidant and hepatoprotective properties of Gynura procumbens in rats. Materials and methods Gynura procumbens leaves were collected and extracted using 70% ethanol. The required chemicals CCl4, standard drug (silymarin), and blood serum analysis kits were stocked. The in vivo tests were performed in 140 healthy Wister albino rats of either sex under well-controlled parameters divided into 14 groups, strictly maintaining Institutional Animal Ethics Committee (IEAC) protocols. For the histopathology study, 10% buffered neutral formalin was used for organ preservation. Later the specimens were studied under a fluorescence microscope. In silico molecular docking and absorption, distribution, metabolism, excretion, and toxicity (ADMET) studies were performed, and the results were analyzed statistically. Results and discussion Gynura procumbens partially negate the deleterious effect of carbon tetrachloride on normal weight gain in rats. The elevated level of serum glutamate pyruvate transaminase (SGPT), serum glutamate oxaloacetate transaminase (SGOT), alkaline phosphatase (ALP), creatinine, LDH, total cholesterol (TC), low-density lipoprotein (LDL), triglycerides (TG), malondialdehyde (MDA), deoxyribonucleic acid (DNA) fragmentation ranges, gamma-glutamyl transferase (γ-GT) in CCl4 treated groups were decreased by both standard drug silymarin and G. procumbens leaf extract. We have found significant &amp; highly significant changes statistically for different doses, here p&lt;0.05 &amp; p&lt;0.01, respectively. On the other hand, G. procumbens and silymarin displayed Statistically significant (p&lt;0.05) and high significant(p&lt;0.01) increased levels of HDL, CAT SOD (here p&lt;0.05 &amp; p&lt;0.01 for different doses) when the treatment groups were compared with the disease control group. Because the therapeutic activity imparted by plants and drugs accelerates the movement of the disturbed pathophysiological state toward the healthy state. In the molecular docking analysis, G. procumbens phytoconstituents performed poorly against transforming growth factor-beta 1 (TGF-β1) compared to the control drug silymarin. In contrast, 26 phytoconstituents scored better than the control bezafibrate against peroxisome proliferator-activated receptor alpha (PPAR-α). The top scoring compounds for both macromolecules were observed to form stable complexes in the molecular dynamics simulations. Flavonoids and phenolic compounds performed better than other constituents in providing hepatoprotective activity. It can, thus, be inferred that the extract of G. procumbens showed good hepatoprotective properties in rats.","container-title":"PLOS ONE","DOI":"10.1371/journal.pone.0291125","ISSN":"1932-6203","issue":"9","journalAbbreviation":"PLOS ONE","language":"en","note":"publisher: Public Library of Science","page":"e0291125","source":"PLoS Journals","title":"An in vivo and in silico evaluation of the hepatoprotective potential of Gynura procumbens: A promising agent for combating hepatotoxicity","title-short":"An in vivo and in silico evaluation of the hepatoprotective potential of Gynura procumbens","volume":"18","author":[{"family":"Tithi","given":"Tanzia Islam"},{"family":"Tahsin","given":"Md Rafat"},{"family":"Anjum","given":"Juhaer"},{"family":"Zaman","given":"Tasnuva Sharmin"},{"family":"Aktar","given":"Fahima"},{"family":"Bahar","given":"Nasiba Binte"},{"family":"Tasnim","given":"Sabiha"},{"family":"Sultana","given":"Arifa"},{"family":"Jahan","given":"Ishrat"},{"family":"Afrin","given":"Syeda Sadia"},{"family":"Akter","given":"Tahmina"},{"family":"Sen","given":"Priyanka"},{"family":"Koly","given":"Fahima Jannat"},{"family":"Reza","given":"Md Selim"},{"family":"Chowdhury","given":"Jakir Ahmed"},{"family":"Kabir","given":"Shaila"},{"family":"Chowdhury","given":"Abu Asad"},{"family":"Amran","given":"Md Shah"}],"issued":{"date-parts":[["2023",9,15]]}}}],"schema":"https://github.com/citation-style-language/schema/raw/master/csl-citation.json"}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szCs w:val="24"/>
        </w:rPr>
        <w:t>(16–20)</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w:t>
      </w:r>
      <w:proofErr w:type="spellStart"/>
      <w:r>
        <w:rPr>
          <w:rStyle w:val="extn-css-0"/>
          <w:rFonts w:ascii="Times New Roman" w:hAnsi="Times New Roman" w:cs="Times New Roman"/>
          <w:sz w:val="24"/>
          <w:szCs w:val="24"/>
          <w:shd w:val="clear" w:color="auto" w:fill="FFFFFF"/>
        </w:rPr>
        <w:t>Sida</w:t>
      </w:r>
      <w:proofErr w:type="spellEnd"/>
      <w:r>
        <w:rPr>
          <w:rStyle w:val="extn-css-0"/>
          <w:rFonts w:ascii="Times New Roman" w:hAnsi="Times New Roman" w:cs="Times New Roman"/>
          <w:sz w:val="24"/>
          <w:szCs w:val="24"/>
          <w:shd w:val="clear" w:color="auto" w:fill="FFFFFF"/>
        </w:rPr>
        <w:t xml:space="preserve"> cordifolia (Linn.), a shrub of the </w:t>
      </w:r>
      <w:proofErr w:type="spellStart"/>
      <w:r>
        <w:rPr>
          <w:rStyle w:val="extn-css-0"/>
          <w:rFonts w:ascii="Times New Roman" w:hAnsi="Times New Roman" w:cs="Times New Roman"/>
          <w:sz w:val="24"/>
          <w:szCs w:val="24"/>
          <w:shd w:val="clear" w:color="auto" w:fill="FFFFFF"/>
        </w:rPr>
        <w:t>Malvaceae</w:t>
      </w:r>
      <w:proofErr w:type="spellEnd"/>
      <w:r>
        <w:rPr>
          <w:rStyle w:val="extn-css-0"/>
          <w:rFonts w:ascii="Times New Roman" w:hAnsi="Times New Roman" w:cs="Times New Roman"/>
          <w:sz w:val="24"/>
          <w:szCs w:val="24"/>
          <w:shd w:val="clear" w:color="auto" w:fill="FFFFFF"/>
        </w:rPr>
        <w:t xml:space="preserve"> family that grows throughout the tropical and sub-tropical plains, is often referred to as "Country mallow" and "Bala”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{"citationID":"jEXKpfau","properties":{"formattedCitation":"(21)","plainCitation":"(21)","noteIndex":0},"citationItems":[{"id":2313,"uris":["http://zotero.org/users/local/zvQEVGC3/items/T5R76JJ9"],"itemData":{"id":2313,"type":"article-journal","abstract":"Our world is fulfilled by various medicinal plants which are widely have been used in treatment of various diseases since ancient time. Medicinal plants still play an important role in emerging and developing countries. They also generate income to people of many Asian countries who can earn their livelihood from selling collected materials from the forest or by cultivating on their farms. Thus the medicinal plants constitute very important rational resources. In India plants have been trditionally used for human and veterinary health care needs. This reflects that medicinal plant and their products have taken an increasing demand. Herbs are staging a comeback and herbal ‘renaissance’ is happening all over the globe. The herbal products today symbolize safety in contrast to the synthetics that are regarded as unsafe to human and environment. Although herbs had been priced for their medicinal, flavoring and aromatic qualities. Malvaceae, commonly known as Bala, is an Ayurvedic medicine that is used to treat bronchial asthma, cold and flu, chills, lack of perspiration, head ache, nasal congestion, aching joints and bones, cough and wheezing, and edema. The root infusion is given in nervous and urinary diseases and also in disorders of the blood and bile. Sida cordifolia has been reported to posess analgesic, anti-inflammatory and hypoglycemic activities as well as hepatoprotective activity. Traditionally the plant Sida cordifolia (linn) syn has been used as CNS depressant, fat lose, analgesics, anti-inflammatory, hypotensive, hepatoprotectiv. Presence of ephedrine has highlighted the utility of this plant .various ayurvadic preparation of this plant used in asthma diseases, fat lose and increase energy, Oil preparation is also cure pain, swelling disorder, and Gritha cures Heart diseases. This plant has great potential to develop the Ayurvedic, modern medicine and athletic supplements by pharmaceutical industries. The present review is highlights the traditional uses, Ayurvedic preparation, chemical constituents and pharmacological properties of Sida cordifolia (linn) syn. Country Mallow.","container-title":"Journal of Applied Pharmaceutical Science","language":"en","source":"Zotero","title":"Sida cordifolia (Linn) – An overview","author":[{"family":"Jain","given":"Ankit"},{"family":"Choubey","given":"Shreya"},{"family":"Singour","given":"P K"},{"family":"Rajak","given":"H"},{"family":"Pawar","given":"R S"}]}}],"schema":"https://github.com/citation-style-language/schema/raw/master/csl-citation.json"}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(21)</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Folk medicine uses its roots, stem, leaves, and seeds for their anti-rheumatic, antipyretic, anti-asthmatic, laxative, diuretic, vasorelaxant, hypotensive, central nervous system depressant, antioxidant, and hypoglycemic properties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{"citationID":"aIkfhxKb","properties":{"formattedCitation":"(22,23)","plainCitation":"(22,23)","noteIndex":0},"citationItems":[{"id":2314,"uris":["http://zotero.org/users/local/zvQEVGC3/items/BGSHU8ZG"],"itemData":{"id":2314,"type":"article-journal","abstract":"Sida cordifolia (Malvaceae) is a highly reputable medicinal herb in the Ayurveda and other traditional systems of medicine in India and various other countries. In the Ayurvedic system of medicine it is used as antirheumatic, analgesic, antipyretic, antiasthmatic, nasal anticongestant, antiviral, laxative, diuretic, aphrodisiac, hypoglycaemic, hepatoprotective and in the treatment of Parkinson’s disease. In order to evaluate this traditional plant in a modern perspective, the current review presents essential aspects of S. cordifolia including taxonomy, uses in disciplined traditional medicines, geographical distribution, chemical constituents, pharmacological studies on plant extracts and on single entity constituents, toxicity, and standardization. The chemical composition of this herb comprises of alkaloids, flavonoids, phytoecdysteroids, sterols and fatty acids. The problem of plant misidentification, due to confusion with other related species, is discussed. This paper reviews the conflicting reports regarding the presence or absence of ephedrine and discusses the claimed utility of this herb as a weight loss aid on the basis of ephedrine purported to be present in this species.","container-title":"Current Traditional Medicine","DOI":"10.2174/2215083801666141226215639","journalAbbreviation":"Current Traditional Medicine","page":"5-17","source":"ResearchGate","title":"Sida cordifolia, a Traditional Herb in Modern Perspective – A Review","volume":"1","author":[{"family":"Galal","given":"Ahmed"},{"family":"Raman","given":"Vijayasankar"},{"family":"Khan","given":"Ikhlas"}],"issued":{"date-parts":[["2015",6,11]]}}},{"id":2317,"uris":["http://zotero.org/users/local/zvQEVGC3/items/TCSSMQ7E"],"itemData":{"id":2317,"type":"article-journal","abstract":"Sida cordifolia extracts of the aerial and root parts showed good analgesic, antiinflammatory and hypoglycaemic activities. The ethyl acetate (EA) extract of root (SCR-E) showed comparable antiinflammatory activity with indomethacin and possessed significantly higher activity when compared with that of the methanol extract of the root part (SCR-M). The ethyl acetate extract of both root and aerial parts of Sida cordifolia (SCR-E and SCA-E) showed very good central and peripheral analgesic activities at a dose of 600 mg/kg. The methanol extract of root (SCR-M) was found to possess significant hypoglycaemic activity.","container-title":"Phytotherapy research: PTR","DOI":"10.1002/(SICI)1099-1573(199902)13:1&lt;75::AID-PTR387&gt;3.0.CO;2-F","ISSN":"0951-418X","issue":"1","journalAbbreviation":"Phytother Res","language":"eng","note":"PMID: 10189958","page":"75-77","source":"PubMed","title":"Analgesic, antiinflammatory and hypoglycaemic activities of Sida cordifolia","volume":"13","author":[{"family":"Kanth","given":"V. R."},{"family":"Diwan","given":"P. V."}],"issued":{"date-parts":[["1999",2]]}}}],"schema":"https://github.com/citation-style-language/schema/raw/master/csl-citation.json"}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(22,23)</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According to research, the alcoholic extract of the areal part of S. cordifolia, at 400 mg/kg, demonstrated a positive effect in diabetic rats, showing a significant increase in high density lipid levels and a significant decrease in total cholesterol, triglycerides, low density lipids, plasma-creatinine, plasma-urea nitrogen, and lipid peroxidation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{"citationID":"uA1XbJrq","properties":{"formattedCitation":"(24)","plainCitation":"(24)","noteIndex":0},"citationItems":[{"id":165,"uris":["http://zotero.org/users/local/zvQEVGC3/items/5JFUV2Q6"],"itemData":{"id":165,"type":"article-journal","abstract":"Sida cordifolia is a shrub found throughout the tropical and sub-tropical plains. All parts of the plant are used as anti-rheumatic, antipyretic, anti-asthmatic, laxative, diuretic, vasorelaxative, hypotensive, central nervous system depressant, antioxidant, analgesic and hypoglycemic. The present study was aimed to evaluate the hypoglycemic, anti-hyperlipidemic and antioxidant potential of alcoholic-extract obtained from areal part of S. cordifolia in streptozotocin-induced-diabetes in wistar-rats. Diabetes was induced with streptozotocin at the intra-peritoneal dose of 55 mg/kg. Diabetic rats were treated with alcoholic extract of S. cordifolia at dosage of 200, 400 mg/kg and glibenclamide (5 mg/kg) after sub-acute administration for 28 days. Alcoholic extract of S. cordifolia at 400 mg/kg significantly improved the body-weight whereas significantly decreased the blood glucose level in diabetic rats. However at 400 mg/kg, the alcoholic extract of S. cordifolia showed beneficial effect indicating significant decrease in total cholesterol, triglycerides, low density lipids, plasma-creatinine, plasma-urea nitrogen and lipid-peroxidation and a significant increase in high density lipid-level in diabetic rats. Interestingly at 400 mg/kg, a significant increase in antioxidant enzymes such as catalase and superoxide-dismutase-activity was seen in the diabetic rats. The dose 200 mg/kg of alcoholic extract of S. cordifolia showed non-significant change in diabetic rats. The above therapeutic-potential of alcoholic extract of areal parts of plant may be because of the presence of bioactive compounds such as glycosides, resins, alkaloids, sterols, saponins and flavonoids. Thus, the findings of the present study indicate that the alcoholic extract of S. cordifolia at dosage level of 400 mg/kg produces anti-diabetic effect in the streptozotocin-induced diabetes in wistar-rats.","container-title":"Proceedings of the National Academy of Sciences, India - Section B: Biological Sciences","DOI":"10.1007/s40011-013-0218-2","journalAbbreviation":"Proceedings of the National Academy of Sciences, India - Section B: Biological Sciences","source":"ResearchGate","title":"Anti-Hyperglycemic, Anti-Hyperlipidemic and Antioxidant Potential of Alcoholic-Extract of Sida cordifolia (Areal Part) in Streptozotocin-Induced-Diabetes in Wistar-Rats","volume":"84","author":[{"family":"Ahmad","given":"Mahrukh"},{"family":"Prawez","given":"Shahid"},{"family":"Sultana","given":"Sarwat"},{"family":"Raina","given":"Rajinder"},{"family":"Pankaj","given":"Nrip Kishore"},{"family":"Verma","given":"Pawan"},{"family":"Rahman","given":"Shafiqur"}],"issued":{"date-parts":[["2013",6,1]]}}}],"schema":"https://github.com/citation-style-language/schema/raw/master/csl-citation.json"}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(24)</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 xml:space="preserve">.  The presence of bioactive substances including glycosides, resins, alkaloids, saponins, and flavonoids may be the source of the alcoholic extract of plant </w:t>
      </w:r>
      <w:r>
        <w:rPr>
          <w:rStyle w:val="extn-css-0"/>
          <w:rFonts w:ascii="Times New Roman" w:hAnsi="Times New Roman" w:cs="Times New Roman"/>
          <w:sz w:val="24"/>
          <w:szCs w:val="24"/>
          <w:shd w:val="clear" w:color="auto" w:fill="FFFFFF"/>
        </w:rPr>
        <w:fldChar w:fldCharType="begin"/>
      </w:r>
      <w:r>
        <w:rPr>
          <w:rStyle w:val="extn-css-0"/>
          <w:rFonts w:ascii="Times New Roman" w:hAnsi="Times New Roman" w:cs="Times New Roman"/>
          <w:sz w:val="24"/>
          <w:szCs w:val="24"/>
          <w:shd w:val="clear" w:color="auto" w:fill="FFFFFF"/>
        </w:rPr>
        <w:instrText xml:space="preserve"> ADDIN ZOTERO_ITEM CSL_CITATION {"citationID":"xL71W1w9","properties":{"formattedCitation":"(25)","plainCitation":"(25)","noteIndex":0},"citationItems":[{"id":2323,"uris":["http://zotero.org/users/local/zvQEVGC3/items/5PE4LF9S"],"itemData":{"id":2323,"type":"article-journal","language":"en","source":"Zotero","title":"Effect of bioactive compounds and its pharmaceutical activities of sida cordifolia (linn.)","author":[{"family":"Joseph","given":"Baby"},{"family":"Ajisha","given":"S U"},{"family":"Kumari","given":"Satheesna"},{"family":"Sujatha","given":"S"}]}}],"schema":"https://github.com/citation-style-language/schema/raw/master/csl-citation.json"} </w:instrText>
      </w:r>
      <w:r>
        <w:rPr>
          <w:rStyle w:val="extn-css-0"/>
          <w:rFonts w:ascii="Times New Roman" w:hAnsi="Times New Roman" w:cs="Times New Roman"/>
          <w:sz w:val="24"/>
          <w:szCs w:val="24"/>
          <w:shd w:val="clear" w:color="auto" w:fill="FFFFFF"/>
        </w:rPr>
        <w:fldChar w:fldCharType="separate"/>
      </w:r>
      <w:r>
        <w:rPr>
          <w:rFonts w:ascii="Times New Roman" w:hAnsi="Times New Roman" w:cs="Times New Roman"/>
          <w:sz w:val="24"/>
        </w:rPr>
        <w:t>(25)</w:t>
      </w:r>
      <w:r>
        <w:rPr>
          <w:rStyle w:val="extn-css-0"/>
          <w:rFonts w:ascii="Times New Roman" w:hAnsi="Times New Roman" w:cs="Times New Roman"/>
          <w:sz w:val="24"/>
          <w:szCs w:val="24"/>
          <w:shd w:val="clear" w:color="auto" w:fill="FFFFFF"/>
        </w:rPr>
        <w:fldChar w:fldCharType="end"/>
      </w:r>
      <w:r>
        <w:rPr>
          <w:rStyle w:val="extn-css-0"/>
          <w:rFonts w:ascii="Times New Roman" w:hAnsi="Times New Roman" w:cs="Times New Roman"/>
          <w:sz w:val="24"/>
          <w:szCs w:val="24"/>
          <w:shd w:val="clear" w:color="auto" w:fill="FFFFFF"/>
        </w:rPr>
        <w:t>.</w:t>
      </w:r>
    </w:p>
    <w:p w14:paraId="4508C8D6" w14:textId="77777777" w:rsidR="00F0420A" w:rsidRDefault="00000000">
      <w:pPr>
        <w:rPr>
          <w:rFonts w:ascii="Times New Roman" w:hAnsi="Times New Roman" w:cs="Times New Roman"/>
          <w:b/>
          <w:bCs/>
          <w:sz w:val="28"/>
        </w:rPr>
      </w:pPr>
      <w:r>
        <w:rPr>
          <w:rFonts w:ascii="Times New Roman" w:hAnsi="Times New Roman" w:cs="Times New Roman"/>
          <w:b/>
          <w:sz w:val="28"/>
        </w:rPr>
        <w:t>Material and Method:</w:t>
      </w:r>
      <w:r>
        <w:rPr>
          <w:sz w:val="28"/>
        </w:rPr>
        <w:br/>
      </w:r>
      <w:r>
        <w:rPr>
          <w:rFonts w:ascii="Times New Roman" w:hAnsi="Times New Roman" w:cs="Times New Roman"/>
          <w:b/>
          <w:bCs/>
          <w:sz w:val="24"/>
          <w:szCs w:val="24"/>
        </w:rPr>
        <w:br/>
        <w:t>Plant collection and Extract preparation</w:t>
      </w:r>
    </w:p>
    <w:p w14:paraId="7D0DA543" w14:textId="77777777" w:rsidR="00F0420A" w:rsidRDefault="00000000">
      <w:pPr>
        <w:spacing w:line="36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Sida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cardifolia</w:t>
      </w:r>
      <w:proofErr w:type="spellEnd"/>
      <w:r>
        <w:rPr>
          <w:rFonts w:ascii="Times New Roman" w:hAnsi="Times New Roman" w:cs="Times New Roman"/>
          <w:sz w:val="24"/>
          <w:szCs w:val="24"/>
        </w:rPr>
        <w:t xml:space="preserve"> was purchased from the Dhaka local market. The National </w:t>
      </w:r>
      <w:proofErr w:type="spellStart"/>
      <w:r>
        <w:rPr>
          <w:rFonts w:ascii="Times New Roman" w:hAnsi="Times New Roman" w:cs="Times New Roman"/>
          <w:sz w:val="24"/>
          <w:szCs w:val="24"/>
        </w:rPr>
        <w:t>Hebarium</w:t>
      </w:r>
      <w:proofErr w:type="spellEnd"/>
      <w:r>
        <w:rPr>
          <w:rFonts w:ascii="Times New Roman" w:hAnsi="Times New Roman" w:cs="Times New Roman"/>
          <w:sz w:val="24"/>
          <w:szCs w:val="24"/>
        </w:rPr>
        <w:t xml:space="preserve"> in Bangladesh confirmed the authenticity of the material. First, </w:t>
      </w:r>
      <w:proofErr w:type="spellStart"/>
      <w:r>
        <w:rPr>
          <w:rFonts w:ascii="Times New Roman" w:hAnsi="Times New Roman" w:cs="Times New Roman"/>
          <w:i/>
          <w:iCs/>
          <w:sz w:val="24"/>
          <w:szCs w:val="24"/>
        </w:rPr>
        <w:t>sida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cardifolia</w:t>
      </w:r>
      <w:proofErr w:type="spellEnd"/>
      <w:r>
        <w:rPr>
          <w:rFonts w:ascii="Times New Roman" w:hAnsi="Times New Roman" w:cs="Times New Roman"/>
          <w:sz w:val="24"/>
          <w:szCs w:val="24"/>
        </w:rPr>
        <w:t xml:space="preserve"> was well cleansed with water and allowed to air dry. The dried leaves were finally ground into a powder. The </w:t>
      </w:r>
      <w:r>
        <w:rPr>
          <w:rFonts w:ascii="Times New Roman" w:hAnsi="Times New Roman" w:cs="Times New Roman"/>
          <w:sz w:val="24"/>
          <w:szCs w:val="24"/>
        </w:rPr>
        <w:lastRenderedPageBreak/>
        <w:t xml:space="preserve">powder was immersed in 70% ethanol for 15 days. For a period of 15 days, the solution was stored. Periodically, there was also vigorous shaking. The mixture was then filtered. A rotary evaporator was used to dry the collected filtrate at a low pressure and temperature. Lastly, the necessary pharmacological testing was performed on the crude residue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{"citationID":"dPV0Vx5S","properties":{"formattedCitation":"(26)","plainCitation":"(26)","noteIndex":0},"citationItems":[{"id":2330,"uris":["http://zotero.org/users/local/zvQEVGC3/items/JWZXNR5Z"],"itemData":{"id":2330,"type":"article-journal","container-title":"Journal of Complementary and Alternative Medical Research","DOI":"10.9734/jocamr/2025/v26i2620","ISSN":"2456-6276","issue":"2","language":"en","page":"1-8","source":"journaljocamr.com","title":"Evaluation of the Anti-Diabetic and Biochemical Effects of Ocimum sanctum Extract in Alloxan Induced Rat Model","volume":"26","author":[{"family":"Jannat","given":"Bushratul"},{"family":"Khastagir","given":"Sristy"},{"family":"Shakil","given":"Md"},{"family":"Haider","given":"Zulqarnain"},{"family":"Tasnim","given":"Sadia"},{"family":"Rashid","given":"Sadiya Binte"},{"family":"Rasna","given":"Israt Jahan"}],"issued":{"date-parts":[["2025",1,22]]}}}],"schema":"https://github.com/citation-style-language/schema/raw/master/csl-citation.json"}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(26)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F89EE48"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Drugs and Chemicals</w:t>
      </w:r>
    </w:p>
    <w:p w14:paraId="39870C36"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rPr>
        <w:t>Incepta</w:t>
      </w:r>
      <w:proofErr w:type="spellEnd"/>
      <w:r>
        <w:rPr>
          <w:rFonts w:ascii="Times New Roman" w:hAnsi="Times New Roman" w:cs="Times New Roman"/>
        </w:rPr>
        <w:t xml:space="preserve"> Pharmaceuticals provided a complimentary sample of the medication atorvastatin. We purchased ethanol at the Taj Scientific store. </w:t>
      </w:r>
    </w:p>
    <w:p w14:paraId="0CEC351C"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Experimental Animal Procurement, Nursing, and Grouping</w:t>
      </w:r>
    </w:p>
    <w:p w14:paraId="5CBE1D35" w14:textId="77777777" w:rsidR="00F0420A" w:rsidRDefault="00000000">
      <w:pPr>
        <w:spacing w:line="360" w:lineRule="auto"/>
        <w:jc w:val="both"/>
        <w:rPr>
          <w:rFonts w:ascii="Times New Roman" w:hAnsi="Times New Roman" w:cs="Times New Roman"/>
        </w:rPr>
      </w:pPr>
      <w:r>
        <w:rPr>
          <w:rFonts w:ascii="Times New Roman" w:hAnsi="Times New Roman" w:cs="Times New Roman"/>
        </w:rPr>
        <w:t xml:space="preserve">From Jahangirnagar University in Savar, Dhaka, 90 male rats weighing 120–150 grams were acquired. At the University of Dhaka's Institute of Nutrition &amp; Food Science (INFS), each of them was kept in a climate-controlled setting with a 12-hour light/dark cycle, a temperature of 25±3°C, and a relative humidity of 55±5%. They were allowed to consume clean water and were fed a typical diet. Prior to the adaptation investigation, all of the animals were kept in this habitat for a minimum of one week. Every experimental procedure complied with the Institutional Animals Ethics Committee's (IEAC) guidelines. Nine groups, each containing ten rats, were randomly selected from 90 rats </w:t>
      </w:r>
      <w:r>
        <w:rPr>
          <w:rFonts w:ascii="Times New Roman" w:hAnsi="Times New Roman" w:cs="Times New Roman"/>
        </w:rPr>
        <w:fldChar w:fldCharType="begin"/>
      </w:r>
      <w:r>
        <w:rPr>
          <w:rFonts w:ascii="Times New Roman" w:hAnsi="Times New Roman" w:cs="Times New Roman"/>
        </w:rPr>
        <w:instrText xml:space="preserve"> ADDIN ZOTERO_ITEM CSL_CITATION {"citationID":"4bUVzqpn","properties":{"formattedCitation":"(27,28)","plainCitation":"(27,28)","noteIndex":0},"citationItems":[{"id":566,"uris":["http://zotero.org/users/local/zvQEVGC3/items/6UGZ52V9"],"itemData":{"id":566,"type":"article-journal","abstract":"Background. Liver diseases still represent a major health burden worldwide. Moreover, medicinal plants have gained popularity in the treatment of several diseases including liver. Thus, the present study was to evaluate the effectiveness of  Piper cubeba fruits in the amelioration of CCl4-induced liver injuries and oxidative damage in the rodent model.  Methods. Hepatoprotective activity was assessed using various biochemical parameters like SGOT, SGPT, γ-GGT, ALP, total bilirubin, LDH, and total protein. Meanwhile,  in vivo antioxidant activities as LPO, NP-SH, and CAT were measured in rat liver as well as mRNA expression of cytokines such as TNFα, IL-6, and IL-10 and stress related genes iNOS and HO-1 were determined by RT-PCR. The extent of liver damage was also analyzed through histopathological observations.  Results. Treatment with PCEE significantly and dose dependently prevented drug induced increase in serum levels of hepatic enzymes. Furthermore, PCEE significantly reduced the lipid peroxidation in the liver tissue and restored activities of defense antioxidant enzymes NP-SH and CAT towards normal levels. The administration of PCEE significantly downregulated the CCl4-induced proinflammatory cytokines TNFα and IL-6 mRNA expression in dose dependent manner, while it upregulated the IL-10 and induced hepatoprotective effect by downregulating mRNA expression of iNOS and HO-1 gene.","container-title":"BioMed Research International","DOI":"10.1155/2015/359358","ISSN":"2314-6133","journalAbbreviation":"Biomed Res Int","note":"PMID: 25654097\nPMCID: PMC4310260","page":"359358","source":"PubMed Central","title":"Evaluation of the Effectiveness of Piper cubeba Extract in the Amelioration of CCl4-Induced Liver Injuries and Oxidative Damage in the Rodent Model","volume":"2015","author":[{"family":"AlSaid","given":"Mansour"},{"family":"Mothana","given":"Ramzi"},{"family":"Raish","given":"Mohammad"},{"family":"Al-Sohaibani","given":"Mohammed"},{"family":"Al-Yahya","given":"Mohammed"},{"family":"Ahmad","given":"Ajaz"},{"family":"Al-Dosari","given":"Mohammed"},{"family":"Rafatullah","given":"Syed"}],"issued":{"date-parts":[["2015"]]}}},{"id":13,"uris":["http://zotero.org/users/local/zvQEVGC3/items/EUFLYV5C"],"itemData":{"id":13,"type":"article-journal","abstract":"Herbal remedies have been used in many cultures for decades to treat illnesses. These medicinal plants have been found to contain various phytochemical compounds that can help to cure mild to severe illnesses. The inadequacies of conventional medicines and their unusual side effects sparked a determined search for alternative natural therapeutic agents. Another reason for this hunt could be the availability and fewer side effects of natural products. T. arjuna is widely used in traditional medicine to alleviate various diseases like relieving pain, ameliorating diabetes, mitigating inflammation, and back-pedaling of depression. In this study, the ethanolic extract of T. arjuna possesses a promising effect on the animal model (p &lt; 0.05/p &lt; 0.01) as an antihyperglycemic, analgesic, anti-inflammatory, and antidepressant agent, but in a dose-dependent manner. The lower dose of T. arjuna was found to be capable of reversing the disturbed physiological state at a significant level (p &lt; 0.05). However, a higher dose of T. arjuna exerts better therapeutic effects for those diseases. This animal study aims to evaluate the anti-diabetic, anti-depressant, and anti-inflammatory properties of T. arjuna compared to conventional marketed drugs. We will perform an in-silico study for active constituents of T. arjuna against their proposed targets and look for the molecular cascade on their claimed pharmacological properties. This study shows that different doses of T. arjuna bark extracts give similar therapeutic responses compared with established marketed drugs in managing hyperglycemia, stress-induced depression, and inflammation. Besides, our docking study reveals that flavonoids and triterpenoid active constituents of T. arjuna play an important role in its usefulness. This study, therefore, scientifically confirmed the traditional use of this medicinal plant in the management of several diseased conditions.","container-title":"Heliyon","DOI":"10.1016/j.heliyon.2021.e08225","ISSN":"2405-8440","issue":"11","journalAbbreviation":"Heliyon","language":"en","page":"e08225","source":"ScienceDirect","title":"An evaluation of pharmacological healing potentialities of Terminalia Arjuna against several ailments on experimental rat models with an in-silico approach","volume":"7","author":[{"family":"Tahsin","given":"Md. Rafat"},{"family":"Sultana","given":"Arifa"},{"family":"Mohtasim Khan","given":"Muhammad Shah"},{"family":"Jahan","given":"Ishrat"},{"family":"Mim","given":"Sabiha Rahman"},{"family":"Tithi","given":"Tanzia Islam"},{"family":"Ananta","given":"Mokaddas Flora"},{"family":"Afrin","given":"Sadia"},{"family":"Ali","given":"Mehnaz"},{"family":"Hussain","given":"M. Sajjad"},{"family":"Chowdhury","given":"Jakir Ahmed"},{"family":"Kabir","given":"Shaila"},{"family":"Chowdhury","given":"Abu Asad"},{"family":"Amran","given":"Md. Shah"},{"family":"Aktar","given":"Fahima"}],"issued":{"date-parts":[["2021",11,1]]}}}],"schema":"https://github.com/citation-style-language/schema/raw/master/csl-citation.json"}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(27,28)</w:t>
      </w:r>
      <w:r>
        <w:rPr>
          <w:rFonts w:ascii="Times New Roman" w:hAnsi="Times New Roman" w:cs="Times New Roman"/>
        </w:rPr>
        <w:fldChar w:fldCharType="end"/>
      </w:r>
      <w:r>
        <w:rPr>
          <w:rFonts w:ascii="Times New Roman" w:hAnsi="Times New Roman" w:cs="Times New Roman"/>
        </w:rPr>
        <w:t>.</w:t>
      </w:r>
    </w:p>
    <w:p w14:paraId="04735047"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Experimental design</w:t>
      </w:r>
    </w:p>
    <w:p w14:paraId="56DB54FC" w14:textId="77777777" w:rsidR="00F0420A" w:rsidRDefault="00000000">
      <w:pPr>
        <w:spacing w:line="360" w:lineRule="auto"/>
        <w:jc w:val="both"/>
        <w:rPr>
          <w:rFonts w:ascii="Times New Roman" w:hAnsi="Times New Roman" w:cs="Times New Roman"/>
        </w:rPr>
      </w:pPr>
      <w:r>
        <w:rPr>
          <w:rFonts w:ascii="Times New Roman" w:hAnsi="Times New Roman" w:cs="Times New Roman"/>
        </w:rPr>
        <w:t>Rats were individually weighed and then divided into nine independent groups for research on anti-hyperlipidemic action. The distribution of rodents among the groups was based on their body weight, with each group consisting of five rats</w:t>
      </w:r>
      <w:r>
        <w:rPr>
          <w:rFonts w:ascii="Times New Roman" w:hAnsi="Times New Roman" w:cs="Times New Roman"/>
        </w:rPr>
        <w:fldChar w:fldCharType="begin"/>
      </w:r>
      <w:r>
        <w:rPr>
          <w:rFonts w:ascii="Times New Roman" w:hAnsi="Times New Roman" w:cs="Times New Roman"/>
        </w:rPr>
        <w:instrText xml:space="preserve"> ADDIN ZOTERO_ITEM CSL_CITATION {"citationID":"4XjEOVZC","properties":{"formattedCitation":"(29)","plainCitation":"(29)","noteIndex":0},"citationItems":[{"id":16,"uris":["http://zotero.org/users/local/zvQEVGC3/items/JWT8A2Y9"],"itemData":{"id":16,"type":"article-journal","abstract":"BACKGROUND: Diabetes mellitus is one of the most notable health dilemmas. Analyzing plants for new antidiabetic remedies has become an impressive territory for life science researchers. Gynura procumbens has long been used to treat diabetes. Thus, we strived to ascertain the hypoglycemic potentiality of extract of leaves of G. procumbens by in vivo and in silico approaches.\nMETHODS: Fresh leaves of G. procumbens were collected and shade-dried to prepare ethanolic extracts to evaluate pharmacological parameters. Diabetes was induced in rats via injecting alloxan through the intraperitoneal route at a dose of 150 mg/kg body weight. Humalyzer 3000 was used to perform a biochemical assay of collected samples from rats. Anti-hyperglycemic activity study along with overdose toxicity test was performed. The pharmacological activity of this plant was also evaluated through a molecular docking study. This in silico study investigated the binding affinity of natural ligands from G. procumbens against glycoside hydrolase enzymes.\nRESULTS: We detected a peak plasma concentration of G. procumbens at 3 hours 45 minutes that is roughly similar to the peak plasma concentration of metformin. Again, in OGTT and anti-hyperglycemic tests, it has been ascertained that both plant extract and metformin can exert significant (P &lt; 0.05) and highly significant (P &lt; 0.01) hypoglycemic activity in a dose-dependent manner. Metformin exhibited better therapeutic efficacy than that of plant extract, but it possessed null statistical significance. Also, our safety profile expressed that, similar to metformin, the plant extract can restore the disturbed pathological state in a dose-oriented approach with a wide safety margin. In silico study also validated the potentialities of natural constituents of G. procumbens. Conclusion. This study suggested that G. procumbens can be considered as potential antidiabetic plant. Robust and meticulous investigation regarding plant chemistry and pharmacology in the future may bring about a new dimension that will aid in discovering antidiabetic drugs from this plant in the diabetes management system.","container-title":"Evidence-Based Complementary and Alternative Medicine: eCAM","DOI":"10.1155/2022/9095504","ISSN":"1741-427X","journalAbbreviation":"Evid Based Complement Alternat Med","language":"eng","note":"PMID: 35096119\nPMCID: PMC8791719","page":"9095504","source":"PubMed","title":"In Vivo and In Silico Assessment of Diabetes Ameliorating Potentiality and Safety Profile of Gynura procumbens Leaves","volume":"2022","author":[{"family":"Tahsin","given":"Md Rafat"},{"family":"Tithi","given":"Tanzia Islam"},{"family":"Mim","given":"Sabiha Rahman"},{"family":"Haque","given":"Ehfazul"},{"family":"Sultana","given":"Arifa"},{"family":"Bahar","given":"Nasiba Binte"},{"family":"Ahmed","given":"Raju"},{"family":"Chowdhury","given":"Jakir Ahmed"},{"family":"Chowdhury","given":"Abu Asad"},{"family":"Kabir","given":"Shaila"},{"family":"Aktar","given":"Fahima"},{"family":"Uddin","given":"Md Sahab"},{"family":"Amran","given":"Md Shah"}],"issued":{"date-parts":[["2022"]]}}}],"schema":"https://github.com/citation-style-language/schema/raw/master/csl-citation.json"}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t>. The atorvastatin control group in Table 1 shows rats that were given atorvastatin with a high-fat diet since using simply atorvastatin would result in the animals dying. N/A indicates that rats in this group did not receive any therapeutic treatment.</w:t>
      </w:r>
    </w:p>
    <w:p w14:paraId="3758334B" w14:textId="77777777" w:rsidR="00F0420A" w:rsidRDefault="00F0420A">
      <w:pPr>
        <w:spacing w:line="360" w:lineRule="auto"/>
        <w:jc w:val="both"/>
        <w:rPr>
          <w:rFonts w:ascii="Times New Roman" w:hAnsi="Times New Roman" w:cs="Times New Roman"/>
        </w:rPr>
      </w:pPr>
    </w:p>
    <w:p w14:paraId="4DB4A5BA" w14:textId="77777777" w:rsidR="00F0420A" w:rsidRDefault="00F0420A">
      <w:pPr>
        <w:spacing w:line="360" w:lineRule="auto"/>
        <w:jc w:val="both"/>
        <w:rPr>
          <w:rFonts w:ascii="Times New Roman" w:hAnsi="Times New Roman" w:cs="Times New Roman"/>
        </w:rPr>
      </w:pPr>
    </w:p>
    <w:p w14:paraId="2646B67A"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 xml:space="preserve">Table 1: Antihyperlipidemic activity analysis </w:t>
      </w:r>
    </w:p>
    <w:tbl>
      <w:tblPr>
        <w:tblW w:w="0" w:type="auto"/>
        <w:jc w:val="center"/>
        <w:tblLook w:val="04A0" w:firstRow="1" w:lastRow="0" w:firstColumn="1" w:lastColumn="0" w:noHBand="0" w:noVBand="1"/>
      </w:tblPr>
      <w:tblGrid>
        <w:gridCol w:w="1078"/>
        <w:gridCol w:w="2786"/>
        <w:gridCol w:w="2949"/>
        <w:gridCol w:w="2307"/>
      </w:tblGrid>
      <w:tr w:rsidR="00F0420A" w14:paraId="3A0D6072" w14:textId="77777777">
        <w:trPr>
          <w:trHeight w:val="915"/>
          <w:jc w:val="center"/>
        </w:trPr>
        <w:tc>
          <w:tcPr>
            <w:tcW w:w="1078" w:type="dxa"/>
            <w:tcBorders>
              <w:top w:val="single" w:sz="4" w:space="0" w:color="auto"/>
              <w:left w:val="single" w:sz="4" w:space="0" w:color="auto"/>
              <w:bottom w:val="single" w:sz="4" w:space="0" w:color="auto"/>
              <w:right w:val="single" w:sz="4" w:space="0" w:color="auto"/>
            </w:tcBorders>
          </w:tcPr>
          <w:p w14:paraId="01D31B00"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Group number</w:t>
            </w:r>
          </w:p>
        </w:tc>
        <w:tc>
          <w:tcPr>
            <w:tcW w:w="2786" w:type="dxa"/>
            <w:tcBorders>
              <w:top w:val="single" w:sz="4" w:space="0" w:color="auto"/>
              <w:left w:val="single" w:sz="4" w:space="0" w:color="auto"/>
              <w:bottom w:val="single" w:sz="4" w:space="0" w:color="auto"/>
              <w:right w:val="single" w:sz="4" w:space="0" w:color="auto"/>
            </w:tcBorders>
          </w:tcPr>
          <w:p w14:paraId="1ABF76B7"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Group Status</w:t>
            </w:r>
          </w:p>
        </w:tc>
        <w:tc>
          <w:tcPr>
            <w:tcW w:w="2949" w:type="dxa"/>
            <w:tcBorders>
              <w:top w:val="single" w:sz="4" w:space="0" w:color="auto"/>
              <w:left w:val="single" w:sz="4" w:space="0" w:color="auto"/>
              <w:bottom w:val="single" w:sz="4" w:space="0" w:color="auto"/>
              <w:right w:val="single" w:sz="4" w:space="0" w:color="auto"/>
            </w:tcBorders>
          </w:tcPr>
          <w:p w14:paraId="3E3A084D"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Treatment specimen &amp; Dose</w:t>
            </w:r>
          </w:p>
        </w:tc>
        <w:tc>
          <w:tcPr>
            <w:tcW w:w="2307" w:type="dxa"/>
            <w:tcBorders>
              <w:top w:val="single" w:sz="4" w:space="0" w:color="auto"/>
              <w:left w:val="single" w:sz="4" w:space="0" w:color="auto"/>
              <w:bottom w:val="single" w:sz="4" w:space="0" w:color="auto"/>
              <w:right w:val="single" w:sz="4" w:space="0" w:color="auto"/>
            </w:tcBorders>
          </w:tcPr>
          <w:p w14:paraId="535D36D5"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Group Abbreviation</w:t>
            </w:r>
          </w:p>
        </w:tc>
      </w:tr>
      <w:tr w:rsidR="00F0420A" w14:paraId="21E9242F" w14:textId="77777777">
        <w:trPr>
          <w:trHeight w:val="388"/>
          <w:jc w:val="center"/>
        </w:trPr>
        <w:tc>
          <w:tcPr>
            <w:tcW w:w="1078" w:type="dxa"/>
            <w:tcBorders>
              <w:top w:val="single" w:sz="4" w:space="0" w:color="auto"/>
              <w:left w:val="single" w:sz="4" w:space="0" w:color="auto"/>
              <w:bottom w:val="single" w:sz="4" w:space="0" w:color="auto"/>
              <w:right w:val="single" w:sz="4" w:space="0" w:color="auto"/>
            </w:tcBorders>
          </w:tcPr>
          <w:p w14:paraId="2E39D1CD" w14:textId="77777777" w:rsidR="00F0420A" w:rsidRDefault="00000000">
            <w:pPr>
              <w:spacing w:line="360" w:lineRule="auto"/>
              <w:jc w:val="both"/>
              <w:rPr>
                <w:rFonts w:ascii="Times New Roman" w:hAnsi="Times New Roman" w:cs="Times New Roman"/>
              </w:rPr>
            </w:pPr>
            <w:r>
              <w:rPr>
                <w:rFonts w:ascii="Times New Roman" w:hAnsi="Times New Roman" w:cs="Times New Roman"/>
              </w:rPr>
              <w:t>1</w:t>
            </w:r>
          </w:p>
        </w:tc>
        <w:tc>
          <w:tcPr>
            <w:tcW w:w="2786" w:type="dxa"/>
            <w:tcBorders>
              <w:top w:val="single" w:sz="4" w:space="0" w:color="auto"/>
              <w:left w:val="single" w:sz="4" w:space="0" w:color="auto"/>
              <w:bottom w:val="single" w:sz="4" w:space="0" w:color="auto"/>
              <w:right w:val="single" w:sz="4" w:space="0" w:color="auto"/>
            </w:tcBorders>
          </w:tcPr>
          <w:p w14:paraId="7B327DE2" w14:textId="77777777" w:rsidR="00F0420A" w:rsidRDefault="00000000">
            <w:pPr>
              <w:spacing w:line="360" w:lineRule="auto"/>
              <w:jc w:val="both"/>
              <w:rPr>
                <w:rFonts w:ascii="Times New Roman" w:hAnsi="Times New Roman" w:cs="Times New Roman"/>
              </w:rPr>
            </w:pPr>
            <w:r>
              <w:rPr>
                <w:rFonts w:ascii="Times New Roman" w:hAnsi="Times New Roman" w:cs="Times New Roman"/>
              </w:rPr>
              <w:t>Negative Control</w:t>
            </w:r>
          </w:p>
        </w:tc>
        <w:tc>
          <w:tcPr>
            <w:tcW w:w="2949" w:type="dxa"/>
            <w:tcBorders>
              <w:top w:val="single" w:sz="4" w:space="0" w:color="auto"/>
              <w:left w:val="single" w:sz="4" w:space="0" w:color="auto"/>
              <w:bottom w:val="single" w:sz="4" w:space="0" w:color="auto"/>
              <w:right w:val="single" w:sz="4" w:space="0" w:color="auto"/>
            </w:tcBorders>
          </w:tcPr>
          <w:p w14:paraId="5B145431" w14:textId="77777777" w:rsidR="00F0420A" w:rsidRDefault="00000000">
            <w:pPr>
              <w:spacing w:line="360" w:lineRule="auto"/>
              <w:jc w:val="both"/>
              <w:rPr>
                <w:rFonts w:ascii="Times New Roman" w:hAnsi="Times New Roman" w:cs="Times New Roman"/>
              </w:rPr>
            </w:pPr>
            <w:r>
              <w:rPr>
                <w:rFonts w:ascii="Times New Roman" w:hAnsi="Times New Roman" w:cs="Times New Roman"/>
              </w:rPr>
              <w:t>Physiological Saline</w:t>
            </w:r>
          </w:p>
        </w:tc>
        <w:tc>
          <w:tcPr>
            <w:tcW w:w="2307" w:type="dxa"/>
            <w:tcBorders>
              <w:top w:val="single" w:sz="4" w:space="0" w:color="auto"/>
              <w:left w:val="single" w:sz="4" w:space="0" w:color="auto"/>
              <w:bottom w:val="single" w:sz="4" w:space="0" w:color="auto"/>
              <w:right w:val="single" w:sz="4" w:space="0" w:color="auto"/>
            </w:tcBorders>
          </w:tcPr>
          <w:p w14:paraId="35EEB6D7" w14:textId="77777777" w:rsidR="00F0420A" w:rsidRDefault="00000000">
            <w:pPr>
              <w:spacing w:line="360" w:lineRule="auto"/>
              <w:jc w:val="both"/>
              <w:rPr>
                <w:rFonts w:ascii="Times New Roman" w:hAnsi="Times New Roman" w:cs="Times New Roman"/>
              </w:rPr>
            </w:pPr>
            <w:r>
              <w:rPr>
                <w:rFonts w:ascii="Times New Roman" w:hAnsi="Times New Roman" w:cs="Times New Roman"/>
              </w:rPr>
              <w:t>N</w:t>
            </w:r>
          </w:p>
        </w:tc>
      </w:tr>
      <w:tr w:rsidR="00F0420A" w14:paraId="233AE79B" w14:textId="77777777">
        <w:trPr>
          <w:trHeight w:val="318"/>
          <w:jc w:val="center"/>
        </w:trPr>
        <w:tc>
          <w:tcPr>
            <w:tcW w:w="1078" w:type="dxa"/>
            <w:tcBorders>
              <w:top w:val="single" w:sz="4" w:space="0" w:color="auto"/>
              <w:left w:val="single" w:sz="4" w:space="0" w:color="auto"/>
              <w:bottom w:val="single" w:sz="4" w:space="0" w:color="auto"/>
              <w:right w:val="single" w:sz="4" w:space="0" w:color="auto"/>
            </w:tcBorders>
          </w:tcPr>
          <w:p w14:paraId="081DDCE5" w14:textId="77777777" w:rsidR="00F0420A" w:rsidRDefault="00000000">
            <w:pPr>
              <w:spacing w:line="360" w:lineRule="auto"/>
              <w:jc w:val="both"/>
              <w:rPr>
                <w:rFonts w:ascii="Times New Roman" w:hAnsi="Times New Roman" w:cs="Times New Roman"/>
              </w:rPr>
            </w:pPr>
            <w:r>
              <w:rPr>
                <w:rFonts w:ascii="Times New Roman" w:hAnsi="Times New Roman" w:cs="Times New Roman"/>
              </w:rPr>
              <w:t>2</w:t>
            </w:r>
          </w:p>
        </w:tc>
        <w:tc>
          <w:tcPr>
            <w:tcW w:w="2786" w:type="dxa"/>
            <w:tcBorders>
              <w:top w:val="single" w:sz="4" w:space="0" w:color="auto"/>
              <w:left w:val="single" w:sz="4" w:space="0" w:color="auto"/>
              <w:bottom w:val="single" w:sz="4" w:space="0" w:color="auto"/>
              <w:right w:val="single" w:sz="4" w:space="0" w:color="auto"/>
            </w:tcBorders>
          </w:tcPr>
          <w:p w14:paraId="7CAFEB0B" w14:textId="77777777" w:rsidR="00F0420A" w:rsidRDefault="00000000">
            <w:pPr>
              <w:spacing w:line="360" w:lineRule="auto"/>
              <w:jc w:val="both"/>
              <w:rPr>
                <w:rFonts w:ascii="Times New Roman" w:hAnsi="Times New Roman" w:cs="Times New Roman"/>
              </w:rPr>
            </w:pPr>
            <w:r>
              <w:rPr>
                <w:rFonts w:ascii="Times New Roman" w:hAnsi="Times New Roman" w:cs="Times New Roman"/>
              </w:rPr>
              <w:t>Positive Control</w:t>
            </w:r>
          </w:p>
        </w:tc>
        <w:tc>
          <w:tcPr>
            <w:tcW w:w="2949" w:type="dxa"/>
            <w:tcBorders>
              <w:top w:val="single" w:sz="4" w:space="0" w:color="auto"/>
              <w:left w:val="single" w:sz="4" w:space="0" w:color="auto"/>
              <w:bottom w:val="single" w:sz="4" w:space="0" w:color="auto"/>
              <w:right w:val="single" w:sz="4" w:space="0" w:color="auto"/>
            </w:tcBorders>
          </w:tcPr>
          <w:p w14:paraId="03D90B7F"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w:t>
            </w:r>
          </w:p>
        </w:tc>
        <w:tc>
          <w:tcPr>
            <w:tcW w:w="2307" w:type="dxa"/>
            <w:tcBorders>
              <w:top w:val="single" w:sz="4" w:space="0" w:color="auto"/>
              <w:left w:val="single" w:sz="4" w:space="0" w:color="auto"/>
              <w:bottom w:val="single" w:sz="4" w:space="0" w:color="auto"/>
              <w:right w:val="single" w:sz="4" w:space="0" w:color="auto"/>
            </w:tcBorders>
          </w:tcPr>
          <w:p w14:paraId="389ABC69" w14:textId="77777777" w:rsidR="00F0420A" w:rsidRDefault="00000000">
            <w:pPr>
              <w:spacing w:line="360" w:lineRule="auto"/>
              <w:jc w:val="both"/>
              <w:rPr>
                <w:rFonts w:ascii="Times New Roman" w:hAnsi="Times New Roman" w:cs="Times New Roman"/>
              </w:rPr>
            </w:pPr>
            <w:r>
              <w:rPr>
                <w:rFonts w:ascii="Times New Roman" w:hAnsi="Times New Roman" w:cs="Times New Roman"/>
              </w:rPr>
              <w:t>P</w:t>
            </w:r>
          </w:p>
        </w:tc>
      </w:tr>
      <w:tr w:rsidR="00F0420A" w14:paraId="0411D54A" w14:textId="77777777">
        <w:trPr>
          <w:trHeight w:val="338"/>
          <w:jc w:val="center"/>
        </w:trPr>
        <w:tc>
          <w:tcPr>
            <w:tcW w:w="1078" w:type="dxa"/>
            <w:tcBorders>
              <w:top w:val="single" w:sz="4" w:space="0" w:color="auto"/>
              <w:left w:val="single" w:sz="4" w:space="0" w:color="auto"/>
              <w:bottom w:val="single" w:sz="4" w:space="0" w:color="auto"/>
              <w:right w:val="single" w:sz="4" w:space="0" w:color="auto"/>
            </w:tcBorders>
          </w:tcPr>
          <w:p w14:paraId="25D3E885" w14:textId="77777777" w:rsidR="00F0420A" w:rsidRDefault="00000000">
            <w:pPr>
              <w:spacing w:line="360" w:lineRule="auto"/>
              <w:jc w:val="both"/>
              <w:rPr>
                <w:rFonts w:ascii="Times New Roman" w:hAnsi="Times New Roman" w:cs="Times New Roman"/>
              </w:rPr>
            </w:pPr>
            <w:r>
              <w:rPr>
                <w:rFonts w:ascii="Times New Roman" w:hAnsi="Times New Roman" w:cs="Times New Roman"/>
              </w:rPr>
              <w:lastRenderedPageBreak/>
              <w:t>3</w:t>
            </w:r>
          </w:p>
        </w:tc>
        <w:tc>
          <w:tcPr>
            <w:tcW w:w="2786" w:type="dxa"/>
            <w:tcBorders>
              <w:top w:val="single" w:sz="4" w:space="0" w:color="auto"/>
              <w:left w:val="single" w:sz="4" w:space="0" w:color="auto"/>
              <w:bottom w:val="single" w:sz="4" w:space="0" w:color="auto"/>
              <w:right w:val="single" w:sz="4" w:space="0" w:color="auto"/>
            </w:tcBorders>
          </w:tcPr>
          <w:p w14:paraId="4D8C0D88"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 + RV</w:t>
            </w:r>
            <w:r>
              <w:rPr>
                <w:rFonts w:ascii="Times New Roman" w:hAnsi="Times New Roman" w:cs="Times New Roman"/>
                <w:vertAlign w:val="subscript"/>
              </w:rPr>
              <w:t>10</w:t>
            </w:r>
          </w:p>
        </w:tc>
        <w:tc>
          <w:tcPr>
            <w:tcW w:w="2949" w:type="dxa"/>
            <w:tcBorders>
              <w:top w:val="single" w:sz="4" w:space="0" w:color="auto"/>
              <w:left w:val="single" w:sz="4" w:space="0" w:color="auto"/>
              <w:bottom w:val="single" w:sz="4" w:space="0" w:color="auto"/>
              <w:right w:val="single" w:sz="4" w:space="0" w:color="auto"/>
            </w:tcBorders>
          </w:tcPr>
          <w:p w14:paraId="10F004BC"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 + RV</w:t>
            </w:r>
            <w:r>
              <w:rPr>
                <w:rFonts w:ascii="Times New Roman" w:hAnsi="Times New Roman" w:cs="Times New Roman"/>
                <w:vertAlign w:val="subscript"/>
              </w:rPr>
              <w:t>10</w:t>
            </w:r>
          </w:p>
        </w:tc>
        <w:tc>
          <w:tcPr>
            <w:tcW w:w="2307" w:type="dxa"/>
            <w:tcBorders>
              <w:top w:val="single" w:sz="4" w:space="0" w:color="auto"/>
              <w:left w:val="single" w:sz="4" w:space="0" w:color="auto"/>
              <w:bottom w:val="single" w:sz="4" w:space="0" w:color="auto"/>
              <w:right w:val="single" w:sz="4" w:space="0" w:color="auto"/>
            </w:tcBorders>
          </w:tcPr>
          <w:p w14:paraId="62F24A1B"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HFD + RV</w:t>
            </w:r>
          </w:p>
        </w:tc>
      </w:tr>
      <w:tr w:rsidR="00F0420A" w14:paraId="01F742BC" w14:textId="77777777">
        <w:trPr>
          <w:trHeight w:val="518"/>
          <w:jc w:val="center"/>
        </w:trPr>
        <w:tc>
          <w:tcPr>
            <w:tcW w:w="1078" w:type="dxa"/>
            <w:tcBorders>
              <w:top w:val="single" w:sz="4" w:space="0" w:color="auto"/>
              <w:left w:val="single" w:sz="4" w:space="0" w:color="auto"/>
              <w:bottom w:val="single" w:sz="4" w:space="0" w:color="auto"/>
              <w:right w:val="single" w:sz="4" w:space="0" w:color="auto"/>
            </w:tcBorders>
          </w:tcPr>
          <w:p w14:paraId="3B302571" w14:textId="77777777" w:rsidR="00F0420A" w:rsidRDefault="00000000">
            <w:pPr>
              <w:spacing w:line="360" w:lineRule="auto"/>
              <w:jc w:val="both"/>
              <w:rPr>
                <w:rFonts w:ascii="Times New Roman" w:hAnsi="Times New Roman" w:cs="Times New Roman"/>
              </w:rPr>
            </w:pPr>
            <w:r>
              <w:rPr>
                <w:rFonts w:ascii="Times New Roman" w:hAnsi="Times New Roman" w:cs="Times New Roman"/>
              </w:rPr>
              <w:t>4</w:t>
            </w:r>
          </w:p>
        </w:tc>
        <w:tc>
          <w:tcPr>
            <w:tcW w:w="2786" w:type="dxa"/>
            <w:tcBorders>
              <w:top w:val="single" w:sz="4" w:space="0" w:color="auto"/>
              <w:left w:val="single" w:sz="4" w:space="0" w:color="auto"/>
              <w:bottom w:val="single" w:sz="4" w:space="0" w:color="auto"/>
              <w:right w:val="single" w:sz="4" w:space="0" w:color="auto"/>
            </w:tcBorders>
          </w:tcPr>
          <w:p w14:paraId="41192450" w14:textId="77777777" w:rsidR="00F0420A" w:rsidRDefault="00000000">
            <w:pPr>
              <w:spacing w:line="360" w:lineRule="auto"/>
              <w:jc w:val="both"/>
              <w:rPr>
                <w:rFonts w:ascii="Times New Roman" w:hAnsi="Times New Roman" w:cs="Times New Roman"/>
              </w:rPr>
            </w:pPr>
            <w:r>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7C92D6BE"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 SC</w:t>
            </w:r>
            <w:r>
              <w:rPr>
                <w:rFonts w:ascii="Times New Roman" w:hAnsi="Times New Roman" w:cs="Times New Roman"/>
                <w:vertAlign w:val="subscript"/>
              </w:rPr>
              <w:t>300</w:t>
            </w:r>
          </w:p>
        </w:tc>
        <w:tc>
          <w:tcPr>
            <w:tcW w:w="2307" w:type="dxa"/>
            <w:tcBorders>
              <w:top w:val="single" w:sz="4" w:space="0" w:color="auto"/>
              <w:left w:val="single" w:sz="4" w:space="0" w:color="auto"/>
              <w:bottom w:val="single" w:sz="4" w:space="0" w:color="auto"/>
              <w:right w:val="single" w:sz="4" w:space="0" w:color="auto"/>
            </w:tcBorders>
          </w:tcPr>
          <w:p w14:paraId="28453461"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HFD + SC</w:t>
            </w:r>
            <w:r>
              <w:rPr>
                <w:rFonts w:ascii="Times New Roman" w:hAnsi="Times New Roman" w:cs="Times New Roman"/>
                <w:vertAlign w:val="subscript"/>
              </w:rPr>
              <w:t>300</w:t>
            </w:r>
          </w:p>
        </w:tc>
      </w:tr>
      <w:tr w:rsidR="00F0420A" w14:paraId="748F6531" w14:textId="77777777">
        <w:trPr>
          <w:trHeight w:val="433"/>
          <w:jc w:val="center"/>
        </w:trPr>
        <w:tc>
          <w:tcPr>
            <w:tcW w:w="1078" w:type="dxa"/>
            <w:tcBorders>
              <w:top w:val="single" w:sz="4" w:space="0" w:color="auto"/>
              <w:left w:val="single" w:sz="4" w:space="0" w:color="auto"/>
              <w:bottom w:val="single" w:sz="4" w:space="0" w:color="auto"/>
              <w:right w:val="single" w:sz="4" w:space="0" w:color="auto"/>
            </w:tcBorders>
          </w:tcPr>
          <w:p w14:paraId="05C7E371" w14:textId="77777777" w:rsidR="00F0420A" w:rsidRDefault="00000000">
            <w:pPr>
              <w:spacing w:line="360" w:lineRule="auto"/>
              <w:jc w:val="both"/>
              <w:rPr>
                <w:rFonts w:ascii="Times New Roman" w:hAnsi="Times New Roman" w:cs="Times New Roman"/>
              </w:rPr>
            </w:pPr>
            <w:r>
              <w:rPr>
                <w:rFonts w:ascii="Times New Roman" w:hAnsi="Times New Roman" w:cs="Times New Roman"/>
              </w:rPr>
              <w:t>5</w:t>
            </w:r>
          </w:p>
        </w:tc>
        <w:tc>
          <w:tcPr>
            <w:tcW w:w="2786" w:type="dxa"/>
            <w:tcBorders>
              <w:top w:val="single" w:sz="4" w:space="0" w:color="auto"/>
              <w:left w:val="single" w:sz="4" w:space="0" w:color="auto"/>
              <w:bottom w:val="single" w:sz="4" w:space="0" w:color="auto"/>
              <w:right w:val="single" w:sz="4" w:space="0" w:color="auto"/>
            </w:tcBorders>
          </w:tcPr>
          <w:p w14:paraId="606D21EB" w14:textId="77777777" w:rsidR="00F0420A" w:rsidRDefault="00000000">
            <w:pPr>
              <w:spacing w:line="360" w:lineRule="auto"/>
              <w:jc w:val="both"/>
              <w:rPr>
                <w:rFonts w:ascii="Times New Roman" w:hAnsi="Times New Roman" w:cs="Times New Roman"/>
              </w:rPr>
            </w:pPr>
            <w:r>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55BB2A39"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 + SC</w:t>
            </w:r>
            <w:r>
              <w:rPr>
                <w:rFonts w:ascii="Times New Roman" w:hAnsi="Times New Roman" w:cs="Times New Roman"/>
                <w:vertAlign w:val="subscript"/>
              </w:rPr>
              <w:t>600</w:t>
            </w:r>
          </w:p>
        </w:tc>
        <w:tc>
          <w:tcPr>
            <w:tcW w:w="2307" w:type="dxa"/>
            <w:tcBorders>
              <w:top w:val="single" w:sz="4" w:space="0" w:color="auto"/>
              <w:left w:val="single" w:sz="4" w:space="0" w:color="auto"/>
              <w:bottom w:val="single" w:sz="4" w:space="0" w:color="auto"/>
              <w:right w:val="single" w:sz="4" w:space="0" w:color="auto"/>
            </w:tcBorders>
          </w:tcPr>
          <w:p w14:paraId="084FB2EA"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HFD + SC</w:t>
            </w:r>
            <w:r>
              <w:rPr>
                <w:rFonts w:ascii="Times New Roman" w:hAnsi="Times New Roman" w:cs="Times New Roman"/>
                <w:vertAlign w:val="subscript"/>
              </w:rPr>
              <w:t>600</w:t>
            </w:r>
          </w:p>
        </w:tc>
      </w:tr>
      <w:tr w:rsidR="00F0420A" w14:paraId="24A085E3" w14:textId="77777777">
        <w:trPr>
          <w:trHeight w:val="344"/>
          <w:jc w:val="center"/>
        </w:trPr>
        <w:tc>
          <w:tcPr>
            <w:tcW w:w="1078" w:type="dxa"/>
            <w:tcBorders>
              <w:top w:val="single" w:sz="4" w:space="0" w:color="auto"/>
              <w:left w:val="single" w:sz="4" w:space="0" w:color="auto"/>
              <w:bottom w:val="single" w:sz="4" w:space="0" w:color="auto"/>
              <w:right w:val="single" w:sz="4" w:space="0" w:color="auto"/>
            </w:tcBorders>
          </w:tcPr>
          <w:p w14:paraId="3C29ECC1" w14:textId="77777777" w:rsidR="00F0420A" w:rsidRDefault="00000000">
            <w:pPr>
              <w:spacing w:line="360" w:lineRule="auto"/>
              <w:jc w:val="both"/>
              <w:rPr>
                <w:rFonts w:ascii="Times New Roman" w:hAnsi="Times New Roman" w:cs="Times New Roman"/>
              </w:rPr>
            </w:pPr>
            <w:r>
              <w:rPr>
                <w:rFonts w:ascii="Times New Roman" w:hAnsi="Times New Roman" w:cs="Times New Roman"/>
              </w:rPr>
              <w:t>6</w:t>
            </w:r>
          </w:p>
        </w:tc>
        <w:tc>
          <w:tcPr>
            <w:tcW w:w="2786" w:type="dxa"/>
            <w:tcBorders>
              <w:top w:val="single" w:sz="4" w:space="0" w:color="auto"/>
              <w:left w:val="single" w:sz="4" w:space="0" w:color="auto"/>
              <w:bottom w:val="single" w:sz="4" w:space="0" w:color="auto"/>
              <w:right w:val="single" w:sz="4" w:space="0" w:color="auto"/>
            </w:tcBorders>
          </w:tcPr>
          <w:p w14:paraId="2F6C8DF1" w14:textId="77777777" w:rsidR="00F0420A" w:rsidRDefault="00000000">
            <w:pPr>
              <w:spacing w:line="360" w:lineRule="auto"/>
              <w:jc w:val="both"/>
              <w:rPr>
                <w:rFonts w:ascii="Times New Roman" w:hAnsi="Times New Roman" w:cs="Times New Roman"/>
              </w:rPr>
            </w:pPr>
            <w:r>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728E2A9E"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 Diet + SC</w:t>
            </w:r>
            <w:r>
              <w:rPr>
                <w:rFonts w:ascii="Times New Roman" w:hAnsi="Times New Roman" w:cs="Times New Roman"/>
                <w:vertAlign w:val="subscript"/>
              </w:rPr>
              <w:t>900</w:t>
            </w:r>
          </w:p>
        </w:tc>
        <w:tc>
          <w:tcPr>
            <w:tcW w:w="2307" w:type="dxa"/>
            <w:tcBorders>
              <w:top w:val="single" w:sz="4" w:space="0" w:color="auto"/>
              <w:left w:val="single" w:sz="4" w:space="0" w:color="auto"/>
              <w:bottom w:val="single" w:sz="4" w:space="0" w:color="auto"/>
              <w:right w:val="single" w:sz="4" w:space="0" w:color="auto"/>
            </w:tcBorders>
          </w:tcPr>
          <w:p w14:paraId="5305E7F5"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HFD + SC</w:t>
            </w:r>
            <w:r>
              <w:rPr>
                <w:rFonts w:ascii="Times New Roman" w:hAnsi="Times New Roman" w:cs="Times New Roman"/>
                <w:vertAlign w:val="subscript"/>
              </w:rPr>
              <w:t>900</w:t>
            </w:r>
          </w:p>
        </w:tc>
      </w:tr>
      <w:tr w:rsidR="00F0420A" w14:paraId="0B384171" w14:textId="77777777">
        <w:trPr>
          <w:trHeight w:val="282"/>
          <w:jc w:val="center"/>
        </w:trPr>
        <w:tc>
          <w:tcPr>
            <w:tcW w:w="1078" w:type="dxa"/>
            <w:tcBorders>
              <w:top w:val="single" w:sz="4" w:space="0" w:color="auto"/>
              <w:left w:val="single" w:sz="4" w:space="0" w:color="auto"/>
              <w:bottom w:val="single" w:sz="4" w:space="0" w:color="auto"/>
              <w:right w:val="single" w:sz="4" w:space="0" w:color="auto"/>
            </w:tcBorders>
          </w:tcPr>
          <w:p w14:paraId="3D3D0DD0" w14:textId="77777777" w:rsidR="00F0420A" w:rsidRDefault="00000000">
            <w:pPr>
              <w:spacing w:line="360" w:lineRule="auto"/>
              <w:jc w:val="both"/>
              <w:rPr>
                <w:rFonts w:ascii="Times New Roman" w:hAnsi="Times New Roman" w:cs="Times New Roman"/>
              </w:rPr>
            </w:pPr>
            <w:r>
              <w:rPr>
                <w:rFonts w:ascii="Times New Roman" w:hAnsi="Times New Roman" w:cs="Times New Roman"/>
              </w:rPr>
              <w:t>7</w:t>
            </w:r>
          </w:p>
        </w:tc>
        <w:tc>
          <w:tcPr>
            <w:tcW w:w="2786" w:type="dxa"/>
            <w:tcBorders>
              <w:top w:val="single" w:sz="4" w:space="0" w:color="auto"/>
              <w:left w:val="single" w:sz="4" w:space="0" w:color="auto"/>
              <w:bottom w:val="single" w:sz="4" w:space="0" w:color="auto"/>
              <w:right w:val="single" w:sz="4" w:space="0" w:color="auto"/>
            </w:tcBorders>
          </w:tcPr>
          <w:p w14:paraId="6A47AED0" w14:textId="77777777" w:rsidR="00F0420A" w:rsidRDefault="00000000">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5B0A61FD"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300</w:t>
            </w:r>
          </w:p>
        </w:tc>
        <w:tc>
          <w:tcPr>
            <w:tcW w:w="2307" w:type="dxa"/>
            <w:tcBorders>
              <w:top w:val="single" w:sz="4" w:space="0" w:color="auto"/>
              <w:left w:val="single" w:sz="4" w:space="0" w:color="auto"/>
              <w:bottom w:val="single" w:sz="4" w:space="0" w:color="auto"/>
              <w:right w:val="single" w:sz="4" w:space="0" w:color="auto"/>
            </w:tcBorders>
          </w:tcPr>
          <w:p w14:paraId="385E0D7D"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300</w:t>
            </w:r>
          </w:p>
        </w:tc>
      </w:tr>
      <w:tr w:rsidR="00F0420A" w14:paraId="2D24B541" w14:textId="77777777">
        <w:trPr>
          <w:trHeight w:val="220"/>
          <w:jc w:val="center"/>
        </w:trPr>
        <w:tc>
          <w:tcPr>
            <w:tcW w:w="1078" w:type="dxa"/>
            <w:tcBorders>
              <w:top w:val="single" w:sz="4" w:space="0" w:color="auto"/>
              <w:left w:val="single" w:sz="4" w:space="0" w:color="auto"/>
              <w:bottom w:val="single" w:sz="4" w:space="0" w:color="auto"/>
              <w:right w:val="single" w:sz="4" w:space="0" w:color="auto"/>
            </w:tcBorders>
          </w:tcPr>
          <w:p w14:paraId="0833350A" w14:textId="77777777" w:rsidR="00F0420A" w:rsidRDefault="00000000">
            <w:pPr>
              <w:spacing w:line="360" w:lineRule="auto"/>
              <w:jc w:val="both"/>
              <w:rPr>
                <w:rFonts w:ascii="Times New Roman" w:hAnsi="Times New Roman" w:cs="Times New Roman"/>
              </w:rPr>
            </w:pPr>
            <w:r>
              <w:rPr>
                <w:rFonts w:ascii="Times New Roman" w:hAnsi="Times New Roman" w:cs="Times New Roman"/>
              </w:rPr>
              <w:t>8</w:t>
            </w:r>
          </w:p>
        </w:tc>
        <w:tc>
          <w:tcPr>
            <w:tcW w:w="2786" w:type="dxa"/>
            <w:tcBorders>
              <w:top w:val="single" w:sz="4" w:space="0" w:color="auto"/>
              <w:left w:val="single" w:sz="4" w:space="0" w:color="auto"/>
              <w:bottom w:val="single" w:sz="4" w:space="0" w:color="auto"/>
              <w:right w:val="single" w:sz="4" w:space="0" w:color="auto"/>
            </w:tcBorders>
          </w:tcPr>
          <w:p w14:paraId="2F8681D2" w14:textId="77777777" w:rsidR="00F0420A" w:rsidRDefault="00000000">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562F302D"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600</w:t>
            </w:r>
          </w:p>
        </w:tc>
        <w:tc>
          <w:tcPr>
            <w:tcW w:w="2307" w:type="dxa"/>
            <w:tcBorders>
              <w:top w:val="single" w:sz="4" w:space="0" w:color="auto"/>
              <w:left w:val="single" w:sz="4" w:space="0" w:color="auto"/>
              <w:bottom w:val="single" w:sz="4" w:space="0" w:color="auto"/>
              <w:right w:val="single" w:sz="4" w:space="0" w:color="auto"/>
            </w:tcBorders>
          </w:tcPr>
          <w:p w14:paraId="6B5814D9"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600</w:t>
            </w:r>
          </w:p>
        </w:tc>
      </w:tr>
      <w:tr w:rsidR="00F0420A" w14:paraId="52E35A30" w14:textId="77777777">
        <w:trPr>
          <w:trHeight w:val="238"/>
          <w:jc w:val="center"/>
        </w:trPr>
        <w:tc>
          <w:tcPr>
            <w:tcW w:w="1078" w:type="dxa"/>
            <w:tcBorders>
              <w:top w:val="single" w:sz="4" w:space="0" w:color="auto"/>
              <w:left w:val="single" w:sz="4" w:space="0" w:color="auto"/>
              <w:bottom w:val="single" w:sz="4" w:space="0" w:color="auto"/>
              <w:right w:val="single" w:sz="4" w:space="0" w:color="auto"/>
            </w:tcBorders>
          </w:tcPr>
          <w:p w14:paraId="744A5228" w14:textId="77777777" w:rsidR="00F0420A" w:rsidRDefault="00000000">
            <w:pPr>
              <w:spacing w:line="360" w:lineRule="auto"/>
              <w:jc w:val="both"/>
              <w:rPr>
                <w:rFonts w:ascii="Times New Roman" w:hAnsi="Times New Roman" w:cs="Times New Roman"/>
              </w:rPr>
            </w:pPr>
            <w:r>
              <w:rPr>
                <w:rFonts w:ascii="Times New Roman" w:hAnsi="Times New Roman" w:cs="Times New Roman"/>
              </w:rPr>
              <w:t>9</w:t>
            </w:r>
          </w:p>
        </w:tc>
        <w:tc>
          <w:tcPr>
            <w:tcW w:w="2786" w:type="dxa"/>
            <w:tcBorders>
              <w:top w:val="single" w:sz="4" w:space="0" w:color="auto"/>
              <w:left w:val="single" w:sz="4" w:space="0" w:color="auto"/>
              <w:bottom w:val="single" w:sz="4" w:space="0" w:color="auto"/>
              <w:right w:val="single" w:sz="4" w:space="0" w:color="auto"/>
            </w:tcBorders>
          </w:tcPr>
          <w:p w14:paraId="623EB6AD" w14:textId="77777777" w:rsidR="00F0420A" w:rsidRDefault="00000000">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tcPr>
          <w:p w14:paraId="1AF2E54A"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900</w:t>
            </w:r>
          </w:p>
        </w:tc>
        <w:tc>
          <w:tcPr>
            <w:tcW w:w="2307" w:type="dxa"/>
            <w:tcBorders>
              <w:top w:val="single" w:sz="4" w:space="0" w:color="auto"/>
              <w:left w:val="single" w:sz="4" w:space="0" w:color="auto"/>
              <w:bottom w:val="single" w:sz="4" w:space="0" w:color="auto"/>
              <w:right w:val="single" w:sz="4" w:space="0" w:color="auto"/>
            </w:tcBorders>
          </w:tcPr>
          <w:p w14:paraId="73530492"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900</w:t>
            </w:r>
          </w:p>
        </w:tc>
      </w:tr>
    </w:tbl>
    <w:p w14:paraId="7707B4BB" w14:textId="77777777" w:rsidR="00F0420A" w:rsidRDefault="00F0420A">
      <w:pPr>
        <w:spacing w:line="360" w:lineRule="auto"/>
        <w:jc w:val="both"/>
        <w:rPr>
          <w:rFonts w:ascii="Times New Roman" w:hAnsi="Times New Roman" w:cs="Times New Roman"/>
          <w:b/>
          <w:bCs/>
        </w:rPr>
      </w:pPr>
    </w:p>
    <w:p w14:paraId="7DAD6D34"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High fat Diet</w:t>
      </w:r>
    </w:p>
    <w:p w14:paraId="01436D17" w14:textId="77777777" w:rsidR="00F0420A" w:rsidRDefault="00000000">
      <w:pPr>
        <w:spacing w:line="360" w:lineRule="auto"/>
        <w:jc w:val="both"/>
        <w:rPr>
          <w:rFonts w:ascii="Times New Roman" w:hAnsi="Times New Roman" w:cs="Times New Roman"/>
        </w:rPr>
      </w:pPr>
      <w:r>
        <w:rPr>
          <w:rFonts w:ascii="Times New Roman" w:hAnsi="Times New Roman" w:cs="Times New Roman"/>
        </w:rPr>
        <w:t>The high-fat diet was made on the basis of the composition supplied by Levin and Dunn-Meynell. The high fat diet contains 50% lipid, 40% carbohydrate, and 10% protein.</w:t>
      </w:r>
    </w:p>
    <w:p w14:paraId="12BCAEF3" w14:textId="77777777" w:rsidR="00F0420A" w:rsidRDefault="00000000">
      <w:pPr>
        <w:spacing w:line="360" w:lineRule="auto"/>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Composition of high fat diet </w:t>
      </w:r>
      <w:r>
        <w:rPr>
          <w:rFonts w:ascii="Times New Roman" w:hAnsi="Times New Roman" w:cs="Times New Roman"/>
        </w:rPr>
        <w:fldChar w:fldCharType="begin"/>
      </w:r>
      <w:r>
        <w:rPr>
          <w:rFonts w:ascii="Times New Roman" w:hAnsi="Times New Roman" w:cs="Times New Roman"/>
        </w:rPr>
        <w:instrText xml:space="preserve"> ADDIN ZOTERO_ITEM CSL_CITATION {"citationID":"9kx1keH9","properties":{"formattedCitation":"(30)","plainCitation":"(30)","noteIndex":0},"citationItems":[{"id":2326,"uris":["http://zotero.org/users/local/zvQEVGC3/items/P9C4XP3V"],"itemData":{"id":2326,"type":"article-journal","container-title":"Journal of Complementary and Alternative Medical Research","DOI":"10.9734/jocamr/2025/v26i1617","ISSN":"2456-6276","issue":"1","language":"en","page":"106-114","source":"journaljocamr.com","title":"Therapeutic Insights into Mangifera indica: Managing Diabetes and Hyperlipidemia in Alloxan-treated Rats","title-short":"Therapeutic Insights into Mangifera indica","volume":"26","author":[{"family":"Shawon","given":"Somaya Jannat"},{"family":"Khan","given":"Sabbir"},{"family":"Rahmat","given":"Sara"},{"family":"Prottasha","given":"Mafruza Khanam"},{"family":"Nafsan","given":"Md Navid Rahman"},{"family":"Tasnim","given":"Sadia"},{"family":"Rasna","given":"Israt Jahan"}],"issued":{"date-parts":[["2025",1,15]]}}}],"schema":"https://github.com/citation-style-language/schema/raw/master/csl-citation.json"}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p>
    <w:tbl>
      <w:tblPr>
        <w:tblW w:w="0" w:type="auto"/>
        <w:tblInd w:w="108" w:type="dxa"/>
        <w:tblLook w:val="04A0" w:firstRow="1" w:lastRow="0" w:firstColumn="1" w:lastColumn="0" w:noHBand="0" w:noVBand="1"/>
      </w:tblPr>
      <w:tblGrid>
        <w:gridCol w:w="4320"/>
        <w:gridCol w:w="4814"/>
      </w:tblGrid>
      <w:tr w:rsidR="00F0420A" w14:paraId="35092F09" w14:textId="77777777">
        <w:trPr>
          <w:trHeight w:val="314"/>
        </w:trPr>
        <w:tc>
          <w:tcPr>
            <w:tcW w:w="4320" w:type="dxa"/>
            <w:tcBorders>
              <w:top w:val="single" w:sz="4" w:space="0" w:color="auto"/>
              <w:left w:val="single" w:sz="4" w:space="0" w:color="auto"/>
              <w:bottom w:val="single" w:sz="4" w:space="0" w:color="auto"/>
              <w:right w:val="single" w:sz="4" w:space="0" w:color="auto"/>
            </w:tcBorders>
          </w:tcPr>
          <w:p w14:paraId="6B905E77" w14:textId="77777777" w:rsidR="00F0420A" w:rsidRDefault="00000000">
            <w:pPr>
              <w:spacing w:line="276" w:lineRule="auto"/>
              <w:jc w:val="both"/>
              <w:rPr>
                <w:rFonts w:ascii="Times New Roman" w:hAnsi="Times New Roman" w:cs="Times New Roman"/>
                <w:b/>
              </w:rPr>
            </w:pPr>
            <w:r>
              <w:rPr>
                <w:rFonts w:ascii="Times New Roman" w:hAnsi="Times New Roman" w:cs="Times New Roman"/>
                <w:b/>
              </w:rPr>
              <w:t>Food Ingredients</w:t>
            </w:r>
          </w:p>
        </w:tc>
        <w:tc>
          <w:tcPr>
            <w:tcW w:w="4814" w:type="dxa"/>
            <w:tcBorders>
              <w:top w:val="single" w:sz="4" w:space="0" w:color="auto"/>
              <w:left w:val="single" w:sz="4" w:space="0" w:color="auto"/>
              <w:bottom w:val="single" w:sz="4" w:space="0" w:color="auto"/>
              <w:right w:val="single" w:sz="4" w:space="0" w:color="auto"/>
            </w:tcBorders>
          </w:tcPr>
          <w:p w14:paraId="1C84FDCC" w14:textId="77777777" w:rsidR="00F0420A" w:rsidRDefault="00000000">
            <w:pPr>
              <w:spacing w:line="276" w:lineRule="auto"/>
              <w:jc w:val="both"/>
              <w:rPr>
                <w:rFonts w:ascii="Times New Roman" w:hAnsi="Times New Roman" w:cs="Times New Roman"/>
                <w:b/>
              </w:rPr>
            </w:pPr>
            <w:r>
              <w:rPr>
                <w:rFonts w:ascii="Times New Roman" w:hAnsi="Times New Roman" w:cs="Times New Roman"/>
                <w:b/>
              </w:rPr>
              <w:t>Composition</w:t>
            </w:r>
          </w:p>
        </w:tc>
      </w:tr>
      <w:tr w:rsidR="00F0420A" w14:paraId="767303B2" w14:textId="77777777">
        <w:trPr>
          <w:trHeight w:val="1773"/>
        </w:trPr>
        <w:tc>
          <w:tcPr>
            <w:tcW w:w="4320" w:type="dxa"/>
            <w:tcBorders>
              <w:top w:val="single" w:sz="4" w:space="0" w:color="auto"/>
              <w:left w:val="single" w:sz="4" w:space="0" w:color="auto"/>
              <w:bottom w:val="single" w:sz="4" w:space="0" w:color="auto"/>
              <w:right w:val="single" w:sz="4" w:space="0" w:color="auto"/>
            </w:tcBorders>
          </w:tcPr>
          <w:p w14:paraId="3C5E4163" w14:textId="77777777" w:rsidR="00F0420A" w:rsidRDefault="00F0420A">
            <w:pPr>
              <w:spacing w:line="276" w:lineRule="auto"/>
              <w:jc w:val="both"/>
              <w:rPr>
                <w:rFonts w:ascii="Times New Roman" w:hAnsi="Times New Roman" w:cs="Times New Roman"/>
              </w:rPr>
            </w:pPr>
          </w:p>
          <w:p w14:paraId="06FF59FF" w14:textId="77777777" w:rsidR="00F0420A" w:rsidRDefault="00000000">
            <w:pPr>
              <w:spacing w:line="276" w:lineRule="auto"/>
              <w:jc w:val="both"/>
              <w:rPr>
                <w:rFonts w:ascii="Times New Roman" w:hAnsi="Times New Roman" w:cs="Times New Roman"/>
              </w:rPr>
            </w:pPr>
            <w:r>
              <w:rPr>
                <w:rFonts w:ascii="Times New Roman" w:hAnsi="Times New Roman" w:cs="Times New Roman"/>
              </w:rPr>
              <w:t>Lipid (50%)</w:t>
            </w:r>
          </w:p>
        </w:tc>
        <w:tc>
          <w:tcPr>
            <w:tcW w:w="4814" w:type="dxa"/>
            <w:tcBorders>
              <w:top w:val="single" w:sz="4" w:space="0" w:color="auto"/>
              <w:left w:val="single" w:sz="4" w:space="0" w:color="auto"/>
              <w:bottom w:val="single" w:sz="4" w:space="0" w:color="auto"/>
              <w:right w:val="single" w:sz="4" w:space="0" w:color="auto"/>
            </w:tcBorders>
          </w:tcPr>
          <w:p w14:paraId="0D2C35C0" w14:textId="77777777" w:rsidR="00F0420A" w:rsidRDefault="00000000">
            <w:pPr>
              <w:spacing w:line="276" w:lineRule="auto"/>
              <w:jc w:val="both"/>
              <w:rPr>
                <w:rFonts w:ascii="Times New Roman" w:hAnsi="Times New Roman" w:cs="Times New Roman"/>
              </w:rPr>
            </w:pPr>
            <w:r>
              <w:rPr>
                <w:rFonts w:ascii="Times New Roman" w:hAnsi="Times New Roman" w:cs="Times New Roman"/>
              </w:rPr>
              <w:t>Milk powder (10%)</w:t>
            </w:r>
          </w:p>
          <w:p w14:paraId="7416BD5F" w14:textId="77777777" w:rsidR="00F0420A" w:rsidRDefault="00000000">
            <w:pPr>
              <w:spacing w:line="276" w:lineRule="auto"/>
              <w:jc w:val="both"/>
              <w:rPr>
                <w:rFonts w:ascii="Times New Roman" w:hAnsi="Times New Roman" w:cs="Times New Roman"/>
              </w:rPr>
            </w:pPr>
            <w:r>
              <w:rPr>
                <w:rFonts w:ascii="Times New Roman" w:hAnsi="Times New Roman" w:cs="Times New Roman"/>
              </w:rPr>
              <w:t>Ghee (30%)</w:t>
            </w:r>
          </w:p>
          <w:p w14:paraId="276BCF50" w14:textId="77777777" w:rsidR="00F0420A" w:rsidRDefault="00000000">
            <w:pPr>
              <w:spacing w:line="276" w:lineRule="auto"/>
              <w:jc w:val="both"/>
              <w:rPr>
                <w:rFonts w:ascii="Times New Roman" w:hAnsi="Times New Roman" w:cs="Times New Roman"/>
              </w:rPr>
            </w:pPr>
            <w:r>
              <w:rPr>
                <w:rFonts w:ascii="Times New Roman" w:hAnsi="Times New Roman" w:cs="Times New Roman"/>
              </w:rPr>
              <w:t>Mutton fat (40%)</w:t>
            </w:r>
          </w:p>
          <w:p w14:paraId="6DFCF5D1" w14:textId="77777777" w:rsidR="00F0420A" w:rsidRDefault="00000000">
            <w:pPr>
              <w:spacing w:line="276" w:lineRule="auto"/>
              <w:jc w:val="both"/>
              <w:rPr>
                <w:rFonts w:ascii="Times New Roman" w:hAnsi="Times New Roman" w:cs="Times New Roman"/>
              </w:rPr>
            </w:pPr>
            <w:r>
              <w:rPr>
                <w:rFonts w:ascii="Times New Roman" w:hAnsi="Times New Roman" w:cs="Times New Roman"/>
              </w:rPr>
              <w:t>Coconut oil (10%)</w:t>
            </w:r>
          </w:p>
          <w:p w14:paraId="1C6F5740" w14:textId="77777777" w:rsidR="00F0420A" w:rsidRDefault="00000000">
            <w:pPr>
              <w:spacing w:line="276" w:lineRule="auto"/>
              <w:jc w:val="both"/>
              <w:rPr>
                <w:rFonts w:ascii="Times New Roman" w:hAnsi="Times New Roman" w:cs="Times New Roman"/>
              </w:rPr>
            </w:pPr>
            <w:r>
              <w:rPr>
                <w:rFonts w:ascii="Times New Roman" w:hAnsi="Times New Roman" w:cs="Times New Roman"/>
              </w:rPr>
              <w:t>Butter (10%)</w:t>
            </w:r>
          </w:p>
        </w:tc>
      </w:tr>
      <w:tr w:rsidR="00F0420A" w14:paraId="638F57B6" w14:textId="77777777">
        <w:trPr>
          <w:trHeight w:val="1058"/>
        </w:trPr>
        <w:tc>
          <w:tcPr>
            <w:tcW w:w="4320" w:type="dxa"/>
            <w:tcBorders>
              <w:top w:val="single" w:sz="4" w:space="0" w:color="auto"/>
              <w:left w:val="single" w:sz="4" w:space="0" w:color="auto"/>
              <w:bottom w:val="single" w:sz="4" w:space="0" w:color="auto"/>
              <w:right w:val="single" w:sz="4" w:space="0" w:color="auto"/>
            </w:tcBorders>
          </w:tcPr>
          <w:p w14:paraId="3561AE83" w14:textId="77777777" w:rsidR="00F0420A" w:rsidRDefault="00F0420A">
            <w:pPr>
              <w:spacing w:line="276" w:lineRule="auto"/>
              <w:jc w:val="both"/>
              <w:rPr>
                <w:rFonts w:ascii="Times New Roman" w:hAnsi="Times New Roman" w:cs="Times New Roman"/>
              </w:rPr>
            </w:pPr>
          </w:p>
          <w:p w14:paraId="7F70B253" w14:textId="77777777" w:rsidR="00F0420A" w:rsidRDefault="00000000">
            <w:pPr>
              <w:spacing w:line="276" w:lineRule="auto"/>
              <w:jc w:val="both"/>
              <w:rPr>
                <w:rFonts w:ascii="Times New Roman" w:hAnsi="Times New Roman" w:cs="Times New Roman"/>
              </w:rPr>
            </w:pPr>
            <w:r>
              <w:rPr>
                <w:rFonts w:ascii="Times New Roman" w:hAnsi="Times New Roman" w:cs="Times New Roman"/>
              </w:rPr>
              <w:t>Carbohydrate (40%)</w:t>
            </w:r>
          </w:p>
        </w:tc>
        <w:tc>
          <w:tcPr>
            <w:tcW w:w="4814" w:type="dxa"/>
            <w:tcBorders>
              <w:top w:val="single" w:sz="4" w:space="0" w:color="auto"/>
              <w:left w:val="single" w:sz="4" w:space="0" w:color="auto"/>
              <w:bottom w:val="single" w:sz="4" w:space="0" w:color="auto"/>
              <w:right w:val="single" w:sz="4" w:space="0" w:color="auto"/>
            </w:tcBorders>
          </w:tcPr>
          <w:p w14:paraId="21761915" w14:textId="77777777" w:rsidR="00F0420A" w:rsidRDefault="00000000">
            <w:pPr>
              <w:spacing w:line="276" w:lineRule="auto"/>
              <w:jc w:val="both"/>
              <w:rPr>
                <w:rFonts w:ascii="Times New Roman" w:hAnsi="Times New Roman" w:cs="Times New Roman"/>
              </w:rPr>
            </w:pPr>
            <w:r>
              <w:rPr>
                <w:rFonts w:ascii="Times New Roman" w:hAnsi="Times New Roman" w:cs="Times New Roman"/>
              </w:rPr>
              <w:t>Boiled rice (40%)</w:t>
            </w:r>
          </w:p>
          <w:p w14:paraId="4AAD0914" w14:textId="77777777" w:rsidR="00F0420A" w:rsidRDefault="00000000">
            <w:pPr>
              <w:spacing w:line="276" w:lineRule="auto"/>
              <w:jc w:val="both"/>
              <w:rPr>
                <w:rFonts w:ascii="Times New Roman" w:hAnsi="Times New Roman" w:cs="Times New Roman"/>
              </w:rPr>
            </w:pPr>
            <w:r>
              <w:rPr>
                <w:rFonts w:ascii="Times New Roman" w:hAnsi="Times New Roman" w:cs="Times New Roman"/>
              </w:rPr>
              <w:t>Smashed potato (40%)</w:t>
            </w:r>
          </w:p>
          <w:p w14:paraId="6B4224EC" w14:textId="77777777" w:rsidR="00F0420A" w:rsidRDefault="00000000">
            <w:pPr>
              <w:spacing w:line="276" w:lineRule="auto"/>
              <w:jc w:val="both"/>
              <w:rPr>
                <w:rFonts w:ascii="Times New Roman" w:hAnsi="Times New Roman" w:cs="Times New Roman"/>
              </w:rPr>
            </w:pPr>
            <w:r>
              <w:rPr>
                <w:rFonts w:ascii="Times New Roman" w:hAnsi="Times New Roman" w:cs="Times New Roman"/>
              </w:rPr>
              <w:t>Boiled corn (20%)</w:t>
            </w:r>
          </w:p>
        </w:tc>
      </w:tr>
      <w:tr w:rsidR="00F0420A" w14:paraId="6910BEF1" w14:textId="77777777">
        <w:trPr>
          <w:trHeight w:val="1411"/>
        </w:trPr>
        <w:tc>
          <w:tcPr>
            <w:tcW w:w="4320" w:type="dxa"/>
            <w:tcBorders>
              <w:top w:val="single" w:sz="4" w:space="0" w:color="auto"/>
              <w:left w:val="single" w:sz="4" w:space="0" w:color="auto"/>
              <w:bottom w:val="single" w:sz="4" w:space="0" w:color="auto"/>
              <w:right w:val="single" w:sz="4" w:space="0" w:color="auto"/>
            </w:tcBorders>
          </w:tcPr>
          <w:p w14:paraId="0D24C334" w14:textId="77777777" w:rsidR="00F0420A" w:rsidRDefault="00F0420A">
            <w:pPr>
              <w:spacing w:line="276" w:lineRule="auto"/>
              <w:jc w:val="both"/>
              <w:rPr>
                <w:rFonts w:ascii="Times New Roman" w:hAnsi="Times New Roman" w:cs="Times New Roman"/>
              </w:rPr>
            </w:pPr>
          </w:p>
          <w:p w14:paraId="56614C73" w14:textId="77777777" w:rsidR="00F0420A" w:rsidRDefault="00000000">
            <w:pPr>
              <w:spacing w:line="276" w:lineRule="auto"/>
              <w:jc w:val="both"/>
              <w:rPr>
                <w:rFonts w:ascii="Times New Roman" w:hAnsi="Times New Roman" w:cs="Times New Roman"/>
              </w:rPr>
            </w:pPr>
            <w:r>
              <w:rPr>
                <w:rFonts w:ascii="Times New Roman" w:hAnsi="Times New Roman" w:cs="Times New Roman"/>
              </w:rPr>
              <w:t>Protein (10%)</w:t>
            </w:r>
          </w:p>
        </w:tc>
        <w:tc>
          <w:tcPr>
            <w:tcW w:w="4814" w:type="dxa"/>
            <w:tcBorders>
              <w:top w:val="single" w:sz="4" w:space="0" w:color="auto"/>
              <w:left w:val="single" w:sz="4" w:space="0" w:color="auto"/>
              <w:bottom w:val="single" w:sz="4" w:space="0" w:color="auto"/>
              <w:right w:val="single" w:sz="4" w:space="0" w:color="auto"/>
            </w:tcBorders>
          </w:tcPr>
          <w:p w14:paraId="6DBEB835" w14:textId="77777777" w:rsidR="00F0420A" w:rsidRDefault="00000000">
            <w:pPr>
              <w:spacing w:line="276" w:lineRule="auto"/>
              <w:jc w:val="both"/>
              <w:rPr>
                <w:rFonts w:ascii="Times New Roman" w:hAnsi="Times New Roman" w:cs="Times New Roman"/>
              </w:rPr>
            </w:pPr>
            <w:r>
              <w:rPr>
                <w:rFonts w:ascii="Times New Roman" w:hAnsi="Times New Roman" w:cs="Times New Roman"/>
              </w:rPr>
              <w:t>Dry powdered prone (40%)</w:t>
            </w:r>
          </w:p>
          <w:p w14:paraId="48ADC0B0" w14:textId="77777777" w:rsidR="00F0420A" w:rsidRDefault="00000000">
            <w:pPr>
              <w:spacing w:line="276" w:lineRule="auto"/>
              <w:jc w:val="both"/>
              <w:rPr>
                <w:rFonts w:ascii="Times New Roman" w:hAnsi="Times New Roman" w:cs="Times New Roman"/>
              </w:rPr>
            </w:pPr>
            <w:r>
              <w:rPr>
                <w:rFonts w:ascii="Times New Roman" w:hAnsi="Times New Roman" w:cs="Times New Roman"/>
              </w:rPr>
              <w:t>Dry boiled mutton (20%)</w:t>
            </w:r>
          </w:p>
          <w:p w14:paraId="4CC60E75" w14:textId="77777777" w:rsidR="00F0420A" w:rsidRDefault="00000000">
            <w:pPr>
              <w:spacing w:line="276" w:lineRule="auto"/>
              <w:jc w:val="both"/>
              <w:rPr>
                <w:rFonts w:ascii="Times New Roman" w:hAnsi="Times New Roman" w:cs="Times New Roman"/>
              </w:rPr>
            </w:pPr>
            <w:r>
              <w:rPr>
                <w:rFonts w:ascii="Times New Roman" w:hAnsi="Times New Roman" w:cs="Times New Roman"/>
              </w:rPr>
              <w:t>Cheese (20%)</w:t>
            </w:r>
          </w:p>
          <w:p w14:paraId="65257545" w14:textId="77777777" w:rsidR="00F0420A" w:rsidRDefault="00000000">
            <w:pPr>
              <w:spacing w:line="276" w:lineRule="auto"/>
              <w:jc w:val="both"/>
              <w:rPr>
                <w:rFonts w:ascii="Times New Roman" w:hAnsi="Times New Roman" w:cs="Times New Roman"/>
              </w:rPr>
            </w:pPr>
            <w:r>
              <w:rPr>
                <w:rFonts w:ascii="Times New Roman" w:hAnsi="Times New Roman" w:cs="Times New Roman"/>
              </w:rPr>
              <w:t>Egg (20%)</w:t>
            </w:r>
          </w:p>
        </w:tc>
      </w:tr>
    </w:tbl>
    <w:p w14:paraId="427A0C73" w14:textId="77777777" w:rsidR="00F0420A" w:rsidRDefault="00000000">
      <w:pPr>
        <w:spacing w:line="360" w:lineRule="auto"/>
        <w:jc w:val="both"/>
        <w:rPr>
          <w:rFonts w:ascii="Times New Roman" w:hAnsi="Times New Roman" w:cs="Times New Roman"/>
        </w:rPr>
      </w:pPr>
      <w:r>
        <w:rPr>
          <w:rFonts w:ascii="Times New Roman" w:hAnsi="Times New Roman" w:cs="Times New Roman"/>
        </w:rPr>
        <w:t>Rats were fed a high-fat diet to induce obesity for ten weeks after the ingredients had been well combined</w:t>
      </w:r>
    </w:p>
    <w:tbl>
      <w:tblPr>
        <w:tblpPr w:leftFromText="180" w:rightFromText="180" w:bottomFromText="200" w:vertAnchor="text" w:horzAnchor="margin" w:tblpXSpec="center" w:tblpY="870"/>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340"/>
        <w:gridCol w:w="2160"/>
        <w:gridCol w:w="2250"/>
        <w:gridCol w:w="2250"/>
      </w:tblGrid>
      <w:tr w:rsidR="00F0420A" w14:paraId="3FDCE622" w14:textId="77777777">
        <w:trPr>
          <w:trHeight w:val="459"/>
        </w:trPr>
        <w:tc>
          <w:tcPr>
            <w:tcW w:w="1075" w:type="dxa"/>
            <w:tcBorders>
              <w:top w:val="single" w:sz="4" w:space="0" w:color="auto"/>
              <w:left w:val="single" w:sz="4" w:space="0" w:color="auto"/>
              <w:bottom w:val="single" w:sz="4" w:space="0" w:color="auto"/>
              <w:right w:val="single" w:sz="4" w:space="0" w:color="auto"/>
            </w:tcBorders>
          </w:tcPr>
          <w:p w14:paraId="5F3C7D01"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lastRenderedPageBreak/>
              <w:t>Group Number</w:t>
            </w:r>
          </w:p>
        </w:tc>
        <w:tc>
          <w:tcPr>
            <w:tcW w:w="2340" w:type="dxa"/>
            <w:tcBorders>
              <w:top w:val="single" w:sz="4" w:space="0" w:color="auto"/>
              <w:left w:val="single" w:sz="4" w:space="0" w:color="auto"/>
              <w:bottom w:val="single" w:sz="4" w:space="0" w:color="auto"/>
              <w:right w:val="single" w:sz="4" w:space="0" w:color="auto"/>
            </w:tcBorders>
          </w:tcPr>
          <w:p w14:paraId="2E94786A"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Group Specification</w:t>
            </w:r>
          </w:p>
        </w:tc>
        <w:tc>
          <w:tcPr>
            <w:tcW w:w="2160" w:type="dxa"/>
            <w:tcBorders>
              <w:top w:val="single" w:sz="4" w:space="0" w:color="auto"/>
              <w:left w:val="single" w:sz="4" w:space="0" w:color="auto"/>
              <w:bottom w:val="single" w:sz="4" w:space="0" w:color="auto"/>
              <w:right w:val="single" w:sz="4" w:space="0" w:color="auto"/>
            </w:tcBorders>
          </w:tcPr>
          <w:p w14:paraId="10DC4750"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Treatment species</w:t>
            </w:r>
          </w:p>
        </w:tc>
        <w:tc>
          <w:tcPr>
            <w:tcW w:w="2250" w:type="dxa"/>
            <w:tcBorders>
              <w:top w:val="single" w:sz="4" w:space="0" w:color="auto"/>
              <w:left w:val="single" w:sz="4" w:space="0" w:color="auto"/>
              <w:bottom w:val="single" w:sz="4" w:space="0" w:color="auto"/>
              <w:right w:val="single" w:sz="4" w:space="0" w:color="auto"/>
            </w:tcBorders>
          </w:tcPr>
          <w:p w14:paraId="6DA88281"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Dose treatment species (mg/kg)</w:t>
            </w:r>
          </w:p>
        </w:tc>
        <w:tc>
          <w:tcPr>
            <w:tcW w:w="2250" w:type="dxa"/>
            <w:tcBorders>
              <w:top w:val="single" w:sz="4" w:space="0" w:color="auto"/>
              <w:left w:val="single" w:sz="4" w:space="0" w:color="auto"/>
              <w:bottom w:val="single" w:sz="4" w:space="0" w:color="auto"/>
              <w:right w:val="single" w:sz="4" w:space="0" w:color="auto"/>
            </w:tcBorders>
          </w:tcPr>
          <w:p w14:paraId="74A382C6" w14:textId="77777777" w:rsidR="00F0420A" w:rsidRDefault="00000000">
            <w:pPr>
              <w:spacing w:line="360" w:lineRule="auto"/>
              <w:jc w:val="both"/>
              <w:rPr>
                <w:rFonts w:ascii="Times New Roman" w:hAnsi="Times New Roman" w:cs="Times New Roman"/>
                <w:b/>
              </w:rPr>
            </w:pPr>
            <w:r>
              <w:rPr>
                <w:rFonts w:ascii="Times New Roman" w:hAnsi="Times New Roman" w:cs="Times New Roman"/>
                <w:b/>
              </w:rPr>
              <w:t>Abbreviation of Groups</w:t>
            </w:r>
          </w:p>
        </w:tc>
      </w:tr>
      <w:tr w:rsidR="00F0420A" w14:paraId="41B7CE5D" w14:textId="77777777">
        <w:trPr>
          <w:trHeight w:val="239"/>
        </w:trPr>
        <w:tc>
          <w:tcPr>
            <w:tcW w:w="1075" w:type="dxa"/>
            <w:tcBorders>
              <w:top w:val="single" w:sz="4" w:space="0" w:color="auto"/>
              <w:left w:val="single" w:sz="4" w:space="0" w:color="auto"/>
              <w:bottom w:val="single" w:sz="4" w:space="0" w:color="auto"/>
              <w:right w:val="single" w:sz="4" w:space="0" w:color="auto"/>
            </w:tcBorders>
          </w:tcPr>
          <w:p w14:paraId="1875781A" w14:textId="77777777" w:rsidR="00F0420A" w:rsidRDefault="00000000">
            <w:pPr>
              <w:spacing w:line="360" w:lineRule="auto"/>
              <w:jc w:val="both"/>
              <w:rPr>
                <w:rFonts w:ascii="Times New Roman" w:hAnsi="Times New Roman" w:cs="Times New Roman"/>
              </w:rPr>
            </w:pPr>
            <w:r>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14:paraId="6D8D3770" w14:textId="77777777" w:rsidR="00F0420A" w:rsidRDefault="00000000">
            <w:pPr>
              <w:spacing w:line="360" w:lineRule="auto"/>
              <w:jc w:val="both"/>
              <w:rPr>
                <w:rFonts w:ascii="Times New Roman" w:hAnsi="Times New Roman" w:cs="Times New Roman"/>
              </w:rPr>
            </w:pPr>
            <w:r>
              <w:rPr>
                <w:rFonts w:ascii="Times New Roman" w:hAnsi="Times New Roman" w:cs="Times New Roman"/>
              </w:rPr>
              <w:t>Negative control</w:t>
            </w:r>
          </w:p>
        </w:tc>
        <w:tc>
          <w:tcPr>
            <w:tcW w:w="2160" w:type="dxa"/>
            <w:tcBorders>
              <w:top w:val="single" w:sz="4" w:space="0" w:color="auto"/>
              <w:left w:val="single" w:sz="4" w:space="0" w:color="auto"/>
              <w:bottom w:val="single" w:sz="4" w:space="0" w:color="auto"/>
              <w:right w:val="single" w:sz="4" w:space="0" w:color="auto"/>
            </w:tcBorders>
          </w:tcPr>
          <w:p w14:paraId="5D94B427" w14:textId="77777777" w:rsidR="00F0420A" w:rsidRDefault="00000000">
            <w:pPr>
              <w:spacing w:line="360" w:lineRule="auto"/>
              <w:jc w:val="both"/>
              <w:rPr>
                <w:rFonts w:ascii="Times New Roman" w:hAnsi="Times New Roman" w:cs="Times New Roman"/>
              </w:rPr>
            </w:pPr>
            <w:r>
              <w:rPr>
                <w:rFonts w:ascii="Times New Roman" w:hAnsi="Times New Roman" w:cs="Times New Roman"/>
              </w:rPr>
              <w:t>Physiological saline</w:t>
            </w:r>
          </w:p>
        </w:tc>
        <w:tc>
          <w:tcPr>
            <w:tcW w:w="2250" w:type="dxa"/>
            <w:tcBorders>
              <w:top w:val="single" w:sz="4" w:space="0" w:color="auto"/>
              <w:left w:val="single" w:sz="4" w:space="0" w:color="auto"/>
              <w:bottom w:val="single" w:sz="4" w:space="0" w:color="auto"/>
              <w:right w:val="single" w:sz="4" w:space="0" w:color="auto"/>
            </w:tcBorders>
          </w:tcPr>
          <w:p w14:paraId="2CD02EBC" w14:textId="77777777" w:rsidR="00F0420A" w:rsidRDefault="00000000">
            <w:pPr>
              <w:spacing w:line="360" w:lineRule="auto"/>
              <w:jc w:val="both"/>
              <w:rPr>
                <w:rFonts w:ascii="Times New Roman" w:hAnsi="Times New Roman" w:cs="Times New Roman"/>
              </w:rPr>
            </w:pPr>
            <w:r>
              <w:rPr>
                <w:rFonts w:ascii="Times New Roman" w:hAnsi="Times New Roman" w:cs="Times New Roman"/>
              </w:rPr>
              <w:t>10 ml/kg</w:t>
            </w:r>
          </w:p>
        </w:tc>
        <w:tc>
          <w:tcPr>
            <w:tcW w:w="2250" w:type="dxa"/>
            <w:tcBorders>
              <w:top w:val="single" w:sz="4" w:space="0" w:color="auto"/>
              <w:left w:val="single" w:sz="4" w:space="0" w:color="auto"/>
              <w:bottom w:val="single" w:sz="4" w:space="0" w:color="auto"/>
              <w:right w:val="single" w:sz="4" w:space="0" w:color="auto"/>
            </w:tcBorders>
          </w:tcPr>
          <w:p w14:paraId="499DB1B8" w14:textId="77777777" w:rsidR="00F0420A" w:rsidRDefault="00000000">
            <w:pPr>
              <w:spacing w:line="360" w:lineRule="auto"/>
              <w:jc w:val="both"/>
              <w:rPr>
                <w:rFonts w:ascii="Times New Roman" w:hAnsi="Times New Roman" w:cs="Times New Roman"/>
              </w:rPr>
            </w:pPr>
            <w:r>
              <w:rPr>
                <w:rFonts w:ascii="Times New Roman" w:hAnsi="Times New Roman" w:cs="Times New Roman"/>
              </w:rPr>
              <w:t>N</w:t>
            </w:r>
          </w:p>
        </w:tc>
      </w:tr>
      <w:tr w:rsidR="00F0420A" w14:paraId="7BEF64D5" w14:textId="77777777">
        <w:trPr>
          <w:trHeight w:val="259"/>
        </w:trPr>
        <w:tc>
          <w:tcPr>
            <w:tcW w:w="1075" w:type="dxa"/>
            <w:tcBorders>
              <w:top w:val="single" w:sz="4" w:space="0" w:color="auto"/>
              <w:left w:val="single" w:sz="4" w:space="0" w:color="auto"/>
              <w:bottom w:val="single" w:sz="4" w:space="0" w:color="auto"/>
              <w:right w:val="single" w:sz="4" w:space="0" w:color="auto"/>
            </w:tcBorders>
          </w:tcPr>
          <w:p w14:paraId="43749C8D" w14:textId="77777777" w:rsidR="00F0420A" w:rsidRDefault="00000000">
            <w:pPr>
              <w:spacing w:line="360" w:lineRule="auto"/>
              <w:jc w:val="both"/>
              <w:rPr>
                <w:rFonts w:ascii="Times New Roman" w:hAnsi="Times New Roman" w:cs="Times New Roman"/>
              </w:rPr>
            </w:pPr>
            <w:r>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tcPr>
          <w:p w14:paraId="6BA6B419" w14:textId="77777777" w:rsidR="00F0420A" w:rsidRDefault="00000000">
            <w:pPr>
              <w:spacing w:line="360" w:lineRule="auto"/>
              <w:jc w:val="both"/>
              <w:rPr>
                <w:rFonts w:ascii="Times New Roman" w:hAnsi="Times New Roman" w:cs="Times New Roman"/>
              </w:rPr>
            </w:pPr>
            <w:r>
              <w:rPr>
                <w:rFonts w:ascii="Times New Roman" w:hAnsi="Times New Roman" w:cs="Times New Roman"/>
              </w:rPr>
              <w:t>High Fat</w:t>
            </w:r>
          </w:p>
        </w:tc>
        <w:tc>
          <w:tcPr>
            <w:tcW w:w="2160" w:type="dxa"/>
            <w:tcBorders>
              <w:top w:val="single" w:sz="4" w:space="0" w:color="auto"/>
              <w:left w:val="single" w:sz="4" w:space="0" w:color="auto"/>
              <w:bottom w:val="single" w:sz="4" w:space="0" w:color="auto"/>
              <w:right w:val="single" w:sz="4" w:space="0" w:color="auto"/>
            </w:tcBorders>
          </w:tcPr>
          <w:p w14:paraId="75580BFB" w14:textId="77777777" w:rsidR="00F0420A" w:rsidRDefault="00000000">
            <w:pPr>
              <w:spacing w:line="360" w:lineRule="auto"/>
              <w:jc w:val="both"/>
              <w:rPr>
                <w:rFonts w:ascii="Times New Roman" w:hAnsi="Times New Roman" w:cs="Times New Roman"/>
              </w:rPr>
            </w:pPr>
            <w:r>
              <w:rPr>
                <w:rFonts w:ascii="Times New Roman" w:hAnsi="Times New Roman" w:cs="Times New Roman"/>
              </w:rPr>
              <w:t>N/A</w:t>
            </w:r>
          </w:p>
        </w:tc>
        <w:tc>
          <w:tcPr>
            <w:tcW w:w="2250" w:type="dxa"/>
            <w:tcBorders>
              <w:top w:val="single" w:sz="4" w:space="0" w:color="auto"/>
              <w:left w:val="single" w:sz="4" w:space="0" w:color="auto"/>
              <w:bottom w:val="single" w:sz="4" w:space="0" w:color="auto"/>
              <w:right w:val="single" w:sz="4" w:space="0" w:color="auto"/>
            </w:tcBorders>
          </w:tcPr>
          <w:p w14:paraId="4DD08169" w14:textId="77777777" w:rsidR="00F0420A" w:rsidRDefault="00000000">
            <w:pPr>
              <w:spacing w:line="360" w:lineRule="auto"/>
              <w:jc w:val="both"/>
              <w:rPr>
                <w:rFonts w:ascii="Times New Roman" w:hAnsi="Times New Roman" w:cs="Times New Roman"/>
              </w:rPr>
            </w:pPr>
            <w:r>
              <w:rPr>
                <w:rFonts w:ascii="Times New Roman" w:hAnsi="Times New Roman" w:cs="Times New Roman"/>
              </w:rPr>
              <w:t>N/A</w:t>
            </w:r>
          </w:p>
        </w:tc>
        <w:tc>
          <w:tcPr>
            <w:tcW w:w="2250" w:type="dxa"/>
            <w:tcBorders>
              <w:top w:val="single" w:sz="4" w:space="0" w:color="auto"/>
              <w:left w:val="single" w:sz="4" w:space="0" w:color="auto"/>
              <w:bottom w:val="single" w:sz="4" w:space="0" w:color="auto"/>
              <w:right w:val="single" w:sz="4" w:space="0" w:color="auto"/>
            </w:tcBorders>
          </w:tcPr>
          <w:p w14:paraId="53018245"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w:t>
            </w:r>
          </w:p>
        </w:tc>
      </w:tr>
      <w:tr w:rsidR="00F0420A" w14:paraId="4CA903C2" w14:textId="77777777">
        <w:trPr>
          <w:trHeight w:val="332"/>
        </w:trPr>
        <w:tc>
          <w:tcPr>
            <w:tcW w:w="1075" w:type="dxa"/>
            <w:tcBorders>
              <w:top w:val="single" w:sz="4" w:space="0" w:color="auto"/>
              <w:left w:val="single" w:sz="4" w:space="0" w:color="auto"/>
              <w:bottom w:val="single" w:sz="4" w:space="0" w:color="auto"/>
              <w:right w:val="single" w:sz="4" w:space="0" w:color="auto"/>
            </w:tcBorders>
          </w:tcPr>
          <w:p w14:paraId="29FC426E" w14:textId="77777777" w:rsidR="00F0420A" w:rsidRDefault="00000000">
            <w:pPr>
              <w:spacing w:line="360" w:lineRule="auto"/>
              <w:jc w:val="both"/>
              <w:rPr>
                <w:rFonts w:ascii="Times New Roman" w:hAnsi="Times New Roman" w:cs="Times New Roman"/>
              </w:rPr>
            </w:pPr>
            <w:r>
              <w:rPr>
                <w:rFonts w:ascii="Times New Roman" w:hAnsi="Times New Roman" w:cs="Times New Roman"/>
              </w:rPr>
              <w:t>3</w:t>
            </w:r>
          </w:p>
        </w:tc>
        <w:tc>
          <w:tcPr>
            <w:tcW w:w="2340" w:type="dxa"/>
            <w:tcBorders>
              <w:top w:val="single" w:sz="4" w:space="0" w:color="auto"/>
              <w:left w:val="single" w:sz="4" w:space="0" w:color="auto"/>
              <w:bottom w:val="single" w:sz="4" w:space="0" w:color="auto"/>
              <w:right w:val="single" w:sz="4" w:space="0" w:color="auto"/>
            </w:tcBorders>
          </w:tcPr>
          <w:p w14:paraId="4D8D43F6"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 RV</w:t>
            </w:r>
            <w:r>
              <w:rPr>
                <w:rFonts w:ascii="Times New Roman" w:hAnsi="Times New Roman" w:cs="Times New Roman"/>
                <w:vertAlign w:val="subscript"/>
              </w:rPr>
              <w:t>10</w:t>
            </w:r>
          </w:p>
        </w:tc>
        <w:tc>
          <w:tcPr>
            <w:tcW w:w="2160" w:type="dxa"/>
            <w:tcBorders>
              <w:top w:val="single" w:sz="4" w:space="0" w:color="auto"/>
              <w:left w:val="single" w:sz="4" w:space="0" w:color="auto"/>
              <w:bottom w:val="single" w:sz="4" w:space="0" w:color="auto"/>
              <w:right w:val="single" w:sz="4" w:space="0" w:color="auto"/>
            </w:tcBorders>
          </w:tcPr>
          <w:p w14:paraId="3F751194"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rPr>
              <w:t>Rovast</w:t>
            </w:r>
            <w:proofErr w:type="spellEnd"/>
            <w:r>
              <w:rPr>
                <w:rFonts w:ascii="Times New Roman" w:hAnsi="Times New Roman" w:cs="Times New Roman"/>
              </w:rPr>
              <w:t xml:space="preserve"> 10mg/kg</w:t>
            </w:r>
          </w:p>
        </w:tc>
        <w:tc>
          <w:tcPr>
            <w:tcW w:w="2250" w:type="dxa"/>
            <w:tcBorders>
              <w:top w:val="single" w:sz="4" w:space="0" w:color="auto"/>
              <w:left w:val="single" w:sz="4" w:space="0" w:color="auto"/>
              <w:bottom w:val="single" w:sz="4" w:space="0" w:color="auto"/>
              <w:right w:val="single" w:sz="4" w:space="0" w:color="auto"/>
            </w:tcBorders>
          </w:tcPr>
          <w:p w14:paraId="0930331C" w14:textId="77777777" w:rsidR="00F0420A" w:rsidRDefault="00000000">
            <w:pPr>
              <w:spacing w:line="360" w:lineRule="auto"/>
              <w:jc w:val="both"/>
              <w:rPr>
                <w:rFonts w:ascii="Times New Roman" w:hAnsi="Times New Roman" w:cs="Times New Roman"/>
              </w:rPr>
            </w:pPr>
            <w:r>
              <w:rPr>
                <w:rFonts w:ascii="Times New Roman" w:hAnsi="Times New Roman" w:cs="Times New Roman"/>
              </w:rPr>
              <w:t>10</w:t>
            </w:r>
          </w:p>
        </w:tc>
        <w:tc>
          <w:tcPr>
            <w:tcW w:w="2250" w:type="dxa"/>
            <w:tcBorders>
              <w:top w:val="single" w:sz="4" w:space="0" w:color="auto"/>
              <w:left w:val="single" w:sz="4" w:space="0" w:color="auto"/>
              <w:bottom w:val="single" w:sz="4" w:space="0" w:color="auto"/>
              <w:right w:val="single" w:sz="4" w:space="0" w:color="auto"/>
            </w:tcBorders>
          </w:tcPr>
          <w:p w14:paraId="19257292" w14:textId="77777777" w:rsidR="00F0420A" w:rsidRDefault="00000000">
            <w:pPr>
              <w:spacing w:line="360" w:lineRule="auto"/>
              <w:jc w:val="both"/>
              <w:rPr>
                <w:rFonts w:ascii="Times New Roman" w:hAnsi="Times New Roman" w:cs="Times New Roman"/>
                <w:vertAlign w:val="subscript"/>
              </w:rPr>
            </w:pPr>
            <w:r>
              <w:rPr>
                <w:rFonts w:ascii="Times New Roman" w:hAnsi="Times New Roman" w:cs="Times New Roman"/>
              </w:rPr>
              <w:t>RV</w:t>
            </w:r>
            <w:r>
              <w:rPr>
                <w:rFonts w:ascii="Times New Roman" w:hAnsi="Times New Roman" w:cs="Times New Roman"/>
                <w:vertAlign w:val="subscript"/>
              </w:rPr>
              <w:t>10</w:t>
            </w:r>
          </w:p>
        </w:tc>
      </w:tr>
      <w:tr w:rsidR="00F0420A" w14:paraId="095FADF4" w14:textId="77777777">
        <w:trPr>
          <w:trHeight w:val="325"/>
        </w:trPr>
        <w:tc>
          <w:tcPr>
            <w:tcW w:w="1075" w:type="dxa"/>
            <w:tcBorders>
              <w:top w:val="single" w:sz="4" w:space="0" w:color="auto"/>
              <w:left w:val="single" w:sz="4" w:space="0" w:color="auto"/>
              <w:bottom w:val="single" w:sz="4" w:space="0" w:color="auto"/>
              <w:right w:val="single" w:sz="4" w:space="0" w:color="auto"/>
            </w:tcBorders>
          </w:tcPr>
          <w:p w14:paraId="0B021693" w14:textId="77777777" w:rsidR="00F0420A" w:rsidRDefault="00000000">
            <w:pPr>
              <w:spacing w:line="360" w:lineRule="auto"/>
              <w:jc w:val="both"/>
              <w:rPr>
                <w:rFonts w:ascii="Times New Roman" w:hAnsi="Times New Roman" w:cs="Times New Roman"/>
              </w:rPr>
            </w:pPr>
            <w:r>
              <w:rPr>
                <w:rFonts w:ascii="Times New Roman" w:hAnsi="Times New Roman" w:cs="Times New Roman"/>
              </w:rPr>
              <w:t>4</w:t>
            </w:r>
          </w:p>
        </w:tc>
        <w:tc>
          <w:tcPr>
            <w:tcW w:w="2340" w:type="dxa"/>
            <w:tcBorders>
              <w:top w:val="single" w:sz="4" w:space="0" w:color="auto"/>
              <w:left w:val="single" w:sz="4" w:space="0" w:color="auto"/>
              <w:bottom w:val="single" w:sz="4" w:space="0" w:color="auto"/>
              <w:right w:val="single" w:sz="4" w:space="0" w:color="auto"/>
            </w:tcBorders>
          </w:tcPr>
          <w:p w14:paraId="6A28CADC"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w:t>
            </w:r>
            <w:r>
              <w:rPr>
                <w:rFonts w:ascii="Times New Roman" w:hAnsi="Times New Roman" w:cs="Times New Roman"/>
                <w:vertAlign w:val="subscript"/>
              </w:rPr>
              <w:t xml:space="preserve"> </w:t>
            </w:r>
            <w:r>
              <w:rPr>
                <w:rFonts w:ascii="Times New Roman" w:hAnsi="Times New Roman" w:cs="Times New Roman"/>
              </w:rPr>
              <w:t>+SC</w:t>
            </w:r>
            <w:r>
              <w:rPr>
                <w:rFonts w:ascii="Times New Roman" w:hAnsi="Times New Roman" w:cs="Times New Roman"/>
                <w:vertAlign w:val="subscript"/>
              </w:rPr>
              <w:t>300</w:t>
            </w:r>
          </w:p>
        </w:tc>
        <w:tc>
          <w:tcPr>
            <w:tcW w:w="2160" w:type="dxa"/>
            <w:tcBorders>
              <w:top w:val="single" w:sz="4" w:space="0" w:color="auto"/>
              <w:left w:val="single" w:sz="4" w:space="0" w:color="auto"/>
              <w:bottom w:val="single" w:sz="4" w:space="0" w:color="auto"/>
              <w:right w:val="single" w:sz="4" w:space="0" w:color="auto"/>
            </w:tcBorders>
          </w:tcPr>
          <w:p w14:paraId="39FB425F"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r>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772E184A" w14:textId="77777777" w:rsidR="00F0420A" w:rsidRDefault="00000000">
            <w:pPr>
              <w:spacing w:line="360" w:lineRule="auto"/>
              <w:jc w:val="both"/>
              <w:rPr>
                <w:rFonts w:ascii="Times New Roman" w:hAnsi="Times New Roman" w:cs="Times New Roman"/>
              </w:rPr>
            </w:pPr>
            <w:r>
              <w:rPr>
                <w:rFonts w:ascii="Times New Roman" w:hAnsi="Times New Roman" w:cs="Times New Roman"/>
              </w:rPr>
              <w:t>300</w:t>
            </w:r>
          </w:p>
        </w:tc>
        <w:tc>
          <w:tcPr>
            <w:tcW w:w="2250" w:type="dxa"/>
            <w:tcBorders>
              <w:top w:val="single" w:sz="4" w:space="0" w:color="auto"/>
              <w:left w:val="single" w:sz="4" w:space="0" w:color="auto"/>
              <w:bottom w:val="single" w:sz="4" w:space="0" w:color="auto"/>
              <w:right w:val="single" w:sz="4" w:space="0" w:color="auto"/>
            </w:tcBorders>
          </w:tcPr>
          <w:p w14:paraId="3E66D0A9"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300</w:t>
            </w:r>
          </w:p>
        </w:tc>
      </w:tr>
      <w:tr w:rsidR="00F0420A" w14:paraId="6B930377" w14:textId="77777777">
        <w:trPr>
          <w:trHeight w:val="392"/>
        </w:trPr>
        <w:tc>
          <w:tcPr>
            <w:tcW w:w="1075" w:type="dxa"/>
            <w:tcBorders>
              <w:top w:val="single" w:sz="4" w:space="0" w:color="auto"/>
              <w:left w:val="single" w:sz="4" w:space="0" w:color="auto"/>
              <w:bottom w:val="single" w:sz="4" w:space="0" w:color="auto"/>
              <w:right w:val="single" w:sz="4" w:space="0" w:color="auto"/>
            </w:tcBorders>
          </w:tcPr>
          <w:p w14:paraId="36A112DA" w14:textId="77777777" w:rsidR="00F0420A" w:rsidRDefault="00000000">
            <w:pPr>
              <w:spacing w:line="360" w:lineRule="auto"/>
              <w:jc w:val="both"/>
              <w:rPr>
                <w:rFonts w:ascii="Times New Roman" w:hAnsi="Times New Roman" w:cs="Times New Roman"/>
              </w:rPr>
            </w:pPr>
            <w:r>
              <w:rPr>
                <w:rFonts w:ascii="Times New Roman" w:hAnsi="Times New Roman" w:cs="Times New Roman"/>
              </w:rPr>
              <w:t>5</w:t>
            </w:r>
          </w:p>
        </w:tc>
        <w:tc>
          <w:tcPr>
            <w:tcW w:w="2340" w:type="dxa"/>
            <w:tcBorders>
              <w:top w:val="single" w:sz="4" w:space="0" w:color="auto"/>
              <w:left w:val="single" w:sz="4" w:space="0" w:color="auto"/>
              <w:bottom w:val="single" w:sz="4" w:space="0" w:color="auto"/>
              <w:right w:val="single" w:sz="4" w:space="0" w:color="auto"/>
            </w:tcBorders>
          </w:tcPr>
          <w:p w14:paraId="5C5D0B49"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HF+SC</w:t>
            </w:r>
            <w:r>
              <w:rPr>
                <w:rFonts w:ascii="Times New Roman" w:hAnsi="Times New Roman" w:cs="Times New Roman"/>
                <w:vertAlign w:val="subscript"/>
              </w:rPr>
              <w:t>600</w:t>
            </w:r>
          </w:p>
        </w:tc>
        <w:tc>
          <w:tcPr>
            <w:tcW w:w="2160" w:type="dxa"/>
            <w:tcBorders>
              <w:top w:val="single" w:sz="4" w:space="0" w:color="auto"/>
              <w:left w:val="single" w:sz="4" w:space="0" w:color="auto"/>
              <w:bottom w:val="single" w:sz="4" w:space="0" w:color="auto"/>
              <w:right w:val="single" w:sz="4" w:space="0" w:color="auto"/>
            </w:tcBorders>
          </w:tcPr>
          <w:p w14:paraId="7886E468"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tcPr>
          <w:p w14:paraId="69F55168" w14:textId="77777777" w:rsidR="00F0420A" w:rsidRDefault="00000000">
            <w:pPr>
              <w:spacing w:line="360" w:lineRule="auto"/>
              <w:jc w:val="both"/>
              <w:rPr>
                <w:rFonts w:ascii="Times New Roman" w:hAnsi="Times New Roman" w:cs="Times New Roman"/>
              </w:rPr>
            </w:pPr>
            <w:r>
              <w:rPr>
                <w:rFonts w:ascii="Times New Roman" w:hAnsi="Times New Roman" w:cs="Times New Roman"/>
              </w:rPr>
              <w:t>600</w:t>
            </w:r>
          </w:p>
        </w:tc>
        <w:tc>
          <w:tcPr>
            <w:tcW w:w="2250" w:type="dxa"/>
            <w:tcBorders>
              <w:top w:val="single" w:sz="4" w:space="0" w:color="auto"/>
              <w:left w:val="single" w:sz="4" w:space="0" w:color="auto"/>
              <w:bottom w:val="single" w:sz="4" w:space="0" w:color="auto"/>
              <w:right w:val="single" w:sz="4" w:space="0" w:color="auto"/>
            </w:tcBorders>
          </w:tcPr>
          <w:p w14:paraId="0340E4B7"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600</w:t>
            </w:r>
          </w:p>
        </w:tc>
      </w:tr>
      <w:tr w:rsidR="00F0420A" w14:paraId="44C78DDC" w14:textId="77777777">
        <w:trPr>
          <w:trHeight w:val="325"/>
        </w:trPr>
        <w:tc>
          <w:tcPr>
            <w:tcW w:w="1075" w:type="dxa"/>
            <w:tcBorders>
              <w:top w:val="single" w:sz="4" w:space="0" w:color="auto"/>
              <w:left w:val="single" w:sz="4" w:space="0" w:color="auto"/>
              <w:bottom w:val="single" w:sz="4" w:space="0" w:color="auto"/>
              <w:right w:val="single" w:sz="4" w:space="0" w:color="auto"/>
            </w:tcBorders>
          </w:tcPr>
          <w:p w14:paraId="01F8D4E9" w14:textId="77777777" w:rsidR="00F0420A" w:rsidRDefault="00000000">
            <w:pPr>
              <w:spacing w:line="360" w:lineRule="auto"/>
              <w:jc w:val="both"/>
              <w:rPr>
                <w:rFonts w:ascii="Times New Roman" w:hAnsi="Times New Roman" w:cs="Times New Roman"/>
              </w:rPr>
            </w:pP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420CAF9C" w14:textId="77777777" w:rsidR="00F0420A" w:rsidRDefault="00000000">
            <w:pPr>
              <w:spacing w:line="360" w:lineRule="auto"/>
              <w:jc w:val="both"/>
              <w:rPr>
                <w:rFonts w:ascii="Times New Roman" w:hAnsi="Times New Roman" w:cs="Times New Roman"/>
              </w:rPr>
            </w:pPr>
            <w:r>
              <w:rPr>
                <w:rFonts w:ascii="Times New Roman" w:hAnsi="Times New Roman" w:cs="Times New Roman"/>
              </w:rPr>
              <w:t>HF+SC</w:t>
            </w:r>
            <w:r>
              <w:rPr>
                <w:rFonts w:ascii="Times New Roman" w:hAnsi="Times New Roman" w:cs="Times New Roman"/>
                <w:vertAlign w:val="subscript"/>
              </w:rPr>
              <w:t>900</w:t>
            </w:r>
          </w:p>
        </w:tc>
        <w:tc>
          <w:tcPr>
            <w:tcW w:w="2160" w:type="dxa"/>
            <w:tcBorders>
              <w:top w:val="single" w:sz="4" w:space="0" w:color="auto"/>
              <w:left w:val="single" w:sz="4" w:space="0" w:color="auto"/>
              <w:bottom w:val="single" w:sz="4" w:space="0" w:color="auto"/>
              <w:right w:val="single" w:sz="4" w:space="0" w:color="auto"/>
            </w:tcBorders>
          </w:tcPr>
          <w:p w14:paraId="7BB9B9A7"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tcPr>
          <w:p w14:paraId="1F14458A" w14:textId="77777777" w:rsidR="00F0420A" w:rsidRDefault="00000000">
            <w:pPr>
              <w:spacing w:line="360" w:lineRule="auto"/>
              <w:jc w:val="both"/>
              <w:rPr>
                <w:rFonts w:ascii="Times New Roman" w:hAnsi="Times New Roman" w:cs="Times New Roman"/>
              </w:rPr>
            </w:pPr>
            <w:r>
              <w:rPr>
                <w:rFonts w:ascii="Times New Roman" w:hAnsi="Times New Roman" w:cs="Times New Roman"/>
              </w:rPr>
              <w:t>900</w:t>
            </w:r>
          </w:p>
        </w:tc>
        <w:tc>
          <w:tcPr>
            <w:tcW w:w="2250" w:type="dxa"/>
            <w:tcBorders>
              <w:top w:val="single" w:sz="4" w:space="0" w:color="auto"/>
              <w:left w:val="single" w:sz="4" w:space="0" w:color="auto"/>
              <w:bottom w:val="single" w:sz="4" w:space="0" w:color="auto"/>
              <w:right w:val="single" w:sz="4" w:space="0" w:color="auto"/>
            </w:tcBorders>
          </w:tcPr>
          <w:p w14:paraId="67BC7B00"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900</w:t>
            </w:r>
          </w:p>
        </w:tc>
      </w:tr>
      <w:tr w:rsidR="00F0420A" w14:paraId="249F5FAB" w14:textId="77777777">
        <w:trPr>
          <w:trHeight w:val="259"/>
        </w:trPr>
        <w:tc>
          <w:tcPr>
            <w:tcW w:w="1075" w:type="dxa"/>
            <w:tcBorders>
              <w:top w:val="single" w:sz="4" w:space="0" w:color="auto"/>
              <w:left w:val="single" w:sz="4" w:space="0" w:color="auto"/>
              <w:bottom w:val="single" w:sz="4" w:space="0" w:color="auto"/>
              <w:right w:val="single" w:sz="4" w:space="0" w:color="auto"/>
            </w:tcBorders>
          </w:tcPr>
          <w:p w14:paraId="369A091D" w14:textId="77777777" w:rsidR="00F0420A" w:rsidRDefault="00000000">
            <w:pPr>
              <w:spacing w:line="360" w:lineRule="auto"/>
              <w:jc w:val="both"/>
              <w:rPr>
                <w:rFonts w:ascii="Times New Roman" w:hAnsi="Times New Roman" w:cs="Times New Roman"/>
              </w:rPr>
            </w:pPr>
            <w:r>
              <w:rPr>
                <w:rFonts w:ascii="Times New Roman" w:hAnsi="Times New Roman" w:cs="Times New Roman"/>
              </w:rPr>
              <w:t>7</w:t>
            </w:r>
          </w:p>
        </w:tc>
        <w:tc>
          <w:tcPr>
            <w:tcW w:w="2340" w:type="dxa"/>
            <w:tcBorders>
              <w:top w:val="single" w:sz="4" w:space="0" w:color="auto"/>
              <w:left w:val="single" w:sz="4" w:space="0" w:color="auto"/>
              <w:bottom w:val="single" w:sz="4" w:space="0" w:color="auto"/>
              <w:right w:val="single" w:sz="4" w:space="0" w:color="auto"/>
            </w:tcBorders>
          </w:tcPr>
          <w:p w14:paraId="4E5C6F5B"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300</w:t>
            </w:r>
          </w:p>
        </w:tc>
        <w:tc>
          <w:tcPr>
            <w:tcW w:w="2160" w:type="dxa"/>
            <w:tcBorders>
              <w:top w:val="single" w:sz="4" w:space="0" w:color="auto"/>
              <w:left w:val="single" w:sz="4" w:space="0" w:color="auto"/>
              <w:bottom w:val="single" w:sz="4" w:space="0" w:color="auto"/>
              <w:right w:val="single" w:sz="4" w:space="0" w:color="auto"/>
            </w:tcBorders>
          </w:tcPr>
          <w:p w14:paraId="4B28DD62"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tcPr>
          <w:p w14:paraId="79C1E4F2" w14:textId="77777777" w:rsidR="00F0420A" w:rsidRDefault="00000000">
            <w:pPr>
              <w:spacing w:line="360" w:lineRule="auto"/>
              <w:jc w:val="both"/>
              <w:rPr>
                <w:rFonts w:ascii="Times New Roman" w:hAnsi="Times New Roman" w:cs="Times New Roman"/>
              </w:rPr>
            </w:pPr>
            <w:r>
              <w:rPr>
                <w:rFonts w:ascii="Times New Roman" w:hAnsi="Times New Roman" w:cs="Times New Roman"/>
              </w:rPr>
              <w:t>300</w:t>
            </w:r>
          </w:p>
        </w:tc>
        <w:tc>
          <w:tcPr>
            <w:tcW w:w="2250" w:type="dxa"/>
            <w:tcBorders>
              <w:top w:val="single" w:sz="4" w:space="0" w:color="auto"/>
              <w:left w:val="single" w:sz="4" w:space="0" w:color="auto"/>
              <w:bottom w:val="single" w:sz="4" w:space="0" w:color="auto"/>
              <w:right w:val="single" w:sz="4" w:space="0" w:color="auto"/>
            </w:tcBorders>
          </w:tcPr>
          <w:p w14:paraId="1E790AC8"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300</w:t>
            </w:r>
          </w:p>
        </w:tc>
      </w:tr>
      <w:tr w:rsidR="00F0420A" w14:paraId="3C0BC17E" w14:textId="77777777">
        <w:trPr>
          <w:trHeight w:val="346"/>
        </w:trPr>
        <w:tc>
          <w:tcPr>
            <w:tcW w:w="1075" w:type="dxa"/>
            <w:tcBorders>
              <w:top w:val="single" w:sz="4" w:space="0" w:color="auto"/>
              <w:left w:val="single" w:sz="4" w:space="0" w:color="auto"/>
              <w:bottom w:val="single" w:sz="4" w:space="0" w:color="auto"/>
              <w:right w:val="single" w:sz="4" w:space="0" w:color="auto"/>
            </w:tcBorders>
          </w:tcPr>
          <w:p w14:paraId="1125E1C4" w14:textId="77777777" w:rsidR="00F0420A" w:rsidRDefault="00000000">
            <w:pPr>
              <w:spacing w:line="360" w:lineRule="auto"/>
              <w:jc w:val="both"/>
              <w:rPr>
                <w:rFonts w:ascii="Times New Roman" w:hAnsi="Times New Roman" w:cs="Times New Roman"/>
              </w:rPr>
            </w:pPr>
            <w:r>
              <w:rPr>
                <w:rFonts w:ascii="Times New Roman" w:hAnsi="Times New Roman" w:cs="Times New Roman"/>
              </w:rPr>
              <w:t>8</w:t>
            </w:r>
          </w:p>
        </w:tc>
        <w:tc>
          <w:tcPr>
            <w:tcW w:w="2340" w:type="dxa"/>
            <w:tcBorders>
              <w:top w:val="single" w:sz="4" w:space="0" w:color="auto"/>
              <w:left w:val="single" w:sz="4" w:space="0" w:color="auto"/>
              <w:bottom w:val="single" w:sz="4" w:space="0" w:color="auto"/>
              <w:right w:val="single" w:sz="4" w:space="0" w:color="auto"/>
            </w:tcBorders>
          </w:tcPr>
          <w:p w14:paraId="7552C9FB"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600</w:t>
            </w:r>
          </w:p>
        </w:tc>
        <w:tc>
          <w:tcPr>
            <w:tcW w:w="2160" w:type="dxa"/>
            <w:tcBorders>
              <w:top w:val="single" w:sz="4" w:space="0" w:color="auto"/>
              <w:left w:val="single" w:sz="4" w:space="0" w:color="auto"/>
              <w:bottom w:val="single" w:sz="4" w:space="0" w:color="auto"/>
              <w:right w:val="single" w:sz="4" w:space="0" w:color="auto"/>
            </w:tcBorders>
          </w:tcPr>
          <w:p w14:paraId="041BA1B7" w14:textId="77777777" w:rsidR="00F0420A" w:rsidRDefault="00000000">
            <w:pPr>
              <w:spacing w:line="360" w:lineRule="auto"/>
              <w:jc w:val="both"/>
              <w:rPr>
                <w:rFonts w:ascii="Times New Roman" w:hAnsi="Times New Roman" w:cs="Times New Roman"/>
                <w:b/>
                <w:bCs/>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tcPr>
          <w:p w14:paraId="3317A2F4" w14:textId="77777777" w:rsidR="00F0420A" w:rsidRDefault="00000000">
            <w:pPr>
              <w:spacing w:line="360" w:lineRule="auto"/>
              <w:jc w:val="both"/>
              <w:rPr>
                <w:rFonts w:ascii="Times New Roman" w:hAnsi="Times New Roman" w:cs="Times New Roman"/>
              </w:rPr>
            </w:pPr>
            <w:r>
              <w:rPr>
                <w:rFonts w:ascii="Times New Roman" w:hAnsi="Times New Roman" w:cs="Times New Roman"/>
              </w:rPr>
              <w:t>600</w:t>
            </w:r>
          </w:p>
        </w:tc>
        <w:tc>
          <w:tcPr>
            <w:tcW w:w="2250" w:type="dxa"/>
            <w:tcBorders>
              <w:top w:val="single" w:sz="4" w:space="0" w:color="auto"/>
              <w:left w:val="single" w:sz="4" w:space="0" w:color="auto"/>
              <w:bottom w:val="single" w:sz="4" w:space="0" w:color="auto"/>
              <w:right w:val="single" w:sz="4" w:space="0" w:color="auto"/>
            </w:tcBorders>
          </w:tcPr>
          <w:p w14:paraId="2CD32A55"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600</w:t>
            </w:r>
          </w:p>
        </w:tc>
      </w:tr>
      <w:tr w:rsidR="00F0420A" w14:paraId="3214D61D" w14:textId="77777777">
        <w:trPr>
          <w:trHeight w:val="252"/>
        </w:trPr>
        <w:tc>
          <w:tcPr>
            <w:tcW w:w="1075" w:type="dxa"/>
            <w:tcBorders>
              <w:top w:val="single" w:sz="4" w:space="0" w:color="auto"/>
              <w:left w:val="single" w:sz="4" w:space="0" w:color="auto"/>
              <w:bottom w:val="single" w:sz="4" w:space="0" w:color="auto"/>
              <w:right w:val="single" w:sz="4" w:space="0" w:color="auto"/>
            </w:tcBorders>
          </w:tcPr>
          <w:p w14:paraId="2A0AC49C" w14:textId="77777777" w:rsidR="00F0420A" w:rsidRDefault="00000000">
            <w:pPr>
              <w:spacing w:line="360" w:lineRule="auto"/>
              <w:jc w:val="both"/>
              <w:rPr>
                <w:rFonts w:ascii="Times New Roman" w:hAnsi="Times New Roman" w:cs="Times New Roman"/>
              </w:rPr>
            </w:pPr>
            <w:r>
              <w:rPr>
                <w:rFonts w:ascii="Times New Roman" w:hAnsi="Times New Roman" w:cs="Times New Roman"/>
              </w:rPr>
              <w:t>9</w:t>
            </w:r>
          </w:p>
        </w:tc>
        <w:tc>
          <w:tcPr>
            <w:tcW w:w="2340" w:type="dxa"/>
            <w:tcBorders>
              <w:top w:val="single" w:sz="4" w:space="0" w:color="auto"/>
              <w:left w:val="single" w:sz="4" w:space="0" w:color="auto"/>
              <w:bottom w:val="single" w:sz="4" w:space="0" w:color="auto"/>
              <w:right w:val="single" w:sz="4" w:space="0" w:color="auto"/>
            </w:tcBorders>
          </w:tcPr>
          <w:p w14:paraId="7A25533C"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900</w:t>
            </w:r>
          </w:p>
        </w:tc>
        <w:tc>
          <w:tcPr>
            <w:tcW w:w="2160" w:type="dxa"/>
            <w:tcBorders>
              <w:top w:val="single" w:sz="4" w:space="0" w:color="auto"/>
              <w:left w:val="single" w:sz="4" w:space="0" w:color="auto"/>
              <w:bottom w:val="single" w:sz="4" w:space="0" w:color="auto"/>
              <w:right w:val="single" w:sz="4" w:space="0" w:color="auto"/>
            </w:tcBorders>
          </w:tcPr>
          <w:p w14:paraId="04F71857" w14:textId="77777777" w:rsidR="00F0420A" w:rsidRDefault="00000000">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tcPr>
          <w:p w14:paraId="166D78AE" w14:textId="77777777" w:rsidR="00F0420A" w:rsidRDefault="00000000">
            <w:pPr>
              <w:spacing w:line="360" w:lineRule="auto"/>
              <w:jc w:val="both"/>
              <w:rPr>
                <w:rFonts w:ascii="Times New Roman" w:hAnsi="Times New Roman" w:cs="Times New Roman"/>
              </w:rPr>
            </w:pPr>
            <w:r>
              <w:rPr>
                <w:rFonts w:ascii="Times New Roman" w:hAnsi="Times New Roman" w:cs="Times New Roman"/>
              </w:rPr>
              <w:t>900</w:t>
            </w:r>
          </w:p>
        </w:tc>
        <w:tc>
          <w:tcPr>
            <w:tcW w:w="2250" w:type="dxa"/>
            <w:tcBorders>
              <w:top w:val="single" w:sz="4" w:space="0" w:color="auto"/>
              <w:left w:val="single" w:sz="4" w:space="0" w:color="auto"/>
              <w:bottom w:val="single" w:sz="4" w:space="0" w:color="auto"/>
              <w:right w:val="single" w:sz="4" w:space="0" w:color="auto"/>
            </w:tcBorders>
          </w:tcPr>
          <w:p w14:paraId="00BB7219" w14:textId="77777777" w:rsidR="00F0420A" w:rsidRDefault="00000000">
            <w:pPr>
              <w:spacing w:line="360" w:lineRule="auto"/>
              <w:jc w:val="both"/>
              <w:rPr>
                <w:rFonts w:ascii="Times New Roman" w:hAnsi="Times New Roman" w:cs="Times New Roman"/>
              </w:rPr>
            </w:pPr>
            <w:r>
              <w:rPr>
                <w:rFonts w:ascii="Times New Roman" w:hAnsi="Times New Roman" w:cs="Times New Roman"/>
              </w:rPr>
              <w:t>SC</w:t>
            </w:r>
            <w:r>
              <w:rPr>
                <w:rFonts w:ascii="Times New Roman" w:hAnsi="Times New Roman" w:cs="Times New Roman"/>
                <w:vertAlign w:val="subscript"/>
              </w:rPr>
              <w:t>900</w:t>
            </w:r>
          </w:p>
        </w:tc>
      </w:tr>
    </w:tbl>
    <w:p w14:paraId="6466F6BE" w14:textId="77777777" w:rsidR="00F0420A" w:rsidRDefault="00000000">
      <w:pPr>
        <w:spacing w:line="360" w:lineRule="auto"/>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Evaluation of Antihyperlipidemic Activity</w:t>
      </w:r>
    </w:p>
    <w:p w14:paraId="5D14C50E" w14:textId="77777777" w:rsidR="00F0420A" w:rsidRDefault="00F0420A">
      <w:pPr>
        <w:spacing w:line="360" w:lineRule="auto"/>
        <w:jc w:val="both"/>
        <w:rPr>
          <w:rFonts w:ascii="Times New Roman" w:hAnsi="Times New Roman" w:cs="Times New Roman"/>
        </w:rPr>
      </w:pPr>
    </w:p>
    <w:p w14:paraId="00D88D25" w14:textId="77777777" w:rsidR="00F0420A" w:rsidRDefault="00F0420A">
      <w:pPr>
        <w:spacing w:line="360" w:lineRule="auto"/>
        <w:jc w:val="both"/>
        <w:rPr>
          <w:rFonts w:ascii="Times New Roman" w:hAnsi="Times New Roman" w:cs="Times New Roman"/>
        </w:rPr>
      </w:pPr>
    </w:p>
    <w:p w14:paraId="0EAB7CDE" w14:textId="77777777" w:rsidR="00F0420A" w:rsidRDefault="00F0420A">
      <w:pPr>
        <w:spacing w:line="360" w:lineRule="auto"/>
        <w:jc w:val="both"/>
        <w:rPr>
          <w:rFonts w:ascii="Times New Roman" w:hAnsi="Times New Roman" w:cs="Times New Roman"/>
        </w:rPr>
      </w:pPr>
    </w:p>
    <w:p w14:paraId="63E1FB82" w14:textId="77777777" w:rsidR="00F0420A" w:rsidRDefault="00F0420A">
      <w:pPr>
        <w:spacing w:line="360" w:lineRule="auto"/>
        <w:jc w:val="both"/>
        <w:rPr>
          <w:rFonts w:ascii="Times New Roman" w:hAnsi="Times New Roman" w:cs="Times New Roman"/>
          <w:b/>
          <w:bCs/>
        </w:rPr>
      </w:pPr>
    </w:p>
    <w:p w14:paraId="6F7A8BAB" w14:textId="77777777" w:rsidR="00F0420A" w:rsidRDefault="00000000">
      <w:pPr>
        <w:spacing w:line="360" w:lineRule="auto"/>
        <w:jc w:val="both"/>
        <w:rPr>
          <w:rFonts w:ascii="Times New Roman" w:hAnsi="Times New Roman" w:cs="Times New Roman"/>
          <w:b/>
          <w:bCs/>
        </w:rPr>
      </w:pPr>
      <w:r>
        <w:rPr>
          <w:rFonts w:ascii="Times New Roman" w:hAnsi="Times New Roman" w:cs="Times New Roman"/>
          <w:b/>
          <w:bCs/>
        </w:rPr>
        <w:t xml:space="preserve">Statistical Analysis </w:t>
      </w:r>
    </w:p>
    <w:p w14:paraId="4B4D14C2" w14:textId="77777777" w:rsidR="00F0420A" w:rsidRDefault="00000000">
      <w:pPr>
        <w:spacing w:line="360" w:lineRule="auto"/>
        <w:jc w:val="both"/>
        <w:rPr>
          <w:rFonts w:ascii="Times New Roman" w:hAnsi="Times New Roman" w:cs="Times New Roman"/>
        </w:rPr>
      </w:pPr>
      <w:r>
        <w:rPr>
          <w:rFonts w:ascii="Times New Roman" w:hAnsi="Times New Roman" w:cs="Times New Roman"/>
        </w:rPr>
        <w:t xml:space="preserve">The MS Excel application was used to record and </w:t>
      </w:r>
      <w:proofErr w:type="spellStart"/>
      <w:r>
        <w:rPr>
          <w:rFonts w:ascii="Times New Roman" w:hAnsi="Times New Roman" w:cs="Times New Roman"/>
        </w:rPr>
        <w:t>analyse</w:t>
      </w:r>
      <w:proofErr w:type="spellEnd"/>
      <w:r>
        <w:rPr>
          <w:rFonts w:ascii="Times New Roman" w:hAnsi="Times New Roman" w:cs="Times New Roman"/>
        </w:rPr>
        <w:t xml:space="preserve"> the raw data on a broadsheet. The mean and standard deviation (SD) of the descriptive statistical analysis of the gathered data were presented. We examined the inter-group heterogeneity with regard to a number of biological characteristics using the SPSS-6 program's "one-way Anova test" option in order to determine statistical significance. The 'p' value is less than 0.05 (p&lt;0.5), indicating that the occurrences are statistically significant </w:t>
      </w:r>
      <w:r>
        <w:rPr>
          <w:rFonts w:ascii="Times New Roman" w:hAnsi="Times New Roman" w:cs="Times New Roman"/>
        </w:rPr>
        <w:fldChar w:fldCharType="begin"/>
      </w:r>
      <w:r>
        <w:rPr>
          <w:rFonts w:ascii="Times New Roman" w:hAnsi="Times New Roman" w:cs="Times New Roman"/>
        </w:rPr>
        <w:instrText xml:space="preserve"> ADDIN ZOTERO_ITEM CSL_CITATION {"citationID":"4R0e2YRh","properties":{"formattedCitation":"(3)","plainCitation":"(3)","noteIndex":0},"citationItems":[{"id":2324,"uris":["http://zotero.org/users/local/zvQEVGC3/items/BKPILYT2"],"itemData":{"id":2324,"type":"article-journal","container-title":"Journal of Complementary and Alternative Medical Research","DOI":"10.9734/jocamr/2025/v26i1618","ISSN":"2456-6276","issue":"1","language":"en","page":"115-123","source":"journaljocamr.com","title":"Investigating the Anti-diabetic and Lipid-regulating Properties of Eclipta alba in Alloxan-induced Diabetes","volume":"26","author":[{"family":"Shohan","given":"FM Sharifuzzaman"},{"family":"Dey","given":"Susmoy"},{"family":"Pranto","given":"Tasin Islam"},{"family":"Ullah","given":"Md Rahmat"},{"family":"Tasnim","given":"Sadia"},{"family":"Baroi","given":"Juliana Aditi"},{"family":"Rasna","given":"Israt Jahan"}],"issued":{"date-parts":[["2025",1,15]]}}}],"schema":"https://github.com/citation-style-language/schema/raw/master/csl-citation.json"}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w:t>
      </w:r>
    </w:p>
    <w:p w14:paraId="67223735" w14:textId="77777777" w:rsidR="00F0420A" w:rsidRDefault="00F0420A"/>
    <w:p w14:paraId="26ACD934" w14:textId="77777777" w:rsidR="00F0420A" w:rsidRDefault="00000000">
      <w:pPr>
        <w:spacing w:line="276" w:lineRule="auto"/>
        <w:jc w:val="both"/>
        <w:rPr>
          <w:rFonts w:ascii="Times New Roman" w:hAnsi="Times New Roman" w:cs="Times New Roman"/>
          <w:b/>
          <w:sz w:val="32"/>
          <w:szCs w:val="32"/>
        </w:rPr>
      </w:pPr>
      <w:r>
        <w:rPr>
          <w:rFonts w:ascii="Times New Roman" w:hAnsi="Times New Roman" w:cs="Times New Roman"/>
          <w:b/>
          <w:sz w:val="32"/>
          <w:szCs w:val="32"/>
        </w:rPr>
        <w:t xml:space="preserve">Results &amp; Discussion: </w:t>
      </w:r>
    </w:p>
    <w:p w14:paraId="50155769" w14:textId="77777777" w:rsidR="00F0420A"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Since the dawn of human civilization, traditional medicine and ethnomedicine—studies of traditional healing practices among several ethnic groups—have existed. Natural resources have long been employed for therapeutic purposes in traditional medicine. In the past, the primary ingredients of the initial medications utilized in conventional medical practices across several nations and civilizations were herbs and plant extracts. Whether in the form of isolated active ingredients or traditional extracts, plants and herbs have been essential sources of medications throughout history. The effect of an extract from </w:t>
      </w:r>
      <w:proofErr w:type="spellStart"/>
      <w:r>
        <w:rPr>
          <w:rFonts w:ascii="Times New Roman" w:eastAsia="Times New Roman" w:hAnsi="Times New Roman" w:cs="Times New Roman"/>
          <w:i/>
          <w:sz w:val="24"/>
          <w:szCs w:val="24"/>
        </w:rPr>
        <w:t>Sida</w:t>
      </w:r>
      <w:proofErr w:type="spellEnd"/>
      <w:r>
        <w:rPr>
          <w:rFonts w:ascii="Times New Roman" w:eastAsia="Times New Roman" w:hAnsi="Times New Roman" w:cs="Times New Roman"/>
          <w:i/>
          <w:sz w:val="24"/>
          <w:szCs w:val="24"/>
        </w:rPr>
        <w:t xml:space="preserve"> cordifolia</w:t>
      </w:r>
      <w:r>
        <w:rPr>
          <w:rFonts w:ascii="Times New Roman" w:eastAsia="Times New Roman" w:hAnsi="Times New Roman" w:cs="Times New Roman"/>
          <w:sz w:val="24"/>
          <w:szCs w:val="24"/>
        </w:rPr>
        <w:t xml:space="preserve"> on the lipid profiles of rats with hyperlipidemia brought on by a high-fat diet was examined in this </w:t>
      </w:r>
      <w:proofErr w:type="spellStart"/>
      <w:r>
        <w:rPr>
          <w:rFonts w:ascii="Times New Roman" w:eastAsia="Times New Roman" w:hAnsi="Times New Roman" w:cs="Times New Roman"/>
          <w:sz w:val="24"/>
          <w:szCs w:val="24"/>
        </w:rPr>
        <w:t>studynad</w:t>
      </w:r>
      <w:proofErr w:type="spellEnd"/>
      <w:r>
        <w:rPr>
          <w:rFonts w:ascii="Times New Roman" w:eastAsia="Times New Roman" w:hAnsi="Times New Roman" w:cs="Times New Roman"/>
          <w:sz w:val="24"/>
          <w:szCs w:val="24"/>
        </w:rPr>
        <w:t xml:space="preserve"> displayed in Table 4.</w:t>
      </w:r>
    </w:p>
    <w:p w14:paraId="5DC747D6" w14:textId="77777777" w:rsidR="00F0420A"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SGPT levels are declining in a dose dependent manner. In the case of the liver function test, the SGPT values produced statistically significant (p&lt;0.05) result at higher dose of the plant extract and at medium and low dose SGPT level has diminished at non-significant manner. That means, this plant shows activity to control SGPT level and to modify liver functioning tests. So, the plant </w:t>
      </w:r>
      <w:proofErr w:type="spellStart"/>
      <w:r>
        <w:rPr>
          <w:rFonts w:ascii="Times New Roman" w:eastAsia="Times New Roman" w:hAnsi="Times New Roman" w:cs="Times New Roman"/>
          <w:i/>
          <w:sz w:val="24"/>
          <w:szCs w:val="24"/>
        </w:rPr>
        <w:t>Sida</w:t>
      </w:r>
      <w:proofErr w:type="spellEnd"/>
      <w:r>
        <w:rPr>
          <w:rFonts w:ascii="Times New Roman" w:eastAsia="Times New Roman" w:hAnsi="Times New Roman" w:cs="Times New Roman"/>
          <w:i/>
          <w:sz w:val="24"/>
          <w:szCs w:val="24"/>
        </w:rPr>
        <w:t xml:space="preserve"> cordifolia </w:t>
      </w:r>
      <w:r>
        <w:rPr>
          <w:rFonts w:ascii="Times New Roman" w:eastAsia="Times New Roman" w:hAnsi="Times New Roman" w:cs="Times New Roman"/>
          <w:sz w:val="24"/>
          <w:szCs w:val="24"/>
        </w:rPr>
        <w:t xml:space="preserve">shows hepatoprotective and soothing effect to the liver. The SGOT values did not produced statistically significant (p&lt;0.05) results but the level is declining in a dose-dependent manner. The same results were obtained in two further studies. However, the measurement of the creatinine levels showed statistically significant results (p&lt; 0.05) in groups 5 and 6, where the dose of high fat and extract provided was 600 and 900 mg/kg medium and high dose respectively.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creatinine level is also declining at dose-dependent manner, i</w:t>
      </w:r>
      <w:r>
        <w:rPr>
          <w:rFonts w:ascii="Times New Roman" w:hAnsi="Times New Roman" w:cs="Times New Roman"/>
          <w:color w:val="000000"/>
          <w:sz w:val="24"/>
          <w:szCs w:val="24"/>
        </w:rPr>
        <w:t xml:space="preserve">t shows that </w:t>
      </w:r>
      <w:r>
        <w:rPr>
          <w:rFonts w:ascii="Times New Roman" w:eastAsia="Times New Roman" w:hAnsi="Times New Roman" w:cs="Times New Roman"/>
          <w:sz w:val="24"/>
          <w:szCs w:val="24"/>
        </w:rPr>
        <w:t xml:space="preserve">this plant has great </w:t>
      </w:r>
      <w:proofErr w:type="spellStart"/>
      <w:r>
        <w:rPr>
          <w:rFonts w:ascii="Times New Roman" w:eastAsia="Times New Roman" w:hAnsi="Times New Roman" w:cs="Times New Roman"/>
          <w:sz w:val="24"/>
          <w:szCs w:val="24"/>
        </w:rPr>
        <w:t>renoprotective</w:t>
      </w:r>
      <w:proofErr w:type="spellEnd"/>
      <w:r>
        <w:rPr>
          <w:rFonts w:ascii="Times New Roman" w:eastAsia="Times New Roman" w:hAnsi="Times New Roman" w:cs="Times New Roman"/>
          <w:sz w:val="24"/>
          <w:szCs w:val="24"/>
        </w:rPr>
        <w:t xml:space="preserve"> activity. According to the renal function test, there was significant statistical difference </w:t>
      </w:r>
      <w:r>
        <w:rPr>
          <w:rFonts w:ascii="Times New Roman" w:hAnsi="Times New Roman" w:cs="Times New Roman"/>
          <w:color w:val="000000"/>
          <w:sz w:val="24"/>
          <w:szCs w:val="24"/>
        </w:rPr>
        <w:t>(p&lt;0.05)</w:t>
      </w:r>
      <w:r>
        <w:rPr>
          <w:rFonts w:ascii="Times New Roman" w:eastAsia="Times New Roman" w:hAnsi="Times New Roman" w:cs="Times New Roman"/>
          <w:sz w:val="24"/>
          <w:szCs w:val="24"/>
        </w:rPr>
        <w:t xml:space="preserve"> in the urea levels at the higher dose which was 900mg/kg. According to the data of lipid profile, total cholesterol level and triglyceride level is significantly declining at high dose. There is no </w:t>
      </w:r>
      <w:proofErr w:type="spellStart"/>
      <w:r>
        <w:rPr>
          <w:rFonts w:ascii="Times New Roman" w:eastAsia="Times New Roman" w:hAnsi="Times New Roman" w:cs="Times New Roman"/>
          <w:sz w:val="24"/>
          <w:szCs w:val="24"/>
        </w:rPr>
        <w:t>signicant</w:t>
      </w:r>
      <w:proofErr w:type="spellEnd"/>
      <w:r>
        <w:rPr>
          <w:rFonts w:ascii="Times New Roman" w:eastAsia="Times New Roman" w:hAnsi="Times New Roman" w:cs="Times New Roman"/>
          <w:sz w:val="24"/>
          <w:szCs w:val="24"/>
        </w:rPr>
        <w:t xml:space="preserve"> difference in LDL and HDL level for any provided dose. But still both LDL and HDL is declining at dose-dependent manner.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can be assumed that, either there is no constituent available to cure hyperlipidemic condition and to restore abnormal lipid level, or there is insufficient amount of the constituent </w:t>
      </w:r>
      <w:proofErr w:type="spellStart"/>
      <w:r>
        <w:rPr>
          <w:rFonts w:ascii="Times New Roman" w:eastAsia="Times New Roman" w:hAnsi="Times New Roman" w:cs="Times New Roman"/>
          <w:sz w:val="24"/>
          <w:szCs w:val="24"/>
        </w:rPr>
        <w:t>availavle</w:t>
      </w:r>
      <w:proofErr w:type="spellEnd"/>
      <w:r>
        <w:rPr>
          <w:rFonts w:ascii="Times New Roman" w:eastAsia="Times New Roman" w:hAnsi="Times New Roman" w:cs="Times New Roman"/>
          <w:sz w:val="24"/>
          <w:szCs w:val="24"/>
        </w:rPr>
        <w:t xml:space="preserve"> only. As the lipid level is declining so it resembles the presence of anti-hyperlipidemic constituent but the amount is not available in sufficient conc.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analyzing all the parameters SGPT, SGOT, urea, creatinine at declining rate ensures the presence of </w:t>
      </w:r>
      <w:proofErr w:type="spellStart"/>
      <w:r>
        <w:rPr>
          <w:rFonts w:ascii="Times New Roman" w:eastAsia="Times New Roman" w:hAnsi="Times New Roman" w:cs="Times New Roman"/>
          <w:sz w:val="24"/>
          <w:szCs w:val="24"/>
        </w:rPr>
        <w:t>renoprotective</w:t>
      </w:r>
      <w:proofErr w:type="spellEnd"/>
      <w:r>
        <w:rPr>
          <w:rFonts w:ascii="Times New Roman" w:eastAsia="Times New Roman" w:hAnsi="Times New Roman" w:cs="Times New Roman"/>
          <w:sz w:val="24"/>
          <w:szCs w:val="24"/>
        </w:rPr>
        <w:t xml:space="preserve"> constituent.</w:t>
      </w:r>
    </w:p>
    <w:p w14:paraId="411BBDC6" w14:textId="77777777" w:rsidR="00F0420A" w:rsidRDefault="00000000">
      <w:pPr>
        <w:pStyle w:val="NormalWeb"/>
        <w:spacing w:before="0" w:beforeAutospacing="0" w:after="160" w:afterAutospacing="0"/>
        <w:jc w:val="both"/>
        <w:rPr>
          <w:color w:val="000000"/>
        </w:rPr>
      </w:pPr>
      <w:r>
        <w:rPr>
          <w:b/>
          <w:bCs/>
          <w:color w:val="000000"/>
        </w:rPr>
        <w:t xml:space="preserve">Table </w:t>
      </w:r>
      <w:proofErr w:type="gramStart"/>
      <w:r>
        <w:rPr>
          <w:b/>
          <w:bCs/>
          <w:color w:val="000000"/>
        </w:rPr>
        <w:t>4 :</w:t>
      </w:r>
      <w:proofErr w:type="gramEnd"/>
      <w:r>
        <w:rPr>
          <w:color w:val="000000"/>
        </w:rPr>
        <w:t xml:space="preserve"> Value different blood parameter of Rodents belonged to different groups</w:t>
      </w:r>
    </w:p>
    <w:tbl>
      <w:tblPr>
        <w:tblStyle w:val="TableGrid"/>
        <w:tblW w:w="10304" w:type="dxa"/>
        <w:tblLook w:val="04A0" w:firstRow="1" w:lastRow="0" w:firstColumn="1" w:lastColumn="0" w:noHBand="0" w:noVBand="1"/>
      </w:tblPr>
      <w:tblGrid>
        <w:gridCol w:w="1248"/>
        <w:gridCol w:w="1052"/>
        <w:gridCol w:w="1106"/>
        <w:gridCol w:w="1539"/>
        <w:gridCol w:w="1087"/>
        <w:gridCol w:w="1112"/>
        <w:gridCol w:w="1096"/>
        <w:gridCol w:w="1112"/>
        <w:gridCol w:w="952"/>
      </w:tblGrid>
      <w:tr w:rsidR="00F0420A" w14:paraId="4D13F7AF" w14:textId="77777777">
        <w:tc>
          <w:tcPr>
            <w:tcW w:w="1248" w:type="dxa"/>
            <w:tcBorders>
              <w:bottom w:val="single" w:sz="4" w:space="0" w:color="auto"/>
            </w:tcBorders>
          </w:tcPr>
          <w:p w14:paraId="604C3762"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Groups</w:t>
            </w:r>
          </w:p>
        </w:tc>
        <w:tc>
          <w:tcPr>
            <w:tcW w:w="1052" w:type="dxa"/>
            <w:tcBorders>
              <w:bottom w:val="single" w:sz="4" w:space="0" w:color="auto"/>
            </w:tcBorders>
          </w:tcPr>
          <w:p w14:paraId="66F59E5D"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SGPT</w:t>
            </w:r>
          </w:p>
        </w:tc>
        <w:tc>
          <w:tcPr>
            <w:tcW w:w="1106" w:type="dxa"/>
            <w:tcBorders>
              <w:bottom w:val="single" w:sz="4" w:space="0" w:color="auto"/>
            </w:tcBorders>
          </w:tcPr>
          <w:p w14:paraId="77C947F9"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SGOT</w:t>
            </w:r>
          </w:p>
        </w:tc>
        <w:tc>
          <w:tcPr>
            <w:tcW w:w="1539" w:type="dxa"/>
            <w:tcBorders>
              <w:bottom w:val="single" w:sz="4" w:space="0" w:color="auto"/>
            </w:tcBorders>
          </w:tcPr>
          <w:p w14:paraId="7FDB14C3"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Creatinine</w:t>
            </w:r>
          </w:p>
        </w:tc>
        <w:tc>
          <w:tcPr>
            <w:tcW w:w="1087" w:type="dxa"/>
            <w:tcBorders>
              <w:bottom w:val="single" w:sz="4" w:space="0" w:color="auto"/>
            </w:tcBorders>
          </w:tcPr>
          <w:p w14:paraId="12B8800B"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Urea</w:t>
            </w:r>
          </w:p>
        </w:tc>
        <w:tc>
          <w:tcPr>
            <w:tcW w:w="1112" w:type="dxa"/>
            <w:tcBorders>
              <w:bottom w:val="single" w:sz="4" w:space="0" w:color="auto"/>
              <w:right w:val="single" w:sz="4" w:space="0" w:color="auto"/>
            </w:tcBorders>
          </w:tcPr>
          <w:p w14:paraId="4B14DB92"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TC</w:t>
            </w:r>
          </w:p>
        </w:tc>
        <w:tc>
          <w:tcPr>
            <w:tcW w:w="1096" w:type="dxa"/>
            <w:tcBorders>
              <w:top w:val="single" w:sz="4" w:space="0" w:color="auto"/>
              <w:left w:val="single" w:sz="4" w:space="0" w:color="auto"/>
              <w:bottom w:val="single" w:sz="4" w:space="0" w:color="auto"/>
              <w:right w:val="single" w:sz="4" w:space="0" w:color="auto"/>
            </w:tcBorders>
          </w:tcPr>
          <w:p w14:paraId="7A384501"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TG</w:t>
            </w:r>
          </w:p>
        </w:tc>
        <w:tc>
          <w:tcPr>
            <w:tcW w:w="1112" w:type="dxa"/>
            <w:tcBorders>
              <w:top w:val="single" w:sz="4" w:space="0" w:color="auto"/>
              <w:left w:val="single" w:sz="4" w:space="0" w:color="auto"/>
              <w:bottom w:val="single" w:sz="4" w:space="0" w:color="auto"/>
              <w:right w:val="single" w:sz="4" w:space="0" w:color="auto"/>
            </w:tcBorders>
          </w:tcPr>
          <w:p w14:paraId="5BBC36D1"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LDL</w:t>
            </w:r>
          </w:p>
        </w:tc>
        <w:tc>
          <w:tcPr>
            <w:tcW w:w="952" w:type="dxa"/>
            <w:tcBorders>
              <w:left w:val="single" w:sz="4" w:space="0" w:color="auto"/>
              <w:bottom w:val="single" w:sz="4" w:space="0" w:color="auto"/>
            </w:tcBorders>
          </w:tcPr>
          <w:p w14:paraId="5E8FC8B7" w14:textId="77777777" w:rsidR="00F0420A" w:rsidRDefault="00000000">
            <w:pPr>
              <w:ind w:firstLine="0"/>
              <w:rPr>
                <w:rFonts w:ascii="Times New Roman" w:hAnsi="Times New Roman" w:cs="Times New Roman"/>
                <w:b/>
                <w:sz w:val="24"/>
                <w:szCs w:val="24"/>
              </w:rPr>
            </w:pPr>
            <w:r>
              <w:rPr>
                <w:rFonts w:ascii="Times New Roman" w:hAnsi="Times New Roman" w:cs="Times New Roman"/>
                <w:b/>
                <w:sz w:val="24"/>
                <w:szCs w:val="24"/>
              </w:rPr>
              <w:t>HDL</w:t>
            </w:r>
          </w:p>
        </w:tc>
      </w:tr>
      <w:tr w:rsidR="00F0420A" w14:paraId="2B35CC29" w14:textId="77777777">
        <w:trPr>
          <w:trHeight w:val="998"/>
        </w:trPr>
        <w:tc>
          <w:tcPr>
            <w:tcW w:w="1248" w:type="dxa"/>
            <w:tcBorders>
              <w:top w:val="single" w:sz="4" w:space="0" w:color="auto"/>
              <w:left w:val="single" w:sz="4" w:space="0" w:color="auto"/>
              <w:bottom w:val="single" w:sz="4" w:space="0" w:color="auto"/>
              <w:right w:val="single" w:sz="4" w:space="0" w:color="auto"/>
            </w:tcBorders>
          </w:tcPr>
          <w:p w14:paraId="1211E14C"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N</w:t>
            </w:r>
          </w:p>
        </w:tc>
        <w:tc>
          <w:tcPr>
            <w:tcW w:w="1052" w:type="dxa"/>
            <w:tcBorders>
              <w:top w:val="single" w:sz="4" w:space="0" w:color="auto"/>
              <w:left w:val="single" w:sz="4" w:space="0" w:color="auto"/>
              <w:bottom w:val="single" w:sz="4" w:space="0" w:color="auto"/>
              <w:right w:val="single" w:sz="4" w:space="0" w:color="auto"/>
            </w:tcBorders>
          </w:tcPr>
          <w:p w14:paraId="52FCE997"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27.24</w:t>
            </w:r>
          </w:p>
          <w:p w14:paraId="4B9A1C8C"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±3.16</w:t>
            </w:r>
          </w:p>
        </w:tc>
        <w:tc>
          <w:tcPr>
            <w:tcW w:w="1106" w:type="dxa"/>
            <w:tcBorders>
              <w:top w:val="single" w:sz="4" w:space="0" w:color="auto"/>
              <w:left w:val="single" w:sz="4" w:space="0" w:color="auto"/>
              <w:bottom w:val="single" w:sz="4" w:space="0" w:color="auto"/>
              <w:right w:val="single" w:sz="4" w:space="0" w:color="auto"/>
            </w:tcBorders>
          </w:tcPr>
          <w:p w14:paraId="724606C4"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38.99</w:t>
            </w:r>
          </w:p>
          <w:p w14:paraId="037E7A3A"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±2.70</w:t>
            </w:r>
          </w:p>
        </w:tc>
        <w:tc>
          <w:tcPr>
            <w:tcW w:w="1539" w:type="dxa"/>
            <w:tcBorders>
              <w:top w:val="single" w:sz="4" w:space="0" w:color="auto"/>
              <w:left w:val="single" w:sz="4" w:space="0" w:color="auto"/>
              <w:bottom w:val="single" w:sz="4" w:space="0" w:color="auto"/>
              <w:right w:val="single" w:sz="4" w:space="0" w:color="auto"/>
            </w:tcBorders>
          </w:tcPr>
          <w:p w14:paraId="2623C1A3"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0.63</w:t>
            </w:r>
          </w:p>
          <w:p w14:paraId="44C8576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±6.118</w:t>
            </w:r>
          </w:p>
        </w:tc>
        <w:tc>
          <w:tcPr>
            <w:tcW w:w="1087" w:type="dxa"/>
            <w:tcBorders>
              <w:top w:val="single" w:sz="4" w:space="0" w:color="auto"/>
              <w:left w:val="single" w:sz="4" w:space="0" w:color="auto"/>
              <w:bottom w:val="single" w:sz="4" w:space="0" w:color="auto"/>
              <w:right w:val="single" w:sz="4" w:space="0" w:color="auto"/>
            </w:tcBorders>
          </w:tcPr>
          <w:p w14:paraId="54CD749D"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35.21</w:t>
            </w:r>
          </w:p>
          <w:p w14:paraId="68FF8A5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±1.91</w:t>
            </w:r>
          </w:p>
        </w:tc>
        <w:tc>
          <w:tcPr>
            <w:tcW w:w="1112" w:type="dxa"/>
            <w:tcBorders>
              <w:top w:val="single" w:sz="4" w:space="0" w:color="auto"/>
              <w:left w:val="single" w:sz="4" w:space="0" w:color="auto"/>
              <w:bottom w:val="single" w:sz="4" w:space="0" w:color="auto"/>
              <w:right w:val="single" w:sz="4" w:space="0" w:color="auto"/>
            </w:tcBorders>
          </w:tcPr>
          <w:p w14:paraId="2E6B2D9C"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123.99</w:t>
            </w:r>
          </w:p>
          <w:p w14:paraId="60C172C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±7.25</w:t>
            </w:r>
          </w:p>
        </w:tc>
        <w:tc>
          <w:tcPr>
            <w:tcW w:w="1096" w:type="dxa"/>
            <w:tcBorders>
              <w:top w:val="single" w:sz="4" w:space="0" w:color="auto"/>
              <w:left w:val="single" w:sz="4" w:space="0" w:color="auto"/>
              <w:bottom w:val="single" w:sz="4" w:space="0" w:color="auto"/>
              <w:right w:val="single" w:sz="4" w:space="0" w:color="auto"/>
            </w:tcBorders>
          </w:tcPr>
          <w:p w14:paraId="785CB2C6"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42.77</w:t>
            </w:r>
          </w:p>
          <w:p w14:paraId="17435383"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±4.70</w:t>
            </w:r>
          </w:p>
        </w:tc>
        <w:tc>
          <w:tcPr>
            <w:tcW w:w="1112" w:type="dxa"/>
            <w:tcBorders>
              <w:top w:val="single" w:sz="4" w:space="0" w:color="auto"/>
              <w:left w:val="single" w:sz="4" w:space="0" w:color="auto"/>
              <w:bottom w:val="single" w:sz="4" w:space="0" w:color="auto"/>
              <w:right w:val="single" w:sz="4" w:space="0" w:color="auto"/>
            </w:tcBorders>
          </w:tcPr>
          <w:p w14:paraId="0CE78C8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39.08</w:t>
            </w:r>
          </w:p>
          <w:p w14:paraId="2A07CD66"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±3.07</w:t>
            </w:r>
          </w:p>
        </w:tc>
        <w:tc>
          <w:tcPr>
            <w:tcW w:w="952" w:type="dxa"/>
            <w:tcBorders>
              <w:top w:val="single" w:sz="4" w:space="0" w:color="auto"/>
              <w:left w:val="single" w:sz="4" w:space="0" w:color="auto"/>
              <w:bottom w:val="single" w:sz="4" w:space="0" w:color="auto"/>
              <w:right w:val="single" w:sz="4" w:space="0" w:color="auto"/>
            </w:tcBorders>
          </w:tcPr>
          <w:p w14:paraId="085F832C"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83.77</w:t>
            </w:r>
          </w:p>
          <w:p w14:paraId="5337DC8A"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±7.53</w:t>
            </w:r>
          </w:p>
          <w:p w14:paraId="211484C2" w14:textId="77777777" w:rsidR="00F0420A" w:rsidRDefault="00F0420A">
            <w:pPr>
              <w:ind w:firstLine="0"/>
              <w:jc w:val="center"/>
              <w:rPr>
                <w:rFonts w:ascii="Times New Roman" w:hAnsi="Times New Roman" w:cs="Times New Roman"/>
                <w:b/>
                <w:sz w:val="24"/>
                <w:szCs w:val="24"/>
              </w:rPr>
            </w:pPr>
          </w:p>
        </w:tc>
      </w:tr>
      <w:tr w:rsidR="00F0420A" w14:paraId="23B49E94" w14:textId="77777777">
        <w:tc>
          <w:tcPr>
            <w:tcW w:w="1248" w:type="dxa"/>
            <w:tcBorders>
              <w:top w:val="single" w:sz="4" w:space="0" w:color="auto"/>
              <w:left w:val="single" w:sz="4" w:space="0" w:color="auto"/>
              <w:bottom w:val="single" w:sz="4" w:space="0" w:color="auto"/>
              <w:right w:val="single" w:sz="4" w:space="0" w:color="auto"/>
            </w:tcBorders>
          </w:tcPr>
          <w:p w14:paraId="49E617E3"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HF</w:t>
            </w:r>
          </w:p>
        </w:tc>
        <w:tc>
          <w:tcPr>
            <w:tcW w:w="1052" w:type="dxa"/>
            <w:tcBorders>
              <w:top w:val="single" w:sz="4" w:space="0" w:color="auto"/>
              <w:left w:val="single" w:sz="4" w:space="0" w:color="auto"/>
              <w:bottom w:val="single" w:sz="4" w:space="0" w:color="auto"/>
              <w:right w:val="single" w:sz="4" w:space="0" w:color="auto"/>
            </w:tcBorders>
          </w:tcPr>
          <w:p w14:paraId="1B2F34E3"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84.90</w:t>
            </w:r>
          </w:p>
          <w:p w14:paraId="7D0C9EA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±8.20</w:t>
            </w:r>
          </w:p>
        </w:tc>
        <w:tc>
          <w:tcPr>
            <w:tcW w:w="1106" w:type="dxa"/>
            <w:tcBorders>
              <w:top w:val="single" w:sz="4" w:space="0" w:color="auto"/>
              <w:left w:val="single" w:sz="4" w:space="0" w:color="auto"/>
              <w:bottom w:val="single" w:sz="4" w:space="0" w:color="auto"/>
              <w:right w:val="single" w:sz="4" w:space="0" w:color="auto"/>
            </w:tcBorders>
          </w:tcPr>
          <w:p w14:paraId="682EB991"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97.18</w:t>
            </w:r>
          </w:p>
          <w:p w14:paraId="6391CE4F"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±9.08</w:t>
            </w:r>
          </w:p>
        </w:tc>
        <w:tc>
          <w:tcPr>
            <w:tcW w:w="1539" w:type="dxa"/>
            <w:tcBorders>
              <w:top w:val="single" w:sz="4" w:space="0" w:color="auto"/>
              <w:left w:val="single" w:sz="4" w:space="0" w:color="auto"/>
              <w:bottom w:val="single" w:sz="4" w:space="0" w:color="auto"/>
              <w:right w:val="single" w:sz="4" w:space="0" w:color="auto"/>
            </w:tcBorders>
          </w:tcPr>
          <w:p w14:paraId="6BA4965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2.94</w:t>
            </w:r>
          </w:p>
          <w:p w14:paraId="2428B28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±0.618</w:t>
            </w:r>
          </w:p>
        </w:tc>
        <w:tc>
          <w:tcPr>
            <w:tcW w:w="1087" w:type="dxa"/>
            <w:tcBorders>
              <w:top w:val="single" w:sz="4" w:space="0" w:color="auto"/>
              <w:left w:val="single" w:sz="4" w:space="0" w:color="auto"/>
              <w:bottom w:val="single" w:sz="4" w:space="0" w:color="auto"/>
              <w:right w:val="single" w:sz="4" w:space="0" w:color="auto"/>
            </w:tcBorders>
          </w:tcPr>
          <w:p w14:paraId="4855583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94.52</w:t>
            </w:r>
          </w:p>
          <w:p w14:paraId="0D26A6F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±8.56</w:t>
            </w:r>
          </w:p>
        </w:tc>
        <w:tc>
          <w:tcPr>
            <w:tcW w:w="1112" w:type="dxa"/>
            <w:tcBorders>
              <w:top w:val="single" w:sz="4" w:space="0" w:color="auto"/>
              <w:left w:val="single" w:sz="4" w:space="0" w:color="auto"/>
              <w:bottom w:val="single" w:sz="4" w:space="0" w:color="auto"/>
              <w:right w:val="single" w:sz="4" w:space="0" w:color="auto"/>
            </w:tcBorders>
          </w:tcPr>
          <w:p w14:paraId="1EDF981D"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232.46</w:t>
            </w:r>
          </w:p>
          <w:p w14:paraId="02DB503A"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±11.26</w:t>
            </w:r>
          </w:p>
        </w:tc>
        <w:tc>
          <w:tcPr>
            <w:tcW w:w="1096" w:type="dxa"/>
            <w:tcBorders>
              <w:top w:val="single" w:sz="4" w:space="0" w:color="auto"/>
              <w:left w:val="single" w:sz="4" w:space="0" w:color="auto"/>
              <w:bottom w:val="single" w:sz="4" w:space="0" w:color="auto"/>
              <w:right w:val="single" w:sz="4" w:space="0" w:color="auto"/>
            </w:tcBorders>
          </w:tcPr>
          <w:p w14:paraId="32A183AF"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125.90</w:t>
            </w:r>
          </w:p>
          <w:p w14:paraId="79459668"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±7.18</w:t>
            </w:r>
          </w:p>
        </w:tc>
        <w:tc>
          <w:tcPr>
            <w:tcW w:w="1112" w:type="dxa"/>
            <w:tcBorders>
              <w:top w:val="single" w:sz="4" w:space="0" w:color="auto"/>
              <w:left w:val="single" w:sz="4" w:space="0" w:color="auto"/>
              <w:bottom w:val="single" w:sz="4" w:space="0" w:color="auto"/>
              <w:right w:val="single" w:sz="4" w:space="0" w:color="auto"/>
            </w:tcBorders>
          </w:tcPr>
          <w:p w14:paraId="7DA80FB6"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149.50</w:t>
            </w:r>
          </w:p>
          <w:p w14:paraId="336FA3BE"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±7.91</w:t>
            </w:r>
          </w:p>
        </w:tc>
        <w:tc>
          <w:tcPr>
            <w:tcW w:w="952" w:type="dxa"/>
            <w:tcBorders>
              <w:top w:val="single" w:sz="4" w:space="0" w:color="auto"/>
              <w:left w:val="single" w:sz="4" w:space="0" w:color="auto"/>
              <w:bottom w:val="single" w:sz="4" w:space="0" w:color="auto"/>
              <w:right w:val="single" w:sz="4" w:space="0" w:color="auto"/>
            </w:tcBorders>
          </w:tcPr>
          <w:p w14:paraId="5CE975C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40.76</w:t>
            </w:r>
          </w:p>
          <w:p w14:paraId="0358579F"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±6.20</w:t>
            </w:r>
          </w:p>
          <w:p w14:paraId="6F2619B1" w14:textId="77777777" w:rsidR="00F0420A" w:rsidRDefault="00F0420A">
            <w:pPr>
              <w:ind w:firstLine="0"/>
              <w:jc w:val="center"/>
              <w:rPr>
                <w:rFonts w:ascii="Times New Roman" w:hAnsi="Times New Roman" w:cs="Times New Roman"/>
                <w:b/>
                <w:sz w:val="24"/>
                <w:szCs w:val="24"/>
              </w:rPr>
            </w:pPr>
          </w:p>
        </w:tc>
      </w:tr>
      <w:tr w:rsidR="00F0420A" w14:paraId="75CAD386" w14:textId="77777777">
        <w:tc>
          <w:tcPr>
            <w:tcW w:w="1248" w:type="dxa"/>
            <w:tcBorders>
              <w:top w:val="single" w:sz="4" w:space="0" w:color="auto"/>
              <w:left w:val="single" w:sz="4" w:space="0" w:color="auto"/>
              <w:bottom w:val="single" w:sz="4" w:space="0" w:color="auto"/>
              <w:right w:val="single" w:sz="4" w:space="0" w:color="auto"/>
            </w:tcBorders>
          </w:tcPr>
          <w:p w14:paraId="6334503B"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lastRenderedPageBreak/>
              <w:t>HF + R</w:t>
            </w:r>
            <w:r>
              <w:rPr>
                <w:rFonts w:ascii="Times New Roman" w:hAnsi="Times New Roman" w:cs="Times New Roman"/>
                <w:sz w:val="24"/>
                <w:szCs w:val="24"/>
                <w:vertAlign w:val="subscript"/>
              </w:rPr>
              <w:t>10</w:t>
            </w:r>
          </w:p>
          <w:p w14:paraId="68F6D7AD" w14:textId="77777777" w:rsidR="00F0420A" w:rsidRDefault="00F0420A">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60BCE56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62.91</w:t>
            </w:r>
          </w:p>
          <w:p w14:paraId="49BAA82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±6.20</w:t>
            </w:r>
          </w:p>
        </w:tc>
        <w:tc>
          <w:tcPr>
            <w:tcW w:w="1106" w:type="dxa"/>
            <w:tcBorders>
              <w:top w:val="single" w:sz="4" w:space="0" w:color="auto"/>
              <w:left w:val="single" w:sz="4" w:space="0" w:color="auto"/>
              <w:bottom w:val="single" w:sz="4" w:space="0" w:color="auto"/>
              <w:right w:val="single" w:sz="4" w:space="0" w:color="auto"/>
            </w:tcBorders>
          </w:tcPr>
          <w:p w14:paraId="18D15E9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58.17</w:t>
            </w:r>
          </w:p>
          <w:p w14:paraId="3326CE2D"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±7.28</w:t>
            </w:r>
          </w:p>
        </w:tc>
        <w:tc>
          <w:tcPr>
            <w:tcW w:w="1539" w:type="dxa"/>
            <w:tcBorders>
              <w:top w:val="single" w:sz="4" w:space="0" w:color="auto"/>
              <w:left w:val="single" w:sz="4" w:space="0" w:color="auto"/>
              <w:bottom w:val="single" w:sz="4" w:space="0" w:color="auto"/>
              <w:right w:val="single" w:sz="4" w:space="0" w:color="auto"/>
            </w:tcBorders>
          </w:tcPr>
          <w:p w14:paraId="72C06FD5" w14:textId="77777777" w:rsidR="00F0420A" w:rsidRDefault="00000000">
            <w:pPr>
              <w:jc w:val="center"/>
              <w:rPr>
                <w:rFonts w:ascii="Times New Roman" w:hAnsi="Times New Roman" w:cs="Times New Roman"/>
                <w:sz w:val="24"/>
                <w:szCs w:val="24"/>
              </w:rPr>
            </w:pPr>
            <w:r>
              <w:rPr>
                <w:rFonts w:ascii="Times New Roman" w:hAnsi="Times New Roman" w:cs="Times New Roman"/>
                <w:sz w:val="24"/>
                <w:szCs w:val="24"/>
              </w:rPr>
              <w:t>58.17</w:t>
            </w:r>
          </w:p>
          <w:p w14:paraId="5B8F3643" w14:textId="77777777" w:rsidR="00F0420A" w:rsidRDefault="00000000">
            <w:pPr>
              <w:jc w:val="center"/>
              <w:rPr>
                <w:rFonts w:ascii="Times New Roman" w:hAnsi="Times New Roman" w:cs="Times New Roman"/>
                <w:b/>
                <w:sz w:val="24"/>
                <w:szCs w:val="24"/>
              </w:rPr>
            </w:pPr>
            <w:r>
              <w:rPr>
                <w:rFonts w:ascii="Times New Roman" w:hAnsi="Times New Roman" w:cs="Times New Roman"/>
                <w:sz w:val="24"/>
                <w:szCs w:val="24"/>
              </w:rPr>
              <w:t>±7.67</w:t>
            </w:r>
          </w:p>
        </w:tc>
        <w:tc>
          <w:tcPr>
            <w:tcW w:w="1087" w:type="dxa"/>
            <w:tcBorders>
              <w:top w:val="single" w:sz="4" w:space="0" w:color="auto"/>
              <w:left w:val="single" w:sz="4" w:space="0" w:color="auto"/>
              <w:bottom w:val="single" w:sz="4" w:space="0" w:color="auto"/>
              <w:right w:val="single" w:sz="4" w:space="0" w:color="auto"/>
            </w:tcBorders>
          </w:tcPr>
          <w:p w14:paraId="20219A2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56.28</w:t>
            </w:r>
          </w:p>
          <w:p w14:paraId="4423C700"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±6.25</w:t>
            </w:r>
          </w:p>
        </w:tc>
        <w:tc>
          <w:tcPr>
            <w:tcW w:w="1112" w:type="dxa"/>
            <w:tcBorders>
              <w:top w:val="single" w:sz="4" w:space="0" w:color="auto"/>
              <w:left w:val="single" w:sz="4" w:space="0" w:color="auto"/>
              <w:bottom w:val="single" w:sz="4" w:space="0" w:color="auto"/>
              <w:right w:val="single" w:sz="4" w:space="0" w:color="auto"/>
            </w:tcBorders>
          </w:tcPr>
          <w:p w14:paraId="2B961601"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179.27</w:t>
            </w:r>
          </w:p>
          <w:p w14:paraId="37D6F76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±6.87</w:t>
            </w:r>
          </w:p>
        </w:tc>
        <w:tc>
          <w:tcPr>
            <w:tcW w:w="1096" w:type="dxa"/>
            <w:tcBorders>
              <w:top w:val="single" w:sz="4" w:space="0" w:color="auto"/>
              <w:left w:val="single" w:sz="4" w:space="0" w:color="auto"/>
              <w:bottom w:val="single" w:sz="4" w:space="0" w:color="auto"/>
              <w:right w:val="single" w:sz="4" w:space="0" w:color="auto"/>
            </w:tcBorders>
          </w:tcPr>
          <w:p w14:paraId="4CDD4E55"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71.71</w:t>
            </w:r>
          </w:p>
          <w:p w14:paraId="6112E3A6"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±8.01</w:t>
            </w:r>
          </w:p>
        </w:tc>
        <w:tc>
          <w:tcPr>
            <w:tcW w:w="1112" w:type="dxa"/>
            <w:tcBorders>
              <w:top w:val="single" w:sz="4" w:space="0" w:color="auto"/>
              <w:left w:val="single" w:sz="4" w:space="0" w:color="auto"/>
              <w:bottom w:val="single" w:sz="4" w:space="0" w:color="auto"/>
              <w:right w:val="single" w:sz="4" w:space="0" w:color="auto"/>
            </w:tcBorders>
          </w:tcPr>
          <w:p w14:paraId="2CB4502A"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91.26</w:t>
            </w:r>
          </w:p>
          <w:p w14:paraId="1C743493"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±6.25</w:t>
            </w:r>
          </w:p>
        </w:tc>
        <w:tc>
          <w:tcPr>
            <w:tcW w:w="952" w:type="dxa"/>
            <w:tcBorders>
              <w:top w:val="single" w:sz="4" w:space="0" w:color="auto"/>
              <w:left w:val="single" w:sz="4" w:space="0" w:color="auto"/>
              <w:bottom w:val="single" w:sz="4" w:space="0" w:color="auto"/>
              <w:right w:val="single" w:sz="4" w:space="0" w:color="auto"/>
            </w:tcBorders>
          </w:tcPr>
          <w:p w14:paraId="3111B2A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63.99</w:t>
            </w:r>
          </w:p>
          <w:p w14:paraId="0EFFCD4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±5.56</w:t>
            </w:r>
          </w:p>
          <w:p w14:paraId="06729BAC" w14:textId="77777777" w:rsidR="00F0420A" w:rsidRDefault="00F0420A">
            <w:pPr>
              <w:ind w:firstLine="0"/>
              <w:jc w:val="center"/>
              <w:rPr>
                <w:rFonts w:ascii="Times New Roman" w:hAnsi="Times New Roman" w:cs="Times New Roman"/>
                <w:b/>
                <w:sz w:val="24"/>
                <w:szCs w:val="24"/>
              </w:rPr>
            </w:pPr>
          </w:p>
        </w:tc>
      </w:tr>
      <w:tr w:rsidR="00F0420A" w14:paraId="2E647CA9" w14:textId="77777777">
        <w:tc>
          <w:tcPr>
            <w:tcW w:w="1248" w:type="dxa"/>
            <w:tcBorders>
              <w:top w:val="single" w:sz="4" w:space="0" w:color="auto"/>
              <w:left w:val="single" w:sz="4" w:space="0" w:color="auto"/>
              <w:bottom w:val="single" w:sz="4" w:space="0" w:color="auto"/>
              <w:right w:val="single" w:sz="4" w:space="0" w:color="auto"/>
            </w:tcBorders>
          </w:tcPr>
          <w:p w14:paraId="0121A4CF"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HF+ SC</w:t>
            </w:r>
            <w:r>
              <w:rPr>
                <w:rFonts w:ascii="Times New Roman" w:hAnsi="Times New Roman" w:cs="Times New Roman"/>
                <w:sz w:val="24"/>
                <w:szCs w:val="24"/>
                <w:vertAlign w:val="subscript"/>
              </w:rPr>
              <w:t>300</w:t>
            </w:r>
          </w:p>
          <w:p w14:paraId="02BC46AF" w14:textId="77777777" w:rsidR="00F0420A" w:rsidRDefault="00F0420A">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0BF064DF"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81.39</w:t>
            </w:r>
          </w:p>
          <w:p w14:paraId="205A6DF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±8.51</w:t>
            </w:r>
          </w:p>
        </w:tc>
        <w:tc>
          <w:tcPr>
            <w:tcW w:w="1106" w:type="dxa"/>
            <w:tcBorders>
              <w:top w:val="single" w:sz="4" w:space="0" w:color="auto"/>
              <w:left w:val="single" w:sz="4" w:space="0" w:color="auto"/>
              <w:bottom w:val="single" w:sz="4" w:space="0" w:color="auto"/>
              <w:right w:val="single" w:sz="4" w:space="0" w:color="auto"/>
            </w:tcBorders>
          </w:tcPr>
          <w:p w14:paraId="4838F7EA"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95.12</w:t>
            </w:r>
          </w:p>
          <w:p w14:paraId="4C8B974F"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±7.28</w:t>
            </w:r>
          </w:p>
        </w:tc>
        <w:tc>
          <w:tcPr>
            <w:tcW w:w="1539" w:type="dxa"/>
            <w:tcBorders>
              <w:top w:val="single" w:sz="4" w:space="0" w:color="auto"/>
              <w:left w:val="single" w:sz="4" w:space="0" w:color="auto"/>
              <w:bottom w:val="single" w:sz="4" w:space="0" w:color="auto"/>
              <w:right w:val="single" w:sz="4" w:space="0" w:color="auto"/>
            </w:tcBorders>
          </w:tcPr>
          <w:p w14:paraId="2238A09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2.74</w:t>
            </w:r>
          </w:p>
          <w:p w14:paraId="7175BA76"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±0.591</w:t>
            </w:r>
          </w:p>
        </w:tc>
        <w:tc>
          <w:tcPr>
            <w:tcW w:w="1087" w:type="dxa"/>
            <w:tcBorders>
              <w:top w:val="single" w:sz="4" w:space="0" w:color="auto"/>
              <w:left w:val="single" w:sz="4" w:space="0" w:color="auto"/>
              <w:bottom w:val="single" w:sz="4" w:space="0" w:color="auto"/>
              <w:right w:val="single" w:sz="4" w:space="0" w:color="auto"/>
            </w:tcBorders>
          </w:tcPr>
          <w:p w14:paraId="4C7F3980"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38.21</w:t>
            </w:r>
          </w:p>
          <w:p w14:paraId="47CDCE6C"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±2.37</w:t>
            </w:r>
          </w:p>
        </w:tc>
        <w:tc>
          <w:tcPr>
            <w:tcW w:w="1112" w:type="dxa"/>
            <w:tcBorders>
              <w:top w:val="single" w:sz="4" w:space="0" w:color="auto"/>
              <w:left w:val="single" w:sz="4" w:space="0" w:color="auto"/>
              <w:bottom w:val="single" w:sz="4" w:space="0" w:color="auto"/>
              <w:right w:val="single" w:sz="4" w:space="0" w:color="auto"/>
            </w:tcBorders>
          </w:tcPr>
          <w:p w14:paraId="3D74E6C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226.21</w:t>
            </w:r>
          </w:p>
          <w:p w14:paraId="48C6C041"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±5.82</w:t>
            </w:r>
          </w:p>
        </w:tc>
        <w:tc>
          <w:tcPr>
            <w:tcW w:w="1096" w:type="dxa"/>
            <w:tcBorders>
              <w:top w:val="single" w:sz="4" w:space="0" w:color="auto"/>
              <w:left w:val="single" w:sz="4" w:space="0" w:color="auto"/>
              <w:bottom w:val="single" w:sz="4" w:space="0" w:color="auto"/>
              <w:right w:val="single" w:sz="4" w:space="0" w:color="auto"/>
            </w:tcBorders>
          </w:tcPr>
          <w:p w14:paraId="0BCA548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123.06</w:t>
            </w:r>
          </w:p>
          <w:p w14:paraId="6C19B3DB"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±6.91</w:t>
            </w:r>
          </w:p>
        </w:tc>
        <w:tc>
          <w:tcPr>
            <w:tcW w:w="1112" w:type="dxa"/>
            <w:tcBorders>
              <w:top w:val="single" w:sz="4" w:space="0" w:color="auto"/>
              <w:left w:val="single" w:sz="4" w:space="0" w:color="auto"/>
              <w:bottom w:val="single" w:sz="4" w:space="0" w:color="auto"/>
              <w:right w:val="single" w:sz="4" w:space="0" w:color="auto"/>
            </w:tcBorders>
          </w:tcPr>
          <w:p w14:paraId="3115B93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145.99</w:t>
            </w:r>
          </w:p>
          <w:p w14:paraId="296F591C"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±10.28</w:t>
            </w:r>
          </w:p>
        </w:tc>
        <w:tc>
          <w:tcPr>
            <w:tcW w:w="952" w:type="dxa"/>
            <w:tcBorders>
              <w:top w:val="single" w:sz="4" w:space="0" w:color="auto"/>
              <w:left w:val="single" w:sz="4" w:space="0" w:color="auto"/>
              <w:bottom w:val="single" w:sz="4" w:space="0" w:color="auto"/>
              <w:right w:val="single" w:sz="4" w:space="0" w:color="auto"/>
            </w:tcBorders>
          </w:tcPr>
          <w:p w14:paraId="2FBA50C1"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39.58</w:t>
            </w:r>
          </w:p>
          <w:p w14:paraId="19B8BDD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±3.21</w:t>
            </w:r>
          </w:p>
          <w:p w14:paraId="5F572CF4" w14:textId="77777777" w:rsidR="00F0420A" w:rsidRDefault="00F0420A">
            <w:pPr>
              <w:ind w:firstLine="0"/>
              <w:jc w:val="center"/>
              <w:rPr>
                <w:rFonts w:ascii="Times New Roman" w:hAnsi="Times New Roman" w:cs="Times New Roman"/>
                <w:b/>
                <w:sz w:val="24"/>
                <w:szCs w:val="24"/>
              </w:rPr>
            </w:pPr>
          </w:p>
        </w:tc>
      </w:tr>
      <w:tr w:rsidR="00F0420A" w14:paraId="7D5CB6F5" w14:textId="77777777">
        <w:tc>
          <w:tcPr>
            <w:tcW w:w="1248" w:type="dxa"/>
            <w:tcBorders>
              <w:top w:val="single" w:sz="4" w:space="0" w:color="auto"/>
              <w:left w:val="single" w:sz="4" w:space="0" w:color="auto"/>
              <w:bottom w:val="single" w:sz="4" w:space="0" w:color="auto"/>
              <w:right w:val="single" w:sz="4" w:space="0" w:color="auto"/>
            </w:tcBorders>
          </w:tcPr>
          <w:p w14:paraId="600F2813"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HF+ SC</w:t>
            </w:r>
            <w:r>
              <w:rPr>
                <w:rFonts w:ascii="Times New Roman" w:hAnsi="Times New Roman" w:cs="Times New Roman"/>
                <w:sz w:val="24"/>
                <w:szCs w:val="24"/>
                <w:vertAlign w:val="subscript"/>
              </w:rPr>
              <w:t>600</w:t>
            </w:r>
          </w:p>
          <w:p w14:paraId="40814216" w14:textId="77777777" w:rsidR="00F0420A" w:rsidRDefault="00F0420A">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39D11006"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79.28</w:t>
            </w:r>
          </w:p>
          <w:p w14:paraId="24607B5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±5.02</w:t>
            </w:r>
          </w:p>
        </w:tc>
        <w:tc>
          <w:tcPr>
            <w:tcW w:w="1106" w:type="dxa"/>
            <w:tcBorders>
              <w:top w:val="single" w:sz="4" w:space="0" w:color="auto"/>
              <w:left w:val="single" w:sz="4" w:space="0" w:color="auto"/>
              <w:bottom w:val="single" w:sz="4" w:space="0" w:color="auto"/>
              <w:right w:val="single" w:sz="4" w:space="0" w:color="auto"/>
            </w:tcBorders>
          </w:tcPr>
          <w:p w14:paraId="2468852F"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91.56</w:t>
            </w:r>
          </w:p>
          <w:p w14:paraId="58CA27FA"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±6.08</w:t>
            </w:r>
          </w:p>
        </w:tc>
        <w:tc>
          <w:tcPr>
            <w:tcW w:w="1539" w:type="dxa"/>
            <w:tcBorders>
              <w:top w:val="single" w:sz="4" w:space="0" w:color="auto"/>
              <w:left w:val="single" w:sz="4" w:space="0" w:color="auto"/>
              <w:bottom w:val="single" w:sz="4" w:space="0" w:color="auto"/>
              <w:right w:val="single" w:sz="4" w:space="0" w:color="auto"/>
            </w:tcBorders>
          </w:tcPr>
          <w:p w14:paraId="5E6C7BBC"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2.21</w:t>
            </w:r>
          </w:p>
          <w:p w14:paraId="02D3B3F1"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±0.482*</w:t>
            </w:r>
          </w:p>
        </w:tc>
        <w:tc>
          <w:tcPr>
            <w:tcW w:w="1087" w:type="dxa"/>
            <w:tcBorders>
              <w:top w:val="single" w:sz="4" w:space="0" w:color="auto"/>
              <w:left w:val="single" w:sz="4" w:space="0" w:color="auto"/>
              <w:bottom w:val="single" w:sz="4" w:space="0" w:color="auto"/>
              <w:right w:val="single" w:sz="4" w:space="0" w:color="auto"/>
            </w:tcBorders>
          </w:tcPr>
          <w:p w14:paraId="0EAAD376"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40.77</w:t>
            </w:r>
          </w:p>
          <w:p w14:paraId="4A7EFE1B"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±3.17</w:t>
            </w:r>
          </w:p>
        </w:tc>
        <w:tc>
          <w:tcPr>
            <w:tcW w:w="1112" w:type="dxa"/>
            <w:tcBorders>
              <w:top w:val="single" w:sz="4" w:space="0" w:color="auto"/>
              <w:left w:val="single" w:sz="4" w:space="0" w:color="auto"/>
              <w:bottom w:val="single" w:sz="4" w:space="0" w:color="auto"/>
              <w:right w:val="single" w:sz="4" w:space="0" w:color="auto"/>
            </w:tcBorders>
          </w:tcPr>
          <w:p w14:paraId="04E7310C"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221.71</w:t>
            </w:r>
          </w:p>
          <w:p w14:paraId="345147AB"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±7.39</w:t>
            </w:r>
          </w:p>
        </w:tc>
        <w:tc>
          <w:tcPr>
            <w:tcW w:w="1096" w:type="dxa"/>
            <w:tcBorders>
              <w:top w:val="single" w:sz="4" w:space="0" w:color="auto"/>
              <w:left w:val="single" w:sz="4" w:space="0" w:color="auto"/>
              <w:bottom w:val="single" w:sz="4" w:space="0" w:color="auto"/>
              <w:right w:val="single" w:sz="4" w:space="0" w:color="auto"/>
            </w:tcBorders>
          </w:tcPr>
          <w:p w14:paraId="2D372857"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120.06</w:t>
            </w:r>
          </w:p>
          <w:p w14:paraId="38135471"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±5.77</w:t>
            </w:r>
          </w:p>
        </w:tc>
        <w:tc>
          <w:tcPr>
            <w:tcW w:w="1112" w:type="dxa"/>
            <w:tcBorders>
              <w:top w:val="single" w:sz="4" w:space="0" w:color="auto"/>
              <w:left w:val="single" w:sz="4" w:space="0" w:color="auto"/>
              <w:bottom w:val="single" w:sz="4" w:space="0" w:color="auto"/>
              <w:right w:val="single" w:sz="4" w:space="0" w:color="auto"/>
            </w:tcBorders>
          </w:tcPr>
          <w:p w14:paraId="589B4DCA"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142.67</w:t>
            </w:r>
          </w:p>
          <w:p w14:paraId="590416F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±9.82</w:t>
            </w:r>
          </w:p>
        </w:tc>
        <w:tc>
          <w:tcPr>
            <w:tcW w:w="952" w:type="dxa"/>
            <w:tcBorders>
              <w:top w:val="single" w:sz="4" w:space="0" w:color="auto"/>
              <w:left w:val="single" w:sz="4" w:space="0" w:color="auto"/>
              <w:bottom w:val="single" w:sz="4" w:space="0" w:color="auto"/>
              <w:right w:val="single" w:sz="4" w:space="0" w:color="auto"/>
            </w:tcBorders>
          </w:tcPr>
          <w:p w14:paraId="0CF13695"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43.16</w:t>
            </w:r>
          </w:p>
          <w:p w14:paraId="1CC79E7D"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4.53</w:t>
            </w:r>
          </w:p>
          <w:p w14:paraId="3117E945" w14:textId="77777777" w:rsidR="00F0420A" w:rsidRDefault="00F0420A">
            <w:pPr>
              <w:ind w:firstLine="0"/>
              <w:jc w:val="center"/>
              <w:rPr>
                <w:rFonts w:ascii="Times New Roman" w:hAnsi="Times New Roman" w:cs="Times New Roman"/>
                <w:b/>
                <w:sz w:val="24"/>
                <w:szCs w:val="24"/>
              </w:rPr>
            </w:pPr>
          </w:p>
        </w:tc>
      </w:tr>
      <w:tr w:rsidR="00F0420A" w14:paraId="6C1AD4B5" w14:textId="77777777">
        <w:tc>
          <w:tcPr>
            <w:tcW w:w="1248" w:type="dxa"/>
            <w:tcBorders>
              <w:top w:val="single" w:sz="4" w:space="0" w:color="auto"/>
              <w:left w:val="single" w:sz="4" w:space="0" w:color="auto"/>
              <w:bottom w:val="single" w:sz="4" w:space="0" w:color="auto"/>
              <w:right w:val="single" w:sz="4" w:space="0" w:color="auto"/>
            </w:tcBorders>
          </w:tcPr>
          <w:p w14:paraId="68E3CC5D" w14:textId="77777777" w:rsidR="00F0420A" w:rsidRDefault="00000000">
            <w:pPr>
              <w:ind w:firstLine="0"/>
              <w:rPr>
                <w:rFonts w:ascii="Times New Roman" w:hAnsi="Times New Roman" w:cs="Times New Roman"/>
                <w:sz w:val="24"/>
                <w:szCs w:val="24"/>
                <w:vertAlign w:val="subscript"/>
              </w:rPr>
            </w:pPr>
            <w:r>
              <w:rPr>
                <w:rFonts w:ascii="Times New Roman" w:hAnsi="Times New Roman" w:cs="Times New Roman"/>
                <w:sz w:val="24"/>
                <w:szCs w:val="24"/>
              </w:rPr>
              <w:t>HF+ SC</w:t>
            </w:r>
            <w:r>
              <w:rPr>
                <w:rFonts w:ascii="Times New Roman" w:hAnsi="Times New Roman" w:cs="Times New Roman"/>
                <w:sz w:val="24"/>
                <w:szCs w:val="24"/>
                <w:vertAlign w:val="subscript"/>
              </w:rPr>
              <w:t>900</w:t>
            </w:r>
          </w:p>
          <w:p w14:paraId="0623F344" w14:textId="77777777" w:rsidR="00F0420A" w:rsidRDefault="00F0420A">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2C382543"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74.17</w:t>
            </w:r>
          </w:p>
          <w:p w14:paraId="00FA3F9B"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±6.17*</w:t>
            </w:r>
          </w:p>
        </w:tc>
        <w:tc>
          <w:tcPr>
            <w:tcW w:w="1106" w:type="dxa"/>
            <w:tcBorders>
              <w:top w:val="single" w:sz="4" w:space="0" w:color="auto"/>
              <w:left w:val="single" w:sz="4" w:space="0" w:color="auto"/>
              <w:bottom w:val="single" w:sz="4" w:space="0" w:color="auto"/>
              <w:right w:val="single" w:sz="4" w:space="0" w:color="auto"/>
            </w:tcBorders>
          </w:tcPr>
          <w:p w14:paraId="1B66BCA2"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88.28</w:t>
            </w:r>
          </w:p>
          <w:p w14:paraId="4F5F437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±5.18</w:t>
            </w:r>
          </w:p>
        </w:tc>
        <w:tc>
          <w:tcPr>
            <w:tcW w:w="1539" w:type="dxa"/>
            <w:tcBorders>
              <w:top w:val="single" w:sz="4" w:space="0" w:color="auto"/>
              <w:left w:val="single" w:sz="4" w:space="0" w:color="auto"/>
              <w:bottom w:val="single" w:sz="4" w:space="0" w:color="auto"/>
              <w:right w:val="single" w:sz="4" w:space="0" w:color="auto"/>
            </w:tcBorders>
          </w:tcPr>
          <w:p w14:paraId="14ACA69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1.87</w:t>
            </w:r>
          </w:p>
          <w:p w14:paraId="3E804D1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±0.528*</w:t>
            </w:r>
          </w:p>
        </w:tc>
        <w:tc>
          <w:tcPr>
            <w:tcW w:w="1087" w:type="dxa"/>
            <w:tcBorders>
              <w:top w:val="single" w:sz="4" w:space="0" w:color="auto"/>
              <w:left w:val="single" w:sz="4" w:space="0" w:color="auto"/>
              <w:bottom w:val="single" w:sz="4" w:space="0" w:color="auto"/>
              <w:right w:val="single" w:sz="4" w:space="0" w:color="auto"/>
            </w:tcBorders>
          </w:tcPr>
          <w:p w14:paraId="5B1A61D1"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43.06</w:t>
            </w:r>
          </w:p>
          <w:p w14:paraId="1E276F70"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±4.18*</w:t>
            </w:r>
          </w:p>
        </w:tc>
        <w:tc>
          <w:tcPr>
            <w:tcW w:w="1112" w:type="dxa"/>
            <w:tcBorders>
              <w:top w:val="single" w:sz="4" w:space="0" w:color="auto"/>
              <w:left w:val="single" w:sz="4" w:space="0" w:color="auto"/>
              <w:bottom w:val="single" w:sz="4" w:space="0" w:color="auto"/>
              <w:right w:val="single" w:sz="4" w:space="0" w:color="auto"/>
            </w:tcBorders>
          </w:tcPr>
          <w:p w14:paraId="69EACD5D"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216.91</w:t>
            </w:r>
          </w:p>
          <w:p w14:paraId="6FD55308"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±6.28*</w:t>
            </w:r>
          </w:p>
        </w:tc>
        <w:tc>
          <w:tcPr>
            <w:tcW w:w="1096" w:type="dxa"/>
            <w:tcBorders>
              <w:top w:val="single" w:sz="4" w:space="0" w:color="auto"/>
              <w:left w:val="single" w:sz="4" w:space="0" w:color="auto"/>
              <w:bottom w:val="single" w:sz="4" w:space="0" w:color="auto"/>
              <w:right w:val="single" w:sz="4" w:space="0" w:color="auto"/>
            </w:tcBorders>
          </w:tcPr>
          <w:p w14:paraId="65DF497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116.93</w:t>
            </w:r>
          </w:p>
          <w:p w14:paraId="421292A1"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±6.04*</w:t>
            </w:r>
          </w:p>
        </w:tc>
        <w:tc>
          <w:tcPr>
            <w:tcW w:w="1112" w:type="dxa"/>
            <w:tcBorders>
              <w:top w:val="single" w:sz="4" w:space="0" w:color="auto"/>
              <w:left w:val="single" w:sz="4" w:space="0" w:color="auto"/>
              <w:bottom w:val="single" w:sz="4" w:space="0" w:color="auto"/>
              <w:right w:val="single" w:sz="4" w:space="0" w:color="auto"/>
            </w:tcBorders>
          </w:tcPr>
          <w:p w14:paraId="5D900500"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137.96</w:t>
            </w:r>
          </w:p>
          <w:p w14:paraId="791CBB0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±7.25</w:t>
            </w:r>
          </w:p>
        </w:tc>
        <w:tc>
          <w:tcPr>
            <w:tcW w:w="952" w:type="dxa"/>
            <w:tcBorders>
              <w:top w:val="single" w:sz="4" w:space="0" w:color="auto"/>
              <w:left w:val="single" w:sz="4" w:space="0" w:color="auto"/>
              <w:bottom w:val="single" w:sz="4" w:space="0" w:color="auto"/>
              <w:right w:val="single" w:sz="4" w:space="0" w:color="auto"/>
            </w:tcBorders>
          </w:tcPr>
          <w:p w14:paraId="5E3FAFD7"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45.91</w:t>
            </w:r>
          </w:p>
          <w:p w14:paraId="4C49C33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±3.28</w:t>
            </w:r>
          </w:p>
          <w:p w14:paraId="44D2F557" w14:textId="77777777" w:rsidR="00F0420A" w:rsidRDefault="00F0420A">
            <w:pPr>
              <w:ind w:firstLine="0"/>
              <w:jc w:val="center"/>
              <w:rPr>
                <w:rFonts w:ascii="Times New Roman" w:hAnsi="Times New Roman" w:cs="Times New Roman"/>
                <w:b/>
                <w:sz w:val="24"/>
                <w:szCs w:val="24"/>
              </w:rPr>
            </w:pPr>
          </w:p>
        </w:tc>
      </w:tr>
      <w:tr w:rsidR="00F0420A" w14:paraId="11F6EF69" w14:textId="77777777">
        <w:tc>
          <w:tcPr>
            <w:tcW w:w="1248" w:type="dxa"/>
            <w:tcBorders>
              <w:top w:val="single" w:sz="4" w:space="0" w:color="auto"/>
              <w:left w:val="single" w:sz="4" w:space="0" w:color="auto"/>
              <w:bottom w:val="single" w:sz="4" w:space="0" w:color="auto"/>
              <w:right w:val="single" w:sz="4" w:space="0" w:color="auto"/>
            </w:tcBorders>
          </w:tcPr>
          <w:p w14:paraId="5C5F163E"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vertAlign w:val="subscript"/>
              </w:rPr>
              <w:t>300</w:t>
            </w:r>
          </w:p>
        </w:tc>
        <w:tc>
          <w:tcPr>
            <w:tcW w:w="1052" w:type="dxa"/>
            <w:tcBorders>
              <w:top w:val="single" w:sz="4" w:space="0" w:color="auto"/>
              <w:left w:val="single" w:sz="4" w:space="0" w:color="auto"/>
              <w:bottom w:val="single" w:sz="4" w:space="0" w:color="auto"/>
              <w:right w:val="single" w:sz="4" w:space="0" w:color="auto"/>
            </w:tcBorders>
          </w:tcPr>
          <w:p w14:paraId="46E5375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25.18</w:t>
            </w:r>
          </w:p>
          <w:p w14:paraId="6288F73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±4.17</w:t>
            </w:r>
          </w:p>
        </w:tc>
        <w:tc>
          <w:tcPr>
            <w:tcW w:w="1106" w:type="dxa"/>
            <w:tcBorders>
              <w:top w:val="single" w:sz="4" w:space="0" w:color="auto"/>
              <w:left w:val="single" w:sz="4" w:space="0" w:color="auto"/>
              <w:bottom w:val="single" w:sz="4" w:space="0" w:color="auto"/>
              <w:right w:val="single" w:sz="4" w:space="0" w:color="auto"/>
            </w:tcBorders>
          </w:tcPr>
          <w:p w14:paraId="3B82024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35.27</w:t>
            </w:r>
          </w:p>
          <w:p w14:paraId="059E483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±2.17</w:t>
            </w:r>
          </w:p>
        </w:tc>
        <w:tc>
          <w:tcPr>
            <w:tcW w:w="1539" w:type="dxa"/>
            <w:tcBorders>
              <w:top w:val="single" w:sz="4" w:space="0" w:color="auto"/>
              <w:left w:val="single" w:sz="4" w:space="0" w:color="auto"/>
              <w:bottom w:val="single" w:sz="4" w:space="0" w:color="auto"/>
              <w:right w:val="single" w:sz="4" w:space="0" w:color="auto"/>
            </w:tcBorders>
          </w:tcPr>
          <w:p w14:paraId="244456F2"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0.57</w:t>
            </w:r>
          </w:p>
          <w:p w14:paraId="6CC83EE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±0.201</w:t>
            </w:r>
          </w:p>
        </w:tc>
        <w:tc>
          <w:tcPr>
            <w:tcW w:w="1087" w:type="dxa"/>
            <w:tcBorders>
              <w:top w:val="single" w:sz="4" w:space="0" w:color="auto"/>
              <w:left w:val="single" w:sz="4" w:space="0" w:color="auto"/>
              <w:bottom w:val="single" w:sz="4" w:space="0" w:color="auto"/>
              <w:right w:val="single" w:sz="4" w:space="0" w:color="auto"/>
            </w:tcBorders>
          </w:tcPr>
          <w:p w14:paraId="59221E93"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39.27</w:t>
            </w:r>
          </w:p>
          <w:p w14:paraId="0CFBD49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±2.70</w:t>
            </w:r>
          </w:p>
        </w:tc>
        <w:tc>
          <w:tcPr>
            <w:tcW w:w="1112" w:type="dxa"/>
            <w:tcBorders>
              <w:top w:val="single" w:sz="4" w:space="0" w:color="auto"/>
              <w:left w:val="single" w:sz="4" w:space="0" w:color="auto"/>
              <w:bottom w:val="single" w:sz="4" w:space="0" w:color="auto"/>
              <w:right w:val="single" w:sz="4" w:space="0" w:color="auto"/>
            </w:tcBorders>
          </w:tcPr>
          <w:p w14:paraId="3417102D"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121.90</w:t>
            </w:r>
          </w:p>
          <w:p w14:paraId="73D4631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±6.25</w:t>
            </w:r>
          </w:p>
        </w:tc>
        <w:tc>
          <w:tcPr>
            <w:tcW w:w="1096" w:type="dxa"/>
            <w:tcBorders>
              <w:top w:val="single" w:sz="4" w:space="0" w:color="auto"/>
              <w:left w:val="single" w:sz="4" w:space="0" w:color="auto"/>
              <w:bottom w:val="single" w:sz="4" w:space="0" w:color="auto"/>
              <w:right w:val="single" w:sz="4" w:space="0" w:color="auto"/>
            </w:tcBorders>
          </w:tcPr>
          <w:p w14:paraId="35EA53E8"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39.28</w:t>
            </w:r>
          </w:p>
          <w:p w14:paraId="79A1AA2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±6.07</w:t>
            </w:r>
          </w:p>
        </w:tc>
        <w:tc>
          <w:tcPr>
            <w:tcW w:w="1112" w:type="dxa"/>
            <w:tcBorders>
              <w:top w:val="single" w:sz="4" w:space="0" w:color="auto"/>
              <w:left w:val="single" w:sz="4" w:space="0" w:color="auto"/>
              <w:bottom w:val="single" w:sz="4" w:space="0" w:color="auto"/>
              <w:right w:val="single" w:sz="4" w:space="0" w:color="auto"/>
            </w:tcBorders>
          </w:tcPr>
          <w:p w14:paraId="4A09367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42.70</w:t>
            </w:r>
          </w:p>
          <w:p w14:paraId="5E7C4CB9"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±2.99</w:t>
            </w:r>
          </w:p>
        </w:tc>
        <w:tc>
          <w:tcPr>
            <w:tcW w:w="952" w:type="dxa"/>
            <w:tcBorders>
              <w:top w:val="single" w:sz="4" w:space="0" w:color="auto"/>
              <w:left w:val="single" w:sz="4" w:space="0" w:color="auto"/>
              <w:bottom w:val="single" w:sz="4" w:space="0" w:color="auto"/>
              <w:right w:val="single" w:sz="4" w:space="0" w:color="auto"/>
            </w:tcBorders>
          </w:tcPr>
          <w:p w14:paraId="619843F3"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86.28</w:t>
            </w:r>
          </w:p>
          <w:p w14:paraId="2973ACF3"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±6.18</w:t>
            </w:r>
          </w:p>
          <w:p w14:paraId="55BEC0CA" w14:textId="77777777" w:rsidR="00F0420A" w:rsidRDefault="00F0420A">
            <w:pPr>
              <w:ind w:firstLine="0"/>
              <w:jc w:val="center"/>
              <w:rPr>
                <w:rFonts w:ascii="Times New Roman" w:hAnsi="Times New Roman" w:cs="Times New Roman"/>
                <w:b/>
                <w:sz w:val="24"/>
                <w:szCs w:val="24"/>
              </w:rPr>
            </w:pPr>
          </w:p>
        </w:tc>
      </w:tr>
      <w:tr w:rsidR="00F0420A" w14:paraId="3543FA8E" w14:textId="77777777">
        <w:tc>
          <w:tcPr>
            <w:tcW w:w="1248" w:type="dxa"/>
            <w:tcBorders>
              <w:top w:val="single" w:sz="4" w:space="0" w:color="auto"/>
              <w:left w:val="single" w:sz="4" w:space="0" w:color="auto"/>
              <w:bottom w:val="single" w:sz="4" w:space="0" w:color="auto"/>
              <w:right w:val="single" w:sz="4" w:space="0" w:color="auto"/>
            </w:tcBorders>
          </w:tcPr>
          <w:p w14:paraId="494B4372"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vertAlign w:val="subscript"/>
              </w:rPr>
              <w:t>600</w:t>
            </w:r>
          </w:p>
        </w:tc>
        <w:tc>
          <w:tcPr>
            <w:tcW w:w="1052" w:type="dxa"/>
            <w:tcBorders>
              <w:top w:val="single" w:sz="4" w:space="0" w:color="auto"/>
              <w:left w:val="single" w:sz="4" w:space="0" w:color="auto"/>
              <w:bottom w:val="single" w:sz="4" w:space="0" w:color="auto"/>
              <w:right w:val="single" w:sz="4" w:space="0" w:color="auto"/>
            </w:tcBorders>
          </w:tcPr>
          <w:p w14:paraId="67673E02"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29.29</w:t>
            </w:r>
          </w:p>
          <w:p w14:paraId="7EC2CB8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±5.77</w:t>
            </w:r>
          </w:p>
        </w:tc>
        <w:tc>
          <w:tcPr>
            <w:tcW w:w="1106" w:type="dxa"/>
            <w:tcBorders>
              <w:top w:val="single" w:sz="4" w:space="0" w:color="auto"/>
              <w:left w:val="single" w:sz="4" w:space="0" w:color="auto"/>
              <w:bottom w:val="single" w:sz="4" w:space="0" w:color="auto"/>
              <w:right w:val="single" w:sz="4" w:space="0" w:color="auto"/>
            </w:tcBorders>
          </w:tcPr>
          <w:p w14:paraId="120632F0"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37.80</w:t>
            </w:r>
          </w:p>
          <w:p w14:paraId="12DCECA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±3.90</w:t>
            </w:r>
          </w:p>
        </w:tc>
        <w:tc>
          <w:tcPr>
            <w:tcW w:w="1539" w:type="dxa"/>
            <w:tcBorders>
              <w:top w:val="single" w:sz="4" w:space="0" w:color="auto"/>
              <w:left w:val="single" w:sz="4" w:space="0" w:color="auto"/>
              <w:bottom w:val="single" w:sz="4" w:space="0" w:color="auto"/>
              <w:right w:val="single" w:sz="4" w:space="0" w:color="auto"/>
            </w:tcBorders>
          </w:tcPr>
          <w:p w14:paraId="406F260C"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0.73</w:t>
            </w:r>
          </w:p>
          <w:p w14:paraId="0313655E"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±0.318</w:t>
            </w:r>
          </w:p>
        </w:tc>
        <w:tc>
          <w:tcPr>
            <w:tcW w:w="1087" w:type="dxa"/>
            <w:tcBorders>
              <w:top w:val="single" w:sz="4" w:space="0" w:color="auto"/>
              <w:left w:val="single" w:sz="4" w:space="0" w:color="auto"/>
              <w:bottom w:val="single" w:sz="4" w:space="0" w:color="auto"/>
              <w:right w:val="single" w:sz="4" w:space="0" w:color="auto"/>
            </w:tcBorders>
          </w:tcPr>
          <w:p w14:paraId="1A2473CF"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33.46</w:t>
            </w:r>
          </w:p>
          <w:p w14:paraId="037B899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±3.17</w:t>
            </w:r>
          </w:p>
        </w:tc>
        <w:tc>
          <w:tcPr>
            <w:tcW w:w="1112" w:type="dxa"/>
            <w:tcBorders>
              <w:top w:val="single" w:sz="4" w:space="0" w:color="auto"/>
              <w:left w:val="single" w:sz="4" w:space="0" w:color="auto"/>
              <w:bottom w:val="single" w:sz="4" w:space="0" w:color="auto"/>
              <w:right w:val="single" w:sz="4" w:space="0" w:color="auto"/>
            </w:tcBorders>
          </w:tcPr>
          <w:p w14:paraId="35596774"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125.22</w:t>
            </w:r>
          </w:p>
          <w:p w14:paraId="41E29692"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±5.71</w:t>
            </w:r>
          </w:p>
        </w:tc>
        <w:tc>
          <w:tcPr>
            <w:tcW w:w="1096" w:type="dxa"/>
            <w:tcBorders>
              <w:top w:val="single" w:sz="4" w:space="0" w:color="auto"/>
              <w:left w:val="single" w:sz="4" w:space="0" w:color="auto"/>
              <w:bottom w:val="single" w:sz="4" w:space="0" w:color="auto"/>
              <w:right w:val="single" w:sz="4" w:space="0" w:color="auto"/>
            </w:tcBorders>
          </w:tcPr>
          <w:p w14:paraId="2CB7392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42.08</w:t>
            </w:r>
          </w:p>
          <w:p w14:paraId="0C1960E5"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±5.07</w:t>
            </w:r>
          </w:p>
        </w:tc>
        <w:tc>
          <w:tcPr>
            <w:tcW w:w="1112" w:type="dxa"/>
            <w:tcBorders>
              <w:top w:val="single" w:sz="4" w:space="0" w:color="auto"/>
              <w:left w:val="single" w:sz="4" w:space="0" w:color="auto"/>
              <w:bottom w:val="single" w:sz="4" w:space="0" w:color="auto"/>
              <w:right w:val="single" w:sz="4" w:space="0" w:color="auto"/>
            </w:tcBorders>
          </w:tcPr>
          <w:p w14:paraId="44A6FA19"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45.46</w:t>
            </w:r>
          </w:p>
          <w:p w14:paraId="54D560CE"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±3.80</w:t>
            </w:r>
          </w:p>
        </w:tc>
        <w:tc>
          <w:tcPr>
            <w:tcW w:w="952" w:type="dxa"/>
            <w:tcBorders>
              <w:top w:val="single" w:sz="4" w:space="0" w:color="auto"/>
              <w:left w:val="single" w:sz="4" w:space="0" w:color="auto"/>
              <w:bottom w:val="single" w:sz="4" w:space="0" w:color="auto"/>
              <w:right w:val="single" w:sz="4" w:space="0" w:color="auto"/>
            </w:tcBorders>
          </w:tcPr>
          <w:p w14:paraId="18EFA2DE"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82.71</w:t>
            </w:r>
          </w:p>
          <w:p w14:paraId="3C47E4EF"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±5.17</w:t>
            </w:r>
          </w:p>
          <w:p w14:paraId="2D2666D6" w14:textId="77777777" w:rsidR="00F0420A" w:rsidRDefault="00F0420A">
            <w:pPr>
              <w:ind w:firstLine="0"/>
              <w:jc w:val="center"/>
              <w:rPr>
                <w:rFonts w:ascii="Times New Roman" w:hAnsi="Times New Roman" w:cs="Times New Roman"/>
                <w:b/>
                <w:sz w:val="24"/>
                <w:szCs w:val="24"/>
              </w:rPr>
            </w:pPr>
          </w:p>
        </w:tc>
      </w:tr>
      <w:tr w:rsidR="00F0420A" w14:paraId="7744AD92" w14:textId="77777777">
        <w:tc>
          <w:tcPr>
            <w:tcW w:w="1248" w:type="dxa"/>
            <w:tcBorders>
              <w:top w:val="single" w:sz="4" w:space="0" w:color="auto"/>
              <w:left w:val="single" w:sz="4" w:space="0" w:color="auto"/>
              <w:bottom w:val="single" w:sz="4" w:space="0" w:color="auto"/>
              <w:right w:val="single" w:sz="4" w:space="0" w:color="auto"/>
            </w:tcBorders>
          </w:tcPr>
          <w:p w14:paraId="0BEFF91F" w14:textId="77777777" w:rsidR="00F0420A" w:rsidRDefault="00000000">
            <w:pPr>
              <w:ind w:firstLine="0"/>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vertAlign w:val="subscript"/>
              </w:rPr>
              <w:t>900</w:t>
            </w:r>
          </w:p>
          <w:p w14:paraId="1034E472" w14:textId="77777777" w:rsidR="00F0420A" w:rsidRDefault="00F0420A">
            <w:pPr>
              <w:ind w:firstLine="0"/>
              <w:rPr>
                <w:rFonts w:ascii="Times New Roman" w:hAnsi="Times New Roman" w:cs="Times New Roman"/>
                <w:sz w:val="24"/>
                <w:szCs w:val="24"/>
              </w:rPr>
            </w:pPr>
          </w:p>
        </w:tc>
        <w:tc>
          <w:tcPr>
            <w:tcW w:w="1052" w:type="dxa"/>
            <w:tcBorders>
              <w:top w:val="single" w:sz="4" w:space="0" w:color="auto"/>
              <w:left w:val="single" w:sz="4" w:space="0" w:color="auto"/>
              <w:bottom w:val="single" w:sz="4" w:space="0" w:color="auto"/>
              <w:right w:val="single" w:sz="4" w:space="0" w:color="auto"/>
            </w:tcBorders>
          </w:tcPr>
          <w:p w14:paraId="582C9625"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27.20</w:t>
            </w:r>
          </w:p>
          <w:p w14:paraId="4188F424"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±3.18</w:t>
            </w:r>
          </w:p>
        </w:tc>
        <w:tc>
          <w:tcPr>
            <w:tcW w:w="1106" w:type="dxa"/>
            <w:tcBorders>
              <w:top w:val="single" w:sz="4" w:space="0" w:color="auto"/>
              <w:left w:val="single" w:sz="4" w:space="0" w:color="auto"/>
              <w:bottom w:val="single" w:sz="4" w:space="0" w:color="auto"/>
              <w:right w:val="single" w:sz="4" w:space="0" w:color="auto"/>
            </w:tcBorders>
          </w:tcPr>
          <w:p w14:paraId="3E0AD5B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36.77</w:t>
            </w:r>
          </w:p>
          <w:p w14:paraId="40B639CE"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±3.18</w:t>
            </w:r>
          </w:p>
        </w:tc>
        <w:tc>
          <w:tcPr>
            <w:tcW w:w="1539" w:type="dxa"/>
            <w:tcBorders>
              <w:top w:val="single" w:sz="4" w:space="0" w:color="auto"/>
              <w:left w:val="single" w:sz="4" w:space="0" w:color="auto"/>
              <w:bottom w:val="single" w:sz="4" w:space="0" w:color="auto"/>
              <w:right w:val="single" w:sz="4" w:space="0" w:color="auto"/>
            </w:tcBorders>
          </w:tcPr>
          <w:p w14:paraId="29D469A1"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0.73</w:t>
            </w:r>
          </w:p>
          <w:p w14:paraId="54E51E81"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±0.318</w:t>
            </w:r>
          </w:p>
        </w:tc>
        <w:tc>
          <w:tcPr>
            <w:tcW w:w="1087" w:type="dxa"/>
            <w:tcBorders>
              <w:top w:val="single" w:sz="4" w:space="0" w:color="auto"/>
              <w:left w:val="single" w:sz="4" w:space="0" w:color="auto"/>
              <w:bottom w:val="single" w:sz="4" w:space="0" w:color="auto"/>
              <w:right w:val="single" w:sz="4" w:space="0" w:color="auto"/>
            </w:tcBorders>
          </w:tcPr>
          <w:p w14:paraId="74D00C9B"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35.31</w:t>
            </w:r>
          </w:p>
          <w:p w14:paraId="6C809D07"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±2.80</w:t>
            </w:r>
          </w:p>
        </w:tc>
        <w:tc>
          <w:tcPr>
            <w:tcW w:w="1112" w:type="dxa"/>
            <w:tcBorders>
              <w:top w:val="single" w:sz="4" w:space="0" w:color="auto"/>
              <w:left w:val="single" w:sz="4" w:space="0" w:color="auto"/>
              <w:bottom w:val="single" w:sz="4" w:space="0" w:color="auto"/>
              <w:right w:val="single" w:sz="4" w:space="0" w:color="auto"/>
            </w:tcBorders>
          </w:tcPr>
          <w:p w14:paraId="1D15062A"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125.91</w:t>
            </w:r>
          </w:p>
          <w:p w14:paraId="4A9A2D08"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±6.01</w:t>
            </w:r>
          </w:p>
        </w:tc>
        <w:tc>
          <w:tcPr>
            <w:tcW w:w="1096" w:type="dxa"/>
            <w:tcBorders>
              <w:top w:val="single" w:sz="4" w:space="0" w:color="auto"/>
              <w:left w:val="single" w:sz="4" w:space="0" w:color="auto"/>
              <w:bottom w:val="single" w:sz="4" w:space="0" w:color="auto"/>
              <w:right w:val="single" w:sz="4" w:space="0" w:color="auto"/>
            </w:tcBorders>
          </w:tcPr>
          <w:p w14:paraId="17BE7974"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43.08</w:t>
            </w:r>
          </w:p>
          <w:p w14:paraId="0146200D"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±6.77</w:t>
            </w:r>
          </w:p>
        </w:tc>
        <w:tc>
          <w:tcPr>
            <w:tcW w:w="1112" w:type="dxa"/>
            <w:tcBorders>
              <w:top w:val="single" w:sz="4" w:space="0" w:color="auto"/>
              <w:left w:val="single" w:sz="4" w:space="0" w:color="auto"/>
              <w:bottom w:val="single" w:sz="4" w:space="0" w:color="auto"/>
              <w:right w:val="single" w:sz="4" w:space="0" w:color="auto"/>
            </w:tcBorders>
          </w:tcPr>
          <w:p w14:paraId="7A483C14"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41.26</w:t>
            </w:r>
          </w:p>
          <w:p w14:paraId="4035D5A9"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±3.70</w:t>
            </w:r>
          </w:p>
        </w:tc>
        <w:tc>
          <w:tcPr>
            <w:tcW w:w="952" w:type="dxa"/>
            <w:tcBorders>
              <w:top w:val="single" w:sz="4" w:space="0" w:color="auto"/>
              <w:left w:val="single" w:sz="4" w:space="0" w:color="auto"/>
              <w:bottom w:val="single" w:sz="4" w:space="0" w:color="auto"/>
              <w:right w:val="single" w:sz="4" w:space="0" w:color="auto"/>
            </w:tcBorders>
          </w:tcPr>
          <w:p w14:paraId="6C52864A" w14:textId="77777777" w:rsidR="00F0420A" w:rsidRDefault="00000000">
            <w:pPr>
              <w:ind w:firstLine="0"/>
              <w:jc w:val="center"/>
              <w:rPr>
                <w:rFonts w:ascii="Times New Roman" w:hAnsi="Times New Roman" w:cs="Times New Roman"/>
                <w:sz w:val="24"/>
                <w:szCs w:val="24"/>
              </w:rPr>
            </w:pPr>
            <w:r>
              <w:rPr>
                <w:rFonts w:ascii="Times New Roman" w:hAnsi="Times New Roman" w:cs="Times New Roman"/>
                <w:sz w:val="24"/>
                <w:szCs w:val="24"/>
              </w:rPr>
              <w:t>83.99</w:t>
            </w:r>
          </w:p>
          <w:p w14:paraId="34F6B32E" w14:textId="77777777" w:rsidR="00F0420A" w:rsidRDefault="00000000">
            <w:pPr>
              <w:ind w:firstLine="0"/>
              <w:jc w:val="center"/>
              <w:rPr>
                <w:rFonts w:ascii="Times New Roman" w:hAnsi="Times New Roman" w:cs="Times New Roman"/>
                <w:b/>
                <w:sz w:val="24"/>
                <w:szCs w:val="24"/>
              </w:rPr>
            </w:pPr>
            <w:r>
              <w:rPr>
                <w:rFonts w:ascii="Times New Roman" w:hAnsi="Times New Roman" w:cs="Times New Roman"/>
                <w:sz w:val="24"/>
                <w:szCs w:val="24"/>
              </w:rPr>
              <w:t>±4.58</w:t>
            </w:r>
          </w:p>
        </w:tc>
      </w:tr>
    </w:tbl>
    <w:p w14:paraId="20C3AD48" w14:textId="77777777" w:rsidR="00F0420A" w:rsidRDefault="00F0420A">
      <w:pPr>
        <w:pStyle w:val="NormalWeb"/>
        <w:spacing w:before="0" w:beforeAutospacing="0" w:after="160" w:afterAutospacing="0"/>
        <w:jc w:val="both"/>
      </w:pPr>
    </w:p>
    <w:p w14:paraId="0DDB64B9" w14:textId="77777777" w:rsidR="00F0420A" w:rsidRDefault="00000000">
      <w:pPr>
        <w:spacing w:line="276" w:lineRule="auto"/>
        <w:jc w:val="both"/>
        <w:rPr>
          <w:rFonts w:ascii="Times New Roman" w:eastAsia="Times New Roman" w:hAnsi="Times New Roman" w:cs="Times New Roman"/>
          <w:sz w:val="24"/>
          <w:szCs w:val="24"/>
        </w:rPr>
      </w:pPr>
      <w:r>
        <w:rPr>
          <w:rFonts w:ascii="Times New Roman" w:hAnsi="Times New Roman" w:cs="Times New Roman"/>
          <w:b/>
          <w:sz w:val="32"/>
          <w:szCs w:val="32"/>
        </w:rPr>
        <w:t xml:space="preserve">Note: </w:t>
      </w:r>
      <w:r>
        <w:rPr>
          <w:rFonts w:ascii="Times New Roman" w:eastAsia="Times New Roman" w:hAnsi="Times New Roman" w:cs="Times New Roman"/>
          <w:sz w:val="24"/>
          <w:szCs w:val="24"/>
        </w:rPr>
        <w:t xml:space="preserve">The findings were presented in the form of </w:t>
      </w:r>
      <w:proofErr w:type="spellStart"/>
      <w:r>
        <w:rPr>
          <w:rFonts w:ascii="Times New Roman" w:eastAsia="Times New Roman" w:hAnsi="Times New Roman" w:cs="Times New Roman"/>
          <w:sz w:val="24"/>
          <w:szCs w:val="24"/>
        </w:rPr>
        <w:t>Mean±SEM</w:t>
      </w:r>
      <w:proofErr w:type="spellEnd"/>
      <w:r>
        <w:rPr>
          <w:rFonts w:ascii="Times New Roman" w:eastAsia="Times New Roman" w:hAnsi="Times New Roman" w:cs="Times New Roman"/>
          <w:sz w:val="24"/>
          <w:szCs w:val="24"/>
        </w:rPr>
        <w:t xml:space="preserve"> (standard mean error), with *p&lt;0.05, **p&lt;0.01, and ***p&lt;0.001 being regarded as statistical. The statistical analysis was followed by Dennett’s test, which is a one-way analysis of variance, in comparison to the control.</w:t>
      </w:r>
    </w:p>
    <w:p w14:paraId="34B3BE36" w14:textId="77777777" w:rsidR="00F0420A"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32"/>
          <w:szCs w:val="32"/>
        </w:rPr>
        <w:t>Conclusion:</w:t>
      </w:r>
      <w:r>
        <w:rPr>
          <w:rFonts w:ascii="Times New Roman" w:eastAsia="Times New Roman" w:hAnsi="Times New Roman" w:cs="Times New Roman"/>
          <w:sz w:val="24"/>
          <w:szCs w:val="24"/>
        </w:rPr>
        <w:t xml:space="preserve"> This study examined the anti-hyperlipidemic properties of an extract of </w:t>
      </w:r>
      <w:proofErr w:type="spellStart"/>
      <w:r>
        <w:rPr>
          <w:rFonts w:ascii="Times New Roman" w:eastAsia="Times New Roman" w:hAnsi="Times New Roman" w:cs="Times New Roman"/>
          <w:i/>
          <w:sz w:val="24"/>
          <w:szCs w:val="24"/>
        </w:rPr>
        <w:t>Sida</w:t>
      </w:r>
      <w:proofErr w:type="spellEnd"/>
      <w:r>
        <w:rPr>
          <w:rFonts w:ascii="Times New Roman" w:eastAsia="Times New Roman" w:hAnsi="Times New Roman" w:cs="Times New Roman"/>
          <w:i/>
          <w:sz w:val="24"/>
          <w:szCs w:val="24"/>
        </w:rPr>
        <w:t xml:space="preserve"> cordifolia</w:t>
      </w:r>
      <w:r>
        <w:rPr>
          <w:rFonts w:ascii="Times New Roman" w:eastAsia="Times New Roman" w:hAnsi="Times New Roman" w:cs="Times New Roman"/>
          <w:sz w:val="24"/>
          <w:szCs w:val="24"/>
        </w:rPr>
        <w:t xml:space="preserve"> in ethanol. An ethanol extract of the </w:t>
      </w:r>
      <w:proofErr w:type="spellStart"/>
      <w:r>
        <w:rPr>
          <w:rFonts w:ascii="Times New Roman" w:eastAsia="Times New Roman" w:hAnsi="Times New Roman" w:cs="Times New Roman"/>
          <w:i/>
          <w:sz w:val="24"/>
          <w:szCs w:val="24"/>
        </w:rPr>
        <w:t>Sida</w:t>
      </w:r>
      <w:proofErr w:type="spellEnd"/>
      <w:r>
        <w:rPr>
          <w:rFonts w:ascii="Times New Roman" w:eastAsia="Times New Roman" w:hAnsi="Times New Roman" w:cs="Times New Roman"/>
          <w:i/>
          <w:sz w:val="24"/>
          <w:szCs w:val="24"/>
        </w:rPr>
        <w:t xml:space="preserve"> cordifolia</w:t>
      </w:r>
      <w:r>
        <w:rPr>
          <w:rFonts w:ascii="Times New Roman" w:eastAsia="Times New Roman" w:hAnsi="Times New Roman" w:cs="Times New Roman"/>
          <w:sz w:val="24"/>
          <w:szCs w:val="24"/>
        </w:rPr>
        <w:t xml:space="preserve"> plant may offer protection against excessive cholesterol, liver damage, and kidney failure, according to the findings of this study. The precise active components in the whole extract that may lower diabetes and hyperlipidemia </w:t>
      </w:r>
      <w:r>
        <w:rPr>
          <w:rFonts w:ascii="Times New Roman" w:eastAsia="Times New Roman" w:hAnsi="Times New Roman" w:cs="Times New Roman"/>
          <w:sz w:val="24"/>
          <w:szCs w:val="24"/>
        </w:rPr>
        <w:lastRenderedPageBreak/>
        <w:t>need to be determined by more research. Following the identification of the active chemicals, a comprehensive analysis may be conducted.</w:t>
      </w:r>
    </w:p>
    <w:p w14:paraId="6E94EF83" w14:textId="77777777" w:rsidR="00F0420A" w:rsidRDefault="00F0420A"/>
    <w:p w14:paraId="62B562E2" w14:textId="77777777" w:rsidR="00F0420A" w:rsidRDefault="00F0420A"/>
    <w:p w14:paraId="639F6053"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Disclaimer (Artificial intelligence)</w:t>
      </w:r>
    </w:p>
    <w:p w14:paraId="743F4364"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 xml:space="preserve">Option 1: </w:t>
      </w:r>
    </w:p>
    <w:p w14:paraId="3A093B1B"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 xml:space="preserve">Author(s) hereby </w:t>
      </w:r>
      <w:proofErr w:type="gramStart"/>
      <w:r>
        <w:rPr>
          <w:rFonts w:cstheme="minorBidi"/>
          <w:kern w:val="2"/>
          <w:szCs w:val="22"/>
          <w:highlight w:val="yellow"/>
          <w:lang w:bidi="ar-SA"/>
          <w14:ligatures w14:val="standardContextual"/>
        </w:rPr>
        <w:t>declare</w:t>
      </w:r>
      <w:proofErr w:type="gramEnd"/>
      <w:r>
        <w:rPr>
          <w:rFonts w:cstheme="minorBidi"/>
          <w:kern w:val="2"/>
          <w:szCs w:val="22"/>
          <w:highlight w:val="yellow"/>
          <w:lang w:bidi="ar-SA"/>
          <w14:ligatures w14:val="standardContextual"/>
        </w:rPr>
        <w:t xml:space="preserve"> that NO generative AI technologies such as Large Language Models (ChatGPT, COPILOT, etc.) and text-to-image generators have been used during the writing or editing of this manuscript. </w:t>
      </w:r>
    </w:p>
    <w:p w14:paraId="0F2D4451"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 xml:space="preserve">Option 2: </w:t>
      </w:r>
    </w:p>
    <w:p w14:paraId="56A2922B"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 xml:space="preserve">Author(s) hereby </w:t>
      </w:r>
      <w:proofErr w:type="gramStart"/>
      <w:r>
        <w:rPr>
          <w:rFonts w:cstheme="minorBidi"/>
          <w:kern w:val="2"/>
          <w:szCs w:val="22"/>
          <w:highlight w:val="yellow"/>
          <w:lang w:bidi="ar-SA"/>
          <w14:ligatures w14:val="standardContextual"/>
        </w:rPr>
        <w:t>declare</w:t>
      </w:r>
      <w:proofErr w:type="gramEnd"/>
      <w:r>
        <w:rPr>
          <w:rFonts w:cstheme="minorBidi"/>
          <w:kern w:val="2"/>
          <w:szCs w:val="22"/>
          <w:highlight w:val="yellow"/>
          <w:lang w:bidi="ar-SA"/>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CE650C"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Details of the AI usage are given below:</w:t>
      </w:r>
    </w:p>
    <w:p w14:paraId="4A0746A4"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1.</w:t>
      </w:r>
    </w:p>
    <w:p w14:paraId="142DCDC8" w14:textId="77777777" w:rsidR="00F0420A" w:rsidRDefault="00000000">
      <w:pPr>
        <w:spacing w:after="200" w:line="276" w:lineRule="auto"/>
        <w:rPr>
          <w:rFonts w:cstheme="minorBidi"/>
          <w:kern w:val="2"/>
          <w:szCs w:val="22"/>
          <w:highlight w:val="yellow"/>
          <w:lang w:bidi="ar-SA"/>
          <w14:ligatures w14:val="standardContextual"/>
        </w:rPr>
      </w:pPr>
      <w:r>
        <w:rPr>
          <w:rFonts w:cstheme="minorBidi"/>
          <w:kern w:val="2"/>
          <w:szCs w:val="22"/>
          <w:highlight w:val="yellow"/>
          <w:lang w:bidi="ar-SA"/>
          <w14:ligatures w14:val="standardContextual"/>
        </w:rPr>
        <w:t>2.</w:t>
      </w:r>
    </w:p>
    <w:p w14:paraId="3C3C4115" w14:textId="77777777" w:rsidR="00F0420A" w:rsidRDefault="00000000">
      <w:pPr>
        <w:spacing w:after="200" w:line="276" w:lineRule="auto"/>
        <w:rPr>
          <w:rFonts w:cstheme="minorBidi"/>
          <w:kern w:val="2"/>
          <w:szCs w:val="22"/>
          <w:lang w:bidi="ar-SA"/>
          <w14:ligatures w14:val="standardContextual"/>
        </w:rPr>
      </w:pPr>
      <w:r>
        <w:rPr>
          <w:rFonts w:cstheme="minorBidi"/>
          <w:kern w:val="2"/>
          <w:szCs w:val="22"/>
          <w:highlight w:val="yellow"/>
          <w:lang w:bidi="ar-SA"/>
          <w14:ligatures w14:val="standardContextual"/>
        </w:rPr>
        <w:t>3.</w:t>
      </w:r>
    </w:p>
    <w:p w14:paraId="6E998AC8" w14:textId="77777777" w:rsidR="00F0420A" w:rsidRDefault="00F0420A">
      <w:pPr>
        <w:spacing w:after="200" w:line="276" w:lineRule="auto"/>
        <w:rPr>
          <w:rFonts w:cstheme="minorBidi"/>
          <w:kern w:val="2"/>
          <w:szCs w:val="22"/>
          <w:lang w:bidi="ar-SA"/>
          <w14:ligatures w14:val="standardContextual"/>
        </w:rPr>
      </w:pPr>
    </w:p>
    <w:p w14:paraId="136E17CA" w14:textId="77777777" w:rsidR="00F0420A" w:rsidRDefault="00F0420A"/>
    <w:p w14:paraId="0193610D" w14:textId="77777777" w:rsidR="00F0420A" w:rsidRDefault="00F0420A"/>
    <w:p w14:paraId="0DFED9D6" w14:textId="77777777" w:rsidR="00F0420A" w:rsidRDefault="00000000">
      <w:pPr>
        <w:pStyle w:val="Bibliography1"/>
        <w:rPr>
          <w:rFonts w:ascii="Calibri" w:hAnsi="Calibri" w:cs="Calibri"/>
        </w:rPr>
      </w:pPr>
      <w:r>
        <w:rPr>
          <w:b/>
        </w:rPr>
        <w:t>Reference:</w:t>
      </w:r>
      <w:r>
        <w:br/>
      </w:r>
      <w:r>
        <w:fldChar w:fldCharType="begin"/>
      </w:r>
      <w:r>
        <w:instrText xml:space="preserve"> ADDIN ZOTERO_BIBL {"uncited":[],"omitted":[],"custom":[]} CSL_BIBLIOGRAPHY </w:instrText>
      </w:r>
      <w:r>
        <w:fldChar w:fldCharType="separate"/>
      </w:r>
      <w:r>
        <w:rPr>
          <w:rFonts w:ascii="Calibri" w:hAnsi="Calibri" w:cs="Calibri"/>
        </w:rPr>
        <w:t>1.</w:t>
      </w:r>
      <w:r>
        <w:rPr>
          <w:rFonts w:ascii="Calibri" w:hAnsi="Calibri" w:cs="Calibri"/>
        </w:rPr>
        <w:tab/>
        <w:t xml:space="preserve">Stewart J, McCallin T, Martinez J, Chacko S, Yusuf S. Hyperlipidemia. Pediatr Rev. 2020 Aug;41(8):393–402. </w:t>
      </w:r>
    </w:p>
    <w:p w14:paraId="04F79D5F" w14:textId="77777777" w:rsidR="00F0420A" w:rsidRDefault="00000000">
      <w:pPr>
        <w:pStyle w:val="Bibliography1"/>
        <w:rPr>
          <w:rFonts w:ascii="Calibri" w:hAnsi="Calibri" w:cs="Calibri"/>
        </w:rPr>
      </w:pPr>
      <w:r>
        <w:rPr>
          <w:rFonts w:ascii="Calibri" w:hAnsi="Calibri" w:cs="Calibri"/>
        </w:rPr>
        <w:t>2.</w:t>
      </w:r>
      <w:r>
        <w:rPr>
          <w:rFonts w:ascii="Calibri" w:hAnsi="Calibri" w:cs="Calibri"/>
        </w:rPr>
        <w:tab/>
        <w:t xml:space="preserve">Mohammed O, Alemayehu E, Ebrahim E, Fiseha M, Gedefie A, Ali A, et al. Atherogenic dyslipidemia and associated risk factors among hypertensive patients of five health facilities in Northeast Ethiopia. PLOS ONE. 2023 Feb 14;18(2):e0277185. </w:t>
      </w:r>
    </w:p>
    <w:p w14:paraId="2A5CEE16" w14:textId="77777777" w:rsidR="00F0420A" w:rsidRDefault="00000000">
      <w:pPr>
        <w:pStyle w:val="Bibliography1"/>
        <w:rPr>
          <w:rFonts w:ascii="Calibri" w:hAnsi="Calibri" w:cs="Calibri"/>
        </w:rPr>
      </w:pPr>
      <w:r>
        <w:rPr>
          <w:rFonts w:ascii="Calibri" w:hAnsi="Calibri" w:cs="Calibri"/>
        </w:rPr>
        <w:t>3.</w:t>
      </w:r>
      <w:r>
        <w:rPr>
          <w:rFonts w:ascii="Calibri" w:hAnsi="Calibri" w:cs="Calibri"/>
        </w:rPr>
        <w:tab/>
        <w:t xml:space="preserve">Shohan FS, Dey S, Pranto TI, Ullah MR, Tasnim S, Baroi JA, et al. Investigating the Anti-diabetic and Lipid-regulating Properties of Eclipta alba in Alloxan-induced Diabetes. J Complement Altern Med Res. 2025 Jan 15;26(1):115–23. </w:t>
      </w:r>
    </w:p>
    <w:p w14:paraId="4A269666" w14:textId="77777777" w:rsidR="00F0420A" w:rsidRDefault="00000000">
      <w:pPr>
        <w:pStyle w:val="Bibliography1"/>
        <w:rPr>
          <w:rFonts w:ascii="Calibri" w:hAnsi="Calibri" w:cs="Calibri"/>
        </w:rPr>
      </w:pPr>
      <w:r>
        <w:rPr>
          <w:rFonts w:ascii="Calibri" w:hAnsi="Calibri" w:cs="Calibri"/>
        </w:rPr>
        <w:t>4.</w:t>
      </w:r>
      <w:r>
        <w:rPr>
          <w:rFonts w:ascii="Calibri" w:hAnsi="Calibri" w:cs="Calibri"/>
        </w:rPr>
        <w:tab/>
        <w:t xml:space="preserve">Mosa A, abd-alkareem Z, Naser I. Hyperlipidemia: pathophysiology, causes, complications, and treatment. A review 3. 2021 Dec 4; </w:t>
      </w:r>
    </w:p>
    <w:p w14:paraId="4564A56D" w14:textId="77777777" w:rsidR="00F0420A" w:rsidRDefault="00000000">
      <w:pPr>
        <w:pStyle w:val="Bibliography1"/>
        <w:rPr>
          <w:rFonts w:ascii="Calibri" w:hAnsi="Calibri" w:cs="Calibri"/>
        </w:rPr>
      </w:pPr>
      <w:r>
        <w:rPr>
          <w:rFonts w:ascii="Calibri" w:hAnsi="Calibri" w:cs="Calibri"/>
        </w:rPr>
        <w:lastRenderedPageBreak/>
        <w:t>5.</w:t>
      </w:r>
      <w:r>
        <w:rPr>
          <w:rFonts w:ascii="Calibri" w:hAnsi="Calibri" w:cs="Calibri"/>
        </w:rPr>
        <w:tab/>
        <w:t xml:space="preserve">Singh S, Shankar R, Singh GP. Prevalence and Associated Risk Factors of Hypertension: A Cross-Sectional Study in Urban Varanasi. Int J Hypertens. 2017 Dec 3;2017:e5491838. </w:t>
      </w:r>
    </w:p>
    <w:p w14:paraId="412B2B00" w14:textId="77777777" w:rsidR="00F0420A" w:rsidRPr="0044751A" w:rsidRDefault="00000000">
      <w:pPr>
        <w:pStyle w:val="Bibliography1"/>
        <w:rPr>
          <w:rFonts w:ascii="Calibri" w:hAnsi="Calibri" w:cs="Calibri"/>
          <w:lang w:val="nl-BE"/>
        </w:rPr>
      </w:pPr>
      <w:r>
        <w:rPr>
          <w:rFonts w:ascii="Calibri" w:hAnsi="Calibri" w:cs="Calibri"/>
        </w:rPr>
        <w:t>6.</w:t>
      </w:r>
      <w:r>
        <w:rPr>
          <w:rFonts w:ascii="Calibri" w:hAnsi="Calibri" w:cs="Calibri"/>
        </w:rPr>
        <w:tab/>
        <w:t xml:space="preserve">Pe O, Cs AO, Okorocha A, Ao A. Hyperlipidemia: Etiology and Possible Control. </w:t>
      </w:r>
      <w:r w:rsidRPr="0044751A">
        <w:rPr>
          <w:rFonts w:ascii="Calibri" w:hAnsi="Calibri" w:cs="Calibri"/>
          <w:lang w:val="nl-BE"/>
        </w:rPr>
        <w:t xml:space="preserve">IOSR J Dent Med Sci. 2015 Nov 1;14:93–100. </w:t>
      </w:r>
    </w:p>
    <w:p w14:paraId="301D8820" w14:textId="77777777" w:rsidR="00F0420A" w:rsidRDefault="00000000">
      <w:pPr>
        <w:pStyle w:val="Bibliography1"/>
        <w:rPr>
          <w:rFonts w:ascii="Calibri" w:hAnsi="Calibri" w:cs="Calibri"/>
        </w:rPr>
      </w:pPr>
      <w:r w:rsidRPr="0044751A">
        <w:rPr>
          <w:rFonts w:ascii="Calibri" w:hAnsi="Calibri" w:cs="Calibri"/>
          <w:lang w:val="nl-BE"/>
        </w:rPr>
        <w:t>7.</w:t>
      </w:r>
      <w:r w:rsidRPr="0044751A">
        <w:rPr>
          <w:rFonts w:ascii="Calibri" w:hAnsi="Calibri" w:cs="Calibri"/>
          <w:lang w:val="nl-BE"/>
        </w:rPr>
        <w:tab/>
        <w:t xml:space="preserve">Li Z, Zhu G, Chen G, Luo M, Liu X, Chen Z, et al. </w:t>
      </w:r>
      <w:r>
        <w:rPr>
          <w:rFonts w:ascii="Calibri" w:hAnsi="Calibri" w:cs="Calibri"/>
        </w:rPr>
        <w:t xml:space="preserve">Distribution of lipid levels and prevalence of hyperlipidemia: data from the NHANES 2007-2018. Lipids Health Dis. 2022 Oct 28;21(1):111. </w:t>
      </w:r>
    </w:p>
    <w:p w14:paraId="77FC0764" w14:textId="77777777" w:rsidR="00F0420A" w:rsidRDefault="00000000">
      <w:pPr>
        <w:pStyle w:val="Bibliography1"/>
        <w:rPr>
          <w:rFonts w:ascii="Calibri" w:hAnsi="Calibri" w:cs="Calibri"/>
        </w:rPr>
      </w:pPr>
      <w:r>
        <w:rPr>
          <w:rFonts w:ascii="Calibri" w:hAnsi="Calibri" w:cs="Calibri"/>
        </w:rPr>
        <w:t>8.</w:t>
      </w:r>
      <w:r>
        <w:rPr>
          <w:rFonts w:ascii="Calibri" w:hAnsi="Calibri" w:cs="Calibri"/>
        </w:rPr>
        <w:tab/>
        <w:t xml:space="preserve">Kianbakht S, Abasi B, Perham M, Hashem Dabaghian F. Antihyperlipidemic effects of Salvia officinalis L. leaf extract in patients with hyperlipidemia: a randomized double-blind placebo-controlled clinical trial. Phytother Res PTR. 2011 Dec;25(12):1849–53. </w:t>
      </w:r>
    </w:p>
    <w:p w14:paraId="1AB48A61" w14:textId="77777777" w:rsidR="00F0420A" w:rsidRDefault="00000000">
      <w:pPr>
        <w:pStyle w:val="Bibliography1"/>
        <w:rPr>
          <w:rFonts w:ascii="Calibri" w:hAnsi="Calibri" w:cs="Calibri"/>
        </w:rPr>
      </w:pPr>
      <w:r>
        <w:rPr>
          <w:rFonts w:ascii="Calibri" w:hAnsi="Calibri" w:cs="Calibri"/>
        </w:rPr>
        <w:t>9.</w:t>
      </w:r>
      <w:r>
        <w:rPr>
          <w:rFonts w:ascii="Calibri" w:hAnsi="Calibri" w:cs="Calibri"/>
        </w:rPr>
        <w:tab/>
        <w:t xml:space="preserve">A DA, C P, K M, T.s D. Hypolipidemic Activity of Cyperous rotundus on CCl4 Induced Dyslipidemia in Rats. Asian J Pharm Technol. 2012 Jun 28;2(2):51–3. </w:t>
      </w:r>
    </w:p>
    <w:p w14:paraId="1B2D793E" w14:textId="77777777" w:rsidR="00F0420A" w:rsidRDefault="00000000">
      <w:pPr>
        <w:pStyle w:val="Bibliography1"/>
        <w:rPr>
          <w:rFonts w:ascii="Calibri" w:hAnsi="Calibri" w:cs="Calibri"/>
        </w:rPr>
      </w:pPr>
      <w:r>
        <w:rPr>
          <w:rFonts w:ascii="Calibri" w:hAnsi="Calibri" w:cs="Calibri"/>
        </w:rPr>
        <w:t>10.</w:t>
      </w:r>
      <w:r>
        <w:rPr>
          <w:rFonts w:ascii="Calibri" w:hAnsi="Calibri" w:cs="Calibri"/>
        </w:rPr>
        <w:tab/>
        <w:t xml:space="preserve">Bandyopadhyay D, Qureshi A, Ghosh S, Ashish K, Heise LR, Hajra A, et al. Safety and Efficacy of Extremely Low LDL-Cholesterol Levels and Its Prospects in Hyperlipidemia Management. J Lipids. 2018;2018:8598054. </w:t>
      </w:r>
    </w:p>
    <w:p w14:paraId="3A90F65F" w14:textId="77777777" w:rsidR="00F0420A" w:rsidRDefault="00000000">
      <w:pPr>
        <w:pStyle w:val="Bibliography1"/>
        <w:rPr>
          <w:rFonts w:ascii="Calibri" w:hAnsi="Calibri" w:cs="Calibri"/>
        </w:rPr>
      </w:pPr>
      <w:r>
        <w:rPr>
          <w:rFonts w:ascii="Calibri" w:hAnsi="Calibri" w:cs="Calibri"/>
        </w:rPr>
        <w:t>11.</w:t>
      </w:r>
      <w:r>
        <w:rPr>
          <w:rFonts w:ascii="Calibri" w:hAnsi="Calibri" w:cs="Calibri"/>
        </w:rPr>
        <w:tab/>
        <w:t xml:space="preserve">Shattat G. A Review Article on Hyperlipidemia: Types, Treatments and New Drug Targets. Biomed Pharmacol J. 2014 Dec 30;7:399–409. </w:t>
      </w:r>
    </w:p>
    <w:p w14:paraId="664872DA" w14:textId="77777777" w:rsidR="00F0420A" w:rsidRDefault="00000000">
      <w:pPr>
        <w:pStyle w:val="Bibliography1"/>
        <w:rPr>
          <w:rFonts w:ascii="Calibri" w:hAnsi="Calibri" w:cs="Calibri"/>
        </w:rPr>
      </w:pPr>
      <w:r>
        <w:rPr>
          <w:rFonts w:ascii="Calibri" w:hAnsi="Calibri" w:cs="Calibri"/>
        </w:rPr>
        <w:t>12.</w:t>
      </w:r>
      <w:r>
        <w:rPr>
          <w:rFonts w:ascii="Calibri" w:hAnsi="Calibri" w:cs="Calibri"/>
        </w:rPr>
        <w:tab/>
        <w:t xml:space="preserve">Farnier M, Davignon J. Current and future treatment of hyperlipidemia: the role of statins. Am J Cardiol. 1998 Aug 27;82(4B):3J-10J. </w:t>
      </w:r>
    </w:p>
    <w:p w14:paraId="046AF4F5" w14:textId="77777777" w:rsidR="00F0420A" w:rsidRDefault="00000000">
      <w:pPr>
        <w:pStyle w:val="Bibliography1"/>
        <w:rPr>
          <w:rFonts w:ascii="Calibri" w:hAnsi="Calibri" w:cs="Calibri"/>
        </w:rPr>
      </w:pPr>
      <w:r>
        <w:rPr>
          <w:rFonts w:ascii="Calibri" w:hAnsi="Calibri" w:cs="Calibri"/>
        </w:rPr>
        <w:t>13.</w:t>
      </w:r>
      <w:r>
        <w:rPr>
          <w:rFonts w:ascii="Calibri" w:hAnsi="Calibri" w:cs="Calibri"/>
        </w:rPr>
        <w:tab/>
        <w:t xml:space="preserve">Lammert E, Zeeb M. Metabolism of Human Diseases: Organ Physiology and Pathophysiology. 2014. 1 p. </w:t>
      </w:r>
    </w:p>
    <w:p w14:paraId="164413BA" w14:textId="77777777" w:rsidR="00F0420A" w:rsidRDefault="00000000">
      <w:pPr>
        <w:pStyle w:val="Bibliography1"/>
        <w:rPr>
          <w:rFonts w:ascii="Calibri" w:hAnsi="Calibri" w:cs="Calibri"/>
        </w:rPr>
      </w:pPr>
      <w:r>
        <w:rPr>
          <w:rFonts w:ascii="Calibri" w:hAnsi="Calibri" w:cs="Calibri"/>
        </w:rPr>
        <w:t>14.</w:t>
      </w:r>
      <w:r>
        <w:rPr>
          <w:rFonts w:ascii="Calibri" w:hAnsi="Calibri" w:cs="Calibri"/>
        </w:rPr>
        <w:tab/>
        <w:t xml:space="preserve">Ramkumar S, Raghunath A, Raghunath S. Statin Therapy: Review of Safety and Potential Side Effects. Acta Cardiol Sin. 2016 Nov;32(6):631–9. </w:t>
      </w:r>
    </w:p>
    <w:p w14:paraId="4CB58D4D" w14:textId="77777777" w:rsidR="00F0420A" w:rsidRDefault="00000000">
      <w:pPr>
        <w:pStyle w:val="Bibliography1"/>
        <w:rPr>
          <w:rFonts w:ascii="Calibri" w:hAnsi="Calibri" w:cs="Calibri"/>
        </w:rPr>
      </w:pPr>
      <w:r>
        <w:rPr>
          <w:rFonts w:ascii="Calibri" w:hAnsi="Calibri" w:cs="Calibri"/>
        </w:rPr>
        <w:t>15.</w:t>
      </w:r>
      <w:r>
        <w:rPr>
          <w:rFonts w:ascii="Calibri" w:hAnsi="Calibri" w:cs="Calibri"/>
        </w:rPr>
        <w:tab/>
        <w:t xml:space="preserve">Thompson PD, Panza G, Zaleski A, Taylor B. Statin-Associated Side Effects. J Am Coll Cardiol. 2016 May 24;67(20):2395–410. </w:t>
      </w:r>
    </w:p>
    <w:p w14:paraId="6BFAAECB" w14:textId="77777777" w:rsidR="00F0420A" w:rsidRDefault="00000000">
      <w:pPr>
        <w:pStyle w:val="Bibliography1"/>
        <w:rPr>
          <w:rFonts w:ascii="Calibri" w:hAnsi="Calibri" w:cs="Calibri"/>
        </w:rPr>
      </w:pPr>
      <w:r>
        <w:rPr>
          <w:rFonts w:ascii="Calibri" w:hAnsi="Calibri" w:cs="Calibri"/>
        </w:rPr>
        <w:t>16.</w:t>
      </w:r>
      <w:r>
        <w:rPr>
          <w:rFonts w:ascii="Calibri" w:hAnsi="Calibri" w:cs="Calibri"/>
        </w:rPr>
        <w:tab/>
        <w:t xml:space="preserve">El-Tantawy WH, Temraz A. Natural products for controlling hyperlipidemia: review. Arch Physiol Biochem. 2019 May;125(2):128–35. </w:t>
      </w:r>
    </w:p>
    <w:p w14:paraId="0B108A33" w14:textId="77777777" w:rsidR="00F0420A" w:rsidRDefault="00000000">
      <w:pPr>
        <w:pStyle w:val="Bibliography1"/>
        <w:rPr>
          <w:rFonts w:ascii="Calibri" w:hAnsi="Calibri" w:cs="Calibri"/>
        </w:rPr>
      </w:pPr>
      <w:r>
        <w:rPr>
          <w:rFonts w:ascii="Calibri" w:hAnsi="Calibri" w:cs="Calibri"/>
        </w:rPr>
        <w:t>17.</w:t>
      </w:r>
      <w:r>
        <w:rPr>
          <w:rFonts w:ascii="Calibri" w:hAnsi="Calibri" w:cs="Calibri"/>
        </w:rPr>
        <w:tab/>
        <w:t xml:space="preserve">Toha IW, Promi SI, Barai S, Mamun AA, Sagir S, Tasnim S, et al. Exploring the Therapeutic Efficacy of Ethanolic Extract of Benincasa hispida in Alloxan Induced Diabetic Rats. J Complement Altern Med Res. 2025 Jan 13;26(1):79–86. </w:t>
      </w:r>
    </w:p>
    <w:p w14:paraId="14928219" w14:textId="77777777" w:rsidR="00F0420A" w:rsidRDefault="00000000">
      <w:pPr>
        <w:pStyle w:val="Bibliography1"/>
        <w:rPr>
          <w:rFonts w:ascii="Calibri" w:hAnsi="Calibri" w:cs="Calibri"/>
        </w:rPr>
      </w:pPr>
      <w:r>
        <w:rPr>
          <w:rFonts w:ascii="Calibri" w:hAnsi="Calibri" w:cs="Calibri"/>
        </w:rPr>
        <w:t>18.</w:t>
      </w:r>
      <w:r>
        <w:rPr>
          <w:rFonts w:ascii="Calibri" w:hAnsi="Calibri" w:cs="Calibri"/>
        </w:rPr>
        <w:tab/>
        <w:t xml:space="preserve">Haque E, Kamal MS, Tahsin MR, Ahmed R, Choudhury JA, Chowdhury AA, et al. Current Knowledge Regarding Pharmacological Profile and Chemical Constituents of Gynura procumbens. Curr Top Med Chem. 2021;21(29):2671–86. </w:t>
      </w:r>
    </w:p>
    <w:p w14:paraId="5395BC11" w14:textId="77777777" w:rsidR="00F0420A" w:rsidRDefault="00000000">
      <w:pPr>
        <w:pStyle w:val="Bibliography1"/>
        <w:rPr>
          <w:rFonts w:ascii="Calibri" w:hAnsi="Calibri" w:cs="Calibri"/>
        </w:rPr>
      </w:pPr>
      <w:r>
        <w:rPr>
          <w:rFonts w:ascii="Calibri" w:hAnsi="Calibri" w:cs="Calibri"/>
        </w:rPr>
        <w:t>19.</w:t>
      </w:r>
      <w:r>
        <w:rPr>
          <w:rFonts w:ascii="Calibri" w:hAnsi="Calibri" w:cs="Calibri"/>
        </w:rPr>
        <w:tab/>
        <w:t xml:space="preserve">Tahsin MR, Tithi TI, Mim SR, Haque E, Sultana A, Bahar NB, et al. In Vivo and In Silico Assessment of Diabetes Ameliorating Potentiality and Safety Profile of </w:t>
      </w:r>
      <w:r>
        <w:rPr>
          <w:rFonts w:ascii="Calibri" w:hAnsi="Calibri" w:cs="Calibri"/>
          <w:i/>
          <w:iCs/>
        </w:rPr>
        <w:t>Gynura procumbens</w:t>
      </w:r>
      <w:r>
        <w:rPr>
          <w:rFonts w:ascii="Calibri" w:hAnsi="Calibri" w:cs="Calibri"/>
        </w:rPr>
        <w:t xml:space="preserve"> Leaves. Evid Based Complement Alternat Med. 2022 Jan 19;2022:e9095504. </w:t>
      </w:r>
    </w:p>
    <w:p w14:paraId="325CC0DA" w14:textId="77777777" w:rsidR="00F0420A" w:rsidRDefault="00000000">
      <w:pPr>
        <w:pStyle w:val="Bibliography1"/>
        <w:rPr>
          <w:rFonts w:ascii="Calibri" w:hAnsi="Calibri" w:cs="Calibri"/>
        </w:rPr>
      </w:pPr>
      <w:r>
        <w:rPr>
          <w:rFonts w:ascii="Calibri" w:hAnsi="Calibri" w:cs="Calibri"/>
        </w:rPr>
        <w:lastRenderedPageBreak/>
        <w:t>20.</w:t>
      </w:r>
      <w:r>
        <w:rPr>
          <w:rFonts w:ascii="Calibri" w:hAnsi="Calibri" w:cs="Calibri"/>
        </w:rPr>
        <w:tab/>
        <w:t xml:space="preserve">Tithi TI, Tahsin MR, Anjum J, Zaman TS, Aktar F, Bahar NB, et al. An in vivo and in silico evaluation of the hepatoprotective potential of Gynura procumbens: A promising agent for combating hepatotoxicity. PLOS ONE. 2023 Sep 15;18(9):e0291125. </w:t>
      </w:r>
    </w:p>
    <w:p w14:paraId="2B5F3B85" w14:textId="77777777" w:rsidR="00F0420A" w:rsidRDefault="00000000">
      <w:pPr>
        <w:pStyle w:val="Bibliography1"/>
        <w:rPr>
          <w:rFonts w:ascii="Calibri" w:hAnsi="Calibri" w:cs="Calibri"/>
        </w:rPr>
      </w:pPr>
      <w:r>
        <w:rPr>
          <w:rFonts w:ascii="Calibri" w:hAnsi="Calibri" w:cs="Calibri"/>
        </w:rPr>
        <w:t>21.</w:t>
      </w:r>
      <w:r>
        <w:rPr>
          <w:rFonts w:ascii="Calibri" w:hAnsi="Calibri" w:cs="Calibri"/>
        </w:rPr>
        <w:tab/>
        <w:t xml:space="preserve">Jain A, Choubey S, Singour PK, Rajak H, Pawar RS. Sida cordifolia (Linn) – An overview. J Appl Pharm Sci. </w:t>
      </w:r>
    </w:p>
    <w:p w14:paraId="7F7B2C5D" w14:textId="77777777" w:rsidR="00F0420A" w:rsidRDefault="00000000">
      <w:pPr>
        <w:pStyle w:val="Bibliography1"/>
        <w:rPr>
          <w:rFonts w:ascii="Calibri" w:hAnsi="Calibri" w:cs="Calibri"/>
        </w:rPr>
      </w:pPr>
      <w:r>
        <w:rPr>
          <w:rFonts w:ascii="Calibri" w:hAnsi="Calibri" w:cs="Calibri"/>
        </w:rPr>
        <w:t>22.</w:t>
      </w:r>
      <w:r>
        <w:rPr>
          <w:rFonts w:ascii="Calibri" w:hAnsi="Calibri" w:cs="Calibri"/>
        </w:rPr>
        <w:tab/>
        <w:t xml:space="preserve">Galal A, Raman V, Khan I. Sida cordifolia, a Traditional Herb in Modern Perspective – A Review. Curr Tradit Med. 2015 Jun 11;1:5–17. </w:t>
      </w:r>
    </w:p>
    <w:p w14:paraId="3361DDD4" w14:textId="77777777" w:rsidR="00F0420A" w:rsidRDefault="00000000">
      <w:pPr>
        <w:pStyle w:val="Bibliography1"/>
        <w:rPr>
          <w:rFonts w:ascii="Calibri" w:hAnsi="Calibri" w:cs="Calibri"/>
        </w:rPr>
      </w:pPr>
      <w:r>
        <w:rPr>
          <w:rFonts w:ascii="Calibri" w:hAnsi="Calibri" w:cs="Calibri"/>
        </w:rPr>
        <w:t>23.</w:t>
      </w:r>
      <w:r>
        <w:rPr>
          <w:rFonts w:ascii="Calibri" w:hAnsi="Calibri" w:cs="Calibri"/>
        </w:rPr>
        <w:tab/>
        <w:t xml:space="preserve">Kanth VR, Diwan PV. Analgesic, antiinflammatory and hypoglycaemic activities of Sida cordifolia. Phytother Res PTR. 1999 Feb;13(1):75–7. </w:t>
      </w:r>
    </w:p>
    <w:p w14:paraId="4C87D32D" w14:textId="77777777" w:rsidR="00F0420A" w:rsidRDefault="00000000">
      <w:pPr>
        <w:pStyle w:val="Bibliography1"/>
        <w:rPr>
          <w:rFonts w:ascii="Calibri" w:hAnsi="Calibri" w:cs="Calibri"/>
        </w:rPr>
      </w:pPr>
      <w:r>
        <w:rPr>
          <w:rFonts w:ascii="Calibri" w:hAnsi="Calibri" w:cs="Calibri"/>
        </w:rPr>
        <w:t>24.</w:t>
      </w:r>
      <w:r>
        <w:rPr>
          <w:rFonts w:ascii="Calibri" w:hAnsi="Calibri" w:cs="Calibri"/>
        </w:rPr>
        <w:tab/>
        <w:t xml:space="preserve">Ahmad M, Prawez S, Sultana S, Raina R, Pankaj NK, Verma P, et al. Anti-Hyperglycemic, Anti-Hyperlipidemic and Antioxidant Potential of Alcoholic-Extract of Sida cordifolia (Areal Part) in Streptozotocin-Induced-Diabetes in Wistar-Rats. Proc Natl Acad Sci India - Sect B Biol Sci. 2013 Jun 1;84. </w:t>
      </w:r>
    </w:p>
    <w:p w14:paraId="11BD31ED" w14:textId="77777777" w:rsidR="00F0420A" w:rsidRDefault="00000000">
      <w:pPr>
        <w:pStyle w:val="Bibliography1"/>
        <w:rPr>
          <w:rFonts w:ascii="Calibri" w:hAnsi="Calibri" w:cs="Calibri"/>
        </w:rPr>
      </w:pPr>
      <w:r>
        <w:rPr>
          <w:rFonts w:ascii="Calibri" w:hAnsi="Calibri" w:cs="Calibri"/>
        </w:rPr>
        <w:t>25.</w:t>
      </w:r>
      <w:r>
        <w:rPr>
          <w:rFonts w:ascii="Calibri" w:hAnsi="Calibri" w:cs="Calibri"/>
        </w:rPr>
        <w:tab/>
        <w:t xml:space="preserve">Joseph B, Ajisha SU, Kumari S, Sujatha S. Effect of bioactive compounds and its pharmaceutical activities of sida cordifolia (linn.). </w:t>
      </w:r>
    </w:p>
    <w:p w14:paraId="22311D01" w14:textId="77777777" w:rsidR="00F0420A" w:rsidRDefault="00000000">
      <w:pPr>
        <w:pStyle w:val="Bibliography1"/>
        <w:rPr>
          <w:rFonts w:ascii="Calibri" w:hAnsi="Calibri" w:cs="Calibri"/>
        </w:rPr>
      </w:pPr>
      <w:r>
        <w:rPr>
          <w:rFonts w:ascii="Calibri" w:hAnsi="Calibri" w:cs="Calibri"/>
        </w:rPr>
        <w:t>26.</w:t>
      </w:r>
      <w:r>
        <w:rPr>
          <w:rFonts w:ascii="Calibri" w:hAnsi="Calibri" w:cs="Calibri"/>
        </w:rPr>
        <w:tab/>
        <w:t xml:space="preserve">Jannat B, Khastagir S, Shakil M, Haider Z, Tasnim S, Rashid SB, et al. Evaluation of the Anti-Diabetic and Biochemical Effects of Ocimum sanctum Extract in Alloxan Induced Rat Model. J Complement Altern Med Res. 2025 Jan 22;26(2):1–8. </w:t>
      </w:r>
    </w:p>
    <w:p w14:paraId="513262EA" w14:textId="77777777" w:rsidR="00F0420A" w:rsidRDefault="00000000">
      <w:pPr>
        <w:pStyle w:val="Bibliography1"/>
        <w:rPr>
          <w:rFonts w:ascii="Calibri" w:hAnsi="Calibri" w:cs="Calibri"/>
        </w:rPr>
      </w:pPr>
      <w:r>
        <w:rPr>
          <w:rFonts w:ascii="Calibri" w:hAnsi="Calibri" w:cs="Calibri"/>
        </w:rPr>
        <w:t>27.</w:t>
      </w:r>
      <w:r>
        <w:rPr>
          <w:rFonts w:ascii="Calibri" w:hAnsi="Calibri" w:cs="Calibri"/>
        </w:rPr>
        <w:tab/>
        <w:t xml:space="preserve">AlSaid M, Mothana R, Raish M, Al-Sohaibani M, Al-Yahya M, Ahmad A, et al. Evaluation of the Effectiveness of Piper cubeba Extract in the Amelioration of CCl4-Induced Liver Injuries and Oxidative Damage in the Rodent Model. BioMed Res Int. 2015;2015:359358. </w:t>
      </w:r>
    </w:p>
    <w:p w14:paraId="150983A7" w14:textId="77777777" w:rsidR="00F0420A" w:rsidRDefault="00000000">
      <w:pPr>
        <w:pStyle w:val="Bibliography1"/>
        <w:rPr>
          <w:rFonts w:ascii="Calibri" w:hAnsi="Calibri" w:cs="Calibri"/>
        </w:rPr>
      </w:pPr>
      <w:r>
        <w:rPr>
          <w:rFonts w:ascii="Calibri" w:hAnsi="Calibri" w:cs="Calibri"/>
        </w:rPr>
        <w:t>28.</w:t>
      </w:r>
      <w:r>
        <w:rPr>
          <w:rFonts w:ascii="Calibri" w:hAnsi="Calibri" w:cs="Calibri"/>
        </w:rPr>
        <w:tab/>
        <w:t xml:space="preserve">Tahsin MdR, Sultana A, Mohtasim Khan MS, Jahan I, Mim SR, Tithi TI, et al. An evaluation of pharmacological healing potentialities of Terminalia Arjuna against several ailments on experimental rat models with an in-silico approach. Heliyon. 2021 Nov 1;7(11):e08225. </w:t>
      </w:r>
    </w:p>
    <w:p w14:paraId="290C4C93" w14:textId="77777777" w:rsidR="00F0420A" w:rsidRDefault="00000000">
      <w:pPr>
        <w:pStyle w:val="Bibliography1"/>
        <w:rPr>
          <w:rFonts w:ascii="Calibri" w:hAnsi="Calibri" w:cs="Calibri"/>
        </w:rPr>
      </w:pPr>
      <w:r>
        <w:rPr>
          <w:rFonts w:ascii="Calibri" w:hAnsi="Calibri" w:cs="Calibri"/>
        </w:rPr>
        <w:t>29.</w:t>
      </w:r>
      <w:r>
        <w:rPr>
          <w:rFonts w:ascii="Calibri" w:hAnsi="Calibri" w:cs="Calibri"/>
        </w:rPr>
        <w:tab/>
        <w:t xml:space="preserve">Tahsin MR, Tithi TI, Mim SR, Haque E, Sultana A, Bahar NB, et al. In Vivo and In Silico Assessment of Diabetes Ameliorating Potentiality and Safety Profile of Gynura procumbens Leaves. Evid-Based Complement Altern Med ECAM. 2022;2022:9095504. </w:t>
      </w:r>
    </w:p>
    <w:p w14:paraId="57E27200" w14:textId="77777777" w:rsidR="00F0420A" w:rsidRDefault="00000000">
      <w:pPr>
        <w:pStyle w:val="Bibliography1"/>
        <w:rPr>
          <w:rFonts w:ascii="Calibri" w:hAnsi="Calibri" w:cs="Calibri"/>
        </w:rPr>
      </w:pPr>
      <w:r>
        <w:rPr>
          <w:rFonts w:ascii="Calibri" w:hAnsi="Calibri" w:cs="Calibri"/>
        </w:rPr>
        <w:t>30.</w:t>
      </w:r>
      <w:r>
        <w:rPr>
          <w:rFonts w:ascii="Calibri" w:hAnsi="Calibri" w:cs="Calibri"/>
        </w:rPr>
        <w:tab/>
        <w:t xml:space="preserve">Shawon SJ, Khan S, Rahmat S, Prottasha MK, Nafsan MNR, Tasnim S, et al. Therapeutic Insights into Mangifera indica: Managing Diabetes and Hyperlipidemia in Alloxan-treated Rats. J Complement Altern Med Res. 2025 Jan 15;26(1):106–14. </w:t>
      </w:r>
    </w:p>
    <w:p w14:paraId="253C5899" w14:textId="77777777" w:rsidR="00F0420A" w:rsidRDefault="00000000">
      <w:r>
        <w:fldChar w:fldCharType="end"/>
      </w:r>
    </w:p>
    <w:sectPr w:rsidR="00F042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1F37" w14:textId="77777777" w:rsidR="00B960B3" w:rsidRDefault="00B960B3">
      <w:pPr>
        <w:spacing w:line="240" w:lineRule="auto"/>
      </w:pPr>
      <w:r>
        <w:separator/>
      </w:r>
    </w:p>
  </w:endnote>
  <w:endnote w:type="continuationSeparator" w:id="0">
    <w:p w14:paraId="497984A4" w14:textId="77777777" w:rsidR="00B960B3" w:rsidRDefault="00B96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3A99" w14:textId="77777777" w:rsidR="00F0420A" w:rsidRDefault="00F04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2D1D" w14:textId="77777777" w:rsidR="00F0420A" w:rsidRDefault="00F04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FBCB" w14:textId="77777777" w:rsidR="00F0420A" w:rsidRDefault="00F04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A110" w14:textId="77777777" w:rsidR="00B960B3" w:rsidRDefault="00B960B3">
      <w:pPr>
        <w:spacing w:after="0"/>
      </w:pPr>
      <w:r>
        <w:separator/>
      </w:r>
    </w:p>
  </w:footnote>
  <w:footnote w:type="continuationSeparator" w:id="0">
    <w:p w14:paraId="1E3E7825" w14:textId="77777777" w:rsidR="00B960B3" w:rsidRDefault="00B96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A8A7" w14:textId="77777777" w:rsidR="00F0420A" w:rsidRDefault="00000000">
    <w:pPr>
      <w:pStyle w:val="Header"/>
    </w:pPr>
    <w:r>
      <w:pict w14:anchorId="6EC6F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6"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D20E" w14:textId="77777777" w:rsidR="00F0420A" w:rsidRDefault="00000000">
    <w:pPr>
      <w:pStyle w:val="Header"/>
    </w:pPr>
    <w:r>
      <w:pict w14:anchorId="61E6E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7"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44AC" w14:textId="77777777" w:rsidR="00F0420A" w:rsidRDefault="00000000">
    <w:pPr>
      <w:pStyle w:val="Header"/>
    </w:pPr>
    <w:r>
      <w:pict w14:anchorId="72BCA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5"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AC8"/>
    <w:rsid w:val="00044546"/>
    <w:rsid w:val="00080515"/>
    <w:rsid w:val="000F571C"/>
    <w:rsid w:val="00121CDB"/>
    <w:rsid w:val="00170DAF"/>
    <w:rsid w:val="001F49E1"/>
    <w:rsid w:val="00270BF1"/>
    <w:rsid w:val="002C498A"/>
    <w:rsid w:val="002D7A6D"/>
    <w:rsid w:val="004255E1"/>
    <w:rsid w:val="0042794A"/>
    <w:rsid w:val="0044751A"/>
    <w:rsid w:val="005472F3"/>
    <w:rsid w:val="00556D72"/>
    <w:rsid w:val="006430BF"/>
    <w:rsid w:val="00645CAD"/>
    <w:rsid w:val="006C4C89"/>
    <w:rsid w:val="0087475C"/>
    <w:rsid w:val="008D34E6"/>
    <w:rsid w:val="008E57B3"/>
    <w:rsid w:val="009A0D90"/>
    <w:rsid w:val="009C0D7B"/>
    <w:rsid w:val="00B87B77"/>
    <w:rsid w:val="00B960B3"/>
    <w:rsid w:val="00C05803"/>
    <w:rsid w:val="00DD3AC8"/>
    <w:rsid w:val="00E259EA"/>
    <w:rsid w:val="00E43882"/>
    <w:rsid w:val="00E815C1"/>
    <w:rsid w:val="00F0420A"/>
    <w:rsid w:val="00F80B7A"/>
    <w:rsid w:val="00F94473"/>
    <w:rsid w:val="00FA58CB"/>
    <w:rsid w:val="72D82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FAF6"/>
  <w15:docId w15:val="{D5DB6D4B-B199-4230-BB59-C46849BF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Vrinda"/>
      <w:sz w:val="22"/>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Pr>
      <w:b/>
      <w:bCs/>
    </w:rPr>
  </w:style>
  <w:style w:type="table" w:styleId="TableGrid">
    <w:name w:val="Table Grid"/>
    <w:basedOn w:val="TableNormal"/>
    <w:uiPriority w:val="39"/>
    <w:pPr>
      <w:ind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n-css-0">
    <w:name w:val="extn-css-0"/>
    <w:basedOn w:val="DefaultParagraphFont"/>
  </w:style>
  <w:style w:type="character" w:customStyle="1" w:styleId="extn-css-1tmeul0">
    <w:name w:val="extn-css-1tmeul0"/>
    <w:basedOn w:val="DefaultParagraphFont"/>
  </w:style>
  <w:style w:type="paragraph" w:customStyle="1" w:styleId="Bibliography1">
    <w:name w:val="Bibliography1"/>
    <w:basedOn w:val="Normal"/>
    <w:next w:val="Normal"/>
    <w:uiPriority w:val="37"/>
    <w:unhideWhenUsed/>
    <w:pPr>
      <w:tabs>
        <w:tab w:val="left" w:pos="264"/>
      </w:tabs>
      <w:spacing w:after="240" w:line="240" w:lineRule="auto"/>
      <w:ind w:left="264" w:hanging="264"/>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cs="Vrinda"/>
      <w:szCs w:val="28"/>
      <w:lang w:bidi="bn-BD"/>
    </w:rPr>
  </w:style>
  <w:style w:type="character" w:customStyle="1" w:styleId="FooterChar">
    <w:name w:val="Footer Char"/>
    <w:basedOn w:val="DefaultParagraphFont"/>
    <w:link w:val="Footer"/>
    <w:uiPriority w:val="99"/>
    <w:rPr>
      <w:rFonts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14636</Words>
  <Characters>83430</Characters>
  <Application>Microsoft Office Word</Application>
  <DocSecurity>0</DocSecurity>
  <Lines>695</Lines>
  <Paragraphs>195</Paragraphs>
  <ScaleCrop>false</ScaleCrop>
  <Company/>
  <LinksUpToDate>false</LinksUpToDate>
  <CharactersWithSpaces>97871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22</cp:revision>
  <dcterms:created xsi:type="dcterms:W3CDTF">2025-05-10T15:49:00Z</dcterms:created>
  <dcterms:modified xsi:type="dcterms:W3CDTF">2025-05-21T06:58:00Z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id="rjzdaVDA"/&gt;&lt;style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KSOProductBuildVer">
    <vt:lpwstr>1033-12.2.0.20795</vt:lpwstr>
  </property>
  <property fmtid="{D5CDD505-2E9C-101B-9397-08002B2CF9AE}" pid="5" name="ICV">
    <vt:lpwstr>2FA55B47CFA0484F99854950EB26F85C_12</vt:lpwstr>
  </property>
</Properties>
</file>