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65BA7" w14:textId="5FB9BC32" w:rsidR="00BB5A78" w:rsidRPr="00BB5A78" w:rsidRDefault="00BB5A78" w:rsidP="007937FF">
      <w:pPr>
        <w:spacing w:after="0" w:line="480" w:lineRule="auto"/>
        <w:jc w:val="both"/>
        <w:rPr>
          <w:rFonts w:ascii="Times New Roman" w:hAnsi="Times New Roman" w:cs="Times New Roman"/>
          <w:b/>
          <w:sz w:val="24"/>
          <w:szCs w:val="24"/>
        </w:rPr>
      </w:pPr>
      <w:r w:rsidRPr="00BB5A78">
        <w:rPr>
          <w:rFonts w:ascii="Times New Roman" w:hAnsi="Times New Roman" w:cs="Times New Roman"/>
          <w:b/>
          <w:sz w:val="24"/>
          <w:szCs w:val="24"/>
        </w:rPr>
        <w:t>Original Research Article</w:t>
      </w:r>
    </w:p>
    <w:p w14:paraId="4FE33EAC" w14:textId="1B0DB927" w:rsidR="00BE53EB" w:rsidRDefault="00BE53EB"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 xml:space="preserve">Haematological and Histopathological </w:t>
      </w:r>
      <w:r w:rsidR="000A43CF" w:rsidRPr="007937FF">
        <w:rPr>
          <w:rFonts w:ascii="Times New Roman" w:hAnsi="Times New Roman" w:cs="Times New Roman"/>
          <w:b/>
          <w:sz w:val="24"/>
          <w:szCs w:val="24"/>
        </w:rPr>
        <w:t xml:space="preserve">Sex-Related </w:t>
      </w:r>
      <w:r w:rsidRPr="007937FF">
        <w:rPr>
          <w:rFonts w:ascii="Times New Roman" w:hAnsi="Times New Roman" w:cs="Times New Roman"/>
          <w:b/>
          <w:sz w:val="24"/>
          <w:szCs w:val="24"/>
        </w:rPr>
        <w:t xml:space="preserve">Changes Associated </w:t>
      </w:r>
      <w:r w:rsidR="00311C94" w:rsidRPr="007937FF">
        <w:rPr>
          <w:rFonts w:ascii="Times New Roman" w:hAnsi="Times New Roman" w:cs="Times New Roman"/>
          <w:b/>
          <w:sz w:val="24"/>
          <w:szCs w:val="24"/>
        </w:rPr>
        <w:t>with Chronic</w:t>
      </w:r>
      <w:r w:rsidRPr="007937FF">
        <w:rPr>
          <w:rFonts w:ascii="Times New Roman" w:hAnsi="Times New Roman" w:cs="Times New Roman"/>
          <w:b/>
          <w:sz w:val="24"/>
          <w:szCs w:val="24"/>
        </w:rPr>
        <w:t xml:space="preserve"> Tramadol Hydrochloride Administration</w:t>
      </w:r>
      <w:r w:rsidR="00311C94" w:rsidRPr="007937FF">
        <w:rPr>
          <w:rFonts w:ascii="Times New Roman" w:hAnsi="Times New Roman" w:cs="Times New Roman"/>
          <w:b/>
          <w:sz w:val="24"/>
          <w:szCs w:val="24"/>
        </w:rPr>
        <w:t xml:space="preserve"> in</w:t>
      </w:r>
      <w:r w:rsidRPr="007937FF">
        <w:rPr>
          <w:rFonts w:ascii="Times New Roman" w:hAnsi="Times New Roman" w:cs="Times New Roman"/>
          <w:b/>
          <w:sz w:val="24"/>
          <w:szCs w:val="24"/>
        </w:rPr>
        <w:t xml:space="preserve"> </w:t>
      </w:r>
      <w:r w:rsidR="00352649" w:rsidRPr="00EE52FE">
        <w:rPr>
          <w:rFonts w:ascii="Times New Roman" w:hAnsi="Times New Roman" w:cs="Times New Roman"/>
          <w:b/>
          <w:color w:val="FF0000"/>
          <w:sz w:val="24"/>
          <w:szCs w:val="24"/>
        </w:rPr>
        <w:t>Wistar a</w:t>
      </w:r>
      <w:r w:rsidR="00311C94" w:rsidRPr="00EE52FE">
        <w:rPr>
          <w:rFonts w:ascii="Times New Roman" w:hAnsi="Times New Roman" w:cs="Times New Roman"/>
          <w:b/>
          <w:color w:val="FF0000"/>
          <w:sz w:val="24"/>
          <w:szCs w:val="24"/>
        </w:rPr>
        <w:t xml:space="preserve">lbino </w:t>
      </w:r>
      <w:r w:rsidR="00352649" w:rsidRPr="00EE52FE">
        <w:rPr>
          <w:rFonts w:ascii="Times New Roman" w:hAnsi="Times New Roman" w:cs="Times New Roman"/>
          <w:b/>
          <w:color w:val="FF0000"/>
          <w:sz w:val="24"/>
          <w:szCs w:val="24"/>
        </w:rPr>
        <w:t>r</w:t>
      </w:r>
      <w:r w:rsidR="00311C94" w:rsidRPr="00EE52FE">
        <w:rPr>
          <w:rFonts w:ascii="Times New Roman" w:hAnsi="Times New Roman" w:cs="Times New Roman"/>
          <w:b/>
          <w:color w:val="FF0000"/>
          <w:sz w:val="24"/>
          <w:szCs w:val="24"/>
        </w:rPr>
        <w:t>ats</w:t>
      </w:r>
      <w:r w:rsidR="00311C94" w:rsidRPr="007937FF">
        <w:rPr>
          <w:rFonts w:ascii="Times New Roman" w:hAnsi="Times New Roman" w:cs="Times New Roman"/>
          <w:b/>
          <w:sz w:val="24"/>
          <w:szCs w:val="24"/>
        </w:rPr>
        <w:t xml:space="preserve"> </w:t>
      </w:r>
    </w:p>
    <w:p w14:paraId="04FE076D" w14:textId="77777777" w:rsidR="00F55D83" w:rsidRPr="007937FF" w:rsidRDefault="00F55D83" w:rsidP="007937FF">
      <w:pPr>
        <w:spacing w:after="0" w:line="480" w:lineRule="auto"/>
        <w:jc w:val="both"/>
        <w:rPr>
          <w:rFonts w:ascii="Times New Roman" w:hAnsi="Times New Roman" w:cs="Times New Roman"/>
          <w:b/>
          <w:sz w:val="24"/>
          <w:szCs w:val="24"/>
        </w:rPr>
      </w:pPr>
    </w:p>
    <w:p w14:paraId="4550B3FE" w14:textId="700087AE" w:rsidR="0085373C" w:rsidRPr="007937FF" w:rsidRDefault="0085373C"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ABSTARCT</w:t>
      </w:r>
    </w:p>
    <w:p w14:paraId="4415F635" w14:textId="294836C4" w:rsidR="0085373C" w:rsidRPr="007937FF" w:rsidRDefault="0085373C"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This study explored the hematological and histopathological effects of tramadol administration in Wistar albino rats. A total of 28 adult rats were allocated into four groups based on sex and treatment status. Tramadol was administered at a dosage of 100 mg/kg daily for four weeks to simulate chronic misuse, while control groups received normal saline. Hematological parameters, such as PCV, RBC, hemoglobin concentration, MCV, MCH, MCHC, WBC, and differential leukocyte counts, were assessed using an automated hematology analyzer. Additionally, histopathological evaluations of the brain, liver, and kidneys were conducted at post-mortem. The findings revealed significant decreases in PCV, RBC, hemoglobin concentration, MCV, MCH, and WBC in the treatment groups, with females experiencing greater changes. MCHC values remained unchanged. Differential leukocyte analysis showed </w:t>
      </w:r>
      <w:r w:rsidR="00157F20" w:rsidRPr="00EE52FE">
        <w:rPr>
          <w:rFonts w:ascii="Times New Roman" w:hAnsi="Times New Roman" w:cs="Times New Roman"/>
          <w:color w:val="FF0000"/>
          <w:sz w:val="24"/>
          <w:szCs w:val="24"/>
        </w:rPr>
        <w:t>decrease</w:t>
      </w:r>
      <w:r w:rsidR="00467474" w:rsidRPr="00EE52FE">
        <w:rPr>
          <w:rFonts w:ascii="Times New Roman" w:hAnsi="Times New Roman" w:cs="Times New Roman"/>
          <w:color w:val="FF0000"/>
          <w:sz w:val="24"/>
          <w:szCs w:val="24"/>
        </w:rPr>
        <w:t>d</w:t>
      </w:r>
      <w:r w:rsidRPr="007937FF">
        <w:rPr>
          <w:rFonts w:ascii="Times New Roman" w:hAnsi="Times New Roman" w:cs="Times New Roman"/>
          <w:sz w:val="24"/>
          <w:szCs w:val="24"/>
        </w:rPr>
        <w:t xml:space="preserve"> neutrophil, lymphocyte, eosinophil, and monocyte counts, while basophil counts were unaffected. Histopathological analysis indicated tramadol-induced alterations in the brain, liver, and kidney tissues. Statistical analysis using ANOVA and Tukey's HSD test highlighted notable sex-specific differences in hematological parameters between treatment and control groups. These results emphas</w:t>
      </w:r>
      <w:r w:rsidR="00467474">
        <w:rPr>
          <w:rFonts w:ascii="Times New Roman" w:hAnsi="Times New Roman" w:cs="Times New Roman"/>
          <w:sz w:val="24"/>
          <w:szCs w:val="24"/>
        </w:rPr>
        <w:t xml:space="preserve">ized the </w:t>
      </w:r>
      <w:r w:rsidR="00467474" w:rsidRPr="00EE52FE">
        <w:rPr>
          <w:rFonts w:ascii="Times New Roman" w:hAnsi="Times New Roman" w:cs="Times New Roman"/>
          <w:color w:val="FF0000"/>
          <w:sz w:val="24"/>
          <w:szCs w:val="24"/>
        </w:rPr>
        <w:t>hemo</w:t>
      </w:r>
      <w:r w:rsidRPr="00EE52FE">
        <w:rPr>
          <w:rFonts w:ascii="Times New Roman" w:hAnsi="Times New Roman" w:cs="Times New Roman"/>
          <w:color w:val="FF0000"/>
          <w:sz w:val="24"/>
          <w:szCs w:val="24"/>
        </w:rPr>
        <w:t>toxic</w:t>
      </w:r>
      <w:r w:rsidRPr="007937FF">
        <w:rPr>
          <w:rFonts w:ascii="Times New Roman" w:hAnsi="Times New Roman" w:cs="Times New Roman"/>
          <w:sz w:val="24"/>
          <w:szCs w:val="24"/>
        </w:rPr>
        <w:t xml:space="preserve"> and organ-specific risks associated with tramadol misuse, with females exhibiting higher susceptibility to hematological changes. The study </w:t>
      </w:r>
      <w:r w:rsidR="00157F20" w:rsidRPr="007937FF">
        <w:rPr>
          <w:rFonts w:ascii="Times New Roman" w:hAnsi="Times New Roman" w:cs="Times New Roman"/>
          <w:sz w:val="24"/>
          <w:szCs w:val="24"/>
        </w:rPr>
        <w:t>highlighted</w:t>
      </w:r>
      <w:r w:rsidRPr="007937FF">
        <w:rPr>
          <w:rFonts w:ascii="Times New Roman" w:hAnsi="Times New Roman" w:cs="Times New Roman"/>
          <w:sz w:val="24"/>
          <w:szCs w:val="24"/>
        </w:rPr>
        <w:t xml:space="preserve"> the importance of careful monitoring of tramadol use due to its potential impact on critical physiological and histological functions.</w:t>
      </w:r>
    </w:p>
    <w:p w14:paraId="19932E6A" w14:textId="77777777" w:rsidR="00FE13C3" w:rsidRDefault="00FE13C3"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 xml:space="preserve">Keywords: </w:t>
      </w:r>
      <w:r w:rsidR="00BE53EB" w:rsidRPr="007937FF">
        <w:rPr>
          <w:rFonts w:ascii="Times New Roman" w:hAnsi="Times New Roman" w:cs="Times New Roman"/>
          <w:b/>
          <w:sz w:val="24"/>
          <w:szCs w:val="24"/>
        </w:rPr>
        <w:t>Rats</w:t>
      </w:r>
      <w:r w:rsidR="00311C94" w:rsidRPr="007937FF">
        <w:rPr>
          <w:rFonts w:ascii="Times New Roman" w:hAnsi="Times New Roman" w:cs="Times New Roman"/>
          <w:b/>
          <w:sz w:val="24"/>
          <w:szCs w:val="24"/>
        </w:rPr>
        <w:t>,</w:t>
      </w:r>
      <w:r w:rsidRPr="007937FF">
        <w:rPr>
          <w:rFonts w:ascii="Times New Roman" w:hAnsi="Times New Roman" w:cs="Times New Roman"/>
          <w:b/>
          <w:sz w:val="24"/>
          <w:szCs w:val="24"/>
        </w:rPr>
        <w:t xml:space="preserve"> Sex,</w:t>
      </w:r>
      <w:r w:rsidR="00311C94" w:rsidRPr="007937FF">
        <w:rPr>
          <w:rFonts w:ascii="Times New Roman" w:hAnsi="Times New Roman" w:cs="Times New Roman"/>
          <w:b/>
          <w:sz w:val="24"/>
          <w:szCs w:val="24"/>
        </w:rPr>
        <w:t xml:space="preserve"> Tramadol, Chronicity Haematology, Histopathology.</w:t>
      </w:r>
    </w:p>
    <w:p w14:paraId="41CE6B56" w14:textId="77777777" w:rsidR="004921EA" w:rsidRPr="007937FF" w:rsidRDefault="004921EA" w:rsidP="007937FF">
      <w:pPr>
        <w:spacing w:after="0" w:line="480" w:lineRule="auto"/>
        <w:jc w:val="both"/>
        <w:rPr>
          <w:rFonts w:ascii="Times New Roman" w:hAnsi="Times New Roman" w:cs="Times New Roman"/>
          <w:b/>
          <w:sz w:val="24"/>
          <w:szCs w:val="24"/>
        </w:rPr>
      </w:pPr>
    </w:p>
    <w:p w14:paraId="3E686635" w14:textId="77777777" w:rsidR="009C54CF" w:rsidRPr="007937FF" w:rsidRDefault="005D1B25"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INTRODUCTION</w:t>
      </w:r>
    </w:p>
    <w:p w14:paraId="27AD41A6" w14:textId="7CD6E7F9" w:rsidR="00380771" w:rsidRDefault="00380771" w:rsidP="00380771">
      <w:pPr>
        <w:pStyle w:val="NormalWeb"/>
        <w:spacing w:before="0" w:beforeAutospacing="0" w:after="0" w:afterAutospacing="0" w:line="480" w:lineRule="auto"/>
        <w:jc w:val="both"/>
      </w:pPr>
      <w:r>
        <w:t xml:space="preserve">Tramadol is a centrally acting synthetic opioid analgesic frequently prescribed for moderate to severe pain. While considered relatively safe when used correctly, its </w:t>
      </w:r>
      <w:r w:rsidRPr="00380771">
        <w:rPr>
          <w:rStyle w:val="Strong"/>
          <w:b w:val="0"/>
        </w:rPr>
        <w:t>increasing misuse and dependence</w:t>
      </w:r>
      <w:r w:rsidR="006759FE">
        <w:rPr>
          <w:rStyle w:val="Strong"/>
          <w:b w:val="0"/>
        </w:rPr>
        <w:t xml:space="preserve"> </w:t>
      </w:r>
      <w:r>
        <w:t>particularly among youth and medical professionals</w:t>
      </w:r>
      <w:r w:rsidR="006759FE">
        <w:t xml:space="preserve">, </w:t>
      </w:r>
      <w:r>
        <w:t>has raised significant public health concerns globally (Shipton, 2000; Barbosa et al., 2023).</w:t>
      </w:r>
    </w:p>
    <w:p w14:paraId="3CBC4CE1" w14:textId="77777777" w:rsidR="00380771" w:rsidRDefault="00380771" w:rsidP="00380771">
      <w:pPr>
        <w:pStyle w:val="NormalWeb"/>
        <w:spacing w:before="0" w:beforeAutospacing="0" w:after="0" w:afterAutospacing="0" w:line="480" w:lineRule="auto"/>
        <w:jc w:val="both"/>
      </w:pPr>
      <w:r>
        <w:t xml:space="preserve">In recent years, tramadol has emerged as one of the most commonly abused prescription drugs in parts of Africa, Asia, and the Middle East, owing to its </w:t>
      </w:r>
      <w:r w:rsidRPr="00380771">
        <w:rPr>
          <w:rStyle w:val="Strong"/>
          <w:b w:val="0"/>
        </w:rPr>
        <w:t>easy accessibility and perceived safety</w:t>
      </w:r>
      <w:r>
        <w:t xml:space="preserve"> (Toufique, 2012; Hussein &amp; Elguindy, 2017). Despite regulations, it remains available through unregulated internet pharmacies and informal vendors, fueling dependence and addiction (Solarino et al., 2010).</w:t>
      </w:r>
    </w:p>
    <w:p w14:paraId="1EDE29D5" w14:textId="77777777" w:rsidR="00380771" w:rsidRDefault="00380771" w:rsidP="00380771">
      <w:pPr>
        <w:pStyle w:val="NormalWeb"/>
        <w:spacing w:before="0" w:beforeAutospacing="0" w:after="0" w:afterAutospacing="0" w:line="480" w:lineRule="auto"/>
        <w:jc w:val="both"/>
      </w:pPr>
      <w:r>
        <w:t xml:space="preserve">The </w:t>
      </w:r>
      <w:r w:rsidRPr="00380771">
        <w:rPr>
          <w:rStyle w:val="Strong"/>
          <w:b w:val="0"/>
        </w:rPr>
        <w:t>toxicological consequences</w:t>
      </w:r>
      <w:r>
        <w:t xml:space="preserve"> of chronic tramadol use have begun to surface in preclinical and clinical studies. Research indicates that tramadol affects not only the central nervous system but also </w:t>
      </w:r>
      <w:r w:rsidRPr="00380771">
        <w:rPr>
          <w:rStyle w:val="Strong"/>
          <w:b w:val="0"/>
        </w:rPr>
        <w:t>endocrine, hematological, and reproductive functions</w:t>
      </w:r>
      <w:r>
        <w:t xml:space="preserve"> (Paulis &amp; Abbas, 2015). </w:t>
      </w:r>
    </w:p>
    <w:p w14:paraId="4BF79EE7" w14:textId="77777777" w:rsidR="00380771" w:rsidRDefault="00380771" w:rsidP="00380771">
      <w:pPr>
        <w:pStyle w:val="NormalWeb"/>
        <w:spacing w:before="0" w:beforeAutospacing="0" w:after="0" w:afterAutospacing="0" w:line="480" w:lineRule="auto"/>
        <w:jc w:val="both"/>
      </w:pPr>
      <w:r>
        <w:t>Rats (</w:t>
      </w:r>
      <w:r>
        <w:rPr>
          <w:rStyle w:val="Emphasis"/>
        </w:rPr>
        <w:t>Rattus norvegicus</w:t>
      </w:r>
      <w:r>
        <w:t xml:space="preserve">) have been widely used as laboratory animals for over a century due to their docile nature, short gestation, and genetic consistency. The Wistar strain, developed at the Wistar Institute in Philadelphia, remains one of the most common models in biomedical research due to its physiological and genetic similarities to humans (Iannaccone &amp; Jacob, 2009; Krubaa &amp; Yogitha, 2024). Their widespread use spans various research domains, including toxicology, neuroscience, and pharmacology (Modlinska &amp; Pisula, 2020). In female rats, tramadol administration has been linked to reduced levels of luteinizing hormone (LH), follicle-stimulating hormone (FSH), and gonadal steroids, alongside weight loss and behavioral changes. Similar </w:t>
      </w:r>
      <w:r>
        <w:lastRenderedPageBreak/>
        <w:t>reports in male models suggest testicular damage and alterations in hematological indices (Barbosa et al., 2023).</w:t>
      </w:r>
    </w:p>
    <w:p w14:paraId="7597EB8A" w14:textId="77777777" w:rsidR="00380771" w:rsidRPr="00380771" w:rsidRDefault="00380771" w:rsidP="00380771">
      <w:pPr>
        <w:pStyle w:val="NormalWeb"/>
        <w:spacing w:before="0" w:beforeAutospacing="0" w:after="0" w:afterAutospacing="0" w:line="480" w:lineRule="auto"/>
        <w:jc w:val="both"/>
      </w:pPr>
      <w:r w:rsidRPr="00380771">
        <w:t xml:space="preserve">Given this background, the present study aims to investigate the </w:t>
      </w:r>
      <w:r w:rsidRPr="00380771">
        <w:rPr>
          <w:rStyle w:val="Strong"/>
          <w:b w:val="0"/>
        </w:rPr>
        <w:t>sex-specific haematological and histopathological changes</w:t>
      </w:r>
      <w:r w:rsidRPr="00380771">
        <w:rPr>
          <w:b/>
        </w:rPr>
        <w:t xml:space="preserve"> </w:t>
      </w:r>
      <w:r w:rsidRPr="00380771">
        <w:t>associated with</w:t>
      </w:r>
      <w:r w:rsidRPr="00380771">
        <w:rPr>
          <w:b/>
        </w:rPr>
        <w:t xml:space="preserve"> </w:t>
      </w:r>
      <w:r w:rsidRPr="00380771">
        <w:rPr>
          <w:rStyle w:val="Strong"/>
          <w:b w:val="0"/>
        </w:rPr>
        <w:t>chronic tramadol hydrochloride administration</w:t>
      </w:r>
      <w:r w:rsidRPr="00380771">
        <w:t xml:space="preserve"> in Wistar albino rats. By exploring these effects, the study provides deeper insights into the potential systemic toxicity and long-term risks of tramadol abuse, with implications for human health and addiction medicine. </w:t>
      </w:r>
    </w:p>
    <w:p w14:paraId="37732E95" w14:textId="77777777" w:rsidR="00E640C4" w:rsidRPr="007937FF" w:rsidRDefault="00E640C4"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 xml:space="preserve">Materials and Methods </w:t>
      </w:r>
    </w:p>
    <w:p w14:paraId="58CED6A1" w14:textId="77777777" w:rsidR="00E640C4" w:rsidRPr="007937FF" w:rsidRDefault="00E640C4"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 xml:space="preserve">Study Area </w:t>
      </w:r>
    </w:p>
    <w:p w14:paraId="120CC9CA" w14:textId="77777777" w:rsidR="00144CA0"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study was conducted in Maiduguri, Nigeria, situated at an altitude of 354m above sea level, between latitude 10.2oN and 13.4oN and longitudes 9.8oE and 14.4oE. Maiduguri is located in North Eastern Nigeria.</w:t>
      </w:r>
    </w:p>
    <w:p w14:paraId="0FA6020F" w14:textId="77777777" w:rsidR="007A4974" w:rsidRPr="00DC595E" w:rsidRDefault="0098270B" w:rsidP="007937FF">
      <w:pPr>
        <w:autoSpaceDE w:val="0"/>
        <w:autoSpaceDN w:val="0"/>
        <w:adjustRightInd w:val="0"/>
        <w:spacing w:after="0" w:line="480" w:lineRule="auto"/>
        <w:jc w:val="both"/>
        <w:rPr>
          <w:rFonts w:ascii="Times New Roman" w:hAnsi="Times New Roman" w:cs="Times New Roman"/>
          <w:b/>
          <w:kern w:val="0"/>
          <w:sz w:val="24"/>
          <w:szCs w:val="24"/>
        </w:rPr>
      </w:pPr>
      <w:r w:rsidRPr="00DC595E">
        <w:rPr>
          <w:rFonts w:ascii="Times New Roman" w:hAnsi="Times New Roman" w:cs="Times New Roman"/>
          <w:b/>
          <w:kern w:val="0"/>
          <w:sz w:val="24"/>
          <w:szCs w:val="24"/>
        </w:rPr>
        <w:t>Ethics:</w:t>
      </w:r>
    </w:p>
    <w:p w14:paraId="6EA9AB59" w14:textId="4D5AA4B4" w:rsidR="0098270B" w:rsidRPr="007937FF" w:rsidRDefault="0098270B"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t>All the protocol used for sample collection and laboratory analysis were in accordance with the principles and guidelines of the Institutional Animal Utilization Protocol (IAUPC), the ethical approval was sorted and approved by the Animal Use and Ethics Committee, Faculty of Veterinary Medicine, University of Maiduguri with the approval number AUP-R003/2025.</w:t>
      </w:r>
    </w:p>
    <w:p w14:paraId="7E1F747B" w14:textId="77777777" w:rsidR="00E640C4" w:rsidRPr="007937FF" w:rsidRDefault="00E640C4" w:rsidP="007937FF">
      <w:pPr>
        <w:pStyle w:val="Default"/>
        <w:spacing w:line="480" w:lineRule="auto"/>
        <w:jc w:val="both"/>
        <w:rPr>
          <w:rFonts w:ascii="Times New Roman" w:hAnsi="Times New Roman" w:cs="Times New Roman"/>
        </w:rPr>
      </w:pPr>
      <w:r w:rsidRPr="007937FF">
        <w:rPr>
          <w:rFonts w:ascii="Times New Roman" w:hAnsi="Times New Roman" w:cs="Times New Roman"/>
          <w:b/>
          <w:bCs/>
        </w:rPr>
        <w:t xml:space="preserve">Experimental Animals </w:t>
      </w:r>
    </w:p>
    <w:p w14:paraId="17C49C54" w14:textId="73C1DCB3" w:rsidR="0098270B"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A total of 28 adult female and male </w:t>
      </w:r>
      <w:r w:rsidR="00157F20" w:rsidRPr="007937FF">
        <w:rPr>
          <w:rFonts w:ascii="Times New Roman" w:hAnsi="Times New Roman" w:cs="Times New Roman"/>
          <w:sz w:val="24"/>
          <w:szCs w:val="24"/>
        </w:rPr>
        <w:t>Wistar</w:t>
      </w:r>
      <w:r w:rsidRPr="007937FF">
        <w:rPr>
          <w:rFonts w:ascii="Times New Roman" w:hAnsi="Times New Roman" w:cs="Times New Roman"/>
          <w:sz w:val="24"/>
          <w:szCs w:val="24"/>
        </w:rPr>
        <w:t xml:space="preserve"> albino rats w</w:t>
      </w:r>
      <w:r w:rsidR="00157F20" w:rsidRPr="007937FF">
        <w:rPr>
          <w:rFonts w:ascii="Times New Roman" w:hAnsi="Times New Roman" w:cs="Times New Roman"/>
          <w:sz w:val="24"/>
          <w:szCs w:val="24"/>
        </w:rPr>
        <w:t>ere</w:t>
      </w:r>
      <w:r w:rsidRPr="007937FF">
        <w:rPr>
          <w:rFonts w:ascii="Times New Roman" w:hAnsi="Times New Roman" w:cs="Times New Roman"/>
          <w:sz w:val="24"/>
          <w:szCs w:val="24"/>
        </w:rPr>
        <w:t xml:space="preserve"> used for this study. They were purchased from the College of Medical Sciences, University of Maiduguri.</w:t>
      </w:r>
      <w:r w:rsidR="00144CA0" w:rsidRPr="007937FF">
        <w:rPr>
          <w:rFonts w:ascii="Times New Roman" w:hAnsi="Times New Roman" w:cs="Times New Roman"/>
          <w:sz w:val="24"/>
          <w:szCs w:val="24"/>
        </w:rPr>
        <w:t xml:space="preserve">  </w:t>
      </w:r>
    </w:p>
    <w:p w14:paraId="6CAE0FEA" w14:textId="77777777" w:rsidR="00144CA0" w:rsidRPr="007937FF" w:rsidRDefault="00144CA0" w:rsidP="007937FF">
      <w:pPr>
        <w:autoSpaceDE w:val="0"/>
        <w:autoSpaceDN w:val="0"/>
        <w:adjustRightInd w:val="0"/>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t xml:space="preserve">Grouping </w:t>
      </w:r>
    </w:p>
    <w:p w14:paraId="5C794A9B" w14:textId="2215C489" w:rsidR="00144CA0" w:rsidRPr="007937FF" w:rsidRDefault="0098270B"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They were distributed equally into four groups</w:t>
      </w:r>
      <w:r w:rsidR="00157F20" w:rsidRPr="007937FF">
        <w:rPr>
          <w:rFonts w:ascii="Times New Roman" w:hAnsi="Times New Roman" w:cs="Times New Roman"/>
          <w:sz w:val="24"/>
          <w:szCs w:val="24"/>
        </w:rPr>
        <w:t xml:space="preserve"> of 7 rats each</w:t>
      </w:r>
      <w:r w:rsidRPr="007937FF">
        <w:rPr>
          <w:rFonts w:ascii="Times New Roman" w:hAnsi="Times New Roman" w:cs="Times New Roman"/>
          <w:sz w:val="24"/>
          <w:szCs w:val="24"/>
        </w:rPr>
        <w:t xml:space="preserve"> with equal </w:t>
      </w:r>
      <w:r w:rsidR="00157F20" w:rsidRPr="007937FF">
        <w:rPr>
          <w:rFonts w:ascii="Times New Roman" w:hAnsi="Times New Roman" w:cs="Times New Roman"/>
          <w:sz w:val="24"/>
          <w:szCs w:val="24"/>
        </w:rPr>
        <w:t xml:space="preserve">number </w:t>
      </w:r>
      <w:r w:rsidRPr="007937FF">
        <w:rPr>
          <w:rFonts w:ascii="Times New Roman" w:hAnsi="Times New Roman" w:cs="Times New Roman"/>
          <w:sz w:val="24"/>
          <w:szCs w:val="24"/>
        </w:rPr>
        <w:t>of male and female.</w:t>
      </w:r>
      <w:r w:rsidR="00157F20" w:rsidRPr="007937FF">
        <w:rPr>
          <w:rFonts w:ascii="Times New Roman" w:hAnsi="Times New Roman" w:cs="Times New Roman"/>
          <w:sz w:val="24"/>
          <w:szCs w:val="24"/>
        </w:rPr>
        <w:t xml:space="preserve">  </w:t>
      </w:r>
      <w:r w:rsidR="00144CA0" w:rsidRPr="007937FF">
        <w:rPr>
          <w:rFonts w:ascii="Times New Roman" w:hAnsi="Times New Roman" w:cs="Times New Roman"/>
          <w:sz w:val="24"/>
          <w:szCs w:val="24"/>
        </w:rPr>
        <w:t xml:space="preserve">Group A </w:t>
      </w:r>
      <w:r w:rsidR="00157F20" w:rsidRPr="007937FF">
        <w:rPr>
          <w:rFonts w:ascii="Times New Roman" w:hAnsi="Times New Roman" w:cs="Times New Roman"/>
          <w:sz w:val="24"/>
          <w:szCs w:val="24"/>
        </w:rPr>
        <w:t>(</w:t>
      </w:r>
      <w:r w:rsidR="00144CA0" w:rsidRPr="007937FF">
        <w:rPr>
          <w:rFonts w:ascii="Times New Roman" w:hAnsi="Times New Roman" w:cs="Times New Roman"/>
          <w:sz w:val="24"/>
          <w:szCs w:val="24"/>
        </w:rPr>
        <w:t>female control</w:t>
      </w:r>
      <w:r w:rsidR="00157F20" w:rsidRPr="007937FF">
        <w:rPr>
          <w:rFonts w:ascii="Times New Roman" w:hAnsi="Times New Roman" w:cs="Times New Roman"/>
          <w:sz w:val="24"/>
          <w:szCs w:val="24"/>
        </w:rPr>
        <w:t>), (</w:t>
      </w:r>
      <w:r w:rsidR="00144CA0" w:rsidRPr="007937FF">
        <w:rPr>
          <w:rFonts w:ascii="Times New Roman" w:hAnsi="Times New Roman" w:cs="Times New Roman"/>
          <w:sz w:val="24"/>
          <w:szCs w:val="24"/>
        </w:rPr>
        <w:t>Group B male control</w:t>
      </w:r>
      <w:r w:rsidR="00157F20" w:rsidRPr="007937FF">
        <w:rPr>
          <w:rFonts w:ascii="Times New Roman" w:hAnsi="Times New Roman" w:cs="Times New Roman"/>
          <w:sz w:val="24"/>
          <w:szCs w:val="24"/>
        </w:rPr>
        <w:t>)</w:t>
      </w:r>
      <w:r w:rsidR="00D35E1B" w:rsidRPr="007937FF">
        <w:rPr>
          <w:rFonts w:ascii="Times New Roman" w:hAnsi="Times New Roman" w:cs="Times New Roman"/>
          <w:sz w:val="24"/>
          <w:szCs w:val="24"/>
        </w:rPr>
        <w:t xml:space="preserve">, </w:t>
      </w:r>
      <w:r w:rsidR="00144CA0" w:rsidRPr="007937FF">
        <w:rPr>
          <w:rFonts w:ascii="Times New Roman" w:hAnsi="Times New Roman" w:cs="Times New Roman"/>
          <w:sz w:val="24"/>
          <w:szCs w:val="24"/>
        </w:rPr>
        <w:t xml:space="preserve">Group C </w:t>
      </w:r>
      <w:r w:rsidR="00D35E1B" w:rsidRPr="007937FF">
        <w:rPr>
          <w:rFonts w:ascii="Times New Roman" w:hAnsi="Times New Roman" w:cs="Times New Roman"/>
          <w:sz w:val="24"/>
          <w:szCs w:val="24"/>
        </w:rPr>
        <w:t>(</w:t>
      </w:r>
      <w:r w:rsidR="00144CA0" w:rsidRPr="007937FF">
        <w:rPr>
          <w:rFonts w:ascii="Times New Roman" w:hAnsi="Times New Roman" w:cs="Times New Roman"/>
          <w:sz w:val="24"/>
          <w:szCs w:val="24"/>
        </w:rPr>
        <w:t>female treatment</w:t>
      </w:r>
      <w:r w:rsidR="00D35E1B" w:rsidRPr="007937FF">
        <w:rPr>
          <w:rFonts w:ascii="Times New Roman" w:hAnsi="Times New Roman" w:cs="Times New Roman"/>
          <w:sz w:val="24"/>
          <w:szCs w:val="24"/>
        </w:rPr>
        <w:t>)</w:t>
      </w:r>
    </w:p>
    <w:p w14:paraId="33023370" w14:textId="5623A143" w:rsidR="00144CA0" w:rsidRPr="007937FF" w:rsidRDefault="00144CA0"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lastRenderedPageBreak/>
        <w:t xml:space="preserve">Group D </w:t>
      </w:r>
      <w:r w:rsidR="00D35E1B" w:rsidRPr="007937FF">
        <w:rPr>
          <w:rFonts w:ascii="Times New Roman" w:hAnsi="Times New Roman" w:cs="Times New Roman"/>
          <w:sz w:val="24"/>
          <w:szCs w:val="24"/>
        </w:rPr>
        <w:t>(</w:t>
      </w:r>
      <w:r w:rsidRPr="007937FF">
        <w:rPr>
          <w:rFonts w:ascii="Times New Roman" w:hAnsi="Times New Roman" w:cs="Times New Roman"/>
          <w:sz w:val="24"/>
          <w:szCs w:val="24"/>
        </w:rPr>
        <w:t>male treatment</w:t>
      </w:r>
      <w:r w:rsidR="00D35E1B" w:rsidRPr="007937FF">
        <w:rPr>
          <w:rFonts w:ascii="Times New Roman" w:hAnsi="Times New Roman" w:cs="Times New Roman"/>
          <w:sz w:val="24"/>
          <w:szCs w:val="24"/>
        </w:rPr>
        <w:t xml:space="preserve">) </w:t>
      </w:r>
      <w:r w:rsidRPr="007937FF">
        <w:rPr>
          <w:rFonts w:ascii="Times New Roman" w:hAnsi="Times New Roman" w:cs="Times New Roman"/>
          <w:sz w:val="24"/>
          <w:szCs w:val="24"/>
        </w:rPr>
        <w:t xml:space="preserve">Normal saline was given to 14 rats in the control group. Tramadol was administered to female and male treatment groups. </w:t>
      </w:r>
    </w:p>
    <w:p w14:paraId="767C1FC8" w14:textId="77777777" w:rsidR="00E640C4" w:rsidRPr="007937FF" w:rsidRDefault="00E640C4" w:rsidP="007937FF">
      <w:pPr>
        <w:pStyle w:val="Default"/>
        <w:spacing w:line="480" w:lineRule="auto"/>
        <w:jc w:val="both"/>
        <w:rPr>
          <w:rFonts w:ascii="Times New Roman" w:hAnsi="Times New Roman" w:cs="Times New Roman"/>
        </w:rPr>
      </w:pPr>
      <w:r w:rsidRPr="007937FF">
        <w:rPr>
          <w:rFonts w:ascii="Times New Roman" w:hAnsi="Times New Roman" w:cs="Times New Roman"/>
          <w:b/>
          <w:bCs/>
        </w:rPr>
        <w:t xml:space="preserve">Housing and Acclimatization </w:t>
      </w:r>
    </w:p>
    <w:p w14:paraId="12DC4288" w14:textId="2721AE56" w:rsidR="00E640C4"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rats were kept for two weeks in order to adapt to the new environment before the commencement of the experiment. They were kept in a cage, the floor was tiled and roofed with Asbestos. It was well ventilated with temperature of about 35</w:t>
      </w:r>
      <w:r w:rsidR="00D35E1B" w:rsidRPr="007937FF">
        <w:rPr>
          <w:rFonts w:ascii="Times New Roman" w:hAnsi="Times New Roman" w:cs="Times New Roman"/>
          <w:sz w:val="24"/>
          <w:szCs w:val="24"/>
        </w:rPr>
        <w:t>.</w:t>
      </w:r>
      <w:r w:rsidRPr="007937FF">
        <w:rPr>
          <w:rFonts w:ascii="Times New Roman" w:hAnsi="Times New Roman" w:cs="Times New Roman"/>
          <w:sz w:val="24"/>
          <w:szCs w:val="24"/>
        </w:rPr>
        <w:t>0-37</w:t>
      </w:r>
      <w:r w:rsidR="00D35E1B" w:rsidRPr="007937FF">
        <w:rPr>
          <w:rFonts w:ascii="Times New Roman" w:hAnsi="Times New Roman" w:cs="Times New Roman"/>
          <w:sz w:val="24"/>
          <w:szCs w:val="24"/>
        </w:rPr>
        <w:t>.</w:t>
      </w:r>
      <w:r w:rsidRPr="007937FF">
        <w:rPr>
          <w:rFonts w:ascii="Times New Roman" w:hAnsi="Times New Roman" w:cs="Times New Roman"/>
          <w:sz w:val="24"/>
          <w:szCs w:val="24"/>
        </w:rPr>
        <w:t>0</w:t>
      </w:r>
      <w:r w:rsidR="00D35E1B" w:rsidRPr="007937FF">
        <w:rPr>
          <w:rFonts w:ascii="Times New Roman" w:hAnsi="Times New Roman" w:cs="Times New Roman"/>
          <w:sz w:val="24"/>
          <w:szCs w:val="24"/>
        </w:rPr>
        <w:t xml:space="preserve"> </w:t>
      </w:r>
      <w:r w:rsidR="00D35E1B" w:rsidRPr="007937FF">
        <w:rPr>
          <w:rFonts w:ascii="Times New Roman" w:hAnsi="Times New Roman" w:cs="Times New Roman"/>
          <w:sz w:val="24"/>
          <w:szCs w:val="24"/>
          <w:vertAlign w:val="superscript"/>
        </w:rPr>
        <w:t>o</w:t>
      </w:r>
      <w:r w:rsidRPr="007937FF">
        <w:rPr>
          <w:rFonts w:ascii="Times New Roman" w:hAnsi="Times New Roman" w:cs="Times New Roman"/>
          <w:sz w:val="24"/>
          <w:szCs w:val="24"/>
        </w:rPr>
        <w:t>C. The laboratory animals were kept in the laboratory animal’s house of the Faculty of Veterinary Medicine University of Maiduguri</w:t>
      </w:r>
    </w:p>
    <w:p w14:paraId="26F10D16" w14:textId="77777777" w:rsidR="00E640C4" w:rsidRPr="007937FF" w:rsidRDefault="00E640C4" w:rsidP="007937FF">
      <w:pPr>
        <w:pStyle w:val="Default"/>
        <w:spacing w:line="480" w:lineRule="auto"/>
        <w:jc w:val="both"/>
        <w:rPr>
          <w:rFonts w:ascii="Times New Roman" w:hAnsi="Times New Roman" w:cs="Times New Roman"/>
        </w:rPr>
      </w:pPr>
      <w:r w:rsidRPr="007937FF">
        <w:rPr>
          <w:rFonts w:ascii="Times New Roman" w:hAnsi="Times New Roman" w:cs="Times New Roman"/>
          <w:b/>
          <w:bCs/>
        </w:rPr>
        <w:t xml:space="preserve">Source of the Drug </w:t>
      </w:r>
    </w:p>
    <w:p w14:paraId="088FC8E2" w14:textId="56F061AE" w:rsidR="00E640C4" w:rsidRPr="007937FF" w:rsidRDefault="00E640C4"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drug Tramadol hydrochloride 50mg/kg</w:t>
      </w:r>
      <w:r w:rsidR="00D35E1B" w:rsidRPr="007937FF">
        <w:rPr>
          <w:rFonts w:ascii="Times New Roman" w:hAnsi="Times New Roman" w:cs="Times New Roman"/>
          <w:sz w:val="24"/>
          <w:szCs w:val="24"/>
        </w:rPr>
        <w:t xml:space="preserve"> (</w:t>
      </w:r>
      <w:r w:rsidR="00D35E1B" w:rsidRPr="007937FF">
        <w:rPr>
          <w:rFonts w:ascii="Times New Roman" w:eastAsia="CIDFont+F2" w:hAnsi="Times New Roman" w:cs="Times New Roman"/>
          <w:kern w:val="0"/>
          <w:sz w:val="24"/>
          <w:szCs w:val="24"/>
        </w:rPr>
        <w:t>Novalab Healthcare Private, Limited, India)</w:t>
      </w:r>
      <w:r w:rsidRPr="007937FF">
        <w:rPr>
          <w:rFonts w:ascii="Times New Roman" w:hAnsi="Times New Roman" w:cs="Times New Roman"/>
          <w:sz w:val="24"/>
          <w:szCs w:val="24"/>
        </w:rPr>
        <w:t xml:space="preserve"> was obtained from the Faculty of Pharmaceutical Sciences, University of Maiduguri.</w:t>
      </w:r>
    </w:p>
    <w:p w14:paraId="0F1A28F2" w14:textId="77777777" w:rsidR="00144CA0" w:rsidRPr="007937FF" w:rsidRDefault="00144CA0" w:rsidP="007937FF">
      <w:pPr>
        <w:pStyle w:val="Heading1"/>
        <w:spacing w:before="0" w:line="480" w:lineRule="auto"/>
        <w:jc w:val="both"/>
        <w:rPr>
          <w:rFonts w:ascii="Times New Roman" w:hAnsi="Times New Roman" w:cs="Times New Roman"/>
          <w:b/>
          <w:bCs/>
          <w:color w:val="auto"/>
          <w:sz w:val="24"/>
          <w:szCs w:val="24"/>
        </w:rPr>
      </w:pPr>
      <w:r w:rsidRPr="007937FF">
        <w:rPr>
          <w:rFonts w:ascii="Times New Roman" w:hAnsi="Times New Roman" w:cs="Times New Roman"/>
          <w:b/>
          <w:bCs/>
          <w:color w:val="auto"/>
          <w:sz w:val="24"/>
          <w:szCs w:val="24"/>
        </w:rPr>
        <w:t>Feeding regimen</w:t>
      </w:r>
    </w:p>
    <w:p w14:paraId="79A19125" w14:textId="77777777" w:rsidR="00144CA0" w:rsidRPr="007937FF" w:rsidRDefault="00144CA0"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Poultry feed from Ultima feed was fed to every animal in this trial. Essential nutrients such as 20% protein, 4.5% fats and key amino acids, 5% fiber, fortified minerals and vitamins, and 3050 kcal/kg of energy are all included in the feed. Daily feedings and unlimited access to drinking water were provided to the experimental animals. The treatment and control groups received the appropriate amount of feed and water ad libitum.</w:t>
      </w:r>
    </w:p>
    <w:p w14:paraId="1EEFF87B" w14:textId="77777777" w:rsidR="007A4974" w:rsidRPr="007937FF" w:rsidRDefault="007A4974" w:rsidP="007937FF">
      <w:pPr>
        <w:autoSpaceDE w:val="0"/>
        <w:autoSpaceDN w:val="0"/>
        <w:adjustRightInd w:val="0"/>
        <w:spacing w:after="0" w:line="480" w:lineRule="auto"/>
        <w:jc w:val="both"/>
        <w:rPr>
          <w:rFonts w:ascii="Times New Roman" w:hAnsi="Times New Roman" w:cs="Times New Roman"/>
          <w:b/>
          <w:bCs/>
          <w:kern w:val="0"/>
          <w:sz w:val="24"/>
          <w:szCs w:val="24"/>
        </w:rPr>
      </w:pPr>
      <w:r w:rsidRPr="007937FF">
        <w:rPr>
          <w:rFonts w:ascii="Times New Roman" w:hAnsi="Times New Roman" w:cs="Times New Roman"/>
          <w:b/>
          <w:bCs/>
          <w:kern w:val="0"/>
          <w:sz w:val="24"/>
          <w:szCs w:val="24"/>
        </w:rPr>
        <w:t>Drug Administration</w:t>
      </w:r>
    </w:p>
    <w:p w14:paraId="771C57AE" w14:textId="77777777" w:rsidR="008149F4" w:rsidRPr="007937FF" w:rsidRDefault="007A4974"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hAnsi="Times New Roman" w:cs="Times New Roman"/>
          <w:kern w:val="0"/>
          <w:sz w:val="24"/>
          <w:szCs w:val="24"/>
        </w:rPr>
        <w:t xml:space="preserve">Dosage: </w:t>
      </w:r>
      <w:r w:rsidRPr="007937FF">
        <w:rPr>
          <w:rFonts w:ascii="Times New Roman" w:eastAsia="CIDFont+F2" w:hAnsi="Times New Roman" w:cs="Times New Roman"/>
          <w:kern w:val="0"/>
          <w:sz w:val="24"/>
          <w:szCs w:val="24"/>
        </w:rPr>
        <w:t xml:space="preserve">Tramadol hydrochloride was administered intravenously (IV) at a daily dose of 50 mg/kg for a treatment duration of 28 days as follows: </w:t>
      </w:r>
    </w:p>
    <w:p w14:paraId="155C959D" w14:textId="77777777" w:rsidR="0098270B" w:rsidRPr="007937FF" w:rsidRDefault="007A4974"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t>Dose = Dosage (mg/Kg) x Rats body weight (kg)/Drug</w:t>
      </w:r>
      <w:r w:rsidR="008149F4" w:rsidRPr="007937FF">
        <w:rPr>
          <w:rFonts w:ascii="Times New Roman" w:eastAsia="CIDFont+F2" w:hAnsi="Times New Roman" w:cs="Times New Roman"/>
          <w:kern w:val="0"/>
          <w:sz w:val="24"/>
          <w:szCs w:val="24"/>
        </w:rPr>
        <w:t xml:space="preserve"> </w:t>
      </w:r>
      <w:r w:rsidRPr="007937FF">
        <w:rPr>
          <w:rFonts w:ascii="Times New Roman" w:eastAsia="CIDFont+F2" w:hAnsi="Times New Roman" w:cs="Times New Roman"/>
          <w:kern w:val="0"/>
          <w:sz w:val="24"/>
          <w:szCs w:val="24"/>
        </w:rPr>
        <w:t>concentration (mg/mL).</w:t>
      </w:r>
    </w:p>
    <w:p w14:paraId="1BE474FD" w14:textId="77777777" w:rsidR="008149F4" w:rsidRPr="007937FF" w:rsidRDefault="008149F4" w:rsidP="007937FF">
      <w:pPr>
        <w:pStyle w:val="Heading1"/>
        <w:spacing w:before="0" w:line="480" w:lineRule="auto"/>
        <w:jc w:val="both"/>
        <w:rPr>
          <w:rFonts w:ascii="Times New Roman" w:hAnsi="Times New Roman" w:cs="Times New Roman"/>
          <w:color w:val="auto"/>
          <w:sz w:val="24"/>
          <w:szCs w:val="24"/>
        </w:rPr>
      </w:pPr>
      <w:r w:rsidRPr="007937FF">
        <w:rPr>
          <w:rFonts w:ascii="Times New Roman" w:hAnsi="Times New Roman" w:cs="Times New Roman"/>
          <w:b/>
          <w:bCs/>
          <w:color w:val="auto"/>
          <w:sz w:val="24"/>
          <w:szCs w:val="24"/>
        </w:rPr>
        <w:lastRenderedPageBreak/>
        <w:t>Sample</w:t>
      </w:r>
      <w:r w:rsidRPr="007937FF">
        <w:rPr>
          <w:rFonts w:ascii="Times New Roman" w:hAnsi="Times New Roman" w:cs="Times New Roman"/>
          <w:color w:val="auto"/>
          <w:sz w:val="24"/>
          <w:szCs w:val="24"/>
        </w:rPr>
        <w:t xml:space="preserve"> </w:t>
      </w:r>
      <w:r w:rsidRPr="007937FF">
        <w:rPr>
          <w:rFonts w:ascii="Times New Roman" w:hAnsi="Times New Roman" w:cs="Times New Roman"/>
          <w:b/>
          <w:bCs/>
          <w:color w:val="auto"/>
          <w:sz w:val="24"/>
          <w:szCs w:val="24"/>
        </w:rPr>
        <w:t>collection</w:t>
      </w:r>
      <w:r w:rsidRPr="007937FF">
        <w:rPr>
          <w:rFonts w:ascii="Times New Roman" w:hAnsi="Times New Roman" w:cs="Times New Roman"/>
          <w:color w:val="auto"/>
          <w:sz w:val="24"/>
          <w:szCs w:val="24"/>
        </w:rPr>
        <w:t xml:space="preserve"> </w:t>
      </w:r>
      <w:r w:rsidRPr="007937FF">
        <w:rPr>
          <w:rFonts w:ascii="Times New Roman" w:hAnsi="Times New Roman" w:cs="Times New Roman"/>
          <w:b/>
          <w:bCs/>
          <w:color w:val="auto"/>
          <w:sz w:val="24"/>
          <w:szCs w:val="24"/>
        </w:rPr>
        <w:t>and</w:t>
      </w:r>
      <w:r w:rsidRPr="007937FF">
        <w:rPr>
          <w:rFonts w:ascii="Times New Roman" w:hAnsi="Times New Roman" w:cs="Times New Roman"/>
          <w:color w:val="auto"/>
          <w:sz w:val="24"/>
          <w:szCs w:val="24"/>
        </w:rPr>
        <w:t xml:space="preserve"> </w:t>
      </w:r>
      <w:r w:rsidRPr="007937FF">
        <w:rPr>
          <w:rFonts w:ascii="Times New Roman" w:hAnsi="Times New Roman" w:cs="Times New Roman"/>
          <w:b/>
          <w:bCs/>
          <w:color w:val="auto"/>
          <w:sz w:val="24"/>
          <w:szCs w:val="24"/>
        </w:rPr>
        <w:t>storage</w:t>
      </w:r>
    </w:p>
    <w:p w14:paraId="2668D64B" w14:textId="509240AF" w:rsidR="008149F4" w:rsidRPr="007937FF" w:rsidRDefault="008149F4"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 xml:space="preserve">Direct cardiac puncture was used to obtain blood samples at the </w:t>
      </w:r>
      <w:r w:rsidR="00D35E1B" w:rsidRPr="007937FF">
        <w:rPr>
          <w:rFonts w:ascii="Times New Roman" w:hAnsi="Times New Roman" w:cs="Times New Roman"/>
          <w:sz w:val="24"/>
          <w:szCs w:val="24"/>
        </w:rPr>
        <w:t>end</w:t>
      </w:r>
      <w:r w:rsidRPr="007937FF">
        <w:rPr>
          <w:rFonts w:ascii="Times New Roman" w:hAnsi="Times New Roman" w:cs="Times New Roman"/>
          <w:sz w:val="24"/>
          <w:szCs w:val="24"/>
        </w:rPr>
        <w:t xml:space="preserve"> of the therapy period (</w:t>
      </w:r>
      <w:r w:rsidR="00E0127B">
        <w:rPr>
          <w:rFonts w:ascii="Times New Roman" w:hAnsi="Times New Roman" w:cs="Times New Roman"/>
          <w:sz w:val="24"/>
          <w:szCs w:val="24"/>
        </w:rPr>
        <w:t xml:space="preserve">Reji </w:t>
      </w:r>
      <w:r w:rsidR="00E0127B">
        <w:rPr>
          <w:rFonts w:ascii="Times New Roman" w:hAnsi="Times New Roman" w:cs="Times New Roman"/>
          <w:i/>
          <w:sz w:val="24"/>
          <w:szCs w:val="24"/>
        </w:rPr>
        <w:t xml:space="preserve">et al., </w:t>
      </w:r>
      <w:r w:rsidR="00E0127B">
        <w:rPr>
          <w:rFonts w:ascii="Times New Roman" w:hAnsi="Times New Roman" w:cs="Times New Roman"/>
          <w:sz w:val="24"/>
          <w:szCs w:val="24"/>
        </w:rPr>
        <w:t>2023</w:t>
      </w:r>
      <w:r w:rsidRPr="007937FF">
        <w:rPr>
          <w:rFonts w:ascii="Times New Roman" w:hAnsi="Times New Roman" w:cs="Times New Roman"/>
          <w:sz w:val="24"/>
          <w:szCs w:val="24"/>
        </w:rPr>
        <w:t>). To avoid clotting, around 2 mL of blood is extracted from each rat and placed in EDTA tubes for hematological analysis. To preserve integrity, the materials are processed within two hours and kept</w:t>
      </w:r>
      <w:r w:rsidR="00D34E1C">
        <w:rPr>
          <w:rFonts w:ascii="Times New Roman" w:hAnsi="Times New Roman" w:cs="Times New Roman"/>
          <w:sz w:val="24"/>
          <w:szCs w:val="24"/>
        </w:rPr>
        <w:t xml:space="preserve"> at 4°C (Wardrop and Brooks, 2016</w:t>
      </w:r>
      <w:r w:rsidRPr="007937FF">
        <w:rPr>
          <w:rFonts w:ascii="Times New Roman" w:hAnsi="Times New Roman" w:cs="Times New Roman"/>
          <w:sz w:val="24"/>
          <w:szCs w:val="24"/>
        </w:rPr>
        <w:t>).</w:t>
      </w:r>
    </w:p>
    <w:p w14:paraId="093AC603" w14:textId="379A3D20" w:rsidR="009C54CF" w:rsidRPr="007937FF" w:rsidRDefault="009C54CF"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Histo</w:t>
      </w:r>
      <w:r w:rsidR="00D35E1B" w:rsidRPr="007937FF">
        <w:rPr>
          <w:rFonts w:ascii="Times New Roman" w:eastAsia="CIDFont+F2" w:hAnsi="Times New Roman" w:cs="Times New Roman"/>
          <w:b/>
          <w:kern w:val="0"/>
          <w:sz w:val="24"/>
          <w:szCs w:val="24"/>
        </w:rPr>
        <w:t>pathology</w:t>
      </w:r>
    </w:p>
    <w:p w14:paraId="2ECB188A" w14:textId="5B0FAE88" w:rsidR="009C54CF" w:rsidRPr="006E41EC" w:rsidRDefault="00B14C4D"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Tissue samples of the brain, liver and kidney</w:t>
      </w:r>
      <w:r w:rsidR="009C54CF" w:rsidRPr="007937FF">
        <w:rPr>
          <w:rFonts w:ascii="Times New Roman" w:hAnsi="Times New Roman" w:cs="Times New Roman"/>
          <w:sz w:val="24"/>
          <w:szCs w:val="24"/>
        </w:rPr>
        <w:t xml:space="preserve"> were fixed in 10% phosphate-buffered formalin for 72 hours. The sections were trimmed and embedded in paraffin wax as described by Baker </w:t>
      </w:r>
      <w:r w:rsidR="009C54CF" w:rsidRPr="007937FF">
        <w:rPr>
          <w:rFonts w:ascii="Times New Roman" w:hAnsi="Times New Roman" w:cs="Times New Roman"/>
          <w:i/>
          <w:iCs/>
          <w:sz w:val="24"/>
          <w:szCs w:val="24"/>
        </w:rPr>
        <w:t>et al</w:t>
      </w:r>
      <w:r w:rsidR="009C54CF" w:rsidRPr="007937FF">
        <w:rPr>
          <w:rFonts w:ascii="Times New Roman" w:hAnsi="Times New Roman" w:cs="Times New Roman"/>
          <w:sz w:val="24"/>
          <w:szCs w:val="24"/>
        </w:rPr>
        <w:t xml:space="preserve">. (1985). The paraffin blocks were then sectioned at </w:t>
      </w:r>
      <w:r w:rsidRPr="007937FF">
        <w:rPr>
          <w:rFonts w:ascii="Times New Roman" w:hAnsi="Times New Roman" w:cs="Times New Roman"/>
          <w:sz w:val="24"/>
          <w:szCs w:val="24"/>
        </w:rPr>
        <w:t>5</w:t>
      </w:r>
      <w:r w:rsidR="009C54CF" w:rsidRPr="007937FF">
        <w:rPr>
          <w:rFonts w:ascii="Times New Roman" w:hAnsi="Times New Roman" w:cs="Times New Roman"/>
          <w:sz w:val="24"/>
          <w:szCs w:val="24"/>
        </w:rPr>
        <w:t xml:space="preserve">μm thickness and stained with hematoxylin and eosin (H&amp;E). The stained slides were observed using light microscopy, and photomicrographs </w:t>
      </w:r>
      <w:r w:rsidR="009C54CF" w:rsidRPr="006E41EC">
        <w:rPr>
          <w:rFonts w:ascii="Times New Roman" w:hAnsi="Times New Roman" w:cs="Times New Roman"/>
          <w:sz w:val="24"/>
          <w:szCs w:val="24"/>
        </w:rPr>
        <w:t>were taken.</w:t>
      </w:r>
    </w:p>
    <w:p w14:paraId="26053C49" w14:textId="77777777" w:rsidR="006E41EC" w:rsidRPr="006E41EC" w:rsidRDefault="006E41EC" w:rsidP="006E41EC">
      <w:pPr>
        <w:spacing w:after="0" w:line="480" w:lineRule="auto"/>
        <w:jc w:val="both"/>
        <w:rPr>
          <w:rFonts w:ascii="Times New Roman" w:hAnsi="Times New Roman" w:cs="Times New Roman"/>
          <w:b/>
          <w:bCs/>
          <w:sz w:val="24"/>
          <w:szCs w:val="24"/>
        </w:rPr>
      </w:pPr>
      <w:r w:rsidRPr="006E41EC">
        <w:rPr>
          <w:rFonts w:ascii="Times New Roman" w:hAnsi="Times New Roman" w:cs="Times New Roman"/>
          <w:b/>
          <w:bCs/>
          <w:sz w:val="24"/>
          <w:szCs w:val="24"/>
        </w:rPr>
        <w:t>Statistical Analysis</w:t>
      </w:r>
    </w:p>
    <w:p w14:paraId="31E67C6F" w14:textId="77777777" w:rsidR="006E41EC" w:rsidRPr="006E41EC" w:rsidRDefault="006E41EC" w:rsidP="006E41EC">
      <w:pPr>
        <w:spacing w:after="0" w:line="480" w:lineRule="auto"/>
        <w:jc w:val="both"/>
        <w:rPr>
          <w:rFonts w:ascii="Times New Roman" w:hAnsi="Times New Roman" w:cs="Times New Roman"/>
          <w:sz w:val="24"/>
          <w:szCs w:val="24"/>
        </w:rPr>
      </w:pPr>
      <w:r w:rsidRPr="006E41EC">
        <w:rPr>
          <w:rFonts w:ascii="Times New Roman" w:hAnsi="Times New Roman" w:cs="Times New Roman"/>
          <w:sz w:val="24"/>
          <w:szCs w:val="24"/>
        </w:rPr>
        <w:t>The data obtained were provided as the mean ± SD. To determine significant differences between groups, a one-way ANOVA was employed, preceded by the Duncan Multiple Range Test (DMRT) for multiple comparisons.  Significant differences were defined as P-values less than or equal to 0.05.</w:t>
      </w:r>
    </w:p>
    <w:p w14:paraId="4079297E" w14:textId="77777777" w:rsidR="007838D3" w:rsidRPr="007937FF" w:rsidRDefault="007838D3" w:rsidP="007937FF">
      <w:pPr>
        <w:autoSpaceDE w:val="0"/>
        <w:autoSpaceDN w:val="0"/>
        <w:adjustRightInd w:val="0"/>
        <w:spacing w:after="0" w:line="480" w:lineRule="auto"/>
        <w:jc w:val="both"/>
        <w:rPr>
          <w:rFonts w:ascii="Times New Roman" w:eastAsia="CIDFont+F2" w:hAnsi="Times New Roman" w:cs="Times New Roman"/>
          <w:b/>
          <w:kern w:val="0"/>
          <w:sz w:val="24"/>
          <w:szCs w:val="24"/>
        </w:rPr>
      </w:pPr>
    </w:p>
    <w:p w14:paraId="77E758E3" w14:textId="77777777" w:rsidR="007838D3" w:rsidRPr="007937FF" w:rsidRDefault="008149F4" w:rsidP="007937FF">
      <w:pPr>
        <w:autoSpaceDE w:val="0"/>
        <w:autoSpaceDN w:val="0"/>
        <w:adjustRightInd w:val="0"/>
        <w:spacing w:after="0" w:line="480" w:lineRule="auto"/>
        <w:jc w:val="both"/>
        <w:rPr>
          <w:rFonts w:ascii="Times New Roman" w:eastAsia="CIDFont+F2" w:hAnsi="Times New Roman" w:cs="Times New Roman"/>
          <w:b/>
          <w:kern w:val="0"/>
          <w:sz w:val="24"/>
          <w:szCs w:val="24"/>
        </w:rPr>
      </w:pPr>
      <w:r w:rsidRPr="007937FF">
        <w:rPr>
          <w:rFonts w:ascii="Times New Roman" w:eastAsia="CIDFont+F2" w:hAnsi="Times New Roman" w:cs="Times New Roman"/>
          <w:b/>
          <w:kern w:val="0"/>
          <w:sz w:val="24"/>
          <w:szCs w:val="24"/>
        </w:rPr>
        <w:t xml:space="preserve">RESULTS </w:t>
      </w:r>
      <w:bookmarkStart w:id="0" w:name="_Toc185315090"/>
    </w:p>
    <w:p w14:paraId="0149E9DD" w14:textId="5F5ABCF4" w:rsidR="008149F4" w:rsidRPr="007937FF" w:rsidRDefault="008149F4" w:rsidP="007937FF">
      <w:pPr>
        <w:autoSpaceDE w:val="0"/>
        <w:autoSpaceDN w:val="0"/>
        <w:adjustRightInd w:val="0"/>
        <w:spacing w:after="0" w:line="480" w:lineRule="auto"/>
        <w:jc w:val="both"/>
        <w:rPr>
          <w:rFonts w:ascii="Times New Roman" w:eastAsia="CIDFont+F2" w:hAnsi="Times New Roman" w:cs="Times New Roman"/>
          <w:kern w:val="0"/>
          <w:sz w:val="24"/>
          <w:szCs w:val="24"/>
        </w:rPr>
      </w:pPr>
      <w:r w:rsidRPr="007937FF">
        <w:rPr>
          <w:rFonts w:ascii="Times New Roman" w:hAnsi="Times New Roman" w:cs="Times New Roman"/>
          <w:sz w:val="24"/>
          <w:szCs w:val="24"/>
        </w:rPr>
        <w:t>Table 1:</w:t>
      </w:r>
      <w:bookmarkEnd w:id="0"/>
      <w:r w:rsidRPr="007937FF">
        <w:rPr>
          <w:rFonts w:ascii="Times New Roman" w:hAnsi="Times New Roman" w:cs="Times New Roman"/>
          <w:sz w:val="24"/>
          <w:szCs w:val="24"/>
        </w:rPr>
        <w:t xml:space="preserve"> Mean (±SD) hematological parameters of Wister albino rats untreated control and treated with 100mg/kg of tramadol</w:t>
      </w:r>
    </w:p>
    <w:tbl>
      <w:tblPr>
        <w:tblStyle w:val="TableGrid"/>
        <w:tblW w:w="0" w:type="auto"/>
        <w:tblInd w:w="0" w:type="dxa"/>
        <w:tblLook w:val="04A0" w:firstRow="1" w:lastRow="0" w:firstColumn="1" w:lastColumn="0" w:noHBand="0" w:noVBand="1"/>
      </w:tblPr>
      <w:tblGrid>
        <w:gridCol w:w="1913"/>
        <w:gridCol w:w="1807"/>
        <w:gridCol w:w="1806"/>
        <w:gridCol w:w="1912"/>
        <w:gridCol w:w="1912"/>
      </w:tblGrid>
      <w:tr w:rsidR="008149F4" w:rsidRPr="007937FF" w14:paraId="674A75D5" w14:textId="77777777" w:rsidTr="00CF308C">
        <w:tc>
          <w:tcPr>
            <w:tcW w:w="1913" w:type="dxa"/>
            <w:vMerge w:val="restart"/>
            <w:tcBorders>
              <w:top w:val="single" w:sz="4" w:space="0" w:color="auto"/>
              <w:left w:val="nil"/>
              <w:right w:val="nil"/>
            </w:tcBorders>
          </w:tcPr>
          <w:p w14:paraId="0B9D7E42" w14:textId="77777777" w:rsidR="008149F4" w:rsidRPr="007937FF" w:rsidRDefault="008149F4" w:rsidP="007937FF">
            <w:pPr>
              <w:spacing w:line="480" w:lineRule="auto"/>
              <w:jc w:val="both"/>
              <w:rPr>
                <w:rFonts w:ascii="Times New Roman" w:hAnsi="Times New Roman"/>
                <w:b/>
                <w:sz w:val="24"/>
                <w:szCs w:val="24"/>
              </w:rPr>
            </w:pPr>
            <w:r w:rsidRPr="007937FF">
              <w:rPr>
                <w:rFonts w:ascii="Times New Roman" w:hAnsi="Times New Roman"/>
                <w:b/>
                <w:sz w:val="24"/>
                <w:szCs w:val="24"/>
              </w:rPr>
              <w:t>PARAMETER</w:t>
            </w:r>
          </w:p>
        </w:tc>
        <w:tc>
          <w:tcPr>
            <w:tcW w:w="3613" w:type="dxa"/>
            <w:gridSpan w:val="2"/>
            <w:tcBorders>
              <w:top w:val="single" w:sz="4" w:space="0" w:color="auto"/>
              <w:left w:val="nil"/>
              <w:bottom w:val="single" w:sz="4" w:space="0" w:color="auto"/>
              <w:right w:val="nil"/>
            </w:tcBorders>
          </w:tcPr>
          <w:p w14:paraId="34015B95" w14:textId="77777777" w:rsidR="008149F4" w:rsidRPr="007937FF" w:rsidRDefault="008149F4" w:rsidP="007937FF">
            <w:pPr>
              <w:spacing w:line="480" w:lineRule="auto"/>
              <w:jc w:val="both"/>
              <w:rPr>
                <w:rFonts w:ascii="Times New Roman" w:hAnsi="Times New Roman"/>
                <w:b/>
                <w:sz w:val="24"/>
                <w:szCs w:val="24"/>
              </w:rPr>
            </w:pPr>
            <w:r w:rsidRPr="007937FF">
              <w:rPr>
                <w:rFonts w:ascii="Times New Roman" w:hAnsi="Times New Roman"/>
                <w:b/>
                <w:sz w:val="24"/>
                <w:szCs w:val="24"/>
              </w:rPr>
              <w:t>UNTREATED  GROUPS</w:t>
            </w:r>
          </w:p>
        </w:tc>
        <w:tc>
          <w:tcPr>
            <w:tcW w:w="3824" w:type="dxa"/>
            <w:gridSpan w:val="2"/>
            <w:tcBorders>
              <w:top w:val="single" w:sz="4" w:space="0" w:color="auto"/>
              <w:left w:val="nil"/>
              <w:bottom w:val="single" w:sz="4" w:space="0" w:color="auto"/>
              <w:right w:val="nil"/>
            </w:tcBorders>
          </w:tcPr>
          <w:p w14:paraId="33232B8C" w14:textId="77777777" w:rsidR="008149F4" w:rsidRPr="007937FF" w:rsidRDefault="008149F4" w:rsidP="007937FF">
            <w:pPr>
              <w:spacing w:line="480" w:lineRule="auto"/>
              <w:jc w:val="both"/>
              <w:rPr>
                <w:rFonts w:ascii="Times New Roman" w:hAnsi="Times New Roman"/>
                <w:b/>
                <w:sz w:val="24"/>
                <w:szCs w:val="24"/>
              </w:rPr>
            </w:pPr>
            <w:r w:rsidRPr="007937FF">
              <w:rPr>
                <w:rFonts w:ascii="Times New Roman" w:hAnsi="Times New Roman"/>
                <w:b/>
                <w:sz w:val="24"/>
                <w:szCs w:val="24"/>
              </w:rPr>
              <w:t>TREATED GROUPS</w:t>
            </w:r>
          </w:p>
        </w:tc>
      </w:tr>
      <w:tr w:rsidR="008149F4" w:rsidRPr="007937FF" w14:paraId="257EFEB5" w14:textId="77777777" w:rsidTr="00CF308C">
        <w:tc>
          <w:tcPr>
            <w:tcW w:w="1913" w:type="dxa"/>
            <w:vMerge/>
            <w:tcBorders>
              <w:left w:val="nil"/>
              <w:bottom w:val="single" w:sz="4" w:space="0" w:color="auto"/>
              <w:right w:val="nil"/>
            </w:tcBorders>
          </w:tcPr>
          <w:p w14:paraId="2E975804" w14:textId="77777777" w:rsidR="008149F4" w:rsidRPr="007937FF" w:rsidRDefault="008149F4" w:rsidP="007937FF">
            <w:pPr>
              <w:spacing w:line="480" w:lineRule="auto"/>
              <w:jc w:val="both"/>
              <w:rPr>
                <w:rFonts w:ascii="Times New Roman" w:hAnsi="Times New Roman"/>
                <w:sz w:val="24"/>
                <w:szCs w:val="24"/>
              </w:rPr>
            </w:pPr>
          </w:p>
        </w:tc>
        <w:tc>
          <w:tcPr>
            <w:tcW w:w="1807" w:type="dxa"/>
            <w:tcBorders>
              <w:top w:val="single" w:sz="4" w:space="0" w:color="auto"/>
              <w:left w:val="nil"/>
              <w:bottom w:val="single" w:sz="4" w:space="0" w:color="auto"/>
              <w:right w:val="nil"/>
            </w:tcBorders>
          </w:tcPr>
          <w:p w14:paraId="7F185556"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 xml:space="preserve">FEMALE </w:t>
            </w:r>
          </w:p>
        </w:tc>
        <w:tc>
          <w:tcPr>
            <w:tcW w:w="1806" w:type="dxa"/>
            <w:tcBorders>
              <w:top w:val="single" w:sz="4" w:space="0" w:color="auto"/>
              <w:left w:val="nil"/>
              <w:bottom w:val="single" w:sz="4" w:space="0" w:color="auto"/>
              <w:right w:val="nil"/>
            </w:tcBorders>
          </w:tcPr>
          <w:p w14:paraId="638EB3C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MALE</w:t>
            </w:r>
          </w:p>
        </w:tc>
        <w:tc>
          <w:tcPr>
            <w:tcW w:w="1912" w:type="dxa"/>
            <w:tcBorders>
              <w:top w:val="single" w:sz="4" w:space="0" w:color="auto"/>
              <w:left w:val="nil"/>
              <w:bottom w:val="single" w:sz="4" w:space="0" w:color="auto"/>
              <w:right w:val="nil"/>
            </w:tcBorders>
          </w:tcPr>
          <w:p w14:paraId="7494F7D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 xml:space="preserve">MALE </w:t>
            </w:r>
          </w:p>
        </w:tc>
        <w:tc>
          <w:tcPr>
            <w:tcW w:w="1912" w:type="dxa"/>
            <w:tcBorders>
              <w:top w:val="single" w:sz="4" w:space="0" w:color="auto"/>
              <w:left w:val="nil"/>
              <w:bottom w:val="single" w:sz="4" w:space="0" w:color="auto"/>
              <w:right w:val="nil"/>
            </w:tcBorders>
          </w:tcPr>
          <w:p w14:paraId="11F60087"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 xml:space="preserve">FEMALE </w:t>
            </w:r>
          </w:p>
        </w:tc>
      </w:tr>
      <w:tr w:rsidR="008149F4" w:rsidRPr="007937FF" w14:paraId="379F84BF" w14:textId="77777777" w:rsidTr="00CF308C">
        <w:tc>
          <w:tcPr>
            <w:tcW w:w="1913" w:type="dxa"/>
            <w:tcBorders>
              <w:top w:val="single" w:sz="4" w:space="0" w:color="auto"/>
              <w:left w:val="nil"/>
              <w:bottom w:val="nil"/>
              <w:right w:val="nil"/>
            </w:tcBorders>
          </w:tcPr>
          <w:p w14:paraId="13FE1A0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PCV (%)</w:t>
            </w:r>
          </w:p>
        </w:tc>
        <w:tc>
          <w:tcPr>
            <w:tcW w:w="1807" w:type="dxa"/>
            <w:tcBorders>
              <w:top w:val="single" w:sz="4" w:space="0" w:color="auto"/>
              <w:left w:val="nil"/>
              <w:bottom w:val="nil"/>
              <w:right w:val="nil"/>
            </w:tcBorders>
          </w:tcPr>
          <w:p w14:paraId="163A5CB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45.71 ± 3.01</w:t>
            </w:r>
          </w:p>
        </w:tc>
        <w:tc>
          <w:tcPr>
            <w:tcW w:w="1806" w:type="dxa"/>
            <w:tcBorders>
              <w:top w:val="single" w:sz="4" w:space="0" w:color="auto"/>
              <w:left w:val="nil"/>
              <w:bottom w:val="nil"/>
              <w:right w:val="nil"/>
            </w:tcBorders>
          </w:tcPr>
          <w:p w14:paraId="580277F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47.00 ± 1.07</w:t>
            </w:r>
          </w:p>
        </w:tc>
        <w:tc>
          <w:tcPr>
            <w:tcW w:w="1912" w:type="dxa"/>
            <w:tcBorders>
              <w:top w:val="single" w:sz="4" w:space="0" w:color="auto"/>
              <w:left w:val="nil"/>
              <w:bottom w:val="nil"/>
              <w:right w:val="nil"/>
            </w:tcBorders>
          </w:tcPr>
          <w:p w14:paraId="71C243F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34.14 ± 5.08*</w:t>
            </w:r>
          </w:p>
        </w:tc>
        <w:tc>
          <w:tcPr>
            <w:tcW w:w="1912" w:type="dxa"/>
            <w:tcBorders>
              <w:top w:val="single" w:sz="4" w:space="0" w:color="auto"/>
              <w:left w:val="nil"/>
              <w:bottom w:val="nil"/>
              <w:right w:val="nil"/>
            </w:tcBorders>
          </w:tcPr>
          <w:p w14:paraId="44B6E5ED"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28.29 ± 3.65*</w:t>
            </w:r>
          </w:p>
        </w:tc>
      </w:tr>
      <w:tr w:rsidR="008149F4" w:rsidRPr="007937FF" w14:paraId="356FF0EC" w14:textId="77777777" w:rsidTr="00CF308C">
        <w:tc>
          <w:tcPr>
            <w:tcW w:w="1913" w:type="dxa"/>
            <w:tcBorders>
              <w:top w:val="nil"/>
              <w:left w:val="nil"/>
              <w:bottom w:val="nil"/>
              <w:right w:val="nil"/>
            </w:tcBorders>
          </w:tcPr>
          <w:p w14:paraId="7DB4707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lastRenderedPageBreak/>
              <w:t>RBC</w:t>
            </w:r>
          </w:p>
          <w:p w14:paraId="0E4AB62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(10^6/µL)</w:t>
            </w:r>
          </w:p>
        </w:tc>
        <w:tc>
          <w:tcPr>
            <w:tcW w:w="1807" w:type="dxa"/>
            <w:tcBorders>
              <w:top w:val="nil"/>
              <w:left w:val="nil"/>
              <w:bottom w:val="nil"/>
              <w:right w:val="nil"/>
            </w:tcBorders>
          </w:tcPr>
          <w:p w14:paraId="633BEAC9"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7.35 ± 0.22</w:t>
            </w:r>
          </w:p>
        </w:tc>
        <w:tc>
          <w:tcPr>
            <w:tcW w:w="1806" w:type="dxa"/>
            <w:tcBorders>
              <w:top w:val="nil"/>
              <w:left w:val="nil"/>
              <w:bottom w:val="nil"/>
              <w:right w:val="nil"/>
            </w:tcBorders>
          </w:tcPr>
          <w:p w14:paraId="0CAB0653"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7.33 ± 0.41</w:t>
            </w:r>
          </w:p>
        </w:tc>
        <w:tc>
          <w:tcPr>
            <w:tcW w:w="1912" w:type="dxa"/>
            <w:tcBorders>
              <w:top w:val="nil"/>
              <w:left w:val="nil"/>
              <w:bottom w:val="nil"/>
              <w:right w:val="nil"/>
            </w:tcBorders>
          </w:tcPr>
          <w:p w14:paraId="181E67C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5.53 ± 0.21</w:t>
            </w:r>
          </w:p>
        </w:tc>
        <w:tc>
          <w:tcPr>
            <w:tcW w:w="1912" w:type="dxa"/>
            <w:tcBorders>
              <w:top w:val="nil"/>
              <w:left w:val="nil"/>
              <w:bottom w:val="nil"/>
              <w:right w:val="nil"/>
            </w:tcBorders>
          </w:tcPr>
          <w:p w14:paraId="618138E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6.29 ± 0.29</w:t>
            </w:r>
          </w:p>
        </w:tc>
      </w:tr>
      <w:tr w:rsidR="008149F4" w:rsidRPr="007937FF" w14:paraId="395EA6D6" w14:textId="77777777" w:rsidTr="00CF308C">
        <w:tc>
          <w:tcPr>
            <w:tcW w:w="1913" w:type="dxa"/>
            <w:tcBorders>
              <w:top w:val="nil"/>
              <w:left w:val="nil"/>
              <w:bottom w:val="nil"/>
              <w:right w:val="nil"/>
            </w:tcBorders>
          </w:tcPr>
          <w:p w14:paraId="227A57C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WBC (10^4/µL)</w:t>
            </w:r>
          </w:p>
        </w:tc>
        <w:tc>
          <w:tcPr>
            <w:tcW w:w="1807" w:type="dxa"/>
            <w:tcBorders>
              <w:top w:val="nil"/>
              <w:left w:val="nil"/>
              <w:bottom w:val="nil"/>
              <w:right w:val="nil"/>
            </w:tcBorders>
          </w:tcPr>
          <w:p w14:paraId="4A85BF5D"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50.14 ± 3.09</w:t>
            </w:r>
          </w:p>
        </w:tc>
        <w:tc>
          <w:tcPr>
            <w:tcW w:w="1806" w:type="dxa"/>
            <w:tcBorders>
              <w:top w:val="nil"/>
              <w:left w:val="nil"/>
              <w:bottom w:val="nil"/>
              <w:right w:val="nil"/>
            </w:tcBorders>
          </w:tcPr>
          <w:p w14:paraId="080B1F5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48.14 ±3.48</w:t>
            </w:r>
          </w:p>
        </w:tc>
        <w:tc>
          <w:tcPr>
            <w:tcW w:w="1912" w:type="dxa"/>
            <w:tcBorders>
              <w:top w:val="nil"/>
              <w:left w:val="nil"/>
              <w:bottom w:val="nil"/>
              <w:right w:val="nil"/>
            </w:tcBorders>
          </w:tcPr>
          <w:p w14:paraId="2DBEFEB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29.00 ± 2.62</w:t>
            </w:r>
          </w:p>
        </w:tc>
        <w:tc>
          <w:tcPr>
            <w:tcW w:w="1912" w:type="dxa"/>
            <w:tcBorders>
              <w:top w:val="nil"/>
              <w:left w:val="nil"/>
              <w:bottom w:val="nil"/>
              <w:right w:val="nil"/>
            </w:tcBorders>
          </w:tcPr>
          <w:p w14:paraId="133D7FD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39.00 ± 5.45</w:t>
            </w:r>
          </w:p>
        </w:tc>
      </w:tr>
      <w:tr w:rsidR="008149F4" w:rsidRPr="007937FF" w14:paraId="79460EED" w14:textId="77777777" w:rsidTr="00CF308C">
        <w:tc>
          <w:tcPr>
            <w:tcW w:w="1913" w:type="dxa"/>
            <w:tcBorders>
              <w:top w:val="nil"/>
              <w:left w:val="nil"/>
              <w:bottom w:val="nil"/>
              <w:right w:val="nil"/>
            </w:tcBorders>
          </w:tcPr>
          <w:p w14:paraId="7F33350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HB (g/dl)</w:t>
            </w:r>
          </w:p>
        </w:tc>
        <w:tc>
          <w:tcPr>
            <w:tcW w:w="1807" w:type="dxa"/>
            <w:tcBorders>
              <w:top w:val="nil"/>
              <w:left w:val="nil"/>
              <w:bottom w:val="nil"/>
              <w:right w:val="nil"/>
            </w:tcBorders>
          </w:tcPr>
          <w:p w14:paraId="6A8582B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15.20 ± 1.00</w:t>
            </w:r>
          </w:p>
        </w:tc>
        <w:tc>
          <w:tcPr>
            <w:tcW w:w="1806" w:type="dxa"/>
            <w:tcBorders>
              <w:top w:val="nil"/>
              <w:left w:val="nil"/>
              <w:bottom w:val="nil"/>
              <w:right w:val="nil"/>
            </w:tcBorders>
          </w:tcPr>
          <w:p w14:paraId="1EF3889C"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15.67 ± 0.36</w:t>
            </w:r>
          </w:p>
        </w:tc>
        <w:tc>
          <w:tcPr>
            <w:tcW w:w="1912" w:type="dxa"/>
            <w:tcBorders>
              <w:top w:val="nil"/>
              <w:left w:val="nil"/>
              <w:bottom w:val="nil"/>
              <w:right w:val="nil"/>
            </w:tcBorders>
          </w:tcPr>
          <w:p w14:paraId="7FCC870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11.50 ± 1.64*</w:t>
            </w:r>
          </w:p>
        </w:tc>
        <w:tc>
          <w:tcPr>
            <w:tcW w:w="1912" w:type="dxa"/>
            <w:tcBorders>
              <w:top w:val="nil"/>
              <w:left w:val="nil"/>
              <w:bottom w:val="nil"/>
              <w:right w:val="nil"/>
            </w:tcBorders>
          </w:tcPr>
          <w:p w14:paraId="64645CB9"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9.40 ± 1.22*</w:t>
            </w:r>
          </w:p>
        </w:tc>
      </w:tr>
      <w:tr w:rsidR="008149F4" w:rsidRPr="007937FF" w14:paraId="6E8F7FE6" w14:textId="77777777" w:rsidTr="00CF308C">
        <w:tc>
          <w:tcPr>
            <w:tcW w:w="1913" w:type="dxa"/>
            <w:tcBorders>
              <w:top w:val="nil"/>
              <w:left w:val="nil"/>
              <w:bottom w:val="nil"/>
              <w:right w:val="nil"/>
            </w:tcBorders>
          </w:tcPr>
          <w:p w14:paraId="0FB7A59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MCH (Pg)</w:t>
            </w:r>
          </w:p>
        </w:tc>
        <w:tc>
          <w:tcPr>
            <w:tcW w:w="1807" w:type="dxa"/>
            <w:tcBorders>
              <w:top w:val="nil"/>
              <w:left w:val="nil"/>
              <w:bottom w:val="nil"/>
              <w:right w:val="nil"/>
            </w:tcBorders>
          </w:tcPr>
          <w:p w14:paraId="13595A45"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21.09 ± 1.26</w:t>
            </w:r>
          </w:p>
        </w:tc>
        <w:tc>
          <w:tcPr>
            <w:tcW w:w="1806" w:type="dxa"/>
            <w:tcBorders>
              <w:top w:val="nil"/>
              <w:left w:val="nil"/>
              <w:bottom w:val="nil"/>
              <w:right w:val="nil"/>
            </w:tcBorders>
          </w:tcPr>
          <w:p w14:paraId="65E8C18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21.43 ± 1.02</w:t>
            </w:r>
          </w:p>
        </w:tc>
        <w:tc>
          <w:tcPr>
            <w:tcW w:w="1912" w:type="dxa"/>
            <w:tcBorders>
              <w:top w:val="nil"/>
              <w:left w:val="nil"/>
              <w:bottom w:val="nil"/>
              <w:right w:val="nil"/>
            </w:tcBorders>
          </w:tcPr>
          <w:p w14:paraId="2D56898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20.77 ± 2.75*</w:t>
            </w:r>
          </w:p>
        </w:tc>
        <w:tc>
          <w:tcPr>
            <w:tcW w:w="1912" w:type="dxa"/>
            <w:tcBorders>
              <w:top w:val="nil"/>
              <w:left w:val="nil"/>
              <w:bottom w:val="nil"/>
              <w:right w:val="nil"/>
            </w:tcBorders>
          </w:tcPr>
          <w:p w14:paraId="6BE5EBA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14.91 ± 1.51*</w:t>
            </w:r>
          </w:p>
        </w:tc>
      </w:tr>
      <w:tr w:rsidR="008149F4" w:rsidRPr="007937FF" w14:paraId="477B8AAD" w14:textId="77777777" w:rsidTr="00CF308C">
        <w:tc>
          <w:tcPr>
            <w:tcW w:w="1913" w:type="dxa"/>
            <w:tcBorders>
              <w:top w:val="nil"/>
              <w:left w:val="nil"/>
              <w:bottom w:val="nil"/>
              <w:right w:val="nil"/>
            </w:tcBorders>
          </w:tcPr>
          <w:p w14:paraId="122A86F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MCV (FL)</w:t>
            </w:r>
          </w:p>
        </w:tc>
        <w:tc>
          <w:tcPr>
            <w:tcW w:w="1807" w:type="dxa"/>
            <w:tcBorders>
              <w:top w:val="nil"/>
              <w:left w:val="nil"/>
              <w:bottom w:val="nil"/>
              <w:right w:val="nil"/>
            </w:tcBorders>
          </w:tcPr>
          <w:p w14:paraId="0488F85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62.66 ± 2.84</w:t>
            </w:r>
          </w:p>
        </w:tc>
        <w:tc>
          <w:tcPr>
            <w:tcW w:w="1806" w:type="dxa"/>
            <w:tcBorders>
              <w:top w:val="nil"/>
              <w:left w:val="nil"/>
              <w:bottom w:val="nil"/>
              <w:right w:val="nil"/>
            </w:tcBorders>
          </w:tcPr>
          <w:p w14:paraId="15ACF5E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64.29 ± 3.63</w:t>
            </w:r>
          </w:p>
        </w:tc>
        <w:tc>
          <w:tcPr>
            <w:tcW w:w="1912" w:type="dxa"/>
            <w:tcBorders>
              <w:top w:val="nil"/>
              <w:left w:val="nil"/>
              <w:bottom w:val="nil"/>
              <w:right w:val="nil"/>
            </w:tcBorders>
          </w:tcPr>
          <w:p w14:paraId="276385C0"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61.85 ± 8.35*</w:t>
            </w:r>
          </w:p>
        </w:tc>
        <w:tc>
          <w:tcPr>
            <w:tcW w:w="1912" w:type="dxa"/>
            <w:tcBorders>
              <w:top w:val="nil"/>
              <w:left w:val="nil"/>
              <w:bottom w:val="nil"/>
              <w:right w:val="nil"/>
            </w:tcBorders>
          </w:tcPr>
          <w:p w14:paraId="300EEBD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44.90 ± 4.67*</w:t>
            </w:r>
          </w:p>
        </w:tc>
      </w:tr>
      <w:tr w:rsidR="008149F4" w:rsidRPr="007937FF" w14:paraId="6C7F6CEE" w14:textId="77777777" w:rsidTr="00CF308C">
        <w:tc>
          <w:tcPr>
            <w:tcW w:w="1913" w:type="dxa"/>
            <w:tcBorders>
              <w:top w:val="nil"/>
              <w:left w:val="nil"/>
              <w:bottom w:val="single" w:sz="4" w:space="0" w:color="auto"/>
              <w:right w:val="nil"/>
            </w:tcBorders>
          </w:tcPr>
          <w:p w14:paraId="6983DF5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MCHC (g/dl)</w:t>
            </w:r>
          </w:p>
        </w:tc>
        <w:tc>
          <w:tcPr>
            <w:tcW w:w="1807" w:type="dxa"/>
            <w:tcBorders>
              <w:top w:val="nil"/>
              <w:left w:val="nil"/>
              <w:bottom w:val="single" w:sz="4" w:space="0" w:color="auto"/>
              <w:right w:val="nil"/>
            </w:tcBorders>
          </w:tcPr>
          <w:p w14:paraId="031B29C7"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33.40 ± 0.17</w:t>
            </w:r>
          </w:p>
        </w:tc>
        <w:tc>
          <w:tcPr>
            <w:tcW w:w="1806" w:type="dxa"/>
            <w:tcBorders>
              <w:top w:val="nil"/>
              <w:left w:val="nil"/>
              <w:bottom w:val="single" w:sz="4" w:space="0" w:color="auto"/>
              <w:right w:val="nil"/>
            </w:tcBorders>
          </w:tcPr>
          <w:p w14:paraId="441E7ABA"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33.33 ± 0.00</w:t>
            </w:r>
          </w:p>
        </w:tc>
        <w:tc>
          <w:tcPr>
            <w:tcW w:w="1912" w:type="dxa"/>
            <w:tcBorders>
              <w:top w:val="nil"/>
              <w:left w:val="nil"/>
              <w:bottom w:val="single" w:sz="4" w:space="0" w:color="auto"/>
              <w:right w:val="nil"/>
            </w:tcBorders>
          </w:tcPr>
          <w:p w14:paraId="60571DB1" w14:textId="0C969A7C" w:rsidR="008149F4" w:rsidRPr="007937FF" w:rsidRDefault="008149F4" w:rsidP="00422B64">
            <w:pPr>
              <w:spacing w:line="480" w:lineRule="auto"/>
              <w:jc w:val="both"/>
              <w:rPr>
                <w:rFonts w:ascii="Times New Roman" w:hAnsi="Times New Roman"/>
                <w:sz w:val="24"/>
                <w:szCs w:val="24"/>
              </w:rPr>
            </w:pPr>
            <w:r w:rsidRPr="007937FF">
              <w:rPr>
                <w:rFonts w:ascii="Times New Roman" w:hAnsi="Times New Roman"/>
                <w:sz w:val="24"/>
                <w:szCs w:val="24"/>
              </w:rPr>
              <w:t xml:space="preserve">33.31 ± </w:t>
            </w:r>
            <w:r w:rsidRPr="00422B64">
              <w:rPr>
                <w:rFonts w:ascii="Times New Roman" w:hAnsi="Times New Roman"/>
                <w:color w:val="FF0000"/>
                <w:sz w:val="24"/>
                <w:szCs w:val="24"/>
              </w:rPr>
              <w:t>0</w:t>
            </w:r>
            <w:r w:rsidR="00422B64" w:rsidRPr="00422B64">
              <w:rPr>
                <w:rFonts w:ascii="Times New Roman" w:hAnsi="Times New Roman"/>
                <w:color w:val="FF0000"/>
                <w:sz w:val="24"/>
                <w:szCs w:val="24"/>
              </w:rPr>
              <w:t>.</w:t>
            </w:r>
            <w:r w:rsidRPr="00422B64">
              <w:rPr>
                <w:rFonts w:ascii="Times New Roman" w:hAnsi="Times New Roman"/>
                <w:color w:val="FF0000"/>
                <w:sz w:val="24"/>
                <w:szCs w:val="24"/>
              </w:rPr>
              <w:t>01</w:t>
            </w:r>
          </w:p>
        </w:tc>
        <w:tc>
          <w:tcPr>
            <w:tcW w:w="1912" w:type="dxa"/>
            <w:tcBorders>
              <w:top w:val="nil"/>
              <w:left w:val="nil"/>
              <w:bottom w:val="single" w:sz="4" w:space="0" w:color="auto"/>
              <w:right w:val="nil"/>
            </w:tcBorders>
          </w:tcPr>
          <w:p w14:paraId="091B044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33.31 ± 0.01</w:t>
            </w:r>
          </w:p>
        </w:tc>
      </w:tr>
    </w:tbl>
    <w:p w14:paraId="6F82EA8F" w14:textId="77777777" w:rsidR="008149F4" w:rsidRPr="007937FF" w:rsidRDefault="008149F4"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The parameters in asterisk (*) are indicative of a significant difference from the control group (p &lt; 0.05).</w:t>
      </w:r>
    </w:p>
    <w:p w14:paraId="0566B01C" w14:textId="70EC7D73" w:rsidR="008149F4" w:rsidRPr="007937FF" w:rsidRDefault="008149F4" w:rsidP="007937FF">
      <w:pPr>
        <w:spacing w:after="0" w:line="480" w:lineRule="auto"/>
        <w:rPr>
          <w:rFonts w:ascii="Times New Roman" w:hAnsi="Times New Roman" w:cs="Times New Roman"/>
          <w:sz w:val="24"/>
          <w:szCs w:val="24"/>
        </w:rPr>
      </w:pPr>
      <w:r w:rsidRPr="007937FF">
        <w:rPr>
          <w:rFonts w:ascii="Times New Roman" w:hAnsi="Times New Roman" w:cs="Times New Roman"/>
          <w:sz w:val="24"/>
          <w:szCs w:val="24"/>
        </w:rPr>
        <w:t>Table 2: Differential Leukocytes Count for Untreated and Treated Groups with Tramadol 100mg/kg</w:t>
      </w:r>
    </w:p>
    <w:tbl>
      <w:tblPr>
        <w:tblStyle w:val="TableGrid"/>
        <w:tblW w:w="0" w:type="auto"/>
        <w:tblInd w:w="0" w:type="dxa"/>
        <w:tblLook w:val="04A0" w:firstRow="1" w:lastRow="0" w:firstColumn="1" w:lastColumn="0" w:noHBand="0" w:noVBand="1"/>
      </w:tblPr>
      <w:tblGrid>
        <w:gridCol w:w="2489"/>
        <w:gridCol w:w="2400"/>
        <w:gridCol w:w="2403"/>
      </w:tblGrid>
      <w:tr w:rsidR="008149F4" w:rsidRPr="007937FF" w14:paraId="57B6FF8C" w14:textId="77777777" w:rsidTr="00CF308C">
        <w:tc>
          <w:tcPr>
            <w:tcW w:w="2489" w:type="dxa"/>
            <w:tcBorders>
              <w:top w:val="single" w:sz="4" w:space="0" w:color="auto"/>
              <w:left w:val="nil"/>
              <w:bottom w:val="single" w:sz="4" w:space="0" w:color="auto"/>
              <w:right w:val="nil"/>
            </w:tcBorders>
            <w:hideMark/>
          </w:tcPr>
          <w:p w14:paraId="4F7ED87F" w14:textId="77777777" w:rsidR="008149F4" w:rsidRPr="007937FF" w:rsidRDefault="007838D3" w:rsidP="007937FF">
            <w:pPr>
              <w:spacing w:line="480" w:lineRule="auto"/>
              <w:jc w:val="both"/>
              <w:rPr>
                <w:rFonts w:ascii="Times New Roman" w:hAnsi="Times New Roman"/>
                <w:b/>
                <w:bCs/>
                <w:sz w:val="24"/>
                <w:szCs w:val="24"/>
              </w:rPr>
            </w:pPr>
            <w:r w:rsidRPr="007937FF">
              <w:rPr>
                <w:rFonts w:ascii="Times New Roman" w:hAnsi="Times New Roman"/>
                <w:b/>
                <w:bCs/>
                <w:sz w:val="24"/>
                <w:szCs w:val="24"/>
              </w:rPr>
              <w:t>PARAMETERS</w:t>
            </w:r>
          </w:p>
        </w:tc>
        <w:tc>
          <w:tcPr>
            <w:tcW w:w="2400" w:type="dxa"/>
            <w:tcBorders>
              <w:top w:val="single" w:sz="4" w:space="0" w:color="auto"/>
              <w:left w:val="nil"/>
              <w:bottom w:val="single" w:sz="4" w:space="0" w:color="auto"/>
              <w:right w:val="nil"/>
            </w:tcBorders>
            <w:hideMark/>
          </w:tcPr>
          <w:p w14:paraId="50444E10" w14:textId="77777777" w:rsidR="008149F4" w:rsidRPr="007937FF" w:rsidRDefault="007838D3" w:rsidP="007937FF">
            <w:pPr>
              <w:spacing w:line="480" w:lineRule="auto"/>
              <w:jc w:val="both"/>
              <w:rPr>
                <w:rFonts w:ascii="Times New Roman" w:hAnsi="Times New Roman"/>
                <w:b/>
                <w:bCs/>
                <w:sz w:val="24"/>
                <w:szCs w:val="24"/>
              </w:rPr>
            </w:pPr>
            <w:r w:rsidRPr="007937FF">
              <w:rPr>
                <w:rFonts w:ascii="Times New Roman" w:hAnsi="Times New Roman"/>
                <w:b/>
                <w:bCs/>
                <w:sz w:val="24"/>
                <w:szCs w:val="24"/>
              </w:rPr>
              <w:t>CONTROL</w:t>
            </w:r>
          </w:p>
        </w:tc>
        <w:tc>
          <w:tcPr>
            <w:tcW w:w="2403" w:type="dxa"/>
            <w:tcBorders>
              <w:top w:val="single" w:sz="4" w:space="0" w:color="auto"/>
              <w:left w:val="nil"/>
              <w:bottom w:val="single" w:sz="4" w:space="0" w:color="auto"/>
              <w:right w:val="nil"/>
            </w:tcBorders>
            <w:hideMark/>
          </w:tcPr>
          <w:p w14:paraId="6773920E" w14:textId="77777777" w:rsidR="008149F4" w:rsidRPr="007937FF" w:rsidRDefault="007838D3" w:rsidP="007937FF">
            <w:pPr>
              <w:spacing w:line="480" w:lineRule="auto"/>
              <w:jc w:val="both"/>
              <w:rPr>
                <w:rFonts w:ascii="Times New Roman" w:hAnsi="Times New Roman"/>
                <w:b/>
                <w:bCs/>
                <w:sz w:val="24"/>
                <w:szCs w:val="24"/>
              </w:rPr>
            </w:pPr>
            <w:r w:rsidRPr="007937FF">
              <w:rPr>
                <w:rFonts w:ascii="Times New Roman" w:hAnsi="Times New Roman"/>
                <w:b/>
                <w:bCs/>
                <w:sz w:val="24"/>
                <w:szCs w:val="24"/>
              </w:rPr>
              <w:t>TREATMENT</w:t>
            </w:r>
          </w:p>
        </w:tc>
      </w:tr>
      <w:tr w:rsidR="008149F4" w:rsidRPr="007937FF" w14:paraId="1099991B" w14:textId="77777777" w:rsidTr="00CF308C">
        <w:tc>
          <w:tcPr>
            <w:tcW w:w="2489" w:type="dxa"/>
            <w:tcBorders>
              <w:top w:val="nil"/>
              <w:left w:val="nil"/>
              <w:bottom w:val="nil"/>
              <w:right w:val="nil"/>
            </w:tcBorders>
            <w:hideMark/>
          </w:tcPr>
          <w:p w14:paraId="22767D3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Neutrophils</w:t>
            </w:r>
          </w:p>
        </w:tc>
        <w:tc>
          <w:tcPr>
            <w:tcW w:w="2400" w:type="dxa"/>
            <w:tcBorders>
              <w:top w:val="nil"/>
              <w:left w:val="nil"/>
              <w:bottom w:val="nil"/>
              <w:right w:val="nil"/>
            </w:tcBorders>
            <w:hideMark/>
          </w:tcPr>
          <w:p w14:paraId="36AF962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26.6±2.2</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091F4B5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13.4±1.8</w:t>
            </w:r>
            <w:r w:rsidRPr="007937FF">
              <w:rPr>
                <w:rFonts w:ascii="Times New Roman" w:hAnsi="Times New Roman"/>
                <w:sz w:val="24"/>
                <w:szCs w:val="24"/>
                <w:vertAlign w:val="superscript"/>
              </w:rPr>
              <w:t>b</w:t>
            </w:r>
          </w:p>
        </w:tc>
      </w:tr>
      <w:tr w:rsidR="008149F4" w:rsidRPr="007937FF" w14:paraId="73A03866" w14:textId="77777777" w:rsidTr="00CF308C">
        <w:tc>
          <w:tcPr>
            <w:tcW w:w="2489" w:type="dxa"/>
            <w:tcBorders>
              <w:top w:val="nil"/>
              <w:left w:val="nil"/>
              <w:bottom w:val="nil"/>
              <w:right w:val="nil"/>
            </w:tcBorders>
            <w:hideMark/>
          </w:tcPr>
          <w:p w14:paraId="6F934E23"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Lymphocytes</w:t>
            </w:r>
          </w:p>
        </w:tc>
        <w:tc>
          <w:tcPr>
            <w:tcW w:w="2400" w:type="dxa"/>
            <w:tcBorders>
              <w:top w:val="nil"/>
              <w:left w:val="nil"/>
              <w:bottom w:val="nil"/>
              <w:right w:val="nil"/>
            </w:tcBorders>
            <w:hideMark/>
          </w:tcPr>
          <w:p w14:paraId="012990CD"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15.7±2.4</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32A4B428"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12.0±1.6</w:t>
            </w:r>
            <w:r w:rsidRPr="007937FF">
              <w:rPr>
                <w:rFonts w:ascii="Times New Roman" w:hAnsi="Times New Roman"/>
                <w:sz w:val="24"/>
                <w:szCs w:val="24"/>
                <w:vertAlign w:val="superscript"/>
              </w:rPr>
              <w:t>b</w:t>
            </w:r>
          </w:p>
        </w:tc>
      </w:tr>
      <w:tr w:rsidR="008149F4" w:rsidRPr="007937FF" w14:paraId="222EF0AA" w14:textId="77777777" w:rsidTr="00CF308C">
        <w:tc>
          <w:tcPr>
            <w:tcW w:w="2489" w:type="dxa"/>
            <w:tcBorders>
              <w:top w:val="nil"/>
              <w:left w:val="nil"/>
              <w:bottom w:val="nil"/>
              <w:right w:val="nil"/>
            </w:tcBorders>
            <w:hideMark/>
          </w:tcPr>
          <w:p w14:paraId="64A08C8A"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Monocytes</w:t>
            </w:r>
          </w:p>
        </w:tc>
        <w:tc>
          <w:tcPr>
            <w:tcW w:w="2400" w:type="dxa"/>
            <w:tcBorders>
              <w:top w:val="nil"/>
              <w:left w:val="nil"/>
              <w:bottom w:val="nil"/>
              <w:right w:val="nil"/>
            </w:tcBorders>
            <w:hideMark/>
          </w:tcPr>
          <w:p w14:paraId="7E3C6684"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3.4±0.6</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6E35D4BB"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1.9±0.3</w:t>
            </w:r>
            <w:r w:rsidRPr="007937FF">
              <w:rPr>
                <w:rFonts w:ascii="Times New Roman" w:hAnsi="Times New Roman"/>
                <w:sz w:val="24"/>
                <w:szCs w:val="24"/>
                <w:vertAlign w:val="superscript"/>
              </w:rPr>
              <w:t>b</w:t>
            </w:r>
          </w:p>
        </w:tc>
      </w:tr>
      <w:tr w:rsidR="008149F4" w:rsidRPr="007937FF" w14:paraId="4963B0C2" w14:textId="77777777" w:rsidTr="00CF308C">
        <w:tc>
          <w:tcPr>
            <w:tcW w:w="2489" w:type="dxa"/>
            <w:tcBorders>
              <w:top w:val="nil"/>
              <w:left w:val="nil"/>
              <w:bottom w:val="nil"/>
              <w:right w:val="nil"/>
            </w:tcBorders>
            <w:hideMark/>
          </w:tcPr>
          <w:p w14:paraId="7DD35E6E"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Eosinophils</w:t>
            </w:r>
          </w:p>
        </w:tc>
        <w:tc>
          <w:tcPr>
            <w:tcW w:w="2400" w:type="dxa"/>
            <w:tcBorders>
              <w:top w:val="nil"/>
              <w:left w:val="nil"/>
              <w:bottom w:val="nil"/>
              <w:right w:val="nil"/>
            </w:tcBorders>
            <w:hideMark/>
          </w:tcPr>
          <w:p w14:paraId="30DA9667"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1.6±0.3</w:t>
            </w:r>
            <w:r w:rsidRPr="007937FF">
              <w:rPr>
                <w:rFonts w:ascii="Times New Roman" w:hAnsi="Times New Roman"/>
                <w:sz w:val="24"/>
                <w:szCs w:val="24"/>
                <w:vertAlign w:val="superscript"/>
              </w:rPr>
              <w:t>a</w:t>
            </w:r>
          </w:p>
        </w:tc>
        <w:tc>
          <w:tcPr>
            <w:tcW w:w="2403" w:type="dxa"/>
            <w:tcBorders>
              <w:top w:val="nil"/>
              <w:left w:val="nil"/>
              <w:bottom w:val="nil"/>
              <w:right w:val="nil"/>
            </w:tcBorders>
            <w:hideMark/>
          </w:tcPr>
          <w:p w14:paraId="4CC8AB62"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0.9±0.2</w:t>
            </w:r>
            <w:r w:rsidRPr="007937FF">
              <w:rPr>
                <w:rFonts w:ascii="Times New Roman" w:hAnsi="Times New Roman"/>
                <w:sz w:val="24"/>
                <w:szCs w:val="24"/>
                <w:vertAlign w:val="superscript"/>
              </w:rPr>
              <w:t>b</w:t>
            </w:r>
          </w:p>
        </w:tc>
      </w:tr>
      <w:tr w:rsidR="008149F4" w:rsidRPr="007937FF" w14:paraId="61D3ABE9" w14:textId="77777777" w:rsidTr="00CF308C">
        <w:tc>
          <w:tcPr>
            <w:tcW w:w="2489" w:type="dxa"/>
            <w:tcBorders>
              <w:top w:val="nil"/>
              <w:left w:val="nil"/>
              <w:bottom w:val="single" w:sz="4" w:space="0" w:color="auto"/>
              <w:right w:val="nil"/>
            </w:tcBorders>
            <w:hideMark/>
          </w:tcPr>
          <w:p w14:paraId="1080DA5F"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Basophils</w:t>
            </w:r>
          </w:p>
        </w:tc>
        <w:tc>
          <w:tcPr>
            <w:tcW w:w="2400" w:type="dxa"/>
            <w:tcBorders>
              <w:top w:val="nil"/>
              <w:left w:val="nil"/>
              <w:bottom w:val="single" w:sz="4" w:space="0" w:color="auto"/>
              <w:right w:val="nil"/>
            </w:tcBorders>
            <w:hideMark/>
          </w:tcPr>
          <w:p w14:paraId="3A462476"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0.3±0.2</w:t>
            </w:r>
            <w:r w:rsidRPr="007937FF">
              <w:rPr>
                <w:rFonts w:ascii="Times New Roman" w:hAnsi="Times New Roman"/>
                <w:sz w:val="24"/>
                <w:szCs w:val="24"/>
                <w:vertAlign w:val="superscript"/>
              </w:rPr>
              <w:t>a</w:t>
            </w:r>
          </w:p>
        </w:tc>
        <w:tc>
          <w:tcPr>
            <w:tcW w:w="2403" w:type="dxa"/>
            <w:tcBorders>
              <w:top w:val="nil"/>
              <w:left w:val="nil"/>
              <w:bottom w:val="single" w:sz="4" w:space="0" w:color="auto"/>
              <w:right w:val="nil"/>
            </w:tcBorders>
            <w:hideMark/>
          </w:tcPr>
          <w:p w14:paraId="2FF19451" w14:textId="77777777" w:rsidR="008149F4" w:rsidRPr="007937FF" w:rsidRDefault="008149F4" w:rsidP="007937FF">
            <w:pPr>
              <w:spacing w:line="480" w:lineRule="auto"/>
              <w:jc w:val="both"/>
              <w:rPr>
                <w:rFonts w:ascii="Times New Roman" w:hAnsi="Times New Roman"/>
                <w:sz w:val="24"/>
                <w:szCs w:val="24"/>
              </w:rPr>
            </w:pPr>
            <w:r w:rsidRPr="007937FF">
              <w:rPr>
                <w:rFonts w:ascii="Times New Roman" w:hAnsi="Times New Roman"/>
                <w:sz w:val="24"/>
                <w:szCs w:val="24"/>
              </w:rPr>
              <w:t>0.2±0.1</w:t>
            </w:r>
            <w:r w:rsidRPr="007937FF">
              <w:rPr>
                <w:rFonts w:ascii="Times New Roman" w:hAnsi="Times New Roman"/>
                <w:sz w:val="24"/>
                <w:szCs w:val="24"/>
                <w:vertAlign w:val="superscript"/>
              </w:rPr>
              <w:t>a</w:t>
            </w:r>
          </w:p>
        </w:tc>
      </w:tr>
    </w:tbl>
    <w:p w14:paraId="1076E43C" w14:textId="7EC3D77D" w:rsidR="008149F4" w:rsidRPr="00E14563" w:rsidRDefault="00E14563" w:rsidP="007937FF">
      <w:pPr>
        <w:spacing w:after="0" w:line="480" w:lineRule="auto"/>
        <w:jc w:val="both"/>
        <w:rPr>
          <w:rFonts w:ascii="Times New Roman" w:hAnsi="Times New Roman" w:cs="Times New Roman"/>
          <w:sz w:val="24"/>
          <w:szCs w:val="24"/>
        </w:rPr>
      </w:pPr>
      <w:r w:rsidRPr="00E14563">
        <w:rPr>
          <w:rFonts w:ascii="Times New Roman" w:hAnsi="Times New Roman" w:cs="Times New Roman"/>
          <w:sz w:val="24"/>
          <w:szCs w:val="24"/>
        </w:rPr>
        <w:t>Values are mean ± SD of 7 rats per group. Different superscript in</w:t>
      </w:r>
      <w:r w:rsidR="005510B3">
        <w:rPr>
          <w:rFonts w:ascii="Times New Roman" w:hAnsi="Times New Roman" w:cs="Times New Roman"/>
          <w:sz w:val="24"/>
          <w:szCs w:val="24"/>
        </w:rPr>
        <w:t>dicate s</w:t>
      </w:r>
      <w:r w:rsidRPr="00E14563">
        <w:rPr>
          <w:rFonts w:ascii="Times New Roman" w:hAnsi="Times New Roman" w:cs="Times New Roman"/>
          <w:sz w:val="24"/>
          <w:szCs w:val="24"/>
        </w:rPr>
        <w:t xml:space="preserve">ignificant </w:t>
      </w:r>
      <w:r w:rsidR="005510B3">
        <w:rPr>
          <w:rFonts w:ascii="Times New Roman" w:hAnsi="Times New Roman" w:cs="Times New Roman"/>
          <w:sz w:val="24"/>
          <w:szCs w:val="24"/>
        </w:rPr>
        <w:t>difference between control and treatment group</w:t>
      </w:r>
      <w:r w:rsidRPr="00E14563">
        <w:rPr>
          <w:rFonts w:ascii="Times New Roman" w:hAnsi="Times New Roman" w:cs="Times New Roman"/>
          <w:sz w:val="24"/>
          <w:szCs w:val="24"/>
        </w:rPr>
        <w:t>at (P&lt;0.05) using one way analysis of variance (ANOVA) followed by Duncan Multiple Range Test (DMRT)</w:t>
      </w:r>
    </w:p>
    <w:p w14:paraId="3C1E9C6D" w14:textId="77777777" w:rsidR="00D42429" w:rsidRPr="007937FF" w:rsidRDefault="00D42429" w:rsidP="007937FF">
      <w:pPr>
        <w:spacing w:after="0" w:line="480" w:lineRule="auto"/>
        <w:jc w:val="both"/>
        <w:rPr>
          <w:rFonts w:ascii="Times New Roman" w:hAnsi="Times New Roman" w:cs="Times New Roman"/>
          <w:sz w:val="24"/>
          <w:szCs w:val="24"/>
        </w:rPr>
      </w:pPr>
    </w:p>
    <w:p w14:paraId="7D63D823" w14:textId="77777777" w:rsidR="00D42429" w:rsidRPr="007937FF" w:rsidRDefault="00D42429" w:rsidP="007937FF">
      <w:pPr>
        <w:spacing w:after="0" w:line="480" w:lineRule="auto"/>
        <w:jc w:val="both"/>
        <w:rPr>
          <w:rFonts w:ascii="Times New Roman" w:hAnsi="Times New Roman" w:cs="Times New Roman"/>
          <w:sz w:val="24"/>
          <w:szCs w:val="24"/>
        </w:rPr>
      </w:pPr>
    </w:p>
    <w:p w14:paraId="255FFFE2" w14:textId="77777777" w:rsidR="006E41EC" w:rsidRDefault="006E41EC" w:rsidP="007937FF">
      <w:pPr>
        <w:spacing w:after="0" w:line="480" w:lineRule="auto"/>
        <w:jc w:val="both"/>
        <w:rPr>
          <w:rFonts w:ascii="Times New Roman" w:hAnsi="Times New Roman" w:cs="Times New Roman"/>
          <w:sz w:val="24"/>
          <w:szCs w:val="24"/>
        </w:rPr>
      </w:pPr>
    </w:p>
    <w:p w14:paraId="3F8CC461" w14:textId="16569163" w:rsidR="00DB48C8" w:rsidRPr="007937FF" w:rsidRDefault="00D42429" w:rsidP="007937FF">
      <w:pPr>
        <w:spacing w:after="0" w:line="480" w:lineRule="auto"/>
        <w:jc w:val="both"/>
        <w:rPr>
          <w:rFonts w:ascii="Times New Roman" w:hAnsi="Times New Roman" w:cs="Times New Roman"/>
          <w:b/>
          <w:sz w:val="24"/>
          <w:szCs w:val="24"/>
        </w:rPr>
      </w:pPr>
      <w:r w:rsidRPr="007937FF">
        <w:rPr>
          <w:rFonts w:ascii="Times New Roman" w:hAnsi="Times New Roman" w:cs="Times New Roman"/>
          <w:b/>
          <w:sz w:val="24"/>
          <w:szCs w:val="24"/>
        </w:rPr>
        <w:lastRenderedPageBreak/>
        <w:t>Histopathology</w:t>
      </w:r>
    </w:p>
    <w:p w14:paraId="326C8BC0" w14:textId="42724736" w:rsidR="00D42429" w:rsidRPr="007937FF" w:rsidRDefault="00A67786"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noProof/>
          <w:sz w:val="24"/>
          <w:szCs w:val="24"/>
        </w:rPr>
        <w:drawing>
          <wp:inline distT="0" distB="0" distL="0" distR="0" wp14:anchorId="3522C7D9" wp14:editId="46B9E8DA">
            <wp:extent cx="6675755" cy="2819400"/>
            <wp:effectExtent l="0" t="0" r="0" b="0"/>
            <wp:docPr id="179274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5588" name=""/>
                    <pic:cNvPicPr/>
                  </pic:nvPicPr>
                  <pic:blipFill rotWithShape="1">
                    <a:blip r:embed="rId6"/>
                    <a:srcRect l="18110" t="34778" r="14903" b="18472"/>
                    <a:stretch/>
                  </pic:blipFill>
                  <pic:spPr bwMode="auto">
                    <a:xfrm>
                      <a:off x="0" y="0"/>
                      <a:ext cx="6686848" cy="2824085"/>
                    </a:xfrm>
                    <a:prstGeom prst="rect">
                      <a:avLst/>
                    </a:prstGeom>
                    <a:ln>
                      <a:noFill/>
                    </a:ln>
                    <a:extLst>
                      <a:ext uri="{53640926-AAD7-44D8-BBD7-CCE9431645EC}">
                        <a14:shadowObscured xmlns:a14="http://schemas.microsoft.com/office/drawing/2010/main"/>
                      </a:ext>
                    </a:extLst>
                  </pic:spPr>
                </pic:pic>
              </a:graphicData>
            </a:graphic>
          </wp:inline>
        </w:drawing>
      </w:r>
    </w:p>
    <w:p w14:paraId="093A003F" w14:textId="276BFD14" w:rsidR="005175FF" w:rsidRPr="007937FF" w:rsidRDefault="00A67786"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noProof/>
          <w:sz w:val="24"/>
          <w:szCs w:val="24"/>
        </w:rPr>
        <w:drawing>
          <wp:inline distT="0" distB="0" distL="0" distR="0" wp14:anchorId="74D8BC55" wp14:editId="66FF8E4D">
            <wp:extent cx="6677799" cy="2562225"/>
            <wp:effectExtent l="0" t="0" r="8890" b="0"/>
            <wp:docPr id="81579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1882" name=""/>
                    <pic:cNvPicPr/>
                  </pic:nvPicPr>
                  <pic:blipFill rotWithShape="1">
                    <a:blip r:embed="rId7"/>
                    <a:srcRect l="18590" t="37058" r="14583" b="17332"/>
                    <a:stretch/>
                  </pic:blipFill>
                  <pic:spPr bwMode="auto">
                    <a:xfrm>
                      <a:off x="0" y="0"/>
                      <a:ext cx="6692852" cy="2568001"/>
                    </a:xfrm>
                    <a:prstGeom prst="rect">
                      <a:avLst/>
                    </a:prstGeom>
                    <a:ln>
                      <a:noFill/>
                    </a:ln>
                    <a:extLst>
                      <a:ext uri="{53640926-AAD7-44D8-BBD7-CCE9431645EC}">
                        <a14:shadowObscured xmlns:a14="http://schemas.microsoft.com/office/drawing/2010/main"/>
                      </a:ext>
                    </a:extLst>
                  </pic:spPr>
                </pic:pic>
              </a:graphicData>
            </a:graphic>
          </wp:inline>
        </w:drawing>
      </w:r>
    </w:p>
    <w:p w14:paraId="11282CE8" w14:textId="77777777" w:rsidR="005175FF" w:rsidRPr="007937FF" w:rsidRDefault="005175FF" w:rsidP="007937FF">
      <w:pPr>
        <w:spacing w:after="0" w:line="480" w:lineRule="auto"/>
        <w:jc w:val="both"/>
        <w:rPr>
          <w:rFonts w:ascii="Times New Roman" w:hAnsi="Times New Roman" w:cs="Times New Roman"/>
          <w:sz w:val="24"/>
          <w:szCs w:val="24"/>
        </w:rPr>
      </w:pPr>
    </w:p>
    <w:p w14:paraId="4D4F86B7" w14:textId="77777777" w:rsidR="005175FF" w:rsidRPr="007937FF" w:rsidRDefault="005175FF" w:rsidP="007937FF">
      <w:pPr>
        <w:spacing w:after="0" w:line="480" w:lineRule="auto"/>
        <w:jc w:val="both"/>
        <w:rPr>
          <w:rFonts w:ascii="Times New Roman" w:hAnsi="Times New Roman" w:cs="Times New Roman"/>
          <w:sz w:val="24"/>
          <w:szCs w:val="24"/>
        </w:rPr>
      </w:pPr>
    </w:p>
    <w:p w14:paraId="7EEFEA6D" w14:textId="77777777" w:rsidR="005175FF" w:rsidRPr="007937FF" w:rsidRDefault="005175FF" w:rsidP="007937FF">
      <w:pPr>
        <w:spacing w:after="0" w:line="480" w:lineRule="auto"/>
        <w:jc w:val="both"/>
        <w:rPr>
          <w:rFonts w:ascii="Times New Roman" w:hAnsi="Times New Roman" w:cs="Times New Roman"/>
          <w:sz w:val="24"/>
          <w:szCs w:val="24"/>
        </w:rPr>
      </w:pPr>
    </w:p>
    <w:p w14:paraId="55015088" w14:textId="77777777" w:rsidR="005175FF" w:rsidRPr="007937FF" w:rsidRDefault="005175FF" w:rsidP="007937FF">
      <w:pPr>
        <w:spacing w:after="0" w:line="480" w:lineRule="auto"/>
        <w:jc w:val="both"/>
        <w:rPr>
          <w:rFonts w:ascii="Times New Roman" w:hAnsi="Times New Roman" w:cs="Times New Roman"/>
          <w:sz w:val="24"/>
          <w:szCs w:val="24"/>
        </w:rPr>
      </w:pPr>
    </w:p>
    <w:p w14:paraId="0B138BF3" w14:textId="12455872" w:rsidR="005175FF" w:rsidRPr="007937FF" w:rsidRDefault="00DB48C8" w:rsidP="007937FF">
      <w:pPr>
        <w:spacing w:after="0" w:line="480" w:lineRule="auto"/>
        <w:jc w:val="both"/>
        <w:rPr>
          <w:rFonts w:ascii="Times New Roman" w:hAnsi="Times New Roman" w:cs="Times New Roman"/>
          <w:sz w:val="24"/>
          <w:szCs w:val="24"/>
        </w:rPr>
      </w:pPr>
      <w:r w:rsidRPr="007937FF">
        <w:rPr>
          <w:rFonts w:ascii="Times New Roman" w:hAnsi="Times New Roman" w:cs="Times New Roman"/>
          <w:noProof/>
          <w:sz w:val="24"/>
          <w:szCs w:val="24"/>
        </w:rPr>
        <w:lastRenderedPageBreak/>
        <w:drawing>
          <wp:inline distT="0" distB="0" distL="0" distR="0" wp14:anchorId="095ECFBB" wp14:editId="0B48B48A">
            <wp:extent cx="6772797" cy="2742565"/>
            <wp:effectExtent l="0" t="0" r="9525" b="635"/>
            <wp:docPr id="81159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4585" name=""/>
                    <pic:cNvPicPr/>
                  </pic:nvPicPr>
                  <pic:blipFill rotWithShape="1">
                    <a:blip r:embed="rId8"/>
                    <a:srcRect l="17949" t="39909" r="17147" b="13341"/>
                    <a:stretch/>
                  </pic:blipFill>
                  <pic:spPr bwMode="auto">
                    <a:xfrm>
                      <a:off x="0" y="0"/>
                      <a:ext cx="6810743" cy="2757931"/>
                    </a:xfrm>
                    <a:prstGeom prst="rect">
                      <a:avLst/>
                    </a:prstGeom>
                    <a:ln>
                      <a:noFill/>
                    </a:ln>
                    <a:extLst>
                      <a:ext uri="{53640926-AAD7-44D8-BBD7-CCE9431645EC}">
                        <a14:shadowObscured xmlns:a14="http://schemas.microsoft.com/office/drawing/2010/main"/>
                      </a:ext>
                    </a:extLst>
                  </pic:spPr>
                </pic:pic>
              </a:graphicData>
            </a:graphic>
          </wp:inline>
        </w:drawing>
      </w:r>
    </w:p>
    <w:p w14:paraId="7E6EB751" w14:textId="77777777" w:rsidR="005175FF" w:rsidRPr="007937FF" w:rsidRDefault="005175FF" w:rsidP="007937FF">
      <w:pPr>
        <w:spacing w:after="0" w:line="480" w:lineRule="auto"/>
        <w:jc w:val="both"/>
        <w:rPr>
          <w:rFonts w:ascii="Times New Roman" w:hAnsi="Times New Roman" w:cs="Times New Roman"/>
          <w:sz w:val="24"/>
          <w:szCs w:val="24"/>
        </w:rPr>
      </w:pPr>
    </w:p>
    <w:p w14:paraId="787B8E84" w14:textId="77777777" w:rsidR="005175FF" w:rsidRPr="007937FF" w:rsidRDefault="005175FF" w:rsidP="007937FF">
      <w:pPr>
        <w:pStyle w:val="Heading1"/>
        <w:spacing w:before="0" w:line="480" w:lineRule="auto"/>
        <w:ind w:left="288" w:right="-288"/>
        <w:jc w:val="both"/>
        <w:rPr>
          <w:rFonts w:ascii="Times New Roman" w:hAnsi="Times New Roman" w:cs="Times New Roman"/>
          <w:b/>
          <w:bCs/>
          <w:color w:val="auto"/>
          <w:sz w:val="24"/>
          <w:szCs w:val="24"/>
        </w:rPr>
      </w:pPr>
      <w:r w:rsidRPr="007937FF">
        <w:rPr>
          <w:rFonts w:ascii="Times New Roman" w:hAnsi="Times New Roman" w:cs="Times New Roman"/>
          <w:b/>
          <w:bCs/>
          <w:color w:val="auto"/>
          <w:sz w:val="24"/>
          <w:szCs w:val="24"/>
        </w:rPr>
        <w:t>Discussion</w:t>
      </w:r>
    </w:p>
    <w:p w14:paraId="14FD07DF" w14:textId="613A7E25" w:rsidR="005175FF" w:rsidRPr="007937FF" w:rsidRDefault="00DB48C8"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w:t>
      </w:r>
      <w:r w:rsidR="005175FF" w:rsidRPr="007937FF">
        <w:rPr>
          <w:rFonts w:ascii="Times New Roman" w:hAnsi="Times New Roman" w:cs="Times New Roman"/>
          <w:sz w:val="24"/>
          <w:szCs w:val="24"/>
        </w:rPr>
        <w:t xml:space="preserve"> findings</w:t>
      </w:r>
      <w:r w:rsidRPr="007937FF">
        <w:rPr>
          <w:rFonts w:ascii="Times New Roman" w:hAnsi="Times New Roman" w:cs="Times New Roman"/>
          <w:sz w:val="24"/>
          <w:szCs w:val="24"/>
        </w:rPr>
        <w:t xml:space="preserve"> of this study </w:t>
      </w:r>
      <w:r w:rsidR="007171EE">
        <w:rPr>
          <w:rFonts w:ascii="Times New Roman" w:hAnsi="Times New Roman" w:cs="Times New Roman"/>
          <w:sz w:val="24"/>
          <w:szCs w:val="24"/>
        </w:rPr>
        <w:t>(</w:t>
      </w:r>
      <w:r w:rsidR="003264CE">
        <w:rPr>
          <w:rFonts w:ascii="Times New Roman" w:hAnsi="Times New Roman" w:cs="Times New Roman"/>
          <w:sz w:val="24"/>
          <w:szCs w:val="24"/>
        </w:rPr>
        <w:t>T</w:t>
      </w:r>
      <w:r w:rsidR="007171EE">
        <w:rPr>
          <w:rFonts w:ascii="Times New Roman" w:hAnsi="Times New Roman" w:cs="Times New Roman"/>
          <w:sz w:val="24"/>
          <w:szCs w:val="24"/>
        </w:rPr>
        <w:t xml:space="preserve">able 1 and 2) </w:t>
      </w:r>
      <w:r w:rsidR="005175FF" w:rsidRPr="007937FF">
        <w:rPr>
          <w:rFonts w:ascii="Times New Roman" w:hAnsi="Times New Roman" w:cs="Times New Roman"/>
          <w:sz w:val="24"/>
          <w:szCs w:val="24"/>
        </w:rPr>
        <w:t>indicate significant alterations in blood parameters and tissue integrity, particularly in the brain,</w:t>
      </w:r>
      <w:r w:rsidR="007171EE">
        <w:rPr>
          <w:rFonts w:ascii="Times New Roman" w:hAnsi="Times New Roman" w:cs="Times New Roman"/>
          <w:sz w:val="24"/>
          <w:szCs w:val="24"/>
        </w:rPr>
        <w:t xml:space="preserve"> liver, and kidney. T</w:t>
      </w:r>
      <w:r w:rsidR="005175FF" w:rsidRPr="007937FF">
        <w:rPr>
          <w:rFonts w:ascii="Times New Roman" w:hAnsi="Times New Roman" w:cs="Times New Roman"/>
          <w:sz w:val="24"/>
          <w:szCs w:val="24"/>
        </w:rPr>
        <w:t xml:space="preserve">ramadol administration led to a significant decrease in </w:t>
      </w:r>
      <w:r w:rsidR="007171EE">
        <w:rPr>
          <w:rFonts w:ascii="Times New Roman" w:hAnsi="Times New Roman" w:cs="Times New Roman"/>
          <w:sz w:val="24"/>
          <w:szCs w:val="24"/>
        </w:rPr>
        <w:t>p</w:t>
      </w:r>
      <w:r w:rsidRPr="007937FF">
        <w:rPr>
          <w:rFonts w:ascii="Times New Roman" w:hAnsi="Times New Roman" w:cs="Times New Roman"/>
          <w:sz w:val="24"/>
          <w:szCs w:val="24"/>
        </w:rPr>
        <w:t>acked cell volume</w:t>
      </w:r>
      <w:r w:rsidR="005175FF" w:rsidRPr="007937FF">
        <w:rPr>
          <w:rFonts w:ascii="Times New Roman" w:hAnsi="Times New Roman" w:cs="Times New Roman"/>
          <w:sz w:val="24"/>
          <w:szCs w:val="24"/>
        </w:rPr>
        <w:t xml:space="preserve"> in both male and female rats, with females showing a more pronounced reduction</w:t>
      </w:r>
      <w:r w:rsidR="003264CE">
        <w:rPr>
          <w:rFonts w:ascii="Times New Roman" w:hAnsi="Times New Roman" w:cs="Times New Roman"/>
          <w:sz w:val="24"/>
          <w:szCs w:val="24"/>
        </w:rPr>
        <w:t xml:space="preserve"> (Table 1)</w:t>
      </w:r>
      <w:r w:rsidR="005175FF" w:rsidRPr="007937FF">
        <w:rPr>
          <w:rFonts w:ascii="Times New Roman" w:hAnsi="Times New Roman" w:cs="Times New Roman"/>
          <w:sz w:val="24"/>
          <w:szCs w:val="24"/>
        </w:rPr>
        <w:t xml:space="preserve">. A decrease in PCV is often indicative of anemia, which has </w:t>
      </w:r>
      <w:r w:rsidR="00F143E6">
        <w:rPr>
          <w:rFonts w:ascii="Times New Roman" w:hAnsi="Times New Roman" w:cs="Times New Roman"/>
          <w:sz w:val="24"/>
          <w:szCs w:val="24"/>
        </w:rPr>
        <w:t xml:space="preserve">also </w:t>
      </w:r>
      <w:r w:rsidR="005175FF" w:rsidRPr="007937FF">
        <w:rPr>
          <w:rFonts w:ascii="Times New Roman" w:hAnsi="Times New Roman" w:cs="Times New Roman"/>
          <w:sz w:val="24"/>
          <w:szCs w:val="24"/>
        </w:rPr>
        <w:t xml:space="preserve">been observed in </w:t>
      </w:r>
      <w:r w:rsidR="00835498">
        <w:rPr>
          <w:rFonts w:ascii="Times New Roman" w:hAnsi="Times New Roman" w:cs="Times New Roman"/>
          <w:sz w:val="24"/>
          <w:szCs w:val="24"/>
        </w:rPr>
        <w:t>other studies with tramadol</w:t>
      </w:r>
      <w:r w:rsidR="004E3172">
        <w:rPr>
          <w:rFonts w:ascii="Times New Roman" w:hAnsi="Times New Roman" w:cs="Times New Roman"/>
          <w:sz w:val="24"/>
          <w:szCs w:val="24"/>
        </w:rPr>
        <w:t>.</w:t>
      </w:r>
      <w:r w:rsidR="005175FF" w:rsidRPr="007937FF">
        <w:rPr>
          <w:rFonts w:ascii="Times New Roman" w:hAnsi="Times New Roman" w:cs="Times New Roman"/>
          <w:sz w:val="24"/>
          <w:szCs w:val="24"/>
        </w:rPr>
        <w:t xml:space="preserve"> </w:t>
      </w:r>
      <w:r w:rsidR="007A32A7" w:rsidRPr="007937FF">
        <w:rPr>
          <w:rFonts w:ascii="Times New Roman" w:hAnsi="Times New Roman" w:cs="Times New Roman"/>
          <w:sz w:val="24"/>
          <w:szCs w:val="24"/>
        </w:rPr>
        <w:t>Darbar</w:t>
      </w:r>
      <w:r w:rsidR="005175FF" w:rsidRPr="007937FF">
        <w:rPr>
          <w:rFonts w:ascii="Times New Roman" w:hAnsi="Times New Roman" w:cs="Times New Roman"/>
          <w:i/>
          <w:iCs/>
          <w:sz w:val="24"/>
          <w:szCs w:val="24"/>
        </w:rPr>
        <w:t xml:space="preserve"> et al.</w:t>
      </w:r>
      <w:r w:rsidR="005175FF" w:rsidRPr="007937FF">
        <w:rPr>
          <w:rFonts w:ascii="Times New Roman" w:hAnsi="Times New Roman" w:cs="Times New Roman"/>
          <w:sz w:val="24"/>
          <w:szCs w:val="24"/>
        </w:rPr>
        <w:t xml:space="preserve"> (20</w:t>
      </w:r>
      <w:r w:rsidR="007A32A7" w:rsidRPr="007937FF">
        <w:rPr>
          <w:rFonts w:ascii="Times New Roman" w:hAnsi="Times New Roman" w:cs="Times New Roman"/>
          <w:sz w:val="24"/>
          <w:szCs w:val="24"/>
        </w:rPr>
        <w:t>22</w:t>
      </w:r>
      <w:r w:rsidR="005175FF" w:rsidRPr="007937FF">
        <w:rPr>
          <w:rFonts w:ascii="Times New Roman" w:hAnsi="Times New Roman" w:cs="Times New Roman"/>
          <w:sz w:val="24"/>
          <w:szCs w:val="24"/>
        </w:rPr>
        <w:t xml:space="preserve">) reported a similar decline in PCV in rats treated with tramadol, suggesting that the drug may interfere with erythropoiesis or promote the destruction of red blood cells. The greater reduction in PCV in females observed here is consistent with findings by </w:t>
      </w:r>
      <w:r w:rsidR="005322BD" w:rsidRPr="007937FF">
        <w:rPr>
          <w:rFonts w:ascii="Times New Roman" w:hAnsi="Times New Roman" w:cs="Times New Roman"/>
          <w:color w:val="222222"/>
          <w:sz w:val="24"/>
          <w:szCs w:val="24"/>
          <w:shd w:val="clear" w:color="auto" w:fill="FFFFFF"/>
        </w:rPr>
        <w:t>Schelde</w:t>
      </w:r>
      <w:r w:rsidR="005322BD" w:rsidRPr="007937FF">
        <w:rPr>
          <w:rFonts w:ascii="Times New Roman" w:hAnsi="Times New Roman" w:cs="Times New Roman"/>
          <w:i/>
          <w:iCs/>
          <w:sz w:val="24"/>
          <w:szCs w:val="24"/>
        </w:rPr>
        <w:t xml:space="preserve"> </w:t>
      </w:r>
      <w:r w:rsidR="0085373C" w:rsidRPr="007937FF">
        <w:rPr>
          <w:rFonts w:ascii="Times New Roman" w:hAnsi="Times New Roman" w:cs="Times New Roman"/>
          <w:i/>
          <w:iCs/>
          <w:sz w:val="24"/>
          <w:szCs w:val="24"/>
        </w:rPr>
        <w:t>et al.,</w:t>
      </w:r>
      <w:r w:rsidR="005175FF" w:rsidRPr="007937FF">
        <w:rPr>
          <w:rFonts w:ascii="Times New Roman" w:hAnsi="Times New Roman" w:cs="Times New Roman"/>
          <w:sz w:val="24"/>
          <w:szCs w:val="24"/>
        </w:rPr>
        <w:t xml:space="preserve"> (2</w:t>
      </w:r>
      <w:r w:rsidR="005322BD" w:rsidRPr="007937FF">
        <w:rPr>
          <w:rFonts w:ascii="Times New Roman" w:hAnsi="Times New Roman" w:cs="Times New Roman"/>
          <w:sz w:val="24"/>
          <w:szCs w:val="24"/>
        </w:rPr>
        <w:t>020</w:t>
      </w:r>
      <w:r w:rsidR="005175FF" w:rsidRPr="007937FF">
        <w:rPr>
          <w:rFonts w:ascii="Times New Roman" w:hAnsi="Times New Roman" w:cs="Times New Roman"/>
          <w:sz w:val="24"/>
          <w:szCs w:val="24"/>
        </w:rPr>
        <w:t>), who noted gender-based differences in hematological responses to various drugs, possibly due to hormonal influences on red blood cell production.</w:t>
      </w:r>
    </w:p>
    <w:p w14:paraId="4A23A105" w14:textId="65B2777B"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decrease in R</w:t>
      </w:r>
      <w:r w:rsidR="00BE4214">
        <w:rPr>
          <w:rFonts w:ascii="Times New Roman" w:hAnsi="Times New Roman" w:cs="Times New Roman"/>
          <w:sz w:val="24"/>
          <w:szCs w:val="24"/>
        </w:rPr>
        <w:t>BC count in all treated groups, as shown in table 1,</w:t>
      </w:r>
      <w:r w:rsidRPr="007937FF">
        <w:rPr>
          <w:rFonts w:ascii="Times New Roman" w:hAnsi="Times New Roman" w:cs="Times New Roman"/>
          <w:sz w:val="24"/>
          <w:szCs w:val="24"/>
        </w:rPr>
        <w:t xml:space="preserve"> mirrors the changes observed in previous work with o</w:t>
      </w:r>
      <w:r w:rsidR="00BE4214">
        <w:rPr>
          <w:rFonts w:ascii="Times New Roman" w:hAnsi="Times New Roman" w:cs="Times New Roman"/>
          <w:sz w:val="24"/>
          <w:szCs w:val="24"/>
        </w:rPr>
        <w:t xml:space="preserve">pioid analgesics. This is consistent with the study by </w:t>
      </w:r>
      <w:r w:rsidR="006D5C73">
        <w:rPr>
          <w:rFonts w:ascii="Times New Roman" w:hAnsi="Times New Roman" w:cs="Times New Roman"/>
          <w:sz w:val="24"/>
          <w:szCs w:val="24"/>
        </w:rPr>
        <w:t xml:space="preserve"> Sahebrao</w:t>
      </w:r>
      <w:r w:rsidRPr="007937FF">
        <w:rPr>
          <w:rFonts w:ascii="Times New Roman" w:hAnsi="Times New Roman" w:cs="Times New Roman"/>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(2016)</w:t>
      </w:r>
      <w:r w:rsidR="00BE4214">
        <w:rPr>
          <w:rFonts w:ascii="Times New Roman" w:hAnsi="Times New Roman" w:cs="Times New Roman"/>
          <w:sz w:val="24"/>
          <w:szCs w:val="24"/>
        </w:rPr>
        <w:t>, who</w:t>
      </w:r>
      <w:r w:rsidRPr="007937FF">
        <w:rPr>
          <w:rFonts w:ascii="Times New Roman" w:hAnsi="Times New Roman" w:cs="Times New Roman"/>
          <w:sz w:val="24"/>
          <w:szCs w:val="24"/>
        </w:rPr>
        <w:t xml:space="preserve"> documented a similar decline in RBC count in rats treated with morphine, which is </w:t>
      </w:r>
      <w:r w:rsidRPr="007937FF">
        <w:rPr>
          <w:rFonts w:ascii="Times New Roman" w:hAnsi="Times New Roman" w:cs="Times New Roman"/>
          <w:sz w:val="24"/>
          <w:szCs w:val="24"/>
        </w:rPr>
        <w:lastRenderedPageBreak/>
        <w:t>closely related to tramadol in terms of its action on the central nervous system. The more significant reduction in females aligns with the PCV results, suggesting that female rats may be more vulnerable to tramadol-induced suppression of erythropoiesis or may experience more pronounced changes in red blood cell turnover.</w:t>
      </w:r>
    </w:p>
    <w:p w14:paraId="18242B60" w14:textId="60304BB0"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reduction in hemoglobin levels</w:t>
      </w:r>
      <w:r w:rsidR="002D7AA1">
        <w:rPr>
          <w:rFonts w:ascii="Times New Roman" w:hAnsi="Times New Roman" w:cs="Times New Roman"/>
          <w:sz w:val="24"/>
          <w:szCs w:val="24"/>
        </w:rPr>
        <w:t xml:space="preserve"> (Table 1)</w:t>
      </w:r>
      <w:r w:rsidRPr="007937FF">
        <w:rPr>
          <w:rFonts w:ascii="Times New Roman" w:hAnsi="Times New Roman" w:cs="Times New Roman"/>
          <w:sz w:val="24"/>
          <w:szCs w:val="24"/>
        </w:rPr>
        <w:t>, particularly in the female rats, supports the hypothesis of a drug-induced reduction in the oxygen-carrying capacity of the blood. This finding is in agreement with other studies on opioids and their effects on hematological parameters. For example, a study by</w:t>
      </w:r>
      <w:r w:rsidR="00D824F2" w:rsidRPr="007937FF">
        <w:rPr>
          <w:rFonts w:ascii="Times New Roman" w:hAnsi="Times New Roman" w:cs="Times New Roman"/>
          <w:sz w:val="24"/>
          <w:szCs w:val="24"/>
        </w:rPr>
        <w:t xml:space="preserve"> Piri</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(2</w:t>
      </w:r>
      <w:r w:rsidR="00D824F2" w:rsidRPr="007937FF">
        <w:rPr>
          <w:rFonts w:ascii="Times New Roman" w:hAnsi="Times New Roman" w:cs="Times New Roman"/>
          <w:sz w:val="24"/>
          <w:szCs w:val="24"/>
        </w:rPr>
        <w:t>020</w:t>
      </w:r>
      <w:r w:rsidRPr="007937FF">
        <w:rPr>
          <w:rFonts w:ascii="Times New Roman" w:hAnsi="Times New Roman" w:cs="Times New Roman"/>
          <w:sz w:val="24"/>
          <w:szCs w:val="24"/>
        </w:rPr>
        <w:t>) reported reduced hemoglobin levels in rats treated with morphine, suggesting a potential common mechanism of action among opioids that could affect red blood cell function or production.</w:t>
      </w:r>
      <w:r w:rsidR="00DB48C8" w:rsidRPr="007937FF">
        <w:rPr>
          <w:rFonts w:ascii="Times New Roman" w:hAnsi="Times New Roman" w:cs="Times New Roman"/>
          <w:sz w:val="24"/>
          <w:szCs w:val="24"/>
        </w:rPr>
        <w:t xml:space="preserve"> </w:t>
      </w:r>
      <w:r w:rsidR="002D7AA1">
        <w:rPr>
          <w:rFonts w:ascii="Times New Roman" w:hAnsi="Times New Roman" w:cs="Times New Roman"/>
          <w:sz w:val="24"/>
          <w:szCs w:val="24"/>
        </w:rPr>
        <w:t>B</w:t>
      </w:r>
      <w:r w:rsidRPr="007937FF">
        <w:rPr>
          <w:rFonts w:ascii="Times New Roman" w:hAnsi="Times New Roman" w:cs="Times New Roman"/>
          <w:sz w:val="24"/>
          <w:szCs w:val="24"/>
        </w:rPr>
        <w:t>oth MCV and MCH were significantly decreased in treated rats</w:t>
      </w:r>
      <w:r w:rsidR="002D7AA1">
        <w:rPr>
          <w:rFonts w:ascii="Times New Roman" w:hAnsi="Times New Roman" w:cs="Times New Roman"/>
          <w:sz w:val="24"/>
          <w:szCs w:val="24"/>
        </w:rPr>
        <w:t xml:space="preserve"> (Table 2)</w:t>
      </w:r>
      <w:r w:rsidRPr="007937FF">
        <w:rPr>
          <w:rFonts w:ascii="Times New Roman" w:hAnsi="Times New Roman" w:cs="Times New Roman"/>
          <w:sz w:val="24"/>
          <w:szCs w:val="24"/>
        </w:rPr>
        <w:t xml:space="preserve">, with </w:t>
      </w:r>
      <w:r w:rsidR="002D7AA1">
        <w:rPr>
          <w:rFonts w:ascii="Times New Roman" w:hAnsi="Times New Roman" w:cs="Times New Roman"/>
          <w:sz w:val="24"/>
          <w:szCs w:val="24"/>
        </w:rPr>
        <w:t xml:space="preserve">the </w:t>
      </w:r>
      <w:r w:rsidR="00D153B8">
        <w:rPr>
          <w:rFonts w:ascii="Times New Roman" w:hAnsi="Times New Roman" w:cs="Times New Roman"/>
          <w:sz w:val="24"/>
          <w:szCs w:val="24"/>
        </w:rPr>
        <w:t>female</w:t>
      </w:r>
      <w:r w:rsidR="002D7AA1">
        <w:rPr>
          <w:rFonts w:ascii="Times New Roman" w:hAnsi="Times New Roman" w:cs="Times New Roman"/>
          <w:sz w:val="24"/>
          <w:szCs w:val="24"/>
        </w:rPr>
        <w:t xml:space="preserve"> rats</w:t>
      </w:r>
      <w:r w:rsidRPr="007937FF">
        <w:rPr>
          <w:rFonts w:ascii="Times New Roman" w:hAnsi="Times New Roman" w:cs="Times New Roman"/>
          <w:sz w:val="24"/>
          <w:szCs w:val="24"/>
        </w:rPr>
        <w:t xml:space="preserve"> exhibiting a more pronounced reduction. This trend mirrors findings by</w:t>
      </w:r>
      <w:r w:rsidR="00B2376E">
        <w:rPr>
          <w:rFonts w:ascii="Times New Roman" w:hAnsi="Times New Roman" w:cs="Times New Roman"/>
          <w:sz w:val="24"/>
          <w:szCs w:val="24"/>
        </w:rPr>
        <w:t xml:space="preserve"> Samuel</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xml:space="preserve">. (2019), who observed that opioids such as tramadol led to microcytic hypochromic anemia in rats, suggesting that tramadol may alter red blood cell morphology by affecting their size and hemoglobin content. However, the MCHC </w:t>
      </w:r>
      <w:r w:rsidR="00D153B8">
        <w:rPr>
          <w:rFonts w:ascii="Times New Roman" w:hAnsi="Times New Roman" w:cs="Times New Roman"/>
          <w:sz w:val="24"/>
          <w:szCs w:val="24"/>
        </w:rPr>
        <w:t xml:space="preserve">depicted in table 2 </w:t>
      </w:r>
      <w:r w:rsidRPr="007937FF">
        <w:rPr>
          <w:rFonts w:ascii="Times New Roman" w:hAnsi="Times New Roman" w:cs="Times New Roman"/>
          <w:sz w:val="24"/>
          <w:szCs w:val="24"/>
        </w:rPr>
        <w:t>remained unaffected, which is consistent with some studies that report no significant change in this parameter despite reductions in MCV and MCH (</w:t>
      </w:r>
      <w:r w:rsidR="00D824F2" w:rsidRPr="007937FF">
        <w:rPr>
          <w:rFonts w:ascii="Times New Roman" w:hAnsi="Times New Roman" w:cs="Times New Roman"/>
          <w:sz w:val="24"/>
          <w:szCs w:val="24"/>
        </w:rPr>
        <w:t xml:space="preserve">Naz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202</w:t>
      </w:r>
      <w:r w:rsidR="00D824F2" w:rsidRPr="007937FF">
        <w:rPr>
          <w:rFonts w:ascii="Times New Roman" w:hAnsi="Times New Roman" w:cs="Times New Roman"/>
          <w:sz w:val="24"/>
          <w:szCs w:val="24"/>
        </w:rPr>
        <w:t>1</w:t>
      </w:r>
      <w:r w:rsidRPr="007937FF">
        <w:rPr>
          <w:rFonts w:ascii="Times New Roman" w:hAnsi="Times New Roman" w:cs="Times New Roman"/>
          <w:sz w:val="24"/>
          <w:szCs w:val="24"/>
        </w:rPr>
        <w:t>). The unchanged MCHC indicates that although red blood cells may be smaller and contain less hemoglobin, the concentration of hemoglobin in each cell remains stable.</w:t>
      </w:r>
    </w:p>
    <w:p w14:paraId="3EA0CC21" w14:textId="68A5E807" w:rsidR="0085373C"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WBC counts were significantly reduced in the treated groups</w:t>
      </w:r>
      <w:r w:rsidR="00D153B8">
        <w:rPr>
          <w:rFonts w:ascii="Times New Roman" w:hAnsi="Times New Roman" w:cs="Times New Roman"/>
          <w:sz w:val="24"/>
          <w:szCs w:val="24"/>
        </w:rPr>
        <w:t xml:space="preserve"> (Table 2)</w:t>
      </w:r>
      <w:r w:rsidRPr="007937FF">
        <w:rPr>
          <w:rFonts w:ascii="Times New Roman" w:hAnsi="Times New Roman" w:cs="Times New Roman"/>
          <w:sz w:val="24"/>
          <w:szCs w:val="24"/>
        </w:rPr>
        <w:t xml:space="preserve">, particularly in females. This suppression of the immune system has been reported in previous studies with tramadol and similar analgesics. For example, a study by </w:t>
      </w:r>
      <w:r w:rsidR="00D323DF" w:rsidRPr="007937FF">
        <w:rPr>
          <w:rFonts w:ascii="Times New Roman" w:hAnsi="Times New Roman" w:cs="Times New Roman"/>
          <w:color w:val="222222"/>
          <w:sz w:val="24"/>
          <w:szCs w:val="24"/>
          <w:shd w:val="clear" w:color="auto" w:fill="FFFFFF"/>
        </w:rPr>
        <w:t>Chaithra</w:t>
      </w:r>
      <w:r w:rsidR="00D323DF" w:rsidRPr="007937FF">
        <w:rPr>
          <w:rFonts w:ascii="Times New Roman" w:hAnsi="Times New Roman" w:cs="Times New Roman"/>
          <w:i/>
          <w:iCs/>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xml:space="preserve">. (2018) found that tramadol treatment led to a marked decrease in WBC, which they attributed to tramadol’s possible suppressive effects on bone marrow function or immune cell production. The differential leukocyte count in our study </w:t>
      </w:r>
      <w:r w:rsidRPr="007937FF">
        <w:rPr>
          <w:rFonts w:ascii="Times New Roman" w:hAnsi="Times New Roman" w:cs="Times New Roman"/>
          <w:sz w:val="24"/>
          <w:szCs w:val="24"/>
        </w:rPr>
        <w:lastRenderedPageBreak/>
        <w:t xml:space="preserve">showed a reduction in neutrophils, lymphocytes, and eosinophils, which is consistent with findings by </w:t>
      </w:r>
      <w:r w:rsidR="00D323DF" w:rsidRPr="007937FF">
        <w:rPr>
          <w:rFonts w:ascii="Times New Roman" w:hAnsi="Times New Roman" w:cs="Times New Roman"/>
          <w:sz w:val="24"/>
          <w:szCs w:val="24"/>
        </w:rPr>
        <w:t xml:space="preserve">Sayed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(201</w:t>
      </w:r>
      <w:r w:rsidR="00D323DF" w:rsidRPr="007937FF">
        <w:rPr>
          <w:rFonts w:ascii="Times New Roman" w:hAnsi="Times New Roman" w:cs="Times New Roman"/>
          <w:sz w:val="24"/>
          <w:szCs w:val="24"/>
        </w:rPr>
        <w:t>8</w:t>
      </w:r>
      <w:r w:rsidRPr="007937FF">
        <w:rPr>
          <w:rFonts w:ascii="Times New Roman" w:hAnsi="Times New Roman" w:cs="Times New Roman"/>
          <w:sz w:val="24"/>
          <w:szCs w:val="24"/>
        </w:rPr>
        <w:t>), who observed similar decreases in all leukocyte subtypes following tramadol administration.</w:t>
      </w:r>
    </w:p>
    <w:p w14:paraId="39C3E80E" w14:textId="193620E2" w:rsidR="0085373C"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histopathological examination of brain tissue</w:t>
      </w:r>
      <w:r w:rsidR="00374CD4">
        <w:rPr>
          <w:rFonts w:ascii="Times New Roman" w:hAnsi="Times New Roman" w:cs="Times New Roman"/>
          <w:sz w:val="24"/>
          <w:szCs w:val="24"/>
        </w:rPr>
        <w:t xml:space="preserve"> (Fig. 1b and 1c)</w:t>
      </w:r>
      <w:r w:rsidRPr="007937FF">
        <w:rPr>
          <w:rFonts w:ascii="Times New Roman" w:hAnsi="Times New Roman" w:cs="Times New Roman"/>
          <w:sz w:val="24"/>
          <w:szCs w:val="24"/>
        </w:rPr>
        <w:t xml:space="preserve"> revealed increased neuronal activity in both male and female rats treated with tramadol. These changes are in line with those reported by Rachmani</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xml:space="preserve">. (2018), who noted that opioids such as tramadol can alter neuronal firing patterns and increase pyramidal neuronal activity. The effects were more pronounced in females, which aligns with the findings of </w:t>
      </w:r>
      <w:r w:rsidR="00D323DF" w:rsidRPr="007937FF">
        <w:rPr>
          <w:rFonts w:ascii="Times New Roman" w:hAnsi="Times New Roman" w:cs="Times New Roman"/>
          <w:sz w:val="24"/>
          <w:szCs w:val="24"/>
        </w:rPr>
        <w:t xml:space="preserve">Mittal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w:t>
      </w:r>
      <w:r w:rsidR="00D323DF" w:rsidRPr="007937FF">
        <w:rPr>
          <w:rFonts w:ascii="Times New Roman" w:hAnsi="Times New Roman" w:cs="Times New Roman"/>
          <w:sz w:val="24"/>
          <w:szCs w:val="24"/>
        </w:rPr>
        <w:t>24</w:t>
      </w:r>
      <w:r w:rsidRPr="007937FF">
        <w:rPr>
          <w:rFonts w:ascii="Times New Roman" w:hAnsi="Times New Roman" w:cs="Times New Roman"/>
          <w:sz w:val="24"/>
          <w:szCs w:val="24"/>
        </w:rPr>
        <w:t>), who observed gender-specific differences in central nervous system responses to opioids. This could suggest that female rats may have heightened sensitivity to tramadol’s effects on brain function, which could influence behavior or cognitive performance.</w:t>
      </w:r>
    </w:p>
    <w:p w14:paraId="2BAA214D" w14:textId="4C9847D5" w:rsidR="00A30C5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liver histology</w:t>
      </w:r>
      <w:r w:rsidR="00374CD4">
        <w:rPr>
          <w:rFonts w:ascii="Times New Roman" w:hAnsi="Times New Roman" w:cs="Times New Roman"/>
          <w:sz w:val="24"/>
          <w:szCs w:val="24"/>
        </w:rPr>
        <w:t xml:space="preserve"> as shown in figure 2b and 2c</w:t>
      </w:r>
      <w:r w:rsidRPr="007937FF">
        <w:rPr>
          <w:rFonts w:ascii="Times New Roman" w:hAnsi="Times New Roman" w:cs="Times New Roman"/>
          <w:sz w:val="24"/>
          <w:szCs w:val="24"/>
        </w:rPr>
        <w:t xml:space="preserve"> revealed significant damage in both male and female rats, with the female rats showing more severe changes, such as rupture of the central vein tunics and hepatocellular necrosis. Similar hepatic toxicity has been documented in studies investigating tramadol’s effects on liver function. A study by </w:t>
      </w:r>
      <w:r w:rsidR="007734A1" w:rsidRPr="007937FF">
        <w:rPr>
          <w:rFonts w:ascii="Times New Roman" w:hAnsi="Times New Roman" w:cs="Times New Roman"/>
          <w:sz w:val="24"/>
          <w:szCs w:val="24"/>
        </w:rPr>
        <w:t xml:space="preserve">Ahmed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xml:space="preserve">. (2018) reported hepatocellular degeneration and necrosis in rats treated with tramadol, noting that such damage could be due to tramadol-induced oxidative stress or direct cytotoxic effects. The male rats in our study exhibited congestion and hemorrhage, which is consistent with findings from </w:t>
      </w:r>
      <w:r w:rsidR="007734A1" w:rsidRPr="007937FF">
        <w:rPr>
          <w:rFonts w:ascii="Times New Roman" w:hAnsi="Times New Roman" w:cs="Times New Roman"/>
          <w:color w:val="222222"/>
          <w:sz w:val="24"/>
          <w:szCs w:val="24"/>
          <w:shd w:val="clear" w:color="auto" w:fill="FFFFFF"/>
        </w:rPr>
        <w:t>Alowaid,</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(202</w:t>
      </w:r>
      <w:r w:rsidR="007734A1" w:rsidRPr="007937FF">
        <w:rPr>
          <w:rFonts w:ascii="Times New Roman" w:hAnsi="Times New Roman" w:cs="Times New Roman"/>
          <w:sz w:val="24"/>
          <w:szCs w:val="24"/>
        </w:rPr>
        <w:t>4</w:t>
      </w:r>
      <w:r w:rsidRPr="007937FF">
        <w:rPr>
          <w:rFonts w:ascii="Times New Roman" w:hAnsi="Times New Roman" w:cs="Times New Roman"/>
          <w:sz w:val="24"/>
          <w:szCs w:val="24"/>
        </w:rPr>
        <w:t>), who reported vascular congestion and hemorrhage in the liver of rats treated with high doses of tramadol.</w:t>
      </w:r>
    </w:p>
    <w:p w14:paraId="38CC5400" w14:textId="266B800C"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The kidney histology</w:t>
      </w:r>
      <w:r w:rsidR="0033758F">
        <w:rPr>
          <w:rFonts w:ascii="Times New Roman" w:hAnsi="Times New Roman" w:cs="Times New Roman"/>
          <w:sz w:val="24"/>
          <w:szCs w:val="24"/>
        </w:rPr>
        <w:t xml:space="preserve"> depicted in figure 3b and 3c</w:t>
      </w:r>
      <w:r w:rsidRPr="007937FF">
        <w:rPr>
          <w:rFonts w:ascii="Times New Roman" w:hAnsi="Times New Roman" w:cs="Times New Roman"/>
          <w:sz w:val="24"/>
          <w:szCs w:val="24"/>
        </w:rPr>
        <w:t xml:space="preserve"> showed signs of necrosis in the glomeruli and tubular degeneration in both sexes. These findings </w:t>
      </w:r>
      <w:r w:rsidR="00DB48C8" w:rsidRPr="007937FF">
        <w:rPr>
          <w:rFonts w:ascii="Times New Roman" w:hAnsi="Times New Roman" w:cs="Times New Roman"/>
          <w:sz w:val="24"/>
          <w:szCs w:val="24"/>
        </w:rPr>
        <w:t>agree</w:t>
      </w:r>
      <w:r w:rsidRPr="007937FF">
        <w:rPr>
          <w:rFonts w:ascii="Times New Roman" w:hAnsi="Times New Roman" w:cs="Times New Roman"/>
          <w:sz w:val="24"/>
          <w:szCs w:val="24"/>
        </w:rPr>
        <w:t xml:space="preserve"> with the work of </w:t>
      </w:r>
      <w:r w:rsidR="007734A1" w:rsidRPr="007937FF">
        <w:rPr>
          <w:rFonts w:ascii="Times New Roman" w:hAnsi="Times New Roman" w:cs="Times New Roman"/>
          <w:sz w:val="24"/>
          <w:szCs w:val="24"/>
        </w:rPr>
        <w:t>Ali</w:t>
      </w:r>
      <w:r w:rsidRPr="007937FF">
        <w:rPr>
          <w:rFonts w:ascii="Times New Roman" w:hAnsi="Times New Roman" w:cs="Times New Roman"/>
          <w:i/>
          <w:iCs/>
          <w:sz w:val="24"/>
          <w:szCs w:val="24"/>
        </w:rPr>
        <w:t xml:space="preserve"> et al</w:t>
      </w:r>
      <w:r w:rsidRPr="007937FF">
        <w:rPr>
          <w:rFonts w:ascii="Times New Roman" w:hAnsi="Times New Roman" w:cs="Times New Roman"/>
          <w:sz w:val="24"/>
          <w:szCs w:val="24"/>
        </w:rPr>
        <w:t>. (20</w:t>
      </w:r>
      <w:r w:rsidR="007734A1" w:rsidRPr="007937FF">
        <w:rPr>
          <w:rFonts w:ascii="Times New Roman" w:hAnsi="Times New Roman" w:cs="Times New Roman"/>
          <w:sz w:val="24"/>
          <w:szCs w:val="24"/>
        </w:rPr>
        <w:t>20</w:t>
      </w:r>
      <w:r w:rsidRPr="007937FF">
        <w:rPr>
          <w:rFonts w:ascii="Times New Roman" w:hAnsi="Times New Roman" w:cs="Times New Roman"/>
          <w:sz w:val="24"/>
          <w:szCs w:val="24"/>
        </w:rPr>
        <w:t xml:space="preserve">), who observed nephrotoxic effects of tramadol in rats, including glomerular necrosis and tubular </w:t>
      </w:r>
      <w:r w:rsidRPr="007937FF">
        <w:rPr>
          <w:rFonts w:ascii="Times New Roman" w:hAnsi="Times New Roman" w:cs="Times New Roman"/>
          <w:sz w:val="24"/>
          <w:szCs w:val="24"/>
        </w:rPr>
        <w:lastRenderedPageBreak/>
        <w:t xml:space="preserve">damage. The presence of hemorrhage and tubular desquamation in the female rats suggests a more severe form of renal injury, which could be linked to the increased sensitivity of females to tramadol, as observed in the liver. Male rats also showed significant kidney damage, including hemorrhage, which was consistent with the findings of </w:t>
      </w:r>
      <w:r w:rsidR="007A32A7" w:rsidRPr="007937FF">
        <w:rPr>
          <w:rFonts w:ascii="Times New Roman" w:hAnsi="Times New Roman" w:cs="Times New Roman"/>
          <w:color w:val="222222"/>
          <w:sz w:val="24"/>
          <w:szCs w:val="24"/>
          <w:shd w:val="clear" w:color="auto" w:fill="FFFFFF"/>
        </w:rPr>
        <w:t>Barbosa</w:t>
      </w:r>
      <w:r w:rsidRPr="007937FF">
        <w:rPr>
          <w:rFonts w:ascii="Times New Roman" w:hAnsi="Times New Roman" w:cs="Times New Roman"/>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w:t>
      </w:r>
      <w:r w:rsidR="007A32A7" w:rsidRPr="007937FF">
        <w:rPr>
          <w:rFonts w:ascii="Times New Roman" w:hAnsi="Times New Roman" w:cs="Times New Roman"/>
          <w:sz w:val="24"/>
          <w:szCs w:val="24"/>
        </w:rPr>
        <w:t>20</w:t>
      </w:r>
      <w:r w:rsidRPr="007937FF">
        <w:rPr>
          <w:rFonts w:ascii="Times New Roman" w:hAnsi="Times New Roman" w:cs="Times New Roman"/>
          <w:sz w:val="24"/>
          <w:szCs w:val="24"/>
        </w:rPr>
        <w:t>) in their study on tramadol-induced nephrotoxicity.</w:t>
      </w:r>
      <w:r w:rsidR="00DB48C8" w:rsidRPr="007937FF">
        <w:rPr>
          <w:rFonts w:ascii="Times New Roman" w:hAnsi="Times New Roman" w:cs="Times New Roman"/>
          <w:sz w:val="24"/>
          <w:szCs w:val="24"/>
        </w:rPr>
        <w:t xml:space="preserve"> In the brain there is increased neuronal activity </w:t>
      </w:r>
      <w:r w:rsidR="00B1650C" w:rsidRPr="007937FF">
        <w:rPr>
          <w:rFonts w:ascii="Times New Roman" w:hAnsi="Times New Roman" w:cs="Times New Roman"/>
          <w:sz w:val="24"/>
          <w:szCs w:val="24"/>
        </w:rPr>
        <w:t xml:space="preserve">in those rats treated with 100mg/kg tramadol, probably the cause of euphoria perceived by individuals involved </w:t>
      </w:r>
      <w:bookmarkStart w:id="1" w:name="_GoBack"/>
      <w:bookmarkEnd w:id="1"/>
      <w:r w:rsidR="00B1650C" w:rsidRPr="007937FF">
        <w:rPr>
          <w:rFonts w:ascii="Times New Roman" w:hAnsi="Times New Roman" w:cs="Times New Roman"/>
          <w:sz w:val="24"/>
          <w:szCs w:val="24"/>
        </w:rPr>
        <w:t>in substance abuse with tramadol.</w:t>
      </w:r>
    </w:p>
    <w:p w14:paraId="11BF535A" w14:textId="77777777"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This study highlights notable sex differences in the response to tramadol. Female rats consistently showed more pronounced reductions in hematological parameters and more severe histopathological damage in the liver and kidney. These findings support previous studies suggesting that female rats are more sensitive to the toxic effects of various drugs, including opioids. For instance, a study by </w:t>
      </w:r>
      <w:r w:rsidR="007A32A7" w:rsidRPr="007937FF">
        <w:rPr>
          <w:rFonts w:ascii="Times New Roman" w:hAnsi="Times New Roman" w:cs="Times New Roman"/>
          <w:color w:val="222222"/>
          <w:sz w:val="24"/>
          <w:szCs w:val="24"/>
          <w:shd w:val="clear" w:color="auto" w:fill="FFFFFF"/>
        </w:rPr>
        <w:t>Ardakani,</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(2014) indicated that sex differences in drug metabolism, hormone levels, and immune responses might contribute to the greater vulnerability of female rats to drug-induced toxicity. The heightened sensitivity observed in females in this study may also be related to hormonal differences, particularly estrogen, which can influence drug metabolism and immune function (</w:t>
      </w:r>
      <w:r w:rsidR="007A32A7" w:rsidRPr="007937FF">
        <w:rPr>
          <w:rFonts w:ascii="Times New Roman" w:hAnsi="Times New Roman" w:cs="Times New Roman"/>
          <w:color w:val="222222"/>
          <w:sz w:val="24"/>
          <w:szCs w:val="24"/>
          <w:shd w:val="clear" w:color="auto" w:fill="FFFFFF"/>
        </w:rPr>
        <w:t>Moussa</w:t>
      </w:r>
      <w:r w:rsidRPr="007937FF">
        <w:rPr>
          <w:rFonts w:ascii="Times New Roman" w:hAnsi="Times New Roman" w:cs="Times New Roman"/>
          <w:sz w:val="24"/>
          <w:szCs w:val="24"/>
        </w:rPr>
        <w:t xml:space="preserve"> </w:t>
      </w:r>
      <w:r w:rsidRPr="007937FF">
        <w:rPr>
          <w:rFonts w:ascii="Times New Roman" w:hAnsi="Times New Roman" w:cs="Times New Roman"/>
          <w:i/>
          <w:iCs/>
          <w:sz w:val="24"/>
          <w:szCs w:val="24"/>
        </w:rPr>
        <w:t>et al</w:t>
      </w:r>
      <w:r w:rsidRPr="007937FF">
        <w:rPr>
          <w:rFonts w:ascii="Times New Roman" w:hAnsi="Times New Roman" w:cs="Times New Roman"/>
          <w:sz w:val="24"/>
          <w:szCs w:val="24"/>
        </w:rPr>
        <w:t>., 20</w:t>
      </w:r>
      <w:r w:rsidR="007A32A7" w:rsidRPr="007937FF">
        <w:rPr>
          <w:rFonts w:ascii="Times New Roman" w:hAnsi="Times New Roman" w:cs="Times New Roman"/>
          <w:sz w:val="24"/>
          <w:szCs w:val="24"/>
        </w:rPr>
        <w:t>20</w:t>
      </w:r>
      <w:r w:rsidRPr="007937FF">
        <w:rPr>
          <w:rFonts w:ascii="Times New Roman" w:hAnsi="Times New Roman" w:cs="Times New Roman"/>
          <w:sz w:val="24"/>
          <w:szCs w:val="24"/>
        </w:rPr>
        <w:t>).</w:t>
      </w:r>
    </w:p>
    <w:p w14:paraId="73ED64E1" w14:textId="77777777" w:rsidR="005175FF" w:rsidRPr="007937FF" w:rsidRDefault="005175FF" w:rsidP="007937FF">
      <w:pPr>
        <w:spacing w:after="0" w:line="480" w:lineRule="auto"/>
        <w:ind w:left="288" w:right="-288"/>
        <w:jc w:val="both"/>
        <w:rPr>
          <w:rFonts w:ascii="Times New Roman" w:hAnsi="Times New Roman" w:cs="Times New Roman"/>
          <w:b/>
          <w:sz w:val="24"/>
          <w:szCs w:val="24"/>
        </w:rPr>
      </w:pPr>
      <w:r w:rsidRPr="007937FF">
        <w:rPr>
          <w:rFonts w:ascii="Times New Roman" w:hAnsi="Times New Roman" w:cs="Times New Roman"/>
          <w:b/>
          <w:sz w:val="24"/>
          <w:szCs w:val="24"/>
        </w:rPr>
        <w:t>Conclusion</w:t>
      </w:r>
    </w:p>
    <w:p w14:paraId="75440CFD" w14:textId="77777777" w:rsidR="005175FF" w:rsidRPr="007937FF" w:rsidRDefault="005175FF" w:rsidP="007937FF">
      <w:pPr>
        <w:spacing w:after="0" w:line="480" w:lineRule="auto"/>
        <w:ind w:left="288" w:right="-288"/>
        <w:jc w:val="both"/>
        <w:rPr>
          <w:rFonts w:ascii="Times New Roman" w:hAnsi="Times New Roman" w:cs="Times New Roman"/>
          <w:sz w:val="24"/>
          <w:szCs w:val="24"/>
        </w:rPr>
      </w:pPr>
      <w:r w:rsidRPr="007937FF">
        <w:rPr>
          <w:rFonts w:ascii="Times New Roman" w:hAnsi="Times New Roman" w:cs="Times New Roman"/>
          <w:sz w:val="24"/>
          <w:szCs w:val="24"/>
        </w:rPr>
        <w:t xml:space="preserve">The results of this study demonstrate that tramadol administration at a dose of 100mg/kg induces significant hematological and histopathological changes in Wistar albino rats. The observed alterations in red blood cell parameters, white blood cell count, and tissue damage in the brain, liver, and kidney highlight the potential toxic effects of tramadol. The more pronounced effects observed in female rats suggest that sex-specific differences in drug metabolism and sensitivity should be considered when evaluating tramadol's safety profile. These findings provide valuable </w:t>
      </w:r>
      <w:r w:rsidRPr="007937FF">
        <w:rPr>
          <w:rFonts w:ascii="Times New Roman" w:hAnsi="Times New Roman" w:cs="Times New Roman"/>
          <w:sz w:val="24"/>
          <w:szCs w:val="24"/>
        </w:rPr>
        <w:lastRenderedPageBreak/>
        <w:t>insight into the potential risks associated with tramadol use, and they support the need for further research into its long-term effects, particularly in vulnerable populations.</w:t>
      </w:r>
    </w:p>
    <w:p w14:paraId="4EB32C7D" w14:textId="6476CC44" w:rsidR="00252A9D" w:rsidRPr="007937FF" w:rsidRDefault="00FC4F37" w:rsidP="007937FF">
      <w:pPr>
        <w:pStyle w:val="Default"/>
        <w:spacing w:line="480" w:lineRule="auto"/>
        <w:rPr>
          <w:rFonts w:ascii="Times New Roman" w:hAnsi="Times New Roman" w:cs="Times New Roman"/>
        </w:rPr>
      </w:pPr>
      <w:r w:rsidRPr="007937FF">
        <w:rPr>
          <w:rFonts w:ascii="Times New Roman" w:hAnsi="Times New Roman" w:cs="Times New Roman"/>
          <w:b/>
          <w:bCs/>
        </w:rPr>
        <w:t xml:space="preserve"> </w:t>
      </w:r>
      <w:r w:rsidR="005322BD" w:rsidRPr="007937FF">
        <w:rPr>
          <w:rFonts w:ascii="Times New Roman" w:hAnsi="Times New Roman" w:cs="Times New Roman"/>
          <w:b/>
          <w:bCs/>
        </w:rPr>
        <w:t xml:space="preserve">Disclaimer </w:t>
      </w:r>
      <w:r w:rsidR="00252A9D" w:rsidRPr="007937FF">
        <w:rPr>
          <w:rFonts w:ascii="Times New Roman" w:hAnsi="Times New Roman" w:cs="Times New Roman"/>
          <w:b/>
          <w:bCs/>
        </w:rPr>
        <w:t>(</w:t>
      </w:r>
      <w:r w:rsidR="005322BD" w:rsidRPr="007937FF">
        <w:rPr>
          <w:rFonts w:ascii="Times New Roman" w:hAnsi="Times New Roman" w:cs="Times New Roman"/>
          <w:b/>
          <w:bCs/>
        </w:rPr>
        <w:t>Artificial Intelligence</w:t>
      </w:r>
      <w:r w:rsidR="00252A9D" w:rsidRPr="007937FF">
        <w:rPr>
          <w:rFonts w:ascii="Times New Roman" w:hAnsi="Times New Roman" w:cs="Times New Roman"/>
          <w:b/>
          <w:bCs/>
        </w:rPr>
        <w:t>)</w:t>
      </w:r>
    </w:p>
    <w:p w14:paraId="4ABE8483" w14:textId="2BE665BE" w:rsidR="00252A9D" w:rsidRPr="007937FF" w:rsidRDefault="00FC4F37" w:rsidP="007937FF">
      <w:pPr>
        <w:pStyle w:val="Default"/>
        <w:spacing w:line="480" w:lineRule="auto"/>
        <w:jc w:val="both"/>
        <w:rPr>
          <w:rFonts w:ascii="Times New Roman" w:hAnsi="Times New Roman" w:cs="Times New Roman"/>
        </w:rPr>
      </w:pPr>
      <w:r w:rsidRPr="007937FF">
        <w:rPr>
          <w:rFonts w:ascii="Times New Roman" w:hAnsi="Times New Roman" w:cs="Times New Roman"/>
        </w:rPr>
        <w:t xml:space="preserve"> </w:t>
      </w:r>
      <w:r w:rsidR="00252A9D" w:rsidRPr="007937FF">
        <w:rPr>
          <w:rFonts w:ascii="Times New Roman" w:hAnsi="Times New Roman" w:cs="Times New Roman"/>
        </w:rPr>
        <w:t xml:space="preserve">Author(s) hereby declare that NO generative AI technologies such as Large Language Models </w:t>
      </w:r>
      <w:r w:rsidRPr="007937FF">
        <w:rPr>
          <w:rFonts w:ascii="Times New Roman" w:hAnsi="Times New Roman" w:cs="Times New Roman"/>
        </w:rPr>
        <w:t xml:space="preserve">  </w:t>
      </w:r>
      <w:r w:rsidR="00252A9D" w:rsidRPr="007937FF">
        <w:rPr>
          <w:rFonts w:ascii="Times New Roman" w:hAnsi="Times New Roman" w:cs="Times New Roman"/>
        </w:rPr>
        <w:t>(ChatGPT, COPILOT, etc) and text-to-image generators have been used during writing or</w:t>
      </w:r>
      <w:r w:rsidR="005322BD" w:rsidRPr="007937FF">
        <w:rPr>
          <w:rFonts w:ascii="Times New Roman" w:hAnsi="Times New Roman" w:cs="Times New Roman"/>
        </w:rPr>
        <w:t xml:space="preserve"> </w:t>
      </w:r>
      <w:r w:rsidR="00252A9D" w:rsidRPr="007937FF">
        <w:rPr>
          <w:rFonts w:ascii="Times New Roman" w:hAnsi="Times New Roman" w:cs="Times New Roman"/>
        </w:rPr>
        <w:t xml:space="preserve">editing </w:t>
      </w:r>
      <w:r w:rsidRPr="007937FF">
        <w:rPr>
          <w:rFonts w:ascii="Times New Roman" w:hAnsi="Times New Roman" w:cs="Times New Roman"/>
        </w:rPr>
        <w:t xml:space="preserve">  </w:t>
      </w:r>
      <w:r w:rsidR="00252A9D" w:rsidRPr="007937FF">
        <w:rPr>
          <w:rFonts w:ascii="Times New Roman" w:hAnsi="Times New Roman" w:cs="Times New Roman"/>
        </w:rPr>
        <w:t xml:space="preserve">of this manuscript. </w:t>
      </w:r>
    </w:p>
    <w:p w14:paraId="2C9C6B61" w14:textId="77777777" w:rsidR="004921EA" w:rsidRDefault="004921EA" w:rsidP="007937FF">
      <w:pPr>
        <w:spacing w:after="0" w:line="480" w:lineRule="auto"/>
        <w:ind w:right="-288"/>
        <w:jc w:val="both"/>
        <w:rPr>
          <w:rFonts w:ascii="Times New Roman" w:hAnsi="Times New Roman" w:cs="Times New Roman"/>
          <w:b/>
          <w:sz w:val="24"/>
          <w:szCs w:val="24"/>
        </w:rPr>
      </w:pPr>
    </w:p>
    <w:p w14:paraId="3472CF62" w14:textId="26F8A9F2" w:rsidR="005322BD" w:rsidRPr="007937FF" w:rsidRDefault="00112915" w:rsidP="007937FF">
      <w:pPr>
        <w:spacing w:after="0" w:line="480" w:lineRule="auto"/>
        <w:ind w:right="-288"/>
        <w:jc w:val="both"/>
        <w:rPr>
          <w:rFonts w:ascii="Times New Roman" w:hAnsi="Times New Roman" w:cs="Times New Roman"/>
          <w:sz w:val="24"/>
          <w:szCs w:val="24"/>
        </w:rPr>
      </w:pPr>
      <w:r w:rsidRPr="007937FF">
        <w:rPr>
          <w:rFonts w:ascii="Times New Roman" w:hAnsi="Times New Roman" w:cs="Times New Roman"/>
          <w:b/>
          <w:sz w:val="24"/>
          <w:szCs w:val="24"/>
        </w:rPr>
        <w:t xml:space="preserve">References </w:t>
      </w:r>
    </w:p>
    <w:p w14:paraId="338A9F38" w14:textId="77777777" w:rsidR="005322BD" w:rsidRPr="007937FF" w:rsidRDefault="005322BD" w:rsidP="007937FF">
      <w:pPr>
        <w:spacing w:after="0" w:line="480" w:lineRule="auto"/>
        <w:ind w:right="-288"/>
        <w:jc w:val="both"/>
        <w:rPr>
          <w:rFonts w:ascii="Times New Roman" w:hAnsi="Times New Roman" w:cs="Times New Roman"/>
          <w:b/>
          <w:sz w:val="24"/>
          <w:szCs w:val="24"/>
        </w:rPr>
      </w:pPr>
      <w:r w:rsidRPr="007937FF">
        <w:rPr>
          <w:rFonts w:ascii="Times New Roman" w:hAnsi="Times New Roman" w:cs="Times New Roman"/>
          <w:sz w:val="24"/>
          <w:szCs w:val="24"/>
        </w:rPr>
        <w:t>Adams, A., Joseph, B., &amp; Williams, C. (2006). Tramadol dependence and abuse trends among medical practitioners.</w:t>
      </w:r>
    </w:p>
    <w:p w14:paraId="680AFF28" w14:textId="77777777" w:rsidR="005322BD" w:rsidRPr="007937FF" w:rsidRDefault="005322BD" w:rsidP="007937FF">
      <w:pPr>
        <w:spacing w:after="0" w:line="480" w:lineRule="auto"/>
        <w:ind w:left="720" w:right="-288" w:hanging="720"/>
        <w:jc w:val="both"/>
        <w:rPr>
          <w:rFonts w:ascii="Times New Roman" w:hAnsi="Times New Roman" w:cs="Times New Roman"/>
          <w:sz w:val="24"/>
          <w:szCs w:val="24"/>
        </w:rPr>
      </w:pPr>
      <w:r w:rsidRPr="007937FF">
        <w:rPr>
          <w:rFonts w:ascii="Times New Roman" w:hAnsi="Times New Roman" w:cs="Times New Roman"/>
          <w:color w:val="222222"/>
          <w:sz w:val="24"/>
          <w:szCs w:val="24"/>
          <w:shd w:val="clear" w:color="auto" w:fill="FFFFFF"/>
        </w:rPr>
        <w:t>Ahmed, A. I., El-Dawy, K., Fawzy, M. M., Abdallah, H. A., Elsaid, H. N. A., &amp; Elmesslamy, W. O. (2018). Retrospective review of tramadol abuse.</w:t>
      </w:r>
    </w:p>
    <w:p w14:paraId="08EB9D3E"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Ali, H. A., Afifi, M., Saber, T. M., Makki, A. A., Keshta, A. T., Baeshen, M., &amp; Al-Farga, A. (2020). Neurotoxic, hepatotoxic and nephrotoxic effects of tramadol administration in rats. </w:t>
      </w:r>
      <w:r w:rsidRPr="007937FF">
        <w:rPr>
          <w:rFonts w:ascii="Times New Roman" w:hAnsi="Times New Roman" w:cs="Times New Roman"/>
          <w:i/>
          <w:iCs/>
          <w:color w:val="222222"/>
          <w:sz w:val="24"/>
          <w:szCs w:val="24"/>
          <w:shd w:val="clear" w:color="auto" w:fill="FFFFFF"/>
        </w:rPr>
        <w:t>Journal of Molecular Neuroscience</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70</w:t>
      </w:r>
      <w:r w:rsidRPr="007937FF">
        <w:rPr>
          <w:rFonts w:ascii="Times New Roman" w:hAnsi="Times New Roman" w:cs="Times New Roman"/>
          <w:color w:val="222222"/>
          <w:sz w:val="24"/>
          <w:szCs w:val="24"/>
          <w:shd w:val="clear" w:color="auto" w:fill="FFFFFF"/>
        </w:rPr>
        <w:t>, 1934-1942.</w:t>
      </w:r>
    </w:p>
    <w:p w14:paraId="51FC02BA"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000000"/>
          <w:kern w:val="0"/>
          <w:sz w:val="24"/>
          <w:szCs w:val="24"/>
        </w:rPr>
      </w:pPr>
      <w:r w:rsidRPr="007937FF">
        <w:rPr>
          <w:rFonts w:ascii="Times New Roman" w:eastAsia="CIDFont+F2" w:hAnsi="Times New Roman" w:cs="Times New Roman"/>
          <w:color w:val="000000"/>
          <w:kern w:val="0"/>
          <w:sz w:val="24"/>
          <w:szCs w:val="24"/>
        </w:rPr>
        <w:t>Allaqaband, S., Dar, A. H., Patel, U., Kumar,N., Nayik, G. A., Khan, S. A., Ansari, M. J., Alabdallah, N. M., Kumar, P., Pandey, V. K. and Kovács, B. (2022).</w:t>
      </w:r>
    </w:p>
    <w:p w14:paraId="4C01840B"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Alowaid, H. F. H., Hassan, A. A., &amp; Majeed, M. F. (2024). Functional and histological signs of early detection of liver and kidney stress under the influence of tramadol oral administration in male rats. </w:t>
      </w:r>
      <w:r w:rsidRPr="007937FF">
        <w:rPr>
          <w:rFonts w:ascii="Times New Roman" w:hAnsi="Times New Roman" w:cs="Times New Roman"/>
          <w:i/>
          <w:iCs/>
          <w:color w:val="222222"/>
          <w:sz w:val="24"/>
          <w:szCs w:val="24"/>
          <w:shd w:val="clear" w:color="auto" w:fill="FFFFFF"/>
        </w:rPr>
        <w:t>Adv. Anim. Vet. Sci</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12</w:t>
      </w:r>
      <w:r w:rsidRPr="007937FF">
        <w:rPr>
          <w:rFonts w:ascii="Times New Roman" w:hAnsi="Times New Roman" w:cs="Times New Roman"/>
          <w:color w:val="222222"/>
          <w:sz w:val="24"/>
          <w:szCs w:val="24"/>
          <w:shd w:val="clear" w:color="auto" w:fill="FFFFFF"/>
        </w:rPr>
        <w:t>(8), 1556-1562.</w:t>
      </w:r>
    </w:p>
    <w:p w14:paraId="7133781A"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Ardakani, Y. H., &amp; Rouini, M. R. (2007). Pharmacokinetics of tramadol and its three main metabolites in healthy male and female volunteers. </w:t>
      </w:r>
      <w:r w:rsidRPr="007937FF">
        <w:rPr>
          <w:rFonts w:ascii="Times New Roman" w:hAnsi="Times New Roman" w:cs="Times New Roman"/>
          <w:i/>
          <w:iCs/>
          <w:color w:val="222222"/>
          <w:sz w:val="24"/>
          <w:szCs w:val="24"/>
          <w:shd w:val="clear" w:color="auto" w:fill="FFFFFF"/>
        </w:rPr>
        <w:t>Biopharmaceutics &amp; drug disposition</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28</w:t>
      </w:r>
      <w:r w:rsidRPr="007937FF">
        <w:rPr>
          <w:rFonts w:ascii="Times New Roman" w:hAnsi="Times New Roman" w:cs="Times New Roman"/>
          <w:color w:val="222222"/>
          <w:sz w:val="24"/>
          <w:szCs w:val="24"/>
          <w:shd w:val="clear" w:color="auto" w:fill="FFFFFF"/>
        </w:rPr>
        <w:t>(9), 527-534.</w:t>
      </w:r>
    </w:p>
    <w:p w14:paraId="5E93830A"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lastRenderedPageBreak/>
        <w:t>Baker, F. J., Silverton, R. E. and Luckcock, E. D. (1957). Histology. Pages 133 – 196.</w:t>
      </w:r>
    </w:p>
    <w:p w14:paraId="734526E0" w14:textId="77777777" w:rsidR="00D92224" w:rsidRDefault="00D63EE2" w:rsidP="007937FF">
      <w:pPr>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D63EE2">
        <w:rPr>
          <w:rFonts w:ascii="Times New Roman" w:hAnsi="Times New Roman" w:cs="Times New Roman"/>
          <w:color w:val="222222"/>
          <w:sz w:val="24"/>
          <w:szCs w:val="24"/>
          <w:shd w:val="clear" w:color="auto" w:fill="FFFFFF"/>
        </w:rPr>
        <w:t>Barbosa, J., Leal, S., Pereira, F. C., Dinis-Oliveira, R. J., &amp; Faria, J. (2023). Tramadol and tapentadol induce conditioned place preference with a differential impact on rewarding memory and incubation of craving. </w:t>
      </w:r>
      <w:r w:rsidRPr="00D63EE2">
        <w:rPr>
          <w:rFonts w:ascii="Times New Roman" w:hAnsi="Times New Roman" w:cs="Times New Roman"/>
          <w:i/>
          <w:iCs/>
          <w:color w:val="222222"/>
          <w:sz w:val="24"/>
          <w:szCs w:val="24"/>
          <w:shd w:val="clear" w:color="auto" w:fill="FFFFFF"/>
        </w:rPr>
        <w:t>Pharmaceuticals</w:t>
      </w:r>
      <w:r w:rsidRPr="00D63EE2">
        <w:rPr>
          <w:rFonts w:ascii="Times New Roman" w:hAnsi="Times New Roman" w:cs="Times New Roman"/>
          <w:color w:val="222222"/>
          <w:sz w:val="24"/>
          <w:szCs w:val="24"/>
          <w:shd w:val="clear" w:color="auto" w:fill="FFFFFF"/>
        </w:rPr>
        <w:t>, </w:t>
      </w:r>
      <w:r w:rsidRPr="00D63EE2">
        <w:rPr>
          <w:rFonts w:ascii="Times New Roman" w:hAnsi="Times New Roman" w:cs="Times New Roman"/>
          <w:i/>
          <w:iCs/>
          <w:color w:val="222222"/>
          <w:sz w:val="24"/>
          <w:szCs w:val="24"/>
          <w:shd w:val="clear" w:color="auto" w:fill="FFFFFF"/>
        </w:rPr>
        <w:t>16</w:t>
      </w:r>
      <w:r w:rsidRPr="00D63EE2">
        <w:rPr>
          <w:rFonts w:ascii="Times New Roman" w:hAnsi="Times New Roman" w:cs="Times New Roman"/>
          <w:color w:val="222222"/>
          <w:sz w:val="24"/>
          <w:szCs w:val="24"/>
          <w:shd w:val="clear" w:color="auto" w:fill="FFFFFF"/>
        </w:rPr>
        <w:t>(1), 86.</w:t>
      </w:r>
    </w:p>
    <w:p w14:paraId="7C106A34" w14:textId="4BD5AF22"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kern w:val="0"/>
          <w:sz w:val="24"/>
          <w:szCs w:val="24"/>
        </w:rPr>
      </w:pPr>
      <w:r w:rsidRPr="00D63EE2">
        <w:rPr>
          <w:rFonts w:ascii="Times New Roman" w:hAnsi="Times New Roman" w:cs="Times New Roman"/>
          <w:color w:val="222222"/>
          <w:sz w:val="24"/>
          <w:szCs w:val="24"/>
          <w:shd w:val="clear" w:color="auto" w:fill="FFFFFF"/>
        </w:rPr>
        <w:t xml:space="preserve">Chaithra, S., Saikia, B., Konwar, B., Bayan, H., Devi, T. </w:t>
      </w:r>
      <w:r w:rsidRPr="007937FF">
        <w:rPr>
          <w:rFonts w:ascii="Times New Roman" w:hAnsi="Times New Roman" w:cs="Times New Roman"/>
          <w:color w:val="222222"/>
          <w:sz w:val="24"/>
          <w:szCs w:val="24"/>
          <w:shd w:val="clear" w:color="auto" w:fill="FFFFFF"/>
        </w:rPr>
        <w:t>R., Das, C. J., &amp; Zorinpuii, H. (2024). Comparative studies on haemato-biochemical changes following pre-emptive analgesia with tramadol, pentazocine lactate and meloxicam inpain management of canine ovariohysterectomy. </w:t>
      </w:r>
      <w:r w:rsidRPr="007937FF">
        <w:rPr>
          <w:rFonts w:ascii="Times New Roman" w:hAnsi="Times New Roman" w:cs="Times New Roman"/>
          <w:i/>
          <w:iCs/>
          <w:color w:val="222222"/>
          <w:sz w:val="24"/>
          <w:szCs w:val="24"/>
          <w:shd w:val="clear" w:color="auto" w:fill="FFFFFF"/>
        </w:rPr>
        <w:t>The Indian Journal of Animal Sciences</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94</w:t>
      </w:r>
      <w:r w:rsidRPr="007937FF">
        <w:rPr>
          <w:rFonts w:ascii="Times New Roman" w:hAnsi="Times New Roman" w:cs="Times New Roman"/>
          <w:color w:val="222222"/>
          <w:sz w:val="24"/>
          <w:szCs w:val="24"/>
          <w:shd w:val="clear" w:color="auto" w:fill="FFFFFF"/>
        </w:rPr>
        <w:t>(2), 123-130.</w:t>
      </w:r>
    </w:p>
    <w:p w14:paraId="1CC75856"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Darbar, S., Saha, S., Pramanik, K., &amp; Chattopadhyay, A. (2022). Haematological Modulations by Fixed Dose Combination (FDC) of Tramadol Hydrochloride/Paracetamol (THP). In </w:t>
      </w:r>
      <w:r w:rsidRPr="007937FF">
        <w:rPr>
          <w:rFonts w:ascii="Times New Roman" w:hAnsi="Times New Roman" w:cs="Times New Roman"/>
          <w:i/>
          <w:iCs/>
          <w:color w:val="222222"/>
          <w:sz w:val="24"/>
          <w:szCs w:val="24"/>
          <w:shd w:val="clear" w:color="auto" w:fill="FFFFFF"/>
        </w:rPr>
        <w:t>Frontiers in Clinical Drug Research-Hematology</w:t>
      </w:r>
      <w:r w:rsidRPr="007937FF">
        <w:rPr>
          <w:rFonts w:ascii="Times New Roman" w:hAnsi="Times New Roman" w:cs="Times New Roman"/>
          <w:color w:val="222222"/>
          <w:sz w:val="24"/>
          <w:szCs w:val="24"/>
          <w:shd w:val="clear" w:color="auto" w:fill="FFFFFF"/>
        </w:rPr>
        <w:t> (pp. 154-167). Bentham Science Publishers.</w:t>
      </w:r>
    </w:p>
    <w:p w14:paraId="26949012"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kern w:val="0"/>
          <w:sz w:val="24"/>
          <w:szCs w:val="24"/>
        </w:rPr>
      </w:pPr>
      <w:r w:rsidRPr="007937FF">
        <w:rPr>
          <w:rFonts w:ascii="Times New Roman" w:eastAsia="CIDFont+F2" w:hAnsi="Times New Roman" w:cs="Times New Roman"/>
          <w:kern w:val="0"/>
          <w:sz w:val="24"/>
          <w:szCs w:val="24"/>
        </w:rPr>
        <w:t>Desvars-Larrive, A., Baldi, M., Walter, T.,Zink, R. and Walzer, C. (2018). Brown rats (Rattus norvegicus) in urban ecosystems: are the constraints relatedto fieldwork a limit to their study? UrbanEcosystems, 21: 951 – 964.</w:t>
      </w:r>
    </w:p>
    <w:p w14:paraId="2C67B830"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sz w:val="24"/>
          <w:szCs w:val="24"/>
        </w:rPr>
        <w:t xml:space="preserve">Hussien, R., &amp; Elguindy, M. (2017). Assessment of the role of naloxone in the prognosis of tramadol intoxicated patients. </w:t>
      </w:r>
      <w:r w:rsidRPr="007937FF">
        <w:rPr>
          <w:rFonts w:ascii="Times New Roman" w:hAnsi="Times New Roman" w:cs="Times New Roman"/>
          <w:i/>
          <w:iCs/>
          <w:sz w:val="24"/>
          <w:szCs w:val="24"/>
        </w:rPr>
        <w:t>Journal of Clinical Toxicology, 7</w:t>
      </w:r>
      <w:r w:rsidRPr="007937FF">
        <w:rPr>
          <w:rFonts w:ascii="Times New Roman" w:hAnsi="Times New Roman" w:cs="Times New Roman"/>
          <w:sz w:val="24"/>
          <w:szCs w:val="24"/>
        </w:rPr>
        <w:t xml:space="preserve">(366), 21610495. </w:t>
      </w:r>
      <w:r w:rsidRPr="007937FF">
        <w:rPr>
          <w:rFonts w:ascii="Times New Roman" w:eastAsia="CIDFont+F2" w:hAnsi="Times New Roman" w:cs="Times New Roman"/>
          <w:kern w:val="0"/>
          <w:sz w:val="24"/>
          <w:szCs w:val="24"/>
        </w:rPr>
        <w:t>In: Introduction of Medical Laboratory Technology. Second Edition, Butterworths, London, United Kingdom.</w:t>
      </w:r>
    </w:p>
    <w:p w14:paraId="2211E560"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000000"/>
          <w:kern w:val="0"/>
          <w:sz w:val="24"/>
          <w:szCs w:val="24"/>
        </w:rPr>
      </w:pPr>
      <w:r w:rsidRPr="007937FF">
        <w:rPr>
          <w:rFonts w:ascii="Times New Roman" w:eastAsia="CIDFont+F2" w:hAnsi="Times New Roman" w:cs="Times New Roman"/>
          <w:color w:val="000000"/>
          <w:kern w:val="0"/>
          <w:sz w:val="24"/>
          <w:szCs w:val="24"/>
        </w:rPr>
        <w:t>Koolhaas, J. M. (2010). The laboratory rat. The UFAW Handbook on the Care and Management of Laboratory and Other Research Animals, 8: 311 – 326.</w:t>
      </w:r>
    </w:p>
    <w:p w14:paraId="239968D9"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000000"/>
          <w:kern w:val="0"/>
          <w:sz w:val="24"/>
          <w:szCs w:val="24"/>
        </w:rPr>
      </w:pPr>
      <w:r w:rsidRPr="007937FF">
        <w:rPr>
          <w:rFonts w:ascii="Times New Roman" w:eastAsia="CIDFont+F2" w:hAnsi="Times New Roman" w:cs="Times New Roman"/>
          <w:color w:val="000000"/>
          <w:kern w:val="0"/>
          <w:sz w:val="24"/>
          <w:szCs w:val="24"/>
        </w:rPr>
        <w:lastRenderedPageBreak/>
        <w:t>Krubaa, P. and Yogitha, P. S. (2024). Albino Wistar rats: Advantages and limitations in biomedicalresearch. SBV Journal of Basic, Clinical and Applied Health Science, 7(2): 61 – 65.</w:t>
      </w:r>
    </w:p>
    <w:p w14:paraId="4F57FF8F"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Mittal, V., &amp; Yadav, K. S. (2024). Optimizing nasal drug delivery for peptides, proteins, and small molecules: strategic use of materials and techniques to target the CNS. </w:t>
      </w:r>
      <w:r w:rsidRPr="007937FF">
        <w:rPr>
          <w:rFonts w:ascii="Times New Roman" w:hAnsi="Times New Roman" w:cs="Times New Roman"/>
          <w:i/>
          <w:iCs/>
          <w:color w:val="222222"/>
          <w:sz w:val="24"/>
          <w:szCs w:val="24"/>
          <w:shd w:val="clear" w:color="auto" w:fill="FFFFFF"/>
        </w:rPr>
        <w:t>International Journal of Polymeric Materials and Polymeric Biomaterials</w:t>
      </w:r>
      <w:r w:rsidRPr="007937FF">
        <w:rPr>
          <w:rFonts w:ascii="Times New Roman" w:hAnsi="Times New Roman" w:cs="Times New Roman"/>
          <w:color w:val="222222"/>
          <w:sz w:val="24"/>
          <w:szCs w:val="24"/>
          <w:shd w:val="clear" w:color="auto" w:fill="FFFFFF"/>
        </w:rPr>
        <w:t>, 1-24.</w:t>
      </w:r>
    </w:p>
    <w:p w14:paraId="7DF3E9A9" w14:textId="77777777" w:rsidR="005322BD" w:rsidRPr="007937FF" w:rsidRDefault="005322BD" w:rsidP="007937FF">
      <w:pPr>
        <w:autoSpaceDE w:val="0"/>
        <w:autoSpaceDN w:val="0"/>
        <w:adjustRightInd w:val="0"/>
        <w:spacing w:after="0" w:line="480" w:lineRule="auto"/>
        <w:ind w:left="720" w:hanging="720"/>
        <w:jc w:val="both"/>
        <w:rPr>
          <w:rFonts w:ascii="Times New Roman" w:eastAsia="CIDFont+F2" w:hAnsi="Times New Roman" w:cs="Times New Roman"/>
          <w:color w:val="222222"/>
          <w:kern w:val="0"/>
          <w:sz w:val="24"/>
          <w:szCs w:val="24"/>
        </w:rPr>
      </w:pPr>
      <w:r w:rsidRPr="007937FF">
        <w:rPr>
          <w:rFonts w:ascii="Times New Roman" w:eastAsia="CIDFont+F2" w:hAnsi="Times New Roman" w:cs="Times New Roman"/>
          <w:color w:val="000000"/>
          <w:kern w:val="0"/>
          <w:sz w:val="24"/>
          <w:szCs w:val="24"/>
        </w:rPr>
        <w:t xml:space="preserve">Modlinska, </w:t>
      </w:r>
      <w:r w:rsidRPr="007937FF">
        <w:rPr>
          <w:rFonts w:ascii="Times New Roman" w:eastAsia="CIDFont+F2" w:hAnsi="Times New Roman" w:cs="Times New Roman"/>
          <w:color w:val="222222"/>
          <w:kern w:val="0"/>
          <w:sz w:val="24"/>
          <w:szCs w:val="24"/>
        </w:rPr>
        <w:t xml:space="preserve">K. and Pisula, W. (2020). The Norway rat, from an obnoxious pest to a laboratory pet. eLife, 9: e50651. </w:t>
      </w:r>
      <w:r w:rsidRPr="007937FF">
        <w:rPr>
          <w:rFonts w:ascii="Times New Roman" w:eastAsia="CIDFont+F2" w:hAnsi="Times New Roman" w:cs="Times New Roman"/>
          <w:color w:val="0563C2"/>
          <w:kern w:val="0"/>
          <w:sz w:val="24"/>
          <w:szCs w:val="24"/>
        </w:rPr>
        <w:t>https:</w:t>
      </w:r>
      <w:r w:rsidRPr="007937FF">
        <w:rPr>
          <w:rFonts w:ascii="Times New Roman" w:eastAsia="CIDFont+F2" w:hAnsi="Times New Roman" w:cs="Times New Roman"/>
          <w:color w:val="222222"/>
          <w:kern w:val="0"/>
          <w:sz w:val="24"/>
          <w:szCs w:val="24"/>
        </w:rPr>
        <w:t xml:space="preserve"> </w:t>
      </w:r>
      <w:r w:rsidRPr="007937FF">
        <w:rPr>
          <w:rFonts w:ascii="Times New Roman" w:eastAsia="CIDFont+F2" w:hAnsi="Times New Roman" w:cs="Times New Roman"/>
          <w:color w:val="0563C2"/>
          <w:kern w:val="0"/>
          <w:sz w:val="24"/>
          <w:szCs w:val="24"/>
        </w:rPr>
        <w:t>//doi.org/10.7554/eLife.50651</w:t>
      </w:r>
    </w:p>
    <w:p w14:paraId="1157FAFF"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Moussa, M., Tolba, N., Ashry, S., Ali, A., &amp; Atallah, S. (2020). Impact of Chronic Tramadol Intake on Reproductive Hormones and Related Histopathological Changes in Adult Albino Rats. </w:t>
      </w:r>
      <w:r w:rsidRPr="007937FF">
        <w:rPr>
          <w:rFonts w:ascii="Times New Roman" w:hAnsi="Times New Roman" w:cs="Times New Roman"/>
          <w:i/>
          <w:iCs/>
          <w:color w:val="222222"/>
          <w:sz w:val="24"/>
          <w:szCs w:val="24"/>
          <w:shd w:val="clear" w:color="auto" w:fill="FFFFFF"/>
        </w:rPr>
        <w:t>Ain Shams Journal of Forensic Medicine and Clinical Toxicology</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35</w:t>
      </w:r>
      <w:r w:rsidRPr="007937FF">
        <w:rPr>
          <w:rFonts w:ascii="Times New Roman" w:hAnsi="Times New Roman" w:cs="Times New Roman"/>
          <w:color w:val="222222"/>
          <w:sz w:val="24"/>
          <w:szCs w:val="24"/>
          <w:shd w:val="clear" w:color="auto" w:fill="FFFFFF"/>
        </w:rPr>
        <w:t>(2), 1-13.</w:t>
      </w:r>
    </w:p>
    <w:p w14:paraId="7744D330"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Naz, S., Hussain, R., Ullah, Q., Chatha, A. M. M., Shaheen, A., &amp; Khan, R. U. (2021). Toxic effect of some heavy metals on hematology and histopathology of major carp (Catla catla). </w:t>
      </w:r>
      <w:r w:rsidRPr="007937FF">
        <w:rPr>
          <w:rFonts w:ascii="Times New Roman" w:hAnsi="Times New Roman" w:cs="Times New Roman"/>
          <w:i/>
          <w:iCs/>
          <w:color w:val="222222"/>
          <w:sz w:val="24"/>
          <w:szCs w:val="24"/>
          <w:shd w:val="clear" w:color="auto" w:fill="FFFFFF"/>
        </w:rPr>
        <w:t>Environmental science and pollution research</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28</w:t>
      </w:r>
      <w:r w:rsidRPr="007937FF">
        <w:rPr>
          <w:rFonts w:ascii="Times New Roman" w:hAnsi="Times New Roman" w:cs="Times New Roman"/>
          <w:color w:val="222222"/>
          <w:sz w:val="24"/>
          <w:szCs w:val="24"/>
          <w:shd w:val="clear" w:color="auto" w:fill="FFFFFF"/>
        </w:rPr>
        <w:t>, 6533-6539.</w:t>
      </w:r>
    </w:p>
    <w:p w14:paraId="2666CE60" w14:textId="77777777" w:rsidR="005322BD" w:rsidRPr="007937FF" w:rsidRDefault="005322BD" w:rsidP="007937FF">
      <w:pPr>
        <w:autoSpaceDE w:val="0"/>
        <w:autoSpaceDN w:val="0"/>
        <w:adjustRightInd w:val="0"/>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sz w:val="24"/>
          <w:szCs w:val="24"/>
        </w:rPr>
        <w:t xml:space="preserve">Paulis, M. G., &amp; Abbas, M. F. (2015). Tramadol subchronic toxicity on pituitary-gonadal axis and ovarian functions in adult female rats. </w:t>
      </w:r>
      <w:r w:rsidRPr="007937FF">
        <w:rPr>
          <w:rFonts w:ascii="Times New Roman" w:hAnsi="Times New Roman" w:cs="Times New Roman"/>
          <w:i/>
          <w:iCs/>
          <w:sz w:val="24"/>
          <w:szCs w:val="24"/>
        </w:rPr>
        <w:t>First International Forensic Medicine and Clinical Toxicology Conference, Minia University</w:t>
      </w:r>
      <w:r w:rsidRPr="007937FF">
        <w:rPr>
          <w:rFonts w:ascii="Times New Roman" w:hAnsi="Times New Roman" w:cs="Times New Roman"/>
          <w:sz w:val="24"/>
          <w:szCs w:val="24"/>
        </w:rPr>
        <w:t>.</w:t>
      </w:r>
    </w:p>
    <w:p w14:paraId="51080F1E" w14:textId="77777777" w:rsidR="005322BD" w:rsidRPr="00546B89" w:rsidRDefault="005322BD" w:rsidP="007937FF">
      <w:pPr>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Piri, Z., Arami, M. K., Shahidi, M., &amp; Nazari, S. (2020). Alteration of Hematologic Parameters in Morphine-Dependent Rats by Long-Term Administration of Orexin Type 1 Receptor Antagonist. </w:t>
      </w:r>
      <w:r w:rsidRPr="007937FF">
        <w:rPr>
          <w:rFonts w:ascii="Times New Roman" w:hAnsi="Times New Roman" w:cs="Times New Roman"/>
          <w:i/>
          <w:iCs/>
          <w:color w:val="222222"/>
          <w:sz w:val="24"/>
          <w:szCs w:val="24"/>
          <w:shd w:val="clear" w:color="auto" w:fill="FFFFFF"/>
        </w:rPr>
        <w:t>International Journal of Hi</w:t>
      </w:r>
      <w:r w:rsidRPr="00546B89">
        <w:rPr>
          <w:rFonts w:ascii="Times New Roman" w:hAnsi="Times New Roman" w:cs="Times New Roman"/>
          <w:i/>
          <w:iCs/>
          <w:color w:val="222222"/>
          <w:sz w:val="24"/>
          <w:szCs w:val="24"/>
          <w:shd w:val="clear" w:color="auto" w:fill="FFFFFF"/>
        </w:rPr>
        <w:t>gh Risk Behaviors and Addiction</w:t>
      </w:r>
      <w:r w:rsidRPr="00546B89">
        <w:rPr>
          <w:rFonts w:ascii="Times New Roman" w:hAnsi="Times New Roman" w:cs="Times New Roman"/>
          <w:color w:val="222222"/>
          <w:sz w:val="24"/>
          <w:szCs w:val="24"/>
          <w:shd w:val="clear" w:color="auto" w:fill="FFFFFF"/>
        </w:rPr>
        <w:t>, </w:t>
      </w:r>
      <w:r w:rsidRPr="00546B89">
        <w:rPr>
          <w:rFonts w:ascii="Times New Roman" w:hAnsi="Times New Roman" w:cs="Times New Roman"/>
          <w:i/>
          <w:iCs/>
          <w:color w:val="222222"/>
          <w:sz w:val="24"/>
          <w:szCs w:val="24"/>
          <w:shd w:val="clear" w:color="auto" w:fill="FFFFFF"/>
        </w:rPr>
        <w:t>9</w:t>
      </w:r>
      <w:r w:rsidRPr="00546B89">
        <w:rPr>
          <w:rFonts w:ascii="Times New Roman" w:hAnsi="Times New Roman" w:cs="Times New Roman"/>
          <w:color w:val="222222"/>
          <w:sz w:val="24"/>
          <w:szCs w:val="24"/>
          <w:shd w:val="clear" w:color="auto" w:fill="FFFFFF"/>
        </w:rPr>
        <w:t>(3), 1-e99081.</w:t>
      </w:r>
    </w:p>
    <w:p w14:paraId="3FBB509C" w14:textId="3E705305" w:rsidR="00546B89" w:rsidRPr="00546B89" w:rsidRDefault="00546B89" w:rsidP="007937FF">
      <w:pPr>
        <w:spacing w:after="0" w:line="480" w:lineRule="auto"/>
        <w:ind w:left="720" w:hanging="720"/>
        <w:jc w:val="both"/>
        <w:rPr>
          <w:rFonts w:ascii="Times New Roman" w:hAnsi="Times New Roman" w:cs="Times New Roman"/>
          <w:color w:val="222222"/>
          <w:sz w:val="24"/>
          <w:szCs w:val="24"/>
          <w:shd w:val="clear" w:color="auto" w:fill="FFFFFF"/>
        </w:rPr>
      </w:pPr>
      <w:r w:rsidRPr="00546B89">
        <w:rPr>
          <w:rFonts w:ascii="Times New Roman" w:hAnsi="Times New Roman" w:cs="Times New Roman"/>
          <w:color w:val="222222"/>
          <w:sz w:val="24"/>
          <w:szCs w:val="24"/>
          <w:shd w:val="clear" w:color="auto" w:fill="FFFFFF"/>
        </w:rPr>
        <w:t xml:space="preserve">Reji, V., Anoop, S., Syam, K. V., Sooryadas, S., Vasudevan, V. N., Varuna, P. P., ... &amp; John Martin, K. D. (2025). Modified syringe technique to prepare platelet rich plasma from rat blood, </w:t>
      </w:r>
      <w:r w:rsidRPr="00546B89">
        <w:rPr>
          <w:rFonts w:ascii="Times New Roman" w:hAnsi="Times New Roman" w:cs="Times New Roman"/>
          <w:color w:val="222222"/>
          <w:sz w:val="24"/>
          <w:szCs w:val="24"/>
          <w:shd w:val="clear" w:color="auto" w:fill="FFFFFF"/>
        </w:rPr>
        <w:lastRenderedPageBreak/>
        <w:t>its quantitative assessment, and evaluation of platelets stored at 4 C to determine its suitability for homologous application. </w:t>
      </w:r>
      <w:r w:rsidRPr="00546B89">
        <w:rPr>
          <w:rFonts w:ascii="Times New Roman" w:hAnsi="Times New Roman" w:cs="Times New Roman"/>
          <w:i/>
          <w:iCs/>
          <w:color w:val="222222"/>
          <w:sz w:val="24"/>
          <w:szCs w:val="24"/>
          <w:shd w:val="clear" w:color="auto" w:fill="FFFFFF"/>
        </w:rPr>
        <w:t>J. Vet. Anim. Sci</w:t>
      </w:r>
      <w:r w:rsidRPr="00546B89">
        <w:rPr>
          <w:rFonts w:ascii="Times New Roman" w:hAnsi="Times New Roman" w:cs="Times New Roman"/>
          <w:color w:val="222222"/>
          <w:sz w:val="24"/>
          <w:szCs w:val="24"/>
          <w:shd w:val="clear" w:color="auto" w:fill="FFFFFF"/>
        </w:rPr>
        <w:t>, </w:t>
      </w:r>
      <w:r w:rsidRPr="00546B89">
        <w:rPr>
          <w:rFonts w:ascii="Times New Roman" w:hAnsi="Times New Roman" w:cs="Times New Roman"/>
          <w:i/>
          <w:iCs/>
          <w:color w:val="222222"/>
          <w:sz w:val="24"/>
          <w:szCs w:val="24"/>
          <w:shd w:val="clear" w:color="auto" w:fill="FFFFFF"/>
        </w:rPr>
        <w:t>56</w:t>
      </w:r>
      <w:r w:rsidRPr="00546B89">
        <w:rPr>
          <w:rFonts w:ascii="Times New Roman" w:hAnsi="Times New Roman" w:cs="Times New Roman"/>
          <w:color w:val="222222"/>
          <w:sz w:val="24"/>
          <w:szCs w:val="24"/>
          <w:shd w:val="clear" w:color="auto" w:fill="FFFFFF"/>
        </w:rPr>
        <w:t>(1), 13-19.</w:t>
      </w:r>
    </w:p>
    <w:p w14:paraId="54E33460" w14:textId="4C087A84" w:rsidR="006D5C73" w:rsidRPr="00486A57" w:rsidRDefault="006D5C73" w:rsidP="007937FF">
      <w:pPr>
        <w:spacing w:after="0" w:line="480" w:lineRule="auto"/>
        <w:ind w:left="720" w:hanging="720"/>
        <w:jc w:val="both"/>
        <w:rPr>
          <w:rFonts w:ascii="Times New Roman" w:hAnsi="Times New Roman" w:cs="Times New Roman"/>
          <w:color w:val="222222"/>
          <w:sz w:val="24"/>
          <w:szCs w:val="24"/>
          <w:shd w:val="clear" w:color="auto" w:fill="FFFFFF"/>
        </w:rPr>
      </w:pPr>
      <w:r w:rsidRPr="008219D8">
        <w:rPr>
          <w:rFonts w:ascii="Times New Roman" w:hAnsi="Times New Roman" w:cs="Times New Roman"/>
          <w:color w:val="222222"/>
          <w:sz w:val="24"/>
          <w:szCs w:val="24"/>
          <w:shd w:val="clear" w:color="auto" w:fill="FFFFFF"/>
        </w:rPr>
        <w:t>S</w:t>
      </w:r>
      <w:r w:rsidRPr="008219D8">
        <w:rPr>
          <w:rFonts w:ascii="Times New Roman" w:hAnsi="Times New Roman" w:cs="Times New Roman"/>
          <w:color w:val="222222"/>
          <w:sz w:val="24"/>
          <w:szCs w:val="24"/>
          <w:shd w:val="clear" w:color="auto" w:fill="FFFFFF"/>
        </w:rPr>
        <w:t>ahebrao</w:t>
      </w:r>
      <w:r w:rsidRPr="008219D8">
        <w:rPr>
          <w:rFonts w:ascii="Times New Roman" w:hAnsi="Times New Roman" w:cs="Times New Roman"/>
          <w:color w:val="222222"/>
          <w:sz w:val="24"/>
          <w:szCs w:val="24"/>
          <w:shd w:val="clear" w:color="auto" w:fill="FFFFFF"/>
        </w:rPr>
        <w:t>, D. P. (2016). </w:t>
      </w:r>
      <w:r w:rsidRPr="008219D8">
        <w:rPr>
          <w:rFonts w:ascii="Times New Roman" w:hAnsi="Times New Roman" w:cs="Times New Roman"/>
          <w:i/>
          <w:iCs/>
          <w:color w:val="222222"/>
          <w:sz w:val="24"/>
          <w:szCs w:val="24"/>
          <w:shd w:val="clear" w:color="auto" w:fill="FFFFFF"/>
        </w:rPr>
        <w:t>Optimization Of Anesthetic Protocol For Castration In Buck</w:t>
      </w:r>
      <w:r w:rsidRPr="008219D8">
        <w:rPr>
          <w:rFonts w:ascii="Times New Roman" w:hAnsi="Times New Roman" w:cs="Times New Roman"/>
          <w:color w:val="222222"/>
          <w:sz w:val="24"/>
          <w:szCs w:val="24"/>
          <w:shd w:val="clear" w:color="auto" w:fill="FFFFFF"/>
        </w:rPr>
        <w:t> (Doctoral Dissertation, Maharashtra Animal And Fishery Sciences University).</w:t>
      </w:r>
    </w:p>
    <w:p w14:paraId="380C558E" w14:textId="3F3456EF" w:rsidR="00B2376E" w:rsidRPr="00486A57" w:rsidRDefault="00B2376E" w:rsidP="007937FF">
      <w:pPr>
        <w:spacing w:after="0" w:line="480" w:lineRule="auto"/>
        <w:ind w:left="720" w:hanging="720"/>
        <w:jc w:val="both"/>
        <w:rPr>
          <w:rFonts w:ascii="Times New Roman" w:hAnsi="Times New Roman" w:cs="Times New Roman"/>
          <w:color w:val="222222"/>
          <w:sz w:val="24"/>
          <w:szCs w:val="24"/>
          <w:shd w:val="clear" w:color="auto" w:fill="FFFFFF"/>
        </w:rPr>
      </w:pPr>
      <w:r w:rsidRPr="00486A57">
        <w:rPr>
          <w:rFonts w:ascii="Times New Roman" w:hAnsi="Times New Roman" w:cs="Times New Roman"/>
          <w:color w:val="222222"/>
          <w:sz w:val="24"/>
          <w:szCs w:val="24"/>
          <w:shd w:val="clear" w:color="auto" w:fill="FFFFFF"/>
        </w:rPr>
        <w:t>Samuel, M. M. (2019). Examination of the Emerging Trends of Drug Abuse among Youths in Nasarawa State, Nigeria. </w:t>
      </w:r>
      <w:r w:rsidRPr="00486A57">
        <w:rPr>
          <w:rFonts w:ascii="Times New Roman" w:hAnsi="Times New Roman" w:cs="Times New Roman"/>
          <w:i/>
          <w:iCs/>
          <w:color w:val="222222"/>
          <w:sz w:val="24"/>
          <w:szCs w:val="24"/>
          <w:shd w:val="clear" w:color="auto" w:fill="FFFFFF"/>
        </w:rPr>
        <w:t>International Journal of Intellectual Discourse</w:t>
      </w:r>
      <w:r w:rsidRPr="00486A57">
        <w:rPr>
          <w:rFonts w:ascii="Times New Roman" w:hAnsi="Times New Roman" w:cs="Times New Roman"/>
          <w:color w:val="222222"/>
          <w:sz w:val="24"/>
          <w:szCs w:val="24"/>
          <w:shd w:val="clear" w:color="auto" w:fill="FFFFFF"/>
        </w:rPr>
        <w:t>, </w:t>
      </w:r>
      <w:r w:rsidRPr="00486A57">
        <w:rPr>
          <w:rFonts w:ascii="Times New Roman" w:hAnsi="Times New Roman" w:cs="Times New Roman"/>
          <w:i/>
          <w:iCs/>
          <w:color w:val="222222"/>
          <w:sz w:val="24"/>
          <w:szCs w:val="24"/>
          <w:shd w:val="clear" w:color="auto" w:fill="FFFFFF"/>
        </w:rPr>
        <w:t>2</w:t>
      </w:r>
      <w:r w:rsidRPr="00486A57">
        <w:rPr>
          <w:rFonts w:ascii="Times New Roman" w:hAnsi="Times New Roman" w:cs="Times New Roman"/>
          <w:color w:val="222222"/>
          <w:sz w:val="24"/>
          <w:szCs w:val="24"/>
          <w:shd w:val="clear" w:color="auto" w:fill="FFFFFF"/>
        </w:rPr>
        <w:t>(2), 356-367.</w:t>
      </w:r>
    </w:p>
    <w:p w14:paraId="3D38CE5C" w14:textId="77777777" w:rsidR="005322BD" w:rsidRPr="007937FF" w:rsidRDefault="005322BD" w:rsidP="007937FF">
      <w:pPr>
        <w:spacing w:after="0" w:line="480" w:lineRule="auto"/>
        <w:ind w:left="720" w:hanging="720"/>
        <w:jc w:val="both"/>
        <w:rPr>
          <w:rFonts w:ascii="Times New Roman" w:hAnsi="Times New Roman" w:cs="Times New Roman"/>
          <w:color w:val="222222"/>
          <w:sz w:val="24"/>
          <w:szCs w:val="24"/>
          <w:shd w:val="clear" w:color="auto" w:fill="FFFFFF"/>
        </w:rPr>
      </w:pPr>
      <w:r w:rsidRPr="007937FF">
        <w:rPr>
          <w:rFonts w:ascii="Times New Roman" w:hAnsi="Times New Roman" w:cs="Times New Roman"/>
          <w:color w:val="222222"/>
          <w:sz w:val="24"/>
          <w:szCs w:val="24"/>
          <w:shd w:val="clear" w:color="auto" w:fill="FFFFFF"/>
        </w:rPr>
        <w:t>Sayed, J. A., Abd Elshafy, S. K., Kamel, E. Z., Riad, M. A. F., Mahmoud, A. A., &amp; Khalaf, G. S. (2018). The impact of caudally administrated tramadol on immune response and analgesic efficacy for pediatric patients: a comparative randomized clinical trial. </w:t>
      </w:r>
      <w:r w:rsidRPr="007937FF">
        <w:rPr>
          <w:rFonts w:ascii="Times New Roman" w:hAnsi="Times New Roman" w:cs="Times New Roman"/>
          <w:i/>
          <w:iCs/>
          <w:color w:val="222222"/>
          <w:sz w:val="24"/>
          <w:szCs w:val="24"/>
          <w:shd w:val="clear" w:color="auto" w:fill="FFFFFF"/>
        </w:rPr>
        <w:t>The Korean journal of pain</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31</w:t>
      </w:r>
      <w:r w:rsidRPr="007937FF">
        <w:rPr>
          <w:rFonts w:ascii="Times New Roman" w:hAnsi="Times New Roman" w:cs="Times New Roman"/>
          <w:color w:val="222222"/>
          <w:sz w:val="24"/>
          <w:szCs w:val="24"/>
          <w:shd w:val="clear" w:color="auto" w:fill="FFFFFF"/>
        </w:rPr>
        <w:t>(3), 206-214.</w:t>
      </w:r>
    </w:p>
    <w:p w14:paraId="47517ECE" w14:textId="77777777" w:rsidR="005322BD" w:rsidRPr="007937FF" w:rsidRDefault="005322BD" w:rsidP="007937FF">
      <w:pPr>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color w:val="222222"/>
          <w:sz w:val="24"/>
          <w:szCs w:val="24"/>
          <w:shd w:val="clear" w:color="auto" w:fill="FFFFFF"/>
        </w:rPr>
        <w:t>Schelde, A. B., Sørensen, A. M. S., Hindsø, M., Christensen, M. B., Jimenez-Solem, E., &amp; Eriksson, R. (2020). Sex and age differences among tramadol users in three Nordic countries. </w:t>
      </w:r>
      <w:r w:rsidRPr="007937FF">
        <w:rPr>
          <w:rFonts w:ascii="Times New Roman" w:hAnsi="Times New Roman" w:cs="Times New Roman"/>
          <w:i/>
          <w:iCs/>
          <w:color w:val="222222"/>
          <w:sz w:val="24"/>
          <w:szCs w:val="24"/>
          <w:shd w:val="clear" w:color="auto" w:fill="FFFFFF"/>
        </w:rPr>
        <w:t>Dan Med J</w:t>
      </w:r>
      <w:r w:rsidRPr="007937FF">
        <w:rPr>
          <w:rFonts w:ascii="Times New Roman" w:hAnsi="Times New Roman" w:cs="Times New Roman"/>
          <w:color w:val="222222"/>
          <w:sz w:val="24"/>
          <w:szCs w:val="24"/>
          <w:shd w:val="clear" w:color="auto" w:fill="FFFFFF"/>
        </w:rPr>
        <w:t>, </w:t>
      </w:r>
      <w:r w:rsidRPr="007937FF">
        <w:rPr>
          <w:rFonts w:ascii="Times New Roman" w:hAnsi="Times New Roman" w:cs="Times New Roman"/>
          <w:i/>
          <w:iCs/>
          <w:color w:val="222222"/>
          <w:sz w:val="24"/>
          <w:szCs w:val="24"/>
          <w:shd w:val="clear" w:color="auto" w:fill="FFFFFF"/>
        </w:rPr>
        <w:t>67</w:t>
      </w:r>
      <w:r w:rsidRPr="007937FF">
        <w:rPr>
          <w:rFonts w:ascii="Times New Roman" w:hAnsi="Times New Roman" w:cs="Times New Roman"/>
          <w:color w:val="222222"/>
          <w:sz w:val="24"/>
          <w:szCs w:val="24"/>
          <w:shd w:val="clear" w:color="auto" w:fill="FFFFFF"/>
        </w:rPr>
        <w:t>(7), A06190336.</w:t>
      </w:r>
    </w:p>
    <w:p w14:paraId="1C7A8772" w14:textId="77777777" w:rsidR="005322BD" w:rsidRPr="007937FF" w:rsidRDefault="005322BD" w:rsidP="007937FF">
      <w:pPr>
        <w:autoSpaceDE w:val="0"/>
        <w:autoSpaceDN w:val="0"/>
        <w:adjustRightInd w:val="0"/>
        <w:spacing w:after="0" w:line="480" w:lineRule="auto"/>
        <w:jc w:val="both"/>
        <w:rPr>
          <w:rFonts w:ascii="Times New Roman" w:hAnsi="Times New Roman" w:cs="Times New Roman"/>
          <w:sz w:val="24"/>
          <w:szCs w:val="24"/>
        </w:rPr>
      </w:pPr>
      <w:r w:rsidRPr="007937FF">
        <w:rPr>
          <w:rFonts w:ascii="Times New Roman" w:hAnsi="Times New Roman" w:cs="Times New Roman"/>
          <w:sz w:val="24"/>
          <w:szCs w:val="24"/>
        </w:rPr>
        <w:t>Shipton, E. A. (2000). Global trends in tramadol use and abuse: A comprehensive review.</w:t>
      </w:r>
    </w:p>
    <w:p w14:paraId="23AAD564" w14:textId="77777777" w:rsidR="005322BD" w:rsidRPr="004C2CA2" w:rsidRDefault="005322BD" w:rsidP="007937FF">
      <w:pPr>
        <w:autoSpaceDE w:val="0"/>
        <w:autoSpaceDN w:val="0"/>
        <w:adjustRightInd w:val="0"/>
        <w:spacing w:after="0" w:line="480" w:lineRule="auto"/>
        <w:ind w:left="720" w:hanging="720"/>
        <w:jc w:val="both"/>
        <w:rPr>
          <w:rFonts w:ascii="Times New Roman" w:hAnsi="Times New Roman" w:cs="Times New Roman"/>
          <w:sz w:val="24"/>
          <w:szCs w:val="24"/>
        </w:rPr>
      </w:pPr>
      <w:r w:rsidRPr="007937FF">
        <w:rPr>
          <w:rFonts w:ascii="Times New Roman" w:hAnsi="Times New Roman" w:cs="Times New Roman"/>
          <w:sz w:val="24"/>
          <w:szCs w:val="24"/>
        </w:rPr>
        <w:t xml:space="preserve">Solarino, M., Rodriguez, A., &amp; Bonito, V. (2010). The role of internet pharmacies in tramadol availability and misuse </w:t>
      </w:r>
      <w:r w:rsidRPr="007937FF">
        <w:rPr>
          <w:rFonts w:ascii="Times New Roman" w:eastAsia="CIDFont+F2" w:hAnsi="Times New Roman" w:cs="Times New Roman"/>
          <w:color w:val="000000"/>
          <w:kern w:val="0"/>
          <w:sz w:val="24"/>
          <w:szCs w:val="24"/>
        </w:rPr>
        <w:t xml:space="preserve">Utilization of fruit seed-based bioactive compounds for formulating the nutraceuticals and functional food: A review. Frontiers in Nutrition, 9: 902554. </w:t>
      </w:r>
      <w:hyperlink r:id="rId9" w:history="1">
        <w:r w:rsidRPr="007937FF">
          <w:rPr>
            <w:rStyle w:val="Hyperlink"/>
            <w:rFonts w:ascii="Times New Roman" w:eastAsia="CIDFont+F2" w:hAnsi="Times New Roman" w:cs="Times New Roman"/>
            <w:kern w:val="0"/>
            <w:sz w:val="24"/>
            <w:szCs w:val="24"/>
          </w:rPr>
          <w:t>https://doi.org/10.3389/fnut. 2022.902554</w:t>
        </w:r>
      </w:hyperlink>
    </w:p>
    <w:p w14:paraId="4F90D0AE" w14:textId="3223B4F0" w:rsidR="004C2CA2" w:rsidRPr="004C2CA2" w:rsidRDefault="004C2CA2" w:rsidP="00D34E1C">
      <w:pPr>
        <w:spacing w:after="0" w:line="480" w:lineRule="auto"/>
        <w:ind w:left="720" w:hanging="720"/>
        <w:jc w:val="both"/>
        <w:rPr>
          <w:rFonts w:ascii="Times New Roman" w:hAnsi="Times New Roman" w:cs="Times New Roman"/>
          <w:color w:val="222222"/>
          <w:sz w:val="24"/>
          <w:szCs w:val="24"/>
          <w:shd w:val="clear" w:color="auto" w:fill="FFFFFF"/>
        </w:rPr>
      </w:pPr>
      <w:r w:rsidRPr="004C2CA2">
        <w:rPr>
          <w:rFonts w:ascii="Times New Roman" w:hAnsi="Times New Roman" w:cs="Times New Roman"/>
          <w:color w:val="222222"/>
          <w:sz w:val="24"/>
          <w:szCs w:val="24"/>
          <w:shd w:val="clear" w:color="auto" w:fill="FFFFFF"/>
        </w:rPr>
        <w:t>Toufique, S. E. I. D. U. (2022). </w:t>
      </w:r>
      <w:r w:rsidRPr="003513DC">
        <w:rPr>
          <w:rFonts w:ascii="Times New Roman" w:hAnsi="Times New Roman" w:cs="Times New Roman"/>
          <w:iCs/>
          <w:color w:val="222222"/>
          <w:sz w:val="24"/>
          <w:szCs w:val="24"/>
          <w:shd w:val="clear" w:color="auto" w:fill="FFFFFF"/>
        </w:rPr>
        <w:t>Factors influencing the abuse of tramadol among tricycle (Yeloyelo) drivers in the Tamale metropolis</w:t>
      </w:r>
      <w:r w:rsidRPr="004C2CA2">
        <w:rPr>
          <w:rFonts w:ascii="Times New Roman" w:hAnsi="Times New Roman" w:cs="Times New Roman"/>
          <w:color w:val="222222"/>
          <w:sz w:val="24"/>
          <w:szCs w:val="24"/>
          <w:shd w:val="clear" w:color="auto" w:fill="FFFFFF"/>
        </w:rPr>
        <w:t> (Doctoral dissertation).</w:t>
      </w:r>
    </w:p>
    <w:p w14:paraId="6BC920E9" w14:textId="395E76D9" w:rsidR="005175FF" w:rsidRPr="00D34E1C" w:rsidRDefault="00D34E1C" w:rsidP="00D34E1C">
      <w:pPr>
        <w:spacing w:after="0" w:line="480" w:lineRule="auto"/>
        <w:ind w:left="720" w:hanging="720"/>
        <w:jc w:val="both"/>
        <w:rPr>
          <w:rFonts w:ascii="Times New Roman" w:hAnsi="Times New Roman" w:cs="Times New Roman"/>
          <w:sz w:val="24"/>
          <w:szCs w:val="24"/>
        </w:rPr>
      </w:pPr>
      <w:r w:rsidRPr="00D34E1C">
        <w:rPr>
          <w:rFonts w:ascii="Times New Roman" w:hAnsi="Times New Roman" w:cs="Times New Roman"/>
          <w:color w:val="222222"/>
          <w:sz w:val="24"/>
          <w:szCs w:val="24"/>
          <w:shd w:val="clear" w:color="auto" w:fill="FFFFFF"/>
        </w:rPr>
        <w:t>Wardrop, K. J., &amp; Brooks, M. (2016). Plasma products. </w:t>
      </w:r>
      <w:r w:rsidRPr="00D34E1C">
        <w:rPr>
          <w:rFonts w:ascii="Times New Roman" w:hAnsi="Times New Roman" w:cs="Times New Roman"/>
          <w:i/>
          <w:iCs/>
          <w:color w:val="222222"/>
          <w:sz w:val="24"/>
          <w:szCs w:val="24"/>
          <w:shd w:val="clear" w:color="auto" w:fill="FFFFFF"/>
        </w:rPr>
        <w:t>Manual of Veterinary Transfusion Medicine and Blood Banking</w:t>
      </w:r>
      <w:r w:rsidRPr="00D34E1C">
        <w:rPr>
          <w:rFonts w:ascii="Times New Roman" w:hAnsi="Times New Roman" w:cs="Times New Roman"/>
          <w:color w:val="222222"/>
          <w:sz w:val="24"/>
          <w:szCs w:val="24"/>
          <w:shd w:val="clear" w:color="auto" w:fill="FFFFFF"/>
        </w:rPr>
        <w:t>, 43-54.</w:t>
      </w:r>
    </w:p>
    <w:p w14:paraId="1E0084B5" w14:textId="77777777" w:rsidR="008149F4" w:rsidRPr="007937FF" w:rsidRDefault="008149F4" w:rsidP="007937FF">
      <w:pPr>
        <w:spacing w:after="0" w:line="480" w:lineRule="auto"/>
        <w:jc w:val="both"/>
        <w:rPr>
          <w:rFonts w:ascii="Times New Roman" w:hAnsi="Times New Roman" w:cs="Times New Roman"/>
          <w:sz w:val="24"/>
          <w:szCs w:val="24"/>
        </w:rPr>
      </w:pPr>
    </w:p>
    <w:p w14:paraId="14EFC330" w14:textId="77777777" w:rsidR="008149F4" w:rsidRPr="007937FF" w:rsidRDefault="008149F4" w:rsidP="007937FF">
      <w:pPr>
        <w:autoSpaceDE w:val="0"/>
        <w:autoSpaceDN w:val="0"/>
        <w:adjustRightInd w:val="0"/>
        <w:spacing w:after="0" w:line="480" w:lineRule="auto"/>
        <w:jc w:val="both"/>
        <w:rPr>
          <w:rFonts w:ascii="Times New Roman" w:eastAsia="CIDFont+F2" w:hAnsi="Times New Roman" w:cs="Times New Roman"/>
          <w:kern w:val="0"/>
          <w:sz w:val="24"/>
          <w:szCs w:val="24"/>
        </w:rPr>
      </w:pPr>
    </w:p>
    <w:sectPr w:rsidR="008149F4" w:rsidRPr="007937F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E30CB" w14:textId="77777777" w:rsidR="00B27AB5" w:rsidRDefault="00B27AB5" w:rsidP="00C1538A">
      <w:pPr>
        <w:spacing w:after="0" w:line="240" w:lineRule="auto"/>
      </w:pPr>
      <w:r>
        <w:separator/>
      </w:r>
    </w:p>
  </w:endnote>
  <w:endnote w:type="continuationSeparator" w:id="0">
    <w:p w14:paraId="34BEC29E" w14:textId="77777777" w:rsidR="00B27AB5" w:rsidRDefault="00B27AB5" w:rsidP="00C1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0A6D5" w14:textId="77777777" w:rsidR="009C54CF" w:rsidRDefault="009C54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461313"/>
      <w:docPartObj>
        <w:docPartGallery w:val="Page Numbers (Bottom of Page)"/>
        <w:docPartUnique/>
      </w:docPartObj>
    </w:sdtPr>
    <w:sdtEndPr>
      <w:rPr>
        <w:noProof/>
      </w:rPr>
    </w:sdtEndPr>
    <w:sdtContent>
      <w:p w14:paraId="2C4F7016" w14:textId="77777777" w:rsidR="009C54CF" w:rsidRDefault="009C54CF">
        <w:pPr>
          <w:pStyle w:val="Footer"/>
          <w:jc w:val="center"/>
        </w:pPr>
        <w:r>
          <w:fldChar w:fldCharType="begin"/>
        </w:r>
        <w:r>
          <w:instrText xml:space="preserve"> PAGE   \* MERGEFORMAT </w:instrText>
        </w:r>
        <w:r>
          <w:fldChar w:fldCharType="separate"/>
        </w:r>
        <w:r w:rsidR="00DC595E">
          <w:rPr>
            <w:noProof/>
          </w:rPr>
          <w:t>11</w:t>
        </w:r>
        <w:r>
          <w:rPr>
            <w:noProof/>
          </w:rPr>
          <w:fldChar w:fldCharType="end"/>
        </w:r>
      </w:p>
    </w:sdtContent>
  </w:sdt>
  <w:p w14:paraId="7E8BCDBC" w14:textId="77777777" w:rsidR="009C54CF" w:rsidRDefault="009C54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88C85" w14:textId="77777777" w:rsidR="009C54CF" w:rsidRDefault="009C54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C1238" w14:textId="77777777" w:rsidR="00B27AB5" w:rsidRDefault="00B27AB5" w:rsidP="00C1538A">
      <w:pPr>
        <w:spacing w:after="0" w:line="240" w:lineRule="auto"/>
      </w:pPr>
      <w:r>
        <w:separator/>
      </w:r>
    </w:p>
  </w:footnote>
  <w:footnote w:type="continuationSeparator" w:id="0">
    <w:p w14:paraId="6CA6A0AE" w14:textId="77777777" w:rsidR="00B27AB5" w:rsidRDefault="00B27AB5" w:rsidP="00C15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D3E15" w14:textId="2DA15BC2" w:rsidR="009C54CF" w:rsidRDefault="00B27AB5">
    <w:pPr>
      <w:pStyle w:val="Header"/>
    </w:pPr>
    <w:r>
      <w:rPr>
        <w:noProof/>
      </w:rPr>
      <w:pict w14:anchorId="197B6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98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5E445" w14:textId="4FB3B61E" w:rsidR="009C54CF" w:rsidRDefault="00B27AB5" w:rsidP="003D67CC">
    <w:pPr>
      <w:pStyle w:val="Header"/>
    </w:pPr>
    <w:r>
      <w:rPr>
        <w:noProof/>
      </w:rPr>
      <w:pict w14:anchorId="7763E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98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275485436"/>
      <w:docPartObj>
        <w:docPartGallery w:val="Page Numbers (Top of Page)"/>
        <w:docPartUnique/>
      </w:docPartObj>
    </w:sdtPr>
    <w:sdtEndPr>
      <w:rPr>
        <w:noProof/>
      </w:rPr>
    </w:sdtEndPr>
    <w:sdtContent>
      <w:p w14:paraId="7750255B" w14:textId="77777777" w:rsidR="009C54CF" w:rsidRDefault="00B27AB5" w:rsidP="003D67CC">
        <w:pPr>
          <w:pStyle w:val="Header"/>
        </w:pPr>
      </w:p>
    </w:sdtContent>
  </w:sdt>
  <w:p w14:paraId="4003141E" w14:textId="77777777" w:rsidR="009C54CF" w:rsidRDefault="009C54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0613" w14:textId="72FB20BA" w:rsidR="009C54CF" w:rsidRDefault="00B27AB5">
    <w:pPr>
      <w:pStyle w:val="Header"/>
    </w:pPr>
    <w:r>
      <w:rPr>
        <w:noProof/>
      </w:rPr>
      <w:pict w14:anchorId="62305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98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75"/>
    <w:rsid w:val="00007E25"/>
    <w:rsid w:val="00016E27"/>
    <w:rsid w:val="00054DB0"/>
    <w:rsid w:val="000669A9"/>
    <w:rsid w:val="000A43CF"/>
    <w:rsid w:val="000B5208"/>
    <w:rsid w:val="00112915"/>
    <w:rsid w:val="001145B7"/>
    <w:rsid w:val="0012284D"/>
    <w:rsid w:val="00131278"/>
    <w:rsid w:val="00144CA0"/>
    <w:rsid w:val="00152A7A"/>
    <w:rsid w:val="00157F20"/>
    <w:rsid w:val="0017136E"/>
    <w:rsid w:val="001F3531"/>
    <w:rsid w:val="00216E15"/>
    <w:rsid w:val="00227372"/>
    <w:rsid w:val="00252A9D"/>
    <w:rsid w:val="00267E2C"/>
    <w:rsid w:val="00272811"/>
    <w:rsid w:val="002859A5"/>
    <w:rsid w:val="00296CA9"/>
    <w:rsid w:val="002A2FEA"/>
    <w:rsid w:val="002A4D0B"/>
    <w:rsid w:val="002B3810"/>
    <w:rsid w:val="002B659E"/>
    <w:rsid w:val="002D7AA1"/>
    <w:rsid w:val="002F75C0"/>
    <w:rsid w:val="00311C94"/>
    <w:rsid w:val="003264CE"/>
    <w:rsid w:val="00331BDC"/>
    <w:rsid w:val="0033758F"/>
    <w:rsid w:val="00346367"/>
    <w:rsid w:val="003513DC"/>
    <w:rsid w:val="00352579"/>
    <w:rsid w:val="00352649"/>
    <w:rsid w:val="00374CD4"/>
    <w:rsid w:val="00380771"/>
    <w:rsid w:val="00394958"/>
    <w:rsid w:val="003A2057"/>
    <w:rsid w:val="003A328C"/>
    <w:rsid w:val="003C4C75"/>
    <w:rsid w:val="003D67CC"/>
    <w:rsid w:val="00422B64"/>
    <w:rsid w:val="004261B0"/>
    <w:rsid w:val="00467474"/>
    <w:rsid w:val="00486A57"/>
    <w:rsid w:val="004921EA"/>
    <w:rsid w:val="004C2CA2"/>
    <w:rsid w:val="004E3172"/>
    <w:rsid w:val="004E7785"/>
    <w:rsid w:val="004F0226"/>
    <w:rsid w:val="005175FF"/>
    <w:rsid w:val="005322BD"/>
    <w:rsid w:val="00546B89"/>
    <w:rsid w:val="005510B3"/>
    <w:rsid w:val="00553327"/>
    <w:rsid w:val="00554743"/>
    <w:rsid w:val="00556669"/>
    <w:rsid w:val="00576B0D"/>
    <w:rsid w:val="005D02BC"/>
    <w:rsid w:val="005D0FEE"/>
    <w:rsid w:val="005D1B25"/>
    <w:rsid w:val="00605C36"/>
    <w:rsid w:val="00651F47"/>
    <w:rsid w:val="006759FE"/>
    <w:rsid w:val="006B14C9"/>
    <w:rsid w:val="006B281C"/>
    <w:rsid w:val="006B59EA"/>
    <w:rsid w:val="006C48C2"/>
    <w:rsid w:val="006D3975"/>
    <w:rsid w:val="006D5C73"/>
    <w:rsid w:val="006E41EC"/>
    <w:rsid w:val="007171EE"/>
    <w:rsid w:val="00747D2B"/>
    <w:rsid w:val="007734A1"/>
    <w:rsid w:val="007838D3"/>
    <w:rsid w:val="007937FF"/>
    <w:rsid w:val="007A32A7"/>
    <w:rsid w:val="007A4974"/>
    <w:rsid w:val="008149F4"/>
    <w:rsid w:val="008219D8"/>
    <w:rsid w:val="00835498"/>
    <w:rsid w:val="00836346"/>
    <w:rsid w:val="008436DB"/>
    <w:rsid w:val="0085373C"/>
    <w:rsid w:val="00873ED8"/>
    <w:rsid w:val="00876C85"/>
    <w:rsid w:val="008A36E8"/>
    <w:rsid w:val="008B2C40"/>
    <w:rsid w:val="008B7DF9"/>
    <w:rsid w:val="008D3CE8"/>
    <w:rsid w:val="008D7738"/>
    <w:rsid w:val="00920B2C"/>
    <w:rsid w:val="00923451"/>
    <w:rsid w:val="00944FB7"/>
    <w:rsid w:val="00954AA3"/>
    <w:rsid w:val="00966FC5"/>
    <w:rsid w:val="0098270B"/>
    <w:rsid w:val="009A4FCE"/>
    <w:rsid w:val="009C54CF"/>
    <w:rsid w:val="009E0B60"/>
    <w:rsid w:val="00A30C5F"/>
    <w:rsid w:val="00A31C87"/>
    <w:rsid w:val="00A60480"/>
    <w:rsid w:val="00A60FC2"/>
    <w:rsid w:val="00A65166"/>
    <w:rsid w:val="00A676BA"/>
    <w:rsid w:val="00A67786"/>
    <w:rsid w:val="00A85B5B"/>
    <w:rsid w:val="00AB58BA"/>
    <w:rsid w:val="00AB7057"/>
    <w:rsid w:val="00AE217C"/>
    <w:rsid w:val="00AF29A6"/>
    <w:rsid w:val="00B14C4D"/>
    <w:rsid w:val="00B14FAF"/>
    <w:rsid w:val="00B1650C"/>
    <w:rsid w:val="00B2376E"/>
    <w:rsid w:val="00B27AB5"/>
    <w:rsid w:val="00B927DB"/>
    <w:rsid w:val="00BB5A78"/>
    <w:rsid w:val="00BD1E94"/>
    <w:rsid w:val="00BE4214"/>
    <w:rsid w:val="00BE53EB"/>
    <w:rsid w:val="00BF16CD"/>
    <w:rsid w:val="00C1538A"/>
    <w:rsid w:val="00CA50D6"/>
    <w:rsid w:val="00CB770C"/>
    <w:rsid w:val="00CE02BE"/>
    <w:rsid w:val="00D14CA2"/>
    <w:rsid w:val="00D153B8"/>
    <w:rsid w:val="00D16FC0"/>
    <w:rsid w:val="00D323DF"/>
    <w:rsid w:val="00D34E1C"/>
    <w:rsid w:val="00D35E1B"/>
    <w:rsid w:val="00D42429"/>
    <w:rsid w:val="00D44CEA"/>
    <w:rsid w:val="00D63EE2"/>
    <w:rsid w:val="00D824F2"/>
    <w:rsid w:val="00D92224"/>
    <w:rsid w:val="00D95237"/>
    <w:rsid w:val="00DB48C8"/>
    <w:rsid w:val="00DC595E"/>
    <w:rsid w:val="00DF2D79"/>
    <w:rsid w:val="00E0127B"/>
    <w:rsid w:val="00E14563"/>
    <w:rsid w:val="00E2498D"/>
    <w:rsid w:val="00E36067"/>
    <w:rsid w:val="00E36BDD"/>
    <w:rsid w:val="00E52B58"/>
    <w:rsid w:val="00E640C4"/>
    <w:rsid w:val="00EE52FE"/>
    <w:rsid w:val="00F143E6"/>
    <w:rsid w:val="00F55D83"/>
    <w:rsid w:val="00F562E0"/>
    <w:rsid w:val="00F74B6F"/>
    <w:rsid w:val="00FA3558"/>
    <w:rsid w:val="00FC4F37"/>
    <w:rsid w:val="00FD63A7"/>
    <w:rsid w:val="00FD7CA5"/>
    <w:rsid w:val="00FE1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6D8586"/>
  <w15:chartTrackingRefBased/>
  <w15:docId w15:val="{CAE744EC-D49B-4A11-90C8-6D32839C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4CA0"/>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38A"/>
  </w:style>
  <w:style w:type="paragraph" w:styleId="Footer">
    <w:name w:val="footer"/>
    <w:basedOn w:val="Normal"/>
    <w:link w:val="FooterChar"/>
    <w:uiPriority w:val="99"/>
    <w:unhideWhenUsed/>
    <w:rsid w:val="00C15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38A"/>
  </w:style>
  <w:style w:type="paragraph" w:customStyle="1" w:styleId="Default">
    <w:name w:val="Default"/>
    <w:rsid w:val="00E640C4"/>
    <w:pPr>
      <w:autoSpaceDE w:val="0"/>
      <w:autoSpaceDN w:val="0"/>
      <w:adjustRightInd w:val="0"/>
      <w:spacing w:after="0" w:line="240" w:lineRule="auto"/>
    </w:pPr>
    <w:rPr>
      <w:rFonts w:ascii="Arial" w:hAnsi="Arial" w:cs="Arial"/>
      <w:color w:val="000000"/>
      <w:kern w:val="0"/>
      <w:sz w:val="24"/>
      <w:szCs w:val="24"/>
    </w:rPr>
  </w:style>
  <w:style w:type="character" w:customStyle="1" w:styleId="Heading1Char">
    <w:name w:val="Heading 1 Char"/>
    <w:basedOn w:val="DefaultParagraphFont"/>
    <w:link w:val="Heading1"/>
    <w:uiPriority w:val="9"/>
    <w:rsid w:val="00144CA0"/>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8149F4"/>
    <w:pPr>
      <w:spacing w:after="0" w:line="240" w:lineRule="auto"/>
    </w:pPr>
    <w:rPr>
      <w:rFonts w:eastAsiaTheme="minorEastAsia"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2A9D"/>
    <w:rPr>
      <w:color w:val="0563C1" w:themeColor="hyperlink"/>
      <w:u w:val="single"/>
    </w:rPr>
  </w:style>
  <w:style w:type="character" w:customStyle="1" w:styleId="UnresolvedMention1">
    <w:name w:val="Unresolved Mention1"/>
    <w:basedOn w:val="DefaultParagraphFont"/>
    <w:uiPriority w:val="99"/>
    <w:semiHidden/>
    <w:unhideWhenUsed/>
    <w:rsid w:val="00252A9D"/>
    <w:rPr>
      <w:color w:val="605E5C"/>
      <w:shd w:val="clear" w:color="auto" w:fill="E1DFDD"/>
    </w:rPr>
  </w:style>
  <w:style w:type="paragraph" w:styleId="ListParagraph">
    <w:name w:val="List Paragraph"/>
    <w:basedOn w:val="Normal"/>
    <w:uiPriority w:val="34"/>
    <w:qFormat/>
    <w:rsid w:val="00F55D83"/>
    <w:pPr>
      <w:ind w:left="720"/>
      <w:contextualSpacing/>
    </w:pPr>
  </w:style>
  <w:style w:type="character" w:customStyle="1" w:styleId="UnresolvedMention">
    <w:name w:val="Unresolved Mention"/>
    <w:basedOn w:val="DefaultParagraphFont"/>
    <w:uiPriority w:val="99"/>
    <w:semiHidden/>
    <w:unhideWhenUsed/>
    <w:rsid w:val="00576B0D"/>
    <w:rPr>
      <w:color w:val="605E5C"/>
      <w:shd w:val="clear" w:color="auto" w:fill="E1DFDD"/>
    </w:rPr>
  </w:style>
  <w:style w:type="paragraph" w:styleId="NormalWeb">
    <w:name w:val="Normal (Web)"/>
    <w:basedOn w:val="Normal"/>
    <w:uiPriority w:val="99"/>
    <w:unhideWhenUsed/>
    <w:rsid w:val="003807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80771"/>
    <w:rPr>
      <w:i/>
      <w:iCs/>
    </w:rPr>
  </w:style>
  <w:style w:type="character" w:styleId="Strong">
    <w:name w:val="Strong"/>
    <w:basedOn w:val="DefaultParagraphFont"/>
    <w:uiPriority w:val="22"/>
    <w:qFormat/>
    <w:rsid w:val="003807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6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3389/fnut.%202022.902554"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1421</TotalTime>
  <Pages>16</Pages>
  <Words>3405</Words>
  <Characters>19412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Jashilagari Stephen</dc:creator>
  <cp:keywords/>
  <dc:description/>
  <cp:lastModifiedBy>ASUS</cp:lastModifiedBy>
  <cp:revision>26</cp:revision>
  <dcterms:created xsi:type="dcterms:W3CDTF">2025-05-06T12:18:00Z</dcterms:created>
  <dcterms:modified xsi:type="dcterms:W3CDTF">2025-05-11T11:35:00Z</dcterms:modified>
</cp:coreProperties>
</file>