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A2CF92" w14:textId="77777777" w:rsidR="00564312" w:rsidRPr="00564312" w:rsidRDefault="00564312" w:rsidP="0018348E">
      <w:pPr>
        <w:spacing w:after="0" w:line="240" w:lineRule="auto"/>
        <w:contextualSpacing/>
        <w:jc w:val="center"/>
        <w:rPr>
          <w:rFonts w:ascii="Arial" w:eastAsia="Times New Roman" w:hAnsi="Arial" w:cs="Arial"/>
          <w:b/>
          <w:i/>
          <w:sz w:val="16"/>
          <w:szCs w:val="20"/>
        </w:rPr>
      </w:pPr>
    </w:p>
    <w:p w14:paraId="55020F5F" w14:textId="77777777" w:rsidR="00DE68B2" w:rsidRPr="0018348E" w:rsidRDefault="0055259F" w:rsidP="00DE68B2">
      <w:pPr>
        <w:spacing w:after="0" w:line="240" w:lineRule="auto"/>
        <w:jc w:val="right"/>
        <w:rPr>
          <w:rFonts w:ascii="Arial" w:eastAsia="Times New Roman" w:hAnsi="Arial" w:cs="Arial"/>
          <w:b/>
          <w:bCs/>
          <w:kern w:val="28"/>
          <w:sz w:val="12"/>
          <w:szCs w:val="20"/>
        </w:rPr>
      </w:pPr>
      <w:r>
        <w:rPr>
          <w:rFonts w:ascii="Arial" w:eastAsia="Times New Roman" w:hAnsi="Arial" w:cs="Arial"/>
          <w:sz w:val="12"/>
          <w:szCs w:val="20"/>
        </w:rPr>
      </w:r>
      <w:r>
        <w:rPr>
          <w:rFonts w:ascii="Arial" w:eastAsia="Times New Roman" w:hAnsi="Arial" w:cs="Arial"/>
          <w:sz w:val="12"/>
          <w:szCs w:val="20"/>
        </w:rPr>
        <w:pict w14:anchorId="00EFC191">
          <v:shapetype id="_x0000_t32" coordsize="21600,21600" o:spt="32" o:oned="t" path="m,l21600,21600e" filled="f">
            <v:path arrowok="t" fillok="f" o:connecttype="none"/>
            <o:lock v:ext="edit" shapetype="t"/>
          </v:shapetype>
          <v:shape id="_x0000_s1274" type="#_x0000_t32" style="width:450.7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4B14889A" w14:textId="77777777" w:rsidR="00DE68B2" w:rsidRPr="00DE68B2" w:rsidRDefault="00DE68B2" w:rsidP="005653C2">
      <w:pPr>
        <w:pStyle w:val="Author"/>
        <w:spacing w:line="240" w:lineRule="auto"/>
        <w:rPr>
          <w:rFonts w:ascii="Arial" w:hAnsi="Arial" w:cs="Arial"/>
          <w:bCs/>
          <w:iCs/>
          <w:kern w:val="36"/>
          <w:sz w:val="20"/>
          <w:szCs w:val="22"/>
        </w:rPr>
      </w:pPr>
    </w:p>
    <w:p w14:paraId="6DC954A8" w14:textId="05D9B3D4" w:rsidR="000C2DA5" w:rsidRPr="00481B62" w:rsidRDefault="00C26F16" w:rsidP="00AF7DF7">
      <w:pPr>
        <w:pStyle w:val="Heading1"/>
        <w:rPr>
          <w:rFonts w:eastAsia="Times New Roman"/>
          <w:kern w:val="28"/>
          <w:sz w:val="48"/>
          <w:szCs w:val="48"/>
        </w:rPr>
      </w:pPr>
      <w:bookmarkStart w:id="0" w:name="_GoBack"/>
      <w:bookmarkEnd w:id="0"/>
      <w:r w:rsidRPr="00C26F16">
        <w:rPr>
          <w:rFonts w:eastAsia="Times New Roman"/>
          <w:kern w:val="28"/>
          <w:sz w:val="48"/>
          <w:szCs w:val="48"/>
        </w:rPr>
        <w:t xml:space="preserve">First </w:t>
      </w:r>
      <w:r w:rsidR="004A3B82" w:rsidRPr="00C26F16">
        <w:rPr>
          <w:rFonts w:eastAsia="Times New Roman"/>
          <w:kern w:val="28"/>
          <w:sz w:val="48"/>
          <w:szCs w:val="48"/>
        </w:rPr>
        <w:t xml:space="preserve">Report </w:t>
      </w:r>
      <w:r w:rsidRPr="00C26F16">
        <w:rPr>
          <w:rFonts w:eastAsia="Times New Roman"/>
          <w:kern w:val="28"/>
          <w:sz w:val="48"/>
          <w:szCs w:val="48"/>
        </w:rPr>
        <w:t xml:space="preserve">of Associated Gold </w:t>
      </w:r>
      <w:proofErr w:type="spellStart"/>
      <w:r w:rsidRPr="00C26F16">
        <w:rPr>
          <w:rFonts w:eastAsia="Times New Roman"/>
          <w:kern w:val="28"/>
          <w:sz w:val="48"/>
          <w:szCs w:val="48"/>
        </w:rPr>
        <w:t>Mineralisation</w:t>
      </w:r>
      <w:proofErr w:type="spellEnd"/>
      <w:r w:rsidRPr="00C26F16">
        <w:rPr>
          <w:rFonts w:eastAsia="Times New Roman"/>
          <w:kern w:val="28"/>
          <w:sz w:val="48"/>
          <w:szCs w:val="48"/>
        </w:rPr>
        <w:t xml:space="preserve"> in the </w:t>
      </w:r>
      <w:proofErr w:type="spellStart"/>
      <w:r w:rsidRPr="00C26F16">
        <w:rPr>
          <w:rFonts w:eastAsia="Times New Roman"/>
          <w:kern w:val="28"/>
          <w:sz w:val="48"/>
          <w:szCs w:val="48"/>
        </w:rPr>
        <w:t>Bansiyal</w:t>
      </w:r>
      <w:proofErr w:type="spellEnd"/>
      <w:r w:rsidRPr="00C26F16">
        <w:rPr>
          <w:rFonts w:eastAsia="Times New Roman"/>
          <w:kern w:val="28"/>
          <w:sz w:val="48"/>
          <w:szCs w:val="48"/>
        </w:rPr>
        <w:t xml:space="preserve"> area, Sikar/</w:t>
      </w:r>
      <w:proofErr w:type="spellStart"/>
      <w:r w:rsidRPr="00C26F16">
        <w:rPr>
          <w:rFonts w:eastAsia="Times New Roman"/>
          <w:kern w:val="28"/>
          <w:sz w:val="48"/>
          <w:szCs w:val="48"/>
        </w:rPr>
        <w:t>Jhunjhnun</w:t>
      </w:r>
      <w:proofErr w:type="spellEnd"/>
      <w:r w:rsidRPr="00C26F16">
        <w:rPr>
          <w:rFonts w:eastAsia="Times New Roman"/>
          <w:kern w:val="28"/>
          <w:sz w:val="48"/>
          <w:szCs w:val="48"/>
        </w:rPr>
        <w:t xml:space="preserve"> District, Rajasthan</w:t>
      </w:r>
      <w:r w:rsidR="0055259F">
        <w:rPr>
          <w:rFonts w:eastAsia="Times New Roman"/>
          <w:kern w:val="28"/>
          <w:sz w:val="48"/>
          <w:szCs w:val="48"/>
        </w:rPr>
        <w:t>, India</w:t>
      </w:r>
      <w:r w:rsidRPr="00C26F16">
        <w:rPr>
          <w:rFonts w:eastAsia="Times New Roman"/>
          <w:kern w:val="28"/>
          <w:sz w:val="48"/>
          <w:szCs w:val="48"/>
        </w:rPr>
        <w:t xml:space="preserve">: An IOCG Earth System of </w:t>
      </w:r>
      <w:proofErr w:type="spellStart"/>
      <w:r w:rsidRPr="00C26F16">
        <w:rPr>
          <w:rFonts w:eastAsia="Times New Roman"/>
          <w:kern w:val="28"/>
          <w:sz w:val="48"/>
          <w:szCs w:val="48"/>
        </w:rPr>
        <w:t>Mineralisation</w:t>
      </w:r>
      <w:proofErr w:type="spellEnd"/>
    </w:p>
    <w:p w14:paraId="02E356E7" w14:textId="77777777" w:rsidR="001D4826" w:rsidRPr="002249B2" w:rsidRDefault="0055259F" w:rsidP="005653C2">
      <w:pPr>
        <w:autoSpaceDE w:val="0"/>
        <w:autoSpaceDN w:val="0"/>
        <w:adjustRightInd w:val="0"/>
        <w:spacing w:after="0" w:line="240" w:lineRule="auto"/>
        <w:contextualSpacing/>
        <w:jc w:val="right"/>
        <w:rPr>
          <w:rFonts w:ascii="Arial" w:eastAsia="Times New Roman" w:hAnsi="Arial" w:cs="Arial"/>
          <w:sz w:val="18"/>
          <w:szCs w:val="18"/>
        </w:rPr>
      </w:pPr>
      <w:r>
        <w:rPr>
          <w:rFonts w:ascii="Arial" w:eastAsia="Times New Roman" w:hAnsi="Arial" w:cs="Arial"/>
          <w:sz w:val="24"/>
          <w:szCs w:val="20"/>
        </w:rPr>
      </w:r>
      <w:r>
        <w:rPr>
          <w:rFonts w:ascii="Arial" w:eastAsia="Times New Roman" w:hAnsi="Arial" w:cs="Arial"/>
          <w:sz w:val="24"/>
          <w:szCs w:val="20"/>
        </w:rPr>
        <w:pict w14:anchorId="16F980EC">
          <v:shape id="_x0000_s1273" type="#_x0000_t32" style="width:450.7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66899A7B" w14:textId="77777777" w:rsidR="001D4826" w:rsidRPr="002249B2" w:rsidRDefault="001D4826" w:rsidP="005653C2">
      <w:pPr>
        <w:keepNext/>
        <w:spacing w:after="0" w:line="240" w:lineRule="auto"/>
        <w:contextualSpacing/>
        <w:rPr>
          <w:rFonts w:ascii="Arial" w:eastAsia="Times New Roman" w:hAnsi="Arial" w:cs="Arial"/>
          <w:b/>
          <w:caps/>
          <w:sz w:val="14"/>
          <w:szCs w:val="14"/>
        </w:rPr>
      </w:pPr>
    </w:p>
    <w:p w14:paraId="47F8543A" w14:textId="77777777" w:rsidR="001D4826" w:rsidRPr="00DE3090" w:rsidRDefault="001D4826" w:rsidP="00AF7DF7">
      <w:pPr>
        <w:pStyle w:val="Heading2"/>
        <w:rPr>
          <w:rFonts w:eastAsia="Times New Roman"/>
        </w:rPr>
      </w:pPr>
      <w:r w:rsidRPr="00DE3090">
        <w:rPr>
          <w:rFonts w:eastAsia="Times New Roman"/>
        </w:rPr>
        <w:t>ABSTRACT</w:t>
      </w:r>
    </w:p>
    <w:p w14:paraId="1CC40300" w14:textId="77777777" w:rsidR="001D4826" w:rsidRPr="002249B2" w:rsidRDefault="001D4826" w:rsidP="005653C2">
      <w:pPr>
        <w:keepNext/>
        <w:spacing w:after="0" w:line="240" w:lineRule="auto"/>
        <w:contextualSpacing/>
        <w:rPr>
          <w:rFonts w:ascii="Arial" w:eastAsia="Times New Roman" w:hAnsi="Arial" w:cs="Arial"/>
          <w:b/>
          <w:caps/>
          <w:sz w:val="14"/>
          <w:szCs w:val="14"/>
        </w:rPr>
      </w:pPr>
    </w:p>
    <w:tbl>
      <w:tblPr>
        <w:tblW w:w="90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40"/>
      </w:tblGrid>
      <w:tr w:rsidR="001D4826" w:rsidRPr="00DE3090" w14:paraId="363B031B" w14:textId="77777777" w:rsidTr="006544F6">
        <w:trPr>
          <w:jc w:val="center"/>
        </w:trPr>
        <w:tc>
          <w:tcPr>
            <w:tcW w:w="9040" w:type="dxa"/>
            <w:shd w:val="clear" w:color="auto" w:fill="auto"/>
          </w:tcPr>
          <w:p w14:paraId="5D62E6BF" w14:textId="07C0BF9C" w:rsidR="000C2DA5" w:rsidRPr="00DE3090" w:rsidRDefault="004A3B82" w:rsidP="002249B2">
            <w:pPr>
              <w:spacing w:after="0" w:line="240" w:lineRule="auto"/>
              <w:contextualSpacing/>
              <w:jc w:val="both"/>
              <w:rPr>
                <w:rFonts w:ascii="Arial" w:eastAsia="Times New Roman" w:hAnsi="Arial" w:cs="Arial"/>
                <w:sz w:val="20"/>
                <w:szCs w:val="20"/>
              </w:rPr>
            </w:pPr>
            <w:r w:rsidRPr="004A3B82">
              <w:rPr>
                <w:rFonts w:ascii="Arial" w:eastAsia="Calibri" w:hAnsi="Arial" w:cs="Arial"/>
                <w:sz w:val="20"/>
              </w:rPr>
              <w:t xml:space="preserve">The </w:t>
            </w:r>
            <w:proofErr w:type="spellStart"/>
            <w:r w:rsidRPr="004A3B82">
              <w:rPr>
                <w:rFonts w:ascii="Arial" w:eastAsia="Calibri" w:hAnsi="Arial" w:cs="Arial"/>
                <w:sz w:val="20"/>
              </w:rPr>
              <w:t>Khetri</w:t>
            </w:r>
            <w:proofErr w:type="spellEnd"/>
            <w:r w:rsidRPr="004A3B82">
              <w:rPr>
                <w:rFonts w:ascii="Arial" w:eastAsia="Calibri" w:hAnsi="Arial" w:cs="Arial"/>
                <w:sz w:val="20"/>
              </w:rPr>
              <w:t xml:space="preserve"> Copper Belt is known for copper </w:t>
            </w:r>
            <w:proofErr w:type="spellStart"/>
            <w:r w:rsidRPr="004A3B82">
              <w:rPr>
                <w:rFonts w:ascii="Arial" w:eastAsia="Calibri" w:hAnsi="Arial" w:cs="Arial"/>
                <w:sz w:val="20"/>
              </w:rPr>
              <w:t>mineralisation</w:t>
            </w:r>
            <w:proofErr w:type="spellEnd"/>
            <w:r w:rsidRPr="004A3B82">
              <w:rPr>
                <w:rFonts w:ascii="Arial" w:eastAsia="Calibri" w:hAnsi="Arial" w:cs="Arial"/>
                <w:sz w:val="20"/>
              </w:rPr>
              <w:t xml:space="preserve"> in Rajasthan. The North </w:t>
            </w:r>
            <w:proofErr w:type="spellStart"/>
            <w:r w:rsidRPr="004A3B82">
              <w:rPr>
                <w:rFonts w:ascii="Arial" w:eastAsia="Calibri" w:hAnsi="Arial" w:cs="Arial"/>
                <w:sz w:val="20"/>
              </w:rPr>
              <w:t>Khetri</w:t>
            </w:r>
            <w:proofErr w:type="spellEnd"/>
            <w:r w:rsidRPr="004A3B82">
              <w:rPr>
                <w:rFonts w:ascii="Arial" w:eastAsia="Calibri" w:hAnsi="Arial" w:cs="Arial"/>
                <w:sz w:val="20"/>
              </w:rPr>
              <w:t xml:space="preserve"> is specifically rich in copper </w:t>
            </w:r>
            <w:proofErr w:type="spellStart"/>
            <w:r w:rsidRPr="004A3B82">
              <w:rPr>
                <w:rFonts w:ascii="Arial" w:eastAsia="Calibri" w:hAnsi="Arial" w:cs="Arial"/>
                <w:sz w:val="20"/>
              </w:rPr>
              <w:t>mineralisation</w:t>
            </w:r>
            <w:proofErr w:type="spellEnd"/>
            <w:r w:rsidRPr="004A3B82">
              <w:rPr>
                <w:rFonts w:ascii="Arial" w:eastAsia="Calibri" w:hAnsi="Arial" w:cs="Arial"/>
                <w:sz w:val="20"/>
              </w:rPr>
              <w:t xml:space="preserve"> while the south </w:t>
            </w:r>
            <w:proofErr w:type="spellStart"/>
            <w:r w:rsidRPr="004A3B82">
              <w:rPr>
                <w:rFonts w:ascii="Arial" w:eastAsia="Calibri" w:hAnsi="Arial" w:cs="Arial"/>
                <w:sz w:val="20"/>
              </w:rPr>
              <w:t>Khetri</w:t>
            </w:r>
            <w:proofErr w:type="spellEnd"/>
            <w:r w:rsidRPr="004A3B82">
              <w:rPr>
                <w:rFonts w:ascii="Arial" w:eastAsia="Calibri" w:hAnsi="Arial" w:cs="Arial"/>
                <w:sz w:val="20"/>
              </w:rPr>
              <w:t xml:space="preserve"> belt is marked with the small isolated deposits of copper with sharing nearly similar depositional and </w:t>
            </w:r>
            <w:proofErr w:type="spellStart"/>
            <w:r w:rsidRPr="004A3B82">
              <w:rPr>
                <w:rFonts w:ascii="Arial" w:eastAsia="Calibri" w:hAnsi="Arial" w:cs="Arial"/>
                <w:sz w:val="20"/>
              </w:rPr>
              <w:t>lithotectonic</w:t>
            </w:r>
            <w:proofErr w:type="spellEnd"/>
            <w:r w:rsidRPr="004A3B82">
              <w:rPr>
                <w:rFonts w:ascii="Arial" w:eastAsia="Calibri" w:hAnsi="Arial" w:cs="Arial"/>
                <w:sz w:val="20"/>
              </w:rPr>
              <w:t xml:space="preserve"> environment. One such location is </w:t>
            </w:r>
            <w:proofErr w:type="spellStart"/>
            <w:r w:rsidRPr="004A3B82">
              <w:rPr>
                <w:rFonts w:ascii="Arial" w:eastAsia="Calibri" w:hAnsi="Arial" w:cs="Arial"/>
                <w:sz w:val="20"/>
              </w:rPr>
              <w:t>Bansiyal</w:t>
            </w:r>
            <w:proofErr w:type="spellEnd"/>
            <w:r w:rsidRPr="004A3B82">
              <w:rPr>
                <w:rFonts w:ascii="Arial" w:eastAsia="Calibri" w:hAnsi="Arial" w:cs="Arial"/>
                <w:sz w:val="20"/>
              </w:rPr>
              <w:t xml:space="preserve"> in Sikar District, Rajasthan, where copper </w:t>
            </w:r>
            <w:proofErr w:type="spellStart"/>
            <w:r w:rsidRPr="004A3B82">
              <w:rPr>
                <w:rFonts w:ascii="Arial" w:eastAsia="Calibri" w:hAnsi="Arial" w:cs="Arial"/>
                <w:sz w:val="20"/>
              </w:rPr>
              <w:t>mineralisation</w:t>
            </w:r>
            <w:proofErr w:type="spellEnd"/>
            <w:r w:rsidRPr="004A3B82">
              <w:rPr>
                <w:rFonts w:ascii="Arial" w:eastAsia="Calibri" w:hAnsi="Arial" w:cs="Arial"/>
                <w:sz w:val="20"/>
              </w:rPr>
              <w:t xml:space="preserve"> is known from as early as 1994 and hosted within </w:t>
            </w:r>
            <w:proofErr w:type="spellStart"/>
            <w:r w:rsidRPr="004A3B82">
              <w:rPr>
                <w:rFonts w:ascii="Arial" w:eastAsia="Calibri" w:hAnsi="Arial" w:cs="Arial"/>
                <w:sz w:val="20"/>
              </w:rPr>
              <w:t>Ajabgarh</w:t>
            </w:r>
            <w:proofErr w:type="spellEnd"/>
            <w:r w:rsidRPr="004A3B82">
              <w:rPr>
                <w:rFonts w:ascii="Arial" w:eastAsia="Calibri" w:hAnsi="Arial" w:cs="Arial"/>
                <w:sz w:val="20"/>
              </w:rPr>
              <w:t xml:space="preserve"> </w:t>
            </w:r>
            <w:proofErr w:type="spellStart"/>
            <w:r w:rsidRPr="004A3B82">
              <w:rPr>
                <w:rFonts w:ascii="Arial" w:eastAsia="Calibri" w:hAnsi="Arial" w:cs="Arial"/>
                <w:sz w:val="20"/>
              </w:rPr>
              <w:t>metasediments</w:t>
            </w:r>
            <w:proofErr w:type="spellEnd"/>
            <w:r w:rsidRPr="004A3B82">
              <w:rPr>
                <w:rFonts w:ascii="Arial" w:eastAsia="Calibri" w:hAnsi="Arial" w:cs="Arial"/>
                <w:sz w:val="20"/>
              </w:rPr>
              <w:t xml:space="preserve"> of Delhi Supergroup of rocks. We report the occurrence of gold for the first time from the area to the tune of 74ppb, which is 7 times higher than the threshold required for </w:t>
            </w:r>
            <w:r w:rsidRPr="00B31EC3">
              <w:rPr>
                <w:rFonts w:ascii="Arial" w:eastAsia="Calibri" w:hAnsi="Arial" w:cs="Arial"/>
                <w:sz w:val="20"/>
              </w:rPr>
              <w:t>(</w:t>
            </w:r>
            <w:r w:rsidRPr="004A3B82">
              <w:rPr>
                <w:rFonts w:ascii="Arial" w:eastAsia="Calibri" w:hAnsi="Arial" w:cs="Arial"/>
                <w:sz w:val="20"/>
              </w:rPr>
              <w:t xml:space="preserve">which is 10ppb, as a convention) exploration. The Gold occurrence here is associated with copper and iron. The values up to 1.3% and Fe2O3 up to 52% enrichment of these elements. Other trace elements like Cr, V and Sc have also slight enrichment indicating towards the possibility indicates of this </w:t>
            </w:r>
            <w:proofErr w:type="spellStart"/>
            <w:r w:rsidRPr="004A3B82">
              <w:rPr>
                <w:rFonts w:ascii="Arial" w:eastAsia="Calibri" w:hAnsi="Arial" w:cs="Arial"/>
                <w:sz w:val="20"/>
              </w:rPr>
              <w:t>mineralisation</w:t>
            </w:r>
            <w:proofErr w:type="spellEnd"/>
            <w:r w:rsidRPr="004A3B82">
              <w:rPr>
                <w:rFonts w:ascii="Arial" w:eastAsia="Calibri" w:hAnsi="Arial" w:cs="Arial"/>
                <w:sz w:val="20"/>
              </w:rPr>
              <w:t xml:space="preserve"> being an IOCG earth system of </w:t>
            </w:r>
            <w:proofErr w:type="spellStart"/>
            <w:r w:rsidRPr="004A3B82">
              <w:rPr>
                <w:rFonts w:ascii="Arial" w:eastAsia="Calibri" w:hAnsi="Arial" w:cs="Arial"/>
                <w:sz w:val="20"/>
              </w:rPr>
              <w:t>mineralisation</w:t>
            </w:r>
            <w:proofErr w:type="spellEnd"/>
            <w:r w:rsidRPr="004A3B82">
              <w:rPr>
                <w:rFonts w:ascii="Arial" w:eastAsia="Calibri" w:hAnsi="Arial" w:cs="Arial"/>
                <w:sz w:val="20"/>
              </w:rPr>
              <w:t>.</w:t>
            </w:r>
          </w:p>
        </w:tc>
      </w:tr>
    </w:tbl>
    <w:p w14:paraId="53A84B6D" w14:textId="4AFF5ACD" w:rsidR="000C2DA5" w:rsidRDefault="001D4826" w:rsidP="000C2DA5">
      <w:pPr>
        <w:spacing w:after="0" w:line="240" w:lineRule="auto"/>
        <w:ind w:left="1080" w:hanging="1080"/>
        <w:contextualSpacing/>
        <w:jc w:val="both"/>
        <w:rPr>
          <w:rFonts w:ascii="Arial" w:eastAsia="Times New Roman" w:hAnsi="Arial" w:cs="Arial"/>
          <w:bCs/>
          <w:i/>
          <w:iCs/>
          <w:sz w:val="20"/>
          <w:szCs w:val="20"/>
        </w:rPr>
      </w:pPr>
      <w:r w:rsidRPr="00DE3090">
        <w:rPr>
          <w:rFonts w:ascii="Arial" w:eastAsia="Times New Roman" w:hAnsi="Arial" w:cs="Arial"/>
          <w:i/>
          <w:sz w:val="20"/>
          <w:szCs w:val="20"/>
        </w:rPr>
        <w:t>Keywords:</w:t>
      </w:r>
      <w:r w:rsidR="004A3B82">
        <w:rPr>
          <w:rFonts w:ascii="Arial" w:eastAsia="Times New Roman" w:hAnsi="Arial" w:cs="Arial"/>
          <w:i/>
          <w:sz w:val="20"/>
          <w:szCs w:val="20"/>
        </w:rPr>
        <w:tab/>
      </w:r>
      <w:r w:rsidR="004A3B82" w:rsidRPr="004A3B82">
        <w:rPr>
          <w:rFonts w:ascii="Arial" w:eastAsia="Times New Roman" w:hAnsi="Arial" w:cs="Arial"/>
          <w:bCs/>
          <w:i/>
          <w:iCs/>
          <w:sz w:val="20"/>
          <w:szCs w:val="20"/>
        </w:rPr>
        <w:t xml:space="preserve">Iron Oxide Copper Gold </w:t>
      </w:r>
      <w:r w:rsidR="004A3B82" w:rsidRPr="00B31EC3">
        <w:rPr>
          <w:rFonts w:ascii="Arial" w:eastAsia="Times New Roman" w:hAnsi="Arial" w:cs="Arial"/>
          <w:bCs/>
          <w:i/>
          <w:iCs/>
          <w:sz w:val="20"/>
          <w:szCs w:val="20"/>
        </w:rPr>
        <w:t>(</w:t>
      </w:r>
      <w:r w:rsidR="004A3B82" w:rsidRPr="004A3B82">
        <w:rPr>
          <w:rFonts w:ascii="Arial" w:eastAsia="Times New Roman" w:hAnsi="Arial" w:cs="Arial"/>
          <w:bCs/>
          <w:i/>
          <w:iCs/>
          <w:sz w:val="20"/>
          <w:szCs w:val="20"/>
        </w:rPr>
        <w:t xml:space="preserve">IOCG); hydrothermal </w:t>
      </w:r>
      <w:proofErr w:type="spellStart"/>
      <w:r w:rsidR="004A3B82" w:rsidRPr="004A3B82">
        <w:rPr>
          <w:rFonts w:ascii="Arial" w:eastAsia="Times New Roman" w:hAnsi="Arial" w:cs="Arial"/>
          <w:bCs/>
          <w:i/>
          <w:iCs/>
          <w:sz w:val="20"/>
          <w:szCs w:val="20"/>
        </w:rPr>
        <w:t>mineralisation</w:t>
      </w:r>
      <w:proofErr w:type="spellEnd"/>
      <w:r w:rsidR="004A3B82" w:rsidRPr="004A3B82">
        <w:rPr>
          <w:rFonts w:ascii="Arial" w:eastAsia="Times New Roman" w:hAnsi="Arial" w:cs="Arial"/>
          <w:bCs/>
          <w:i/>
          <w:iCs/>
          <w:sz w:val="20"/>
          <w:szCs w:val="20"/>
        </w:rPr>
        <w:t xml:space="preserve">; </w:t>
      </w:r>
      <w:proofErr w:type="spellStart"/>
      <w:r w:rsidR="004A3B82" w:rsidRPr="004A3B82">
        <w:rPr>
          <w:rFonts w:ascii="Arial" w:eastAsia="Times New Roman" w:hAnsi="Arial" w:cs="Arial"/>
          <w:bCs/>
          <w:i/>
          <w:iCs/>
          <w:sz w:val="20"/>
          <w:szCs w:val="20"/>
        </w:rPr>
        <w:t>bansiyal</w:t>
      </w:r>
      <w:proofErr w:type="spellEnd"/>
      <w:r w:rsidR="004A3B82" w:rsidRPr="004A3B82">
        <w:rPr>
          <w:rFonts w:ascii="Arial" w:eastAsia="Times New Roman" w:hAnsi="Arial" w:cs="Arial"/>
          <w:bCs/>
          <w:i/>
          <w:iCs/>
          <w:sz w:val="20"/>
          <w:szCs w:val="20"/>
        </w:rPr>
        <w:t xml:space="preserve">; </w:t>
      </w:r>
      <w:proofErr w:type="spellStart"/>
      <w:r w:rsidR="004A3B82" w:rsidRPr="004A3B82">
        <w:rPr>
          <w:rFonts w:ascii="Arial" w:eastAsia="Times New Roman" w:hAnsi="Arial" w:cs="Arial"/>
          <w:bCs/>
          <w:i/>
          <w:iCs/>
          <w:sz w:val="20"/>
          <w:szCs w:val="20"/>
        </w:rPr>
        <w:t>ajabgarh</w:t>
      </w:r>
      <w:proofErr w:type="spellEnd"/>
      <w:r w:rsidR="004A3B82" w:rsidRPr="004A3B82">
        <w:rPr>
          <w:rFonts w:ascii="Arial" w:eastAsia="Times New Roman" w:hAnsi="Arial" w:cs="Arial"/>
          <w:bCs/>
          <w:i/>
          <w:iCs/>
          <w:sz w:val="20"/>
          <w:szCs w:val="20"/>
        </w:rPr>
        <w:t xml:space="preserve"> rocks; gold </w:t>
      </w:r>
      <w:proofErr w:type="spellStart"/>
      <w:r w:rsidR="004A3B82" w:rsidRPr="004A3B82">
        <w:rPr>
          <w:rFonts w:ascii="Arial" w:eastAsia="Times New Roman" w:hAnsi="Arial" w:cs="Arial"/>
          <w:bCs/>
          <w:i/>
          <w:iCs/>
          <w:sz w:val="20"/>
          <w:szCs w:val="20"/>
        </w:rPr>
        <w:t>mineralisation</w:t>
      </w:r>
      <w:proofErr w:type="spellEnd"/>
      <w:r w:rsidR="004A3B82" w:rsidRPr="004A3B82">
        <w:rPr>
          <w:rFonts w:ascii="Arial" w:eastAsia="Times New Roman" w:hAnsi="Arial" w:cs="Arial"/>
          <w:bCs/>
          <w:i/>
          <w:iCs/>
          <w:sz w:val="20"/>
          <w:szCs w:val="20"/>
        </w:rPr>
        <w:t>.</w:t>
      </w:r>
    </w:p>
    <w:p w14:paraId="296D425E" w14:textId="77777777" w:rsidR="00BC541D" w:rsidRDefault="00BC541D" w:rsidP="000C2DA5">
      <w:pPr>
        <w:spacing w:after="0" w:line="240" w:lineRule="auto"/>
        <w:ind w:left="1080" w:hanging="1080"/>
        <w:contextualSpacing/>
        <w:jc w:val="both"/>
        <w:rPr>
          <w:rFonts w:ascii="Arial" w:eastAsia="Times New Roman" w:hAnsi="Arial" w:cs="Arial"/>
          <w:bCs/>
          <w:i/>
          <w:iCs/>
          <w:sz w:val="20"/>
          <w:szCs w:val="20"/>
        </w:rPr>
      </w:pPr>
    </w:p>
    <w:p w14:paraId="772E2D2D" w14:textId="77777777" w:rsidR="002249B2" w:rsidRDefault="002249B2" w:rsidP="00BC541D">
      <w:pPr>
        <w:pStyle w:val="Heading2"/>
        <w:rPr>
          <w:rFonts w:eastAsia="Times New Roman"/>
        </w:rPr>
        <w:sectPr w:rsidR="002249B2" w:rsidSect="00894CD3">
          <w:headerReference w:type="default" r:id="rId8"/>
          <w:footerReference w:type="default" r:id="rId9"/>
          <w:headerReference w:type="first" r:id="rId10"/>
          <w:footerReference w:type="first" r:id="rId11"/>
          <w:type w:val="continuous"/>
          <w:pgSz w:w="11909" w:h="16834" w:code="9"/>
          <w:pgMar w:top="1440" w:right="1440" w:bottom="1440" w:left="1440" w:header="720" w:footer="864" w:gutter="0"/>
          <w:cols w:space="720"/>
          <w:titlePg/>
          <w:docGrid w:linePitch="360"/>
        </w:sectPr>
      </w:pPr>
    </w:p>
    <w:p w14:paraId="606032F2" w14:textId="3EA47E14" w:rsidR="00BC541D" w:rsidRPr="00BC541D" w:rsidRDefault="00BC541D" w:rsidP="00BC541D">
      <w:pPr>
        <w:pStyle w:val="Heading2"/>
        <w:rPr>
          <w:rFonts w:eastAsia="Times New Roman"/>
        </w:rPr>
      </w:pPr>
      <w:r>
        <w:rPr>
          <w:rFonts w:eastAsia="Times New Roman"/>
        </w:rPr>
        <w:t>1. INTRODUCTION</w:t>
      </w:r>
    </w:p>
    <w:p w14:paraId="7D5B3BE0" w14:textId="77777777" w:rsidR="004A3B82" w:rsidRDefault="004A3B82" w:rsidP="00BC541D">
      <w:pPr>
        <w:spacing w:after="0" w:line="240" w:lineRule="auto"/>
        <w:contextualSpacing/>
        <w:jc w:val="both"/>
        <w:rPr>
          <w:rFonts w:ascii="Arial" w:eastAsia="Times New Roman" w:hAnsi="Arial" w:cs="Arial"/>
          <w:bCs/>
          <w:i/>
          <w:iCs/>
          <w:sz w:val="20"/>
          <w:szCs w:val="20"/>
        </w:rPr>
      </w:pPr>
    </w:p>
    <w:p w14:paraId="59D61872" w14:textId="02C43065" w:rsidR="002C381C" w:rsidRPr="008D29E0" w:rsidRDefault="0055259F" w:rsidP="002C381C">
      <w:pPr>
        <w:spacing w:after="0" w:line="240" w:lineRule="auto"/>
        <w:contextualSpacing/>
        <w:jc w:val="both"/>
        <w:rPr>
          <w:rFonts w:ascii="Arial" w:eastAsia="Times New Roman" w:hAnsi="Arial" w:cs="Arial"/>
          <w:bCs/>
          <w:sz w:val="20"/>
          <w:szCs w:val="20"/>
        </w:rPr>
      </w:pPr>
      <w:r>
        <w:rPr>
          <w:rFonts w:ascii="Arial" w:eastAsia="Times New Roman" w:hAnsi="Arial" w:cs="Arial"/>
          <w:bCs/>
          <w:sz w:val="20"/>
          <w:szCs w:val="20"/>
        </w:rPr>
        <w:pict w14:anchorId="3225FB6C">
          <v:shape id="Graphic 23" o:spid="_x0000_s1264" style="position:absolute;left:0;text-align:left;margin-left:517.7pt;margin-top:188.35pt;width:2.85pt;height:.1pt;z-index:-251643904;visibility:visible;mso-wrap-style:square;mso-wrap-distance-left:0;mso-wrap-distance-top:0;mso-wrap-distance-right:0;mso-wrap-distance-bottom:0;mso-position-horizontal:absolute;mso-position-horizontal-relative:page;mso-position-vertical:absolute;mso-position-vertical-relative:text;v-text-anchor:top" coordsize="361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" path="m,l36156,e" filled="f" strokeweight=".35239mm">
            <v:path arrowok="t"/>
            <w10:wrap anchorx="page"/>
          </v:shape>
        </w:pict>
      </w:r>
      <w:r w:rsidR="002C381C" w:rsidRPr="002C381C">
        <w:rPr>
          <w:rFonts w:ascii="Arial" w:eastAsia="Times New Roman" w:hAnsi="Arial" w:cs="Arial"/>
          <w:bCs/>
          <w:sz w:val="20"/>
          <w:szCs w:val="20"/>
        </w:rPr>
        <w:t xml:space="preserve">The state of Rajasthan is endowed with </w:t>
      </w:r>
      <w:r w:rsidR="002C381C" w:rsidRPr="008D29E0">
        <w:rPr>
          <w:rFonts w:ascii="Arial" w:eastAsia="Times New Roman" w:hAnsi="Arial" w:cs="Arial"/>
          <w:bCs/>
          <w:sz w:val="20"/>
          <w:szCs w:val="20"/>
        </w:rPr>
        <w:t>enormous mineral wealth. The state has 100% of Lead-Zinc production of India along with Silver and produces 43% of copper production of India (IBM yearbook</w:t>
      </w:r>
      <w:r w:rsidR="00FE123F" w:rsidRPr="008D29E0">
        <w:rPr>
          <w:rFonts w:ascii="Arial" w:eastAsia="Times New Roman" w:hAnsi="Arial" w:cs="Arial"/>
          <w:bCs/>
          <w:sz w:val="20"/>
          <w:szCs w:val="20"/>
        </w:rPr>
        <w:t>,</w:t>
      </w:r>
      <w:r w:rsidR="002C381C" w:rsidRPr="008D29E0">
        <w:rPr>
          <w:rFonts w:ascii="Arial" w:eastAsia="Times New Roman" w:hAnsi="Arial" w:cs="Arial"/>
          <w:bCs/>
          <w:sz w:val="20"/>
          <w:szCs w:val="20"/>
        </w:rPr>
        <w:t xml:space="preserve"> 2022)</w:t>
      </w:r>
      <w:r w:rsidR="002D33C7" w:rsidRPr="008D29E0">
        <w:rPr>
          <w:rFonts w:ascii="Arial" w:eastAsia="Times New Roman" w:hAnsi="Arial" w:cs="Arial"/>
          <w:bCs/>
          <w:sz w:val="20"/>
          <w:szCs w:val="20"/>
        </w:rPr>
        <w:t>.</w:t>
      </w:r>
      <w:r w:rsidR="002C381C" w:rsidRPr="008D29E0">
        <w:rPr>
          <w:rFonts w:ascii="Arial" w:eastAsia="Times New Roman" w:hAnsi="Arial" w:cs="Arial"/>
          <w:bCs/>
          <w:sz w:val="20"/>
          <w:szCs w:val="20"/>
        </w:rPr>
        <w:t xml:space="preserve"> There are quite a few new copper fields have come up in Rajasthan in recent years, Including the Neem ka Thana copper belt (low-grade copper ore of the order of 150 M Ton)</w:t>
      </w:r>
      <w:r w:rsidR="006202A4" w:rsidRPr="008D29E0">
        <w:rPr>
          <w:rFonts w:ascii="Arial" w:eastAsia="Times New Roman" w:hAnsi="Arial" w:cs="Arial"/>
          <w:bCs/>
          <w:sz w:val="20"/>
          <w:szCs w:val="20"/>
        </w:rPr>
        <w:t xml:space="preserve"> </w:t>
      </w:r>
      <w:proofErr w:type="spellStart"/>
      <w:r w:rsidR="002C381C" w:rsidRPr="008D29E0">
        <w:rPr>
          <w:rFonts w:ascii="Arial" w:eastAsia="Times New Roman" w:hAnsi="Arial" w:cs="Arial"/>
          <w:bCs/>
          <w:sz w:val="20"/>
          <w:szCs w:val="20"/>
        </w:rPr>
        <w:t>Mundiyawas</w:t>
      </w:r>
      <w:proofErr w:type="spellEnd"/>
      <w:r w:rsidR="002C381C" w:rsidRPr="008D29E0">
        <w:rPr>
          <w:rFonts w:ascii="Arial" w:eastAsia="Times New Roman" w:hAnsi="Arial" w:cs="Arial"/>
          <w:bCs/>
          <w:sz w:val="20"/>
          <w:szCs w:val="20"/>
        </w:rPr>
        <w:t xml:space="preserve"> </w:t>
      </w:r>
      <w:proofErr w:type="spellStart"/>
      <w:r w:rsidR="002C381C" w:rsidRPr="008D29E0">
        <w:rPr>
          <w:rFonts w:ascii="Arial" w:eastAsia="Times New Roman" w:hAnsi="Arial" w:cs="Arial"/>
          <w:bCs/>
          <w:sz w:val="20"/>
          <w:szCs w:val="20"/>
        </w:rPr>
        <w:t>Khera</w:t>
      </w:r>
      <w:proofErr w:type="spellEnd"/>
      <w:r w:rsidR="002C381C" w:rsidRPr="008D29E0">
        <w:rPr>
          <w:rFonts w:ascii="Arial" w:eastAsia="Times New Roman" w:hAnsi="Arial" w:cs="Arial"/>
          <w:bCs/>
          <w:sz w:val="20"/>
          <w:szCs w:val="20"/>
        </w:rPr>
        <w:t xml:space="preserve"> block in the Alwar district of Rajasthan. </w:t>
      </w:r>
      <w:proofErr w:type="spellStart"/>
      <w:r w:rsidR="002C381C" w:rsidRPr="008D29E0">
        <w:rPr>
          <w:rFonts w:ascii="Arial" w:eastAsia="Times New Roman" w:hAnsi="Arial" w:cs="Arial"/>
          <w:bCs/>
          <w:sz w:val="20"/>
          <w:szCs w:val="20"/>
        </w:rPr>
        <w:t>Kamalpura</w:t>
      </w:r>
      <w:proofErr w:type="spellEnd"/>
      <w:r w:rsidR="002C381C" w:rsidRPr="008D29E0">
        <w:rPr>
          <w:rFonts w:ascii="Arial" w:eastAsia="Times New Roman" w:hAnsi="Arial" w:cs="Arial"/>
          <w:bCs/>
          <w:sz w:val="20"/>
          <w:szCs w:val="20"/>
        </w:rPr>
        <w:t xml:space="preserve"> in the Bhilwara district, is also one of them. All these deposits area explored by Geological Survey of India. Besides these known and established copper deposits, </w:t>
      </w:r>
      <w:proofErr w:type="spellStart"/>
      <w:r w:rsidR="002C381C" w:rsidRPr="008D29E0">
        <w:rPr>
          <w:rFonts w:ascii="Arial" w:eastAsia="Times New Roman" w:hAnsi="Arial" w:cs="Arial"/>
          <w:bCs/>
          <w:sz w:val="20"/>
          <w:szCs w:val="20"/>
        </w:rPr>
        <w:t>mineralisation</w:t>
      </w:r>
      <w:proofErr w:type="spellEnd"/>
      <w:r w:rsidR="002C381C" w:rsidRPr="008D29E0">
        <w:rPr>
          <w:rFonts w:ascii="Arial" w:eastAsia="Times New Roman" w:hAnsi="Arial" w:cs="Arial"/>
          <w:bCs/>
          <w:sz w:val="20"/>
          <w:szCs w:val="20"/>
        </w:rPr>
        <w:t xml:space="preserve"> is reported from number of places from North and South </w:t>
      </w:r>
      <w:proofErr w:type="spellStart"/>
      <w:r w:rsidR="002C381C" w:rsidRPr="008D29E0">
        <w:rPr>
          <w:rFonts w:ascii="Arial" w:eastAsia="Times New Roman" w:hAnsi="Arial" w:cs="Arial"/>
          <w:bCs/>
          <w:sz w:val="20"/>
          <w:szCs w:val="20"/>
        </w:rPr>
        <w:t>Khetri</w:t>
      </w:r>
      <w:proofErr w:type="spellEnd"/>
      <w:r w:rsidR="002C381C" w:rsidRPr="008D29E0">
        <w:rPr>
          <w:rFonts w:ascii="Arial" w:eastAsia="Times New Roman" w:hAnsi="Arial" w:cs="Arial"/>
          <w:bCs/>
          <w:sz w:val="20"/>
          <w:szCs w:val="20"/>
        </w:rPr>
        <w:t xml:space="preserve"> belt</w:t>
      </w:r>
      <w:r w:rsidR="002C3BB8" w:rsidRPr="008D29E0">
        <w:rPr>
          <w:rFonts w:ascii="Arial" w:eastAsia="Times New Roman" w:hAnsi="Arial" w:cs="Arial"/>
          <w:bCs/>
          <w:sz w:val="20"/>
          <w:szCs w:val="20"/>
        </w:rPr>
        <w:t xml:space="preserve"> (Chen et al., 2015)</w:t>
      </w:r>
      <w:r w:rsidR="002C381C" w:rsidRPr="008D29E0">
        <w:rPr>
          <w:rFonts w:ascii="Arial" w:eastAsia="Times New Roman" w:hAnsi="Arial" w:cs="Arial"/>
          <w:bCs/>
          <w:sz w:val="20"/>
          <w:szCs w:val="20"/>
        </w:rPr>
        <w:t xml:space="preserve">. The North </w:t>
      </w:r>
      <w:proofErr w:type="spellStart"/>
      <w:r w:rsidR="002C381C" w:rsidRPr="008D29E0">
        <w:rPr>
          <w:rFonts w:ascii="Arial" w:eastAsia="Times New Roman" w:hAnsi="Arial" w:cs="Arial"/>
          <w:bCs/>
          <w:sz w:val="20"/>
          <w:szCs w:val="20"/>
        </w:rPr>
        <w:t>Khetri</w:t>
      </w:r>
      <w:proofErr w:type="spellEnd"/>
      <w:r w:rsidR="002C381C" w:rsidRPr="008D29E0">
        <w:rPr>
          <w:rFonts w:ascii="Arial" w:eastAsia="Times New Roman" w:hAnsi="Arial" w:cs="Arial"/>
          <w:bCs/>
          <w:sz w:val="20"/>
          <w:szCs w:val="20"/>
        </w:rPr>
        <w:t xml:space="preserve"> is an old known copper deposit, which is the synonym of copper in Rajasthan. The South </w:t>
      </w:r>
      <w:proofErr w:type="spellStart"/>
      <w:r w:rsidR="002C381C" w:rsidRPr="008D29E0">
        <w:rPr>
          <w:rFonts w:ascii="Arial" w:eastAsia="Times New Roman" w:hAnsi="Arial" w:cs="Arial"/>
          <w:bCs/>
          <w:sz w:val="20"/>
          <w:szCs w:val="20"/>
        </w:rPr>
        <w:t>Khetri</w:t>
      </w:r>
      <w:proofErr w:type="spellEnd"/>
      <w:r w:rsidR="002C381C" w:rsidRPr="008D29E0">
        <w:rPr>
          <w:rFonts w:ascii="Arial" w:eastAsia="Times New Roman" w:hAnsi="Arial" w:cs="Arial"/>
          <w:bCs/>
          <w:sz w:val="20"/>
          <w:szCs w:val="20"/>
        </w:rPr>
        <w:t xml:space="preserve"> belt also has many occurrences with small amounts of resources proved., including </w:t>
      </w:r>
      <w:proofErr w:type="spellStart"/>
      <w:r w:rsidR="002C381C" w:rsidRPr="008D29E0">
        <w:rPr>
          <w:rFonts w:ascii="Arial" w:eastAsia="Times New Roman" w:hAnsi="Arial" w:cs="Arial"/>
          <w:bCs/>
          <w:sz w:val="20"/>
          <w:szCs w:val="20"/>
        </w:rPr>
        <w:t>Bokri-Malwali</w:t>
      </w:r>
      <w:proofErr w:type="spellEnd"/>
      <w:r w:rsidR="002C381C" w:rsidRPr="008D29E0">
        <w:rPr>
          <w:rFonts w:ascii="Arial" w:eastAsia="Times New Roman" w:hAnsi="Arial" w:cs="Arial"/>
          <w:bCs/>
          <w:sz w:val="20"/>
          <w:szCs w:val="20"/>
        </w:rPr>
        <w:t xml:space="preserve">, </w:t>
      </w:r>
      <w:proofErr w:type="spellStart"/>
      <w:r w:rsidR="002C381C" w:rsidRPr="008D29E0">
        <w:rPr>
          <w:rFonts w:ascii="Arial" w:eastAsia="Times New Roman" w:hAnsi="Arial" w:cs="Arial"/>
          <w:bCs/>
          <w:sz w:val="20"/>
          <w:szCs w:val="20"/>
        </w:rPr>
        <w:t>Tunda</w:t>
      </w:r>
      <w:proofErr w:type="spellEnd"/>
      <w:r w:rsidR="002C381C" w:rsidRPr="008D29E0">
        <w:rPr>
          <w:rFonts w:ascii="Arial" w:eastAsia="Times New Roman" w:hAnsi="Arial" w:cs="Arial"/>
          <w:bCs/>
          <w:sz w:val="20"/>
          <w:szCs w:val="20"/>
        </w:rPr>
        <w:t xml:space="preserve">, </w:t>
      </w:r>
      <w:proofErr w:type="spellStart"/>
      <w:r w:rsidR="002C381C" w:rsidRPr="008D29E0">
        <w:rPr>
          <w:rFonts w:ascii="Arial" w:eastAsia="Times New Roman" w:hAnsi="Arial" w:cs="Arial"/>
          <w:bCs/>
          <w:sz w:val="20"/>
          <w:szCs w:val="20"/>
        </w:rPr>
        <w:t>Makri</w:t>
      </w:r>
      <w:proofErr w:type="spellEnd"/>
      <w:r w:rsidR="002C381C" w:rsidRPr="008D29E0">
        <w:rPr>
          <w:rFonts w:ascii="Arial" w:eastAsia="Times New Roman" w:hAnsi="Arial" w:cs="Arial"/>
          <w:bCs/>
          <w:sz w:val="20"/>
          <w:szCs w:val="20"/>
        </w:rPr>
        <w:t xml:space="preserve"> (Srivastava et al., 1972</w:t>
      </w:r>
      <w:r w:rsidR="006202A4" w:rsidRPr="008D29E0">
        <w:rPr>
          <w:rFonts w:ascii="Arial" w:eastAsia="Times New Roman" w:hAnsi="Arial" w:cs="Arial"/>
          <w:bCs/>
          <w:sz w:val="20"/>
          <w:szCs w:val="20"/>
        </w:rPr>
        <w:t>;</w:t>
      </w:r>
      <w:r w:rsidR="002C381C" w:rsidRPr="008D29E0">
        <w:rPr>
          <w:rFonts w:ascii="Arial" w:eastAsia="Times New Roman" w:hAnsi="Arial" w:cs="Arial"/>
          <w:bCs/>
          <w:sz w:val="20"/>
          <w:szCs w:val="20"/>
        </w:rPr>
        <w:t xml:space="preserve"> Sharma, 1976</w:t>
      </w:r>
      <w:r w:rsidR="006202A4" w:rsidRPr="008D29E0">
        <w:rPr>
          <w:rFonts w:ascii="Arial" w:eastAsia="Times New Roman" w:hAnsi="Arial" w:cs="Arial"/>
          <w:bCs/>
          <w:sz w:val="20"/>
          <w:szCs w:val="20"/>
        </w:rPr>
        <w:t>;</w:t>
      </w:r>
      <w:r w:rsidR="002C381C" w:rsidRPr="008D29E0">
        <w:rPr>
          <w:rFonts w:ascii="Arial" w:eastAsia="Times New Roman" w:hAnsi="Arial" w:cs="Arial"/>
          <w:bCs/>
          <w:sz w:val="20"/>
          <w:szCs w:val="20"/>
        </w:rPr>
        <w:t xml:space="preserve"> Sharma, </w:t>
      </w:r>
      <w:bookmarkStart w:id="1" w:name="_Hlk196823985"/>
      <w:r w:rsidR="002C381C" w:rsidRPr="008D29E0">
        <w:rPr>
          <w:rFonts w:ascii="Arial" w:eastAsia="Times New Roman" w:hAnsi="Arial" w:cs="Arial"/>
          <w:bCs/>
          <w:sz w:val="20"/>
          <w:szCs w:val="20"/>
        </w:rPr>
        <w:t>1998,) etc. One su</w:t>
      </w:r>
      <w:bookmarkEnd w:id="1"/>
      <w:r w:rsidR="002C381C" w:rsidRPr="008D29E0">
        <w:rPr>
          <w:rFonts w:ascii="Arial" w:eastAsia="Times New Roman" w:hAnsi="Arial" w:cs="Arial"/>
          <w:bCs/>
          <w:sz w:val="20"/>
          <w:szCs w:val="20"/>
        </w:rPr>
        <w:t xml:space="preserve">ch location is the </w:t>
      </w:r>
      <w:proofErr w:type="spellStart"/>
      <w:r w:rsidR="002C381C" w:rsidRPr="008D29E0">
        <w:rPr>
          <w:rFonts w:ascii="Arial" w:eastAsia="Times New Roman" w:hAnsi="Arial" w:cs="Arial"/>
          <w:bCs/>
          <w:sz w:val="20"/>
          <w:szCs w:val="20"/>
        </w:rPr>
        <w:t>Bansiyal</w:t>
      </w:r>
      <w:proofErr w:type="spellEnd"/>
      <w:r w:rsidR="002C381C" w:rsidRPr="008D29E0">
        <w:rPr>
          <w:rFonts w:ascii="Arial" w:eastAsia="Times New Roman" w:hAnsi="Arial" w:cs="Arial"/>
          <w:bCs/>
          <w:sz w:val="20"/>
          <w:szCs w:val="20"/>
        </w:rPr>
        <w:t xml:space="preserve"> area, located in the Survey of India toposheet number 45M/13 and lies very close to the </w:t>
      </w:r>
      <w:proofErr w:type="spellStart"/>
      <w:r w:rsidR="002C381C" w:rsidRPr="008D29E0">
        <w:rPr>
          <w:rFonts w:ascii="Arial" w:eastAsia="Times New Roman" w:hAnsi="Arial" w:cs="Arial"/>
          <w:bCs/>
          <w:sz w:val="20"/>
          <w:szCs w:val="20"/>
        </w:rPr>
        <w:t>Bokari</w:t>
      </w:r>
      <w:proofErr w:type="spellEnd"/>
      <w:r w:rsidR="002C381C" w:rsidRPr="008D29E0">
        <w:rPr>
          <w:rFonts w:ascii="Arial" w:eastAsia="Times New Roman" w:hAnsi="Arial" w:cs="Arial"/>
          <w:bCs/>
          <w:sz w:val="20"/>
          <w:szCs w:val="20"/>
        </w:rPr>
        <w:t xml:space="preserve"> – </w:t>
      </w:r>
      <w:proofErr w:type="spellStart"/>
      <w:r w:rsidR="002C381C" w:rsidRPr="008D29E0">
        <w:rPr>
          <w:rFonts w:ascii="Arial" w:eastAsia="Times New Roman" w:hAnsi="Arial" w:cs="Arial"/>
          <w:bCs/>
          <w:sz w:val="20"/>
          <w:szCs w:val="20"/>
        </w:rPr>
        <w:t>Malwali</w:t>
      </w:r>
      <w:proofErr w:type="spellEnd"/>
      <w:r w:rsidR="002C381C" w:rsidRPr="008D29E0">
        <w:rPr>
          <w:rFonts w:ascii="Arial" w:eastAsia="Times New Roman" w:hAnsi="Arial" w:cs="Arial"/>
          <w:bCs/>
          <w:sz w:val="20"/>
          <w:szCs w:val="20"/>
        </w:rPr>
        <w:t xml:space="preserve"> - copper prospects offering an obvious possibility of </w:t>
      </w:r>
      <w:proofErr w:type="spellStart"/>
      <w:r w:rsidR="002C381C" w:rsidRPr="008D29E0">
        <w:rPr>
          <w:rFonts w:ascii="Arial" w:eastAsia="Times New Roman" w:hAnsi="Arial" w:cs="Arial"/>
          <w:bCs/>
          <w:sz w:val="20"/>
          <w:szCs w:val="20"/>
        </w:rPr>
        <w:t>mineralisation</w:t>
      </w:r>
      <w:proofErr w:type="spellEnd"/>
      <w:r w:rsidR="002C381C" w:rsidRPr="008D29E0">
        <w:rPr>
          <w:rFonts w:ascii="Arial" w:eastAsia="Times New Roman" w:hAnsi="Arial" w:cs="Arial"/>
          <w:bCs/>
          <w:sz w:val="20"/>
          <w:szCs w:val="20"/>
        </w:rPr>
        <w:t xml:space="preserve"> because it shares similar Litho-tectonic setup with these known copper prospects.</w:t>
      </w:r>
    </w:p>
    <w:p w14:paraId="0574C321" w14:textId="77777777" w:rsidR="002C381C" w:rsidRPr="008D29E0" w:rsidRDefault="002C381C" w:rsidP="002C381C">
      <w:pPr>
        <w:spacing w:after="0" w:line="240" w:lineRule="auto"/>
        <w:contextualSpacing/>
        <w:jc w:val="both"/>
        <w:rPr>
          <w:rFonts w:ascii="Arial" w:eastAsia="Times New Roman" w:hAnsi="Arial" w:cs="Arial"/>
          <w:bCs/>
          <w:sz w:val="20"/>
          <w:szCs w:val="20"/>
        </w:rPr>
      </w:pPr>
    </w:p>
    <w:p w14:paraId="321F9F6A" w14:textId="050646CA" w:rsidR="002249B2" w:rsidRDefault="002C381C" w:rsidP="002C381C">
      <w:pPr>
        <w:spacing w:after="0" w:line="240" w:lineRule="auto"/>
        <w:contextualSpacing/>
        <w:jc w:val="both"/>
        <w:rPr>
          <w:rFonts w:ascii="Arial" w:eastAsia="Times New Roman" w:hAnsi="Arial" w:cs="Arial"/>
          <w:bCs/>
          <w:sz w:val="20"/>
          <w:szCs w:val="20"/>
        </w:rPr>
      </w:pPr>
      <w:r w:rsidRPr="008D29E0">
        <w:rPr>
          <w:rFonts w:ascii="Arial" w:eastAsia="Times New Roman" w:hAnsi="Arial" w:cs="Arial"/>
          <w:bCs/>
          <w:sz w:val="20"/>
          <w:szCs w:val="20"/>
        </w:rPr>
        <w:t xml:space="preserve">The Geological Survey of India (GSI) carried out work in this area during three different stages and has reported occurrence of old workings and copper </w:t>
      </w:r>
      <w:proofErr w:type="spellStart"/>
      <w:r w:rsidRPr="008D29E0">
        <w:rPr>
          <w:rFonts w:ascii="Arial" w:eastAsia="Times New Roman" w:hAnsi="Arial" w:cs="Arial"/>
          <w:bCs/>
          <w:sz w:val="20"/>
          <w:szCs w:val="20"/>
        </w:rPr>
        <w:t>mineralisation</w:t>
      </w:r>
      <w:proofErr w:type="spellEnd"/>
      <w:r w:rsidRPr="008D29E0">
        <w:rPr>
          <w:rFonts w:ascii="Arial" w:eastAsia="Times New Roman" w:hAnsi="Arial" w:cs="Arial"/>
          <w:bCs/>
          <w:sz w:val="20"/>
          <w:szCs w:val="20"/>
        </w:rPr>
        <w:t xml:space="preserve"> on the surface in </w:t>
      </w:r>
      <w:proofErr w:type="spellStart"/>
      <w:r w:rsidRPr="008D29E0">
        <w:rPr>
          <w:rFonts w:ascii="Arial" w:eastAsia="Times New Roman" w:hAnsi="Arial" w:cs="Arial"/>
          <w:bCs/>
          <w:sz w:val="20"/>
          <w:szCs w:val="20"/>
        </w:rPr>
        <w:t>Bansiyal</w:t>
      </w:r>
      <w:proofErr w:type="spellEnd"/>
      <w:r w:rsidRPr="008D29E0">
        <w:rPr>
          <w:rFonts w:ascii="Arial" w:eastAsia="Times New Roman" w:hAnsi="Arial" w:cs="Arial"/>
          <w:bCs/>
          <w:sz w:val="20"/>
          <w:szCs w:val="20"/>
        </w:rPr>
        <w:t xml:space="preserve"> area</w:t>
      </w:r>
      <w:r w:rsidR="002D33C7" w:rsidRPr="008D29E0">
        <w:rPr>
          <w:rFonts w:ascii="Arial" w:eastAsia="Times New Roman" w:hAnsi="Arial" w:cs="Arial"/>
          <w:bCs/>
          <w:sz w:val="20"/>
          <w:szCs w:val="20"/>
        </w:rPr>
        <w:t xml:space="preserve"> </w:t>
      </w:r>
      <w:r w:rsidRPr="008D29E0">
        <w:rPr>
          <w:rFonts w:ascii="Arial" w:eastAsia="Times New Roman" w:hAnsi="Arial" w:cs="Arial"/>
          <w:bCs/>
          <w:sz w:val="20"/>
          <w:szCs w:val="20"/>
        </w:rPr>
        <w:t>(Fig.1)</w:t>
      </w:r>
      <w:r w:rsidR="002D33C7" w:rsidRPr="008D29E0">
        <w:rPr>
          <w:rFonts w:ascii="Arial" w:eastAsia="Times New Roman" w:hAnsi="Arial" w:cs="Arial"/>
          <w:bCs/>
          <w:sz w:val="20"/>
          <w:szCs w:val="20"/>
        </w:rPr>
        <w:t xml:space="preserve">. </w:t>
      </w:r>
      <w:r w:rsidRPr="008D29E0">
        <w:rPr>
          <w:rFonts w:ascii="Arial" w:eastAsia="Times New Roman" w:hAnsi="Arial" w:cs="Arial"/>
          <w:bCs/>
          <w:sz w:val="20"/>
          <w:szCs w:val="20"/>
        </w:rPr>
        <w:t xml:space="preserve">“Operation Hard rock” (1967-68) \the project of acquisition of aero geophysical data could help in finding AEM anomalies in the area. Misra and Rao (1994) carried out detailed mapping and geochemical sampling in the </w:t>
      </w:r>
      <w:proofErr w:type="spellStart"/>
      <w:r w:rsidRPr="008D29E0">
        <w:rPr>
          <w:rFonts w:ascii="Arial" w:eastAsia="Times New Roman" w:hAnsi="Arial" w:cs="Arial"/>
          <w:bCs/>
          <w:sz w:val="20"/>
          <w:szCs w:val="20"/>
        </w:rPr>
        <w:t>Bansiyal</w:t>
      </w:r>
      <w:proofErr w:type="spellEnd"/>
      <w:r w:rsidRPr="008D29E0">
        <w:rPr>
          <w:rFonts w:ascii="Arial" w:eastAsia="Times New Roman" w:hAnsi="Arial" w:cs="Arial"/>
          <w:bCs/>
          <w:sz w:val="20"/>
          <w:szCs w:val="20"/>
        </w:rPr>
        <w:t xml:space="preserve"> southwest block and have traced </w:t>
      </w:r>
      <w:proofErr w:type="spellStart"/>
      <w:r w:rsidRPr="008D29E0">
        <w:rPr>
          <w:rFonts w:ascii="Arial" w:eastAsia="Times New Roman" w:hAnsi="Arial" w:cs="Arial"/>
          <w:bCs/>
          <w:sz w:val="20"/>
          <w:szCs w:val="20"/>
        </w:rPr>
        <w:t>mineralised</w:t>
      </w:r>
      <w:proofErr w:type="spellEnd"/>
      <w:r w:rsidRPr="008D29E0">
        <w:rPr>
          <w:rFonts w:ascii="Arial" w:eastAsia="Times New Roman" w:hAnsi="Arial" w:cs="Arial"/>
          <w:bCs/>
          <w:sz w:val="20"/>
          <w:szCs w:val="20"/>
        </w:rPr>
        <w:t xml:space="preserve"> zone that hosts in the contact of dolomite and meta-basic sills, up to 800m in strike length and recorded twenty-five numbers </w:t>
      </w:r>
      <w:r w:rsidRPr="008D29E0">
        <w:rPr>
          <w:rFonts w:ascii="Arial" w:eastAsia="Times New Roman" w:hAnsi="Arial" w:cs="Arial"/>
          <w:bCs/>
          <w:sz w:val="20"/>
          <w:szCs w:val="20"/>
        </w:rPr>
        <w:lastRenderedPageBreak/>
        <w:t xml:space="preserve">of old workings and malachite staining in the zone. Singh and Karunakaran (2016-17) carried out detailed mapping in the area and reported </w:t>
      </w:r>
      <w:r w:rsidRPr="008D29E0">
        <w:rPr>
          <w:rFonts w:ascii="Arial" w:eastAsia="Times New Roman" w:hAnsi="Arial" w:cs="Arial"/>
          <w:bCs/>
          <w:sz w:val="20"/>
          <w:szCs w:val="20"/>
        </w:rPr>
        <w:t>Copper anomaly up to 1Km strike length with values of copper ranging from 0.2% to as high as 1.3%.</w:t>
      </w:r>
    </w:p>
    <w:p w14:paraId="41880C9C" w14:textId="77777777" w:rsidR="002249B2" w:rsidRDefault="002249B2" w:rsidP="002C381C">
      <w:pPr>
        <w:spacing w:after="0" w:line="240" w:lineRule="auto"/>
        <w:contextualSpacing/>
        <w:jc w:val="both"/>
        <w:rPr>
          <w:rFonts w:ascii="Arial" w:eastAsia="Times New Roman" w:hAnsi="Arial" w:cs="Arial"/>
          <w:bCs/>
          <w:sz w:val="20"/>
          <w:szCs w:val="20"/>
        </w:rPr>
        <w:sectPr w:rsidR="002249B2" w:rsidSect="002249B2">
          <w:type w:val="continuous"/>
          <w:pgSz w:w="11909" w:h="16834" w:code="9"/>
          <w:pgMar w:top="1440" w:right="1440" w:bottom="1440" w:left="1440" w:header="720" w:footer="864" w:gutter="0"/>
          <w:cols w:num="2" w:space="288"/>
          <w:titlePg/>
          <w:docGrid w:linePitch="360"/>
        </w:sectPr>
      </w:pPr>
    </w:p>
    <w:p w14:paraId="0A54B742" w14:textId="77777777" w:rsidR="002C381C" w:rsidRPr="002249B2" w:rsidRDefault="002C381C" w:rsidP="002C381C">
      <w:pPr>
        <w:spacing w:after="0" w:line="240" w:lineRule="auto"/>
        <w:contextualSpacing/>
        <w:jc w:val="both"/>
        <w:rPr>
          <w:rFonts w:ascii="Arial" w:eastAsia="Times New Roman" w:hAnsi="Arial" w:cs="Arial"/>
          <w:bCs/>
          <w:sz w:val="14"/>
          <w:szCs w:val="14"/>
        </w:rPr>
      </w:pPr>
    </w:p>
    <w:p w14:paraId="6F071380" w14:textId="342520C6" w:rsidR="002C381C" w:rsidRPr="002C381C" w:rsidRDefault="002C381C" w:rsidP="002249B2">
      <w:pPr>
        <w:spacing w:after="0" w:line="240" w:lineRule="auto"/>
        <w:contextualSpacing/>
        <w:jc w:val="center"/>
        <w:rPr>
          <w:rFonts w:ascii="Arial" w:eastAsia="Times New Roman" w:hAnsi="Arial" w:cs="Arial"/>
          <w:bCs/>
          <w:sz w:val="20"/>
          <w:szCs w:val="20"/>
        </w:rPr>
      </w:pPr>
      <w:r w:rsidRPr="002C381C">
        <w:rPr>
          <w:rFonts w:ascii="Arial" w:eastAsia="Times New Roman" w:hAnsi="Arial" w:cs="Arial"/>
          <w:bCs/>
          <w:noProof/>
          <w:sz w:val="20"/>
          <w:szCs w:val="20"/>
        </w:rPr>
        <w:drawing>
          <wp:inline distT="0" distB="0" distL="0" distR="0" wp14:anchorId="5B1AAE1D" wp14:editId="57D7542A">
            <wp:extent cx="5029009" cy="3774440"/>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9126" cy="3782033"/>
                    </a:xfrm>
                    <a:prstGeom prst="rect">
                      <a:avLst/>
                    </a:prstGeom>
                  </pic:spPr>
                </pic:pic>
              </a:graphicData>
            </a:graphic>
          </wp:inline>
        </w:drawing>
      </w:r>
    </w:p>
    <w:p w14:paraId="4B67786C" w14:textId="77777777" w:rsidR="002C381C" w:rsidRPr="002249B2" w:rsidRDefault="002C381C" w:rsidP="002C381C">
      <w:pPr>
        <w:spacing w:after="0" w:line="240" w:lineRule="auto"/>
        <w:contextualSpacing/>
        <w:jc w:val="both"/>
        <w:rPr>
          <w:rFonts w:ascii="Arial" w:eastAsia="Times New Roman" w:hAnsi="Arial" w:cs="Arial"/>
          <w:bCs/>
          <w:sz w:val="14"/>
          <w:szCs w:val="14"/>
        </w:rPr>
      </w:pPr>
    </w:p>
    <w:p w14:paraId="5B839AC7" w14:textId="50A35B82" w:rsidR="002C381C" w:rsidRPr="002C381C" w:rsidRDefault="0055259F" w:rsidP="002249B2">
      <w:pPr>
        <w:spacing w:after="0" w:line="240" w:lineRule="auto"/>
        <w:contextualSpacing/>
        <w:jc w:val="center"/>
        <w:rPr>
          <w:rFonts w:ascii="Arial" w:eastAsia="Times New Roman" w:hAnsi="Arial" w:cs="Arial"/>
          <w:b/>
          <w:bCs/>
          <w:sz w:val="20"/>
          <w:szCs w:val="20"/>
        </w:rPr>
      </w:pPr>
      <w:r>
        <w:rPr>
          <w:rFonts w:ascii="Arial" w:eastAsia="Times New Roman" w:hAnsi="Arial" w:cs="Arial"/>
          <w:bCs/>
          <w:sz w:val="20"/>
          <w:szCs w:val="20"/>
        </w:rPr>
        <w:pict w14:anchorId="14686F45">
          <v:shape id="Graphic 29" o:spid="_x0000_s1260" style="position:absolute;left:0;text-align:left;margin-left:235.5pt;margin-top:6.5pt;width:2pt;height:.1pt;z-index:-251640832;visibility:visible;mso-wrap-style:square;mso-wrap-distance-left:0;mso-wrap-distance-top:0;mso-wrap-distance-right:0;mso-wrap-distance-bottom:0;mso-position-horizontal:absolute;mso-position-horizontal-relative:page;mso-position-vertical:absolute;mso-position-vertical-relative:text;v-text-anchor:top" coordsize="2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" path="m,l25372,e" filled="f" strokeweight=".35239mm">
            <v:path arrowok="t"/>
            <w10:wrap anchorx="page"/>
          </v:shape>
        </w:pict>
      </w:r>
      <w:r w:rsidR="002C381C" w:rsidRPr="001C1FD2">
        <w:rPr>
          <w:rFonts w:ascii="Arial" w:eastAsia="Times New Roman" w:hAnsi="Arial" w:cs="Arial"/>
          <w:b/>
          <w:bCs/>
          <w:sz w:val="20"/>
          <w:szCs w:val="20"/>
        </w:rPr>
        <w:t>Fig</w:t>
      </w:r>
      <w:r w:rsidR="002C381C" w:rsidRPr="002C381C">
        <w:rPr>
          <w:rFonts w:ascii="Arial" w:eastAsia="Times New Roman" w:hAnsi="Arial" w:cs="Arial"/>
          <w:b/>
          <w:bCs/>
          <w:sz w:val="20"/>
          <w:szCs w:val="20"/>
        </w:rPr>
        <w:t xml:space="preserve">. 1. Geological Map of Study Area, </w:t>
      </w:r>
      <w:r w:rsidR="002C381C" w:rsidRPr="00B31EC3">
        <w:rPr>
          <w:rFonts w:ascii="Arial" w:eastAsia="Times New Roman" w:hAnsi="Arial" w:cs="Arial"/>
          <w:b/>
          <w:bCs/>
          <w:sz w:val="20"/>
          <w:szCs w:val="20"/>
        </w:rPr>
        <w:t>(</w:t>
      </w:r>
      <w:r w:rsidR="002C381C" w:rsidRPr="002C381C">
        <w:rPr>
          <w:rFonts w:ascii="Arial" w:eastAsia="Times New Roman" w:hAnsi="Arial" w:cs="Arial"/>
          <w:b/>
          <w:bCs/>
          <w:sz w:val="20"/>
          <w:szCs w:val="20"/>
        </w:rPr>
        <w:t>Source-NGDR Portal, MoM, Govt. of India), The sample location is also shown on SOI Toposheet and Google map</w:t>
      </w:r>
    </w:p>
    <w:p w14:paraId="509B36F5" w14:textId="77777777" w:rsidR="00592510" w:rsidRDefault="00592510" w:rsidP="002249B2">
      <w:pPr>
        <w:pStyle w:val="Heading2"/>
        <w:ind w:left="540" w:hanging="540"/>
        <w:rPr>
          <w:rFonts w:eastAsia="Times New Roman"/>
        </w:rPr>
      </w:pPr>
    </w:p>
    <w:p w14:paraId="05E49CA2" w14:textId="77777777" w:rsidR="00BB501D" w:rsidRDefault="00BB501D" w:rsidP="00BB501D"/>
    <w:p w14:paraId="79687435" w14:textId="6C1EE39C" w:rsidR="00BB501D" w:rsidRPr="00BB501D" w:rsidRDefault="00BB501D" w:rsidP="00BB501D">
      <w:pPr>
        <w:rPr>
          <w:b/>
        </w:rPr>
        <w:sectPr w:rsidR="00BB501D" w:rsidRPr="00BB501D" w:rsidSect="00894CD3">
          <w:type w:val="continuous"/>
          <w:pgSz w:w="11909" w:h="16834" w:code="9"/>
          <w:pgMar w:top="1440" w:right="1440" w:bottom="1440" w:left="1440" w:header="720" w:footer="864" w:gutter="0"/>
          <w:cols w:space="720"/>
          <w:titlePg/>
          <w:docGrid w:linePitch="360"/>
        </w:sectPr>
      </w:pPr>
      <w:r w:rsidRPr="00BB501D">
        <w:rPr>
          <w:b/>
        </w:rPr>
        <w:t xml:space="preserve">Methodology: </w:t>
      </w:r>
    </w:p>
    <w:p w14:paraId="566583E1" w14:textId="63E25E5F" w:rsidR="002249B2" w:rsidRPr="002C381C" w:rsidRDefault="002249B2" w:rsidP="003E7EAE">
      <w:pPr>
        <w:pStyle w:val="Heading2"/>
        <w:ind w:left="270" w:hanging="270"/>
        <w:rPr>
          <w:rFonts w:eastAsia="Times New Roman"/>
        </w:rPr>
      </w:pPr>
      <w:r w:rsidRPr="002C381C">
        <w:rPr>
          <w:rFonts w:eastAsia="Times New Roman"/>
        </w:rPr>
        <w:t>THE GEOLOGICAL SETUP IN THE AREA</w:t>
      </w:r>
    </w:p>
    <w:p w14:paraId="0F813E29" w14:textId="77777777" w:rsidR="002249B2" w:rsidRPr="002C381C" w:rsidRDefault="002249B2" w:rsidP="002249B2">
      <w:pPr>
        <w:spacing w:after="0" w:line="240" w:lineRule="auto"/>
        <w:contextualSpacing/>
        <w:jc w:val="both"/>
        <w:rPr>
          <w:rFonts w:ascii="Arial" w:eastAsia="Times New Roman" w:hAnsi="Arial" w:cs="Arial"/>
          <w:bCs/>
          <w:sz w:val="20"/>
          <w:szCs w:val="20"/>
        </w:rPr>
      </w:pPr>
    </w:p>
    <w:p w14:paraId="29AA86C8" w14:textId="058E8E2B" w:rsidR="002249B2" w:rsidRDefault="002249B2" w:rsidP="002249B2">
      <w:pPr>
        <w:spacing w:after="0" w:line="240" w:lineRule="auto"/>
        <w:contextualSpacing/>
        <w:jc w:val="both"/>
        <w:rPr>
          <w:rFonts w:ascii="Arial" w:eastAsia="Times New Roman" w:hAnsi="Arial" w:cs="Arial"/>
          <w:bCs/>
          <w:sz w:val="20"/>
          <w:szCs w:val="20"/>
        </w:rPr>
      </w:pPr>
      <w:r w:rsidRPr="002C381C">
        <w:rPr>
          <w:rFonts w:ascii="Arial" w:eastAsia="Times New Roman" w:hAnsi="Arial" w:cs="Arial"/>
          <w:bCs/>
          <w:sz w:val="20"/>
          <w:szCs w:val="20"/>
        </w:rPr>
        <w:t xml:space="preserve">With the above background, fieldwork was carried out by geologist’s team from </w:t>
      </w:r>
      <w:proofErr w:type="spellStart"/>
      <w:r w:rsidRPr="002C381C">
        <w:rPr>
          <w:rFonts w:ascii="Arial" w:eastAsia="Times New Roman" w:hAnsi="Arial" w:cs="Arial"/>
          <w:bCs/>
          <w:sz w:val="20"/>
          <w:szCs w:val="20"/>
        </w:rPr>
        <w:t>Vardan</w:t>
      </w:r>
      <w:proofErr w:type="spellEnd"/>
      <w:r w:rsidRPr="002C381C">
        <w:rPr>
          <w:rFonts w:ascii="Arial" w:eastAsia="Times New Roman" w:hAnsi="Arial" w:cs="Arial"/>
          <w:bCs/>
          <w:sz w:val="20"/>
          <w:szCs w:val="20"/>
        </w:rPr>
        <w:t xml:space="preserve"> </w:t>
      </w:r>
      <w:proofErr w:type="spellStart"/>
      <w:r w:rsidRPr="002C381C">
        <w:rPr>
          <w:rFonts w:ascii="Arial" w:eastAsia="Times New Roman" w:hAnsi="Arial" w:cs="Arial"/>
          <w:bCs/>
          <w:sz w:val="20"/>
          <w:szCs w:val="20"/>
        </w:rPr>
        <w:t>Environet</w:t>
      </w:r>
      <w:proofErr w:type="spellEnd"/>
      <w:r w:rsidRPr="002C381C">
        <w:rPr>
          <w:rFonts w:ascii="Arial" w:eastAsia="Times New Roman" w:hAnsi="Arial" w:cs="Arial"/>
          <w:bCs/>
          <w:sz w:val="20"/>
          <w:szCs w:val="20"/>
        </w:rPr>
        <w:t xml:space="preserve"> LLP, Gurgaon in the area. It was observed that the area exposes meta-sedimentary sequence of </w:t>
      </w:r>
      <w:proofErr w:type="spellStart"/>
      <w:r w:rsidRPr="002C381C">
        <w:rPr>
          <w:rFonts w:ascii="Arial" w:eastAsia="Times New Roman" w:hAnsi="Arial" w:cs="Arial"/>
          <w:bCs/>
          <w:sz w:val="20"/>
          <w:szCs w:val="20"/>
        </w:rPr>
        <w:t>Ajabgarh</w:t>
      </w:r>
      <w:proofErr w:type="spellEnd"/>
      <w:r w:rsidRPr="002C381C">
        <w:rPr>
          <w:rFonts w:ascii="Arial" w:eastAsia="Times New Roman" w:hAnsi="Arial" w:cs="Arial"/>
          <w:bCs/>
          <w:sz w:val="20"/>
          <w:szCs w:val="20"/>
        </w:rPr>
        <w:t xml:space="preserve"> Group of rocks including tremolite marble/Amphibole marble, dolomite, quartzite and quartz-mica schist, biotite schist and intercalated ironstone or hematite/ magnetite quartzite. The contact between amphibole marble, quartz-mica </w:t>
      </w:r>
      <w:r w:rsidR="00592510">
        <w:rPr>
          <w:rFonts w:ascii="Arial" w:eastAsia="Times New Roman" w:hAnsi="Arial" w:cs="Arial"/>
          <w:bCs/>
          <w:sz w:val="20"/>
          <w:szCs w:val="20"/>
        </w:rPr>
        <w:t xml:space="preserve">             </w:t>
      </w:r>
      <w:r w:rsidRPr="002C381C">
        <w:rPr>
          <w:rFonts w:ascii="Arial" w:eastAsia="Times New Roman" w:hAnsi="Arial" w:cs="Arial"/>
          <w:bCs/>
          <w:sz w:val="20"/>
          <w:szCs w:val="20"/>
        </w:rPr>
        <w:t xml:space="preserve">schist and micaceous quartzite, is marked </w:t>
      </w:r>
      <w:r w:rsidR="00592510">
        <w:rPr>
          <w:rFonts w:ascii="Arial" w:eastAsia="Times New Roman" w:hAnsi="Arial" w:cs="Arial"/>
          <w:bCs/>
          <w:sz w:val="20"/>
          <w:szCs w:val="20"/>
        </w:rPr>
        <w:t xml:space="preserve">             </w:t>
      </w:r>
      <w:r w:rsidRPr="002C381C">
        <w:rPr>
          <w:rFonts w:ascii="Arial" w:eastAsia="Times New Roman" w:hAnsi="Arial" w:cs="Arial"/>
          <w:bCs/>
          <w:sz w:val="20"/>
          <w:szCs w:val="20"/>
        </w:rPr>
        <w:t xml:space="preserve">with the series of old workings. The stringers of chalcopyrite and pyrite </w:t>
      </w:r>
      <w:proofErr w:type="spellStart"/>
      <w:r w:rsidRPr="002C381C">
        <w:rPr>
          <w:rFonts w:ascii="Arial" w:eastAsia="Times New Roman" w:hAnsi="Arial" w:cs="Arial"/>
          <w:bCs/>
          <w:sz w:val="20"/>
          <w:szCs w:val="20"/>
        </w:rPr>
        <w:t>mineralisation</w:t>
      </w:r>
      <w:proofErr w:type="spellEnd"/>
      <w:r w:rsidRPr="002C381C">
        <w:rPr>
          <w:rFonts w:ascii="Arial" w:eastAsia="Times New Roman" w:hAnsi="Arial" w:cs="Arial"/>
          <w:bCs/>
          <w:sz w:val="20"/>
          <w:szCs w:val="20"/>
        </w:rPr>
        <w:t xml:space="preserve"> are observed during the field work in the marble</w:t>
      </w:r>
      <w:r w:rsidR="00592510">
        <w:rPr>
          <w:rFonts w:ascii="Arial" w:eastAsia="Times New Roman" w:hAnsi="Arial" w:cs="Arial"/>
          <w:bCs/>
          <w:sz w:val="20"/>
          <w:szCs w:val="20"/>
        </w:rPr>
        <w:t xml:space="preserve">          </w:t>
      </w:r>
      <w:r w:rsidRPr="002C381C">
        <w:rPr>
          <w:rFonts w:ascii="Arial" w:eastAsia="Times New Roman" w:hAnsi="Arial" w:cs="Arial"/>
          <w:bCs/>
          <w:sz w:val="20"/>
          <w:szCs w:val="20"/>
        </w:rPr>
        <w:t xml:space="preserve"> </w:t>
      </w:r>
      <w:r w:rsidRPr="002C381C">
        <w:rPr>
          <w:rFonts w:ascii="Arial" w:eastAsia="Times New Roman" w:hAnsi="Arial" w:cs="Arial"/>
          <w:bCs/>
          <w:sz w:val="20"/>
          <w:szCs w:val="20"/>
        </w:rPr>
        <w:t xml:space="preserve">and micaceous quartzite, besides the roof and walls of these small old workings. These </w:t>
      </w:r>
      <w:proofErr w:type="spellStart"/>
      <w:r w:rsidRPr="002C381C">
        <w:rPr>
          <w:rFonts w:ascii="Arial" w:eastAsia="Times New Roman" w:hAnsi="Arial" w:cs="Arial"/>
          <w:bCs/>
          <w:sz w:val="20"/>
          <w:szCs w:val="20"/>
        </w:rPr>
        <w:t>Ajabgarh</w:t>
      </w:r>
      <w:proofErr w:type="spellEnd"/>
      <w:r w:rsidRPr="002C381C">
        <w:rPr>
          <w:rFonts w:ascii="Arial" w:eastAsia="Times New Roman" w:hAnsi="Arial" w:cs="Arial"/>
          <w:bCs/>
          <w:sz w:val="20"/>
          <w:szCs w:val="20"/>
        </w:rPr>
        <w:t xml:space="preserve"> meta-sediments belong to the </w:t>
      </w:r>
      <w:r w:rsidR="00592510">
        <w:rPr>
          <w:rFonts w:ascii="Arial" w:eastAsia="Times New Roman" w:hAnsi="Arial" w:cs="Arial"/>
          <w:bCs/>
          <w:sz w:val="20"/>
          <w:szCs w:val="20"/>
        </w:rPr>
        <w:t xml:space="preserve">            </w:t>
      </w:r>
      <w:r w:rsidRPr="002C381C">
        <w:rPr>
          <w:rFonts w:ascii="Arial" w:eastAsia="Times New Roman" w:hAnsi="Arial" w:cs="Arial"/>
          <w:bCs/>
          <w:sz w:val="20"/>
          <w:szCs w:val="20"/>
        </w:rPr>
        <w:t xml:space="preserve">North Delhi fold belt and are intensely deformed. There are evidences of three phases of deformation recorded in the rocks of the </w:t>
      </w:r>
      <w:r w:rsidR="00592510">
        <w:rPr>
          <w:rFonts w:ascii="Arial" w:eastAsia="Times New Roman" w:hAnsi="Arial" w:cs="Arial"/>
          <w:bCs/>
          <w:sz w:val="20"/>
          <w:szCs w:val="20"/>
        </w:rPr>
        <w:t xml:space="preserve">              </w:t>
      </w:r>
      <w:r w:rsidRPr="002C381C">
        <w:rPr>
          <w:rFonts w:ascii="Arial" w:eastAsia="Times New Roman" w:hAnsi="Arial" w:cs="Arial"/>
          <w:bCs/>
          <w:sz w:val="20"/>
          <w:szCs w:val="20"/>
        </w:rPr>
        <w:t xml:space="preserve">area specially the calcareous litho-units display </w:t>
      </w:r>
      <w:r w:rsidR="00592510">
        <w:rPr>
          <w:rFonts w:ascii="Arial" w:eastAsia="Times New Roman" w:hAnsi="Arial" w:cs="Arial"/>
          <w:bCs/>
          <w:sz w:val="20"/>
          <w:szCs w:val="20"/>
        </w:rPr>
        <w:t xml:space="preserve">              </w:t>
      </w:r>
      <w:r w:rsidRPr="002C381C">
        <w:rPr>
          <w:rFonts w:ascii="Arial" w:eastAsia="Times New Roman" w:hAnsi="Arial" w:cs="Arial"/>
          <w:bCs/>
          <w:sz w:val="20"/>
          <w:szCs w:val="20"/>
        </w:rPr>
        <w:t xml:space="preserve">it more profusely. The area exposes map </w:t>
      </w:r>
      <w:r w:rsidR="00592510">
        <w:rPr>
          <w:rFonts w:ascii="Arial" w:eastAsia="Times New Roman" w:hAnsi="Arial" w:cs="Arial"/>
          <w:bCs/>
          <w:sz w:val="20"/>
          <w:szCs w:val="20"/>
        </w:rPr>
        <w:t xml:space="preserve">           </w:t>
      </w:r>
      <w:r w:rsidRPr="002C381C">
        <w:rPr>
          <w:rFonts w:ascii="Arial" w:eastAsia="Times New Roman" w:hAnsi="Arial" w:cs="Arial"/>
          <w:bCs/>
          <w:sz w:val="20"/>
          <w:szCs w:val="20"/>
        </w:rPr>
        <w:t xml:space="preserve">scale boudinages resulted due to interference </w:t>
      </w:r>
      <w:r w:rsidR="00592510">
        <w:rPr>
          <w:rFonts w:ascii="Arial" w:eastAsia="Times New Roman" w:hAnsi="Arial" w:cs="Arial"/>
          <w:bCs/>
          <w:sz w:val="20"/>
          <w:szCs w:val="20"/>
        </w:rPr>
        <w:t xml:space="preserve">             </w:t>
      </w:r>
      <w:r w:rsidRPr="002C381C">
        <w:rPr>
          <w:rFonts w:ascii="Arial" w:eastAsia="Times New Roman" w:hAnsi="Arial" w:cs="Arial"/>
          <w:bCs/>
          <w:sz w:val="20"/>
          <w:szCs w:val="20"/>
        </w:rPr>
        <w:t xml:space="preserve">of first and second deformation. The shearing </w:t>
      </w:r>
      <w:r w:rsidR="00592510">
        <w:rPr>
          <w:rFonts w:ascii="Arial" w:eastAsia="Times New Roman" w:hAnsi="Arial" w:cs="Arial"/>
          <w:bCs/>
          <w:sz w:val="20"/>
          <w:szCs w:val="20"/>
        </w:rPr>
        <w:t xml:space="preserve">            </w:t>
      </w:r>
      <w:r w:rsidRPr="002C381C">
        <w:rPr>
          <w:rFonts w:ascii="Arial" w:eastAsia="Times New Roman" w:hAnsi="Arial" w:cs="Arial"/>
          <w:bCs/>
          <w:sz w:val="20"/>
          <w:szCs w:val="20"/>
        </w:rPr>
        <w:t xml:space="preserve">is evidenced by occurrence of sigmoidal </w:t>
      </w:r>
      <w:r w:rsidR="00592510">
        <w:rPr>
          <w:rFonts w:ascii="Arial" w:eastAsia="Times New Roman" w:hAnsi="Arial" w:cs="Arial"/>
          <w:bCs/>
          <w:sz w:val="20"/>
          <w:szCs w:val="20"/>
        </w:rPr>
        <w:t xml:space="preserve">          </w:t>
      </w:r>
      <w:r w:rsidRPr="002C381C">
        <w:rPr>
          <w:rFonts w:ascii="Arial" w:eastAsia="Times New Roman" w:hAnsi="Arial" w:cs="Arial"/>
          <w:bCs/>
          <w:sz w:val="20"/>
          <w:szCs w:val="20"/>
        </w:rPr>
        <w:t>quartz grains on the S2 surface in quartzite; besides grain rotation present in the thin</w:t>
      </w:r>
      <w:r w:rsidR="00592510">
        <w:rPr>
          <w:rFonts w:ascii="Arial" w:eastAsia="Times New Roman" w:hAnsi="Arial" w:cs="Arial"/>
          <w:bCs/>
          <w:sz w:val="20"/>
          <w:szCs w:val="20"/>
        </w:rPr>
        <w:t xml:space="preserve">             </w:t>
      </w:r>
      <w:r w:rsidRPr="002C381C">
        <w:rPr>
          <w:rFonts w:ascii="Arial" w:eastAsia="Times New Roman" w:hAnsi="Arial" w:cs="Arial"/>
          <w:bCs/>
          <w:sz w:val="20"/>
          <w:szCs w:val="20"/>
        </w:rPr>
        <w:t xml:space="preserve"> intra-formational gritty layers are recorded </w:t>
      </w:r>
      <w:r w:rsidRPr="00B31EC3">
        <w:rPr>
          <w:rFonts w:ascii="Arial" w:eastAsia="Times New Roman" w:hAnsi="Arial" w:cs="Arial"/>
          <w:bCs/>
          <w:sz w:val="20"/>
          <w:szCs w:val="20"/>
        </w:rPr>
        <w:t>(</w:t>
      </w:r>
      <w:r w:rsidRPr="001C1FD2">
        <w:rPr>
          <w:rFonts w:ascii="Arial" w:eastAsia="Times New Roman" w:hAnsi="Arial" w:cs="Arial"/>
          <w:bCs/>
          <w:sz w:val="20"/>
          <w:szCs w:val="20"/>
        </w:rPr>
        <w:t>Fig</w:t>
      </w:r>
      <w:r w:rsidRPr="002C381C">
        <w:rPr>
          <w:rFonts w:ascii="Arial" w:eastAsia="Times New Roman" w:hAnsi="Arial" w:cs="Arial"/>
          <w:bCs/>
          <w:sz w:val="20"/>
          <w:szCs w:val="20"/>
        </w:rPr>
        <w:t>. 2A).</w:t>
      </w:r>
    </w:p>
    <w:p w14:paraId="373EFF0E" w14:textId="77777777" w:rsidR="00592510" w:rsidRDefault="00592510" w:rsidP="002249B2">
      <w:pPr>
        <w:spacing w:after="0" w:line="240" w:lineRule="auto"/>
        <w:contextualSpacing/>
        <w:jc w:val="both"/>
        <w:rPr>
          <w:rFonts w:ascii="Arial" w:eastAsia="Times New Roman" w:hAnsi="Arial" w:cs="Arial"/>
          <w:bCs/>
          <w:sz w:val="20"/>
          <w:szCs w:val="20"/>
        </w:rPr>
        <w:sectPr w:rsidR="00592510" w:rsidSect="00592510">
          <w:type w:val="continuous"/>
          <w:pgSz w:w="11909" w:h="16834" w:code="9"/>
          <w:pgMar w:top="1440" w:right="1440" w:bottom="1440" w:left="1440" w:header="720" w:footer="864" w:gutter="0"/>
          <w:cols w:num="2" w:space="288"/>
          <w:docGrid w:linePitch="360"/>
        </w:sectPr>
      </w:pPr>
    </w:p>
    <w:p w14:paraId="645DDEAB" w14:textId="77777777" w:rsidR="00592510" w:rsidRDefault="00592510" w:rsidP="002249B2">
      <w:pPr>
        <w:spacing w:after="0" w:line="240" w:lineRule="auto"/>
        <w:contextualSpacing/>
        <w:jc w:val="both"/>
        <w:rPr>
          <w:rFonts w:ascii="Arial" w:eastAsia="Times New Roman" w:hAnsi="Arial" w:cs="Arial"/>
          <w:bCs/>
          <w:sz w:val="20"/>
          <w:szCs w:val="20"/>
        </w:rPr>
      </w:pPr>
    </w:p>
    <w:p w14:paraId="6CF41BE4" w14:textId="77777777" w:rsidR="00592510" w:rsidRPr="002C381C" w:rsidRDefault="00592510" w:rsidP="00592510">
      <w:pPr>
        <w:spacing w:after="0" w:line="240" w:lineRule="auto"/>
        <w:contextualSpacing/>
        <w:jc w:val="center"/>
        <w:rPr>
          <w:rFonts w:ascii="Arial" w:eastAsia="Times New Roman" w:hAnsi="Arial" w:cs="Arial"/>
          <w:bCs/>
          <w:sz w:val="20"/>
          <w:szCs w:val="20"/>
        </w:rPr>
      </w:pPr>
      <w:r w:rsidRPr="002C381C">
        <w:rPr>
          <w:rFonts w:ascii="Arial" w:eastAsia="Times New Roman" w:hAnsi="Arial" w:cs="Arial"/>
          <w:bCs/>
          <w:noProof/>
          <w:sz w:val="20"/>
          <w:szCs w:val="20"/>
        </w:rPr>
        <w:lastRenderedPageBreak/>
        <w:drawing>
          <wp:inline distT="0" distB="0" distL="0" distR="0" wp14:anchorId="4AE80D24" wp14:editId="5B414AD9">
            <wp:extent cx="4449787" cy="4318000"/>
            <wp:effectExtent l="0" t="0" r="0" b="0"/>
            <wp:docPr id="1867341114" name="Image 87"/>
            <wp:cNvGraphicFramePr/>
            <a:graphic xmlns:a="http://schemas.openxmlformats.org/drawingml/2006/main">
              <a:graphicData uri="http://schemas.openxmlformats.org/drawingml/2006/picture">
                <pic:pic xmlns:pic="http://schemas.openxmlformats.org/drawingml/2006/picture">
                  <pic:nvPicPr>
                    <pic:cNvPr id="1867341114" name="Image 8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59528" cy="4327452"/>
                    </a:xfrm>
                    <a:prstGeom prst="rect">
                      <a:avLst/>
                    </a:prstGeom>
                  </pic:spPr>
                </pic:pic>
              </a:graphicData>
            </a:graphic>
          </wp:inline>
        </w:drawing>
      </w:r>
    </w:p>
    <w:p w14:paraId="6BDEF30F" w14:textId="77777777" w:rsidR="00592510" w:rsidRPr="002C381C" w:rsidRDefault="00592510" w:rsidP="00592510">
      <w:pPr>
        <w:spacing w:after="0" w:line="240" w:lineRule="auto"/>
        <w:contextualSpacing/>
        <w:jc w:val="both"/>
        <w:rPr>
          <w:rFonts w:ascii="Arial" w:eastAsia="Times New Roman" w:hAnsi="Arial" w:cs="Arial"/>
          <w:bCs/>
          <w:sz w:val="20"/>
          <w:szCs w:val="20"/>
        </w:rPr>
      </w:pPr>
    </w:p>
    <w:p w14:paraId="631F82C1" w14:textId="77777777" w:rsidR="00592510" w:rsidRPr="002C381C" w:rsidRDefault="00592510" w:rsidP="00592510">
      <w:pPr>
        <w:spacing w:after="0" w:line="240" w:lineRule="auto"/>
        <w:contextualSpacing/>
        <w:jc w:val="center"/>
        <w:rPr>
          <w:rFonts w:ascii="Arial" w:eastAsia="Times New Roman" w:hAnsi="Arial" w:cs="Arial"/>
          <w:b/>
          <w:bCs/>
          <w:sz w:val="20"/>
          <w:szCs w:val="20"/>
        </w:rPr>
      </w:pPr>
      <w:r w:rsidRPr="001C1FD2">
        <w:rPr>
          <w:rFonts w:ascii="Arial" w:eastAsia="Times New Roman" w:hAnsi="Arial" w:cs="Arial"/>
          <w:b/>
          <w:bCs/>
          <w:sz w:val="20"/>
          <w:szCs w:val="20"/>
        </w:rPr>
        <w:t>Fig</w:t>
      </w:r>
      <w:r w:rsidRPr="002C381C">
        <w:rPr>
          <w:rFonts w:ascii="Arial" w:eastAsia="Times New Roman" w:hAnsi="Arial" w:cs="Arial"/>
          <w:b/>
          <w:bCs/>
          <w:sz w:val="20"/>
          <w:szCs w:val="20"/>
        </w:rPr>
        <w:t>. 2</w:t>
      </w:r>
      <w:r>
        <w:rPr>
          <w:rFonts w:ascii="Arial" w:eastAsia="Times New Roman" w:hAnsi="Arial" w:cs="Arial"/>
          <w:b/>
          <w:bCs/>
          <w:sz w:val="20"/>
          <w:szCs w:val="20"/>
        </w:rPr>
        <w:t>.</w:t>
      </w:r>
      <w:r w:rsidRPr="002C381C">
        <w:rPr>
          <w:rFonts w:ascii="Arial" w:eastAsia="Times New Roman" w:hAnsi="Arial" w:cs="Arial"/>
          <w:b/>
          <w:bCs/>
          <w:sz w:val="20"/>
          <w:szCs w:val="20"/>
        </w:rPr>
        <w:t xml:space="preserve"> Field photographs depicting various features of structure and </w:t>
      </w:r>
      <w:proofErr w:type="spellStart"/>
      <w:r w:rsidRPr="002C381C">
        <w:rPr>
          <w:rFonts w:ascii="Arial" w:eastAsia="Times New Roman" w:hAnsi="Arial" w:cs="Arial"/>
          <w:b/>
          <w:bCs/>
          <w:sz w:val="20"/>
          <w:szCs w:val="20"/>
        </w:rPr>
        <w:t>mineralisation</w:t>
      </w:r>
      <w:proofErr w:type="spellEnd"/>
      <w:r w:rsidRPr="002C381C">
        <w:rPr>
          <w:rFonts w:ascii="Arial" w:eastAsia="Times New Roman" w:hAnsi="Arial" w:cs="Arial"/>
          <w:b/>
          <w:bCs/>
          <w:sz w:val="20"/>
          <w:szCs w:val="20"/>
        </w:rPr>
        <w:t xml:space="preserve"> in the </w:t>
      </w:r>
      <w:proofErr w:type="spellStart"/>
      <w:r w:rsidRPr="002C381C">
        <w:rPr>
          <w:rFonts w:ascii="Arial" w:eastAsia="Times New Roman" w:hAnsi="Arial" w:cs="Arial"/>
          <w:b/>
          <w:bCs/>
          <w:sz w:val="20"/>
          <w:szCs w:val="20"/>
        </w:rPr>
        <w:t>Bansiyal</w:t>
      </w:r>
      <w:proofErr w:type="spellEnd"/>
      <w:r w:rsidRPr="002C381C">
        <w:rPr>
          <w:rFonts w:ascii="Arial" w:eastAsia="Times New Roman" w:hAnsi="Arial" w:cs="Arial"/>
          <w:b/>
          <w:bCs/>
          <w:sz w:val="20"/>
          <w:szCs w:val="20"/>
        </w:rPr>
        <w:t xml:space="preserve"> area, District Neem Ka Thana, Rajasthan. </w:t>
      </w:r>
      <w:r w:rsidRPr="00B31EC3">
        <w:rPr>
          <w:rFonts w:ascii="Arial" w:eastAsia="Times New Roman" w:hAnsi="Arial" w:cs="Arial"/>
          <w:b/>
          <w:bCs/>
          <w:sz w:val="20"/>
          <w:szCs w:val="20"/>
        </w:rPr>
        <w:t>(</w:t>
      </w:r>
      <w:r w:rsidRPr="002C381C">
        <w:rPr>
          <w:rFonts w:ascii="Arial" w:eastAsia="Times New Roman" w:hAnsi="Arial" w:cs="Arial"/>
          <w:b/>
          <w:bCs/>
          <w:sz w:val="20"/>
          <w:szCs w:val="20"/>
        </w:rPr>
        <w:t xml:space="preserve">A). The picture exhibits </w:t>
      </w:r>
      <w:proofErr w:type="spellStart"/>
      <w:r w:rsidRPr="002C381C">
        <w:rPr>
          <w:rFonts w:ascii="Arial" w:eastAsia="Times New Roman" w:hAnsi="Arial" w:cs="Arial"/>
          <w:b/>
          <w:bCs/>
          <w:sz w:val="20"/>
          <w:szCs w:val="20"/>
        </w:rPr>
        <w:t>sigmoids</w:t>
      </w:r>
      <w:proofErr w:type="spellEnd"/>
      <w:r w:rsidRPr="002C381C">
        <w:rPr>
          <w:rFonts w:ascii="Arial" w:eastAsia="Times New Roman" w:hAnsi="Arial" w:cs="Arial"/>
          <w:b/>
          <w:bCs/>
          <w:sz w:val="20"/>
          <w:szCs w:val="20"/>
        </w:rPr>
        <w:t xml:space="preserve"> and boudinage developed in the siliceous dolomite. </w:t>
      </w:r>
      <w:r w:rsidRPr="00B31EC3">
        <w:rPr>
          <w:rFonts w:ascii="Arial" w:eastAsia="Times New Roman" w:hAnsi="Arial" w:cs="Arial"/>
          <w:b/>
          <w:bCs/>
          <w:sz w:val="20"/>
          <w:szCs w:val="20"/>
        </w:rPr>
        <w:t>(</w:t>
      </w:r>
      <w:r w:rsidRPr="002C381C">
        <w:rPr>
          <w:rFonts w:ascii="Arial" w:eastAsia="Times New Roman" w:hAnsi="Arial" w:cs="Arial"/>
          <w:b/>
          <w:bCs/>
          <w:sz w:val="20"/>
          <w:szCs w:val="20"/>
        </w:rPr>
        <w:t xml:space="preserve">B). Portion of a quartz vein containing </w:t>
      </w:r>
      <w:proofErr w:type="spellStart"/>
      <w:r w:rsidRPr="002C381C">
        <w:rPr>
          <w:rFonts w:ascii="Arial" w:eastAsia="Times New Roman" w:hAnsi="Arial" w:cs="Arial"/>
          <w:b/>
          <w:bCs/>
          <w:sz w:val="20"/>
          <w:szCs w:val="20"/>
        </w:rPr>
        <w:t>oxidised</w:t>
      </w:r>
      <w:proofErr w:type="spellEnd"/>
      <w:r w:rsidRPr="002C381C">
        <w:rPr>
          <w:rFonts w:ascii="Arial" w:eastAsia="Times New Roman" w:hAnsi="Arial" w:cs="Arial"/>
          <w:b/>
          <w:bCs/>
          <w:sz w:val="20"/>
          <w:szCs w:val="20"/>
        </w:rPr>
        <w:t xml:space="preserve"> </w:t>
      </w:r>
      <w:proofErr w:type="spellStart"/>
      <w:r w:rsidRPr="002C381C">
        <w:rPr>
          <w:rFonts w:ascii="Arial" w:eastAsia="Times New Roman" w:hAnsi="Arial" w:cs="Arial"/>
          <w:b/>
          <w:bCs/>
          <w:sz w:val="20"/>
          <w:szCs w:val="20"/>
        </w:rPr>
        <w:t>sulphides</w:t>
      </w:r>
      <w:proofErr w:type="spellEnd"/>
      <w:r w:rsidRPr="002C381C">
        <w:rPr>
          <w:rFonts w:ascii="Arial" w:eastAsia="Times New Roman" w:hAnsi="Arial" w:cs="Arial"/>
          <w:b/>
          <w:bCs/>
          <w:sz w:val="20"/>
          <w:szCs w:val="20"/>
        </w:rPr>
        <w:t xml:space="preserve"> and oxides indicated by circles and boxes. Please note the sigmoidal shape of the </w:t>
      </w:r>
      <w:proofErr w:type="spellStart"/>
      <w:r w:rsidRPr="002C381C">
        <w:rPr>
          <w:rFonts w:ascii="Arial" w:eastAsia="Times New Roman" w:hAnsi="Arial" w:cs="Arial"/>
          <w:b/>
          <w:bCs/>
          <w:sz w:val="20"/>
          <w:szCs w:val="20"/>
        </w:rPr>
        <w:t>vugs</w:t>
      </w:r>
      <w:proofErr w:type="spellEnd"/>
      <w:r w:rsidRPr="002C381C">
        <w:rPr>
          <w:rFonts w:ascii="Arial" w:eastAsia="Times New Roman" w:hAnsi="Arial" w:cs="Arial"/>
          <w:b/>
          <w:bCs/>
          <w:sz w:val="20"/>
          <w:szCs w:val="20"/>
        </w:rPr>
        <w:t xml:space="preserve"> containing </w:t>
      </w:r>
      <w:proofErr w:type="spellStart"/>
      <w:r w:rsidRPr="002C381C">
        <w:rPr>
          <w:rFonts w:ascii="Arial" w:eastAsia="Times New Roman" w:hAnsi="Arial" w:cs="Arial"/>
          <w:b/>
          <w:bCs/>
          <w:sz w:val="20"/>
          <w:szCs w:val="20"/>
        </w:rPr>
        <w:t>sulphides</w:t>
      </w:r>
      <w:proofErr w:type="spellEnd"/>
      <w:r w:rsidRPr="002C381C">
        <w:rPr>
          <w:rFonts w:ascii="Arial" w:eastAsia="Times New Roman" w:hAnsi="Arial" w:cs="Arial"/>
          <w:b/>
          <w:bCs/>
          <w:sz w:val="20"/>
          <w:szCs w:val="20"/>
        </w:rPr>
        <w:t xml:space="preserve"> exhibiting a sheared nature. </w:t>
      </w:r>
      <w:r w:rsidRPr="00B31EC3">
        <w:rPr>
          <w:rFonts w:ascii="Arial" w:eastAsia="Times New Roman" w:hAnsi="Arial" w:cs="Arial"/>
          <w:b/>
          <w:bCs/>
          <w:sz w:val="20"/>
          <w:szCs w:val="20"/>
        </w:rPr>
        <w:t>(</w:t>
      </w:r>
      <w:r w:rsidRPr="002C381C">
        <w:rPr>
          <w:rFonts w:ascii="Arial" w:eastAsia="Times New Roman" w:hAnsi="Arial" w:cs="Arial"/>
          <w:b/>
          <w:bCs/>
          <w:sz w:val="20"/>
          <w:szCs w:val="20"/>
        </w:rPr>
        <w:t xml:space="preserve">C). Larger boudinage in quartzite confirming shear in the area. </w:t>
      </w:r>
      <w:r w:rsidRPr="00B31EC3">
        <w:rPr>
          <w:rFonts w:ascii="Arial" w:eastAsia="Times New Roman" w:hAnsi="Arial" w:cs="Arial"/>
          <w:b/>
          <w:bCs/>
          <w:sz w:val="20"/>
          <w:szCs w:val="20"/>
        </w:rPr>
        <w:t>(</w:t>
      </w:r>
      <w:r w:rsidRPr="002C381C">
        <w:rPr>
          <w:rFonts w:ascii="Arial" w:eastAsia="Times New Roman" w:hAnsi="Arial" w:cs="Arial"/>
          <w:b/>
          <w:bCs/>
          <w:sz w:val="20"/>
          <w:szCs w:val="20"/>
        </w:rPr>
        <w:t xml:space="preserve">D). Fragment of a Hematite from BHQ with Malachite staining, indicating Fe-Cu-S system of </w:t>
      </w:r>
      <w:proofErr w:type="spellStart"/>
      <w:r w:rsidRPr="002C381C">
        <w:rPr>
          <w:rFonts w:ascii="Arial" w:eastAsia="Times New Roman" w:hAnsi="Arial" w:cs="Arial"/>
          <w:b/>
          <w:bCs/>
          <w:sz w:val="20"/>
          <w:szCs w:val="20"/>
        </w:rPr>
        <w:t>mineralisation</w:t>
      </w:r>
      <w:proofErr w:type="spellEnd"/>
      <w:r w:rsidRPr="002C381C">
        <w:rPr>
          <w:rFonts w:ascii="Arial" w:eastAsia="Times New Roman" w:hAnsi="Arial" w:cs="Arial"/>
          <w:b/>
          <w:bCs/>
          <w:sz w:val="20"/>
          <w:szCs w:val="20"/>
        </w:rPr>
        <w:t xml:space="preserve">. </w:t>
      </w:r>
      <w:r w:rsidRPr="00B31EC3">
        <w:rPr>
          <w:rFonts w:ascii="Arial" w:eastAsia="Times New Roman" w:hAnsi="Arial" w:cs="Arial"/>
          <w:b/>
          <w:bCs/>
          <w:sz w:val="20"/>
          <w:szCs w:val="20"/>
        </w:rPr>
        <w:t>(</w:t>
      </w:r>
      <w:r w:rsidRPr="002C381C">
        <w:rPr>
          <w:rFonts w:ascii="Arial" w:eastAsia="Times New Roman" w:hAnsi="Arial" w:cs="Arial"/>
          <w:b/>
          <w:bCs/>
          <w:sz w:val="20"/>
          <w:szCs w:val="20"/>
        </w:rPr>
        <w:t xml:space="preserve">E). Encrustation of Malachite on the quartz vein confirming presence of Cu- </w:t>
      </w:r>
      <w:proofErr w:type="spellStart"/>
      <w:r w:rsidRPr="002C381C">
        <w:rPr>
          <w:rFonts w:ascii="Arial" w:eastAsia="Times New Roman" w:hAnsi="Arial" w:cs="Arial"/>
          <w:b/>
          <w:bCs/>
          <w:sz w:val="20"/>
          <w:szCs w:val="20"/>
        </w:rPr>
        <w:t>mineralisation</w:t>
      </w:r>
      <w:proofErr w:type="spellEnd"/>
      <w:r w:rsidRPr="002C381C">
        <w:rPr>
          <w:rFonts w:ascii="Arial" w:eastAsia="Times New Roman" w:hAnsi="Arial" w:cs="Arial"/>
          <w:b/>
          <w:bCs/>
          <w:sz w:val="20"/>
          <w:szCs w:val="20"/>
        </w:rPr>
        <w:t xml:space="preserve"> along the plane on which it is occurring </w:t>
      </w:r>
      <w:r w:rsidRPr="00B31EC3">
        <w:rPr>
          <w:rFonts w:ascii="Arial" w:eastAsia="Times New Roman" w:hAnsi="Arial" w:cs="Arial"/>
          <w:b/>
          <w:bCs/>
          <w:sz w:val="20"/>
          <w:szCs w:val="20"/>
        </w:rPr>
        <w:t>(</w:t>
      </w:r>
      <w:r w:rsidRPr="002C381C">
        <w:rPr>
          <w:rFonts w:ascii="Arial" w:eastAsia="Times New Roman" w:hAnsi="Arial" w:cs="Arial"/>
          <w:b/>
          <w:bCs/>
          <w:sz w:val="20"/>
          <w:szCs w:val="20"/>
        </w:rPr>
        <w:t xml:space="preserve">roughly in East-West direction). </w:t>
      </w:r>
      <w:r w:rsidRPr="00B31EC3">
        <w:rPr>
          <w:rFonts w:ascii="Arial" w:eastAsia="Times New Roman" w:hAnsi="Arial" w:cs="Arial"/>
          <w:b/>
          <w:bCs/>
          <w:sz w:val="20"/>
          <w:szCs w:val="20"/>
        </w:rPr>
        <w:t>(</w:t>
      </w:r>
      <w:r w:rsidRPr="002C381C">
        <w:rPr>
          <w:rFonts w:ascii="Arial" w:eastAsia="Times New Roman" w:hAnsi="Arial" w:cs="Arial"/>
          <w:b/>
          <w:bCs/>
          <w:sz w:val="20"/>
          <w:szCs w:val="20"/>
        </w:rPr>
        <w:t>F). Hematite partings within dolomite</w:t>
      </w:r>
    </w:p>
    <w:p w14:paraId="30469F9B" w14:textId="77777777" w:rsidR="001A762C" w:rsidRDefault="001A762C" w:rsidP="002C381C">
      <w:pPr>
        <w:spacing w:after="0" w:line="240" w:lineRule="auto"/>
        <w:contextualSpacing/>
        <w:jc w:val="both"/>
        <w:rPr>
          <w:rFonts w:ascii="Arial" w:eastAsia="Times New Roman" w:hAnsi="Arial" w:cs="Arial"/>
          <w:b/>
          <w:bCs/>
        </w:rPr>
        <w:sectPr w:rsidR="001A762C" w:rsidSect="00894CD3">
          <w:type w:val="continuous"/>
          <w:pgSz w:w="11909" w:h="16834" w:code="9"/>
          <w:pgMar w:top="1440" w:right="1440" w:bottom="1440" w:left="1440" w:header="720" w:footer="864" w:gutter="0"/>
          <w:cols w:space="720"/>
          <w:titlePg/>
          <w:docGrid w:linePitch="360"/>
        </w:sectPr>
      </w:pPr>
    </w:p>
    <w:p w14:paraId="6FDCA7CF" w14:textId="77777777" w:rsidR="005161CE" w:rsidRDefault="005161CE" w:rsidP="001A762C">
      <w:pPr>
        <w:spacing w:after="0" w:line="240" w:lineRule="auto"/>
        <w:ind w:left="360" w:hanging="360"/>
        <w:contextualSpacing/>
        <w:jc w:val="both"/>
        <w:rPr>
          <w:rFonts w:ascii="Arial" w:eastAsia="Times New Roman" w:hAnsi="Arial" w:cs="Arial"/>
          <w:b/>
          <w:bCs/>
        </w:rPr>
      </w:pPr>
    </w:p>
    <w:p w14:paraId="55290AC5" w14:textId="77777777" w:rsidR="005161CE" w:rsidRDefault="005161CE" w:rsidP="001A762C">
      <w:pPr>
        <w:spacing w:after="0" w:line="240" w:lineRule="auto"/>
        <w:ind w:left="360" w:hanging="360"/>
        <w:contextualSpacing/>
        <w:jc w:val="both"/>
        <w:rPr>
          <w:rFonts w:ascii="Arial" w:eastAsia="Times New Roman" w:hAnsi="Arial" w:cs="Arial"/>
          <w:b/>
          <w:bCs/>
        </w:rPr>
      </w:pPr>
    </w:p>
    <w:p w14:paraId="65BF6739" w14:textId="02310E5E" w:rsidR="005161CE" w:rsidRDefault="005161CE" w:rsidP="001A762C">
      <w:pPr>
        <w:spacing w:after="0" w:line="240" w:lineRule="auto"/>
        <w:ind w:left="360" w:hanging="360"/>
        <w:contextualSpacing/>
        <w:jc w:val="both"/>
        <w:rPr>
          <w:rFonts w:ascii="Arial" w:eastAsia="Times New Roman" w:hAnsi="Arial" w:cs="Arial"/>
          <w:b/>
          <w:bCs/>
        </w:rPr>
      </w:pPr>
      <w:r>
        <w:rPr>
          <w:rFonts w:ascii="Arial" w:eastAsia="Times New Roman" w:hAnsi="Arial" w:cs="Arial"/>
          <w:b/>
          <w:bCs/>
        </w:rPr>
        <w:t>Result and Discussion:</w:t>
      </w:r>
    </w:p>
    <w:p w14:paraId="2F00CACC" w14:textId="77777777" w:rsidR="005161CE" w:rsidRDefault="005161CE" w:rsidP="001A762C">
      <w:pPr>
        <w:spacing w:after="0" w:line="240" w:lineRule="auto"/>
        <w:ind w:left="360" w:hanging="360"/>
        <w:contextualSpacing/>
        <w:jc w:val="both"/>
        <w:rPr>
          <w:rFonts w:ascii="Arial" w:eastAsia="Times New Roman" w:hAnsi="Arial" w:cs="Arial"/>
          <w:b/>
          <w:bCs/>
        </w:rPr>
      </w:pPr>
    </w:p>
    <w:p w14:paraId="7E9D2620" w14:textId="5979D7DA" w:rsidR="002C381C" w:rsidRPr="002C381C" w:rsidRDefault="002C381C" w:rsidP="002C381C">
      <w:pPr>
        <w:spacing w:after="0" w:line="240" w:lineRule="auto"/>
        <w:contextualSpacing/>
        <w:jc w:val="both"/>
        <w:rPr>
          <w:rFonts w:ascii="Arial" w:eastAsia="Times New Roman" w:hAnsi="Arial" w:cs="Arial"/>
          <w:bCs/>
          <w:sz w:val="20"/>
          <w:szCs w:val="20"/>
        </w:rPr>
      </w:pPr>
      <w:r w:rsidRPr="002C381C">
        <w:rPr>
          <w:rFonts w:ascii="Arial" w:eastAsia="Times New Roman" w:hAnsi="Arial" w:cs="Arial"/>
          <w:bCs/>
          <w:sz w:val="20"/>
          <w:szCs w:val="20"/>
        </w:rPr>
        <w:t xml:space="preserve">The </w:t>
      </w:r>
      <w:proofErr w:type="spellStart"/>
      <w:r w:rsidRPr="002C381C">
        <w:rPr>
          <w:rFonts w:ascii="Arial" w:eastAsia="Times New Roman" w:hAnsi="Arial" w:cs="Arial"/>
          <w:bCs/>
          <w:sz w:val="20"/>
          <w:szCs w:val="20"/>
        </w:rPr>
        <w:t>mineralisation</w:t>
      </w:r>
      <w:proofErr w:type="spellEnd"/>
      <w:r w:rsidRPr="002C381C">
        <w:rPr>
          <w:rFonts w:ascii="Arial" w:eastAsia="Times New Roman" w:hAnsi="Arial" w:cs="Arial"/>
          <w:bCs/>
          <w:sz w:val="20"/>
          <w:szCs w:val="20"/>
        </w:rPr>
        <w:t xml:space="preserve"> is indicated on the surface by presence of slag spreads in the area, profuse malachite staining present along the walls of the old workings curiously along the tail portions of the </w:t>
      </w:r>
      <w:proofErr w:type="spellStart"/>
      <w:r w:rsidRPr="002C381C">
        <w:rPr>
          <w:rFonts w:ascii="Arial" w:eastAsia="Times New Roman" w:hAnsi="Arial" w:cs="Arial"/>
          <w:bCs/>
          <w:sz w:val="20"/>
          <w:szCs w:val="20"/>
        </w:rPr>
        <w:t>lensoid</w:t>
      </w:r>
      <w:proofErr w:type="spellEnd"/>
      <w:r w:rsidRPr="002C381C">
        <w:rPr>
          <w:rFonts w:ascii="Arial" w:eastAsia="Times New Roman" w:hAnsi="Arial" w:cs="Arial"/>
          <w:bCs/>
          <w:sz w:val="20"/>
          <w:szCs w:val="20"/>
        </w:rPr>
        <w:t xml:space="preserve"> bodies of the quartzite suggesting it to be structurally controlled. Along the tail portion of the map scale boudinages, profuse quartz venation has taken place, and these quartz veins contain thick encrustations of malachite along the exposed walls of the old workings </w:t>
      </w:r>
      <w:r w:rsidRPr="00B31EC3">
        <w:rPr>
          <w:rFonts w:ascii="Arial" w:eastAsia="Times New Roman" w:hAnsi="Arial" w:cs="Arial"/>
          <w:bCs/>
          <w:sz w:val="20"/>
          <w:szCs w:val="20"/>
        </w:rPr>
        <w:t>(</w:t>
      </w:r>
      <w:r w:rsidRPr="001C1FD2">
        <w:rPr>
          <w:rFonts w:ascii="Arial" w:eastAsia="Times New Roman" w:hAnsi="Arial" w:cs="Arial"/>
          <w:bCs/>
          <w:sz w:val="20"/>
          <w:szCs w:val="20"/>
        </w:rPr>
        <w:t>Fig</w:t>
      </w:r>
      <w:r w:rsidRPr="002C381C">
        <w:rPr>
          <w:rFonts w:ascii="Arial" w:eastAsia="Times New Roman" w:hAnsi="Arial" w:cs="Arial"/>
          <w:bCs/>
          <w:sz w:val="20"/>
          <w:szCs w:val="20"/>
        </w:rPr>
        <w:t xml:space="preserve">. 2D), besides containing pyrite and chalcopyrite grains </w:t>
      </w:r>
      <w:r w:rsidRPr="002C381C">
        <w:rPr>
          <w:rFonts w:ascii="Arial" w:eastAsia="Times New Roman" w:hAnsi="Arial" w:cs="Arial"/>
          <w:bCs/>
          <w:sz w:val="20"/>
          <w:szCs w:val="20"/>
        </w:rPr>
        <w:t xml:space="preserve">disseminated within these veins. The area also exposes </w:t>
      </w:r>
      <w:proofErr w:type="spellStart"/>
      <w:r w:rsidRPr="002C381C">
        <w:rPr>
          <w:rFonts w:ascii="Arial" w:eastAsia="Times New Roman" w:hAnsi="Arial" w:cs="Arial"/>
          <w:bCs/>
          <w:sz w:val="20"/>
          <w:szCs w:val="20"/>
        </w:rPr>
        <w:t>lensoidal</w:t>
      </w:r>
      <w:proofErr w:type="spellEnd"/>
      <w:r w:rsidRPr="002C381C">
        <w:rPr>
          <w:rFonts w:ascii="Arial" w:eastAsia="Times New Roman" w:hAnsi="Arial" w:cs="Arial"/>
          <w:bCs/>
          <w:sz w:val="20"/>
          <w:szCs w:val="20"/>
        </w:rPr>
        <w:t xml:space="preserve"> bodies of hematite along with some</w:t>
      </w:r>
      <w:r w:rsidR="00270C54">
        <w:rPr>
          <w:rFonts w:ascii="Arial" w:eastAsia="Times New Roman" w:hAnsi="Arial" w:cs="Arial"/>
          <w:bCs/>
          <w:sz w:val="20"/>
          <w:szCs w:val="20"/>
        </w:rPr>
        <w:t xml:space="preserve"> </w:t>
      </w:r>
      <w:r w:rsidRPr="002C381C">
        <w:rPr>
          <w:rFonts w:ascii="Arial" w:eastAsia="Times New Roman" w:hAnsi="Arial" w:cs="Arial"/>
          <w:bCs/>
          <w:sz w:val="20"/>
          <w:szCs w:val="20"/>
        </w:rPr>
        <w:t xml:space="preserve">magnetite intercalated with quartzite and dolomite/ amphibole marble. The samples collected from the area </w:t>
      </w:r>
      <w:r w:rsidRPr="00B31EC3">
        <w:rPr>
          <w:rFonts w:ascii="Arial" w:eastAsia="Times New Roman" w:hAnsi="Arial" w:cs="Arial"/>
          <w:bCs/>
          <w:sz w:val="20"/>
          <w:szCs w:val="20"/>
        </w:rPr>
        <w:t>(</w:t>
      </w:r>
      <w:r w:rsidRPr="001C1FD2">
        <w:rPr>
          <w:rFonts w:ascii="Arial" w:eastAsia="Times New Roman" w:hAnsi="Arial" w:cs="Arial"/>
          <w:bCs/>
          <w:sz w:val="20"/>
          <w:szCs w:val="20"/>
        </w:rPr>
        <w:t>Fig</w:t>
      </w:r>
      <w:r w:rsidRPr="002C381C">
        <w:rPr>
          <w:rFonts w:ascii="Arial" w:eastAsia="Times New Roman" w:hAnsi="Arial" w:cs="Arial"/>
          <w:bCs/>
          <w:sz w:val="20"/>
          <w:szCs w:val="20"/>
        </w:rPr>
        <w:t>.</w:t>
      </w:r>
      <w:r w:rsidR="001037BE">
        <w:rPr>
          <w:rFonts w:ascii="Arial" w:eastAsia="Times New Roman" w:hAnsi="Arial" w:cs="Arial"/>
          <w:bCs/>
          <w:sz w:val="20"/>
          <w:szCs w:val="20"/>
        </w:rPr>
        <w:t xml:space="preserve"> </w:t>
      </w:r>
      <w:r w:rsidRPr="002C381C">
        <w:rPr>
          <w:rFonts w:ascii="Arial" w:eastAsia="Times New Roman" w:hAnsi="Arial" w:cs="Arial"/>
          <w:bCs/>
          <w:sz w:val="20"/>
          <w:szCs w:val="20"/>
        </w:rPr>
        <w:t xml:space="preserve">1) </w:t>
      </w:r>
      <w:proofErr w:type="spellStart"/>
      <w:r w:rsidRPr="002C381C">
        <w:rPr>
          <w:rFonts w:ascii="Arial" w:eastAsia="Times New Roman" w:hAnsi="Arial" w:cs="Arial"/>
          <w:bCs/>
          <w:sz w:val="20"/>
          <w:szCs w:val="20"/>
        </w:rPr>
        <w:t>analysed</w:t>
      </w:r>
      <w:proofErr w:type="spellEnd"/>
      <w:r w:rsidRPr="002C381C">
        <w:rPr>
          <w:rFonts w:ascii="Arial" w:eastAsia="Times New Roman" w:hAnsi="Arial" w:cs="Arial"/>
          <w:bCs/>
          <w:sz w:val="20"/>
          <w:szCs w:val="20"/>
        </w:rPr>
        <w:t xml:space="preserve"> significant copper values up to 0.8%. The presence of Gold, </w:t>
      </w:r>
      <w:r w:rsidRPr="00B31EC3">
        <w:rPr>
          <w:rFonts w:ascii="Arial" w:eastAsia="Times New Roman" w:hAnsi="Arial" w:cs="Arial"/>
          <w:bCs/>
          <w:sz w:val="20"/>
          <w:szCs w:val="20"/>
        </w:rPr>
        <w:t>(</w:t>
      </w:r>
      <w:r w:rsidRPr="002C381C">
        <w:rPr>
          <w:rFonts w:ascii="Arial" w:eastAsia="Times New Roman" w:hAnsi="Arial" w:cs="Arial"/>
          <w:bCs/>
          <w:sz w:val="20"/>
          <w:szCs w:val="20"/>
        </w:rPr>
        <w:t xml:space="preserve">up to 75 ppb, </w:t>
      </w:r>
      <w:r w:rsidRPr="00B31EC3">
        <w:rPr>
          <w:rFonts w:ascii="Arial" w:eastAsia="Times New Roman" w:hAnsi="Arial" w:cs="Arial"/>
          <w:bCs/>
          <w:sz w:val="20"/>
          <w:szCs w:val="20"/>
        </w:rPr>
        <w:t>(</w:t>
      </w:r>
      <w:r w:rsidR="002D33C7" w:rsidRPr="001C1FD2">
        <w:rPr>
          <w:rFonts w:ascii="Arial" w:eastAsia="Times New Roman" w:hAnsi="Arial" w:cs="Arial"/>
          <w:bCs/>
          <w:sz w:val="20"/>
          <w:szCs w:val="20"/>
        </w:rPr>
        <w:t>Table</w:t>
      </w:r>
      <w:r w:rsidR="001A762C">
        <w:rPr>
          <w:rFonts w:ascii="Arial" w:eastAsia="Times New Roman" w:hAnsi="Arial" w:cs="Arial"/>
          <w:bCs/>
          <w:sz w:val="20"/>
          <w:szCs w:val="20"/>
        </w:rPr>
        <w:t xml:space="preserve"> </w:t>
      </w:r>
      <w:r w:rsidRPr="002C381C">
        <w:rPr>
          <w:rFonts w:ascii="Arial" w:eastAsia="Times New Roman" w:hAnsi="Arial" w:cs="Arial"/>
          <w:bCs/>
          <w:sz w:val="20"/>
          <w:szCs w:val="20"/>
        </w:rPr>
        <w:t>4) against the 10-ppb benchmark for further exploration) which is being reported for the first time from the area, seems to have been missed out by earlier workers. Yet another significant finding is Fe2O3 up to 52 %</w:t>
      </w:r>
      <w:r w:rsidR="002D33C7">
        <w:rPr>
          <w:rFonts w:ascii="Arial" w:eastAsia="Times New Roman" w:hAnsi="Arial" w:cs="Arial"/>
          <w:bCs/>
          <w:sz w:val="20"/>
          <w:szCs w:val="20"/>
        </w:rPr>
        <w:t xml:space="preserve"> </w:t>
      </w:r>
      <w:r w:rsidRPr="00B31EC3">
        <w:rPr>
          <w:rFonts w:ascii="Arial" w:eastAsia="Times New Roman" w:hAnsi="Arial" w:cs="Arial"/>
          <w:bCs/>
          <w:sz w:val="20"/>
          <w:szCs w:val="20"/>
        </w:rPr>
        <w:t>(</w:t>
      </w:r>
      <w:r w:rsidRPr="001C1FD2">
        <w:rPr>
          <w:rFonts w:ascii="Arial" w:eastAsia="Times New Roman" w:hAnsi="Arial" w:cs="Arial"/>
          <w:bCs/>
          <w:sz w:val="20"/>
          <w:szCs w:val="20"/>
        </w:rPr>
        <w:t>Table</w:t>
      </w:r>
      <w:r w:rsidRPr="002C381C">
        <w:rPr>
          <w:rFonts w:ascii="Arial" w:eastAsia="Times New Roman" w:hAnsi="Arial" w:cs="Arial"/>
          <w:bCs/>
          <w:sz w:val="20"/>
          <w:szCs w:val="20"/>
        </w:rPr>
        <w:t xml:space="preserve"> 3) within the hematite quartzite lenses sandwiched between these </w:t>
      </w:r>
      <w:proofErr w:type="spellStart"/>
      <w:r w:rsidRPr="002C381C">
        <w:rPr>
          <w:rFonts w:ascii="Arial" w:eastAsia="Times New Roman" w:hAnsi="Arial" w:cs="Arial"/>
          <w:bCs/>
          <w:sz w:val="20"/>
          <w:szCs w:val="20"/>
        </w:rPr>
        <w:t>Ajabgarh</w:t>
      </w:r>
      <w:proofErr w:type="spellEnd"/>
      <w:r w:rsidRPr="002C381C">
        <w:rPr>
          <w:rFonts w:ascii="Arial" w:eastAsia="Times New Roman" w:hAnsi="Arial" w:cs="Arial"/>
          <w:bCs/>
          <w:sz w:val="20"/>
          <w:szCs w:val="20"/>
        </w:rPr>
        <w:t xml:space="preserve"> </w:t>
      </w:r>
      <w:proofErr w:type="spellStart"/>
      <w:r w:rsidRPr="002C381C">
        <w:rPr>
          <w:rFonts w:ascii="Arial" w:eastAsia="Times New Roman" w:hAnsi="Arial" w:cs="Arial"/>
          <w:bCs/>
          <w:sz w:val="20"/>
          <w:szCs w:val="20"/>
        </w:rPr>
        <w:t>lithounits</w:t>
      </w:r>
      <w:proofErr w:type="spellEnd"/>
      <w:r w:rsidRPr="002C381C">
        <w:rPr>
          <w:rFonts w:ascii="Arial" w:eastAsia="Times New Roman" w:hAnsi="Arial" w:cs="Arial"/>
          <w:bCs/>
          <w:sz w:val="20"/>
          <w:szCs w:val="20"/>
        </w:rPr>
        <w:t>.</w:t>
      </w:r>
    </w:p>
    <w:p w14:paraId="2065CA30" w14:textId="77777777" w:rsidR="001A762C" w:rsidRDefault="001A762C" w:rsidP="002C381C">
      <w:pPr>
        <w:spacing w:after="0" w:line="240" w:lineRule="auto"/>
        <w:contextualSpacing/>
        <w:jc w:val="both"/>
        <w:rPr>
          <w:rFonts w:ascii="Arial" w:eastAsia="Times New Roman" w:hAnsi="Arial" w:cs="Arial"/>
          <w:bCs/>
          <w:sz w:val="20"/>
          <w:szCs w:val="20"/>
        </w:rPr>
        <w:sectPr w:rsidR="001A762C" w:rsidSect="001A762C">
          <w:type w:val="continuous"/>
          <w:pgSz w:w="11909" w:h="16834" w:code="9"/>
          <w:pgMar w:top="1440" w:right="1440" w:bottom="1440" w:left="1440" w:header="720" w:footer="864" w:gutter="0"/>
          <w:cols w:num="2" w:space="288"/>
          <w:docGrid w:linePitch="360"/>
        </w:sectPr>
      </w:pPr>
    </w:p>
    <w:p w14:paraId="32F70FFC" w14:textId="77777777" w:rsidR="002C381C" w:rsidRPr="00270C54" w:rsidRDefault="002C381C" w:rsidP="002C381C">
      <w:pPr>
        <w:spacing w:after="0" w:line="240" w:lineRule="auto"/>
        <w:contextualSpacing/>
        <w:jc w:val="both"/>
        <w:rPr>
          <w:rFonts w:ascii="Arial" w:eastAsia="Times New Roman" w:hAnsi="Arial" w:cs="Arial"/>
          <w:bCs/>
        </w:rPr>
      </w:pPr>
    </w:p>
    <w:p w14:paraId="4B2D0F56" w14:textId="532336A4" w:rsidR="002C381C" w:rsidRPr="002C381C" w:rsidRDefault="002C381C" w:rsidP="001A762C">
      <w:pPr>
        <w:spacing w:after="0" w:line="240" w:lineRule="auto"/>
        <w:contextualSpacing/>
        <w:jc w:val="center"/>
        <w:rPr>
          <w:rFonts w:ascii="Arial" w:eastAsia="Times New Roman" w:hAnsi="Arial" w:cs="Arial"/>
          <w:b/>
          <w:bCs/>
          <w:sz w:val="20"/>
          <w:szCs w:val="20"/>
        </w:rPr>
      </w:pPr>
      <w:r w:rsidRPr="001C1FD2">
        <w:rPr>
          <w:rFonts w:ascii="Arial" w:eastAsia="Times New Roman" w:hAnsi="Arial" w:cs="Arial"/>
          <w:b/>
          <w:bCs/>
          <w:sz w:val="20"/>
          <w:szCs w:val="20"/>
        </w:rPr>
        <w:t>Table</w:t>
      </w:r>
      <w:r w:rsidRPr="002C381C">
        <w:rPr>
          <w:rFonts w:ascii="Arial" w:eastAsia="Times New Roman" w:hAnsi="Arial" w:cs="Arial"/>
          <w:b/>
          <w:bCs/>
          <w:sz w:val="20"/>
          <w:szCs w:val="20"/>
        </w:rPr>
        <w:t xml:space="preserve"> 1. Location of </w:t>
      </w:r>
      <w:r w:rsidR="001A762C" w:rsidRPr="002C381C">
        <w:rPr>
          <w:rFonts w:ascii="Arial" w:eastAsia="Times New Roman" w:hAnsi="Arial" w:cs="Arial"/>
          <w:b/>
          <w:bCs/>
          <w:sz w:val="20"/>
          <w:szCs w:val="20"/>
        </w:rPr>
        <w:t>collected sample</w:t>
      </w:r>
      <w:r w:rsidRPr="002C381C">
        <w:rPr>
          <w:rFonts w:ascii="Arial" w:eastAsia="Times New Roman" w:hAnsi="Arial" w:cs="Arial"/>
          <w:b/>
          <w:bCs/>
          <w:sz w:val="20"/>
          <w:szCs w:val="20"/>
        </w:rPr>
        <w:t>s</w:t>
      </w:r>
    </w:p>
    <w:p w14:paraId="1AB23973" w14:textId="77777777" w:rsidR="002C381C" w:rsidRPr="00270C54" w:rsidRDefault="002C381C" w:rsidP="002C381C">
      <w:pPr>
        <w:spacing w:after="0" w:line="240" w:lineRule="auto"/>
        <w:contextualSpacing/>
        <w:jc w:val="both"/>
        <w:rPr>
          <w:rFonts w:ascii="Arial" w:eastAsia="Times New Roman" w:hAnsi="Arial" w:cs="Arial"/>
          <w:bCs/>
        </w:rPr>
      </w:pPr>
    </w:p>
    <w:tbl>
      <w:tblPr>
        <w:tblStyle w:val="TableGrid"/>
        <w:tblW w:w="4875"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3"/>
        <w:gridCol w:w="1080"/>
        <w:gridCol w:w="1436"/>
        <w:gridCol w:w="1436"/>
        <w:gridCol w:w="3969"/>
      </w:tblGrid>
      <w:tr w:rsidR="002C381C" w:rsidRPr="002C381C" w14:paraId="4C9C077E" w14:textId="77777777" w:rsidTr="001A762C">
        <w:trPr>
          <w:trHeight w:val="20"/>
          <w:jc w:val="center"/>
        </w:trPr>
        <w:tc>
          <w:tcPr>
            <w:tcW w:w="1094" w:type="dxa"/>
            <w:tcBorders>
              <w:top w:val="single" w:sz="4" w:space="0" w:color="auto"/>
              <w:bottom w:val="single" w:sz="4" w:space="0" w:color="auto"/>
            </w:tcBorders>
          </w:tcPr>
          <w:p w14:paraId="4252B723" w14:textId="77777777" w:rsidR="002C381C" w:rsidRPr="002C381C" w:rsidRDefault="002C381C" w:rsidP="002C381C">
            <w:pPr>
              <w:contextualSpacing/>
              <w:jc w:val="both"/>
              <w:rPr>
                <w:rFonts w:ascii="Arial" w:eastAsia="Times New Roman" w:hAnsi="Arial" w:cs="Arial"/>
                <w:b/>
                <w:bCs/>
                <w:sz w:val="20"/>
                <w:szCs w:val="20"/>
              </w:rPr>
            </w:pPr>
            <w:r w:rsidRPr="002C381C">
              <w:rPr>
                <w:rFonts w:ascii="Arial" w:eastAsia="Times New Roman" w:hAnsi="Arial" w:cs="Arial"/>
                <w:b/>
                <w:bCs/>
                <w:sz w:val="20"/>
                <w:szCs w:val="20"/>
              </w:rPr>
              <w:lastRenderedPageBreak/>
              <w:t>Sample</w:t>
            </w:r>
          </w:p>
        </w:tc>
        <w:tc>
          <w:tcPr>
            <w:tcW w:w="1082" w:type="dxa"/>
            <w:tcBorders>
              <w:top w:val="single" w:sz="4" w:space="0" w:color="auto"/>
              <w:bottom w:val="single" w:sz="4" w:space="0" w:color="auto"/>
            </w:tcBorders>
          </w:tcPr>
          <w:p w14:paraId="7A4882B1" w14:textId="77777777" w:rsidR="002C381C" w:rsidRPr="002C381C" w:rsidRDefault="002C381C" w:rsidP="002C381C">
            <w:pPr>
              <w:contextualSpacing/>
              <w:jc w:val="both"/>
              <w:rPr>
                <w:rFonts w:ascii="Arial" w:eastAsia="Times New Roman" w:hAnsi="Arial" w:cs="Arial"/>
                <w:b/>
                <w:bCs/>
                <w:sz w:val="20"/>
                <w:szCs w:val="20"/>
              </w:rPr>
            </w:pPr>
            <w:r w:rsidRPr="002C381C">
              <w:rPr>
                <w:rFonts w:ascii="Arial" w:eastAsia="Times New Roman" w:hAnsi="Arial" w:cs="Arial"/>
                <w:b/>
                <w:bCs/>
                <w:sz w:val="20"/>
                <w:szCs w:val="20"/>
              </w:rPr>
              <w:t>Location</w:t>
            </w:r>
          </w:p>
        </w:tc>
        <w:tc>
          <w:tcPr>
            <w:tcW w:w="1439" w:type="dxa"/>
            <w:tcBorders>
              <w:top w:val="single" w:sz="4" w:space="0" w:color="auto"/>
              <w:bottom w:val="single" w:sz="4" w:space="0" w:color="auto"/>
            </w:tcBorders>
          </w:tcPr>
          <w:p w14:paraId="4ACABD5B" w14:textId="77777777" w:rsidR="002C381C" w:rsidRPr="002C381C" w:rsidRDefault="002C381C" w:rsidP="002C381C">
            <w:pPr>
              <w:contextualSpacing/>
              <w:jc w:val="both"/>
              <w:rPr>
                <w:rFonts w:ascii="Arial" w:eastAsia="Times New Roman" w:hAnsi="Arial" w:cs="Arial"/>
                <w:b/>
                <w:bCs/>
                <w:sz w:val="20"/>
                <w:szCs w:val="20"/>
              </w:rPr>
            </w:pPr>
            <w:r w:rsidRPr="002C381C">
              <w:rPr>
                <w:rFonts w:ascii="Arial" w:eastAsia="Times New Roman" w:hAnsi="Arial" w:cs="Arial"/>
                <w:b/>
                <w:bCs/>
                <w:sz w:val="20"/>
                <w:szCs w:val="20"/>
              </w:rPr>
              <w:t>Longitude</w:t>
            </w:r>
          </w:p>
        </w:tc>
        <w:tc>
          <w:tcPr>
            <w:tcW w:w="1439" w:type="dxa"/>
            <w:tcBorders>
              <w:top w:val="single" w:sz="4" w:space="0" w:color="auto"/>
              <w:bottom w:val="single" w:sz="4" w:space="0" w:color="auto"/>
            </w:tcBorders>
          </w:tcPr>
          <w:p w14:paraId="5ECF2C0A" w14:textId="77777777" w:rsidR="002C381C" w:rsidRPr="002C381C" w:rsidRDefault="002C381C" w:rsidP="002C381C">
            <w:pPr>
              <w:contextualSpacing/>
              <w:jc w:val="both"/>
              <w:rPr>
                <w:rFonts w:ascii="Arial" w:eastAsia="Times New Roman" w:hAnsi="Arial" w:cs="Arial"/>
                <w:b/>
                <w:bCs/>
                <w:sz w:val="20"/>
                <w:szCs w:val="20"/>
              </w:rPr>
            </w:pPr>
            <w:r w:rsidRPr="002C381C">
              <w:rPr>
                <w:rFonts w:ascii="Arial" w:eastAsia="Times New Roman" w:hAnsi="Arial" w:cs="Arial"/>
                <w:b/>
                <w:bCs/>
                <w:sz w:val="20"/>
                <w:szCs w:val="20"/>
              </w:rPr>
              <w:t>Latitude</w:t>
            </w:r>
          </w:p>
        </w:tc>
        <w:tc>
          <w:tcPr>
            <w:tcW w:w="3978" w:type="dxa"/>
            <w:tcBorders>
              <w:top w:val="single" w:sz="4" w:space="0" w:color="auto"/>
              <w:bottom w:val="single" w:sz="4" w:space="0" w:color="auto"/>
            </w:tcBorders>
          </w:tcPr>
          <w:p w14:paraId="4CD96F9F" w14:textId="77777777" w:rsidR="002C381C" w:rsidRPr="002C381C" w:rsidRDefault="002C381C" w:rsidP="002C381C">
            <w:pPr>
              <w:contextualSpacing/>
              <w:jc w:val="both"/>
              <w:rPr>
                <w:rFonts w:ascii="Arial" w:eastAsia="Times New Roman" w:hAnsi="Arial" w:cs="Arial"/>
                <w:b/>
                <w:bCs/>
                <w:sz w:val="20"/>
                <w:szCs w:val="20"/>
              </w:rPr>
            </w:pPr>
            <w:r w:rsidRPr="002C381C">
              <w:rPr>
                <w:rFonts w:ascii="Arial" w:eastAsia="Times New Roman" w:hAnsi="Arial" w:cs="Arial"/>
                <w:b/>
                <w:bCs/>
                <w:sz w:val="20"/>
                <w:szCs w:val="20"/>
              </w:rPr>
              <w:t>Rock Type</w:t>
            </w:r>
          </w:p>
        </w:tc>
      </w:tr>
      <w:tr w:rsidR="002C381C" w:rsidRPr="002C381C" w14:paraId="2B03457F" w14:textId="77777777" w:rsidTr="001A762C">
        <w:trPr>
          <w:trHeight w:val="20"/>
          <w:jc w:val="center"/>
        </w:trPr>
        <w:tc>
          <w:tcPr>
            <w:tcW w:w="1094" w:type="dxa"/>
            <w:tcBorders>
              <w:top w:val="single" w:sz="4" w:space="0" w:color="auto"/>
            </w:tcBorders>
          </w:tcPr>
          <w:p w14:paraId="18D859B9"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BNL1</w:t>
            </w:r>
          </w:p>
        </w:tc>
        <w:tc>
          <w:tcPr>
            <w:tcW w:w="1082" w:type="dxa"/>
            <w:tcBorders>
              <w:top w:val="single" w:sz="4" w:space="0" w:color="auto"/>
            </w:tcBorders>
          </w:tcPr>
          <w:p w14:paraId="3EF6C5BB" w14:textId="77777777" w:rsidR="002C381C" w:rsidRPr="002C381C" w:rsidRDefault="002C381C" w:rsidP="002C381C">
            <w:pPr>
              <w:contextualSpacing/>
              <w:jc w:val="both"/>
              <w:rPr>
                <w:rFonts w:ascii="Arial" w:eastAsia="Times New Roman" w:hAnsi="Arial" w:cs="Arial"/>
                <w:bCs/>
                <w:sz w:val="20"/>
                <w:szCs w:val="20"/>
              </w:rPr>
            </w:pPr>
            <w:proofErr w:type="spellStart"/>
            <w:r w:rsidRPr="002C381C">
              <w:rPr>
                <w:rFonts w:ascii="Arial" w:eastAsia="Times New Roman" w:hAnsi="Arial" w:cs="Arial"/>
                <w:bCs/>
                <w:sz w:val="20"/>
                <w:szCs w:val="20"/>
              </w:rPr>
              <w:t>Bansiyal</w:t>
            </w:r>
            <w:proofErr w:type="spellEnd"/>
          </w:p>
        </w:tc>
        <w:tc>
          <w:tcPr>
            <w:tcW w:w="1439" w:type="dxa"/>
            <w:tcBorders>
              <w:top w:val="single" w:sz="4" w:space="0" w:color="auto"/>
            </w:tcBorders>
          </w:tcPr>
          <w:p w14:paraId="1C0C6144"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75°50’13” E</w:t>
            </w:r>
          </w:p>
        </w:tc>
        <w:tc>
          <w:tcPr>
            <w:tcW w:w="1439" w:type="dxa"/>
            <w:tcBorders>
              <w:top w:val="single" w:sz="4" w:space="0" w:color="auto"/>
            </w:tcBorders>
          </w:tcPr>
          <w:p w14:paraId="21FC2860"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27°57’37” N</w:t>
            </w:r>
          </w:p>
        </w:tc>
        <w:tc>
          <w:tcPr>
            <w:tcW w:w="3978" w:type="dxa"/>
            <w:tcBorders>
              <w:top w:val="single" w:sz="4" w:space="0" w:color="auto"/>
            </w:tcBorders>
          </w:tcPr>
          <w:p w14:paraId="61A5A6F7"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Ferruginous quartzite</w:t>
            </w:r>
          </w:p>
        </w:tc>
      </w:tr>
      <w:tr w:rsidR="002C381C" w:rsidRPr="002C381C" w14:paraId="476E9EF2" w14:textId="77777777" w:rsidTr="001A762C">
        <w:trPr>
          <w:trHeight w:val="20"/>
          <w:jc w:val="center"/>
        </w:trPr>
        <w:tc>
          <w:tcPr>
            <w:tcW w:w="1094" w:type="dxa"/>
          </w:tcPr>
          <w:p w14:paraId="378DE4F7"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BNL2</w:t>
            </w:r>
          </w:p>
        </w:tc>
        <w:tc>
          <w:tcPr>
            <w:tcW w:w="1082" w:type="dxa"/>
          </w:tcPr>
          <w:p w14:paraId="5995AAAD" w14:textId="77777777" w:rsidR="002C381C" w:rsidRPr="002C381C" w:rsidRDefault="002C381C" w:rsidP="002C381C">
            <w:pPr>
              <w:contextualSpacing/>
              <w:jc w:val="both"/>
              <w:rPr>
                <w:rFonts w:ascii="Arial" w:eastAsia="Times New Roman" w:hAnsi="Arial" w:cs="Arial"/>
                <w:bCs/>
                <w:sz w:val="20"/>
                <w:szCs w:val="20"/>
              </w:rPr>
            </w:pPr>
            <w:proofErr w:type="spellStart"/>
            <w:r w:rsidRPr="002C381C">
              <w:rPr>
                <w:rFonts w:ascii="Arial" w:eastAsia="Times New Roman" w:hAnsi="Arial" w:cs="Arial"/>
                <w:bCs/>
                <w:sz w:val="20"/>
                <w:szCs w:val="20"/>
              </w:rPr>
              <w:t>Bansiyal</w:t>
            </w:r>
            <w:proofErr w:type="spellEnd"/>
          </w:p>
        </w:tc>
        <w:tc>
          <w:tcPr>
            <w:tcW w:w="1439" w:type="dxa"/>
          </w:tcPr>
          <w:p w14:paraId="5DC18B9B"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75°50’10” E</w:t>
            </w:r>
          </w:p>
        </w:tc>
        <w:tc>
          <w:tcPr>
            <w:tcW w:w="1439" w:type="dxa"/>
          </w:tcPr>
          <w:p w14:paraId="6515B490"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27°57’36” N</w:t>
            </w:r>
          </w:p>
        </w:tc>
        <w:tc>
          <w:tcPr>
            <w:tcW w:w="3978" w:type="dxa"/>
          </w:tcPr>
          <w:p w14:paraId="0CBCF0CD"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Ferruginous quartzite</w:t>
            </w:r>
          </w:p>
        </w:tc>
      </w:tr>
      <w:tr w:rsidR="002C381C" w:rsidRPr="002C381C" w14:paraId="6C1F095B" w14:textId="77777777" w:rsidTr="001A762C">
        <w:trPr>
          <w:trHeight w:val="20"/>
          <w:jc w:val="center"/>
        </w:trPr>
        <w:tc>
          <w:tcPr>
            <w:tcW w:w="1094" w:type="dxa"/>
          </w:tcPr>
          <w:p w14:paraId="79D485C6"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BNL3</w:t>
            </w:r>
          </w:p>
        </w:tc>
        <w:tc>
          <w:tcPr>
            <w:tcW w:w="1082" w:type="dxa"/>
          </w:tcPr>
          <w:p w14:paraId="691CF14B" w14:textId="77777777" w:rsidR="002C381C" w:rsidRPr="002C381C" w:rsidRDefault="002C381C" w:rsidP="002C381C">
            <w:pPr>
              <w:contextualSpacing/>
              <w:jc w:val="both"/>
              <w:rPr>
                <w:rFonts w:ascii="Arial" w:eastAsia="Times New Roman" w:hAnsi="Arial" w:cs="Arial"/>
                <w:bCs/>
                <w:sz w:val="20"/>
                <w:szCs w:val="20"/>
              </w:rPr>
            </w:pPr>
            <w:proofErr w:type="spellStart"/>
            <w:r w:rsidRPr="002C381C">
              <w:rPr>
                <w:rFonts w:ascii="Arial" w:eastAsia="Times New Roman" w:hAnsi="Arial" w:cs="Arial"/>
                <w:bCs/>
                <w:sz w:val="20"/>
                <w:szCs w:val="20"/>
              </w:rPr>
              <w:t>Bansiyal</w:t>
            </w:r>
            <w:proofErr w:type="spellEnd"/>
          </w:p>
        </w:tc>
        <w:tc>
          <w:tcPr>
            <w:tcW w:w="1439" w:type="dxa"/>
          </w:tcPr>
          <w:p w14:paraId="1661A789"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75°50’10” E</w:t>
            </w:r>
          </w:p>
        </w:tc>
        <w:tc>
          <w:tcPr>
            <w:tcW w:w="1439" w:type="dxa"/>
          </w:tcPr>
          <w:p w14:paraId="3B64EBB7"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27°57’36” N</w:t>
            </w:r>
          </w:p>
        </w:tc>
        <w:tc>
          <w:tcPr>
            <w:tcW w:w="3978" w:type="dxa"/>
          </w:tcPr>
          <w:p w14:paraId="29B3A71F"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Ferruginous silicified dolomite.</w:t>
            </w:r>
          </w:p>
        </w:tc>
      </w:tr>
      <w:tr w:rsidR="002C381C" w:rsidRPr="002C381C" w14:paraId="141668DD" w14:textId="77777777" w:rsidTr="001A762C">
        <w:trPr>
          <w:trHeight w:val="20"/>
          <w:jc w:val="center"/>
        </w:trPr>
        <w:tc>
          <w:tcPr>
            <w:tcW w:w="1094" w:type="dxa"/>
          </w:tcPr>
          <w:p w14:paraId="7DB6D1A1"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BNL4</w:t>
            </w:r>
          </w:p>
        </w:tc>
        <w:tc>
          <w:tcPr>
            <w:tcW w:w="1082" w:type="dxa"/>
          </w:tcPr>
          <w:p w14:paraId="69950B24" w14:textId="77777777" w:rsidR="002C381C" w:rsidRPr="002C381C" w:rsidRDefault="002C381C" w:rsidP="002C381C">
            <w:pPr>
              <w:contextualSpacing/>
              <w:jc w:val="both"/>
              <w:rPr>
                <w:rFonts w:ascii="Arial" w:eastAsia="Times New Roman" w:hAnsi="Arial" w:cs="Arial"/>
                <w:bCs/>
                <w:sz w:val="20"/>
                <w:szCs w:val="20"/>
              </w:rPr>
            </w:pPr>
            <w:proofErr w:type="spellStart"/>
            <w:r w:rsidRPr="002C381C">
              <w:rPr>
                <w:rFonts w:ascii="Arial" w:eastAsia="Times New Roman" w:hAnsi="Arial" w:cs="Arial"/>
                <w:bCs/>
                <w:sz w:val="20"/>
                <w:szCs w:val="20"/>
              </w:rPr>
              <w:t>Bansiyal</w:t>
            </w:r>
            <w:proofErr w:type="spellEnd"/>
          </w:p>
        </w:tc>
        <w:tc>
          <w:tcPr>
            <w:tcW w:w="1439" w:type="dxa"/>
          </w:tcPr>
          <w:p w14:paraId="15D95573"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75°50’18” E</w:t>
            </w:r>
          </w:p>
        </w:tc>
        <w:tc>
          <w:tcPr>
            <w:tcW w:w="1439" w:type="dxa"/>
          </w:tcPr>
          <w:p w14:paraId="4DAFC96F"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27°57’41” N</w:t>
            </w:r>
          </w:p>
        </w:tc>
        <w:tc>
          <w:tcPr>
            <w:tcW w:w="3978" w:type="dxa"/>
          </w:tcPr>
          <w:p w14:paraId="6BCF8B0D"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Ferruginous actinolite-bearing dolomite</w:t>
            </w:r>
          </w:p>
        </w:tc>
      </w:tr>
      <w:tr w:rsidR="002C381C" w:rsidRPr="002C381C" w14:paraId="4EB36B83" w14:textId="77777777" w:rsidTr="001A762C">
        <w:trPr>
          <w:trHeight w:val="20"/>
          <w:jc w:val="center"/>
        </w:trPr>
        <w:tc>
          <w:tcPr>
            <w:tcW w:w="1094" w:type="dxa"/>
          </w:tcPr>
          <w:p w14:paraId="3AC19292"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BNL5</w:t>
            </w:r>
          </w:p>
        </w:tc>
        <w:tc>
          <w:tcPr>
            <w:tcW w:w="1082" w:type="dxa"/>
          </w:tcPr>
          <w:p w14:paraId="2F20ABEE" w14:textId="77777777" w:rsidR="002C381C" w:rsidRPr="002C381C" w:rsidRDefault="002C381C" w:rsidP="002C381C">
            <w:pPr>
              <w:contextualSpacing/>
              <w:jc w:val="both"/>
              <w:rPr>
                <w:rFonts w:ascii="Arial" w:eastAsia="Times New Roman" w:hAnsi="Arial" w:cs="Arial"/>
                <w:bCs/>
                <w:sz w:val="20"/>
                <w:szCs w:val="20"/>
              </w:rPr>
            </w:pPr>
            <w:proofErr w:type="spellStart"/>
            <w:r w:rsidRPr="002C381C">
              <w:rPr>
                <w:rFonts w:ascii="Arial" w:eastAsia="Times New Roman" w:hAnsi="Arial" w:cs="Arial"/>
                <w:bCs/>
                <w:sz w:val="20"/>
                <w:szCs w:val="20"/>
              </w:rPr>
              <w:t>Bansiyal</w:t>
            </w:r>
            <w:proofErr w:type="spellEnd"/>
          </w:p>
        </w:tc>
        <w:tc>
          <w:tcPr>
            <w:tcW w:w="1439" w:type="dxa"/>
          </w:tcPr>
          <w:p w14:paraId="1370887B"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75°50’19” E</w:t>
            </w:r>
          </w:p>
        </w:tc>
        <w:tc>
          <w:tcPr>
            <w:tcW w:w="1439" w:type="dxa"/>
          </w:tcPr>
          <w:p w14:paraId="5F3080F1"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27°57’42” N</w:t>
            </w:r>
          </w:p>
        </w:tc>
        <w:tc>
          <w:tcPr>
            <w:tcW w:w="3978" w:type="dxa"/>
          </w:tcPr>
          <w:p w14:paraId="62CF8879"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Quartz vein with malachite stain, Gossan</w:t>
            </w:r>
          </w:p>
        </w:tc>
      </w:tr>
      <w:tr w:rsidR="002C381C" w:rsidRPr="002C381C" w14:paraId="0AC2D715" w14:textId="77777777" w:rsidTr="001A762C">
        <w:trPr>
          <w:trHeight w:val="20"/>
          <w:jc w:val="center"/>
        </w:trPr>
        <w:tc>
          <w:tcPr>
            <w:tcW w:w="1094" w:type="dxa"/>
          </w:tcPr>
          <w:p w14:paraId="54306D76"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BNL6</w:t>
            </w:r>
          </w:p>
        </w:tc>
        <w:tc>
          <w:tcPr>
            <w:tcW w:w="1082" w:type="dxa"/>
          </w:tcPr>
          <w:p w14:paraId="60E41EC8" w14:textId="77777777" w:rsidR="002C381C" w:rsidRPr="002C381C" w:rsidRDefault="002C381C" w:rsidP="002C381C">
            <w:pPr>
              <w:contextualSpacing/>
              <w:jc w:val="both"/>
              <w:rPr>
                <w:rFonts w:ascii="Arial" w:eastAsia="Times New Roman" w:hAnsi="Arial" w:cs="Arial"/>
                <w:bCs/>
                <w:sz w:val="20"/>
                <w:szCs w:val="20"/>
              </w:rPr>
            </w:pPr>
            <w:proofErr w:type="spellStart"/>
            <w:r w:rsidRPr="002C381C">
              <w:rPr>
                <w:rFonts w:ascii="Arial" w:eastAsia="Times New Roman" w:hAnsi="Arial" w:cs="Arial"/>
                <w:bCs/>
                <w:sz w:val="20"/>
                <w:szCs w:val="20"/>
              </w:rPr>
              <w:t>Bansiyal</w:t>
            </w:r>
            <w:proofErr w:type="spellEnd"/>
          </w:p>
        </w:tc>
        <w:tc>
          <w:tcPr>
            <w:tcW w:w="1439" w:type="dxa"/>
          </w:tcPr>
          <w:p w14:paraId="2A7DD379"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75°50’19” E</w:t>
            </w:r>
          </w:p>
        </w:tc>
        <w:tc>
          <w:tcPr>
            <w:tcW w:w="1439" w:type="dxa"/>
          </w:tcPr>
          <w:p w14:paraId="38268341"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27°57’42” N</w:t>
            </w:r>
          </w:p>
        </w:tc>
        <w:tc>
          <w:tcPr>
            <w:tcW w:w="3978" w:type="dxa"/>
          </w:tcPr>
          <w:p w14:paraId="3886143A"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Quartz vein with malachite stain, Gossan</w:t>
            </w:r>
          </w:p>
        </w:tc>
      </w:tr>
    </w:tbl>
    <w:p w14:paraId="6FC1E438" w14:textId="77777777" w:rsidR="002C381C" w:rsidRPr="00270C54" w:rsidRDefault="002C381C" w:rsidP="002C381C">
      <w:pPr>
        <w:spacing w:after="0" w:line="240" w:lineRule="auto"/>
        <w:contextualSpacing/>
        <w:jc w:val="both"/>
        <w:rPr>
          <w:rFonts w:ascii="Arial" w:eastAsia="Times New Roman" w:hAnsi="Arial" w:cs="Arial"/>
          <w:bCs/>
        </w:rPr>
      </w:pPr>
    </w:p>
    <w:p w14:paraId="7C5D1CE5" w14:textId="77777777" w:rsidR="002C381C" w:rsidRPr="002C381C" w:rsidRDefault="002C381C" w:rsidP="001A762C">
      <w:pPr>
        <w:spacing w:after="0" w:line="240" w:lineRule="auto"/>
        <w:contextualSpacing/>
        <w:jc w:val="center"/>
        <w:rPr>
          <w:rFonts w:ascii="Arial" w:eastAsia="Times New Roman" w:hAnsi="Arial" w:cs="Arial"/>
          <w:b/>
          <w:bCs/>
          <w:sz w:val="20"/>
          <w:szCs w:val="20"/>
        </w:rPr>
      </w:pPr>
      <w:r w:rsidRPr="001C1FD2">
        <w:rPr>
          <w:rFonts w:ascii="Arial" w:eastAsia="Times New Roman" w:hAnsi="Arial" w:cs="Arial"/>
          <w:b/>
          <w:bCs/>
          <w:sz w:val="20"/>
          <w:szCs w:val="20"/>
        </w:rPr>
        <w:t>Table</w:t>
      </w:r>
      <w:r w:rsidRPr="002C381C">
        <w:rPr>
          <w:rFonts w:ascii="Arial" w:eastAsia="Times New Roman" w:hAnsi="Arial" w:cs="Arial"/>
          <w:b/>
          <w:bCs/>
          <w:sz w:val="20"/>
          <w:szCs w:val="20"/>
        </w:rPr>
        <w:t xml:space="preserve"> 2. GSI XRF report on major oxides </w:t>
      </w:r>
      <w:r w:rsidRPr="00B31EC3">
        <w:rPr>
          <w:rFonts w:ascii="Arial" w:eastAsia="Times New Roman" w:hAnsi="Arial" w:cs="Arial"/>
          <w:b/>
          <w:bCs/>
          <w:sz w:val="20"/>
          <w:szCs w:val="20"/>
        </w:rPr>
        <w:t>(</w:t>
      </w:r>
      <w:r w:rsidRPr="002C381C">
        <w:rPr>
          <w:rFonts w:ascii="Arial" w:eastAsia="Times New Roman" w:hAnsi="Arial" w:cs="Arial"/>
          <w:b/>
          <w:bCs/>
          <w:sz w:val="20"/>
          <w:szCs w:val="20"/>
        </w:rPr>
        <w:t>in wt. %)</w:t>
      </w:r>
    </w:p>
    <w:p w14:paraId="1B2A7468" w14:textId="77777777" w:rsidR="002C381C" w:rsidRPr="00270C54" w:rsidRDefault="002C381C" w:rsidP="002C381C">
      <w:pPr>
        <w:spacing w:after="0" w:line="240" w:lineRule="auto"/>
        <w:contextualSpacing/>
        <w:jc w:val="both"/>
        <w:rPr>
          <w:rFonts w:ascii="Arial" w:eastAsia="Times New Roman" w:hAnsi="Arial" w:cs="Arial"/>
          <w:bCs/>
        </w:rPr>
      </w:pPr>
    </w:p>
    <w:tbl>
      <w:tblPr>
        <w:tblStyle w:val="TableGrid"/>
        <w:tblW w:w="4875"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15"/>
        <w:gridCol w:w="763"/>
        <w:gridCol w:w="730"/>
        <w:gridCol w:w="771"/>
        <w:gridCol w:w="685"/>
        <w:gridCol w:w="763"/>
        <w:gridCol w:w="688"/>
        <w:gridCol w:w="728"/>
        <w:gridCol w:w="664"/>
        <w:gridCol w:w="664"/>
        <w:gridCol w:w="680"/>
        <w:gridCol w:w="763"/>
      </w:tblGrid>
      <w:tr w:rsidR="002C381C" w:rsidRPr="002C381C" w14:paraId="5EA38F67" w14:textId="77777777" w:rsidTr="005443C7">
        <w:trPr>
          <w:trHeight w:val="20"/>
          <w:jc w:val="center"/>
        </w:trPr>
        <w:tc>
          <w:tcPr>
            <w:tcW w:w="1135" w:type="dxa"/>
            <w:tcBorders>
              <w:top w:val="single" w:sz="4" w:space="0" w:color="auto"/>
              <w:bottom w:val="single" w:sz="4" w:space="0" w:color="auto"/>
            </w:tcBorders>
          </w:tcPr>
          <w:p w14:paraId="46C06CF5" w14:textId="77777777" w:rsidR="002C381C" w:rsidRPr="002C381C" w:rsidRDefault="002C381C" w:rsidP="002C381C">
            <w:pPr>
              <w:contextualSpacing/>
              <w:jc w:val="both"/>
              <w:rPr>
                <w:rFonts w:ascii="Arial" w:eastAsia="Times New Roman" w:hAnsi="Arial" w:cs="Arial"/>
                <w:b/>
                <w:bCs/>
                <w:sz w:val="20"/>
                <w:szCs w:val="20"/>
              </w:rPr>
            </w:pPr>
            <w:r w:rsidRPr="002C381C">
              <w:rPr>
                <w:rFonts w:ascii="Arial" w:eastAsia="Times New Roman" w:hAnsi="Arial" w:cs="Arial"/>
                <w:b/>
                <w:bCs/>
                <w:sz w:val="20"/>
                <w:szCs w:val="20"/>
              </w:rPr>
              <w:t>Sample</w:t>
            </w:r>
          </w:p>
        </w:tc>
        <w:tc>
          <w:tcPr>
            <w:tcW w:w="776" w:type="dxa"/>
            <w:tcBorders>
              <w:top w:val="single" w:sz="4" w:space="0" w:color="auto"/>
              <w:bottom w:val="single" w:sz="4" w:space="0" w:color="auto"/>
            </w:tcBorders>
          </w:tcPr>
          <w:p w14:paraId="5F20CF2A" w14:textId="77777777" w:rsidR="002C381C" w:rsidRPr="002C381C" w:rsidRDefault="002C381C" w:rsidP="002C381C">
            <w:pPr>
              <w:contextualSpacing/>
              <w:jc w:val="both"/>
              <w:rPr>
                <w:rFonts w:ascii="Arial" w:eastAsia="Times New Roman" w:hAnsi="Arial" w:cs="Arial"/>
                <w:b/>
                <w:bCs/>
                <w:sz w:val="20"/>
                <w:szCs w:val="20"/>
              </w:rPr>
            </w:pPr>
            <w:r w:rsidRPr="002C381C">
              <w:rPr>
                <w:rFonts w:ascii="Arial" w:eastAsia="Times New Roman" w:hAnsi="Arial" w:cs="Arial"/>
                <w:b/>
                <w:bCs/>
                <w:sz w:val="20"/>
                <w:szCs w:val="20"/>
              </w:rPr>
              <w:t>SiO</w:t>
            </w:r>
            <w:r w:rsidRPr="002C381C">
              <w:rPr>
                <w:rFonts w:ascii="Arial" w:eastAsia="Times New Roman" w:hAnsi="Arial" w:cs="Arial"/>
                <w:b/>
                <w:bCs/>
                <w:sz w:val="20"/>
                <w:szCs w:val="20"/>
                <w:vertAlign w:val="subscript"/>
              </w:rPr>
              <w:t>2</w:t>
            </w:r>
          </w:p>
        </w:tc>
        <w:tc>
          <w:tcPr>
            <w:tcW w:w="742" w:type="dxa"/>
            <w:tcBorders>
              <w:top w:val="single" w:sz="4" w:space="0" w:color="auto"/>
              <w:bottom w:val="single" w:sz="4" w:space="0" w:color="auto"/>
            </w:tcBorders>
          </w:tcPr>
          <w:p w14:paraId="08B86823" w14:textId="77777777" w:rsidR="002C381C" w:rsidRPr="002C381C" w:rsidRDefault="002C381C" w:rsidP="002C381C">
            <w:pPr>
              <w:contextualSpacing/>
              <w:jc w:val="both"/>
              <w:rPr>
                <w:rFonts w:ascii="Arial" w:eastAsia="Times New Roman" w:hAnsi="Arial" w:cs="Arial"/>
                <w:b/>
                <w:bCs/>
                <w:sz w:val="20"/>
                <w:szCs w:val="20"/>
              </w:rPr>
            </w:pPr>
            <w:r w:rsidRPr="002C381C">
              <w:rPr>
                <w:rFonts w:ascii="Arial" w:eastAsia="Times New Roman" w:hAnsi="Arial" w:cs="Arial"/>
                <w:b/>
                <w:bCs/>
                <w:sz w:val="20"/>
                <w:szCs w:val="20"/>
              </w:rPr>
              <w:t>AlO</w:t>
            </w:r>
            <w:r w:rsidRPr="002C381C">
              <w:rPr>
                <w:rFonts w:ascii="Arial" w:eastAsia="Times New Roman" w:hAnsi="Arial" w:cs="Arial"/>
                <w:b/>
                <w:bCs/>
                <w:sz w:val="20"/>
                <w:szCs w:val="20"/>
                <w:vertAlign w:val="subscript"/>
              </w:rPr>
              <w:t>3</w:t>
            </w:r>
          </w:p>
        </w:tc>
        <w:tc>
          <w:tcPr>
            <w:tcW w:w="784" w:type="dxa"/>
            <w:tcBorders>
              <w:top w:val="single" w:sz="4" w:space="0" w:color="auto"/>
              <w:bottom w:val="single" w:sz="4" w:space="0" w:color="auto"/>
            </w:tcBorders>
          </w:tcPr>
          <w:p w14:paraId="257FAD15" w14:textId="77777777" w:rsidR="002C381C" w:rsidRPr="002C381C" w:rsidRDefault="002C381C" w:rsidP="002C381C">
            <w:pPr>
              <w:contextualSpacing/>
              <w:jc w:val="both"/>
              <w:rPr>
                <w:rFonts w:ascii="Arial" w:eastAsia="Times New Roman" w:hAnsi="Arial" w:cs="Arial"/>
                <w:b/>
                <w:bCs/>
                <w:sz w:val="20"/>
                <w:szCs w:val="20"/>
              </w:rPr>
            </w:pPr>
            <w:r w:rsidRPr="002C381C">
              <w:rPr>
                <w:rFonts w:ascii="Arial" w:eastAsia="Times New Roman" w:hAnsi="Arial" w:cs="Arial"/>
                <w:b/>
                <w:bCs/>
                <w:sz w:val="20"/>
                <w:szCs w:val="20"/>
              </w:rPr>
              <w:t>Fe</w:t>
            </w:r>
            <w:r w:rsidRPr="002C381C">
              <w:rPr>
                <w:rFonts w:ascii="Arial" w:eastAsia="Times New Roman" w:hAnsi="Arial" w:cs="Arial"/>
                <w:b/>
                <w:bCs/>
                <w:sz w:val="20"/>
                <w:szCs w:val="20"/>
                <w:vertAlign w:val="subscript"/>
              </w:rPr>
              <w:t>2</w:t>
            </w:r>
            <w:r w:rsidRPr="002C381C">
              <w:rPr>
                <w:rFonts w:ascii="Arial" w:eastAsia="Times New Roman" w:hAnsi="Arial" w:cs="Arial"/>
                <w:b/>
                <w:bCs/>
                <w:sz w:val="20"/>
                <w:szCs w:val="20"/>
              </w:rPr>
              <w:t>O</w:t>
            </w:r>
            <w:r w:rsidRPr="002C381C">
              <w:rPr>
                <w:rFonts w:ascii="Arial" w:eastAsia="Times New Roman" w:hAnsi="Arial" w:cs="Arial"/>
                <w:b/>
                <w:bCs/>
                <w:sz w:val="20"/>
                <w:szCs w:val="20"/>
                <w:vertAlign w:val="subscript"/>
              </w:rPr>
              <w:t>3</w:t>
            </w:r>
          </w:p>
        </w:tc>
        <w:tc>
          <w:tcPr>
            <w:tcW w:w="696" w:type="dxa"/>
            <w:tcBorders>
              <w:top w:val="single" w:sz="4" w:space="0" w:color="auto"/>
              <w:bottom w:val="single" w:sz="4" w:space="0" w:color="auto"/>
            </w:tcBorders>
          </w:tcPr>
          <w:p w14:paraId="2E1FB21B" w14:textId="77777777" w:rsidR="002C381C" w:rsidRPr="002C381C" w:rsidRDefault="002C381C" w:rsidP="002C381C">
            <w:pPr>
              <w:contextualSpacing/>
              <w:jc w:val="both"/>
              <w:rPr>
                <w:rFonts w:ascii="Arial" w:eastAsia="Times New Roman" w:hAnsi="Arial" w:cs="Arial"/>
                <w:b/>
                <w:bCs/>
                <w:sz w:val="20"/>
                <w:szCs w:val="20"/>
              </w:rPr>
            </w:pPr>
            <w:proofErr w:type="spellStart"/>
            <w:r w:rsidRPr="002C381C">
              <w:rPr>
                <w:rFonts w:ascii="Arial" w:eastAsia="Times New Roman" w:hAnsi="Arial" w:cs="Arial"/>
                <w:b/>
                <w:bCs/>
                <w:sz w:val="20"/>
                <w:szCs w:val="20"/>
              </w:rPr>
              <w:t>MnO</w:t>
            </w:r>
            <w:proofErr w:type="spellEnd"/>
          </w:p>
        </w:tc>
        <w:tc>
          <w:tcPr>
            <w:tcW w:w="776" w:type="dxa"/>
            <w:tcBorders>
              <w:top w:val="single" w:sz="4" w:space="0" w:color="auto"/>
              <w:bottom w:val="single" w:sz="4" w:space="0" w:color="auto"/>
            </w:tcBorders>
          </w:tcPr>
          <w:p w14:paraId="1100877C" w14:textId="77777777" w:rsidR="002C381C" w:rsidRPr="002C381C" w:rsidRDefault="002C381C" w:rsidP="002C381C">
            <w:pPr>
              <w:contextualSpacing/>
              <w:jc w:val="both"/>
              <w:rPr>
                <w:rFonts w:ascii="Arial" w:eastAsia="Times New Roman" w:hAnsi="Arial" w:cs="Arial"/>
                <w:b/>
                <w:bCs/>
                <w:sz w:val="20"/>
                <w:szCs w:val="20"/>
              </w:rPr>
            </w:pPr>
            <w:r w:rsidRPr="002C381C">
              <w:rPr>
                <w:rFonts w:ascii="Arial" w:eastAsia="Times New Roman" w:hAnsi="Arial" w:cs="Arial"/>
                <w:b/>
                <w:bCs/>
                <w:sz w:val="20"/>
                <w:szCs w:val="20"/>
              </w:rPr>
              <w:t>CaO</w:t>
            </w:r>
          </w:p>
        </w:tc>
        <w:tc>
          <w:tcPr>
            <w:tcW w:w="699" w:type="dxa"/>
            <w:tcBorders>
              <w:top w:val="single" w:sz="4" w:space="0" w:color="auto"/>
              <w:bottom w:val="single" w:sz="4" w:space="0" w:color="auto"/>
            </w:tcBorders>
          </w:tcPr>
          <w:p w14:paraId="5C5A5312" w14:textId="77777777" w:rsidR="002C381C" w:rsidRPr="002C381C" w:rsidRDefault="002C381C" w:rsidP="002C381C">
            <w:pPr>
              <w:contextualSpacing/>
              <w:jc w:val="both"/>
              <w:rPr>
                <w:rFonts w:ascii="Arial" w:eastAsia="Times New Roman" w:hAnsi="Arial" w:cs="Arial"/>
                <w:b/>
                <w:bCs/>
                <w:sz w:val="20"/>
                <w:szCs w:val="20"/>
              </w:rPr>
            </w:pPr>
            <w:r w:rsidRPr="002C381C">
              <w:rPr>
                <w:rFonts w:ascii="Arial" w:eastAsia="Times New Roman" w:hAnsi="Arial" w:cs="Arial"/>
                <w:b/>
                <w:bCs/>
                <w:sz w:val="20"/>
                <w:szCs w:val="20"/>
              </w:rPr>
              <w:t>MgO</w:t>
            </w:r>
          </w:p>
        </w:tc>
        <w:tc>
          <w:tcPr>
            <w:tcW w:w="740" w:type="dxa"/>
            <w:tcBorders>
              <w:top w:val="single" w:sz="4" w:space="0" w:color="auto"/>
              <w:bottom w:val="single" w:sz="4" w:space="0" w:color="auto"/>
            </w:tcBorders>
          </w:tcPr>
          <w:p w14:paraId="1031CE21" w14:textId="77777777" w:rsidR="002C381C" w:rsidRPr="002C381C" w:rsidRDefault="002C381C" w:rsidP="002C381C">
            <w:pPr>
              <w:contextualSpacing/>
              <w:jc w:val="both"/>
              <w:rPr>
                <w:rFonts w:ascii="Arial" w:eastAsia="Times New Roman" w:hAnsi="Arial" w:cs="Arial"/>
                <w:b/>
                <w:bCs/>
                <w:sz w:val="20"/>
                <w:szCs w:val="20"/>
              </w:rPr>
            </w:pPr>
            <w:r w:rsidRPr="002C381C">
              <w:rPr>
                <w:rFonts w:ascii="Arial" w:eastAsia="Times New Roman" w:hAnsi="Arial" w:cs="Arial"/>
                <w:b/>
                <w:bCs/>
                <w:sz w:val="20"/>
                <w:szCs w:val="20"/>
              </w:rPr>
              <w:t>Na</w:t>
            </w:r>
            <w:r w:rsidRPr="002C381C">
              <w:rPr>
                <w:rFonts w:ascii="Arial" w:eastAsia="Times New Roman" w:hAnsi="Arial" w:cs="Arial"/>
                <w:b/>
                <w:bCs/>
                <w:sz w:val="20"/>
                <w:szCs w:val="20"/>
                <w:vertAlign w:val="subscript"/>
              </w:rPr>
              <w:t>2</w:t>
            </w:r>
            <w:r w:rsidRPr="002C381C">
              <w:rPr>
                <w:rFonts w:ascii="Arial" w:eastAsia="Times New Roman" w:hAnsi="Arial" w:cs="Arial"/>
                <w:b/>
                <w:bCs/>
                <w:sz w:val="20"/>
                <w:szCs w:val="20"/>
              </w:rPr>
              <w:t>O</w:t>
            </w:r>
          </w:p>
        </w:tc>
        <w:tc>
          <w:tcPr>
            <w:tcW w:w="674" w:type="dxa"/>
            <w:tcBorders>
              <w:top w:val="single" w:sz="4" w:space="0" w:color="auto"/>
              <w:bottom w:val="single" w:sz="4" w:space="0" w:color="auto"/>
            </w:tcBorders>
          </w:tcPr>
          <w:p w14:paraId="61BD93BD" w14:textId="77777777" w:rsidR="002C381C" w:rsidRPr="002C381C" w:rsidRDefault="002C381C" w:rsidP="002C381C">
            <w:pPr>
              <w:contextualSpacing/>
              <w:jc w:val="both"/>
              <w:rPr>
                <w:rFonts w:ascii="Arial" w:eastAsia="Times New Roman" w:hAnsi="Arial" w:cs="Arial"/>
                <w:b/>
                <w:bCs/>
                <w:sz w:val="20"/>
                <w:szCs w:val="20"/>
              </w:rPr>
            </w:pPr>
            <w:r w:rsidRPr="002C381C">
              <w:rPr>
                <w:rFonts w:ascii="Arial" w:eastAsia="Times New Roman" w:hAnsi="Arial" w:cs="Arial"/>
                <w:b/>
                <w:bCs/>
                <w:sz w:val="20"/>
                <w:szCs w:val="20"/>
              </w:rPr>
              <w:t>K</w:t>
            </w:r>
            <w:r w:rsidRPr="002C381C">
              <w:rPr>
                <w:rFonts w:ascii="Arial" w:eastAsia="Times New Roman" w:hAnsi="Arial" w:cs="Arial"/>
                <w:b/>
                <w:bCs/>
                <w:sz w:val="20"/>
                <w:szCs w:val="20"/>
                <w:vertAlign w:val="subscript"/>
              </w:rPr>
              <w:t>2</w:t>
            </w:r>
            <w:r w:rsidRPr="002C381C">
              <w:rPr>
                <w:rFonts w:ascii="Arial" w:eastAsia="Times New Roman" w:hAnsi="Arial" w:cs="Arial"/>
                <w:b/>
                <w:bCs/>
                <w:sz w:val="20"/>
                <w:szCs w:val="20"/>
              </w:rPr>
              <w:t>O</w:t>
            </w:r>
          </w:p>
        </w:tc>
        <w:tc>
          <w:tcPr>
            <w:tcW w:w="674" w:type="dxa"/>
            <w:tcBorders>
              <w:top w:val="single" w:sz="4" w:space="0" w:color="auto"/>
              <w:bottom w:val="single" w:sz="4" w:space="0" w:color="auto"/>
            </w:tcBorders>
          </w:tcPr>
          <w:p w14:paraId="40D9AC00" w14:textId="77777777" w:rsidR="002C381C" w:rsidRPr="002C381C" w:rsidRDefault="002C381C" w:rsidP="002C381C">
            <w:pPr>
              <w:contextualSpacing/>
              <w:jc w:val="both"/>
              <w:rPr>
                <w:rFonts w:ascii="Arial" w:eastAsia="Times New Roman" w:hAnsi="Arial" w:cs="Arial"/>
                <w:b/>
                <w:bCs/>
                <w:sz w:val="20"/>
                <w:szCs w:val="20"/>
              </w:rPr>
            </w:pPr>
            <w:r w:rsidRPr="002C381C">
              <w:rPr>
                <w:rFonts w:ascii="Arial" w:eastAsia="Times New Roman" w:hAnsi="Arial" w:cs="Arial"/>
                <w:b/>
                <w:bCs/>
                <w:sz w:val="20"/>
                <w:szCs w:val="20"/>
              </w:rPr>
              <w:t>TiO</w:t>
            </w:r>
            <w:r w:rsidRPr="002C381C">
              <w:rPr>
                <w:rFonts w:ascii="Arial" w:eastAsia="Times New Roman" w:hAnsi="Arial" w:cs="Arial"/>
                <w:b/>
                <w:bCs/>
                <w:sz w:val="20"/>
                <w:szCs w:val="20"/>
                <w:vertAlign w:val="subscript"/>
              </w:rPr>
              <w:t>2</w:t>
            </w:r>
          </w:p>
        </w:tc>
        <w:tc>
          <w:tcPr>
            <w:tcW w:w="691" w:type="dxa"/>
            <w:tcBorders>
              <w:top w:val="single" w:sz="4" w:space="0" w:color="auto"/>
              <w:bottom w:val="single" w:sz="4" w:space="0" w:color="auto"/>
            </w:tcBorders>
          </w:tcPr>
          <w:p w14:paraId="79A85CE1" w14:textId="77777777" w:rsidR="002C381C" w:rsidRPr="002C381C" w:rsidRDefault="002C381C" w:rsidP="002C381C">
            <w:pPr>
              <w:contextualSpacing/>
              <w:jc w:val="both"/>
              <w:rPr>
                <w:rFonts w:ascii="Arial" w:eastAsia="Times New Roman" w:hAnsi="Arial" w:cs="Arial"/>
                <w:b/>
                <w:bCs/>
                <w:sz w:val="20"/>
                <w:szCs w:val="20"/>
              </w:rPr>
            </w:pPr>
            <w:r w:rsidRPr="002C381C">
              <w:rPr>
                <w:rFonts w:ascii="Arial" w:eastAsia="Times New Roman" w:hAnsi="Arial" w:cs="Arial"/>
                <w:b/>
                <w:bCs/>
                <w:sz w:val="20"/>
                <w:szCs w:val="20"/>
              </w:rPr>
              <w:t>P</w:t>
            </w:r>
            <w:r w:rsidRPr="002C381C">
              <w:rPr>
                <w:rFonts w:ascii="Arial" w:eastAsia="Times New Roman" w:hAnsi="Arial" w:cs="Arial"/>
                <w:b/>
                <w:bCs/>
                <w:sz w:val="20"/>
                <w:szCs w:val="20"/>
                <w:vertAlign w:val="subscript"/>
              </w:rPr>
              <w:t>2</w:t>
            </w:r>
            <w:r w:rsidRPr="002C381C">
              <w:rPr>
                <w:rFonts w:ascii="Arial" w:eastAsia="Times New Roman" w:hAnsi="Arial" w:cs="Arial"/>
                <w:b/>
                <w:bCs/>
                <w:sz w:val="20"/>
                <w:szCs w:val="20"/>
              </w:rPr>
              <w:t>O</w:t>
            </w:r>
            <w:r w:rsidRPr="002C381C">
              <w:rPr>
                <w:rFonts w:ascii="Arial" w:eastAsia="Times New Roman" w:hAnsi="Arial" w:cs="Arial"/>
                <w:b/>
                <w:bCs/>
                <w:sz w:val="20"/>
                <w:szCs w:val="20"/>
                <w:vertAlign w:val="subscript"/>
              </w:rPr>
              <w:t>5</w:t>
            </w:r>
          </w:p>
        </w:tc>
        <w:tc>
          <w:tcPr>
            <w:tcW w:w="776" w:type="dxa"/>
            <w:tcBorders>
              <w:top w:val="single" w:sz="4" w:space="0" w:color="auto"/>
              <w:bottom w:val="single" w:sz="4" w:space="0" w:color="auto"/>
            </w:tcBorders>
          </w:tcPr>
          <w:p w14:paraId="4B001E9F" w14:textId="77777777" w:rsidR="002C381C" w:rsidRPr="002C381C" w:rsidRDefault="002C381C" w:rsidP="002C381C">
            <w:pPr>
              <w:contextualSpacing/>
              <w:jc w:val="both"/>
              <w:rPr>
                <w:rFonts w:ascii="Arial" w:eastAsia="Times New Roman" w:hAnsi="Arial" w:cs="Arial"/>
                <w:b/>
                <w:bCs/>
                <w:sz w:val="20"/>
                <w:szCs w:val="20"/>
              </w:rPr>
            </w:pPr>
            <w:r w:rsidRPr="002C381C">
              <w:rPr>
                <w:rFonts w:ascii="Arial" w:eastAsia="Times New Roman" w:hAnsi="Arial" w:cs="Arial"/>
                <w:b/>
                <w:bCs/>
                <w:sz w:val="20"/>
                <w:szCs w:val="20"/>
              </w:rPr>
              <w:t>Fe/Ti</w:t>
            </w:r>
          </w:p>
        </w:tc>
      </w:tr>
      <w:tr w:rsidR="002C381C" w:rsidRPr="002C381C" w14:paraId="16DB8D05" w14:textId="77777777" w:rsidTr="005443C7">
        <w:trPr>
          <w:trHeight w:val="20"/>
          <w:jc w:val="center"/>
        </w:trPr>
        <w:tc>
          <w:tcPr>
            <w:tcW w:w="1135" w:type="dxa"/>
            <w:tcBorders>
              <w:top w:val="single" w:sz="4" w:space="0" w:color="auto"/>
            </w:tcBorders>
          </w:tcPr>
          <w:p w14:paraId="43C153DC"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BNL-1</w:t>
            </w:r>
          </w:p>
        </w:tc>
        <w:tc>
          <w:tcPr>
            <w:tcW w:w="776" w:type="dxa"/>
            <w:tcBorders>
              <w:top w:val="single" w:sz="4" w:space="0" w:color="auto"/>
            </w:tcBorders>
          </w:tcPr>
          <w:p w14:paraId="6ABAF8E9"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22.76</w:t>
            </w:r>
          </w:p>
        </w:tc>
        <w:tc>
          <w:tcPr>
            <w:tcW w:w="742" w:type="dxa"/>
            <w:tcBorders>
              <w:top w:val="single" w:sz="4" w:space="0" w:color="auto"/>
            </w:tcBorders>
          </w:tcPr>
          <w:p w14:paraId="21EBE241"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2.76</w:t>
            </w:r>
          </w:p>
        </w:tc>
        <w:tc>
          <w:tcPr>
            <w:tcW w:w="784" w:type="dxa"/>
            <w:tcBorders>
              <w:top w:val="single" w:sz="4" w:space="0" w:color="auto"/>
            </w:tcBorders>
          </w:tcPr>
          <w:p w14:paraId="7153A8C2"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59.82</w:t>
            </w:r>
          </w:p>
        </w:tc>
        <w:tc>
          <w:tcPr>
            <w:tcW w:w="696" w:type="dxa"/>
            <w:tcBorders>
              <w:top w:val="single" w:sz="4" w:space="0" w:color="auto"/>
            </w:tcBorders>
          </w:tcPr>
          <w:p w14:paraId="317E0FD1"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4.87</w:t>
            </w:r>
          </w:p>
        </w:tc>
        <w:tc>
          <w:tcPr>
            <w:tcW w:w="776" w:type="dxa"/>
            <w:tcBorders>
              <w:top w:val="single" w:sz="4" w:space="0" w:color="auto"/>
            </w:tcBorders>
          </w:tcPr>
          <w:p w14:paraId="4C3189C9"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1.52</w:t>
            </w:r>
          </w:p>
        </w:tc>
        <w:tc>
          <w:tcPr>
            <w:tcW w:w="699" w:type="dxa"/>
            <w:tcBorders>
              <w:top w:val="single" w:sz="4" w:space="0" w:color="auto"/>
            </w:tcBorders>
          </w:tcPr>
          <w:p w14:paraId="237FBB17"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3.92</w:t>
            </w:r>
          </w:p>
        </w:tc>
        <w:tc>
          <w:tcPr>
            <w:tcW w:w="740" w:type="dxa"/>
            <w:tcBorders>
              <w:top w:val="single" w:sz="4" w:space="0" w:color="auto"/>
            </w:tcBorders>
          </w:tcPr>
          <w:p w14:paraId="76391760"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0.5</w:t>
            </w:r>
          </w:p>
        </w:tc>
        <w:tc>
          <w:tcPr>
            <w:tcW w:w="674" w:type="dxa"/>
            <w:tcBorders>
              <w:top w:val="single" w:sz="4" w:space="0" w:color="auto"/>
            </w:tcBorders>
          </w:tcPr>
          <w:p w14:paraId="0742BCA8"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0.05</w:t>
            </w:r>
          </w:p>
        </w:tc>
        <w:tc>
          <w:tcPr>
            <w:tcW w:w="674" w:type="dxa"/>
            <w:tcBorders>
              <w:top w:val="single" w:sz="4" w:space="0" w:color="auto"/>
            </w:tcBorders>
          </w:tcPr>
          <w:p w14:paraId="264C3966"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0.42</w:t>
            </w:r>
          </w:p>
        </w:tc>
        <w:tc>
          <w:tcPr>
            <w:tcW w:w="691" w:type="dxa"/>
            <w:tcBorders>
              <w:top w:val="single" w:sz="4" w:space="0" w:color="auto"/>
            </w:tcBorders>
          </w:tcPr>
          <w:p w14:paraId="5542B2A7"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0.04</w:t>
            </w:r>
          </w:p>
        </w:tc>
        <w:tc>
          <w:tcPr>
            <w:tcW w:w="776" w:type="dxa"/>
            <w:tcBorders>
              <w:top w:val="single" w:sz="4" w:space="0" w:color="auto"/>
            </w:tcBorders>
          </w:tcPr>
          <w:p w14:paraId="7ACC9E23"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82.38</w:t>
            </w:r>
          </w:p>
        </w:tc>
      </w:tr>
      <w:tr w:rsidR="002C381C" w:rsidRPr="002C381C" w14:paraId="139B3A2E" w14:textId="77777777" w:rsidTr="005443C7">
        <w:trPr>
          <w:trHeight w:val="20"/>
          <w:jc w:val="center"/>
        </w:trPr>
        <w:tc>
          <w:tcPr>
            <w:tcW w:w="1135" w:type="dxa"/>
          </w:tcPr>
          <w:p w14:paraId="7FBDA64B"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BNL-2</w:t>
            </w:r>
          </w:p>
        </w:tc>
        <w:tc>
          <w:tcPr>
            <w:tcW w:w="776" w:type="dxa"/>
          </w:tcPr>
          <w:p w14:paraId="29A19544"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65.25</w:t>
            </w:r>
          </w:p>
        </w:tc>
        <w:tc>
          <w:tcPr>
            <w:tcW w:w="742" w:type="dxa"/>
          </w:tcPr>
          <w:p w14:paraId="36E81BA9"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1.22</w:t>
            </w:r>
          </w:p>
        </w:tc>
        <w:tc>
          <w:tcPr>
            <w:tcW w:w="784" w:type="dxa"/>
          </w:tcPr>
          <w:p w14:paraId="0179E097"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7.78</w:t>
            </w:r>
          </w:p>
        </w:tc>
        <w:tc>
          <w:tcPr>
            <w:tcW w:w="696" w:type="dxa"/>
          </w:tcPr>
          <w:p w14:paraId="3BA9AB31"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1.23</w:t>
            </w:r>
          </w:p>
        </w:tc>
        <w:tc>
          <w:tcPr>
            <w:tcW w:w="776" w:type="dxa"/>
          </w:tcPr>
          <w:p w14:paraId="77194254"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14.8</w:t>
            </w:r>
          </w:p>
        </w:tc>
        <w:tc>
          <w:tcPr>
            <w:tcW w:w="699" w:type="dxa"/>
          </w:tcPr>
          <w:p w14:paraId="1F12796B"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1.61</w:t>
            </w:r>
          </w:p>
        </w:tc>
        <w:tc>
          <w:tcPr>
            <w:tcW w:w="740" w:type="dxa"/>
          </w:tcPr>
          <w:p w14:paraId="22C8BCBD"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0.3</w:t>
            </w:r>
          </w:p>
        </w:tc>
        <w:tc>
          <w:tcPr>
            <w:tcW w:w="674" w:type="dxa"/>
          </w:tcPr>
          <w:p w14:paraId="09FD615A"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0.11</w:t>
            </w:r>
          </w:p>
        </w:tc>
        <w:tc>
          <w:tcPr>
            <w:tcW w:w="674" w:type="dxa"/>
          </w:tcPr>
          <w:p w14:paraId="588C6022"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0.08</w:t>
            </w:r>
          </w:p>
        </w:tc>
        <w:tc>
          <w:tcPr>
            <w:tcW w:w="691" w:type="dxa"/>
          </w:tcPr>
          <w:p w14:paraId="1C50D929"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0.06</w:t>
            </w:r>
          </w:p>
        </w:tc>
        <w:tc>
          <w:tcPr>
            <w:tcW w:w="776" w:type="dxa"/>
          </w:tcPr>
          <w:p w14:paraId="64A7C772"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56.51</w:t>
            </w:r>
          </w:p>
        </w:tc>
      </w:tr>
      <w:tr w:rsidR="002C381C" w:rsidRPr="002C381C" w14:paraId="12FC18C3" w14:textId="77777777" w:rsidTr="005443C7">
        <w:trPr>
          <w:trHeight w:val="20"/>
          <w:jc w:val="center"/>
        </w:trPr>
        <w:tc>
          <w:tcPr>
            <w:tcW w:w="1135" w:type="dxa"/>
          </w:tcPr>
          <w:p w14:paraId="4513C16A"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BNL-3</w:t>
            </w:r>
          </w:p>
        </w:tc>
        <w:tc>
          <w:tcPr>
            <w:tcW w:w="776" w:type="dxa"/>
          </w:tcPr>
          <w:p w14:paraId="21EFDD05"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28.23</w:t>
            </w:r>
          </w:p>
        </w:tc>
        <w:tc>
          <w:tcPr>
            <w:tcW w:w="742" w:type="dxa"/>
          </w:tcPr>
          <w:p w14:paraId="09FED6AC"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1.32</w:t>
            </w:r>
          </w:p>
        </w:tc>
        <w:tc>
          <w:tcPr>
            <w:tcW w:w="784" w:type="dxa"/>
          </w:tcPr>
          <w:p w14:paraId="107E2D66"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18.4</w:t>
            </w:r>
          </w:p>
        </w:tc>
        <w:tc>
          <w:tcPr>
            <w:tcW w:w="696" w:type="dxa"/>
          </w:tcPr>
          <w:p w14:paraId="53A05C46"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0.97</w:t>
            </w:r>
          </w:p>
        </w:tc>
        <w:tc>
          <w:tcPr>
            <w:tcW w:w="776" w:type="dxa"/>
          </w:tcPr>
          <w:p w14:paraId="4A00C870"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22.95</w:t>
            </w:r>
          </w:p>
        </w:tc>
        <w:tc>
          <w:tcPr>
            <w:tcW w:w="699" w:type="dxa"/>
          </w:tcPr>
          <w:p w14:paraId="1B1656D1"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7.57</w:t>
            </w:r>
          </w:p>
        </w:tc>
        <w:tc>
          <w:tcPr>
            <w:tcW w:w="740" w:type="dxa"/>
          </w:tcPr>
          <w:p w14:paraId="430D5981"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0.25</w:t>
            </w:r>
          </w:p>
        </w:tc>
        <w:tc>
          <w:tcPr>
            <w:tcW w:w="674" w:type="dxa"/>
          </w:tcPr>
          <w:p w14:paraId="722F91F0"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0.18</w:t>
            </w:r>
          </w:p>
        </w:tc>
        <w:tc>
          <w:tcPr>
            <w:tcW w:w="674" w:type="dxa"/>
          </w:tcPr>
          <w:p w14:paraId="25FE897E"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0.07</w:t>
            </w:r>
          </w:p>
        </w:tc>
        <w:tc>
          <w:tcPr>
            <w:tcW w:w="691" w:type="dxa"/>
          </w:tcPr>
          <w:p w14:paraId="30ED706E"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0.39</w:t>
            </w:r>
          </w:p>
        </w:tc>
        <w:tc>
          <w:tcPr>
            <w:tcW w:w="776" w:type="dxa"/>
          </w:tcPr>
          <w:p w14:paraId="1FFEF4A5"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67.81</w:t>
            </w:r>
          </w:p>
        </w:tc>
      </w:tr>
      <w:tr w:rsidR="002C381C" w:rsidRPr="002C381C" w14:paraId="49AA331D" w14:textId="77777777" w:rsidTr="005443C7">
        <w:trPr>
          <w:trHeight w:val="20"/>
          <w:jc w:val="center"/>
        </w:trPr>
        <w:tc>
          <w:tcPr>
            <w:tcW w:w="1135" w:type="dxa"/>
          </w:tcPr>
          <w:p w14:paraId="6C4EBADE"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BNL-4</w:t>
            </w:r>
          </w:p>
        </w:tc>
        <w:tc>
          <w:tcPr>
            <w:tcW w:w="776" w:type="dxa"/>
          </w:tcPr>
          <w:p w14:paraId="2363C22C"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18.28</w:t>
            </w:r>
          </w:p>
        </w:tc>
        <w:tc>
          <w:tcPr>
            <w:tcW w:w="742" w:type="dxa"/>
          </w:tcPr>
          <w:p w14:paraId="451CDEA3"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1.67</w:t>
            </w:r>
          </w:p>
        </w:tc>
        <w:tc>
          <w:tcPr>
            <w:tcW w:w="784" w:type="dxa"/>
          </w:tcPr>
          <w:p w14:paraId="7F95E615"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10</w:t>
            </w:r>
          </w:p>
        </w:tc>
        <w:tc>
          <w:tcPr>
            <w:tcW w:w="696" w:type="dxa"/>
          </w:tcPr>
          <w:p w14:paraId="34A8AFC9"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0.88</w:t>
            </w:r>
          </w:p>
        </w:tc>
        <w:tc>
          <w:tcPr>
            <w:tcW w:w="776" w:type="dxa"/>
          </w:tcPr>
          <w:p w14:paraId="466C8B1C"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32.67</w:t>
            </w:r>
          </w:p>
        </w:tc>
        <w:tc>
          <w:tcPr>
            <w:tcW w:w="699" w:type="dxa"/>
          </w:tcPr>
          <w:p w14:paraId="4D2189E3"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9.32</w:t>
            </w:r>
          </w:p>
        </w:tc>
        <w:tc>
          <w:tcPr>
            <w:tcW w:w="740" w:type="dxa"/>
          </w:tcPr>
          <w:p w14:paraId="1AB3A5B4"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0.18</w:t>
            </w:r>
          </w:p>
        </w:tc>
        <w:tc>
          <w:tcPr>
            <w:tcW w:w="674" w:type="dxa"/>
          </w:tcPr>
          <w:p w14:paraId="78E8B4DE"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0.49</w:t>
            </w:r>
          </w:p>
        </w:tc>
        <w:tc>
          <w:tcPr>
            <w:tcW w:w="674" w:type="dxa"/>
          </w:tcPr>
          <w:p w14:paraId="126F979F"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0.07</w:t>
            </w:r>
          </w:p>
        </w:tc>
        <w:tc>
          <w:tcPr>
            <w:tcW w:w="691" w:type="dxa"/>
          </w:tcPr>
          <w:p w14:paraId="5E1862AF"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0.18</w:t>
            </w:r>
          </w:p>
        </w:tc>
        <w:tc>
          <w:tcPr>
            <w:tcW w:w="776" w:type="dxa"/>
          </w:tcPr>
          <w:p w14:paraId="688ECF0E"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87.27</w:t>
            </w:r>
          </w:p>
        </w:tc>
      </w:tr>
      <w:tr w:rsidR="002C381C" w:rsidRPr="002C381C" w14:paraId="502887F2" w14:textId="77777777" w:rsidTr="005443C7">
        <w:trPr>
          <w:trHeight w:val="20"/>
          <w:jc w:val="center"/>
        </w:trPr>
        <w:tc>
          <w:tcPr>
            <w:tcW w:w="1135" w:type="dxa"/>
          </w:tcPr>
          <w:p w14:paraId="2177B003"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BNL-5</w:t>
            </w:r>
          </w:p>
        </w:tc>
        <w:tc>
          <w:tcPr>
            <w:tcW w:w="776" w:type="dxa"/>
          </w:tcPr>
          <w:p w14:paraId="07A819B7"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88.6</w:t>
            </w:r>
          </w:p>
        </w:tc>
        <w:tc>
          <w:tcPr>
            <w:tcW w:w="742" w:type="dxa"/>
          </w:tcPr>
          <w:p w14:paraId="56EF44EA"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1.41</w:t>
            </w:r>
          </w:p>
        </w:tc>
        <w:tc>
          <w:tcPr>
            <w:tcW w:w="784" w:type="dxa"/>
          </w:tcPr>
          <w:p w14:paraId="3433B121"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3.24</w:t>
            </w:r>
          </w:p>
        </w:tc>
        <w:tc>
          <w:tcPr>
            <w:tcW w:w="696" w:type="dxa"/>
          </w:tcPr>
          <w:p w14:paraId="3E1F1CF3"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0.08</w:t>
            </w:r>
          </w:p>
        </w:tc>
        <w:tc>
          <w:tcPr>
            <w:tcW w:w="776" w:type="dxa"/>
          </w:tcPr>
          <w:p w14:paraId="4AA66793"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1.66</w:t>
            </w:r>
          </w:p>
        </w:tc>
        <w:tc>
          <w:tcPr>
            <w:tcW w:w="699" w:type="dxa"/>
          </w:tcPr>
          <w:p w14:paraId="6CE04F50"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0.79</w:t>
            </w:r>
          </w:p>
        </w:tc>
        <w:tc>
          <w:tcPr>
            <w:tcW w:w="740" w:type="dxa"/>
          </w:tcPr>
          <w:p w14:paraId="744F92E4"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0.18</w:t>
            </w:r>
          </w:p>
        </w:tc>
        <w:tc>
          <w:tcPr>
            <w:tcW w:w="674" w:type="dxa"/>
          </w:tcPr>
          <w:p w14:paraId="2BC32526"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0.33</w:t>
            </w:r>
          </w:p>
        </w:tc>
        <w:tc>
          <w:tcPr>
            <w:tcW w:w="674" w:type="dxa"/>
          </w:tcPr>
          <w:p w14:paraId="7874E111"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0.05</w:t>
            </w:r>
          </w:p>
        </w:tc>
        <w:tc>
          <w:tcPr>
            <w:tcW w:w="691" w:type="dxa"/>
          </w:tcPr>
          <w:p w14:paraId="36EB4735"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0.07</w:t>
            </w:r>
          </w:p>
        </w:tc>
        <w:tc>
          <w:tcPr>
            <w:tcW w:w="776" w:type="dxa"/>
          </w:tcPr>
          <w:p w14:paraId="7B1783CF"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38.87</w:t>
            </w:r>
          </w:p>
        </w:tc>
      </w:tr>
      <w:tr w:rsidR="002C381C" w:rsidRPr="002C381C" w14:paraId="6BAD30DF" w14:textId="77777777" w:rsidTr="005443C7">
        <w:trPr>
          <w:trHeight w:val="20"/>
          <w:jc w:val="center"/>
        </w:trPr>
        <w:tc>
          <w:tcPr>
            <w:tcW w:w="1135" w:type="dxa"/>
          </w:tcPr>
          <w:p w14:paraId="3DF4308C"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BNL-6</w:t>
            </w:r>
          </w:p>
        </w:tc>
        <w:tc>
          <w:tcPr>
            <w:tcW w:w="776" w:type="dxa"/>
          </w:tcPr>
          <w:p w14:paraId="5BF73855"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88.62</w:t>
            </w:r>
          </w:p>
        </w:tc>
        <w:tc>
          <w:tcPr>
            <w:tcW w:w="742" w:type="dxa"/>
          </w:tcPr>
          <w:p w14:paraId="36390E0A"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2.08</w:t>
            </w:r>
          </w:p>
        </w:tc>
        <w:tc>
          <w:tcPr>
            <w:tcW w:w="784" w:type="dxa"/>
          </w:tcPr>
          <w:p w14:paraId="45DC6475"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1.94</w:t>
            </w:r>
          </w:p>
        </w:tc>
        <w:tc>
          <w:tcPr>
            <w:tcW w:w="696" w:type="dxa"/>
          </w:tcPr>
          <w:p w14:paraId="3306B9A4"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0.02</w:t>
            </w:r>
          </w:p>
        </w:tc>
        <w:tc>
          <w:tcPr>
            <w:tcW w:w="776" w:type="dxa"/>
          </w:tcPr>
          <w:p w14:paraId="240C99F4"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1.55</w:t>
            </w:r>
          </w:p>
        </w:tc>
        <w:tc>
          <w:tcPr>
            <w:tcW w:w="699" w:type="dxa"/>
          </w:tcPr>
          <w:p w14:paraId="127AE329"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0.64</w:t>
            </w:r>
          </w:p>
        </w:tc>
        <w:tc>
          <w:tcPr>
            <w:tcW w:w="740" w:type="dxa"/>
          </w:tcPr>
          <w:p w14:paraId="0F69543E"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0.96</w:t>
            </w:r>
          </w:p>
        </w:tc>
        <w:tc>
          <w:tcPr>
            <w:tcW w:w="674" w:type="dxa"/>
          </w:tcPr>
          <w:p w14:paraId="56D198C7"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0.2</w:t>
            </w:r>
          </w:p>
        </w:tc>
        <w:tc>
          <w:tcPr>
            <w:tcW w:w="674" w:type="dxa"/>
          </w:tcPr>
          <w:p w14:paraId="41DEE45B"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0.03</w:t>
            </w:r>
          </w:p>
        </w:tc>
        <w:tc>
          <w:tcPr>
            <w:tcW w:w="691" w:type="dxa"/>
          </w:tcPr>
          <w:p w14:paraId="1EEB5DA3"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0.05</w:t>
            </w:r>
          </w:p>
        </w:tc>
        <w:tc>
          <w:tcPr>
            <w:tcW w:w="776" w:type="dxa"/>
          </w:tcPr>
          <w:p w14:paraId="4674033E"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37.95</w:t>
            </w:r>
          </w:p>
        </w:tc>
      </w:tr>
    </w:tbl>
    <w:p w14:paraId="6E38C28F" w14:textId="77777777" w:rsidR="002C381C" w:rsidRPr="00270C54" w:rsidRDefault="002C381C" w:rsidP="002C381C">
      <w:pPr>
        <w:spacing w:after="0" w:line="240" w:lineRule="auto"/>
        <w:contextualSpacing/>
        <w:jc w:val="both"/>
        <w:rPr>
          <w:rFonts w:ascii="Arial" w:eastAsia="Times New Roman" w:hAnsi="Arial" w:cs="Arial"/>
          <w:bCs/>
        </w:rPr>
      </w:pPr>
    </w:p>
    <w:p w14:paraId="128CE95A" w14:textId="7F4E00C7" w:rsidR="002C381C" w:rsidRPr="002C381C" w:rsidRDefault="002C381C" w:rsidP="005443C7">
      <w:pPr>
        <w:spacing w:after="0" w:line="240" w:lineRule="auto"/>
        <w:contextualSpacing/>
        <w:jc w:val="center"/>
        <w:rPr>
          <w:rFonts w:ascii="Arial" w:eastAsia="Times New Roman" w:hAnsi="Arial" w:cs="Arial"/>
          <w:b/>
          <w:bCs/>
          <w:sz w:val="20"/>
          <w:szCs w:val="20"/>
        </w:rPr>
      </w:pPr>
      <w:r w:rsidRPr="001C1FD2">
        <w:rPr>
          <w:rFonts w:ascii="Arial" w:eastAsia="Times New Roman" w:hAnsi="Arial" w:cs="Arial"/>
          <w:b/>
          <w:bCs/>
          <w:sz w:val="20"/>
          <w:szCs w:val="20"/>
        </w:rPr>
        <w:t>Table</w:t>
      </w:r>
      <w:r w:rsidRPr="002C381C">
        <w:rPr>
          <w:rFonts w:ascii="Arial" w:eastAsia="Times New Roman" w:hAnsi="Arial" w:cs="Arial"/>
          <w:b/>
          <w:bCs/>
          <w:sz w:val="20"/>
          <w:szCs w:val="20"/>
        </w:rPr>
        <w:t xml:space="preserve"> 3. GSI XRF Report of Trace Elements </w:t>
      </w:r>
      <w:r w:rsidR="001E4EE9">
        <w:rPr>
          <w:rFonts w:ascii="Arial" w:eastAsia="Times New Roman" w:hAnsi="Arial" w:cs="Arial"/>
          <w:b/>
          <w:bCs/>
          <w:sz w:val="20"/>
          <w:szCs w:val="20"/>
        </w:rPr>
        <w:t>(in ppm)</w:t>
      </w:r>
      <w:r w:rsidRPr="002C381C">
        <w:rPr>
          <w:rFonts w:ascii="Arial" w:eastAsia="Times New Roman" w:hAnsi="Arial" w:cs="Arial"/>
          <w:b/>
          <w:bCs/>
          <w:sz w:val="20"/>
          <w:szCs w:val="20"/>
        </w:rPr>
        <w:t xml:space="preserve"> </w:t>
      </w:r>
    </w:p>
    <w:p w14:paraId="42E0EFD8" w14:textId="77777777" w:rsidR="002C381C" w:rsidRPr="00270C54" w:rsidRDefault="002C381C" w:rsidP="002C381C">
      <w:pPr>
        <w:spacing w:after="0" w:line="240" w:lineRule="auto"/>
        <w:contextualSpacing/>
        <w:jc w:val="both"/>
        <w:rPr>
          <w:rFonts w:ascii="Arial" w:eastAsia="Times New Roman" w:hAnsi="Arial" w:cs="Arial"/>
          <w:bCs/>
        </w:rPr>
      </w:pPr>
    </w:p>
    <w:tbl>
      <w:tblPr>
        <w:tblStyle w:val="TableGrid"/>
        <w:tblW w:w="4875"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3"/>
        <w:gridCol w:w="540"/>
        <w:gridCol w:w="450"/>
        <w:gridCol w:w="228"/>
        <w:gridCol w:w="312"/>
        <w:gridCol w:w="720"/>
        <w:gridCol w:w="540"/>
        <w:gridCol w:w="210"/>
        <w:gridCol w:w="330"/>
        <w:gridCol w:w="450"/>
        <w:gridCol w:w="543"/>
        <w:gridCol w:w="477"/>
        <w:gridCol w:w="289"/>
        <w:gridCol w:w="173"/>
        <w:gridCol w:w="498"/>
        <w:gridCol w:w="540"/>
        <w:gridCol w:w="594"/>
        <w:gridCol w:w="470"/>
        <w:gridCol w:w="757"/>
      </w:tblGrid>
      <w:tr w:rsidR="001E4EE9" w:rsidRPr="002C381C" w14:paraId="24AEA680" w14:textId="77777777" w:rsidTr="001E4EE9">
        <w:trPr>
          <w:trHeight w:val="20"/>
          <w:jc w:val="center"/>
        </w:trPr>
        <w:tc>
          <w:tcPr>
            <w:tcW w:w="893" w:type="dxa"/>
            <w:tcBorders>
              <w:top w:val="single" w:sz="4" w:space="0" w:color="auto"/>
              <w:bottom w:val="single" w:sz="4" w:space="0" w:color="auto"/>
            </w:tcBorders>
          </w:tcPr>
          <w:p w14:paraId="4A5E1C9E" w14:textId="77777777" w:rsidR="002C381C" w:rsidRPr="002C381C" w:rsidRDefault="002C381C" w:rsidP="001E4EE9">
            <w:pPr>
              <w:ind w:right="-101"/>
              <w:contextualSpacing/>
              <w:jc w:val="both"/>
              <w:rPr>
                <w:rFonts w:ascii="Arial" w:eastAsia="Times New Roman" w:hAnsi="Arial" w:cs="Arial"/>
                <w:b/>
                <w:bCs/>
                <w:sz w:val="20"/>
                <w:szCs w:val="20"/>
              </w:rPr>
            </w:pPr>
            <w:r w:rsidRPr="002C381C">
              <w:rPr>
                <w:rFonts w:ascii="Arial" w:eastAsia="Times New Roman" w:hAnsi="Arial" w:cs="Arial"/>
                <w:b/>
                <w:bCs/>
                <w:sz w:val="20"/>
                <w:szCs w:val="20"/>
              </w:rPr>
              <w:t>Sample</w:t>
            </w:r>
          </w:p>
        </w:tc>
        <w:tc>
          <w:tcPr>
            <w:tcW w:w="540" w:type="dxa"/>
            <w:tcBorders>
              <w:top w:val="single" w:sz="4" w:space="0" w:color="auto"/>
              <w:bottom w:val="single" w:sz="4" w:space="0" w:color="auto"/>
            </w:tcBorders>
          </w:tcPr>
          <w:p w14:paraId="177CA980" w14:textId="77777777" w:rsidR="002C381C" w:rsidRPr="002C381C" w:rsidRDefault="002C381C" w:rsidP="001E4EE9">
            <w:pPr>
              <w:ind w:right="-101"/>
              <w:contextualSpacing/>
              <w:jc w:val="both"/>
              <w:rPr>
                <w:rFonts w:ascii="Arial" w:eastAsia="Times New Roman" w:hAnsi="Arial" w:cs="Arial"/>
                <w:b/>
                <w:bCs/>
                <w:sz w:val="20"/>
                <w:szCs w:val="20"/>
              </w:rPr>
            </w:pPr>
            <w:r w:rsidRPr="002C381C">
              <w:rPr>
                <w:rFonts w:ascii="Arial" w:eastAsia="Times New Roman" w:hAnsi="Arial" w:cs="Arial"/>
                <w:b/>
                <w:bCs/>
                <w:sz w:val="20"/>
                <w:szCs w:val="20"/>
              </w:rPr>
              <w:t>Ba</w:t>
            </w:r>
          </w:p>
        </w:tc>
        <w:tc>
          <w:tcPr>
            <w:tcW w:w="450" w:type="dxa"/>
            <w:tcBorders>
              <w:top w:val="single" w:sz="4" w:space="0" w:color="auto"/>
              <w:bottom w:val="single" w:sz="4" w:space="0" w:color="auto"/>
            </w:tcBorders>
          </w:tcPr>
          <w:p w14:paraId="247F4DA5" w14:textId="77777777" w:rsidR="002C381C" w:rsidRPr="002C381C" w:rsidRDefault="002C381C" w:rsidP="001E4EE9">
            <w:pPr>
              <w:ind w:right="-101"/>
              <w:contextualSpacing/>
              <w:jc w:val="both"/>
              <w:rPr>
                <w:rFonts w:ascii="Arial" w:eastAsia="Times New Roman" w:hAnsi="Arial" w:cs="Arial"/>
                <w:b/>
                <w:bCs/>
                <w:sz w:val="20"/>
                <w:szCs w:val="20"/>
              </w:rPr>
            </w:pPr>
            <w:r w:rsidRPr="002C381C">
              <w:rPr>
                <w:rFonts w:ascii="Arial" w:eastAsia="Times New Roman" w:hAnsi="Arial" w:cs="Arial"/>
                <w:b/>
                <w:bCs/>
                <w:sz w:val="20"/>
                <w:szCs w:val="20"/>
              </w:rPr>
              <w:t>Co</w:t>
            </w:r>
          </w:p>
        </w:tc>
        <w:tc>
          <w:tcPr>
            <w:tcW w:w="540" w:type="dxa"/>
            <w:gridSpan w:val="2"/>
            <w:tcBorders>
              <w:top w:val="single" w:sz="4" w:space="0" w:color="auto"/>
              <w:bottom w:val="single" w:sz="4" w:space="0" w:color="auto"/>
            </w:tcBorders>
          </w:tcPr>
          <w:p w14:paraId="42D28AFB" w14:textId="77777777" w:rsidR="002C381C" w:rsidRPr="002C381C" w:rsidRDefault="002C381C" w:rsidP="001E4EE9">
            <w:pPr>
              <w:ind w:right="-101"/>
              <w:contextualSpacing/>
              <w:jc w:val="both"/>
              <w:rPr>
                <w:rFonts w:ascii="Arial" w:eastAsia="Times New Roman" w:hAnsi="Arial" w:cs="Arial"/>
                <w:b/>
                <w:bCs/>
                <w:sz w:val="20"/>
                <w:szCs w:val="20"/>
              </w:rPr>
            </w:pPr>
            <w:r w:rsidRPr="002C381C">
              <w:rPr>
                <w:rFonts w:ascii="Arial" w:eastAsia="Times New Roman" w:hAnsi="Arial" w:cs="Arial"/>
                <w:b/>
                <w:bCs/>
                <w:sz w:val="20"/>
                <w:szCs w:val="20"/>
              </w:rPr>
              <w:t>Cr</w:t>
            </w:r>
          </w:p>
        </w:tc>
        <w:tc>
          <w:tcPr>
            <w:tcW w:w="720" w:type="dxa"/>
            <w:tcBorders>
              <w:top w:val="single" w:sz="4" w:space="0" w:color="auto"/>
              <w:bottom w:val="single" w:sz="4" w:space="0" w:color="auto"/>
            </w:tcBorders>
          </w:tcPr>
          <w:p w14:paraId="222AA96F" w14:textId="77777777" w:rsidR="002C381C" w:rsidRPr="002C381C" w:rsidRDefault="002C381C" w:rsidP="001E4EE9">
            <w:pPr>
              <w:ind w:right="-101"/>
              <w:contextualSpacing/>
              <w:jc w:val="both"/>
              <w:rPr>
                <w:rFonts w:ascii="Arial" w:eastAsia="Times New Roman" w:hAnsi="Arial" w:cs="Arial"/>
                <w:b/>
                <w:bCs/>
                <w:sz w:val="20"/>
                <w:szCs w:val="20"/>
              </w:rPr>
            </w:pPr>
            <w:r w:rsidRPr="002C381C">
              <w:rPr>
                <w:rFonts w:ascii="Arial" w:eastAsia="Times New Roman" w:hAnsi="Arial" w:cs="Arial"/>
                <w:b/>
                <w:bCs/>
                <w:sz w:val="20"/>
                <w:szCs w:val="20"/>
              </w:rPr>
              <w:t>Cu</w:t>
            </w:r>
          </w:p>
        </w:tc>
        <w:tc>
          <w:tcPr>
            <w:tcW w:w="540" w:type="dxa"/>
            <w:tcBorders>
              <w:top w:val="single" w:sz="4" w:space="0" w:color="auto"/>
              <w:bottom w:val="single" w:sz="4" w:space="0" w:color="auto"/>
            </w:tcBorders>
          </w:tcPr>
          <w:p w14:paraId="59B2D087" w14:textId="77777777" w:rsidR="002C381C" w:rsidRPr="002C381C" w:rsidRDefault="002C381C" w:rsidP="001E4EE9">
            <w:pPr>
              <w:ind w:right="-101"/>
              <w:contextualSpacing/>
              <w:jc w:val="both"/>
              <w:rPr>
                <w:rFonts w:ascii="Arial" w:eastAsia="Times New Roman" w:hAnsi="Arial" w:cs="Arial"/>
                <w:b/>
                <w:bCs/>
                <w:sz w:val="20"/>
                <w:szCs w:val="20"/>
              </w:rPr>
            </w:pPr>
            <w:r w:rsidRPr="002C381C">
              <w:rPr>
                <w:rFonts w:ascii="Arial" w:eastAsia="Times New Roman" w:hAnsi="Arial" w:cs="Arial"/>
                <w:b/>
                <w:bCs/>
                <w:sz w:val="20"/>
                <w:szCs w:val="20"/>
              </w:rPr>
              <w:t>Ga</w:t>
            </w:r>
          </w:p>
        </w:tc>
        <w:tc>
          <w:tcPr>
            <w:tcW w:w="540" w:type="dxa"/>
            <w:gridSpan w:val="2"/>
            <w:tcBorders>
              <w:top w:val="single" w:sz="4" w:space="0" w:color="auto"/>
              <w:bottom w:val="single" w:sz="4" w:space="0" w:color="auto"/>
            </w:tcBorders>
          </w:tcPr>
          <w:p w14:paraId="3BF6B6A4" w14:textId="77777777" w:rsidR="002C381C" w:rsidRPr="002C381C" w:rsidRDefault="002C381C" w:rsidP="001E4EE9">
            <w:pPr>
              <w:ind w:right="-101"/>
              <w:contextualSpacing/>
              <w:jc w:val="both"/>
              <w:rPr>
                <w:rFonts w:ascii="Arial" w:eastAsia="Times New Roman" w:hAnsi="Arial" w:cs="Arial"/>
                <w:b/>
                <w:bCs/>
                <w:sz w:val="20"/>
                <w:szCs w:val="20"/>
              </w:rPr>
            </w:pPr>
            <w:r w:rsidRPr="002C381C">
              <w:rPr>
                <w:rFonts w:ascii="Arial" w:eastAsia="Times New Roman" w:hAnsi="Arial" w:cs="Arial"/>
                <w:b/>
                <w:bCs/>
                <w:sz w:val="20"/>
                <w:szCs w:val="20"/>
              </w:rPr>
              <w:t>Nb</w:t>
            </w:r>
          </w:p>
        </w:tc>
        <w:tc>
          <w:tcPr>
            <w:tcW w:w="450" w:type="dxa"/>
            <w:tcBorders>
              <w:top w:val="single" w:sz="4" w:space="0" w:color="auto"/>
              <w:bottom w:val="single" w:sz="4" w:space="0" w:color="auto"/>
            </w:tcBorders>
          </w:tcPr>
          <w:p w14:paraId="02C98521" w14:textId="77777777" w:rsidR="002C381C" w:rsidRPr="002C381C" w:rsidRDefault="002C381C" w:rsidP="001E4EE9">
            <w:pPr>
              <w:ind w:right="-101"/>
              <w:contextualSpacing/>
              <w:jc w:val="both"/>
              <w:rPr>
                <w:rFonts w:ascii="Arial" w:eastAsia="Times New Roman" w:hAnsi="Arial" w:cs="Arial"/>
                <w:b/>
                <w:bCs/>
                <w:sz w:val="20"/>
                <w:szCs w:val="20"/>
              </w:rPr>
            </w:pPr>
            <w:r w:rsidRPr="002C381C">
              <w:rPr>
                <w:rFonts w:ascii="Arial" w:eastAsia="Times New Roman" w:hAnsi="Arial" w:cs="Arial"/>
                <w:b/>
                <w:bCs/>
                <w:sz w:val="20"/>
                <w:szCs w:val="20"/>
              </w:rPr>
              <w:t>Ni</w:t>
            </w:r>
          </w:p>
        </w:tc>
        <w:tc>
          <w:tcPr>
            <w:tcW w:w="543" w:type="dxa"/>
            <w:tcBorders>
              <w:top w:val="single" w:sz="4" w:space="0" w:color="auto"/>
              <w:bottom w:val="single" w:sz="4" w:space="0" w:color="auto"/>
            </w:tcBorders>
          </w:tcPr>
          <w:p w14:paraId="0804E469" w14:textId="77777777" w:rsidR="002C381C" w:rsidRPr="002C381C" w:rsidRDefault="002C381C" w:rsidP="001E4EE9">
            <w:pPr>
              <w:ind w:right="-101"/>
              <w:contextualSpacing/>
              <w:jc w:val="both"/>
              <w:rPr>
                <w:rFonts w:ascii="Arial" w:eastAsia="Times New Roman" w:hAnsi="Arial" w:cs="Arial"/>
                <w:b/>
                <w:bCs/>
                <w:sz w:val="20"/>
                <w:szCs w:val="20"/>
              </w:rPr>
            </w:pPr>
            <w:r w:rsidRPr="002C381C">
              <w:rPr>
                <w:rFonts w:ascii="Arial" w:eastAsia="Times New Roman" w:hAnsi="Arial" w:cs="Arial"/>
                <w:b/>
                <w:bCs/>
                <w:sz w:val="20"/>
                <w:szCs w:val="20"/>
              </w:rPr>
              <w:t>Pb</w:t>
            </w:r>
          </w:p>
        </w:tc>
        <w:tc>
          <w:tcPr>
            <w:tcW w:w="477" w:type="dxa"/>
            <w:tcBorders>
              <w:top w:val="single" w:sz="4" w:space="0" w:color="auto"/>
              <w:bottom w:val="single" w:sz="4" w:space="0" w:color="auto"/>
            </w:tcBorders>
          </w:tcPr>
          <w:p w14:paraId="3EBB4413" w14:textId="77777777" w:rsidR="002C381C" w:rsidRPr="002C381C" w:rsidRDefault="002C381C" w:rsidP="001E4EE9">
            <w:pPr>
              <w:ind w:right="-101"/>
              <w:contextualSpacing/>
              <w:jc w:val="both"/>
              <w:rPr>
                <w:rFonts w:ascii="Arial" w:eastAsia="Times New Roman" w:hAnsi="Arial" w:cs="Arial"/>
                <w:b/>
                <w:bCs/>
                <w:sz w:val="20"/>
                <w:szCs w:val="20"/>
              </w:rPr>
            </w:pPr>
            <w:r w:rsidRPr="002C381C">
              <w:rPr>
                <w:rFonts w:ascii="Arial" w:eastAsia="Times New Roman" w:hAnsi="Arial" w:cs="Arial"/>
                <w:b/>
                <w:bCs/>
                <w:sz w:val="20"/>
                <w:szCs w:val="20"/>
              </w:rPr>
              <w:t>Rb</w:t>
            </w:r>
          </w:p>
        </w:tc>
        <w:tc>
          <w:tcPr>
            <w:tcW w:w="462" w:type="dxa"/>
            <w:gridSpan w:val="2"/>
            <w:tcBorders>
              <w:top w:val="single" w:sz="4" w:space="0" w:color="auto"/>
              <w:bottom w:val="single" w:sz="4" w:space="0" w:color="auto"/>
            </w:tcBorders>
          </w:tcPr>
          <w:p w14:paraId="312F52A7" w14:textId="77777777" w:rsidR="002C381C" w:rsidRPr="002C381C" w:rsidRDefault="002C381C" w:rsidP="001E4EE9">
            <w:pPr>
              <w:ind w:right="-101"/>
              <w:contextualSpacing/>
              <w:jc w:val="both"/>
              <w:rPr>
                <w:rFonts w:ascii="Arial" w:eastAsia="Times New Roman" w:hAnsi="Arial" w:cs="Arial"/>
                <w:b/>
                <w:bCs/>
                <w:sz w:val="20"/>
                <w:szCs w:val="20"/>
              </w:rPr>
            </w:pPr>
            <w:r w:rsidRPr="002C381C">
              <w:rPr>
                <w:rFonts w:ascii="Arial" w:eastAsia="Times New Roman" w:hAnsi="Arial" w:cs="Arial"/>
                <w:b/>
                <w:bCs/>
                <w:sz w:val="20"/>
                <w:szCs w:val="20"/>
              </w:rPr>
              <w:t>Sc</w:t>
            </w:r>
          </w:p>
        </w:tc>
        <w:tc>
          <w:tcPr>
            <w:tcW w:w="498" w:type="dxa"/>
            <w:tcBorders>
              <w:top w:val="single" w:sz="4" w:space="0" w:color="auto"/>
              <w:bottom w:val="single" w:sz="4" w:space="0" w:color="auto"/>
            </w:tcBorders>
          </w:tcPr>
          <w:p w14:paraId="7F829F57" w14:textId="77777777" w:rsidR="002C381C" w:rsidRPr="002C381C" w:rsidRDefault="002C381C" w:rsidP="001E4EE9">
            <w:pPr>
              <w:ind w:right="-101"/>
              <w:contextualSpacing/>
              <w:jc w:val="both"/>
              <w:rPr>
                <w:rFonts w:ascii="Arial" w:eastAsia="Times New Roman" w:hAnsi="Arial" w:cs="Arial"/>
                <w:b/>
                <w:bCs/>
                <w:sz w:val="20"/>
                <w:szCs w:val="20"/>
              </w:rPr>
            </w:pPr>
            <w:r w:rsidRPr="002C381C">
              <w:rPr>
                <w:rFonts w:ascii="Arial" w:eastAsia="Times New Roman" w:hAnsi="Arial" w:cs="Arial"/>
                <w:b/>
                <w:bCs/>
                <w:sz w:val="20"/>
                <w:szCs w:val="20"/>
              </w:rPr>
              <w:t>Sr</w:t>
            </w:r>
          </w:p>
        </w:tc>
        <w:tc>
          <w:tcPr>
            <w:tcW w:w="540" w:type="dxa"/>
            <w:tcBorders>
              <w:top w:val="single" w:sz="4" w:space="0" w:color="auto"/>
              <w:bottom w:val="single" w:sz="4" w:space="0" w:color="auto"/>
            </w:tcBorders>
          </w:tcPr>
          <w:p w14:paraId="5127C22B" w14:textId="77777777" w:rsidR="002C381C" w:rsidRPr="002C381C" w:rsidRDefault="002C381C" w:rsidP="001E4EE9">
            <w:pPr>
              <w:ind w:right="-101"/>
              <w:contextualSpacing/>
              <w:jc w:val="both"/>
              <w:rPr>
                <w:rFonts w:ascii="Arial" w:eastAsia="Times New Roman" w:hAnsi="Arial" w:cs="Arial"/>
                <w:b/>
                <w:bCs/>
                <w:sz w:val="20"/>
                <w:szCs w:val="20"/>
              </w:rPr>
            </w:pPr>
            <w:r w:rsidRPr="002C381C">
              <w:rPr>
                <w:rFonts w:ascii="Arial" w:eastAsia="Times New Roman" w:hAnsi="Arial" w:cs="Arial"/>
                <w:b/>
                <w:bCs/>
                <w:sz w:val="20"/>
                <w:szCs w:val="20"/>
              </w:rPr>
              <w:t>Th</w:t>
            </w:r>
          </w:p>
        </w:tc>
        <w:tc>
          <w:tcPr>
            <w:tcW w:w="594" w:type="dxa"/>
            <w:tcBorders>
              <w:top w:val="single" w:sz="4" w:space="0" w:color="auto"/>
              <w:bottom w:val="single" w:sz="4" w:space="0" w:color="auto"/>
            </w:tcBorders>
          </w:tcPr>
          <w:p w14:paraId="7D50C54F" w14:textId="77777777" w:rsidR="002C381C" w:rsidRPr="002C381C" w:rsidRDefault="002C381C" w:rsidP="001E4EE9">
            <w:pPr>
              <w:ind w:right="-101"/>
              <w:contextualSpacing/>
              <w:jc w:val="both"/>
              <w:rPr>
                <w:rFonts w:ascii="Arial" w:eastAsia="Times New Roman" w:hAnsi="Arial" w:cs="Arial"/>
                <w:b/>
                <w:bCs/>
                <w:sz w:val="20"/>
                <w:szCs w:val="20"/>
              </w:rPr>
            </w:pPr>
            <w:r w:rsidRPr="002C381C">
              <w:rPr>
                <w:rFonts w:ascii="Arial" w:eastAsia="Times New Roman" w:hAnsi="Arial" w:cs="Arial"/>
                <w:b/>
                <w:bCs/>
                <w:sz w:val="20"/>
                <w:szCs w:val="20"/>
              </w:rPr>
              <w:t>V</w:t>
            </w:r>
          </w:p>
        </w:tc>
        <w:tc>
          <w:tcPr>
            <w:tcW w:w="470" w:type="dxa"/>
            <w:tcBorders>
              <w:top w:val="single" w:sz="4" w:space="0" w:color="auto"/>
              <w:bottom w:val="single" w:sz="4" w:space="0" w:color="auto"/>
            </w:tcBorders>
          </w:tcPr>
          <w:p w14:paraId="1EAE51CD" w14:textId="77777777" w:rsidR="002C381C" w:rsidRPr="002C381C" w:rsidRDefault="002C381C" w:rsidP="001E4EE9">
            <w:pPr>
              <w:ind w:right="-101"/>
              <w:contextualSpacing/>
              <w:jc w:val="both"/>
              <w:rPr>
                <w:rFonts w:ascii="Arial" w:eastAsia="Times New Roman" w:hAnsi="Arial" w:cs="Arial"/>
                <w:b/>
                <w:bCs/>
                <w:sz w:val="20"/>
                <w:szCs w:val="20"/>
              </w:rPr>
            </w:pPr>
            <w:r w:rsidRPr="002C381C">
              <w:rPr>
                <w:rFonts w:ascii="Arial" w:eastAsia="Times New Roman" w:hAnsi="Arial" w:cs="Arial"/>
                <w:b/>
                <w:bCs/>
                <w:sz w:val="20"/>
                <w:szCs w:val="20"/>
              </w:rPr>
              <w:t>Zn</w:t>
            </w:r>
          </w:p>
        </w:tc>
        <w:tc>
          <w:tcPr>
            <w:tcW w:w="757" w:type="dxa"/>
            <w:tcBorders>
              <w:top w:val="single" w:sz="4" w:space="0" w:color="auto"/>
              <w:bottom w:val="single" w:sz="4" w:space="0" w:color="auto"/>
            </w:tcBorders>
          </w:tcPr>
          <w:p w14:paraId="2084E0BE" w14:textId="77777777" w:rsidR="002C381C" w:rsidRPr="002C381C" w:rsidRDefault="002C381C" w:rsidP="001E4EE9">
            <w:pPr>
              <w:ind w:right="-101"/>
              <w:contextualSpacing/>
              <w:jc w:val="both"/>
              <w:rPr>
                <w:rFonts w:ascii="Arial" w:eastAsia="Times New Roman" w:hAnsi="Arial" w:cs="Arial"/>
                <w:b/>
                <w:bCs/>
                <w:sz w:val="20"/>
                <w:szCs w:val="20"/>
              </w:rPr>
            </w:pPr>
            <w:r w:rsidRPr="002C381C">
              <w:rPr>
                <w:rFonts w:ascii="Arial" w:eastAsia="Times New Roman" w:hAnsi="Arial" w:cs="Arial"/>
                <w:b/>
                <w:bCs/>
                <w:sz w:val="20"/>
                <w:szCs w:val="20"/>
              </w:rPr>
              <w:t>Fe/Ti</w:t>
            </w:r>
          </w:p>
        </w:tc>
      </w:tr>
      <w:tr w:rsidR="001E4EE9" w:rsidRPr="002C381C" w14:paraId="7B9D4A75" w14:textId="77777777" w:rsidTr="001E4EE9">
        <w:trPr>
          <w:trHeight w:val="20"/>
          <w:jc w:val="center"/>
        </w:trPr>
        <w:tc>
          <w:tcPr>
            <w:tcW w:w="893" w:type="dxa"/>
            <w:tcBorders>
              <w:top w:val="single" w:sz="4" w:space="0" w:color="auto"/>
            </w:tcBorders>
          </w:tcPr>
          <w:p w14:paraId="5B364F4B"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BNL-1</w:t>
            </w:r>
          </w:p>
        </w:tc>
        <w:tc>
          <w:tcPr>
            <w:tcW w:w="540" w:type="dxa"/>
            <w:tcBorders>
              <w:top w:val="single" w:sz="4" w:space="0" w:color="auto"/>
            </w:tcBorders>
          </w:tcPr>
          <w:p w14:paraId="4D8CE56F"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983</w:t>
            </w:r>
          </w:p>
        </w:tc>
        <w:tc>
          <w:tcPr>
            <w:tcW w:w="450" w:type="dxa"/>
            <w:tcBorders>
              <w:top w:val="single" w:sz="4" w:space="0" w:color="auto"/>
            </w:tcBorders>
          </w:tcPr>
          <w:p w14:paraId="314AB076"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72</w:t>
            </w:r>
          </w:p>
        </w:tc>
        <w:tc>
          <w:tcPr>
            <w:tcW w:w="540" w:type="dxa"/>
            <w:gridSpan w:val="2"/>
            <w:tcBorders>
              <w:top w:val="single" w:sz="4" w:space="0" w:color="auto"/>
            </w:tcBorders>
          </w:tcPr>
          <w:p w14:paraId="1960703E"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446</w:t>
            </w:r>
          </w:p>
        </w:tc>
        <w:tc>
          <w:tcPr>
            <w:tcW w:w="720" w:type="dxa"/>
            <w:tcBorders>
              <w:top w:val="single" w:sz="4" w:space="0" w:color="auto"/>
            </w:tcBorders>
          </w:tcPr>
          <w:p w14:paraId="23BEB80B"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157</w:t>
            </w:r>
          </w:p>
        </w:tc>
        <w:tc>
          <w:tcPr>
            <w:tcW w:w="540" w:type="dxa"/>
            <w:tcBorders>
              <w:top w:val="single" w:sz="4" w:space="0" w:color="auto"/>
            </w:tcBorders>
          </w:tcPr>
          <w:p w14:paraId="66A73657"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6</w:t>
            </w:r>
          </w:p>
        </w:tc>
        <w:tc>
          <w:tcPr>
            <w:tcW w:w="540" w:type="dxa"/>
            <w:gridSpan w:val="2"/>
            <w:tcBorders>
              <w:top w:val="single" w:sz="4" w:space="0" w:color="auto"/>
            </w:tcBorders>
          </w:tcPr>
          <w:p w14:paraId="37DC9839"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3</w:t>
            </w:r>
          </w:p>
        </w:tc>
        <w:tc>
          <w:tcPr>
            <w:tcW w:w="450" w:type="dxa"/>
            <w:tcBorders>
              <w:top w:val="single" w:sz="4" w:space="0" w:color="auto"/>
            </w:tcBorders>
          </w:tcPr>
          <w:p w14:paraId="24C89CC6"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5</w:t>
            </w:r>
          </w:p>
        </w:tc>
        <w:tc>
          <w:tcPr>
            <w:tcW w:w="543" w:type="dxa"/>
            <w:tcBorders>
              <w:top w:val="single" w:sz="4" w:space="0" w:color="auto"/>
            </w:tcBorders>
          </w:tcPr>
          <w:p w14:paraId="3F331825"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32</w:t>
            </w:r>
          </w:p>
        </w:tc>
        <w:tc>
          <w:tcPr>
            <w:tcW w:w="477" w:type="dxa"/>
            <w:tcBorders>
              <w:top w:val="single" w:sz="4" w:space="0" w:color="auto"/>
            </w:tcBorders>
          </w:tcPr>
          <w:p w14:paraId="26321078"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10</w:t>
            </w:r>
          </w:p>
        </w:tc>
        <w:tc>
          <w:tcPr>
            <w:tcW w:w="462" w:type="dxa"/>
            <w:gridSpan w:val="2"/>
            <w:tcBorders>
              <w:top w:val="single" w:sz="4" w:space="0" w:color="auto"/>
            </w:tcBorders>
          </w:tcPr>
          <w:p w14:paraId="69AE9AF1"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45</w:t>
            </w:r>
          </w:p>
        </w:tc>
        <w:tc>
          <w:tcPr>
            <w:tcW w:w="498" w:type="dxa"/>
            <w:tcBorders>
              <w:top w:val="single" w:sz="4" w:space="0" w:color="auto"/>
            </w:tcBorders>
          </w:tcPr>
          <w:p w14:paraId="6A7AF719"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28</w:t>
            </w:r>
          </w:p>
        </w:tc>
        <w:tc>
          <w:tcPr>
            <w:tcW w:w="540" w:type="dxa"/>
            <w:tcBorders>
              <w:top w:val="single" w:sz="4" w:space="0" w:color="auto"/>
            </w:tcBorders>
          </w:tcPr>
          <w:p w14:paraId="0A667B56"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6</w:t>
            </w:r>
          </w:p>
        </w:tc>
        <w:tc>
          <w:tcPr>
            <w:tcW w:w="594" w:type="dxa"/>
            <w:tcBorders>
              <w:top w:val="single" w:sz="4" w:space="0" w:color="auto"/>
            </w:tcBorders>
          </w:tcPr>
          <w:p w14:paraId="18965262"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138</w:t>
            </w:r>
          </w:p>
        </w:tc>
        <w:tc>
          <w:tcPr>
            <w:tcW w:w="470" w:type="dxa"/>
            <w:tcBorders>
              <w:top w:val="single" w:sz="4" w:space="0" w:color="auto"/>
            </w:tcBorders>
          </w:tcPr>
          <w:p w14:paraId="59E33FA9"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38</w:t>
            </w:r>
          </w:p>
        </w:tc>
        <w:tc>
          <w:tcPr>
            <w:tcW w:w="757" w:type="dxa"/>
            <w:tcBorders>
              <w:top w:val="single" w:sz="4" w:space="0" w:color="auto"/>
            </w:tcBorders>
          </w:tcPr>
          <w:p w14:paraId="7E0E09DC"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82.38</w:t>
            </w:r>
          </w:p>
        </w:tc>
      </w:tr>
      <w:tr w:rsidR="001E4EE9" w:rsidRPr="002C381C" w14:paraId="37396833" w14:textId="77777777" w:rsidTr="001E4EE9">
        <w:trPr>
          <w:trHeight w:val="20"/>
          <w:jc w:val="center"/>
        </w:trPr>
        <w:tc>
          <w:tcPr>
            <w:tcW w:w="893" w:type="dxa"/>
          </w:tcPr>
          <w:p w14:paraId="5C3E6F5A"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BNL-2</w:t>
            </w:r>
          </w:p>
        </w:tc>
        <w:tc>
          <w:tcPr>
            <w:tcW w:w="540" w:type="dxa"/>
          </w:tcPr>
          <w:p w14:paraId="6242AB7B"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216</w:t>
            </w:r>
          </w:p>
        </w:tc>
        <w:tc>
          <w:tcPr>
            <w:tcW w:w="450" w:type="dxa"/>
          </w:tcPr>
          <w:p w14:paraId="32B97B14"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15</w:t>
            </w:r>
          </w:p>
        </w:tc>
        <w:tc>
          <w:tcPr>
            <w:tcW w:w="540" w:type="dxa"/>
            <w:gridSpan w:val="2"/>
          </w:tcPr>
          <w:p w14:paraId="10B38F9A"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98</w:t>
            </w:r>
          </w:p>
        </w:tc>
        <w:tc>
          <w:tcPr>
            <w:tcW w:w="720" w:type="dxa"/>
          </w:tcPr>
          <w:p w14:paraId="5398B88C"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1278</w:t>
            </w:r>
          </w:p>
        </w:tc>
        <w:tc>
          <w:tcPr>
            <w:tcW w:w="540" w:type="dxa"/>
          </w:tcPr>
          <w:p w14:paraId="24ECB624"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5</w:t>
            </w:r>
          </w:p>
        </w:tc>
        <w:tc>
          <w:tcPr>
            <w:tcW w:w="540" w:type="dxa"/>
            <w:gridSpan w:val="2"/>
          </w:tcPr>
          <w:p w14:paraId="28145068"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3</w:t>
            </w:r>
          </w:p>
        </w:tc>
        <w:tc>
          <w:tcPr>
            <w:tcW w:w="450" w:type="dxa"/>
          </w:tcPr>
          <w:p w14:paraId="2E5D6AA4"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2</w:t>
            </w:r>
          </w:p>
        </w:tc>
        <w:tc>
          <w:tcPr>
            <w:tcW w:w="543" w:type="dxa"/>
          </w:tcPr>
          <w:p w14:paraId="50D0ECA5"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5</w:t>
            </w:r>
          </w:p>
        </w:tc>
        <w:tc>
          <w:tcPr>
            <w:tcW w:w="477" w:type="dxa"/>
          </w:tcPr>
          <w:p w14:paraId="7A135253"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4</w:t>
            </w:r>
          </w:p>
        </w:tc>
        <w:tc>
          <w:tcPr>
            <w:tcW w:w="462" w:type="dxa"/>
            <w:gridSpan w:val="2"/>
          </w:tcPr>
          <w:p w14:paraId="524A38EE"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10</w:t>
            </w:r>
          </w:p>
        </w:tc>
        <w:tc>
          <w:tcPr>
            <w:tcW w:w="498" w:type="dxa"/>
          </w:tcPr>
          <w:p w14:paraId="0476E931"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23</w:t>
            </w:r>
          </w:p>
        </w:tc>
        <w:tc>
          <w:tcPr>
            <w:tcW w:w="540" w:type="dxa"/>
          </w:tcPr>
          <w:p w14:paraId="60DCB166"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4</w:t>
            </w:r>
          </w:p>
        </w:tc>
        <w:tc>
          <w:tcPr>
            <w:tcW w:w="594" w:type="dxa"/>
          </w:tcPr>
          <w:p w14:paraId="0D8E8387"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9</w:t>
            </w:r>
          </w:p>
        </w:tc>
        <w:tc>
          <w:tcPr>
            <w:tcW w:w="470" w:type="dxa"/>
          </w:tcPr>
          <w:p w14:paraId="2F5893FB"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22</w:t>
            </w:r>
          </w:p>
        </w:tc>
        <w:tc>
          <w:tcPr>
            <w:tcW w:w="757" w:type="dxa"/>
          </w:tcPr>
          <w:p w14:paraId="7431D807"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56.51</w:t>
            </w:r>
          </w:p>
        </w:tc>
      </w:tr>
      <w:tr w:rsidR="001E4EE9" w:rsidRPr="002C381C" w14:paraId="365F466F" w14:textId="77777777" w:rsidTr="001E4EE9">
        <w:trPr>
          <w:trHeight w:val="20"/>
          <w:jc w:val="center"/>
        </w:trPr>
        <w:tc>
          <w:tcPr>
            <w:tcW w:w="893" w:type="dxa"/>
          </w:tcPr>
          <w:p w14:paraId="305F367C"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BNL-3</w:t>
            </w:r>
          </w:p>
        </w:tc>
        <w:tc>
          <w:tcPr>
            <w:tcW w:w="540" w:type="dxa"/>
          </w:tcPr>
          <w:p w14:paraId="4FB9F13D"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83</w:t>
            </w:r>
          </w:p>
        </w:tc>
        <w:tc>
          <w:tcPr>
            <w:tcW w:w="450" w:type="dxa"/>
          </w:tcPr>
          <w:p w14:paraId="2B6881DC"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58</w:t>
            </w:r>
          </w:p>
        </w:tc>
        <w:tc>
          <w:tcPr>
            <w:tcW w:w="540" w:type="dxa"/>
            <w:gridSpan w:val="2"/>
          </w:tcPr>
          <w:p w14:paraId="634AA073"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89</w:t>
            </w:r>
          </w:p>
        </w:tc>
        <w:tc>
          <w:tcPr>
            <w:tcW w:w="720" w:type="dxa"/>
          </w:tcPr>
          <w:p w14:paraId="40FA3937"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393</w:t>
            </w:r>
          </w:p>
        </w:tc>
        <w:tc>
          <w:tcPr>
            <w:tcW w:w="540" w:type="dxa"/>
          </w:tcPr>
          <w:p w14:paraId="5A71B9DD"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2</w:t>
            </w:r>
          </w:p>
        </w:tc>
        <w:tc>
          <w:tcPr>
            <w:tcW w:w="540" w:type="dxa"/>
            <w:gridSpan w:val="2"/>
          </w:tcPr>
          <w:p w14:paraId="57F426AE"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2</w:t>
            </w:r>
          </w:p>
        </w:tc>
        <w:tc>
          <w:tcPr>
            <w:tcW w:w="450" w:type="dxa"/>
          </w:tcPr>
          <w:p w14:paraId="4C7CC16B"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38</w:t>
            </w:r>
          </w:p>
        </w:tc>
        <w:tc>
          <w:tcPr>
            <w:tcW w:w="543" w:type="dxa"/>
          </w:tcPr>
          <w:p w14:paraId="69150866"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6</w:t>
            </w:r>
          </w:p>
        </w:tc>
        <w:tc>
          <w:tcPr>
            <w:tcW w:w="477" w:type="dxa"/>
          </w:tcPr>
          <w:p w14:paraId="66F02BC9"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7</w:t>
            </w:r>
          </w:p>
        </w:tc>
        <w:tc>
          <w:tcPr>
            <w:tcW w:w="462" w:type="dxa"/>
            <w:gridSpan w:val="2"/>
          </w:tcPr>
          <w:p w14:paraId="26CCAC17"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45</w:t>
            </w:r>
          </w:p>
        </w:tc>
        <w:tc>
          <w:tcPr>
            <w:tcW w:w="498" w:type="dxa"/>
          </w:tcPr>
          <w:p w14:paraId="14F2C1AE"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72</w:t>
            </w:r>
          </w:p>
        </w:tc>
        <w:tc>
          <w:tcPr>
            <w:tcW w:w="540" w:type="dxa"/>
          </w:tcPr>
          <w:p w14:paraId="3FFCE316"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5</w:t>
            </w:r>
          </w:p>
        </w:tc>
        <w:tc>
          <w:tcPr>
            <w:tcW w:w="594" w:type="dxa"/>
          </w:tcPr>
          <w:p w14:paraId="63A0A9A4"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151</w:t>
            </w:r>
          </w:p>
        </w:tc>
        <w:tc>
          <w:tcPr>
            <w:tcW w:w="470" w:type="dxa"/>
          </w:tcPr>
          <w:p w14:paraId="2598F2F0"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56</w:t>
            </w:r>
          </w:p>
        </w:tc>
        <w:tc>
          <w:tcPr>
            <w:tcW w:w="757" w:type="dxa"/>
          </w:tcPr>
          <w:p w14:paraId="77ACAC6A"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67.81</w:t>
            </w:r>
          </w:p>
        </w:tc>
      </w:tr>
      <w:tr w:rsidR="001E4EE9" w:rsidRPr="002C381C" w14:paraId="5F53D8C2" w14:textId="77777777" w:rsidTr="001E4EE9">
        <w:trPr>
          <w:trHeight w:val="20"/>
          <w:jc w:val="center"/>
        </w:trPr>
        <w:tc>
          <w:tcPr>
            <w:tcW w:w="893" w:type="dxa"/>
          </w:tcPr>
          <w:p w14:paraId="001DE7C5"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BNL-4</w:t>
            </w:r>
          </w:p>
        </w:tc>
        <w:tc>
          <w:tcPr>
            <w:tcW w:w="540" w:type="dxa"/>
          </w:tcPr>
          <w:p w14:paraId="16512312"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118</w:t>
            </w:r>
          </w:p>
        </w:tc>
        <w:tc>
          <w:tcPr>
            <w:tcW w:w="450" w:type="dxa"/>
          </w:tcPr>
          <w:p w14:paraId="41BB2D5A"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17</w:t>
            </w:r>
          </w:p>
        </w:tc>
        <w:tc>
          <w:tcPr>
            <w:tcW w:w="540" w:type="dxa"/>
            <w:gridSpan w:val="2"/>
          </w:tcPr>
          <w:p w14:paraId="44C7A64D"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22</w:t>
            </w:r>
          </w:p>
        </w:tc>
        <w:tc>
          <w:tcPr>
            <w:tcW w:w="720" w:type="dxa"/>
          </w:tcPr>
          <w:p w14:paraId="3A43A466"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21</w:t>
            </w:r>
          </w:p>
        </w:tc>
        <w:tc>
          <w:tcPr>
            <w:tcW w:w="540" w:type="dxa"/>
          </w:tcPr>
          <w:p w14:paraId="5006C162"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4</w:t>
            </w:r>
          </w:p>
        </w:tc>
        <w:tc>
          <w:tcPr>
            <w:tcW w:w="540" w:type="dxa"/>
            <w:gridSpan w:val="2"/>
          </w:tcPr>
          <w:p w14:paraId="2E35AEC2"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2</w:t>
            </w:r>
          </w:p>
        </w:tc>
        <w:tc>
          <w:tcPr>
            <w:tcW w:w="450" w:type="dxa"/>
          </w:tcPr>
          <w:p w14:paraId="5C7E205E"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21</w:t>
            </w:r>
          </w:p>
        </w:tc>
        <w:tc>
          <w:tcPr>
            <w:tcW w:w="543" w:type="dxa"/>
          </w:tcPr>
          <w:p w14:paraId="6DAC9275"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6</w:t>
            </w:r>
          </w:p>
        </w:tc>
        <w:tc>
          <w:tcPr>
            <w:tcW w:w="477" w:type="dxa"/>
          </w:tcPr>
          <w:p w14:paraId="107B8A51"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8</w:t>
            </w:r>
          </w:p>
        </w:tc>
        <w:tc>
          <w:tcPr>
            <w:tcW w:w="462" w:type="dxa"/>
            <w:gridSpan w:val="2"/>
          </w:tcPr>
          <w:p w14:paraId="6E7609FC"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44</w:t>
            </w:r>
          </w:p>
        </w:tc>
        <w:tc>
          <w:tcPr>
            <w:tcW w:w="498" w:type="dxa"/>
          </w:tcPr>
          <w:p w14:paraId="4169EA1B"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144</w:t>
            </w:r>
          </w:p>
        </w:tc>
        <w:tc>
          <w:tcPr>
            <w:tcW w:w="540" w:type="dxa"/>
          </w:tcPr>
          <w:p w14:paraId="1746D478"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5</w:t>
            </w:r>
          </w:p>
        </w:tc>
        <w:tc>
          <w:tcPr>
            <w:tcW w:w="594" w:type="dxa"/>
          </w:tcPr>
          <w:p w14:paraId="1351BE16"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91</w:t>
            </w:r>
          </w:p>
        </w:tc>
        <w:tc>
          <w:tcPr>
            <w:tcW w:w="470" w:type="dxa"/>
          </w:tcPr>
          <w:p w14:paraId="41F61833"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43</w:t>
            </w:r>
          </w:p>
        </w:tc>
        <w:tc>
          <w:tcPr>
            <w:tcW w:w="757" w:type="dxa"/>
          </w:tcPr>
          <w:p w14:paraId="190B3DF0"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87.27</w:t>
            </w:r>
          </w:p>
        </w:tc>
      </w:tr>
      <w:tr w:rsidR="001E4EE9" w:rsidRPr="002C381C" w14:paraId="2C8B5E57" w14:textId="77777777" w:rsidTr="001E4EE9">
        <w:trPr>
          <w:trHeight w:val="20"/>
          <w:jc w:val="center"/>
        </w:trPr>
        <w:tc>
          <w:tcPr>
            <w:tcW w:w="893" w:type="dxa"/>
          </w:tcPr>
          <w:p w14:paraId="2EAF69A3"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BNL-5</w:t>
            </w:r>
          </w:p>
        </w:tc>
        <w:tc>
          <w:tcPr>
            <w:tcW w:w="540" w:type="dxa"/>
          </w:tcPr>
          <w:p w14:paraId="1A745FEB"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105</w:t>
            </w:r>
          </w:p>
        </w:tc>
        <w:tc>
          <w:tcPr>
            <w:tcW w:w="450" w:type="dxa"/>
          </w:tcPr>
          <w:p w14:paraId="7D907BB5"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13</w:t>
            </w:r>
          </w:p>
        </w:tc>
        <w:tc>
          <w:tcPr>
            <w:tcW w:w="540" w:type="dxa"/>
            <w:gridSpan w:val="2"/>
          </w:tcPr>
          <w:p w14:paraId="2AE6B795"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388</w:t>
            </w:r>
          </w:p>
        </w:tc>
        <w:tc>
          <w:tcPr>
            <w:tcW w:w="720" w:type="dxa"/>
          </w:tcPr>
          <w:p w14:paraId="701D8719"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8036</w:t>
            </w:r>
          </w:p>
        </w:tc>
        <w:tc>
          <w:tcPr>
            <w:tcW w:w="540" w:type="dxa"/>
          </w:tcPr>
          <w:p w14:paraId="37D4BE39"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3</w:t>
            </w:r>
          </w:p>
        </w:tc>
        <w:tc>
          <w:tcPr>
            <w:tcW w:w="540" w:type="dxa"/>
            <w:gridSpan w:val="2"/>
          </w:tcPr>
          <w:p w14:paraId="77925929"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3</w:t>
            </w:r>
          </w:p>
        </w:tc>
        <w:tc>
          <w:tcPr>
            <w:tcW w:w="450" w:type="dxa"/>
          </w:tcPr>
          <w:p w14:paraId="44736C89"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33</w:t>
            </w:r>
          </w:p>
        </w:tc>
        <w:tc>
          <w:tcPr>
            <w:tcW w:w="543" w:type="dxa"/>
          </w:tcPr>
          <w:p w14:paraId="1B179A50"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10</w:t>
            </w:r>
          </w:p>
        </w:tc>
        <w:tc>
          <w:tcPr>
            <w:tcW w:w="477" w:type="dxa"/>
          </w:tcPr>
          <w:p w14:paraId="7387C108"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26</w:t>
            </w:r>
          </w:p>
        </w:tc>
        <w:tc>
          <w:tcPr>
            <w:tcW w:w="462" w:type="dxa"/>
            <w:gridSpan w:val="2"/>
          </w:tcPr>
          <w:p w14:paraId="3A05452B"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10</w:t>
            </w:r>
          </w:p>
        </w:tc>
        <w:tc>
          <w:tcPr>
            <w:tcW w:w="498" w:type="dxa"/>
          </w:tcPr>
          <w:p w14:paraId="773B66CC"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12</w:t>
            </w:r>
          </w:p>
        </w:tc>
        <w:tc>
          <w:tcPr>
            <w:tcW w:w="540" w:type="dxa"/>
          </w:tcPr>
          <w:p w14:paraId="3CE39AB1"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5</w:t>
            </w:r>
          </w:p>
        </w:tc>
        <w:tc>
          <w:tcPr>
            <w:tcW w:w="594" w:type="dxa"/>
          </w:tcPr>
          <w:p w14:paraId="02B25870"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5</w:t>
            </w:r>
          </w:p>
        </w:tc>
        <w:tc>
          <w:tcPr>
            <w:tcW w:w="470" w:type="dxa"/>
          </w:tcPr>
          <w:p w14:paraId="0EF775E4"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36</w:t>
            </w:r>
          </w:p>
        </w:tc>
        <w:tc>
          <w:tcPr>
            <w:tcW w:w="757" w:type="dxa"/>
          </w:tcPr>
          <w:p w14:paraId="46725DF5"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38.87</w:t>
            </w:r>
          </w:p>
        </w:tc>
      </w:tr>
      <w:tr w:rsidR="001E4EE9" w:rsidRPr="002C381C" w14:paraId="59EB6DA9" w14:textId="77777777" w:rsidTr="001E4EE9">
        <w:trPr>
          <w:trHeight w:val="20"/>
          <w:jc w:val="center"/>
        </w:trPr>
        <w:tc>
          <w:tcPr>
            <w:tcW w:w="893" w:type="dxa"/>
            <w:tcBorders>
              <w:bottom w:val="single" w:sz="4" w:space="0" w:color="auto"/>
            </w:tcBorders>
          </w:tcPr>
          <w:p w14:paraId="79AEFD61"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BNL-6</w:t>
            </w:r>
          </w:p>
        </w:tc>
        <w:tc>
          <w:tcPr>
            <w:tcW w:w="540" w:type="dxa"/>
            <w:tcBorders>
              <w:bottom w:val="single" w:sz="4" w:space="0" w:color="auto"/>
            </w:tcBorders>
          </w:tcPr>
          <w:p w14:paraId="493B60E8"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121</w:t>
            </w:r>
          </w:p>
        </w:tc>
        <w:tc>
          <w:tcPr>
            <w:tcW w:w="450" w:type="dxa"/>
            <w:tcBorders>
              <w:bottom w:val="single" w:sz="4" w:space="0" w:color="auto"/>
            </w:tcBorders>
          </w:tcPr>
          <w:p w14:paraId="06018910"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5</w:t>
            </w:r>
          </w:p>
        </w:tc>
        <w:tc>
          <w:tcPr>
            <w:tcW w:w="540" w:type="dxa"/>
            <w:gridSpan w:val="2"/>
            <w:tcBorders>
              <w:bottom w:val="single" w:sz="4" w:space="0" w:color="auto"/>
            </w:tcBorders>
          </w:tcPr>
          <w:p w14:paraId="03F3EA0E"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172</w:t>
            </w:r>
          </w:p>
        </w:tc>
        <w:tc>
          <w:tcPr>
            <w:tcW w:w="720" w:type="dxa"/>
            <w:tcBorders>
              <w:bottom w:val="single" w:sz="4" w:space="0" w:color="auto"/>
            </w:tcBorders>
          </w:tcPr>
          <w:p w14:paraId="3F66DA40"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746</w:t>
            </w:r>
          </w:p>
        </w:tc>
        <w:tc>
          <w:tcPr>
            <w:tcW w:w="540" w:type="dxa"/>
            <w:tcBorders>
              <w:bottom w:val="single" w:sz="4" w:space="0" w:color="auto"/>
            </w:tcBorders>
          </w:tcPr>
          <w:p w14:paraId="67CFA7CF"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5</w:t>
            </w:r>
          </w:p>
        </w:tc>
        <w:tc>
          <w:tcPr>
            <w:tcW w:w="540" w:type="dxa"/>
            <w:gridSpan w:val="2"/>
            <w:tcBorders>
              <w:bottom w:val="single" w:sz="4" w:space="0" w:color="auto"/>
            </w:tcBorders>
          </w:tcPr>
          <w:p w14:paraId="246592E2"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2</w:t>
            </w:r>
          </w:p>
        </w:tc>
        <w:tc>
          <w:tcPr>
            <w:tcW w:w="450" w:type="dxa"/>
            <w:tcBorders>
              <w:bottom w:val="single" w:sz="4" w:space="0" w:color="auto"/>
            </w:tcBorders>
          </w:tcPr>
          <w:p w14:paraId="67C0A40B"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5</w:t>
            </w:r>
          </w:p>
        </w:tc>
        <w:tc>
          <w:tcPr>
            <w:tcW w:w="543" w:type="dxa"/>
            <w:tcBorders>
              <w:bottom w:val="single" w:sz="4" w:space="0" w:color="auto"/>
            </w:tcBorders>
          </w:tcPr>
          <w:p w14:paraId="64621FD2"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13</w:t>
            </w:r>
          </w:p>
        </w:tc>
        <w:tc>
          <w:tcPr>
            <w:tcW w:w="477" w:type="dxa"/>
            <w:tcBorders>
              <w:bottom w:val="single" w:sz="4" w:space="0" w:color="auto"/>
            </w:tcBorders>
          </w:tcPr>
          <w:p w14:paraId="236BB5B9"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7</w:t>
            </w:r>
          </w:p>
        </w:tc>
        <w:tc>
          <w:tcPr>
            <w:tcW w:w="462" w:type="dxa"/>
            <w:gridSpan w:val="2"/>
            <w:tcBorders>
              <w:bottom w:val="single" w:sz="4" w:space="0" w:color="auto"/>
            </w:tcBorders>
          </w:tcPr>
          <w:p w14:paraId="76274C66"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21</w:t>
            </w:r>
          </w:p>
        </w:tc>
        <w:tc>
          <w:tcPr>
            <w:tcW w:w="498" w:type="dxa"/>
            <w:tcBorders>
              <w:bottom w:val="single" w:sz="4" w:space="0" w:color="auto"/>
            </w:tcBorders>
          </w:tcPr>
          <w:p w14:paraId="5CAAEF39"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16</w:t>
            </w:r>
          </w:p>
        </w:tc>
        <w:tc>
          <w:tcPr>
            <w:tcW w:w="540" w:type="dxa"/>
            <w:tcBorders>
              <w:bottom w:val="single" w:sz="4" w:space="0" w:color="auto"/>
            </w:tcBorders>
          </w:tcPr>
          <w:p w14:paraId="24A83573"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5</w:t>
            </w:r>
          </w:p>
        </w:tc>
        <w:tc>
          <w:tcPr>
            <w:tcW w:w="594" w:type="dxa"/>
            <w:tcBorders>
              <w:bottom w:val="single" w:sz="4" w:space="0" w:color="auto"/>
            </w:tcBorders>
          </w:tcPr>
          <w:p w14:paraId="64174B27"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5</w:t>
            </w:r>
          </w:p>
        </w:tc>
        <w:tc>
          <w:tcPr>
            <w:tcW w:w="470" w:type="dxa"/>
            <w:tcBorders>
              <w:bottom w:val="single" w:sz="4" w:space="0" w:color="auto"/>
            </w:tcBorders>
          </w:tcPr>
          <w:p w14:paraId="6CAAF0DB"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23</w:t>
            </w:r>
          </w:p>
        </w:tc>
        <w:tc>
          <w:tcPr>
            <w:tcW w:w="757" w:type="dxa"/>
            <w:tcBorders>
              <w:bottom w:val="single" w:sz="4" w:space="0" w:color="auto"/>
            </w:tcBorders>
          </w:tcPr>
          <w:p w14:paraId="74E6EBA7" w14:textId="77777777" w:rsidR="002C381C" w:rsidRPr="002C381C" w:rsidRDefault="002C381C" w:rsidP="001E4EE9">
            <w:pPr>
              <w:ind w:right="-101"/>
              <w:contextualSpacing/>
              <w:jc w:val="both"/>
              <w:rPr>
                <w:rFonts w:ascii="Arial" w:eastAsia="Times New Roman" w:hAnsi="Arial" w:cs="Arial"/>
                <w:bCs/>
                <w:sz w:val="20"/>
                <w:szCs w:val="20"/>
              </w:rPr>
            </w:pPr>
            <w:r w:rsidRPr="002C381C">
              <w:rPr>
                <w:rFonts w:ascii="Arial" w:eastAsia="Times New Roman" w:hAnsi="Arial" w:cs="Arial"/>
                <w:bCs/>
                <w:sz w:val="20"/>
                <w:szCs w:val="20"/>
              </w:rPr>
              <w:t>37.95</w:t>
            </w:r>
          </w:p>
        </w:tc>
      </w:tr>
      <w:tr w:rsidR="002C381C" w:rsidRPr="002C381C" w14:paraId="47D70E18" w14:textId="77777777" w:rsidTr="001E4EE9">
        <w:trPr>
          <w:trHeight w:val="20"/>
          <w:jc w:val="center"/>
        </w:trPr>
        <w:tc>
          <w:tcPr>
            <w:tcW w:w="2111" w:type="dxa"/>
            <w:gridSpan w:val="4"/>
            <w:tcBorders>
              <w:top w:val="single" w:sz="4" w:space="0" w:color="auto"/>
            </w:tcBorders>
          </w:tcPr>
          <w:p w14:paraId="37DAE04F" w14:textId="77777777" w:rsidR="002C381C" w:rsidRPr="002C381C" w:rsidRDefault="002C381C" w:rsidP="005443C7">
            <w:pPr>
              <w:ind w:right="-60"/>
              <w:contextualSpacing/>
              <w:jc w:val="both"/>
              <w:rPr>
                <w:rFonts w:ascii="Arial" w:eastAsia="Times New Roman" w:hAnsi="Arial" w:cs="Arial"/>
                <w:bCs/>
                <w:sz w:val="20"/>
                <w:szCs w:val="20"/>
              </w:rPr>
            </w:pPr>
            <w:r w:rsidRPr="002C381C">
              <w:rPr>
                <w:rFonts w:ascii="Arial" w:eastAsia="Times New Roman" w:hAnsi="Arial" w:cs="Arial"/>
                <w:bCs/>
                <w:sz w:val="20"/>
                <w:szCs w:val="20"/>
              </w:rPr>
              <w:t>Crystal Abundance</w:t>
            </w:r>
          </w:p>
        </w:tc>
        <w:tc>
          <w:tcPr>
            <w:tcW w:w="1782" w:type="dxa"/>
            <w:gridSpan w:val="4"/>
            <w:tcBorders>
              <w:top w:val="single" w:sz="4" w:space="0" w:color="auto"/>
            </w:tcBorders>
          </w:tcPr>
          <w:p w14:paraId="62DC1076" w14:textId="77777777" w:rsidR="002C381C" w:rsidRPr="002C381C" w:rsidRDefault="002C381C" w:rsidP="005443C7">
            <w:pPr>
              <w:ind w:right="-60"/>
              <w:contextualSpacing/>
              <w:jc w:val="both"/>
              <w:rPr>
                <w:rFonts w:ascii="Arial" w:eastAsia="Times New Roman" w:hAnsi="Arial" w:cs="Arial"/>
                <w:bCs/>
                <w:sz w:val="20"/>
                <w:szCs w:val="20"/>
              </w:rPr>
            </w:pPr>
            <w:r w:rsidRPr="002C381C">
              <w:rPr>
                <w:rFonts w:ascii="Arial" w:eastAsia="Times New Roman" w:hAnsi="Arial" w:cs="Arial"/>
                <w:bCs/>
                <w:sz w:val="20"/>
                <w:szCs w:val="20"/>
              </w:rPr>
              <w:t>V = 138 ppm</w:t>
            </w:r>
          </w:p>
        </w:tc>
        <w:tc>
          <w:tcPr>
            <w:tcW w:w="2089" w:type="dxa"/>
            <w:gridSpan w:val="5"/>
            <w:tcBorders>
              <w:top w:val="single" w:sz="4" w:space="0" w:color="auto"/>
            </w:tcBorders>
          </w:tcPr>
          <w:p w14:paraId="2F706FEF"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Sc = 22 ppm</w:t>
            </w:r>
          </w:p>
        </w:tc>
        <w:tc>
          <w:tcPr>
            <w:tcW w:w="3032" w:type="dxa"/>
            <w:gridSpan w:val="6"/>
            <w:tcBorders>
              <w:top w:val="single" w:sz="4" w:space="0" w:color="auto"/>
            </w:tcBorders>
          </w:tcPr>
          <w:p w14:paraId="07830157"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Cr=102 ppm</w:t>
            </w:r>
          </w:p>
        </w:tc>
      </w:tr>
    </w:tbl>
    <w:p w14:paraId="20447DFF" w14:textId="77777777" w:rsidR="002C381C" w:rsidRPr="00270C54" w:rsidRDefault="002C381C" w:rsidP="002C381C">
      <w:pPr>
        <w:spacing w:after="0" w:line="240" w:lineRule="auto"/>
        <w:contextualSpacing/>
        <w:jc w:val="both"/>
        <w:rPr>
          <w:rFonts w:ascii="Arial" w:eastAsia="Times New Roman" w:hAnsi="Arial" w:cs="Arial"/>
          <w:bCs/>
        </w:rPr>
      </w:pPr>
    </w:p>
    <w:p w14:paraId="7EA259DA" w14:textId="77777777" w:rsidR="002C381C" w:rsidRPr="002C381C" w:rsidRDefault="002C381C" w:rsidP="001A762C">
      <w:pPr>
        <w:spacing w:after="0" w:line="240" w:lineRule="auto"/>
        <w:contextualSpacing/>
        <w:jc w:val="center"/>
        <w:rPr>
          <w:rFonts w:ascii="Arial" w:eastAsia="Times New Roman" w:hAnsi="Arial" w:cs="Arial"/>
          <w:b/>
          <w:bCs/>
          <w:sz w:val="20"/>
          <w:szCs w:val="20"/>
        </w:rPr>
      </w:pPr>
      <w:r w:rsidRPr="001C1FD2">
        <w:rPr>
          <w:rFonts w:ascii="Arial" w:eastAsia="Times New Roman" w:hAnsi="Arial" w:cs="Arial"/>
          <w:b/>
          <w:bCs/>
          <w:sz w:val="20"/>
          <w:szCs w:val="20"/>
        </w:rPr>
        <w:t>Table</w:t>
      </w:r>
      <w:r w:rsidRPr="002C381C">
        <w:rPr>
          <w:rFonts w:ascii="Arial" w:eastAsia="Times New Roman" w:hAnsi="Arial" w:cs="Arial"/>
          <w:b/>
          <w:bCs/>
          <w:sz w:val="20"/>
          <w:szCs w:val="20"/>
        </w:rPr>
        <w:t xml:space="preserve"> 4. Gold analysis, determined by AAS</w:t>
      </w:r>
    </w:p>
    <w:p w14:paraId="355E0592" w14:textId="77777777" w:rsidR="002C381C" w:rsidRPr="00270C54" w:rsidRDefault="002C381C" w:rsidP="002C381C">
      <w:pPr>
        <w:spacing w:after="0" w:line="240" w:lineRule="auto"/>
        <w:contextualSpacing/>
        <w:jc w:val="both"/>
        <w:rPr>
          <w:rFonts w:ascii="Arial" w:eastAsia="Times New Roman" w:hAnsi="Arial" w:cs="Arial"/>
          <w:bCs/>
        </w:rPr>
      </w:pPr>
    </w:p>
    <w:tbl>
      <w:tblPr>
        <w:tblStyle w:val="TableGrid"/>
        <w:tblW w:w="4875"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0"/>
        <w:gridCol w:w="2755"/>
        <w:gridCol w:w="4679"/>
      </w:tblGrid>
      <w:tr w:rsidR="002C381C" w:rsidRPr="002C381C" w14:paraId="1D5B782D" w14:textId="77777777" w:rsidTr="001E4EE9">
        <w:trPr>
          <w:trHeight w:val="20"/>
          <w:jc w:val="center"/>
        </w:trPr>
        <w:tc>
          <w:tcPr>
            <w:tcW w:w="1587" w:type="dxa"/>
            <w:tcBorders>
              <w:top w:val="single" w:sz="4" w:space="0" w:color="auto"/>
              <w:bottom w:val="single" w:sz="4" w:space="0" w:color="auto"/>
            </w:tcBorders>
          </w:tcPr>
          <w:p w14:paraId="730871CD" w14:textId="77777777" w:rsidR="002C381C" w:rsidRPr="002C381C" w:rsidRDefault="002C381C" w:rsidP="002C381C">
            <w:pPr>
              <w:contextualSpacing/>
              <w:jc w:val="both"/>
              <w:rPr>
                <w:rFonts w:ascii="Arial" w:eastAsia="Times New Roman" w:hAnsi="Arial" w:cs="Arial"/>
                <w:b/>
                <w:bCs/>
                <w:sz w:val="20"/>
                <w:szCs w:val="20"/>
              </w:rPr>
            </w:pPr>
            <w:r w:rsidRPr="002C381C">
              <w:rPr>
                <w:rFonts w:ascii="Arial" w:eastAsia="Times New Roman" w:hAnsi="Arial" w:cs="Arial"/>
                <w:b/>
                <w:bCs/>
                <w:sz w:val="20"/>
                <w:szCs w:val="20"/>
              </w:rPr>
              <w:t>Sample Code</w:t>
            </w:r>
          </w:p>
        </w:tc>
        <w:tc>
          <w:tcPr>
            <w:tcW w:w="2769" w:type="dxa"/>
            <w:tcBorders>
              <w:top w:val="single" w:sz="4" w:space="0" w:color="auto"/>
              <w:bottom w:val="single" w:sz="4" w:space="0" w:color="auto"/>
            </w:tcBorders>
          </w:tcPr>
          <w:p w14:paraId="2602B56B" w14:textId="77777777" w:rsidR="002C381C" w:rsidRPr="002C381C" w:rsidRDefault="002C381C" w:rsidP="002C381C">
            <w:pPr>
              <w:contextualSpacing/>
              <w:jc w:val="both"/>
              <w:rPr>
                <w:rFonts w:ascii="Arial" w:eastAsia="Times New Roman" w:hAnsi="Arial" w:cs="Arial"/>
                <w:b/>
                <w:bCs/>
                <w:sz w:val="20"/>
                <w:szCs w:val="20"/>
              </w:rPr>
            </w:pPr>
            <w:r w:rsidRPr="002C381C">
              <w:rPr>
                <w:rFonts w:ascii="Arial" w:eastAsia="Times New Roman" w:hAnsi="Arial" w:cs="Arial"/>
                <w:b/>
                <w:bCs/>
                <w:sz w:val="20"/>
                <w:szCs w:val="20"/>
              </w:rPr>
              <w:t>Au</w:t>
            </w:r>
            <w:r w:rsidRPr="00B31EC3">
              <w:rPr>
                <w:rFonts w:ascii="Arial" w:eastAsia="Times New Roman" w:hAnsi="Arial" w:cs="Arial"/>
                <w:b/>
                <w:bCs/>
                <w:sz w:val="20"/>
                <w:szCs w:val="20"/>
              </w:rPr>
              <w:t>(</w:t>
            </w:r>
            <w:r w:rsidRPr="002C381C">
              <w:rPr>
                <w:rFonts w:ascii="Arial" w:eastAsia="Times New Roman" w:hAnsi="Arial" w:cs="Arial"/>
                <w:b/>
                <w:bCs/>
                <w:sz w:val="20"/>
                <w:szCs w:val="20"/>
              </w:rPr>
              <w:t>ppm)</w:t>
            </w:r>
          </w:p>
        </w:tc>
        <w:tc>
          <w:tcPr>
            <w:tcW w:w="4704" w:type="dxa"/>
            <w:tcBorders>
              <w:top w:val="single" w:sz="4" w:space="0" w:color="auto"/>
              <w:bottom w:val="single" w:sz="4" w:space="0" w:color="auto"/>
            </w:tcBorders>
          </w:tcPr>
          <w:p w14:paraId="50F68BBB" w14:textId="77777777" w:rsidR="002C381C" w:rsidRPr="002C381C" w:rsidRDefault="002C381C" w:rsidP="002C381C">
            <w:pPr>
              <w:contextualSpacing/>
              <w:jc w:val="both"/>
              <w:rPr>
                <w:rFonts w:ascii="Arial" w:eastAsia="Times New Roman" w:hAnsi="Arial" w:cs="Arial"/>
                <w:b/>
                <w:bCs/>
                <w:sz w:val="20"/>
                <w:szCs w:val="20"/>
              </w:rPr>
            </w:pPr>
            <w:r w:rsidRPr="002C381C">
              <w:rPr>
                <w:rFonts w:ascii="Arial" w:eastAsia="Times New Roman" w:hAnsi="Arial" w:cs="Arial"/>
                <w:b/>
                <w:bCs/>
                <w:sz w:val="20"/>
                <w:szCs w:val="20"/>
              </w:rPr>
              <w:t>Checks</w:t>
            </w:r>
            <w:r w:rsidRPr="00B31EC3">
              <w:rPr>
                <w:rFonts w:ascii="Arial" w:eastAsia="Times New Roman" w:hAnsi="Arial" w:cs="Arial"/>
                <w:b/>
                <w:bCs/>
                <w:sz w:val="20"/>
                <w:szCs w:val="20"/>
              </w:rPr>
              <w:t>(</w:t>
            </w:r>
            <w:r w:rsidRPr="002C381C">
              <w:rPr>
                <w:rFonts w:ascii="Arial" w:eastAsia="Times New Roman" w:hAnsi="Arial" w:cs="Arial"/>
                <w:b/>
                <w:bCs/>
                <w:sz w:val="20"/>
                <w:szCs w:val="20"/>
              </w:rPr>
              <w:t>ppm)</w:t>
            </w:r>
          </w:p>
        </w:tc>
      </w:tr>
      <w:tr w:rsidR="002C381C" w:rsidRPr="002C381C" w14:paraId="6DCB8A82" w14:textId="77777777" w:rsidTr="001E4EE9">
        <w:trPr>
          <w:trHeight w:val="20"/>
          <w:jc w:val="center"/>
        </w:trPr>
        <w:tc>
          <w:tcPr>
            <w:tcW w:w="1587" w:type="dxa"/>
            <w:tcBorders>
              <w:top w:val="single" w:sz="4" w:space="0" w:color="auto"/>
            </w:tcBorders>
          </w:tcPr>
          <w:p w14:paraId="591E17C2"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BNL-3</w:t>
            </w:r>
          </w:p>
        </w:tc>
        <w:tc>
          <w:tcPr>
            <w:tcW w:w="2769" w:type="dxa"/>
            <w:tcBorders>
              <w:top w:val="single" w:sz="4" w:space="0" w:color="auto"/>
            </w:tcBorders>
          </w:tcPr>
          <w:p w14:paraId="72825D44"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&lt;0.05</w:t>
            </w:r>
          </w:p>
        </w:tc>
        <w:tc>
          <w:tcPr>
            <w:tcW w:w="4704" w:type="dxa"/>
            <w:tcBorders>
              <w:top w:val="single" w:sz="4" w:space="0" w:color="auto"/>
            </w:tcBorders>
          </w:tcPr>
          <w:p w14:paraId="0E40FA35" w14:textId="77777777" w:rsidR="002C381C" w:rsidRPr="002C381C" w:rsidRDefault="002C381C" w:rsidP="002C381C">
            <w:pPr>
              <w:contextualSpacing/>
              <w:jc w:val="both"/>
              <w:rPr>
                <w:rFonts w:ascii="Arial" w:eastAsia="Times New Roman" w:hAnsi="Arial" w:cs="Arial"/>
                <w:bCs/>
                <w:sz w:val="20"/>
                <w:szCs w:val="20"/>
              </w:rPr>
            </w:pPr>
          </w:p>
        </w:tc>
      </w:tr>
      <w:tr w:rsidR="002C381C" w:rsidRPr="002C381C" w14:paraId="0F806791" w14:textId="77777777" w:rsidTr="001E4EE9">
        <w:trPr>
          <w:trHeight w:val="20"/>
          <w:jc w:val="center"/>
        </w:trPr>
        <w:tc>
          <w:tcPr>
            <w:tcW w:w="1587" w:type="dxa"/>
          </w:tcPr>
          <w:p w14:paraId="348D9377"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BNL-4</w:t>
            </w:r>
          </w:p>
        </w:tc>
        <w:tc>
          <w:tcPr>
            <w:tcW w:w="2769" w:type="dxa"/>
          </w:tcPr>
          <w:p w14:paraId="365F07FC"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&lt;0.05</w:t>
            </w:r>
          </w:p>
        </w:tc>
        <w:tc>
          <w:tcPr>
            <w:tcW w:w="4704" w:type="dxa"/>
          </w:tcPr>
          <w:p w14:paraId="76C21A85" w14:textId="77777777" w:rsidR="002C381C" w:rsidRPr="002C381C" w:rsidRDefault="002C381C" w:rsidP="002C381C">
            <w:pPr>
              <w:contextualSpacing/>
              <w:jc w:val="both"/>
              <w:rPr>
                <w:rFonts w:ascii="Arial" w:eastAsia="Times New Roman" w:hAnsi="Arial" w:cs="Arial"/>
                <w:bCs/>
                <w:sz w:val="20"/>
                <w:szCs w:val="20"/>
              </w:rPr>
            </w:pPr>
          </w:p>
        </w:tc>
      </w:tr>
      <w:tr w:rsidR="002C381C" w:rsidRPr="002C381C" w14:paraId="2C74032B" w14:textId="77777777" w:rsidTr="001E4EE9">
        <w:trPr>
          <w:trHeight w:val="20"/>
          <w:jc w:val="center"/>
        </w:trPr>
        <w:tc>
          <w:tcPr>
            <w:tcW w:w="1587" w:type="dxa"/>
          </w:tcPr>
          <w:p w14:paraId="4C11D3E8"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BNL-5</w:t>
            </w:r>
          </w:p>
        </w:tc>
        <w:tc>
          <w:tcPr>
            <w:tcW w:w="2769" w:type="dxa"/>
          </w:tcPr>
          <w:p w14:paraId="62FB47E4"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&lt;0.05</w:t>
            </w:r>
          </w:p>
        </w:tc>
        <w:tc>
          <w:tcPr>
            <w:tcW w:w="4704" w:type="dxa"/>
          </w:tcPr>
          <w:p w14:paraId="5D01E326" w14:textId="77777777" w:rsidR="002C381C" w:rsidRPr="002C381C" w:rsidRDefault="002C381C" w:rsidP="002C381C">
            <w:pPr>
              <w:contextualSpacing/>
              <w:jc w:val="both"/>
              <w:rPr>
                <w:rFonts w:ascii="Arial" w:eastAsia="Times New Roman" w:hAnsi="Arial" w:cs="Arial"/>
                <w:bCs/>
                <w:sz w:val="20"/>
                <w:szCs w:val="20"/>
              </w:rPr>
            </w:pPr>
          </w:p>
        </w:tc>
      </w:tr>
      <w:tr w:rsidR="002C381C" w:rsidRPr="002C381C" w14:paraId="65A0BDFC" w14:textId="77777777" w:rsidTr="001E4EE9">
        <w:trPr>
          <w:trHeight w:val="20"/>
          <w:jc w:val="center"/>
        </w:trPr>
        <w:tc>
          <w:tcPr>
            <w:tcW w:w="1587" w:type="dxa"/>
          </w:tcPr>
          <w:p w14:paraId="79AA64B4"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BNL-6</w:t>
            </w:r>
          </w:p>
        </w:tc>
        <w:tc>
          <w:tcPr>
            <w:tcW w:w="2769" w:type="dxa"/>
          </w:tcPr>
          <w:p w14:paraId="18E656A9"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0.074</w:t>
            </w:r>
          </w:p>
        </w:tc>
        <w:tc>
          <w:tcPr>
            <w:tcW w:w="4704" w:type="dxa"/>
          </w:tcPr>
          <w:p w14:paraId="5797623E" w14:textId="77777777" w:rsidR="002C381C" w:rsidRPr="002C381C" w:rsidRDefault="002C381C" w:rsidP="002C381C">
            <w:pPr>
              <w:contextualSpacing/>
              <w:jc w:val="both"/>
              <w:rPr>
                <w:rFonts w:ascii="Arial" w:eastAsia="Times New Roman" w:hAnsi="Arial" w:cs="Arial"/>
                <w:bCs/>
                <w:sz w:val="20"/>
                <w:szCs w:val="20"/>
              </w:rPr>
            </w:pPr>
            <w:r w:rsidRPr="002C381C">
              <w:rPr>
                <w:rFonts w:ascii="Arial" w:eastAsia="Times New Roman" w:hAnsi="Arial" w:cs="Arial"/>
                <w:bCs/>
                <w:sz w:val="20"/>
                <w:szCs w:val="20"/>
              </w:rPr>
              <w:t>0.07</w:t>
            </w:r>
          </w:p>
        </w:tc>
      </w:tr>
    </w:tbl>
    <w:p w14:paraId="61E9BA0B" w14:textId="77777777" w:rsidR="001E4EE9" w:rsidRDefault="001E4EE9" w:rsidP="001A762C">
      <w:pPr>
        <w:spacing w:after="0" w:line="240" w:lineRule="auto"/>
        <w:contextualSpacing/>
        <w:jc w:val="both"/>
        <w:rPr>
          <w:rFonts w:ascii="Arial" w:eastAsia="Times New Roman" w:hAnsi="Arial" w:cs="Arial"/>
          <w:bCs/>
          <w:sz w:val="20"/>
          <w:szCs w:val="20"/>
        </w:rPr>
      </w:pPr>
    </w:p>
    <w:p w14:paraId="029B5B16" w14:textId="77777777" w:rsidR="001C1FD2" w:rsidRDefault="001C1FD2" w:rsidP="001A762C">
      <w:pPr>
        <w:spacing w:after="0" w:line="240" w:lineRule="auto"/>
        <w:contextualSpacing/>
        <w:jc w:val="both"/>
        <w:rPr>
          <w:rFonts w:ascii="Arial" w:eastAsia="Times New Roman" w:hAnsi="Arial" w:cs="Arial"/>
          <w:b/>
          <w:sz w:val="20"/>
          <w:szCs w:val="20"/>
        </w:rPr>
        <w:sectPr w:rsidR="001C1FD2" w:rsidSect="00894CD3">
          <w:type w:val="continuous"/>
          <w:pgSz w:w="11909" w:h="16834" w:code="9"/>
          <w:pgMar w:top="1440" w:right="1440" w:bottom="1440" w:left="1440" w:header="720" w:footer="864" w:gutter="0"/>
          <w:cols w:space="720"/>
          <w:titlePg/>
          <w:docGrid w:linePitch="360"/>
        </w:sectPr>
      </w:pPr>
    </w:p>
    <w:p w14:paraId="45AF1135" w14:textId="77777777" w:rsidR="001A762C" w:rsidRPr="002C381C" w:rsidRDefault="001A762C" w:rsidP="001A762C">
      <w:pPr>
        <w:spacing w:after="0" w:line="240" w:lineRule="auto"/>
        <w:contextualSpacing/>
        <w:jc w:val="both"/>
        <w:rPr>
          <w:rFonts w:ascii="Arial" w:eastAsia="Times New Roman" w:hAnsi="Arial" w:cs="Arial"/>
          <w:bCs/>
          <w:sz w:val="20"/>
          <w:szCs w:val="20"/>
        </w:rPr>
      </w:pPr>
    </w:p>
    <w:p w14:paraId="6A5C6D9F" w14:textId="77777777" w:rsidR="002C381C" w:rsidRPr="002C381C" w:rsidRDefault="002C381C" w:rsidP="001C1FD2">
      <w:pPr>
        <w:spacing w:after="0" w:line="240" w:lineRule="auto"/>
        <w:contextualSpacing/>
        <w:jc w:val="center"/>
        <w:rPr>
          <w:rFonts w:ascii="Arial" w:eastAsia="Times New Roman" w:hAnsi="Arial" w:cs="Arial"/>
          <w:bCs/>
          <w:sz w:val="20"/>
          <w:szCs w:val="20"/>
        </w:rPr>
      </w:pPr>
      <w:r w:rsidRPr="002C381C">
        <w:rPr>
          <w:rFonts w:ascii="Arial" w:eastAsia="Times New Roman" w:hAnsi="Arial" w:cs="Arial"/>
          <w:bCs/>
          <w:noProof/>
          <w:sz w:val="20"/>
          <w:szCs w:val="20"/>
        </w:rPr>
        <w:lastRenderedPageBreak/>
        <w:drawing>
          <wp:inline distT="0" distB="0" distL="0" distR="0" wp14:anchorId="2D1D08BD" wp14:editId="2F12450F">
            <wp:extent cx="4922520" cy="6979431"/>
            <wp:effectExtent l="0" t="0" r="0" b="0"/>
            <wp:docPr id="1652795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795248" name=""/>
                    <pic:cNvPicPr/>
                  </pic:nvPicPr>
                  <pic:blipFill>
                    <a:blip r:embed="rId14">
                      <a:extLst>
                        <a:ext uri="{BEBA8EAE-BF5A-486C-A8C5-ECC9F3942E4B}">
                          <a14:imgProps xmlns:a14="http://schemas.microsoft.com/office/drawing/2010/main">
                            <a14:imgLayer r:embed="rId15">
                              <a14:imgEffect>
                                <a14:sharpenSoften amount="30000"/>
                              </a14:imgEffect>
                            </a14:imgLayer>
                          </a14:imgProps>
                        </a:ext>
                      </a:extLst>
                    </a:blip>
                    <a:stretch>
                      <a:fillRect/>
                    </a:stretch>
                  </pic:blipFill>
                  <pic:spPr>
                    <a:xfrm>
                      <a:off x="0" y="0"/>
                      <a:ext cx="4957686" cy="7029292"/>
                    </a:xfrm>
                    <a:prstGeom prst="rect">
                      <a:avLst/>
                    </a:prstGeom>
                  </pic:spPr>
                </pic:pic>
              </a:graphicData>
            </a:graphic>
          </wp:inline>
        </w:drawing>
      </w:r>
    </w:p>
    <w:p w14:paraId="76E64F4A" w14:textId="77777777" w:rsidR="002C381C" w:rsidRPr="002C381C" w:rsidRDefault="002C381C" w:rsidP="002C381C">
      <w:pPr>
        <w:spacing w:after="0" w:line="240" w:lineRule="auto"/>
        <w:contextualSpacing/>
        <w:jc w:val="both"/>
        <w:rPr>
          <w:rFonts w:ascii="Arial" w:eastAsia="Times New Roman" w:hAnsi="Arial" w:cs="Arial"/>
          <w:bCs/>
          <w:sz w:val="20"/>
          <w:szCs w:val="20"/>
        </w:rPr>
      </w:pPr>
    </w:p>
    <w:p w14:paraId="7C7CC49D" w14:textId="77777777" w:rsidR="002C381C" w:rsidRDefault="002C381C" w:rsidP="001C1FD2">
      <w:pPr>
        <w:spacing w:after="0" w:line="240" w:lineRule="auto"/>
        <w:contextualSpacing/>
        <w:jc w:val="center"/>
        <w:rPr>
          <w:rFonts w:ascii="Arial" w:eastAsia="Times New Roman" w:hAnsi="Arial" w:cs="Arial"/>
          <w:b/>
          <w:bCs/>
          <w:sz w:val="20"/>
          <w:szCs w:val="20"/>
        </w:rPr>
      </w:pPr>
      <w:r w:rsidRPr="001C1FD2">
        <w:rPr>
          <w:rFonts w:ascii="Arial" w:eastAsia="Times New Roman" w:hAnsi="Arial" w:cs="Arial"/>
          <w:b/>
          <w:bCs/>
          <w:sz w:val="20"/>
          <w:szCs w:val="20"/>
        </w:rPr>
        <w:t>Fig</w:t>
      </w:r>
      <w:r w:rsidRPr="002C381C">
        <w:rPr>
          <w:rFonts w:ascii="Arial" w:eastAsia="Times New Roman" w:hAnsi="Arial" w:cs="Arial"/>
          <w:b/>
          <w:bCs/>
          <w:sz w:val="20"/>
          <w:szCs w:val="20"/>
        </w:rPr>
        <w:t xml:space="preserve">. 3. Photomicrographs under reflected light. A: Euhedral pyrite grains and irregularly shaped magnetite grains </w:t>
      </w:r>
      <w:r w:rsidRPr="00B31EC3">
        <w:rPr>
          <w:rFonts w:ascii="Arial" w:eastAsia="Times New Roman" w:hAnsi="Arial" w:cs="Arial"/>
          <w:b/>
          <w:bCs/>
          <w:sz w:val="20"/>
          <w:szCs w:val="20"/>
        </w:rPr>
        <w:t>(</w:t>
      </w:r>
      <w:r w:rsidRPr="002C381C">
        <w:rPr>
          <w:rFonts w:ascii="Arial" w:eastAsia="Times New Roman" w:hAnsi="Arial" w:cs="Arial"/>
          <w:b/>
          <w:bCs/>
          <w:sz w:val="20"/>
          <w:szCs w:val="20"/>
        </w:rPr>
        <w:t xml:space="preserve">Py-Pyrite, Mt-Magnetite). B: Grain boundaries of host rock are filled with iron suggesting hydrothermal solutions pervading the host rock </w:t>
      </w:r>
      <w:r w:rsidRPr="00B31EC3">
        <w:rPr>
          <w:rFonts w:ascii="Arial" w:eastAsia="Times New Roman" w:hAnsi="Arial" w:cs="Arial"/>
          <w:b/>
          <w:bCs/>
          <w:sz w:val="20"/>
          <w:szCs w:val="20"/>
        </w:rPr>
        <w:t>(</w:t>
      </w:r>
      <w:r w:rsidRPr="002C381C">
        <w:rPr>
          <w:rFonts w:ascii="Arial" w:eastAsia="Times New Roman" w:hAnsi="Arial" w:cs="Arial"/>
          <w:b/>
          <w:bCs/>
          <w:sz w:val="20"/>
          <w:szCs w:val="20"/>
        </w:rPr>
        <w:t xml:space="preserve">Left image); Chalcopyrite </w:t>
      </w:r>
      <w:r w:rsidRPr="00B31EC3">
        <w:rPr>
          <w:rFonts w:ascii="Arial" w:eastAsia="Times New Roman" w:hAnsi="Arial" w:cs="Arial"/>
          <w:b/>
          <w:bCs/>
          <w:sz w:val="20"/>
          <w:szCs w:val="20"/>
        </w:rPr>
        <w:t>(</w:t>
      </w:r>
      <w:proofErr w:type="spellStart"/>
      <w:r w:rsidRPr="002C381C">
        <w:rPr>
          <w:rFonts w:ascii="Arial" w:eastAsia="Times New Roman" w:hAnsi="Arial" w:cs="Arial"/>
          <w:b/>
          <w:bCs/>
          <w:sz w:val="20"/>
          <w:szCs w:val="20"/>
        </w:rPr>
        <w:t>Cpy</w:t>
      </w:r>
      <w:proofErr w:type="spellEnd"/>
      <w:r w:rsidRPr="002C381C">
        <w:rPr>
          <w:rFonts w:ascii="Arial" w:eastAsia="Times New Roman" w:hAnsi="Arial" w:cs="Arial"/>
          <w:b/>
          <w:bCs/>
          <w:sz w:val="20"/>
          <w:szCs w:val="20"/>
        </w:rPr>
        <w:t xml:space="preserve">). C: Euhedral grain of hematite being altered to magnetite, the alteration called </w:t>
      </w:r>
      <w:proofErr w:type="spellStart"/>
      <w:r w:rsidRPr="002C381C">
        <w:rPr>
          <w:rFonts w:ascii="Arial" w:eastAsia="Times New Roman" w:hAnsi="Arial" w:cs="Arial"/>
          <w:b/>
          <w:bCs/>
          <w:sz w:val="20"/>
          <w:szCs w:val="20"/>
        </w:rPr>
        <w:t>martitization</w:t>
      </w:r>
      <w:proofErr w:type="spellEnd"/>
      <w:r w:rsidRPr="002C381C">
        <w:rPr>
          <w:rFonts w:ascii="Arial" w:eastAsia="Times New Roman" w:hAnsi="Arial" w:cs="Arial"/>
          <w:b/>
          <w:bCs/>
          <w:sz w:val="20"/>
          <w:szCs w:val="20"/>
        </w:rPr>
        <w:t xml:space="preserve">; in the right- hand side image, a tiny chalcopyrite grain, and dusty grains of chalcopyrite in the form of thin films are also visible in faint yellow </w:t>
      </w:r>
      <w:proofErr w:type="spellStart"/>
      <w:r w:rsidRPr="002C381C">
        <w:rPr>
          <w:rFonts w:ascii="Arial" w:eastAsia="Times New Roman" w:hAnsi="Arial" w:cs="Arial"/>
          <w:b/>
          <w:bCs/>
          <w:sz w:val="20"/>
          <w:szCs w:val="20"/>
        </w:rPr>
        <w:t>colour</w:t>
      </w:r>
      <w:proofErr w:type="spellEnd"/>
      <w:r w:rsidRPr="002C381C">
        <w:rPr>
          <w:rFonts w:ascii="Arial" w:eastAsia="Times New Roman" w:hAnsi="Arial" w:cs="Arial"/>
          <w:b/>
          <w:bCs/>
          <w:sz w:val="20"/>
          <w:szCs w:val="20"/>
        </w:rPr>
        <w:t xml:space="preserve"> in the same, </w:t>
      </w:r>
      <w:r w:rsidRPr="00B31EC3">
        <w:rPr>
          <w:rFonts w:ascii="Arial" w:eastAsia="Times New Roman" w:hAnsi="Arial" w:cs="Arial"/>
          <w:b/>
          <w:bCs/>
          <w:sz w:val="20"/>
          <w:szCs w:val="20"/>
        </w:rPr>
        <w:t>(</w:t>
      </w:r>
      <w:r w:rsidRPr="002C381C">
        <w:rPr>
          <w:rFonts w:ascii="Arial" w:eastAsia="Times New Roman" w:hAnsi="Arial" w:cs="Arial"/>
          <w:b/>
          <w:bCs/>
          <w:sz w:val="20"/>
          <w:szCs w:val="20"/>
        </w:rPr>
        <w:t xml:space="preserve">Hm-hematite, </w:t>
      </w:r>
      <w:proofErr w:type="spellStart"/>
      <w:r w:rsidRPr="002C381C">
        <w:rPr>
          <w:rFonts w:ascii="Arial" w:eastAsia="Times New Roman" w:hAnsi="Arial" w:cs="Arial"/>
          <w:b/>
          <w:bCs/>
          <w:sz w:val="20"/>
          <w:szCs w:val="20"/>
        </w:rPr>
        <w:t>Cpy</w:t>
      </w:r>
      <w:proofErr w:type="spellEnd"/>
      <w:r w:rsidRPr="002C381C">
        <w:rPr>
          <w:rFonts w:ascii="Arial" w:eastAsia="Times New Roman" w:hAnsi="Arial" w:cs="Arial"/>
          <w:b/>
          <w:bCs/>
          <w:sz w:val="20"/>
          <w:szCs w:val="20"/>
        </w:rPr>
        <w:t>-Chalcopyrite)</w:t>
      </w:r>
    </w:p>
    <w:p w14:paraId="24E4FC4D" w14:textId="77777777" w:rsidR="001C1FD2" w:rsidRDefault="001C1FD2" w:rsidP="001C1FD2">
      <w:pPr>
        <w:spacing w:after="0" w:line="240" w:lineRule="auto"/>
        <w:contextualSpacing/>
        <w:jc w:val="both"/>
        <w:rPr>
          <w:rFonts w:ascii="Arial" w:eastAsia="Times New Roman" w:hAnsi="Arial" w:cs="Arial"/>
          <w:b/>
          <w:sz w:val="20"/>
          <w:szCs w:val="20"/>
        </w:rPr>
        <w:sectPr w:rsidR="001C1FD2" w:rsidSect="001C1FD2">
          <w:type w:val="continuous"/>
          <w:pgSz w:w="11909" w:h="16834" w:code="9"/>
          <w:pgMar w:top="1440" w:right="1440" w:bottom="1440" w:left="1440" w:header="720" w:footer="864" w:gutter="0"/>
          <w:cols w:space="720"/>
          <w:docGrid w:linePitch="360"/>
        </w:sectPr>
      </w:pPr>
    </w:p>
    <w:p w14:paraId="05A0DD86" w14:textId="4A4736B1" w:rsidR="001C1FD2" w:rsidRPr="002C381C" w:rsidRDefault="0055259F" w:rsidP="001C1FD2">
      <w:pPr>
        <w:spacing w:after="0" w:line="240" w:lineRule="auto"/>
        <w:contextualSpacing/>
        <w:jc w:val="both"/>
        <w:rPr>
          <w:rFonts w:ascii="Arial" w:eastAsia="Times New Roman" w:hAnsi="Arial" w:cs="Arial"/>
          <w:bCs/>
          <w:sz w:val="20"/>
          <w:szCs w:val="20"/>
        </w:rPr>
      </w:pPr>
      <w:r>
        <w:rPr>
          <w:rFonts w:ascii="Arial" w:eastAsia="Times New Roman" w:hAnsi="Arial" w:cs="Arial"/>
          <w:b/>
          <w:sz w:val="20"/>
          <w:szCs w:val="20"/>
        </w:rPr>
        <w:pict w14:anchorId="72175EE8">
          <v:shape id="Graphic 36" o:spid="_x0000_s1272" style="position:absolute;left:0;text-align:left;margin-left:458.7pt;margin-top:319.5pt;width:2.2pt;height:.1pt;z-index:251658240;visibility:visible;mso-wrap-style:square;mso-wrap-distance-left:0;mso-wrap-distance-top:0;mso-wrap-distance-right:0;mso-wrap-distance-bottom:0;mso-position-horizontal:absolute;mso-position-horizontal-relative:page;mso-position-vertical:absolute;mso-position-vertical-relative:text;v-text-anchor:top" coordsize="279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" path="m,l27910,e" filled="f" strokeweight=".35239mm">
            <v:path arrowok="t"/>
            <w10:wrap anchorx="page"/>
          </v:shape>
        </w:pict>
      </w:r>
      <w:r w:rsidR="001C1FD2" w:rsidRPr="001C1FD2">
        <w:rPr>
          <w:rFonts w:ascii="Arial" w:eastAsia="Times New Roman" w:hAnsi="Arial" w:cs="Arial"/>
          <w:b/>
          <w:sz w:val="20"/>
          <w:szCs w:val="20"/>
        </w:rPr>
        <w:t xml:space="preserve">Controls of </w:t>
      </w:r>
      <w:proofErr w:type="spellStart"/>
      <w:r w:rsidR="001C1FD2" w:rsidRPr="001C1FD2">
        <w:rPr>
          <w:rFonts w:ascii="Arial" w:eastAsia="Times New Roman" w:hAnsi="Arial" w:cs="Arial"/>
          <w:b/>
          <w:sz w:val="20"/>
          <w:szCs w:val="20"/>
        </w:rPr>
        <w:t>Mineralisation</w:t>
      </w:r>
      <w:proofErr w:type="spellEnd"/>
      <w:r w:rsidR="001C1FD2" w:rsidRPr="001C1FD2">
        <w:rPr>
          <w:rFonts w:ascii="Arial" w:eastAsia="Times New Roman" w:hAnsi="Arial" w:cs="Arial"/>
          <w:b/>
          <w:sz w:val="20"/>
          <w:szCs w:val="20"/>
        </w:rPr>
        <w:t>:</w:t>
      </w:r>
      <w:r w:rsidR="001C1FD2" w:rsidRPr="002C381C">
        <w:rPr>
          <w:rFonts w:ascii="Arial" w:eastAsia="Times New Roman" w:hAnsi="Arial" w:cs="Arial"/>
          <w:bCs/>
          <w:sz w:val="20"/>
          <w:szCs w:val="20"/>
        </w:rPr>
        <w:t xml:space="preserve"> The apparent </w:t>
      </w:r>
      <w:proofErr w:type="spellStart"/>
      <w:r w:rsidR="001C1FD2" w:rsidRPr="002C381C">
        <w:rPr>
          <w:rFonts w:ascii="Arial" w:eastAsia="Times New Roman" w:hAnsi="Arial" w:cs="Arial"/>
          <w:bCs/>
          <w:sz w:val="20"/>
          <w:szCs w:val="20"/>
        </w:rPr>
        <w:t>mineralisation</w:t>
      </w:r>
      <w:proofErr w:type="spellEnd"/>
      <w:r w:rsidR="001C1FD2" w:rsidRPr="002C381C">
        <w:rPr>
          <w:rFonts w:ascii="Arial" w:eastAsia="Times New Roman" w:hAnsi="Arial" w:cs="Arial"/>
          <w:bCs/>
          <w:sz w:val="20"/>
          <w:szCs w:val="20"/>
        </w:rPr>
        <w:t xml:space="preserve"> controls appear to be structural as majority of the old workings in the area are </w:t>
      </w:r>
      <w:r w:rsidR="001C1FD2" w:rsidRPr="002C381C">
        <w:rPr>
          <w:rFonts w:ascii="Arial" w:eastAsia="Times New Roman" w:hAnsi="Arial" w:cs="Arial"/>
          <w:bCs/>
          <w:sz w:val="20"/>
          <w:szCs w:val="20"/>
        </w:rPr>
        <w:t xml:space="preserve">located on the tail part of the map scale boudins of quartzite and other lithologies specifically along the contact zone of Calcareous litho- units </w:t>
      </w:r>
      <w:r w:rsidR="001C1FD2" w:rsidRPr="002C381C">
        <w:rPr>
          <w:rFonts w:ascii="Arial" w:eastAsia="Times New Roman" w:hAnsi="Arial" w:cs="Arial"/>
          <w:bCs/>
          <w:sz w:val="20"/>
          <w:szCs w:val="20"/>
        </w:rPr>
        <w:lastRenderedPageBreak/>
        <w:t xml:space="preserve">and the Arenaceous package. Along the tails of these boudinages, thick and thin quartz veins are emplaced, which acts as carriers of </w:t>
      </w:r>
      <w:proofErr w:type="spellStart"/>
      <w:r w:rsidR="001C1FD2" w:rsidRPr="002C381C">
        <w:rPr>
          <w:rFonts w:ascii="Arial" w:eastAsia="Times New Roman" w:hAnsi="Arial" w:cs="Arial"/>
          <w:bCs/>
          <w:sz w:val="20"/>
          <w:szCs w:val="20"/>
        </w:rPr>
        <w:t>mineralisation</w:t>
      </w:r>
      <w:proofErr w:type="spellEnd"/>
      <w:r w:rsidR="001C1FD2" w:rsidRPr="002C381C">
        <w:rPr>
          <w:rFonts w:ascii="Arial" w:eastAsia="Times New Roman" w:hAnsi="Arial" w:cs="Arial"/>
          <w:bCs/>
          <w:sz w:val="20"/>
          <w:szCs w:val="20"/>
        </w:rPr>
        <w:t xml:space="preserve"> in this area. The shearing evidences, venation along the boudin margins, occurrence of sigmoidal </w:t>
      </w:r>
      <w:proofErr w:type="spellStart"/>
      <w:r w:rsidR="001C1FD2" w:rsidRPr="002C381C">
        <w:rPr>
          <w:rFonts w:ascii="Arial" w:eastAsia="Times New Roman" w:hAnsi="Arial" w:cs="Arial"/>
          <w:bCs/>
          <w:sz w:val="20"/>
          <w:szCs w:val="20"/>
        </w:rPr>
        <w:t>vugs</w:t>
      </w:r>
      <w:proofErr w:type="spellEnd"/>
      <w:r w:rsidR="001C1FD2" w:rsidRPr="002C381C">
        <w:rPr>
          <w:rFonts w:ascii="Arial" w:eastAsia="Times New Roman" w:hAnsi="Arial" w:cs="Arial"/>
          <w:bCs/>
          <w:sz w:val="20"/>
          <w:szCs w:val="20"/>
        </w:rPr>
        <w:t xml:space="preserve"> filled with pyrite </w:t>
      </w:r>
      <w:r w:rsidR="001C1FD2" w:rsidRPr="00B31EC3">
        <w:rPr>
          <w:rFonts w:ascii="Arial" w:eastAsia="Times New Roman" w:hAnsi="Arial" w:cs="Arial"/>
          <w:bCs/>
          <w:sz w:val="20"/>
          <w:szCs w:val="20"/>
        </w:rPr>
        <w:t>(</w:t>
      </w:r>
      <w:r w:rsidR="001C1FD2" w:rsidRPr="001C1FD2">
        <w:rPr>
          <w:rFonts w:ascii="Arial" w:eastAsia="Times New Roman" w:hAnsi="Arial" w:cs="Arial"/>
          <w:bCs/>
          <w:sz w:val="20"/>
          <w:szCs w:val="20"/>
        </w:rPr>
        <w:t>Fig</w:t>
      </w:r>
      <w:r w:rsidR="001C1FD2" w:rsidRPr="002C381C">
        <w:rPr>
          <w:rFonts w:ascii="Arial" w:eastAsia="Times New Roman" w:hAnsi="Arial" w:cs="Arial"/>
          <w:bCs/>
          <w:sz w:val="20"/>
          <w:szCs w:val="20"/>
        </w:rPr>
        <w:t xml:space="preserve">. 2B) and chalcopyrite suggest strong structural control on </w:t>
      </w:r>
      <w:proofErr w:type="spellStart"/>
      <w:r w:rsidR="001C1FD2" w:rsidRPr="002C381C">
        <w:rPr>
          <w:rFonts w:ascii="Arial" w:eastAsia="Times New Roman" w:hAnsi="Arial" w:cs="Arial"/>
          <w:bCs/>
          <w:sz w:val="20"/>
          <w:szCs w:val="20"/>
        </w:rPr>
        <w:t>mineralisation</w:t>
      </w:r>
      <w:proofErr w:type="spellEnd"/>
      <w:r w:rsidR="001C1FD2" w:rsidRPr="002C381C">
        <w:rPr>
          <w:rFonts w:ascii="Arial" w:eastAsia="Times New Roman" w:hAnsi="Arial" w:cs="Arial"/>
          <w:bCs/>
          <w:sz w:val="20"/>
          <w:szCs w:val="20"/>
        </w:rPr>
        <w:t xml:space="preserve">. It can be interpreted convincingly from the presence of above field features, supported by chemical and petrographic evidences, that the </w:t>
      </w:r>
      <w:proofErr w:type="spellStart"/>
      <w:r w:rsidR="001C1FD2" w:rsidRPr="002C381C">
        <w:rPr>
          <w:rFonts w:ascii="Arial" w:eastAsia="Times New Roman" w:hAnsi="Arial" w:cs="Arial"/>
          <w:bCs/>
          <w:sz w:val="20"/>
          <w:szCs w:val="20"/>
        </w:rPr>
        <w:t>mineralisation</w:t>
      </w:r>
      <w:proofErr w:type="spellEnd"/>
      <w:r w:rsidR="001C1FD2" w:rsidRPr="002C381C">
        <w:rPr>
          <w:rFonts w:ascii="Arial" w:eastAsia="Times New Roman" w:hAnsi="Arial" w:cs="Arial"/>
          <w:bCs/>
          <w:sz w:val="20"/>
          <w:szCs w:val="20"/>
        </w:rPr>
        <w:t xml:space="preserve"> in the area has been caused by a </w:t>
      </w:r>
      <w:proofErr w:type="spellStart"/>
      <w:r w:rsidR="001C1FD2" w:rsidRPr="002C381C">
        <w:rPr>
          <w:rFonts w:ascii="Arial" w:eastAsia="Times New Roman" w:hAnsi="Arial" w:cs="Arial"/>
          <w:bCs/>
          <w:sz w:val="20"/>
          <w:szCs w:val="20"/>
        </w:rPr>
        <w:t>mineralising</w:t>
      </w:r>
      <w:proofErr w:type="spellEnd"/>
      <w:r w:rsidR="001C1FD2" w:rsidRPr="002C381C">
        <w:rPr>
          <w:rFonts w:ascii="Arial" w:eastAsia="Times New Roman" w:hAnsi="Arial" w:cs="Arial"/>
          <w:bCs/>
          <w:sz w:val="20"/>
          <w:szCs w:val="20"/>
        </w:rPr>
        <w:t xml:space="preserve"> fluid containing Cu-Au-Fe-S in the </w:t>
      </w:r>
      <w:proofErr w:type="spellStart"/>
      <w:r w:rsidR="001C1FD2" w:rsidRPr="002C381C">
        <w:rPr>
          <w:rFonts w:ascii="Arial" w:eastAsia="Times New Roman" w:hAnsi="Arial" w:cs="Arial"/>
          <w:bCs/>
          <w:sz w:val="20"/>
          <w:szCs w:val="20"/>
        </w:rPr>
        <w:t>mineralising</w:t>
      </w:r>
      <w:proofErr w:type="spellEnd"/>
      <w:r w:rsidR="001C1FD2" w:rsidRPr="002C381C">
        <w:rPr>
          <w:rFonts w:ascii="Arial" w:eastAsia="Times New Roman" w:hAnsi="Arial" w:cs="Arial"/>
          <w:bCs/>
          <w:sz w:val="20"/>
          <w:szCs w:val="20"/>
        </w:rPr>
        <w:t xml:space="preserve"> system and the factors like oxygen fugacity and PT conditions of the fluid during the metamorphism can generate various elemental concentrations resulting in to deposits at different depths and at different locales. Hence, the association of Gold with copper and presence of iron in the </w:t>
      </w:r>
      <w:proofErr w:type="spellStart"/>
      <w:r w:rsidR="001C1FD2" w:rsidRPr="002C381C">
        <w:rPr>
          <w:rFonts w:ascii="Arial" w:eastAsia="Times New Roman" w:hAnsi="Arial" w:cs="Arial"/>
          <w:bCs/>
          <w:sz w:val="20"/>
          <w:szCs w:val="20"/>
        </w:rPr>
        <w:t>mineralising</w:t>
      </w:r>
      <w:proofErr w:type="spellEnd"/>
      <w:r w:rsidR="001C1FD2" w:rsidRPr="002C381C">
        <w:rPr>
          <w:rFonts w:ascii="Arial" w:eastAsia="Times New Roman" w:hAnsi="Arial" w:cs="Arial"/>
          <w:bCs/>
          <w:sz w:val="20"/>
          <w:szCs w:val="20"/>
        </w:rPr>
        <w:t xml:space="preserve"> system, presence of strong structural control and hydrothermal nature of </w:t>
      </w:r>
      <w:proofErr w:type="spellStart"/>
      <w:r w:rsidR="001C1FD2" w:rsidRPr="002C381C">
        <w:rPr>
          <w:rFonts w:ascii="Arial" w:eastAsia="Times New Roman" w:hAnsi="Arial" w:cs="Arial"/>
          <w:bCs/>
          <w:sz w:val="20"/>
          <w:szCs w:val="20"/>
        </w:rPr>
        <w:t>mineralisation</w:t>
      </w:r>
      <w:proofErr w:type="spellEnd"/>
      <w:r w:rsidR="001C1FD2" w:rsidRPr="002C381C">
        <w:rPr>
          <w:rFonts w:ascii="Arial" w:eastAsia="Times New Roman" w:hAnsi="Arial" w:cs="Arial"/>
          <w:bCs/>
          <w:sz w:val="20"/>
          <w:szCs w:val="20"/>
        </w:rPr>
        <w:t>, slight raised levels of the Cr, V,</w:t>
      </w:r>
      <w:r w:rsidR="001C1FD2">
        <w:rPr>
          <w:rFonts w:ascii="Arial" w:eastAsia="Times New Roman" w:hAnsi="Arial" w:cs="Arial"/>
          <w:bCs/>
          <w:sz w:val="20"/>
          <w:szCs w:val="20"/>
        </w:rPr>
        <w:t xml:space="preserve"> </w:t>
      </w:r>
      <w:r w:rsidR="001C1FD2" w:rsidRPr="002C381C">
        <w:rPr>
          <w:rFonts w:ascii="Arial" w:eastAsia="Times New Roman" w:hAnsi="Arial" w:cs="Arial"/>
          <w:bCs/>
          <w:sz w:val="20"/>
          <w:szCs w:val="20"/>
        </w:rPr>
        <w:t xml:space="preserve">and Sc indicates towards the possible magmatic/deep source of fluid and enrichment of </w:t>
      </w:r>
      <w:proofErr w:type="spellStart"/>
      <w:r w:rsidR="001C1FD2" w:rsidRPr="002C381C">
        <w:rPr>
          <w:rFonts w:ascii="Arial" w:eastAsia="Times New Roman" w:hAnsi="Arial" w:cs="Arial"/>
          <w:bCs/>
          <w:sz w:val="20"/>
          <w:szCs w:val="20"/>
        </w:rPr>
        <w:t>mineralising</w:t>
      </w:r>
      <w:proofErr w:type="spellEnd"/>
      <w:r w:rsidR="001C1FD2" w:rsidRPr="002C381C">
        <w:rPr>
          <w:rFonts w:ascii="Arial" w:eastAsia="Times New Roman" w:hAnsi="Arial" w:cs="Arial"/>
          <w:bCs/>
          <w:sz w:val="20"/>
          <w:szCs w:val="20"/>
        </w:rPr>
        <w:t xml:space="preserve"> fluid </w:t>
      </w:r>
      <w:r w:rsidR="001C1FD2" w:rsidRPr="00B31EC3">
        <w:rPr>
          <w:rFonts w:ascii="Arial" w:eastAsia="Times New Roman" w:hAnsi="Arial" w:cs="Arial"/>
          <w:bCs/>
          <w:sz w:val="20"/>
          <w:szCs w:val="20"/>
        </w:rPr>
        <w:t>(</w:t>
      </w:r>
      <w:r w:rsidR="001C1FD2" w:rsidRPr="002C381C">
        <w:rPr>
          <w:rFonts w:ascii="Arial" w:eastAsia="Times New Roman" w:hAnsi="Arial" w:cs="Arial"/>
          <w:bCs/>
          <w:sz w:val="20"/>
          <w:szCs w:val="20"/>
        </w:rPr>
        <w:t>Carew et al., 2006</w:t>
      </w:r>
      <w:r w:rsidR="001C1FD2">
        <w:rPr>
          <w:rFonts w:ascii="Arial" w:eastAsia="Times New Roman" w:hAnsi="Arial" w:cs="Arial"/>
          <w:bCs/>
          <w:sz w:val="20"/>
          <w:szCs w:val="20"/>
        </w:rPr>
        <w:t>;</w:t>
      </w:r>
      <w:r w:rsidR="001C1FD2" w:rsidRPr="002C381C">
        <w:rPr>
          <w:rFonts w:ascii="Arial" w:eastAsia="Times New Roman" w:hAnsi="Arial" w:cs="Arial"/>
          <w:bCs/>
          <w:sz w:val="20"/>
          <w:szCs w:val="20"/>
        </w:rPr>
        <w:t xml:space="preserve"> </w:t>
      </w:r>
      <w:bookmarkStart w:id="2" w:name="_Hlk196826062"/>
      <w:r w:rsidR="001C1FD2" w:rsidRPr="002C381C">
        <w:rPr>
          <w:rFonts w:ascii="Arial" w:eastAsia="Times New Roman" w:hAnsi="Arial" w:cs="Arial"/>
          <w:bCs/>
          <w:sz w:val="20"/>
          <w:szCs w:val="20"/>
        </w:rPr>
        <w:t>Huang</w:t>
      </w:r>
      <w:bookmarkEnd w:id="2"/>
      <w:r w:rsidR="001C1FD2" w:rsidRPr="002C381C">
        <w:rPr>
          <w:rFonts w:ascii="Arial" w:eastAsia="Times New Roman" w:hAnsi="Arial" w:cs="Arial"/>
          <w:bCs/>
          <w:sz w:val="20"/>
          <w:szCs w:val="20"/>
        </w:rPr>
        <w:t xml:space="preserve">, et al., 2013) in multi-metal commodity can be interpreted as occurrence of the IOCG system of </w:t>
      </w:r>
      <w:proofErr w:type="spellStart"/>
      <w:r w:rsidR="001C1FD2" w:rsidRPr="002C381C">
        <w:rPr>
          <w:rFonts w:ascii="Arial" w:eastAsia="Times New Roman" w:hAnsi="Arial" w:cs="Arial"/>
          <w:bCs/>
          <w:sz w:val="20"/>
          <w:szCs w:val="20"/>
        </w:rPr>
        <w:t>mineralisation</w:t>
      </w:r>
      <w:proofErr w:type="spellEnd"/>
      <w:r w:rsidR="001C1FD2" w:rsidRPr="002C381C">
        <w:rPr>
          <w:rFonts w:ascii="Arial" w:eastAsia="Times New Roman" w:hAnsi="Arial" w:cs="Arial"/>
          <w:bCs/>
          <w:sz w:val="20"/>
          <w:szCs w:val="20"/>
        </w:rPr>
        <w:t>.</w:t>
      </w:r>
    </w:p>
    <w:p w14:paraId="075F1F3F" w14:textId="77777777" w:rsidR="001C1FD2" w:rsidRDefault="001C1FD2" w:rsidP="001C1FD2">
      <w:pPr>
        <w:spacing w:after="0" w:line="240" w:lineRule="auto"/>
        <w:contextualSpacing/>
        <w:jc w:val="both"/>
        <w:rPr>
          <w:rFonts w:ascii="Arial" w:eastAsia="Times New Roman" w:hAnsi="Arial" w:cs="Arial"/>
          <w:bCs/>
          <w:sz w:val="20"/>
          <w:szCs w:val="20"/>
        </w:rPr>
      </w:pPr>
    </w:p>
    <w:p w14:paraId="673E64E3" w14:textId="77777777" w:rsidR="001C1FD2" w:rsidRPr="002C381C" w:rsidRDefault="001C1FD2" w:rsidP="001C1FD2">
      <w:pPr>
        <w:spacing w:after="0" w:line="240" w:lineRule="auto"/>
        <w:contextualSpacing/>
        <w:jc w:val="both"/>
        <w:rPr>
          <w:rFonts w:ascii="Arial" w:eastAsia="Times New Roman" w:hAnsi="Arial" w:cs="Arial"/>
          <w:bCs/>
          <w:sz w:val="20"/>
          <w:szCs w:val="20"/>
        </w:rPr>
      </w:pPr>
      <w:r w:rsidRPr="008D29E0">
        <w:rPr>
          <w:rFonts w:ascii="Arial" w:eastAsia="Times New Roman" w:hAnsi="Arial" w:cs="Arial"/>
          <w:bCs/>
          <w:sz w:val="20"/>
          <w:szCs w:val="20"/>
        </w:rPr>
        <w:t xml:space="preserve">The proposed modal for </w:t>
      </w:r>
      <w:proofErr w:type="spellStart"/>
      <w:r w:rsidRPr="008D29E0">
        <w:rPr>
          <w:rFonts w:ascii="Arial" w:eastAsia="Times New Roman" w:hAnsi="Arial" w:cs="Arial"/>
          <w:bCs/>
          <w:sz w:val="20"/>
          <w:szCs w:val="20"/>
        </w:rPr>
        <w:t>Mineralisation</w:t>
      </w:r>
      <w:proofErr w:type="spellEnd"/>
      <w:r w:rsidRPr="008D29E0">
        <w:rPr>
          <w:rFonts w:ascii="Arial" w:eastAsia="Times New Roman" w:hAnsi="Arial" w:cs="Arial"/>
          <w:bCs/>
          <w:sz w:val="20"/>
          <w:szCs w:val="20"/>
        </w:rPr>
        <w:t xml:space="preserve">: The Iron ore Copper Gold </w:t>
      </w:r>
      <w:proofErr w:type="spellStart"/>
      <w:r w:rsidRPr="008D29E0">
        <w:rPr>
          <w:rFonts w:ascii="Arial" w:eastAsia="Times New Roman" w:hAnsi="Arial" w:cs="Arial"/>
          <w:bCs/>
          <w:sz w:val="20"/>
          <w:szCs w:val="20"/>
        </w:rPr>
        <w:t>mineralising</w:t>
      </w:r>
      <w:proofErr w:type="spellEnd"/>
      <w:r w:rsidRPr="008D29E0">
        <w:rPr>
          <w:rFonts w:ascii="Arial" w:eastAsia="Times New Roman" w:hAnsi="Arial" w:cs="Arial"/>
          <w:bCs/>
          <w:sz w:val="20"/>
          <w:szCs w:val="20"/>
        </w:rPr>
        <w:t xml:space="preserve"> system popularly known as IOCG (Hitzman et al., 1992; Zu, Z., 2016) has certain typical requirements and includes larger variations in the criteria’s of classifying any </w:t>
      </w:r>
      <w:proofErr w:type="spellStart"/>
      <w:r w:rsidRPr="008D29E0">
        <w:rPr>
          <w:rFonts w:ascii="Arial" w:eastAsia="Times New Roman" w:hAnsi="Arial" w:cs="Arial"/>
          <w:bCs/>
          <w:sz w:val="20"/>
          <w:szCs w:val="20"/>
        </w:rPr>
        <w:t>mineralisation</w:t>
      </w:r>
      <w:proofErr w:type="spellEnd"/>
      <w:r w:rsidRPr="008D29E0">
        <w:rPr>
          <w:rFonts w:ascii="Arial" w:eastAsia="Times New Roman" w:hAnsi="Arial" w:cs="Arial"/>
          <w:bCs/>
          <w:sz w:val="20"/>
          <w:szCs w:val="20"/>
        </w:rPr>
        <w:t xml:space="preserve"> as IOCG set up. The basic requirem</w:t>
      </w:r>
      <w:r w:rsidRPr="002C381C">
        <w:rPr>
          <w:rFonts w:ascii="Arial" w:eastAsia="Times New Roman" w:hAnsi="Arial" w:cs="Arial"/>
          <w:bCs/>
          <w:sz w:val="20"/>
          <w:szCs w:val="20"/>
        </w:rPr>
        <w:t xml:space="preserve">ent is presence of Iron, Copper and Gold in the </w:t>
      </w:r>
      <w:proofErr w:type="spellStart"/>
      <w:r w:rsidRPr="002C381C">
        <w:rPr>
          <w:rFonts w:ascii="Arial" w:eastAsia="Times New Roman" w:hAnsi="Arial" w:cs="Arial"/>
          <w:bCs/>
          <w:sz w:val="20"/>
          <w:szCs w:val="20"/>
        </w:rPr>
        <w:t>mineralising</w:t>
      </w:r>
      <w:proofErr w:type="spellEnd"/>
      <w:r w:rsidRPr="002C381C">
        <w:rPr>
          <w:rFonts w:ascii="Arial" w:eastAsia="Times New Roman" w:hAnsi="Arial" w:cs="Arial"/>
          <w:bCs/>
          <w:sz w:val="20"/>
          <w:szCs w:val="20"/>
        </w:rPr>
        <w:t xml:space="preserve"> system and one of these three commodities occurring significantly enriched to occur as a deposit. The other requirement is the strong structural control with hydrothermal characters of the </w:t>
      </w:r>
      <w:proofErr w:type="spellStart"/>
      <w:r w:rsidRPr="002C381C">
        <w:rPr>
          <w:rFonts w:ascii="Arial" w:eastAsia="Times New Roman" w:hAnsi="Arial" w:cs="Arial"/>
          <w:bCs/>
          <w:sz w:val="20"/>
          <w:szCs w:val="20"/>
        </w:rPr>
        <w:t>mineralisation</w:t>
      </w:r>
      <w:proofErr w:type="spellEnd"/>
      <w:r w:rsidRPr="002C381C">
        <w:rPr>
          <w:rFonts w:ascii="Arial" w:eastAsia="Times New Roman" w:hAnsi="Arial" w:cs="Arial"/>
          <w:bCs/>
          <w:sz w:val="20"/>
          <w:szCs w:val="20"/>
        </w:rPr>
        <w:t>. Presence of Iron either in the form of hematite or magnetite along with High Fe/Ti ratio, higher than in most igneous rocks is other requirement. Minor association of Ni, Co, REE, Mo and other trace elements is also known in these deposits. Olympic Dam deposit, Australia, is possibly the deposit which has brought the term IOCG in the geological literature as it was so complicated that it was needed to invoke a system which involves a combination of various earth systems with overprinting of the signatures of the earlier system to generate a huge multi-metal largest deposit in the world.</w:t>
      </w:r>
    </w:p>
    <w:p w14:paraId="7FAFCC38" w14:textId="77777777" w:rsidR="001C1FD2" w:rsidRDefault="001C1FD2" w:rsidP="001C1FD2">
      <w:pPr>
        <w:spacing w:after="0" w:line="240" w:lineRule="auto"/>
        <w:contextualSpacing/>
        <w:jc w:val="both"/>
        <w:rPr>
          <w:rFonts w:ascii="Arial" w:eastAsia="Times New Roman" w:hAnsi="Arial" w:cs="Arial"/>
          <w:bCs/>
          <w:sz w:val="20"/>
          <w:szCs w:val="20"/>
        </w:rPr>
        <w:sectPr w:rsidR="001C1FD2" w:rsidSect="001C1FD2">
          <w:type w:val="continuous"/>
          <w:pgSz w:w="11909" w:h="16834" w:code="9"/>
          <w:pgMar w:top="1440" w:right="1440" w:bottom="1440" w:left="1440" w:header="720" w:footer="864" w:gutter="0"/>
          <w:cols w:num="2" w:space="288"/>
          <w:docGrid w:linePitch="360"/>
        </w:sectPr>
      </w:pPr>
    </w:p>
    <w:p w14:paraId="5FB150B9" w14:textId="77777777" w:rsidR="001C1FD2" w:rsidRDefault="001C1FD2" w:rsidP="001C1FD2">
      <w:pPr>
        <w:spacing w:after="0" w:line="240" w:lineRule="auto"/>
        <w:contextualSpacing/>
        <w:jc w:val="both"/>
        <w:rPr>
          <w:rFonts w:ascii="Arial" w:eastAsia="Times New Roman" w:hAnsi="Arial" w:cs="Arial"/>
          <w:bCs/>
          <w:sz w:val="20"/>
          <w:szCs w:val="20"/>
        </w:rPr>
      </w:pPr>
    </w:p>
    <w:p w14:paraId="293ED9E0" w14:textId="77777777" w:rsidR="001C1FD2" w:rsidRPr="002C381C" w:rsidRDefault="001C1FD2" w:rsidP="001C1FD2">
      <w:pPr>
        <w:spacing w:after="0" w:line="240" w:lineRule="auto"/>
        <w:contextualSpacing/>
        <w:jc w:val="center"/>
        <w:rPr>
          <w:rFonts w:ascii="Arial" w:eastAsia="Times New Roman" w:hAnsi="Arial" w:cs="Arial"/>
          <w:bCs/>
          <w:sz w:val="20"/>
          <w:szCs w:val="20"/>
        </w:rPr>
      </w:pPr>
      <w:r w:rsidRPr="002C381C">
        <w:rPr>
          <w:rFonts w:ascii="Arial" w:eastAsia="Times New Roman" w:hAnsi="Arial" w:cs="Arial"/>
          <w:bCs/>
          <w:noProof/>
          <w:sz w:val="20"/>
          <w:szCs w:val="20"/>
        </w:rPr>
        <w:drawing>
          <wp:inline distT="0" distB="0" distL="0" distR="0" wp14:anchorId="505798FC" wp14:editId="4B94E725">
            <wp:extent cx="4678680" cy="2883653"/>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84667" cy="2887343"/>
                    </a:xfrm>
                    <a:prstGeom prst="rect">
                      <a:avLst/>
                    </a:prstGeom>
                  </pic:spPr>
                </pic:pic>
              </a:graphicData>
            </a:graphic>
          </wp:inline>
        </w:drawing>
      </w:r>
    </w:p>
    <w:p w14:paraId="6B393559" w14:textId="77777777" w:rsidR="001C1FD2" w:rsidRPr="002C381C" w:rsidRDefault="001C1FD2" w:rsidP="001C1FD2">
      <w:pPr>
        <w:spacing w:after="0" w:line="240" w:lineRule="auto"/>
        <w:contextualSpacing/>
        <w:jc w:val="both"/>
        <w:rPr>
          <w:rFonts w:ascii="Arial" w:eastAsia="Times New Roman" w:hAnsi="Arial" w:cs="Arial"/>
          <w:bCs/>
          <w:sz w:val="20"/>
          <w:szCs w:val="20"/>
        </w:rPr>
      </w:pPr>
    </w:p>
    <w:p w14:paraId="0CC08268" w14:textId="482D3F88" w:rsidR="001C1FD2" w:rsidRPr="002C381C" w:rsidRDefault="001C1FD2" w:rsidP="001C1FD2">
      <w:pPr>
        <w:spacing w:after="0" w:line="240" w:lineRule="auto"/>
        <w:contextualSpacing/>
        <w:jc w:val="center"/>
        <w:rPr>
          <w:rFonts w:ascii="Arial" w:eastAsia="Times New Roman" w:hAnsi="Arial" w:cs="Arial"/>
          <w:b/>
          <w:bCs/>
          <w:sz w:val="20"/>
          <w:szCs w:val="20"/>
        </w:rPr>
      </w:pPr>
      <w:r w:rsidRPr="001C1FD2">
        <w:rPr>
          <w:rFonts w:ascii="Arial" w:eastAsia="Times New Roman" w:hAnsi="Arial" w:cs="Arial"/>
          <w:b/>
          <w:bCs/>
          <w:sz w:val="20"/>
          <w:szCs w:val="20"/>
        </w:rPr>
        <w:t>Fig</w:t>
      </w:r>
      <w:r w:rsidRPr="002C381C">
        <w:rPr>
          <w:rFonts w:ascii="Arial" w:eastAsia="Times New Roman" w:hAnsi="Arial" w:cs="Arial"/>
          <w:b/>
          <w:bCs/>
          <w:sz w:val="20"/>
          <w:szCs w:val="20"/>
        </w:rPr>
        <w:t xml:space="preserve">. 4. Schematic diagram showing tectonic and lithospheric setting of IOCG deposits, both in the Precambrian cratons and extensional parts of </w:t>
      </w:r>
      <w:proofErr w:type="spellStart"/>
      <w:r w:rsidRPr="002C381C">
        <w:rPr>
          <w:rFonts w:ascii="Arial" w:eastAsia="Times New Roman" w:hAnsi="Arial" w:cs="Arial"/>
          <w:b/>
          <w:bCs/>
          <w:sz w:val="20"/>
          <w:szCs w:val="20"/>
        </w:rPr>
        <w:t>Cordillerian</w:t>
      </w:r>
      <w:proofErr w:type="spellEnd"/>
      <w:r w:rsidRPr="002C381C">
        <w:rPr>
          <w:rFonts w:ascii="Arial" w:eastAsia="Times New Roman" w:hAnsi="Arial" w:cs="Arial"/>
          <w:b/>
          <w:bCs/>
          <w:sz w:val="20"/>
          <w:szCs w:val="20"/>
        </w:rPr>
        <w:t xml:space="preserve"> arcs. Note the IOCG deposits form in continental crust inboard of craton margins above metasomatized mantle lithosphere, normally Archean in age. Thickness of crust exaggerated relative to lithosphere to accommodate detail. </w:t>
      </w:r>
      <w:r w:rsidRPr="001C1FD2">
        <w:rPr>
          <w:rFonts w:ascii="Arial" w:eastAsia="Times New Roman" w:hAnsi="Arial" w:cs="Arial"/>
          <w:b/>
          <w:bCs/>
          <w:sz w:val="20"/>
          <w:szCs w:val="20"/>
        </w:rPr>
        <w:t>Fig</w:t>
      </w:r>
      <w:r w:rsidRPr="002C381C">
        <w:rPr>
          <w:rFonts w:ascii="Arial" w:eastAsia="Times New Roman" w:hAnsi="Arial" w:cs="Arial"/>
          <w:b/>
          <w:bCs/>
          <w:sz w:val="20"/>
          <w:szCs w:val="20"/>
        </w:rPr>
        <w:t xml:space="preserve">ure </w:t>
      </w:r>
      <w:r w:rsidRPr="008D29E0">
        <w:rPr>
          <w:rFonts w:ascii="Arial" w:eastAsia="Times New Roman" w:hAnsi="Arial" w:cs="Arial"/>
          <w:b/>
          <w:bCs/>
          <w:sz w:val="20"/>
          <w:szCs w:val="20"/>
        </w:rPr>
        <w:t xml:space="preserve">adapted from Groves et al., (1987) and Groves </w:t>
      </w:r>
      <w:r w:rsidR="00FE123F" w:rsidRPr="008D29E0">
        <w:rPr>
          <w:rFonts w:ascii="Arial" w:eastAsia="Times New Roman" w:hAnsi="Arial" w:cs="Arial"/>
          <w:b/>
          <w:bCs/>
          <w:sz w:val="20"/>
          <w:szCs w:val="20"/>
        </w:rPr>
        <w:t>&amp;</w:t>
      </w:r>
      <w:r w:rsidRPr="008D29E0">
        <w:rPr>
          <w:rFonts w:ascii="Arial" w:eastAsia="Times New Roman" w:hAnsi="Arial" w:cs="Arial"/>
          <w:b/>
          <w:bCs/>
          <w:sz w:val="20"/>
          <w:szCs w:val="20"/>
        </w:rPr>
        <w:t xml:space="preserve"> Bierlein (2007)</w:t>
      </w:r>
    </w:p>
    <w:p w14:paraId="69E023CA" w14:textId="77777777" w:rsidR="003457A0" w:rsidRDefault="003457A0" w:rsidP="001C1FD2">
      <w:pPr>
        <w:spacing w:after="0" w:line="240" w:lineRule="auto"/>
        <w:contextualSpacing/>
        <w:jc w:val="both"/>
        <w:rPr>
          <w:rFonts w:ascii="Arial" w:eastAsia="Times New Roman" w:hAnsi="Arial" w:cs="Arial"/>
          <w:bCs/>
          <w:sz w:val="20"/>
          <w:szCs w:val="20"/>
        </w:rPr>
        <w:sectPr w:rsidR="003457A0" w:rsidSect="001C1FD2">
          <w:type w:val="continuous"/>
          <w:pgSz w:w="11909" w:h="16834" w:code="9"/>
          <w:pgMar w:top="1440" w:right="1440" w:bottom="1440" w:left="1440" w:header="720" w:footer="864" w:gutter="0"/>
          <w:cols w:space="720"/>
          <w:docGrid w:linePitch="360"/>
        </w:sectPr>
      </w:pPr>
    </w:p>
    <w:p w14:paraId="3072B781" w14:textId="77777777" w:rsidR="001C1FD2" w:rsidRDefault="001C1FD2" w:rsidP="001C1FD2">
      <w:pPr>
        <w:spacing w:after="0" w:line="240" w:lineRule="auto"/>
        <w:contextualSpacing/>
        <w:jc w:val="both"/>
        <w:rPr>
          <w:rFonts w:ascii="Arial" w:eastAsia="Times New Roman" w:hAnsi="Arial" w:cs="Arial"/>
          <w:bCs/>
          <w:sz w:val="20"/>
          <w:szCs w:val="20"/>
        </w:rPr>
      </w:pPr>
      <w:r w:rsidRPr="002C381C">
        <w:rPr>
          <w:rFonts w:ascii="Arial" w:eastAsia="Times New Roman" w:hAnsi="Arial" w:cs="Arial"/>
          <w:bCs/>
          <w:sz w:val="20"/>
          <w:szCs w:val="20"/>
        </w:rPr>
        <w:t xml:space="preserve">In the Indian Context, </w:t>
      </w:r>
      <w:proofErr w:type="spellStart"/>
      <w:r w:rsidRPr="002C381C">
        <w:rPr>
          <w:rFonts w:ascii="Arial" w:eastAsia="Times New Roman" w:hAnsi="Arial" w:cs="Arial"/>
          <w:bCs/>
          <w:sz w:val="20"/>
          <w:szCs w:val="20"/>
        </w:rPr>
        <w:t>Bhukia</w:t>
      </w:r>
      <w:proofErr w:type="spellEnd"/>
      <w:r w:rsidRPr="002C381C">
        <w:rPr>
          <w:rFonts w:ascii="Arial" w:eastAsia="Times New Roman" w:hAnsi="Arial" w:cs="Arial"/>
          <w:bCs/>
          <w:sz w:val="20"/>
          <w:szCs w:val="20"/>
        </w:rPr>
        <w:t xml:space="preserve"> Gold prospect, </w:t>
      </w:r>
      <w:r w:rsidRPr="00B31EC3">
        <w:rPr>
          <w:rFonts w:ascii="Arial" w:eastAsia="Times New Roman" w:hAnsi="Arial" w:cs="Arial"/>
          <w:bCs/>
          <w:sz w:val="20"/>
          <w:szCs w:val="20"/>
        </w:rPr>
        <w:t>(</w:t>
      </w:r>
      <w:r w:rsidRPr="002C381C">
        <w:rPr>
          <w:rFonts w:ascii="Arial" w:eastAsia="Times New Roman" w:hAnsi="Arial" w:cs="Arial"/>
          <w:bCs/>
          <w:sz w:val="20"/>
          <w:szCs w:val="20"/>
        </w:rPr>
        <w:t>Rahul Mukherjee, et. al., 2016</w:t>
      </w:r>
      <w:r>
        <w:rPr>
          <w:rFonts w:ascii="Arial" w:eastAsia="Times New Roman" w:hAnsi="Arial" w:cs="Arial"/>
          <w:bCs/>
          <w:sz w:val="20"/>
          <w:szCs w:val="20"/>
        </w:rPr>
        <w:t>;</w:t>
      </w:r>
      <w:r w:rsidRPr="002C381C">
        <w:rPr>
          <w:rFonts w:ascii="Arial" w:eastAsia="Times New Roman" w:hAnsi="Arial" w:cs="Arial"/>
          <w:bCs/>
          <w:sz w:val="20"/>
          <w:szCs w:val="20"/>
        </w:rPr>
        <w:t xml:space="preserve"> 2017) and </w:t>
      </w:r>
      <w:proofErr w:type="spellStart"/>
      <w:r w:rsidRPr="002C381C">
        <w:rPr>
          <w:rFonts w:ascii="Arial" w:eastAsia="Times New Roman" w:hAnsi="Arial" w:cs="Arial"/>
          <w:bCs/>
          <w:sz w:val="20"/>
          <w:szCs w:val="20"/>
        </w:rPr>
        <w:t>Khetri</w:t>
      </w:r>
      <w:proofErr w:type="spellEnd"/>
      <w:r w:rsidRPr="002C381C">
        <w:rPr>
          <w:rFonts w:ascii="Arial" w:eastAsia="Times New Roman" w:hAnsi="Arial" w:cs="Arial"/>
          <w:bCs/>
          <w:sz w:val="20"/>
          <w:szCs w:val="20"/>
        </w:rPr>
        <w:t xml:space="preserve"> Copper deposit in Rajasthan, </w:t>
      </w:r>
      <w:r w:rsidRPr="00B31EC3">
        <w:rPr>
          <w:rFonts w:ascii="Arial" w:eastAsia="Times New Roman" w:hAnsi="Arial" w:cs="Arial"/>
          <w:bCs/>
          <w:sz w:val="20"/>
          <w:szCs w:val="20"/>
        </w:rPr>
        <w:t>(</w:t>
      </w:r>
      <w:r w:rsidRPr="002C381C">
        <w:rPr>
          <w:rFonts w:ascii="Arial" w:eastAsia="Times New Roman" w:hAnsi="Arial" w:cs="Arial"/>
          <w:bCs/>
          <w:sz w:val="20"/>
          <w:szCs w:val="20"/>
        </w:rPr>
        <w:t>Dasgupta, 1970</w:t>
      </w:r>
      <w:r>
        <w:rPr>
          <w:rFonts w:ascii="Arial" w:eastAsia="Times New Roman" w:hAnsi="Arial" w:cs="Arial"/>
          <w:bCs/>
          <w:sz w:val="20"/>
          <w:szCs w:val="20"/>
        </w:rPr>
        <w:t>;</w:t>
      </w:r>
      <w:r w:rsidRPr="002C381C">
        <w:rPr>
          <w:rFonts w:ascii="Arial" w:eastAsia="Times New Roman" w:hAnsi="Arial" w:cs="Arial"/>
          <w:bCs/>
          <w:sz w:val="20"/>
          <w:szCs w:val="20"/>
        </w:rPr>
        <w:t xml:space="preserve"> Knight et al., 2002</w:t>
      </w:r>
      <w:r>
        <w:rPr>
          <w:rFonts w:ascii="Arial" w:eastAsia="Times New Roman" w:hAnsi="Arial" w:cs="Arial"/>
          <w:bCs/>
          <w:sz w:val="20"/>
          <w:szCs w:val="20"/>
        </w:rPr>
        <w:t>;</w:t>
      </w:r>
      <w:r w:rsidRPr="002C381C">
        <w:rPr>
          <w:rFonts w:ascii="Arial" w:eastAsia="Times New Roman" w:hAnsi="Arial" w:cs="Arial"/>
          <w:bCs/>
          <w:sz w:val="20"/>
          <w:szCs w:val="20"/>
        </w:rPr>
        <w:t xml:space="preserve"> Li et al., 2019</w:t>
      </w:r>
      <w:r>
        <w:rPr>
          <w:rFonts w:ascii="Arial" w:eastAsia="Times New Roman" w:hAnsi="Arial" w:cs="Arial"/>
          <w:bCs/>
          <w:sz w:val="20"/>
          <w:szCs w:val="20"/>
        </w:rPr>
        <w:t>;</w:t>
      </w:r>
      <w:r w:rsidRPr="002C381C">
        <w:rPr>
          <w:rFonts w:ascii="Arial" w:eastAsia="Times New Roman" w:hAnsi="Arial" w:cs="Arial"/>
          <w:bCs/>
          <w:sz w:val="20"/>
          <w:szCs w:val="20"/>
        </w:rPr>
        <w:t xml:space="preserve"> Zhu, 2016</w:t>
      </w:r>
      <w:r>
        <w:rPr>
          <w:rFonts w:ascii="Arial" w:eastAsia="Times New Roman" w:hAnsi="Arial" w:cs="Arial"/>
          <w:bCs/>
          <w:sz w:val="20"/>
          <w:szCs w:val="20"/>
        </w:rPr>
        <w:t>;</w:t>
      </w:r>
      <w:r w:rsidRPr="002C381C">
        <w:rPr>
          <w:rFonts w:ascii="Arial" w:eastAsia="Times New Roman" w:hAnsi="Arial" w:cs="Arial"/>
          <w:bCs/>
          <w:sz w:val="20"/>
          <w:szCs w:val="20"/>
        </w:rPr>
        <w:t xml:space="preserve"> </w:t>
      </w:r>
      <w:r w:rsidRPr="002C381C">
        <w:rPr>
          <w:rFonts w:ascii="Arial" w:eastAsia="Times New Roman" w:hAnsi="Arial" w:cs="Arial"/>
          <w:bCs/>
          <w:sz w:val="20"/>
          <w:szCs w:val="20"/>
        </w:rPr>
        <w:t>Baidya et al., 2021</w:t>
      </w:r>
      <w:r>
        <w:rPr>
          <w:rFonts w:ascii="Arial" w:eastAsia="Times New Roman" w:hAnsi="Arial" w:cs="Arial"/>
          <w:bCs/>
          <w:sz w:val="20"/>
          <w:szCs w:val="20"/>
        </w:rPr>
        <w:t>;</w:t>
      </w:r>
      <w:r w:rsidRPr="002C381C">
        <w:rPr>
          <w:rFonts w:ascii="Arial" w:eastAsia="Times New Roman" w:hAnsi="Arial" w:cs="Arial"/>
          <w:bCs/>
          <w:sz w:val="20"/>
          <w:szCs w:val="20"/>
        </w:rPr>
        <w:t xml:space="preserve"> 2023) and </w:t>
      </w:r>
      <w:proofErr w:type="spellStart"/>
      <w:r w:rsidRPr="002C381C">
        <w:rPr>
          <w:rFonts w:ascii="Arial" w:eastAsia="Times New Roman" w:hAnsi="Arial" w:cs="Arial"/>
          <w:bCs/>
          <w:sz w:val="20"/>
          <w:szCs w:val="20"/>
        </w:rPr>
        <w:t>Thanewasna</w:t>
      </w:r>
      <w:proofErr w:type="spellEnd"/>
      <w:r w:rsidRPr="002C381C">
        <w:rPr>
          <w:rFonts w:ascii="Arial" w:eastAsia="Times New Roman" w:hAnsi="Arial" w:cs="Arial"/>
          <w:bCs/>
          <w:sz w:val="20"/>
          <w:szCs w:val="20"/>
        </w:rPr>
        <w:t xml:space="preserve"> Gold copper association in Maharashtra are classified as IOCG </w:t>
      </w:r>
      <w:r w:rsidRPr="00B31EC3">
        <w:rPr>
          <w:rFonts w:ascii="Arial" w:eastAsia="Times New Roman" w:hAnsi="Arial" w:cs="Arial"/>
          <w:bCs/>
          <w:sz w:val="20"/>
          <w:szCs w:val="20"/>
        </w:rPr>
        <w:t>(</w:t>
      </w:r>
      <w:r w:rsidRPr="002C381C">
        <w:rPr>
          <w:rFonts w:ascii="Arial" w:eastAsia="Times New Roman" w:hAnsi="Arial" w:cs="Arial"/>
          <w:bCs/>
          <w:sz w:val="20"/>
          <w:szCs w:val="20"/>
        </w:rPr>
        <w:t xml:space="preserve">Dora et al 2016). The area under study has enrichment of Cu as one of the commodities </w:t>
      </w:r>
      <w:r w:rsidRPr="00B31EC3">
        <w:rPr>
          <w:rFonts w:ascii="Arial" w:eastAsia="Times New Roman" w:hAnsi="Arial" w:cs="Arial"/>
          <w:bCs/>
          <w:sz w:val="20"/>
          <w:szCs w:val="20"/>
        </w:rPr>
        <w:lastRenderedPageBreak/>
        <w:t>(</w:t>
      </w:r>
      <w:r w:rsidRPr="002C381C">
        <w:rPr>
          <w:rFonts w:ascii="Arial" w:eastAsia="Times New Roman" w:hAnsi="Arial" w:cs="Arial"/>
          <w:bCs/>
          <w:sz w:val="20"/>
          <w:szCs w:val="20"/>
        </w:rPr>
        <w:t xml:space="preserve">Singh </w:t>
      </w:r>
      <w:r>
        <w:rPr>
          <w:rFonts w:ascii="Arial" w:eastAsia="Times New Roman" w:hAnsi="Arial" w:cs="Arial"/>
          <w:bCs/>
          <w:sz w:val="20"/>
          <w:szCs w:val="20"/>
        </w:rPr>
        <w:t>&amp;</w:t>
      </w:r>
      <w:r w:rsidRPr="002C381C">
        <w:rPr>
          <w:rFonts w:ascii="Arial" w:eastAsia="Times New Roman" w:hAnsi="Arial" w:cs="Arial"/>
          <w:bCs/>
          <w:sz w:val="20"/>
          <w:szCs w:val="20"/>
        </w:rPr>
        <w:t xml:space="preserve"> Karunakaran, 2017) with reported Cu values of up to 1.30%, for 1 km strike length of </w:t>
      </w:r>
      <w:proofErr w:type="spellStart"/>
      <w:r w:rsidRPr="002C381C">
        <w:rPr>
          <w:rFonts w:ascii="Arial" w:eastAsia="Times New Roman" w:hAnsi="Arial" w:cs="Arial"/>
          <w:bCs/>
          <w:sz w:val="20"/>
          <w:szCs w:val="20"/>
        </w:rPr>
        <w:t>mineralised</w:t>
      </w:r>
      <w:proofErr w:type="spellEnd"/>
      <w:r w:rsidRPr="002C381C">
        <w:rPr>
          <w:rFonts w:ascii="Arial" w:eastAsia="Times New Roman" w:hAnsi="Arial" w:cs="Arial"/>
          <w:bCs/>
          <w:sz w:val="20"/>
          <w:szCs w:val="20"/>
        </w:rPr>
        <w:t xml:space="preserve"> zone. Another element Iron also is concentrated as a commercially viable mineral here with Fe2O3 values ranging up to 52% from the area. Minor enrichment of Cr and V </w:t>
      </w:r>
      <w:r w:rsidRPr="00B31EC3">
        <w:rPr>
          <w:rFonts w:ascii="Arial" w:eastAsia="Times New Roman" w:hAnsi="Arial" w:cs="Arial"/>
          <w:bCs/>
          <w:sz w:val="20"/>
          <w:szCs w:val="20"/>
        </w:rPr>
        <w:t>(</w:t>
      </w:r>
      <w:r w:rsidRPr="001C1FD2">
        <w:rPr>
          <w:rFonts w:ascii="Arial" w:eastAsia="Times New Roman" w:hAnsi="Arial" w:cs="Arial"/>
          <w:bCs/>
          <w:sz w:val="20"/>
          <w:szCs w:val="20"/>
        </w:rPr>
        <w:t>Table</w:t>
      </w:r>
      <w:r w:rsidRPr="002C381C">
        <w:rPr>
          <w:rFonts w:ascii="Arial" w:eastAsia="Times New Roman" w:hAnsi="Arial" w:cs="Arial"/>
          <w:bCs/>
          <w:sz w:val="20"/>
          <w:szCs w:val="20"/>
        </w:rPr>
        <w:t xml:space="preserve"> 3) has also been observed in the study area. It is very interesting to note here that the Fe/Ti ratio in the prospect ranges from 37.95 to 87.27</w:t>
      </w:r>
      <w:r>
        <w:rPr>
          <w:rFonts w:ascii="Arial" w:eastAsia="Times New Roman" w:hAnsi="Arial" w:cs="Arial"/>
          <w:bCs/>
          <w:sz w:val="20"/>
          <w:szCs w:val="20"/>
        </w:rPr>
        <w:t xml:space="preserve"> </w:t>
      </w:r>
      <w:r w:rsidRPr="00B31EC3">
        <w:rPr>
          <w:rFonts w:ascii="Arial" w:eastAsia="Times New Roman" w:hAnsi="Arial" w:cs="Arial"/>
          <w:bCs/>
          <w:sz w:val="20"/>
          <w:szCs w:val="20"/>
        </w:rPr>
        <w:t>(</w:t>
      </w:r>
      <w:r w:rsidRPr="001C1FD2">
        <w:rPr>
          <w:rFonts w:ascii="Arial" w:eastAsia="Times New Roman" w:hAnsi="Arial" w:cs="Arial"/>
          <w:bCs/>
          <w:sz w:val="20"/>
          <w:szCs w:val="20"/>
        </w:rPr>
        <w:t>Table</w:t>
      </w:r>
      <w:r w:rsidRPr="002C381C">
        <w:rPr>
          <w:rFonts w:ascii="Arial" w:eastAsia="Times New Roman" w:hAnsi="Arial" w:cs="Arial"/>
          <w:bCs/>
          <w:sz w:val="20"/>
          <w:szCs w:val="20"/>
        </w:rPr>
        <w:t xml:space="preserve"> 3), which is certainly higher than the volcanic rocks, hence qualifying the third criteria also. The petrographic studies of the </w:t>
      </w:r>
      <w:proofErr w:type="spellStart"/>
      <w:r w:rsidRPr="002C381C">
        <w:rPr>
          <w:rFonts w:ascii="Arial" w:eastAsia="Times New Roman" w:hAnsi="Arial" w:cs="Arial"/>
          <w:bCs/>
          <w:sz w:val="20"/>
          <w:szCs w:val="20"/>
        </w:rPr>
        <w:t>mineralised</w:t>
      </w:r>
      <w:proofErr w:type="spellEnd"/>
      <w:r w:rsidRPr="002C381C">
        <w:rPr>
          <w:rFonts w:ascii="Arial" w:eastAsia="Times New Roman" w:hAnsi="Arial" w:cs="Arial"/>
          <w:bCs/>
          <w:sz w:val="20"/>
          <w:szCs w:val="20"/>
        </w:rPr>
        <w:t xml:space="preserve"> host rock from the area carried out at GSI Lab. Jaipur have confirmed the presence of Pyrite-Hematite-Magnetite and chalcopyrite, besides confirming the hydrothermal nature of </w:t>
      </w:r>
      <w:proofErr w:type="spellStart"/>
      <w:r w:rsidRPr="002C381C">
        <w:rPr>
          <w:rFonts w:ascii="Arial" w:eastAsia="Times New Roman" w:hAnsi="Arial" w:cs="Arial"/>
          <w:bCs/>
          <w:sz w:val="20"/>
          <w:szCs w:val="20"/>
        </w:rPr>
        <w:t>mineralisation</w:t>
      </w:r>
      <w:proofErr w:type="spellEnd"/>
      <w:r w:rsidRPr="002C381C">
        <w:rPr>
          <w:rFonts w:ascii="Arial" w:eastAsia="Times New Roman" w:hAnsi="Arial" w:cs="Arial"/>
          <w:bCs/>
          <w:sz w:val="20"/>
          <w:szCs w:val="20"/>
        </w:rPr>
        <w:t xml:space="preserve"> </w:t>
      </w:r>
      <w:r w:rsidRPr="00B31EC3">
        <w:rPr>
          <w:rFonts w:ascii="Arial" w:eastAsia="Times New Roman" w:hAnsi="Arial" w:cs="Arial"/>
          <w:bCs/>
          <w:sz w:val="20"/>
          <w:szCs w:val="20"/>
        </w:rPr>
        <w:t>(</w:t>
      </w:r>
      <w:r w:rsidRPr="001C1FD2">
        <w:rPr>
          <w:rFonts w:ascii="Arial" w:eastAsia="Times New Roman" w:hAnsi="Arial" w:cs="Arial"/>
          <w:bCs/>
          <w:sz w:val="20"/>
          <w:szCs w:val="20"/>
        </w:rPr>
        <w:t>Fig</w:t>
      </w:r>
      <w:r w:rsidRPr="002C381C">
        <w:rPr>
          <w:rFonts w:ascii="Arial" w:eastAsia="Times New Roman" w:hAnsi="Arial" w:cs="Arial"/>
          <w:bCs/>
          <w:sz w:val="20"/>
          <w:szCs w:val="20"/>
        </w:rPr>
        <w:t>s. 3 A, B &amp;C).</w:t>
      </w:r>
    </w:p>
    <w:p w14:paraId="3BF691BA" w14:textId="77777777" w:rsidR="001C1FD2" w:rsidRDefault="001C1FD2" w:rsidP="001C1FD2">
      <w:pPr>
        <w:spacing w:after="0" w:line="240" w:lineRule="auto"/>
        <w:contextualSpacing/>
        <w:jc w:val="both"/>
        <w:rPr>
          <w:rFonts w:ascii="Arial" w:eastAsia="Times New Roman" w:hAnsi="Arial" w:cs="Arial"/>
          <w:bCs/>
          <w:sz w:val="20"/>
          <w:szCs w:val="20"/>
        </w:rPr>
      </w:pPr>
    </w:p>
    <w:p w14:paraId="093250FF" w14:textId="11953BB6" w:rsidR="001C1FD2" w:rsidRPr="002C381C" w:rsidRDefault="001C1FD2" w:rsidP="001C1FD2">
      <w:pPr>
        <w:spacing w:after="0" w:line="240" w:lineRule="auto"/>
        <w:contextualSpacing/>
        <w:jc w:val="both"/>
        <w:rPr>
          <w:rFonts w:ascii="Arial" w:eastAsia="Times New Roman" w:hAnsi="Arial" w:cs="Arial"/>
          <w:b/>
          <w:bCs/>
          <w:sz w:val="20"/>
          <w:szCs w:val="20"/>
        </w:rPr>
      </w:pPr>
      <w:r w:rsidRPr="002C381C">
        <w:rPr>
          <w:rFonts w:ascii="Arial" w:eastAsia="Times New Roman" w:hAnsi="Arial" w:cs="Arial"/>
          <w:bCs/>
          <w:sz w:val="20"/>
          <w:szCs w:val="20"/>
        </w:rPr>
        <w:t xml:space="preserve">The modal </w:t>
      </w:r>
      <w:r w:rsidRPr="00B31EC3">
        <w:rPr>
          <w:rFonts w:ascii="Arial" w:eastAsia="Times New Roman" w:hAnsi="Arial" w:cs="Arial"/>
          <w:bCs/>
          <w:sz w:val="20"/>
          <w:szCs w:val="20"/>
        </w:rPr>
        <w:t>(</w:t>
      </w:r>
      <w:r w:rsidRPr="001C1FD2">
        <w:rPr>
          <w:rFonts w:ascii="Arial" w:eastAsia="Times New Roman" w:hAnsi="Arial" w:cs="Arial"/>
          <w:bCs/>
          <w:sz w:val="20"/>
          <w:szCs w:val="20"/>
        </w:rPr>
        <w:t>Fig</w:t>
      </w:r>
      <w:r w:rsidRPr="002C381C">
        <w:rPr>
          <w:rFonts w:ascii="Arial" w:eastAsia="Times New Roman" w:hAnsi="Arial" w:cs="Arial"/>
          <w:bCs/>
          <w:sz w:val="20"/>
          <w:szCs w:val="20"/>
        </w:rPr>
        <w:t>. 4) suggests the occurrences of IOCG deposits/</w:t>
      </w:r>
      <w:proofErr w:type="spellStart"/>
      <w:r w:rsidRPr="002C381C">
        <w:rPr>
          <w:rFonts w:ascii="Arial" w:eastAsia="Times New Roman" w:hAnsi="Arial" w:cs="Arial"/>
          <w:bCs/>
          <w:sz w:val="20"/>
          <w:szCs w:val="20"/>
        </w:rPr>
        <w:t>mineralisation</w:t>
      </w:r>
      <w:proofErr w:type="spellEnd"/>
      <w:r w:rsidRPr="002C381C">
        <w:rPr>
          <w:rFonts w:ascii="Arial" w:eastAsia="Times New Roman" w:hAnsi="Arial" w:cs="Arial"/>
          <w:bCs/>
          <w:sz w:val="20"/>
          <w:szCs w:val="20"/>
        </w:rPr>
        <w:t xml:space="preserve"> or the </w:t>
      </w:r>
      <w:proofErr w:type="spellStart"/>
      <w:r w:rsidRPr="002C381C">
        <w:rPr>
          <w:rFonts w:ascii="Arial" w:eastAsia="Times New Roman" w:hAnsi="Arial" w:cs="Arial"/>
          <w:bCs/>
          <w:sz w:val="20"/>
          <w:szCs w:val="20"/>
        </w:rPr>
        <w:t>mineralising</w:t>
      </w:r>
      <w:proofErr w:type="spellEnd"/>
      <w:r w:rsidRPr="002C381C">
        <w:rPr>
          <w:rFonts w:ascii="Arial" w:eastAsia="Times New Roman" w:hAnsi="Arial" w:cs="Arial"/>
          <w:bCs/>
          <w:sz w:val="20"/>
          <w:szCs w:val="20"/>
        </w:rPr>
        <w:t xml:space="preserve"> system in the Precambrian where extensional tectonics was the rule. The Aravalli and Delhi basins were opened up as rift basins during the same period and provide the litho-tectonic environment </w:t>
      </w:r>
      <w:proofErr w:type="spellStart"/>
      <w:r w:rsidRPr="002C381C">
        <w:rPr>
          <w:rFonts w:ascii="Arial" w:eastAsia="Times New Roman" w:hAnsi="Arial" w:cs="Arial"/>
          <w:bCs/>
          <w:sz w:val="20"/>
          <w:szCs w:val="20"/>
        </w:rPr>
        <w:t>favourable</w:t>
      </w:r>
      <w:proofErr w:type="spellEnd"/>
      <w:r w:rsidRPr="002C381C">
        <w:rPr>
          <w:rFonts w:ascii="Arial" w:eastAsia="Times New Roman" w:hAnsi="Arial" w:cs="Arial"/>
          <w:bCs/>
          <w:sz w:val="20"/>
          <w:szCs w:val="20"/>
        </w:rPr>
        <w:t xml:space="preserve"> for occurrence of IOCG setup. Sinha Roy </w:t>
      </w:r>
      <w:r w:rsidRPr="00B31EC3">
        <w:rPr>
          <w:rFonts w:ascii="Arial" w:eastAsia="Times New Roman" w:hAnsi="Arial" w:cs="Arial"/>
          <w:bCs/>
          <w:sz w:val="20"/>
          <w:szCs w:val="20"/>
        </w:rPr>
        <w:t>(</w:t>
      </w:r>
      <w:r w:rsidRPr="002C381C">
        <w:rPr>
          <w:rFonts w:ascii="Arial" w:eastAsia="Times New Roman" w:hAnsi="Arial" w:cs="Arial"/>
          <w:bCs/>
          <w:sz w:val="20"/>
          <w:szCs w:val="20"/>
        </w:rPr>
        <w:t xml:space="preserve">1984, 1988 and 2000) gave detailed account of tectonics by invoking Wilson cycle in Rajasthan and related various </w:t>
      </w:r>
      <w:proofErr w:type="spellStart"/>
      <w:r w:rsidRPr="002C381C">
        <w:rPr>
          <w:rFonts w:ascii="Arial" w:eastAsia="Times New Roman" w:hAnsi="Arial" w:cs="Arial"/>
          <w:bCs/>
          <w:sz w:val="20"/>
          <w:szCs w:val="20"/>
        </w:rPr>
        <w:t>metallotects</w:t>
      </w:r>
      <w:proofErr w:type="spellEnd"/>
      <w:r w:rsidRPr="002C381C">
        <w:rPr>
          <w:rFonts w:ascii="Arial" w:eastAsia="Times New Roman" w:hAnsi="Arial" w:cs="Arial"/>
          <w:bCs/>
          <w:sz w:val="20"/>
          <w:szCs w:val="20"/>
        </w:rPr>
        <w:t xml:space="preserve"> to the tectonics. He postulated that the </w:t>
      </w:r>
      <w:proofErr w:type="spellStart"/>
      <w:r w:rsidRPr="002C381C">
        <w:rPr>
          <w:rFonts w:ascii="Arial" w:eastAsia="Times New Roman" w:hAnsi="Arial" w:cs="Arial"/>
          <w:bCs/>
          <w:sz w:val="20"/>
          <w:szCs w:val="20"/>
        </w:rPr>
        <w:t>Khetri</w:t>
      </w:r>
      <w:proofErr w:type="spellEnd"/>
      <w:r w:rsidRPr="002C381C">
        <w:rPr>
          <w:rFonts w:ascii="Arial" w:eastAsia="Times New Roman" w:hAnsi="Arial" w:cs="Arial"/>
          <w:bCs/>
          <w:sz w:val="20"/>
          <w:szCs w:val="20"/>
        </w:rPr>
        <w:t xml:space="preserve"> basin was opened up with the opening up of the Delhi main basin in southern part while it was separated by </w:t>
      </w:r>
      <w:proofErr w:type="spellStart"/>
      <w:r w:rsidRPr="002C381C">
        <w:rPr>
          <w:rFonts w:ascii="Arial" w:eastAsia="Times New Roman" w:hAnsi="Arial" w:cs="Arial"/>
          <w:bCs/>
          <w:sz w:val="20"/>
          <w:szCs w:val="20"/>
        </w:rPr>
        <w:t>Dausa</w:t>
      </w:r>
      <w:proofErr w:type="spellEnd"/>
      <w:r w:rsidRPr="002C381C">
        <w:rPr>
          <w:rFonts w:ascii="Arial" w:eastAsia="Times New Roman" w:hAnsi="Arial" w:cs="Arial"/>
          <w:bCs/>
          <w:sz w:val="20"/>
          <w:szCs w:val="20"/>
        </w:rPr>
        <w:t xml:space="preserve"> Sambhar lineament from the main Delhi basin. This was followed by opening up of Alwar-</w:t>
      </w:r>
      <w:proofErr w:type="spellStart"/>
      <w:r w:rsidRPr="002C381C">
        <w:rPr>
          <w:rFonts w:ascii="Arial" w:eastAsia="Times New Roman" w:hAnsi="Arial" w:cs="Arial"/>
          <w:bCs/>
          <w:sz w:val="20"/>
          <w:szCs w:val="20"/>
        </w:rPr>
        <w:t>Ajabgarh</w:t>
      </w:r>
      <w:proofErr w:type="spellEnd"/>
      <w:r w:rsidRPr="002C381C">
        <w:rPr>
          <w:rFonts w:ascii="Arial" w:eastAsia="Times New Roman" w:hAnsi="Arial" w:cs="Arial"/>
          <w:bCs/>
          <w:sz w:val="20"/>
          <w:szCs w:val="20"/>
        </w:rPr>
        <w:t>-</w:t>
      </w:r>
      <w:proofErr w:type="spellStart"/>
      <w:r w:rsidRPr="002C381C">
        <w:rPr>
          <w:rFonts w:ascii="Arial" w:eastAsia="Times New Roman" w:hAnsi="Arial" w:cs="Arial"/>
          <w:bCs/>
          <w:sz w:val="20"/>
          <w:szCs w:val="20"/>
        </w:rPr>
        <w:t>Lalsot</w:t>
      </w:r>
      <w:proofErr w:type="spellEnd"/>
      <w:r w:rsidRPr="002C381C">
        <w:rPr>
          <w:rFonts w:ascii="Arial" w:eastAsia="Times New Roman" w:hAnsi="Arial" w:cs="Arial"/>
          <w:bCs/>
          <w:sz w:val="20"/>
          <w:szCs w:val="20"/>
        </w:rPr>
        <w:t xml:space="preserve"> </w:t>
      </w:r>
      <w:proofErr w:type="spellStart"/>
      <w:r w:rsidRPr="002C381C">
        <w:rPr>
          <w:rFonts w:ascii="Arial" w:eastAsia="Times New Roman" w:hAnsi="Arial" w:cs="Arial"/>
          <w:bCs/>
          <w:sz w:val="20"/>
          <w:szCs w:val="20"/>
        </w:rPr>
        <w:t>bayana</w:t>
      </w:r>
      <w:proofErr w:type="spellEnd"/>
      <w:r w:rsidRPr="002C381C">
        <w:rPr>
          <w:rFonts w:ascii="Arial" w:eastAsia="Times New Roman" w:hAnsi="Arial" w:cs="Arial"/>
          <w:bCs/>
          <w:sz w:val="20"/>
          <w:szCs w:val="20"/>
        </w:rPr>
        <w:t xml:space="preserve"> basin. Singh </w:t>
      </w:r>
      <w:r w:rsidRPr="00B31EC3">
        <w:rPr>
          <w:rFonts w:ascii="Arial" w:eastAsia="Times New Roman" w:hAnsi="Arial" w:cs="Arial"/>
          <w:bCs/>
          <w:sz w:val="20"/>
          <w:szCs w:val="20"/>
        </w:rPr>
        <w:t>(</w:t>
      </w:r>
      <w:r w:rsidRPr="002C381C">
        <w:rPr>
          <w:rFonts w:ascii="Arial" w:eastAsia="Times New Roman" w:hAnsi="Arial" w:cs="Arial"/>
          <w:bCs/>
          <w:sz w:val="20"/>
          <w:szCs w:val="20"/>
        </w:rPr>
        <w:t xml:space="preserve">1987) classified these basins as sub-basins of North Delhi Basin based on the depositional and lithostratigraphic characteristics. He suggested </w:t>
      </w:r>
      <w:proofErr w:type="spellStart"/>
      <w:r w:rsidRPr="002C381C">
        <w:rPr>
          <w:rFonts w:ascii="Arial" w:eastAsia="Times New Roman" w:hAnsi="Arial" w:cs="Arial"/>
          <w:bCs/>
          <w:sz w:val="20"/>
          <w:szCs w:val="20"/>
        </w:rPr>
        <w:t>Lalsot</w:t>
      </w:r>
      <w:proofErr w:type="spellEnd"/>
      <w:r w:rsidRPr="002C381C">
        <w:rPr>
          <w:rFonts w:ascii="Arial" w:eastAsia="Times New Roman" w:hAnsi="Arial" w:cs="Arial"/>
          <w:bCs/>
          <w:sz w:val="20"/>
          <w:szCs w:val="20"/>
        </w:rPr>
        <w:t xml:space="preserve"> </w:t>
      </w:r>
      <w:proofErr w:type="spellStart"/>
      <w:r w:rsidRPr="002C381C">
        <w:rPr>
          <w:rFonts w:ascii="Arial" w:eastAsia="Times New Roman" w:hAnsi="Arial" w:cs="Arial"/>
          <w:bCs/>
          <w:sz w:val="20"/>
          <w:szCs w:val="20"/>
        </w:rPr>
        <w:t>Bayana</w:t>
      </w:r>
      <w:proofErr w:type="spellEnd"/>
      <w:r w:rsidRPr="002C381C">
        <w:rPr>
          <w:rFonts w:ascii="Arial" w:eastAsia="Times New Roman" w:hAnsi="Arial" w:cs="Arial"/>
          <w:bCs/>
          <w:sz w:val="20"/>
          <w:szCs w:val="20"/>
        </w:rPr>
        <w:t xml:space="preserve"> basin as the </w:t>
      </w:r>
      <w:proofErr w:type="spellStart"/>
      <w:r w:rsidRPr="002C381C">
        <w:rPr>
          <w:rFonts w:ascii="Arial" w:eastAsia="Times New Roman" w:hAnsi="Arial" w:cs="Arial"/>
          <w:bCs/>
          <w:sz w:val="20"/>
          <w:szCs w:val="20"/>
        </w:rPr>
        <w:t>fluvio</w:t>
      </w:r>
      <w:proofErr w:type="spellEnd"/>
      <w:r w:rsidRPr="002C381C">
        <w:rPr>
          <w:rFonts w:ascii="Arial" w:eastAsia="Times New Roman" w:hAnsi="Arial" w:cs="Arial"/>
          <w:bCs/>
          <w:sz w:val="20"/>
          <w:szCs w:val="20"/>
        </w:rPr>
        <w:t xml:space="preserve"> marine depositional facies while the </w:t>
      </w:r>
      <w:proofErr w:type="spellStart"/>
      <w:r w:rsidRPr="002C381C">
        <w:rPr>
          <w:rFonts w:ascii="Arial" w:eastAsia="Times New Roman" w:hAnsi="Arial" w:cs="Arial"/>
          <w:bCs/>
          <w:sz w:val="20"/>
          <w:szCs w:val="20"/>
        </w:rPr>
        <w:t>Khetri</w:t>
      </w:r>
      <w:proofErr w:type="spellEnd"/>
      <w:r w:rsidRPr="002C381C">
        <w:rPr>
          <w:rFonts w:ascii="Arial" w:eastAsia="Times New Roman" w:hAnsi="Arial" w:cs="Arial"/>
          <w:bCs/>
          <w:sz w:val="20"/>
          <w:szCs w:val="20"/>
        </w:rPr>
        <w:t xml:space="preserve"> and </w:t>
      </w:r>
      <w:proofErr w:type="spellStart"/>
      <w:r w:rsidRPr="002C381C">
        <w:rPr>
          <w:rFonts w:ascii="Arial" w:eastAsia="Times New Roman" w:hAnsi="Arial" w:cs="Arial"/>
          <w:bCs/>
          <w:sz w:val="20"/>
          <w:szCs w:val="20"/>
        </w:rPr>
        <w:t>Ajabgarb</w:t>
      </w:r>
      <w:proofErr w:type="spellEnd"/>
      <w:r w:rsidRPr="002C381C">
        <w:rPr>
          <w:rFonts w:ascii="Arial" w:eastAsia="Times New Roman" w:hAnsi="Arial" w:cs="Arial"/>
          <w:bCs/>
          <w:sz w:val="20"/>
          <w:szCs w:val="20"/>
        </w:rPr>
        <w:t xml:space="preserve"> sub-basins characterize the marine depositional sequences</w:t>
      </w:r>
      <w:r w:rsidR="003457A0">
        <w:rPr>
          <w:rFonts w:ascii="Arial" w:eastAsia="Times New Roman" w:hAnsi="Arial" w:cs="Arial"/>
          <w:bCs/>
          <w:sz w:val="20"/>
          <w:szCs w:val="20"/>
        </w:rPr>
        <w:t xml:space="preserve"> (</w:t>
      </w:r>
      <w:r w:rsidR="003457A0" w:rsidRPr="003457A0">
        <w:rPr>
          <w:rFonts w:ascii="Arial" w:eastAsia="Times New Roman" w:hAnsi="Arial" w:cs="Arial"/>
          <w:bCs/>
          <w:sz w:val="20"/>
          <w:szCs w:val="20"/>
        </w:rPr>
        <w:t>Indian Bureau of Mines</w:t>
      </w:r>
      <w:r w:rsidR="003457A0">
        <w:rPr>
          <w:rFonts w:ascii="Arial" w:eastAsia="Times New Roman" w:hAnsi="Arial" w:cs="Arial"/>
          <w:bCs/>
          <w:sz w:val="20"/>
          <w:szCs w:val="20"/>
        </w:rPr>
        <w:t xml:space="preserve">, </w:t>
      </w:r>
      <w:r w:rsidR="003457A0" w:rsidRPr="003457A0">
        <w:rPr>
          <w:rFonts w:ascii="Arial" w:eastAsia="Times New Roman" w:hAnsi="Arial" w:cs="Arial"/>
          <w:bCs/>
          <w:sz w:val="20"/>
          <w:szCs w:val="20"/>
        </w:rPr>
        <w:t>1968)</w:t>
      </w:r>
      <w:r w:rsidRPr="002C381C">
        <w:rPr>
          <w:rFonts w:ascii="Arial" w:eastAsia="Times New Roman" w:hAnsi="Arial" w:cs="Arial"/>
          <w:bCs/>
          <w:sz w:val="20"/>
          <w:szCs w:val="20"/>
        </w:rPr>
        <w:t xml:space="preserve">. The </w:t>
      </w:r>
      <w:proofErr w:type="spellStart"/>
      <w:r w:rsidRPr="002C381C">
        <w:rPr>
          <w:rFonts w:ascii="Arial" w:eastAsia="Times New Roman" w:hAnsi="Arial" w:cs="Arial"/>
          <w:bCs/>
          <w:sz w:val="20"/>
          <w:szCs w:val="20"/>
        </w:rPr>
        <w:t>mineralisation</w:t>
      </w:r>
      <w:proofErr w:type="spellEnd"/>
      <w:r w:rsidRPr="002C381C">
        <w:rPr>
          <w:rFonts w:ascii="Arial" w:eastAsia="Times New Roman" w:hAnsi="Arial" w:cs="Arial"/>
          <w:bCs/>
          <w:sz w:val="20"/>
          <w:szCs w:val="20"/>
        </w:rPr>
        <w:t xml:space="preserve"> in the </w:t>
      </w:r>
      <w:proofErr w:type="spellStart"/>
      <w:r w:rsidRPr="002C381C">
        <w:rPr>
          <w:rFonts w:ascii="Arial" w:eastAsia="Times New Roman" w:hAnsi="Arial" w:cs="Arial"/>
          <w:bCs/>
          <w:sz w:val="20"/>
          <w:szCs w:val="20"/>
        </w:rPr>
        <w:t>Khetri</w:t>
      </w:r>
      <w:proofErr w:type="spellEnd"/>
      <w:r w:rsidRPr="002C381C">
        <w:rPr>
          <w:rFonts w:ascii="Arial" w:eastAsia="Times New Roman" w:hAnsi="Arial" w:cs="Arial"/>
          <w:bCs/>
          <w:sz w:val="20"/>
          <w:szCs w:val="20"/>
        </w:rPr>
        <w:t xml:space="preserve"> and Neem Ka Thana sub basins is </w:t>
      </w:r>
      <w:proofErr w:type="spellStart"/>
      <w:r w:rsidRPr="002C381C">
        <w:rPr>
          <w:rFonts w:ascii="Arial" w:eastAsia="Times New Roman" w:hAnsi="Arial" w:cs="Arial"/>
          <w:bCs/>
          <w:sz w:val="20"/>
          <w:szCs w:val="20"/>
        </w:rPr>
        <w:t>characterised</w:t>
      </w:r>
      <w:proofErr w:type="spellEnd"/>
      <w:r w:rsidRPr="002C381C">
        <w:rPr>
          <w:rFonts w:ascii="Arial" w:eastAsia="Times New Roman" w:hAnsi="Arial" w:cs="Arial"/>
          <w:bCs/>
          <w:sz w:val="20"/>
          <w:szCs w:val="20"/>
        </w:rPr>
        <w:t xml:space="preserve"> by different signatures of </w:t>
      </w:r>
      <w:proofErr w:type="spellStart"/>
      <w:r w:rsidRPr="002C381C">
        <w:rPr>
          <w:rFonts w:ascii="Arial" w:eastAsia="Times New Roman" w:hAnsi="Arial" w:cs="Arial"/>
          <w:bCs/>
          <w:sz w:val="20"/>
          <w:szCs w:val="20"/>
        </w:rPr>
        <w:t>mineralisation</w:t>
      </w:r>
      <w:proofErr w:type="spellEnd"/>
      <w:r w:rsidRPr="002C381C">
        <w:rPr>
          <w:rFonts w:ascii="Arial" w:eastAsia="Times New Roman" w:hAnsi="Arial" w:cs="Arial"/>
          <w:bCs/>
          <w:sz w:val="20"/>
          <w:szCs w:val="20"/>
        </w:rPr>
        <w:t xml:space="preserve">. The </w:t>
      </w:r>
      <w:proofErr w:type="spellStart"/>
      <w:r w:rsidRPr="002C381C">
        <w:rPr>
          <w:rFonts w:ascii="Arial" w:eastAsia="Times New Roman" w:hAnsi="Arial" w:cs="Arial"/>
          <w:bCs/>
          <w:sz w:val="20"/>
          <w:szCs w:val="20"/>
        </w:rPr>
        <w:t>Khetri</w:t>
      </w:r>
      <w:proofErr w:type="spellEnd"/>
      <w:r w:rsidRPr="002C381C">
        <w:rPr>
          <w:rFonts w:ascii="Arial" w:eastAsia="Times New Roman" w:hAnsi="Arial" w:cs="Arial"/>
          <w:bCs/>
          <w:sz w:val="20"/>
          <w:szCs w:val="20"/>
        </w:rPr>
        <w:t xml:space="preserve"> Basin </w:t>
      </w:r>
      <w:proofErr w:type="spellStart"/>
      <w:r w:rsidRPr="002C381C">
        <w:rPr>
          <w:rFonts w:ascii="Arial" w:eastAsia="Times New Roman" w:hAnsi="Arial" w:cs="Arial"/>
          <w:bCs/>
          <w:sz w:val="20"/>
          <w:szCs w:val="20"/>
        </w:rPr>
        <w:t>mineralisation</w:t>
      </w:r>
      <w:proofErr w:type="spellEnd"/>
      <w:r w:rsidRPr="002C381C">
        <w:rPr>
          <w:rFonts w:ascii="Arial" w:eastAsia="Times New Roman" w:hAnsi="Arial" w:cs="Arial"/>
          <w:bCs/>
          <w:sz w:val="20"/>
          <w:szCs w:val="20"/>
        </w:rPr>
        <w:t xml:space="preserve"> has been adjudged as IOCG, and has evolved from diagenetic </w:t>
      </w:r>
      <w:r w:rsidRPr="00B31EC3">
        <w:rPr>
          <w:rFonts w:ascii="Arial" w:eastAsia="Times New Roman" w:hAnsi="Arial" w:cs="Arial"/>
          <w:bCs/>
          <w:sz w:val="20"/>
          <w:szCs w:val="20"/>
        </w:rPr>
        <w:t>(</w:t>
      </w:r>
      <w:r w:rsidRPr="002C381C">
        <w:rPr>
          <w:rFonts w:ascii="Arial" w:eastAsia="Times New Roman" w:hAnsi="Arial" w:cs="Arial"/>
          <w:bCs/>
          <w:sz w:val="20"/>
          <w:szCs w:val="20"/>
        </w:rPr>
        <w:t xml:space="preserve">Dasgupta, 1970) to hydrothermal to IOCG </w:t>
      </w:r>
      <w:r w:rsidRPr="00B31EC3">
        <w:rPr>
          <w:rFonts w:ascii="Arial" w:eastAsia="Times New Roman" w:hAnsi="Arial" w:cs="Arial"/>
          <w:bCs/>
          <w:sz w:val="20"/>
          <w:szCs w:val="20"/>
        </w:rPr>
        <w:t>(</w:t>
      </w:r>
      <w:r w:rsidRPr="002C381C">
        <w:rPr>
          <w:rFonts w:ascii="Arial" w:eastAsia="Times New Roman" w:hAnsi="Arial" w:cs="Arial"/>
          <w:bCs/>
          <w:sz w:val="20"/>
          <w:szCs w:val="20"/>
        </w:rPr>
        <w:t>Knight et al., 2002, Baidya et al., 2021</w:t>
      </w:r>
      <w:r>
        <w:rPr>
          <w:rFonts w:ascii="Arial" w:eastAsia="Times New Roman" w:hAnsi="Arial" w:cs="Arial"/>
          <w:bCs/>
          <w:sz w:val="20"/>
          <w:szCs w:val="20"/>
        </w:rPr>
        <w:t>;</w:t>
      </w:r>
      <w:r w:rsidRPr="002C381C">
        <w:rPr>
          <w:rFonts w:ascii="Arial" w:eastAsia="Times New Roman" w:hAnsi="Arial" w:cs="Arial"/>
          <w:bCs/>
          <w:sz w:val="20"/>
          <w:szCs w:val="20"/>
        </w:rPr>
        <w:t xml:space="preserve"> 2023) the </w:t>
      </w:r>
      <w:proofErr w:type="spellStart"/>
      <w:r w:rsidRPr="002C381C">
        <w:rPr>
          <w:rFonts w:ascii="Arial" w:eastAsia="Times New Roman" w:hAnsi="Arial" w:cs="Arial"/>
          <w:bCs/>
          <w:sz w:val="20"/>
          <w:szCs w:val="20"/>
        </w:rPr>
        <w:t>mineralisation</w:t>
      </w:r>
      <w:proofErr w:type="spellEnd"/>
      <w:r w:rsidRPr="002C381C">
        <w:rPr>
          <w:rFonts w:ascii="Arial" w:eastAsia="Times New Roman" w:hAnsi="Arial" w:cs="Arial"/>
          <w:bCs/>
          <w:sz w:val="20"/>
          <w:szCs w:val="20"/>
        </w:rPr>
        <w:t xml:space="preserve"> in Neem Ka Thana sub-basin which is very adjacent to </w:t>
      </w:r>
      <w:proofErr w:type="spellStart"/>
      <w:r w:rsidRPr="002C381C">
        <w:rPr>
          <w:rFonts w:ascii="Arial" w:eastAsia="Times New Roman" w:hAnsi="Arial" w:cs="Arial"/>
          <w:bCs/>
          <w:sz w:val="20"/>
          <w:szCs w:val="20"/>
        </w:rPr>
        <w:t>Khetri</w:t>
      </w:r>
      <w:proofErr w:type="spellEnd"/>
      <w:r w:rsidRPr="002C381C">
        <w:rPr>
          <w:rFonts w:ascii="Arial" w:eastAsia="Times New Roman" w:hAnsi="Arial" w:cs="Arial"/>
          <w:bCs/>
          <w:sz w:val="20"/>
          <w:szCs w:val="20"/>
        </w:rPr>
        <w:t xml:space="preserve"> has more of syngenetic type of nature. The </w:t>
      </w:r>
      <w:proofErr w:type="spellStart"/>
      <w:r w:rsidRPr="002C381C">
        <w:rPr>
          <w:rFonts w:ascii="Arial" w:eastAsia="Times New Roman" w:hAnsi="Arial" w:cs="Arial"/>
          <w:bCs/>
          <w:sz w:val="20"/>
          <w:szCs w:val="20"/>
        </w:rPr>
        <w:t>Bansiyal</w:t>
      </w:r>
      <w:proofErr w:type="spellEnd"/>
      <w:r w:rsidRPr="002C381C">
        <w:rPr>
          <w:rFonts w:ascii="Arial" w:eastAsia="Times New Roman" w:hAnsi="Arial" w:cs="Arial"/>
          <w:bCs/>
          <w:sz w:val="20"/>
          <w:szCs w:val="20"/>
        </w:rPr>
        <w:t xml:space="preserve"> area forming part of the </w:t>
      </w:r>
      <w:proofErr w:type="spellStart"/>
      <w:r w:rsidRPr="002C381C">
        <w:rPr>
          <w:rFonts w:ascii="Arial" w:eastAsia="Times New Roman" w:hAnsi="Arial" w:cs="Arial"/>
          <w:bCs/>
          <w:sz w:val="20"/>
          <w:szCs w:val="20"/>
        </w:rPr>
        <w:t>Khetri</w:t>
      </w:r>
      <w:proofErr w:type="spellEnd"/>
      <w:r w:rsidRPr="002C381C">
        <w:rPr>
          <w:rFonts w:ascii="Arial" w:eastAsia="Times New Roman" w:hAnsi="Arial" w:cs="Arial"/>
          <w:bCs/>
          <w:sz w:val="20"/>
          <w:szCs w:val="20"/>
        </w:rPr>
        <w:t xml:space="preserve"> belt has similarity with the litho-tectonic setup of </w:t>
      </w:r>
      <w:proofErr w:type="spellStart"/>
      <w:r w:rsidRPr="002C381C">
        <w:rPr>
          <w:rFonts w:ascii="Arial" w:eastAsia="Times New Roman" w:hAnsi="Arial" w:cs="Arial"/>
          <w:bCs/>
          <w:sz w:val="20"/>
          <w:szCs w:val="20"/>
        </w:rPr>
        <w:t>Khetri</w:t>
      </w:r>
      <w:proofErr w:type="spellEnd"/>
      <w:r w:rsidRPr="002C381C">
        <w:rPr>
          <w:rFonts w:ascii="Arial" w:eastAsia="Times New Roman" w:hAnsi="Arial" w:cs="Arial"/>
          <w:bCs/>
          <w:sz w:val="20"/>
          <w:szCs w:val="20"/>
        </w:rPr>
        <w:t xml:space="preserve"> belt, hence justifies occurrence of IOCG type of </w:t>
      </w:r>
      <w:proofErr w:type="spellStart"/>
      <w:r w:rsidRPr="002C381C">
        <w:rPr>
          <w:rFonts w:ascii="Arial" w:eastAsia="Times New Roman" w:hAnsi="Arial" w:cs="Arial"/>
          <w:bCs/>
          <w:sz w:val="20"/>
          <w:szCs w:val="20"/>
        </w:rPr>
        <w:t>mineralisation</w:t>
      </w:r>
      <w:proofErr w:type="spellEnd"/>
      <w:r w:rsidRPr="002C381C">
        <w:rPr>
          <w:rFonts w:ascii="Arial" w:eastAsia="Times New Roman" w:hAnsi="Arial" w:cs="Arial"/>
          <w:bCs/>
          <w:sz w:val="20"/>
          <w:szCs w:val="20"/>
        </w:rPr>
        <w:t xml:space="preserve"> here based on the occurrence within the same </w:t>
      </w:r>
      <w:proofErr w:type="spellStart"/>
      <w:r w:rsidRPr="002C381C">
        <w:rPr>
          <w:rFonts w:ascii="Arial" w:eastAsia="Times New Roman" w:hAnsi="Arial" w:cs="Arial"/>
          <w:bCs/>
          <w:sz w:val="20"/>
          <w:szCs w:val="20"/>
        </w:rPr>
        <w:t>metallotect</w:t>
      </w:r>
      <w:proofErr w:type="spellEnd"/>
      <w:r w:rsidRPr="002C381C">
        <w:rPr>
          <w:rFonts w:ascii="Arial" w:eastAsia="Times New Roman" w:hAnsi="Arial" w:cs="Arial"/>
          <w:bCs/>
          <w:sz w:val="20"/>
          <w:szCs w:val="20"/>
        </w:rPr>
        <w:t xml:space="preserve">, besides the field and laboratory evidence. Hence it could be convincingly concluded that the </w:t>
      </w:r>
      <w:proofErr w:type="spellStart"/>
      <w:r w:rsidRPr="002C381C">
        <w:rPr>
          <w:rFonts w:ascii="Arial" w:eastAsia="Times New Roman" w:hAnsi="Arial" w:cs="Arial"/>
          <w:bCs/>
          <w:sz w:val="20"/>
          <w:szCs w:val="20"/>
        </w:rPr>
        <w:t>mineralisation</w:t>
      </w:r>
      <w:proofErr w:type="spellEnd"/>
      <w:r w:rsidRPr="002C381C">
        <w:rPr>
          <w:rFonts w:ascii="Arial" w:eastAsia="Times New Roman" w:hAnsi="Arial" w:cs="Arial"/>
          <w:bCs/>
          <w:sz w:val="20"/>
          <w:szCs w:val="20"/>
        </w:rPr>
        <w:t xml:space="preserve"> at </w:t>
      </w:r>
      <w:proofErr w:type="spellStart"/>
      <w:r w:rsidRPr="002C381C">
        <w:rPr>
          <w:rFonts w:ascii="Arial" w:eastAsia="Times New Roman" w:hAnsi="Arial" w:cs="Arial"/>
          <w:bCs/>
          <w:sz w:val="20"/>
          <w:szCs w:val="20"/>
        </w:rPr>
        <w:t>Bansiyal</w:t>
      </w:r>
      <w:proofErr w:type="spellEnd"/>
      <w:r w:rsidRPr="002C381C">
        <w:rPr>
          <w:rFonts w:ascii="Arial" w:eastAsia="Times New Roman" w:hAnsi="Arial" w:cs="Arial"/>
          <w:bCs/>
          <w:sz w:val="20"/>
          <w:szCs w:val="20"/>
        </w:rPr>
        <w:t xml:space="preserve"> area which is hosted within the </w:t>
      </w:r>
      <w:proofErr w:type="spellStart"/>
      <w:r w:rsidRPr="002C381C">
        <w:rPr>
          <w:rFonts w:ascii="Arial" w:eastAsia="Times New Roman" w:hAnsi="Arial" w:cs="Arial"/>
          <w:bCs/>
          <w:sz w:val="20"/>
          <w:szCs w:val="20"/>
        </w:rPr>
        <w:t>Ajabgarh</w:t>
      </w:r>
      <w:proofErr w:type="spellEnd"/>
      <w:r w:rsidRPr="002C381C">
        <w:rPr>
          <w:rFonts w:ascii="Arial" w:eastAsia="Times New Roman" w:hAnsi="Arial" w:cs="Arial"/>
          <w:bCs/>
          <w:sz w:val="20"/>
          <w:szCs w:val="20"/>
        </w:rPr>
        <w:t xml:space="preserve"> meta- sediments of Delhi Supergroup of Rocks exhibits strong hydrothermal characters of </w:t>
      </w:r>
      <w:proofErr w:type="spellStart"/>
      <w:r w:rsidRPr="002C381C">
        <w:rPr>
          <w:rFonts w:ascii="Arial" w:eastAsia="Times New Roman" w:hAnsi="Arial" w:cs="Arial"/>
          <w:bCs/>
          <w:sz w:val="20"/>
          <w:szCs w:val="20"/>
        </w:rPr>
        <w:t>mineralisation</w:t>
      </w:r>
      <w:proofErr w:type="spellEnd"/>
      <w:r w:rsidRPr="002C381C">
        <w:rPr>
          <w:rFonts w:ascii="Arial" w:eastAsia="Times New Roman" w:hAnsi="Arial" w:cs="Arial"/>
          <w:bCs/>
          <w:sz w:val="20"/>
          <w:szCs w:val="20"/>
        </w:rPr>
        <w:t xml:space="preserve">, having quite high Fe/Ti ratio and is controlled by the shear zone </w:t>
      </w:r>
      <w:r w:rsidRPr="00B31EC3">
        <w:rPr>
          <w:rFonts w:ascii="Arial" w:eastAsia="Times New Roman" w:hAnsi="Arial" w:cs="Arial"/>
          <w:bCs/>
          <w:sz w:val="20"/>
          <w:szCs w:val="20"/>
        </w:rPr>
        <w:t>(</w:t>
      </w:r>
      <w:r w:rsidRPr="002C381C">
        <w:rPr>
          <w:rFonts w:ascii="Arial" w:eastAsia="Times New Roman" w:hAnsi="Arial" w:cs="Arial"/>
          <w:bCs/>
          <w:sz w:val="20"/>
          <w:szCs w:val="20"/>
        </w:rPr>
        <w:t xml:space="preserve">structurally controlled) and shares a litho-tectonic domain akin to the IOCG deposits of India and the world, could be adjudged as an IOCG Earth system of </w:t>
      </w:r>
      <w:proofErr w:type="spellStart"/>
      <w:r w:rsidRPr="002C381C">
        <w:rPr>
          <w:rFonts w:ascii="Arial" w:eastAsia="Times New Roman" w:hAnsi="Arial" w:cs="Arial"/>
          <w:bCs/>
          <w:sz w:val="20"/>
          <w:szCs w:val="20"/>
        </w:rPr>
        <w:t>mineralisation</w:t>
      </w:r>
      <w:proofErr w:type="spellEnd"/>
      <w:r w:rsidRPr="002C381C">
        <w:rPr>
          <w:rFonts w:ascii="Arial" w:eastAsia="Times New Roman" w:hAnsi="Arial" w:cs="Arial"/>
          <w:bCs/>
          <w:sz w:val="20"/>
          <w:szCs w:val="20"/>
        </w:rPr>
        <w:t>.</w:t>
      </w:r>
    </w:p>
    <w:p w14:paraId="7173D42C" w14:textId="77777777" w:rsidR="001C1FD2" w:rsidRPr="002C381C" w:rsidRDefault="001C1FD2" w:rsidP="002C381C">
      <w:pPr>
        <w:spacing w:after="0" w:line="240" w:lineRule="auto"/>
        <w:contextualSpacing/>
        <w:jc w:val="both"/>
        <w:rPr>
          <w:rFonts w:ascii="Arial" w:eastAsia="Times New Roman" w:hAnsi="Arial" w:cs="Arial"/>
          <w:bCs/>
          <w:sz w:val="20"/>
          <w:szCs w:val="20"/>
        </w:rPr>
      </w:pPr>
    </w:p>
    <w:p w14:paraId="08252586" w14:textId="672C3636" w:rsidR="002C381C" w:rsidRPr="00707516" w:rsidRDefault="00894CD3" w:rsidP="00707516">
      <w:pPr>
        <w:pStyle w:val="Heading2"/>
      </w:pPr>
      <w:r w:rsidRPr="00707516">
        <w:t>4. CONCLUSION</w:t>
      </w:r>
    </w:p>
    <w:p w14:paraId="141D4A64" w14:textId="77777777" w:rsidR="002C381C" w:rsidRPr="002C381C" w:rsidRDefault="002C381C" w:rsidP="002C381C">
      <w:pPr>
        <w:spacing w:after="0" w:line="240" w:lineRule="auto"/>
        <w:contextualSpacing/>
        <w:jc w:val="both"/>
        <w:rPr>
          <w:rFonts w:ascii="Arial" w:eastAsia="Times New Roman" w:hAnsi="Arial" w:cs="Arial"/>
          <w:bCs/>
          <w:sz w:val="20"/>
          <w:szCs w:val="20"/>
        </w:rPr>
      </w:pPr>
    </w:p>
    <w:p w14:paraId="34141822" w14:textId="452DA1EB" w:rsidR="002C381C" w:rsidRDefault="002C381C" w:rsidP="002C381C">
      <w:pPr>
        <w:spacing w:after="0" w:line="240" w:lineRule="auto"/>
        <w:contextualSpacing/>
        <w:jc w:val="both"/>
        <w:rPr>
          <w:rFonts w:ascii="Arial" w:eastAsia="Times New Roman" w:hAnsi="Arial" w:cs="Arial"/>
          <w:bCs/>
          <w:sz w:val="20"/>
          <w:szCs w:val="20"/>
        </w:rPr>
      </w:pPr>
      <w:r w:rsidRPr="002C381C">
        <w:rPr>
          <w:rFonts w:ascii="Arial" w:eastAsia="Times New Roman" w:hAnsi="Arial" w:cs="Arial"/>
          <w:bCs/>
          <w:sz w:val="20"/>
          <w:szCs w:val="20"/>
        </w:rPr>
        <w:t xml:space="preserve">Based on the above discussion and features/ evidences of </w:t>
      </w:r>
      <w:proofErr w:type="spellStart"/>
      <w:r w:rsidRPr="002C381C">
        <w:rPr>
          <w:rFonts w:ascii="Arial" w:eastAsia="Times New Roman" w:hAnsi="Arial" w:cs="Arial"/>
          <w:bCs/>
          <w:sz w:val="20"/>
          <w:szCs w:val="20"/>
        </w:rPr>
        <w:t>mineralisation</w:t>
      </w:r>
      <w:proofErr w:type="spellEnd"/>
      <w:r w:rsidRPr="002C381C">
        <w:rPr>
          <w:rFonts w:ascii="Arial" w:eastAsia="Times New Roman" w:hAnsi="Arial" w:cs="Arial"/>
          <w:bCs/>
          <w:sz w:val="20"/>
          <w:szCs w:val="20"/>
        </w:rPr>
        <w:t xml:space="preserve"> it's mode of occurrence and control recorded from the field and supported by petrochemistry and ire microscopy, it can be comprehensively and convincingly concluded that the Copper associated gold </w:t>
      </w:r>
      <w:proofErr w:type="spellStart"/>
      <w:r w:rsidRPr="002C381C">
        <w:rPr>
          <w:rFonts w:ascii="Arial" w:eastAsia="Times New Roman" w:hAnsi="Arial" w:cs="Arial"/>
          <w:bCs/>
          <w:sz w:val="20"/>
          <w:szCs w:val="20"/>
        </w:rPr>
        <w:t>mineralisation</w:t>
      </w:r>
      <w:proofErr w:type="spellEnd"/>
      <w:r w:rsidRPr="002C381C">
        <w:rPr>
          <w:rFonts w:ascii="Arial" w:eastAsia="Times New Roman" w:hAnsi="Arial" w:cs="Arial"/>
          <w:bCs/>
          <w:sz w:val="20"/>
          <w:szCs w:val="20"/>
        </w:rPr>
        <w:t xml:space="preserve"> in </w:t>
      </w:r>
      <w:proofErr w:type="spellStart"/>
      <w:r w:rsidRPr="002C381C">
        <w:rPr>
          <w:rFonts w:ascii="Arial" w:eastAsia="Times New Roman" w:hAnsi="Arial" w:cs="Arial"/>
          <w:bCs/>
          <w:sz w:val="20"/>
          <w:szCs w:val="20"/>
        </w:rPr>
        <w:t>Bansiyal</w:t>
      </w:r>
      <w:proofErr w:type="spellEnd"/>
      <w:r w:rsidRPr="002C381C">
        <w:rPr>
          <w:rFonts w:ascii="Arial" w:eastAsia="Times New Roman" w:hAnsi="Arial" w:cs="Arial"/>
          <w:bCs/>
          <w:sz w:val="20"/>
          <w:szCs w:val="20"/>
        </w:rPr>
        <w:t xml:space="preserve"> area located within the south </w:t>
      </w:r>
      <w:proofErr w:type="spellStart"/>
      <w:r w:rsidRPr="002C381C">
        <w:rPr>
          <w:rFonts w:ascii="Arial" w:eastAsia="Times New Roman" w:hAnsi="Arial" w:cs="Arial"/>
          <w:bCs/>
          <w:sz w:val="20"/>
          <w:szCs w:val="20"/>
        </w:rPr>
        <w:t>khetri</w:t>
      </w:r>
      <w:proofErr w:type="spellEnd"/>
      <w:r w:rsidRPr="002C381C">
        <w:rPr>
          <w:rFonts w:ascii="Arial" w:eastAsia="Times New Roman" w:hAnsi="Arial" w:cs="Arial"/>
          <w:bCs/>
          <w:sz w:val="20"/>
          <w:szCs w:val="20"/>
        </w:rPr>
        <w:t xml:space="preserve"> belt is structurally controlled hydrothermal </w:t>
      </w:r>
      <w:r w:rsidR="003457A0">
        <w:rPr>
          <w:rFonts w:ascii="Arial" w:eastAsia="Times New Roman" w:hAnsi="Arial" w:cs="Arial"/>
          <w:bCs/>
          <w:sz w:val="20"/>
          <w:szCs w:val="20"/>
        </w:rPr>
        <w:t xml:space="preserve">mineralization </w:t>
      </w:r>
      <w:r w:rsidRPr="002C381C">
        <w:rPr>
          <w:rFonts w:ascii="Arial" w:eastAsia="Times New Roman" w:hAnsi="Arial" w:cs="Arial"/>
          <w:bCs/>
          <w:sz w:val="20"/>
          <w:szCs w:val="20"/>
        </w:rPr>
        <w:t xml:space="preserve">generated through the IOCG </w:t>
      </w:r>
      <w:proofErr w:type="spellStart"/>
      <w:r w:rsidRPr="002C381C">
        <w:rPr>
          <w:rFonts w:ascii="Arial" w:eastAsia="Times New Roman" w:hAnsi="Arial" w:cs="Arial"/>
          <w:bCs/>
          <w:sz w:val="20"/>
          <w:szCs w:val="20"/>
        </w:rPr>
        <w:t>earthsystem</w:t>
      </w:r>
      <w:proofErr w:type="spellEnd"/>
      <w:r w:rsidRPr="002C381C">
        <w:rPr>
          <w:rFonts w:ascii="Arial" w:eastAsia="Times New Roman" w:hAnsi="Arial" w:cs="Arial"/>
          <w:bCs/>
          <w:sz w:val="20"/>
          <w:szCs w:val="20"/>
        </w:rPr>
        <w:t xml:space="preserve"> of </w:t>
      </w:r>
      <w:proofErr w:type="spellStart"/>
      <w:r w:rsidRPr="002C381C">
        <w:rPr>
          <w:rFonts w:ascii="Arial" w:eastAsia="Times New Roman" w:hAnsi="Arial" w:cs="Arial"/>
          <w:bCs/>
          <w:sz w:val="20"/>
          <w:szCs w:val="20"/>
        </w:rPr>
        <w:t>mineralisation</w:t>
      </w:r>
      <w:proofErr w:type="spellEnd"/>
      <w:r w:rsidRPr="002C381C">
        <w:rPr>
          <w:rFonts w:ascii="Arial" w:eastAsia="Times New Roman" w:hAnsi="Arial" w:cs="Arial"/>
          <w:bCs/>
          <w:sz w:val="20"/>
          <w:szCs w:val="20"/>
        </w:rPr>
        <w:t>.</w:t>
      </w:r>
    </w:p>
    <w:p w14:paraId="1E833B98" w14:textId="77777777" w:rsidR="002C381C" w:rsidRDefault="002C381C" w:rsidP="002C381C">
      <w:pPr>
        <w:spacing w:after="0" w:line="240" w:lineRule="auto"/>
        <w:contextualSpacing/>
        <w:jc w:val="both"/>
        <w:rPr>
          <w:rFonts w:ascii="Arial" w:eastAsia="Times New Roman" w:hAnsi="Arial" w:cs="Arial"/>
          <w:bCs/>
          <w:sz w:val="20"/>
          <w:szCs w:val="20"/>
        </w:rPr>
      </w:pPr>
    </w:p>
    <w:p w14:paraId="120E0AFE" w14:textId="77777777" w:rsidR="002C381C" w:rsidRPr="003457A0" w:rsidRDefault="002C381C" w:rsidP="002C381C">
      <w:pPr>
        <w:spacing w:after="0" w:line="240" w:lineRule="auto"/>
        <w:jc w:val="both"/>
        <w:rPr>
          <w:rFonts w:ascii="Arial" w:eastAsia="Calibri" w:hAnsi="Arial" w:cs="Arial"/>
          <w:b/>
          <w:bCs/>
          <w:kern w:val="2"/>
          <w:sz w:val="21"/>
          <w:szCs w:val="21"/>
          <w:highlight w:val="yellow"/>
        </w:rPr>
      </w:pPr>
      <w:r w:rsidRPr="003457A0">
        <w:rPr>
          <w:rFonts w:ascii="Arial" w:eastAsia="Calibri" w:hAnsi="Arial" w:cs="Arial"/>
          <w:b/>
          <w:bCs/>
          <w:kern w:val="2"/>
          <w:sz w:val="21"/>
          <w:szCs w:val="21"/>
          <w:highlight w:val="yellow"/>
        </w:rPr>
        <w:t xml:space="preserve">DISCLAIMER </w:t>
      </w:r>
      <w:r w:rsidRPr="003457A0">
        <w:rPr>
          <w:rFonts w:ascii="Arial" w:eastAsia="Calibri" w:hAnsi="Arial" w:cs="Arial"/>
          <w:b/>
          <w:bCs/>
          <w:kern w:val="2"/>
          <w:sz w:val="21"/>
          <w:szCs w:val="21"/>
        </w:rPr>
        <w:t>(</w:t>
      </w:r>
      <w:r w:rsidRPr="003457A0">
        <w:rPr>
          <w:rFonts w:ascii="Arial" w:eastAsia="Calibri" w:hAnsi="Arial" w:cs="Arial"/>
          <w:b/>
          <w:bCs/>
          <w:kern w:val="2"/>
          <w:sz w:val="21"/>
          <w:szCs w:val="21"/>
          <w:highlight w:val="yellow"/>
        </w:rPr>
        <w:t>ARTIFICIAL INTELLIGENCE)</w:t>
      </w:r>
    </w:p>
    <w:p w14:paraId="08C2E818" w14:textId="77777777" w:rsidR="002C381C" w:rsidRPr="0079208C" w:rsidRDefault="002C381C" w:rsidP="002C381C">
      <w:pPr>
        <w:spacing w:after="0" w:line="240" w:lineRule="auto"/>
        <w:jc w:val="both"/>
        <w:rPr>
          <w:rFonts w:ascii="Arial" w:eastAsia="Calibri" w:hAnsi="Arial" w:cs="Arial"/>
          <w:b/>
          <w:bCs/>
          <w:kern w:val="2"/>
          <w:sz w:val="20"/>
          <w:szCs w:val="20"/>
          <w:highlight w:val="yellow"/>
        </w:rPr>
      </w:pPr>
      <w:r w:rsidRPr="0079208C">
        <w:rPr>
          <w:rFonts w:ascii="Arial" w:eastAsia="Calibri" w:hAnsi="Arial" w:cs="Arial"/>
          <w:b/>
          <w:bCs/>
          <w:kern w:val="2"/>
          <w:sz w:val="20"/>
          <w:szCs w:val="20"/>
          <w:highlight w:val="yellow"/>
        </w:rPr>
        <w:t xml:space="preserve">Option 1: </w:t>
      </w:r>
    </w:p>
    <w:p w14:paraId="384E994A" w14:textId="77777777" w:rsidR="002C381C" w:rsidRPr="0079208C" w:rsidRDefault="002C381C" w:rsidP="002C381C">
      <w:pPr>
        <w:spacing w:after="0" w:line="240" w:lineRule="auto"/>
        <w:jc w:val="both"/>
        <w:rPr>
          <w:rFonts w:ascii="Arial" w:eastAsia="Calibri" w:hAnsi="Arial" w:cs="Arial"/>
          <w:b/>
          <w:bCs/>
          <w:kern w:val="2"/>
          <w:sz w:val="20"/>
          <w:szCs w:val="20"/>
          <w:highlight w:val="yellow"/>
        </w:rPr>
      </w:pPr>
    </w:p>
    <w:p w14:paraId="3A5B8B0B" w14:textId="77777777" w:rsidR="002C381C" w:rsidRPr="0079208C" w:rsidRDefault="002C381C" w:rsidP="002C381C">
      <w:pPr>
        <w:spacing w:after="0" w:line="240" w:lineRule="auto"/>
        <w:jc w:val="both"/>
        <w:rPr>
          <w:rFonts w:ascii="Arial" w:eastAsia="Calibri" w:hAnsi="Arial" w:cs="Arial"/>
          <w:kern w:val="2"/>
          <w:sz w:val="20"/>
          <w:szCs w:val="20"/>
          <w:highlight w:val="yellow"/>
        </w:rPr>
      </w:pPr>
      <w:r w:rsidRPr="0079208C">
        <w:rPr>
          <w:rFonts w:ascii="Arial" w:eastAsia="Calibri" w:hAnsi="Arial" w:cs="Arial"/>
          <w:kern w:val="2"/>
          <w:sz w:val="20"/>
          <w:szCs w:val="20"/>
          <w:highlight w:val="yellow"/>
        </w:rPr>
        <w:t>Author</w:t>
      </w:r>
      <w:r w:rsidRPr="00B31EC3">
        <w:rPr>
          <w:rFonts w:ascii="Arial" w:eastAsia="Calibri" w:hAnsi="Arial" w:cs="Arial"/>
          <w:kern w:val="2"/>
          <w:sz w:val="20"/>
          <w:szCs w:val="20"/>
        </w:rPr>
        <w:t>(</w:t>
      </w:r>
      <w:r w:rsidRPr="0079208C">
        <w:rPr>
          <w:rFonts w:ascii="Arial" w:eastAsia="Calibri" w:hAnsi="Arial" w:cs="Arial"/>
          <w:kern w:val="2"/>
          <w:sz w:val="20"/>
          <w:szCs w:val="20"/>
          <w:highlight w:val="yellow"/>
        </w:rPr>
        <w:t xml:space="preserve">s) hereby declare that NO generative AI technologies such as Large Language Models </w:t>
      </w:r>
      <w:r w:rsidRPr="00B31EC3">
        <w:rPr>
          <w:rFonts w:ascii="Arial" w:eastAsia="Calibri" w:hAnsi="Arial" w:cs="Arial"/>
          <w:kern w:val="2"/>
          <w:sz w:val="20"/>
          <w:szCs w:val="20"/>
        </w:rPr>
        <w:t>(</w:t>
      </w:r>
      <w:proofErr w:type="spellStart"/>
      <w:r w:rsidRPr="0079208C">
        <w:rPr>
          <w:rFonts w:ascii="Arial" w:eastAsia="Calibri" w:hAnsi="Arial" w:cs="Arial"/>
          <w:kern w:val="2"/>
          <w:sz w:val="20"/>
          <w:szCs w:val="20"/>
          <w:highlight w:val="yellow"/>
        </w:rPr>
        <w:t>ChatGPT</w:t>
      </w:r>
      <w:proofErr w:type="spellEnd"/>
      <w:r w:rsidRPr="0079208C">
        <w:rPr>
          <w:rFonts w:ascii="Arial" w:eastAsia="Calibri" w:hAnsi="Arial" w:cs="Arial"/>
          <w:kern w:val="2"/>
          <w:sz w:val="20"/>
          <w:szCs w:val="20"/>
          <w:highlight w:val="yellow"/>
        </w:rPr>
        <w:t xml:space="preserve">, COPILOT, </w:t>
      </w:r>
      <w:proofErr w:type="spellStart"/>
      <w:r w:rsidRPr="0079208C">
        <w:rPr>
          <w:rFonts w:ascii="Arial" w:eastAsia="Calibri" w:hAnsi="Arial" w:cs="Arial"/>
          <w:kern w:val="2"/>
          <w:sz w:val="20"/>
          <w:szCs w:val="20"/>
          <w:highlight w:val="yellow"/>
        </w:rPr>
        <w:t>etc</w:t>
      </w:r>
      <w:proofErr w:type="spellEnd"/>
      <w:r w:rsidRPr="0079208C">
        <w:rPr>
          <w:rFonts w:ascii="Arial" w:eastAsia="Calibri" w:hAnsi="Arial" w:cs="Arial"/>
          <w:kern w:val="2"/>
          <w:sz w:val="20"/>
          <w:szCs w:val="20"/>
          <w:highlight w:val="yellow"/>
        </w:rPr>
        <w:t xml:space="preserve">) and text-to-image generators have been used during writing or editing of this manuscript. </w:t>
      </w:r>
    </w:p>
    <w:p w14:paraId="64F1F2B2" w14:textId="77777777" w:rsidR="002C381C" w:rsidRPr="0079208C" w:rsidRDefault="002C381C" w:rsidP="002C381C">
      <w:pPr>
        <w:spacing w:after="0" w:line="240" w:lineRule="auto"/>
        <w:jc w:val="both"/>
        <w:rPr>
          <w:rFonts w:ascii="Arial" w:eastAsia="Calibri" w:hAnsi="Arial" w:cs="Arial"/>
          <w:kern w:val="2"/>
          <w:sz w:val="20"/>
          <w:szCs w:val="20"/>
          <w:highlight w:val="yellow"/>
        </w:rPr>
      </w:pPr>
    </w:p>
    <w:p w14:paraId="30F87E5E" w14:textId="77777777" w:rsidR="002C381C" w:rsidRPr="0079208C" w:rsidRDefault="002C381C" w:rsidP="002C381C">
      <w:pPr>
        <w:spacing w:after="0" w:line="240" w:lineRule="auto"/>
        <w:jc w:val="both"/>
        <w:rPr>
          <w:rFonts w:ascii="Arial" w:eastAsia="Calibri" w:hAnsi="Arial" w:cs="Arial"/>
          <w:b/>
          <w:bCs/>
          <w:kern w:val="2"/>
          <w:sz w:val="20"/>
          <w:szCs w:val="20"/>
          <w:highlight w:val="yellow"/>
        </w:rPr>
      </w:pPr>
      <w:r w:rsidRPr="0079208C">
        <w:rPr>
          <w:rFonts w:ascii="Arial" w:eastAsia="Calibri" w:hAnsi="Arial" w:cs="Arial"/>
          <w:b/>
          <w:bCs/>
          <w:kern w:val="2"/>
          <w:sz w:val="20"/>
          <w:szCs w:val="20"/>
          <w:highlight w:val="yellow"/>
        </w:rPr>
        <w:t xml:space="preserve">Option 2: </w:t>
      </w:r>
    </w:p>
    <w:p w14:paraId="48149E9C" w14:textId="77777777" w:rsidR="002C381C" w:rsidRPr="0079208C" w:rsidRDefault="002C381C" w:rsidP="002C381C">
      <w:pPr>
        <w:spacing w:after="0" w:line="240" w:lineRule="auto"/>
        <w:jc w:val="both"/>
        <w:rPr>
          <w:rFonts w:ascii="Arial" w:eastAsia="Calibri" w:hAnsi="Arial" w:cs="Arial"/>
          <w:b/>
          <w:bCs/>
          <w:kern w:val="2"/>
          <w:sz w:val="20"/>
          <w:szCs w:val="20"/>
          <w:highlight w:val="yellow"/>
        </w:rPr>
      </w:pPr>
    </w:p>
    <w:p w14:paraId="5A15A4EE" w14:textId="77777777" w:rsidR="002C381C" w:rsidRPr="0079208C" w:rsidRDefault="002C381C" w:rsidP="002C381C">
      <w:pPr>
        <w:spacing w:after="0" w:line="240" w:lineRule="auto"/>
        <w:jc w:val="both"/>
        <w:rPr>
          <w:rFonts w:ascii="Arial" w:eastAsia="Calibri" w:hAnsi="Arial" w:cs="Arial"/>
          <w:kern w:val="2"/>
          <w:sz w:val="20"/>
          <w:szCs w:val="20"/>
          <w:highlight w:val="yellow"/>
        </w:rPr>
      </w:pPr>
      <w:r w:rsidRPr="0079208C">
        <w:rPr>
          <w:rFonts w:ascii="Arial" w:eastAsia="Calibri" w:hAnsi="Arial" w:cs="Arial"/>
          <w:kern w:val="2"/>
          <w:sz w:val="20"/>
          <w:szCs w:val="20"/>
          <w:highlight w:val="yellow"/>
        </w:rPr>
        <w:t>Author</w:t>
      </w:r>
      <w:r w:rsidRPr="00B31EC3">
        <w:rPr>
          <w:rFonts w:ascii="Arial" w:eastAsia="Calibri" w:hAnsi="Arial" w:cs="Arial"/>
          <w:kern w:val="2"/>
          <w:sz w:val="20"/>
          <w:szCs w:val="20"/>
        </w:rPr>
        <w:t>(</w:t>
      </w:r>
      <w:r w:rsidRPr="0079208C">
        <w:rPr>
          <w:rFonts w:ascii="Arial" w:eastAsia="Calibri" w:hAnsi="Arial" w:cs="Arial"/>
          <w:kern w:val="2"/>
          <w:sz w:val="20"/>
          <w:szCs w:val="20"/>
          <w:highlight w:val="yellow"/>
        </w:rPr>
        <w:t xml:space="preserve">s) hereby declare that generative AI technologies such as Large Language Models, </w:t>
      </w:r>
      <w:proofErr w:type="spellStart"/>
      <w:r w:rsidRPr="0079208C">
        <w:rPr>
          <w:rFonts w:ascii="Arial" w:eastAsia="Calibri" w:hAnsi="Arial" w:cs="Arial"/>
          <w:kern w:val="2"/>
          <w:sz w:val="20"/>
          <w:szCs w:val="20"/>
          <w:highlight w:val="yellow"/>
        </w:rPr>
        <w:t>etc</w:t>
      </w:r>
      <w:proofErr w:type="spellEnd"/>
      <w:r w:rsidRPr="0079208C">
        <w:rPr>
          <w:rFonts w:ascii="Arial" w:eastAsia="Calibri" w:hAnsi="Arial" w:cs="Arial"/>
          <w:kern w:val="2"/>
          <w:sz w:val="20"/>
          <w:szCs w:val="20"/>
          <w:highlight w:val="yellow"/>
        </w:rPr>
        <w:t xml:space="preserve"> have been used during writing or editing of this manuscript. This explanation will include the name, version, model, and source of the generative AI technology and as well as all input prompts provided to the generative AI technology.</w:t>
      </w:r>
    </w:p>
    <w:p w14:paraId="0B652BA3" w14:textId="77777777" w:rsidR="002C381C" w:rsidRPr="0079208C" w:rsidRDefault="002C381C" w:rsidP="002C381C">
      <w:pPr>
        <w:spacing w:after="0" w:line="240" w:lineRule="auto"/>
        <w:jc w:val="both"/>
        <w:rPr>
          <w:rFonts w:ascii="Arial" w:eastAsia="Calibri" w:hAnsi="Arial" w:cs="Arial"/>
          <w:kern w:val="2"/>
          <w:sz w:val="20"/>
          <w:szCs w:val="20"/>
          <w:highlight w:val="yellow"/>
        </w:rPr>
      </w:pPr>
    </w:p>
    <w:p w14:paraId="4347B247" w14:textId="77777777" w:rsidR="002C381C" w:rsidRPr="0079208C" w:rsidRDefault="002C381C" w:rsidP="002C381C">
      <w:pPr>
        <w:spacing w:after="0" w:line="240" w:lineRule="auto"/>
        <w:jc w:val="both"/>
        <w:rPr>
          <w:rFonts w:ascii="Arial" w:eastAsia="Calibri" w:hAnsi="Arial" w:cs="Arial"/>
          <w:b/>
          <w:bCs/>
          <w:kern w:val="2"/>
          <w:sz w:val="20"/>
          <w:szCs w:val="20"/>
          <w:highlight w:val="yellow"/>
        </w:rPr>
      </w:pPr>
      <w:r w:rsidRPr="0079208C">
        <w:rPr>
          <w:rFonts w:ascii="Arial" w:eastAsia="Calibri" w:hAnsi="Arial" w:cs="Arial"/>
          <w:b/>
          <w:bCs/>
          <w:kern w:val="2"/>
          <w:sz w:val="20"/>
          <w:szCs w:val="20"/>
          <w:highlight w:val="yellow"/>
        </w:rPr>
        <w:t>Details of the AI usage are given below:</w:t>
      </w:r>
    </w:p>
    <w:p w14:paraId="308F3220" w14:textId="77777777" w:rsidR="002C381C" w:rsidRPr="0079208C" w:rsidRDefault="002C381C" w:rsidP="002C381C">
      <w:pPr>
        <w:spacing w:after="0" w:line="240" w:lineRule="auto"/>
        <w:jc w:val="both"/>
        <w:rPr>
          <w:rFonts w:ascii="Arial" w:eastAsia="Calibri" w:hAnsi="Arial" w:cs="Arial"/>
          <w:kern w:val="2"/>
          <w:sz w:val="20"/>
          <w:szCs w:val="20"/>
          <w:highlight w:val="yellow"/>
        </w:rPr>
      </w:pPr>
    </w:p>
    <w:p w14:paraId="0082B16C" w14:textId="77777777" w:rsidR="002C381C" w:rsidRPr="0079208C" w:rsidRDefault="002C381C" w:rsidP="002C381C">
      <w:pPr>
        <w:spacing w:after="0" w:line="240" w:lineRule="auto"/>
        <w:jc w:val="both"/>
        <w:rPr>
          <w:rFonts w:ascii="Arial" w:eastAsia="Calibri" w:hAnsi="Arial" w:cs="Arial"/>
          <w:kern w:val="2"/>
          <w:sz w:val="20"/>
          <w:szCs w:val="20"/>
          <w:highlight w:val="yellow"/>
        </w:rPr>
      </w:pPr>
      <w:r w:rsidRPr="0079208C">
        <w:rPr>
          <w:rFonts w:ascii="Arial" w:eastAsia="Calibri" w:hAnsi="Arial" w:cs="Arial"/>
          <w:kern w:val="2"/>
          <w:sz w:val="20"/>
          <w:szCs w:val="20"/>
          <w:highlight w:val="yellow"/>
        </w:rPr>
        <w:t>1.</w:t>
      </w:r>
    </w:p>
    <w:p w14:paraId="30DD2DC3" w14:textId="77777777" w:rsidR="002C381C" w:rsidRPr="0079208C" w:rsidRDefault="002C381C" w:rsidP="002C381C">
      <w:pPr>
        <w:spacing w:after="0" w:line="240" w:lineRule="auto"/>
        <w:jc w:val="both"/>
        <w:rPr>
          <w:rFonts w:ascii="Arial" w:eastAsia="Calibri" w:hAnsi="Arial" w:cs="Arial"/>
          <w:kern w:val="2"/>
          <w:sz w:val="20"/>
          <w:szCs w:val="20"/>
          <w:highlight w:val="yellow"/>
        </w:rPr>
      </w:pPr>
      <w:r w:rsidRPr="0079208C">
        <w:rPr>
          <w:rFonts w:ascii="Arial" w:eastAsia="Calibri" w:hAnsi="Arial" w:cs="Arial"/>
          <w:kern w:val="2"/>
          <w:sz w:val="20"/>
          <w:szCs w:val="20"/>
          <w:highlight w:val="yellow"/>
        </w:rPr>
        <w:t>2.</w:t>
      </w:r>
    </w:p>
    <w:p w14:paraId="30316E27" w14:textId="77777777" w:rsidR="002C381C" w:rsidRPr="0079208C" w:rsidRDefault="002C381C" w:rsidP="002C381C">
      <w:pPr>
        <w:spacing w:after="0" w:line="240" w:lineRule="auto"/>
        <w:jc w:val="both"/>
        <w:rPr>
          <w:rFonts w:ascii="Arial" w:eastAsia="Calibri" w:hAnsi="Arial" w:cs="Arial"/>
          <w:kern w:val="2"/>
          <w:sz w:val="20"/>
          <w:szCs w:val="20"/>
        </w:rPr>
      </w:pPr>
      <w:r w:rsidRPr="0079208C">
        <w:rPr>
          <w:rFonts w:ascii="Arial" w:eastAsia="Calibri" w:hAnsi="Arial" w:cs="Arial"/>
          <w:kern w:val="2"/>
          <w:sz w:val="20"/>
          <w:szCs w:val="20"/>
          <w:highlight w:val="yellow"/>
        </w:rPr>
        <w:t>3.</w:t>
      </w:r>
    </w:p>
    <w:p w14:paraId="2A376517" w14:textId="77777777" w:rsidR="002C381C" w:rsidRDefault="002C381C" w:rsidP="002C381C">
      <w:pPr>
        <w:pStyle w:val="ReferHead"/>
        <w:spacing w:after="0"/>
        <w:rPr>
          <w:rFonts w:ascii="Arial" w:hAnsi="Arial" w:cs="Arial"/>
          <w:bCs/>
        </w:rPr>
      </w:pPr>
    </w:p>
    <w:p w14:paraId="3BB08F39" w14:textId="77777777" w:rsidR="002C381C" w:rsidRPr="002C381C" w:rsidRDefault="002C381C" w:rsidP="002C381C">
      <w:pPr>
        <w:spacing w:after="0" w:line="240" w:lineRule="auto"/>
        <w:contextualSpacing/>
        <w:jc w:val="both"/>
        <w:rPr>
          <w:rFonts w:ascii="Arial" w:eastAsia="Times New Roman" w:hAnsi="Arial" w:cs="Arial"/>
          <w:b/>
          <w:bCs/>
          <w:sz w:val="20"/>
          <w:szCs w:val="20"/>
        </w:rPr>
      </w:pPr>
    </w:p>
    <w:p w14:paraId="7F735B84" w14:textId="77777777" w:rsidR="002C381C" w:rsidRPr="00707516" w:rsidRDefault="002C381C" w:rsidP="00707516">
      <w:pPr>
        <w:pStyle w:val="Heading2"/>
      </w:pPr>
      <w:r w:rsidRPr="00707516">
        <w:t>REFERENCES</w:t>
      </w:r>
    </w:p>
    <w:p w14:paraId="416AF614" w14:textId="0FCF91B0" w:rsidR="002C381C" w:rsidRDefault="002C381C" w:rsidP="002C381C">
      <w:pPr>
        <w:spacing w:after="0" w:line="240" w:lineRule="auto"/>
        <w:contextualSpacing/>
        <w:jc w:val="both"/>
        <w:rPr>
          <w:rFonts w:ascii="Arial" w:eastAsia="Times New Roman" w:hAnsi="Arial" w:cs="Arial"/>
          <w:bCs/>
          <w:sz w:val="20"/>
          <w:szCs w:val="20"/>
        </w:rPr>
      </w:pPr>
      <w:bookmarkStart w:id="3" w:name="_Hlk196825384"/>
    </w:p>
    <w:p w14:paraId="2C2D0881" w14:textId="77777777" w:rsidR="00FE123F" w:rsidRPr="0010197F" w:rsidRDefault="00FE123F" w:rsidP="00962847">
      <w:pPr>
        <w:spacing w:after="0" w:line="240" w:lineRule="auto"/>
        <w:ind w:left="720" w:hanging="720"/>
        <w:contextualSpacing/>
        <w:jc w:val="both"/>
        <w:rPr>
          <w:rFonts w:ascii="Arial" w:eastAsia="Times New Roman" w:hAnsi="Arial" w:cs="Arial"/>
          <w:bCs/>
          <w:sz w:val="20"/>
          <w:szCs w:val="20"/>
        </w:rPr>
      </w:pPr>
      <w:r w:rsidRPr="0010197F">
        <w:rPr>
          <w:rFonts w:ascii="Arial" w:eastAsia="Times New Roman" w:hAnsi="Arial" w:cs="Arial"/>
          <w:bCs/>
          <w:sz w:val="20"/>
          <w:szCs w:val="20"/>
        </w:rPr>
        <w:t xml:space="preserve">Ashok Singh (Sr. Geologist), &amp; Karunagaran, V. (Geologist). (2016–2017). </w:t>
      </w:r>
      <w:r w:rsidRPr="0010197F">
        <w:rPr>
          <w:rFonts w:ascii="Arial" w:eastAsia="Times New Roman" w:hAnsi="Arial" w:cs="Arial"/>
          <w:bCs/>
          <w:i/>
          <w:iCs/>
          <w:sz w:val="20"/>
          <w:szCs w:val="20"/>
        </w:rPr>
        <w:t xml:space="preserve">Final report on reconnaissance survey for copper and associated mineralization in southwest of </w:t>
      </w:r>
      <w:proofErr w:type="spellStart"/>
      <w:r w:rsidRPr="0010197F">
        <w:rPr>
          <w:rFonts w:ascii="Arial" w:eastAsia="Times New Roman" w:hAnsi="Arial" w:cs="Arial"/>
          <w:bCs/>
          <w:i/>
          <w:iCs/>
          <w:sz w:val="20"/>
          <w:szCs w:val="20"/>
        </w:rPr>
        <w:t>Bansiyal</w:t>
      </w:r>
      <w:proofErr w:type="spellEnd"/>
      <w:r w:rsidRPr="0010197F">
        <w:rPr>
          <w:rFonts w:ascii="Arial" w:eastAsia="Times New Roman" w:hAnsi="Arial" w:cs="Arial"/>
          <w:bCs/>
          <w:i/>
          <w:iCs/>
          <w:sz w:val="20"/>
          <w:szCs w:val="20"/>
        </w:rPr>
        <w:t xml:space="preserve"> Village Jhunjhunu District, Rajasthan (Stage: UNFC G4) Item Code: MIP/WR/RAJ/2016/036 FS 2016-17</w:t>
      </w:r>
      <w:r w:rsidRPr="0010197F">
        <w:rPr>
          <w:rFonts w:ascii="Arial" w:eastAsia="Times New Roman" w:hAnsi="Arial" w:cs="Arial"/>
          <w:bCs/>
          <w:sz w:val="20"/>
          <w:szCs w:val="20"/>
        </w:rPr>
        <w:t>.</w:t>
      </w:r>
    </w:p>
    <w:p w14:paraId="56AC046B" w14:textId="77777777" w:rsidR="00FE123F" w:rsidRPr="0010197F" w:rsidRDefault="00FE123F" w:rsidP="00962847">
      <w:pPr>
        <w:spacing w:after="0" w:line="240" w:lineRule="auto"/>
        <w:ind w:left="720" w:hanging="720"/>
        <w:contextualSpacing/>
        <w:jc w:val="both"/>
        <w:rPr>
          <w:rFonts w:ascii="Arial" w:eastAsia="Times New Roman" w:hAnsi="Arial" w:cs="Arial"/>
          <w:bCs/>
          <w:sz w:val="20"/>
          <w:szCs w:val="20"/>
        </w:rPr>
      </w:pPr>
      <w:r w:rsidRPr="0010197F">
        <w:rPr>
          <w:rFonts w:ascii="Arial" w:eastAsia="Times New Roman" w:hAnsi="Arial" w:cs="Arial"/>
          <w:bCs/>
          <w:sz w:val="20"/>
          <w:szCs w:val="20"/>
        </w:rPr>
        <w:lastRenderedPageBreak/>
        <w:t xml:space="preserve">Baidya, A. S., Saha, R., Pal, D. C., &amp; Upadhyay, D. (2023). Fingerprinting alteration and mineralization in the iron oxide Cu-Au (IOCG) system using biotite chemistry and monazite geochronology: Constraints from the </w:t>
      </w:r>
      <w:proofErr w:type="spellStart"/>
      <w:r w:rsidRPr="0010197F">
        <w:rPr>
          <w:rFonts w:ascii="Arial" w:eastAsia="Times New Roman" w:hAnsi="Arial" w:cs="Arial"/>
          <w:bCs/>
          <w:sz w:val="20"/>
          <w:szCs w:val="20"/>
        </w:rPr>
        <w:t>Khetri</w:t>
      </w:r>
      <w:proofErr w:type="spellEnd"/>
      <w:r w:rsidRPr="0010197F">
        <w:rPr>
          <w:rFonts w:ascii="Arial" w:eastAsia="Times New Roman" w:hAnsi="Arial" w:cs="Arial"/>
          <w:bCs/>
          <w:sz w:val="20"/>
          <w:szCs w:val="20"/>
        </w:rPr>
        <w:t xml:space="preserve"> Copper Belt, western India. </w:t>
      </w:r>
      <w:proofErr w:type="spellStart"/>
      <w:r w:rsidRPr="0010197F">
        <w:rPr>
          <w:rFonts w:ascii="Arial" w:eastAsia="Times New Roman" w:hAnsi="Arial" w:cs="Arial"/>
          <w:bCs/>
          <w:i/>
          <w:iCs/>
          <w:sz w:val="20"/>
          <w:szCs w:val="20"/>
        </w:rPr>
        <w:t>Mineralium</w:t>
      </w:r>
      <w:proofErr w:type="spellEnd"/>
      <w:r w:rsidRPr="0010197F">
        <w:rPr>
          <w:rFonts w:ascii="Arial" w:eastAsia="Times New Roman" w:hAnsi="Arial" w:cs="Arial"/>
          <w:bCs/>
          <w:i/>
          <w:iCs/>
          <w:sz w:val="20"/>
          <w:szCs w:val="20"/>
        </w:rPr>
        <w:t xml:space="preserve"> Deposita</w:t>
      </w:r>
      <w:r w:rsidRPr="0010197F">
        <w:rPr>
          <w:rFonts w:ascii="Arial" w:eastAsia="Times New Roman" w:hAnsi="Arial" w:cs="Arial"/>
          <w:bCs/>
          <w:sz w:val="20"/>
          <w:szCs w:val="20"/>
        </w:rPr>
        <w:t xml:space="preserve">, </w:t>
      </w:r>
      <w:r w:rsidRPr="0010197F">
        <w:rPr>
          <w:rFonts w:ascii="Arial" w:eastAsia="Times New Roman" w:hAnsi="Arial" w:cs="Arial"/>
          <w:bCs/>
          <w:i/>
          <w:iCs/>
          <w:sz w:val="20"/>
          <w:szCs w:val="20"/>
        </w:rPr>
        <w:t>58</w:t>
      </w:r>
      <w:r w:rsidRPr="0010197F">
        <w:rPr>
          <w:rFonts w:ascii="Arial" w:eastAsia="Times New Roman" w:hAnsi="Arial" w:cs="Arial"/>
          <w:bCs/>
          <w:sz w:val="20"/>
          <w:szCs w:val="20"/>
        </w:rPr>
        <w:t>, 1445–1476.</w:t>
      </w:r>
    </w:p>
    <w:p w14:paraId="2032689F" w14:textId="77777777" w:rsidR="00FE123F" w:rsidRPr="0010197F" w:rsidRDefault="00FE123F" w:rsidP="00962847">
      <w:pPr>
        <w:spacing w:after="0" w:line="240" w:lineRule="auto"/>
        <w:ind w:left="720" w:hanging="720"/>
        <w:contextualSpacing/>
        <w:jc w:val="both"/>
        <w:rPr>
          <w:rFonts w:ascii="Arial" w:eastAsia="Times New Roman" w:hAnsi="Arial" w:cs="Arial"/>
          <w:bCs/>
          <w:sz w:val="20"/>
          <w:szCs w:val="20"/>
        </w:rPr>
      </w:pPr>
      <w:r w:rsidRPr="0010197F">
        <w:rPr>
          <w:rFonts w:ascii="Arial" w:eastAsia="Times New Roman" w:hAnsi="Arial" w:cs="Arial"/>
          <w:bCs/>
          <w:sz w:val="20"/>
          <w:szCs w:val="20"/>
        </w:rPr>
        <w:t xml:space="preserve">Baidya, A. S., Sen, A., Pal, D. C., &amp; Upadhyay, D. (2021). Ore-forming processes in the </w:t>
      </w:r>
      <w:proofErr w:type="spellStart"/>
      <w:r w:rsidRPr="0010197F">
        <w:rPr>
          <w:rFonts w:ascii="Arial" w:eastAsia="Times New Roman" w:hAnsi="Arial" w:cs="Arial"/>
          <w:bCs/>
          <w:sz w:val="20"/>
          <w:szCs w:val="20"/>
        </w:rPr>
        <w:t>Khetri</w:t>
      </w:r>
      <w:proofErr w:type="spellEnd"/>
      <w:r w:rsidRPr="0010197F">
        <w:rPr>
          <w:rFonts w:ascii="Arial" w:eastAsia="Times New Roman" w:hAnsi="Arial" w:cs="Arial"/>
          <w:bCs/>
          <w:sz w:val="20"/>
          <w:szCs w:val="20"/>
        </w:rPr>
        <w:t xml:space="preserve"> Copper Belt, western India: Constraints from trace element chemistry of pyrite and C-O isotope composition of carbonates. </w:t>
      </w:r>
      <w:proofErr w:type="spellStart"/>
      <w:r w:rsidRPr="0010197F">
        <w:rPr>
          <w:rFonts w:ascii="Arial" w:eastAsia="Times New Roman" w:hAnsi="Arial" w:cs="Arial"/>
          <w:bCs/>
          <w:i/>
          <w:iCs/>
          <w:sz w:val="20"/>
          <w:szCs w:val="20"/>
        </w:rPr>
        <w:t>Mineralium</w:t>
      </w:r>
      <w:proofErr w:type="spellEnd"/>
      <w:r w:rsidRPr="0010197F">
        <w:rPr>
          <w:rFonts w:ascii="Arial" w:eastAsia="Times New Roman" w:hAnsi="Arial" w:cs="Arial"/>
          <w:bCs/>
          <w:i/>
          <w:iCs/>
          <w:sz w:val="20"/>
          <w:szCs w:val="20"/>
        </w:rPr>
        <w:t xml:space="preserve"> Deposita</w:t>
      </w:r>
      <w:r w:rsidRPr="0010197F">
        <w:rPr>
          <w:rFonts w:ascii="Arial" w:eastAsia="Times New Roman" w:hAnsi="Arial" w:cs="Arial"/>
          <w:bCs/>
          <w:sz w:val="20"/>
          <w:szCs w:val="20"/>
        </w:rPr>
        <w:t xml:space="preserve">, </w:t>
      </w:r>
      <w:r w:rsidRPr="0010197F">
        <w:rPr>
          <w:rFonts w:ascii="Arial" w:eastAsia="Times New Roman" w:hAnsi="Arial" w:cs="Arial"/>
          <w:bCs/>
          <w:i/>
          <w:iCs/>
          <w:sz w:val="20"/>
          <w:szCs w:val="20"/>
        </w:rPr>
        <w:t>56</w:t>
      </w:r>
      <w:r w:rsidRPr="0010197F">
        <w:rPr>
          <w:rFonts w:ascii="Arial" w:eastAsia="Times New Roman" w:hAnsi="Arial" w:cs="Arial"/>
          <w:bCs/>
          <w:sz w:val="20"/>
          <w:szCs w:val="20"/>
        </w:rPr>
        <w:t>, 957–974.</w:t>
      </w:r>
    </w:p>
    <w:p w14:paraId="48E456E1" w14:textId="77777777" w:rsidR="00FE123F" w:rsidRPr="0010197F" w:rsidRDefault="00FE123F" w:rsidP="00962847">
      <w:pPr>
        <w:spacing w:after="0" w:line="240" w:lineRule="auto"/>
        <w:ind w:left="720" w:hanging="720"/>
        <w:contextualSpacing/>
        <w:jc w:val="both"/>
        <w:rPr>
          <w:rFonts w:ascii="Arial" w:eastAsia="Times New Roman" w:hAnsi="Arial" w:cs="Arial"/>
          <w:bCs/>
          <w:sz w:val="20"/>
          <w:szCs w:val="20"/>
        </w:rPr>
      </w:pPr>
      <w:r w:rsidRPr="0010197F">
        <w:rPr>
          <w:rFonts w:ascii="Arial" w:eastAsia="Times New Roman" w:hAnsi="Arial" w:cs="Arial"/>
          <w:bCs/>
          <w:sz w:val="20"/>
          <w:szCs w:val="20"/>
        </w:rPr>
        <w:t xml:space="preserve">Carew, M. J., Mark, G., Oliver, N. H. S., &amp; Pearson, N. (2006). Trace element geochemistry of magnetite and pyrite in Fe oxide (±Cu–Au) </w:t>
      </w:r>
      <w:proofErr w:type="spellStart"/>
      <w:r w:rsidRPr="0010197F">
        <w:rPr>
          <w:rFonts w:ascii="Arial" w:eastAsia="Times New Roman" w:hAnsi="Arial" w:cs="Arial"/>
          <w:bCs/>
          <w:sz w:val="20"/>
          <w:szCs w:val="20"/>
        </w:rPr>
        <w:t>mineralised</w:t>
      </w:r>
      <w:proofErr w:type="spellEnd"/>
      <w:r w:rsidRPr="0010197F">
        <w:rPr>
          <w:rFonts w:ascii="Arial" w:eastAsia="Times New Roman" w:hAnsi="Arial" w:cs="Arial"/>
          <w:bCs/>
          <w:sz w:val="20"/>
          <w:szCs w:val="20"/>
        </w:rPr>
        <w:t xml:space="preserve"> systems: Insights into the geochemistry of ore-forming fluids. </w:t>
      </w:r>
      <w:proofErr w:type="spellStart"/>
      <w:r w:rsidRPr="0010197F">
        <w:rPr>
          <w:rFonts w:ascii="Arial" w:eastAsia="Times New Roman" w:hAnsi="Arial" w:cs="Arial"/>
          <w:bCs/>
          <w:i/>
          <w:iCs/>
          <w:sz w:val="20"/>
          <w:szCs w:val="20"/>
        </w:rPr>
        <w:t>Geochimica</w:t>
      </w:r>
      <w:proofErr w:type="spellEnd"/>
      <w:r w:rsidRPr="0010197F">
        <w:rPr>
          <w:rFonts w:ascii="Arial" w:eastAsia="Times New Roman" w:hAnsi="Arial" w:cs="Arial"/>
          <w:bCs/>
          <w:i/>
          <w:iCs/>
          <w:sz w:val="20"/>
          <w:szCs w:val="20"/>
        </w:rPr>
        <w:t xml:space="preserve"> et </w:t>
      </w:r>
      <w:proofErr w:type="spellStart"/>
      <w:r w:rsidRPr="0010197F">
        <w:rPr>
          <w:rFonts w:ascii="Arial" w:eastAsia="Times New Roman" w:hAnsi="Arial" w:cs="Arial"/>
          <w:bCs/>
          <w:i/>
          <w:iCs/>
          <w:sz w:val="20"/>
          <w:szCs w:val="20"/>
        </w:rPr>
        <w:t>Cosmochimica</w:t>
      </w:r>
      <w:proofErr w:type="spellEnd"/>
      <w:r w:rsidRPr="0010197F">
        <w:rPr>
          <w:rFonts w:ascii="Arial" w:eastAsia="Times New Roman" w:hAnsi="Arial" w:cs="Arial"/>
          <w:bCs/>
          <w:i/>
          <w:iCs/>
          <w:sz w:val="20"/>
          <w:szCs w:val="20"/>
        </w:rPr>
        <w:t xml:space="preserve"> Acta</w:t>
      </w:r>
      <w:r w:rsidRPr="0010197F">
        <w:rPr>
          <w:rFonts w:ascii="Arial" w:eastAsia="Times New Roman" w:hAnsi="Arial" w:cs="Arial"/>
          <w:bCs/>
          <w:sz w:val="20"/>
          <w:szCs w:val="20"/>
        </w:rPr>
        <w:t>, 2006.</w:t>
      </w:r>
    </w:p>
    <w:p w14:paraId="7AE5DBA3" w14:textId="77777777" w:rsidR="00FE123F" w:rsidRPr="0010197F" w:rsidRDefault="00FE123F" w:rsidP="00962847">
      <w:pPr>
        <w:spacing w:after="0" w:line="240" w:lineRule="auto"/>
        <w:ind w:left="720" w:hanging="720"/>
        <w:contextualSpacing/>
        <w:jc w:val="both"/>
        <w:rPr>
          <w:rFonts w:ascii="Arial" w:eastAsia="Times New Roman" w:hAnsi="Arial" w:cs="Arial"/>
          <w:bCs/>
          <w:sz w:val="20"/>
          <w:szCs w:val="20"/>
        </w:rPr>
      </w:pPr>
      <w:r w:rsidRPr="0010197F">
        <w:rPr>
          <w:rFonts w:ascii="Arial" w:eastAsia="Times New Roman" w:hAnsi="Arial" w:cs="Arial"/>
          <w:bCs/>
          <w:sz w:val="20"/>
          <w:szCs w:val="20"/>
          <w:highlight w:val="yellow"/>
        </w:rPr>
        <w:t xml:space="preserve">Chen, W. T., Zhou, M.-F., Li, X., Gao, J.-F., &amp; Hou, K. </w:t>
      </w:r>
      <w:r w:rsidRPr="0010197F">
        <w:rPr>
          <w:rFonts w:ascii="Arial" w:eastAsia="Times New Roman" w:hAnsi="Arial" w:cs="Arial"/>
          <w:bCs/>
          <w:sz w:val="20"/>
          <w:szCs w:val="20"/>
        </w:rPr>
        <w:t>(</w:t>
      </w:r>
      <w:r w:rsidRPr="0010197F">
        <w:rPr>
          <w:rFonts w:ascii="Arial" w:eastAsia="Times New Roman" w:hAnsi="Arial" w:cs="Arial"/>
          <w:bCs/>
          <w:sz w:val="20"/>
          <w:szCs w:val="20"/>
          <w:highlight w:val="yellow"/>
        </w:rPr>
        <w:t>2015). In-situ LA-ICP-MS trace elemental analyses of magnetite: Cu</w:t>
      </w:r>
      <w:proofErr w:type="gramStart"/>
      <w:r w:rsidRPr="0010197F">
        <w:rPr>
          <w:rFonts w:ascii="Arial" w:eastAsia="Times New Roman" w:hAnsi="Arial" w:cs="Arial"/>
          <w:bCs/>
          <w:sz w:val="20"/>
          <w:szCs w:val="20"/>
          <w:highlight w:val="yellow"/>
        </w:rPr>
        <w:t>-</w:t>
      </w:r>
      <w:r w:rsidRPr="0010197F">
        <w:rPr>
          <w:rFonts w:ascii="Arial" w:eastAsia="Times New Roman" w:hAnsi="Arial" w:cs="Arial"/>
          <w:bCs/>
          <w:sz w:val="20"/>
          <w:szCs w:val="20"/>
        </w:rPr>
        <w:t>(</w:t>
      </w:r>
      <w:proofErr w:type="gramEnd"/>
      <w:r w:rsidRPr="0010197F">
        <w:rPr>
          <w:rFonts w:ascii="Arial" w:eastAsia="Times New Roman" w:hAnsi="Arial" w:cs="Arial"/>
          <w:bCs/>
          <w:sz w:val="20"/>
          <w:szCs w:val="20"/>
          <w:highlight w:val="yellow"/>
        </w:rPr>
        <w:t xml:space="preserve">Au, Fe) deposits in the </w:t>
      </w:r>
      <w:proofErr w:type="spellStart"/>
      <w:r w:rsidRPr="0010197F">
        <w:rPr>
          <w:rFonts w:ascii="Arial" w:eastAsia="Times New Roman" w:hAnsi="Arial" w:cs="Arial"/>
          <w:bCs/>
          <w:sz w:val="20"/>
          <w:szCs w:val="20"/>
          <w:highlight w:val="yellow"/>
        </w:rPr>
        <w:t>Khetri</w:t>
      </w:r>
      <w:proofErr w:type="spellEnd"/>
      <w:r w:rsidRPr="0010197F">
        <w:rPr>
          <w:rFonts w:ascii="Arial" w:eastAsia="Times New Roman" w:hAnsi="Arial" w:cs="Arial"/>
          <w:bCs/>
          <w:sz w:val="20"/>
          <w:szCs w:val="20"/>
          <w:highlight w:val="yellow"/>
        </w:rPr>
        <w:t xml:space="preserve"> copper belt in Rajasthan Province, NW India. </w:t>
      </w:r>
      <w:r w:rsidRPr="0010197F">
        <w:rPr>
          <w:rFonts w:ascii="Arial" w:eastAsia="Times New Roman" w:hAnsi="Arial" w:cs="Arial"/>
          <w:bCs/>
          <w:i/>
          <w:iCs/>
          <w:sz w:val="20"/>
          <w:szCs w:val="20"/>
          <w:highlight w:val="yellow"/>
        </w:rPr>
        <w:t>Ore Geology Reviews</w:t>
      </w:r>
      <w:r w:rsidRPr="0010197F">
        <w:rPr>
          <w:rFonts w:ascii="Arial" w:eastAsia="Times New Roman" w:hAnsi="Arial" w:cs="Arial"/>
          <w:bCs/>
          <w:sz w:val="20"/>
          <w:szCs w:val="20"/>
          <w:highlight w:val="yellow"/>
        </w:rPr>
        <w:t xml:space="preserve">, </w:t>
      </w:r>
      <w:r w:rsidRPr="0010197F">
        <w:rPr>
          <w:rFonts w:ascii="Arial" w:eastAsia="Times New Roman" w:hAnsi="Arial" w:cs="Arial"/>
          <w:bCs/>
          <w:i/>
          <w:iCs/>
          <w:sz w:val="20"/>
          <w:szCs w:val="20"/>
          <w:highlight w:val="yellow"/>
        </w:rPr>
        <w:t>65</w:t>
      </w:r>
      <w:r w:rsidRPr="0010197F">
        <w:rPr>
          <w:rFonts w:ascii="Arial" w:eastAsia="Times New Roman" w:hAnsi="Arial" w:cs="Arial"/>
          <w:bCs/>
          <w:sz w:val="20"/>
          <w:szCs w:val="20"/>
          <w:highlight w:val="yellow"/>
        </w:rPr>
        <w:t>. https://doi.org/10.1016/j.oregeorev.2014.09.035</w:t>
      </w:r>
    </w:p>
    <w:p w14:paraId="5F27FD9D" w14:textId="77777777" w:rsidR="00FE123F" w:rsidRPr="0010197F" w:rsidRDefault="00FE123F" w:rsidP="00962847">
      <w:pPr>
        <w:spacing w:after="0" w:line="240" w:lineRule="auto"/>
        <w:ind w:left="720" w:hanging="720"/>
        <w:contextualSpacing/>
        <w:jc w:val="both"/>
        <w:rPr>
          <w:rFonts w:ascii="Arial" w:eastAsia="Times New Roman" w:hAnsi="Arial" w:cs="Arial"/>
          <w:bCs/>
          <w:sz w:val="20"/>
          <w:szCs w:val="20"/>
        </w:rPr>
      </w:pPr>
      <w:r w:rsidRPr="0010197F">
        <w:rPr>
          <w:rFonts w:ascii="Arial" w:eastAsia="Times New Roman" w:hAnsi="Arial" w:cs="Arial"/>
          <w:bCs/>
          <w:sz w:val="20"/>
          <w:szCs w:val="20"/>
        </w:rPr>
        <w:t xml:space="preserve">Das Gupta, S. P. (1970). Sulfide deposits of </w:t>
      </w:r>
      <w:proofErr w:type="spellStart"/>
      <w:r w:rsidRPr="0010197F">
        <w:rPr>
          <w:rFonts w:ascii="Arial" w:eastAsia="Times New Roman" w:hAnsi="Arial" w:cs="Arial"/>
          <w:bCs/>
          <w:sz w:val="20"/>
          <w:szCs w:val="20"/>
        </w:rPr>
        <w:t>Saladipura</w:t>
      </w:r>
      <w:proofErr w:type="spellEnd"/>
      <w:r w:rsidRPr="0010197F">
        <w:rPr>
          <w:rFonts w:ascii="Arial" w:eastAsia="Times New Roman" w:hAnsi="Arial" w:cs="Arial"/>
          <w:bCs/>
          <w:sz w:val="20"/>
          <w:szCs w:val="20"/>
        </w:rPr>
        <w:t xml:space="preserve">, </w:t>
      </w:r>
      <w:proofErr w:type="spellStart"/>
      <w:r w:rsidRPr="0010197F">
        <w:rPr>
          <w:rFonts w:ascii="Arial" w:eastAsia="Times New Roman" w:hAnsi="Arial" w:cs="Arial"/>
          <w:bCs/>
          <w:sz w:val="20"/>
          <w:szCs w:val="20"/>
        </w:rPr>
        <w:t>Khetri</w:t>
      </w:r>
      <w:proofErr w:type="spellEnd"/>
      <w:r w:rsidRPr="0010197F">
        <w:rPr>
          <w:rFonts w:ascii="Arial" w:eastAsia="Times New Roman" w:hAnsi="Arial" w:cs="Arial"/>
          <w:bCs/>
          <w:sz w:val="20"/>
          <w:szCs w:val="20"/>
        </w:rPr>
        <w:t xml:space="preserve"> copper belt, Rajasthan. </w:t>
      </w:r>
      <w:r w:rsidRPr="0010197F">
        <w:rPr>
          <w:rFonts w:ascii="Arial" w:eastAsia="Times New Roman" w:hAnsi="Arial" w:cs="Arial"/>
          <w:bCs/>
          <w:i/>
          <w:iCs/>
          <w:sz w:val="20"/>
          <w:szCs w:val="20"/>
        </w:rPr>
        <w:t>Economic Geology</w:t>
      </w:r>
      <w:r w:rsidRPr="0010197F">
        <w:rPr>
          <w:rFonts w:ascii="Arial" w:eastAsia="Times New Roman" w:hAnsi="Arial" w:cs="Arial"/>
          <w:bCs/>
          <w:sz w:val="20"/>
          <w:szCs w:val="20"/>
        </w:rPr>
        <w:t xml:space="preserve">, </w:t>
      </w:r>
      <w:r w:rsidRPr="0010197F">
        <w:rPr>
          <w:rFonts w:ascii="Arial" w:eastAsia="Times New Roman" w:hAnsi="Arial" w:cs="Arial"/>
          <w:bCs/>
          <w:i/>
          <w:iCs/>
          <w:sz w:val="20"/>
          <w:szCs w:val="20"/>
        </w:rPr>
        <w:t>65</w:t>
      </w:r>
      <w:r w:rsidRPr="0010197F">
        <w:rPr>
          <w:rFonts w:ascii="Arial" w:eastAsia="Times New Roman" w:hAnsi="Arial" w:cs="Arial"/>
          <w:bCs/>
          <w:sz w:val="20"/>
          <w:szCs w:val="20"/>
        </w:rPr>
        <w:t>, 331–339.</w:t>
      </w:r>
    </w:p>
    <w:p w14:paraId="1C39648D" w14:textId="77777777" w:rsidR="00FE123F" w:rsidRPr="0010197F" w:rsidRDefault="00FE123F" w:rsidP="00962847">
      <w:pPr>
        <w:spacing w:after="0" w:line="240" w:lineRule="auto"/>
        <w:ind w:left="720" w:hanging="720"/>
        <w:contextualSpacing/>
        <w:jc w:val="both"/>
        <w:rPr>
          <w:rFonts w:ascii="Arial" w:eastAsia="Times New Roman" w:hAnsi="Arial" w:cs="Arial"/>
          <w:bCs/>
          <w:sz w:val="20"/>
          <w:szCs w:val="20"/>
        </w:rPr>
      </w:pPr>
      <w:r w:rsidRPr="0010197F">
        <w:rPr>
          <w:rFonts w:ascii="Arial" w:eastAsia="Times New Roman" w:hAnsi="Arial" w:cs="Arial"/>
          <w:bCs/>
          <w:sz w:val="20"/>
          <w:szCs w:val="20"/>
        </w:rPr>
        <w:t xml:space="preserve">Dora, M. L., </w:t>
      </w:r>
      <w:proofErr w:type="spellStart"/>
      <w:r w:rsidRPr="0010197F">
        <w:rPr>
          <w:rFonts w:ascii="Arial" w:eastAsia="Times New Roman" w:hAnsi="Arial" w:cs="Arial"/>
          <w:bCs/>
          <w:sz w:val="20"/>
          <w:szCs w:val="20"/>
        </w:rPr>
        <w:t>Randive</w:t>
      </w:r>
      <w:proofErr w:type="spellEnd"/>
      <w:r w:rsidRPr="0010197F">
        <w:rPr>
          <w:rFonts w:ascii="Arial" w:eastAsia="Times New Roman" w:hAnsi="Arial" w:cs="Arial"/>
          <w:bCs/>
          <w:sz w:val="20"/>
          <w:szCs w:val="20"/>
        </w:rPr>
        <w:t xml:space="preserve">, K. K., Ramachandra, H. M., &amp; Suresh, G. (2017). Iron oxide-copper-gold mineralization at </w:t>
      </w:r>
      <w:proofErr w:type="spellStart"/>
      <w:r w:rsidRPr="0010197F">
        <w:rPr>
          <w:rFonts w:ascii="Arial" w:eastAsia="Times New Roman" w:hAnsi="Arial" w:cs="Arial"/>
          <w:bCs/>
          <w:sz w:val="20"/>
          <w:szCs w:val="20"/>
        </w:rPr>
        <w:t>Thanewasna</w:t>
      </w:r>
      <w:proofErr w:type="spellEnd"/>
      <w:r w:rsidRPr="0010197F">
        <w:rPr>
          <w:rFonts w:ascii="Arial" w:eastAsia="Times New Roman" w:hAnsi="Arial" w:cs="Arial"/>
          <w:bCs/>
          <w:sz w:val="20"/>
          <w:szCs w:val="20"/>
        </w:rPr>
        <w:t xml:space="preserve">, Western </w:t>
      </w:r>
      <w:proofErr w:type="spellStart"/>
      <w:r w:rsidRPr="0010197F">
        <w:rPr>
          <w:rFonts w:ascii="Arial" w:eastAsia="Times New Roman" w:hAnsi="Arial" w:cs="Arial"/>
          <w:bCs/>
          <w:sz w:val="20"/>
          <w:szCs w:val="20"/>
        </w:rPr>
        <w:t>Bastar</w:t>
      </w:r>
      <w:proofErr w:type="spellEnd"/>
      <w:r w:rsidRPr="0010197F">
        <w:rPr>
          <w:rFonts w:ascii="Arial" w:eastAsia="Times New Roman" w:hAnsi="Arial" w:cs="Arial"/>
          <w:bCs/>
          <w:sz w:val="20"/>
          <w:szCs w:val="20"/>
        </w:rPr>
        <w:t xml:space="preserve"> Craton. </w:t>
      </w:r>
      <w:r w:rsidRPr="0010197F">
        <w:rPr>
          <w:rFonts w:ascii="Arial" w:eastAsia="Times New Roman" w:hAnsi="Arial" w:cs="Arial"/>
          <w:bCs/>
          <w:i/>
          <w:iCs/>
          <w:sz w:val="20"/>
          <w:szCs w:val="20"/>
        </w:rPr>
        <w:t>Current Science</w:t>
      </w:r>
      <w:r w:rsidRPr="0010197F">
        <w:rPr>
          <w:rFonts w:ascii="Arial" w:eastAsia="Times New Roman" w:hAnsi="Arial" w:cs="Arial"/>
          <w:bCs/>
          <w:sz w:val="20"/>
          <w:szCs w:val="20"/>
        </w:rPr>
        <w:t xml:space="preserve">, </w:t>
      </w:r>
      <w:r w:rsidRPr="0010197F">
        <w:rPr>
          <w:rFonts w:ascii="Arial" w:eastAsia="Times New Roman" w:hAnsi="Arial" w:cs="Arial"/>
          <w:bCs/>
          <w:i/>
          <w:iCs/>
          <w:sz w:val="20"/>
          <w:szCs w:val="20"/>
        </w:rPr>
        <w:t>112</w:t>
      </w:r>
      <w:r w:rsidRPr="0010197F">
        <w:rPr>
          <w:rFonts w:ascii="Arial" w:eastAsia="Times New Roman" w:hAnsi="Arial" w:cs="Arial"/>
          <w:bCs/>
          <w:sz w:val="20"/>
          <w:szCs w:val="20"/>
        </w:rPr>
        <w:t>(112), 1045–1050. https://doi.org/10.18520/cs/v112/i05/1045-1050</w:t>
      </w:r>
    </w:p>
    <w:p w14:paraId="60D33A01" w14:textId="77777777" w:rsidR="00FE123F" w:rsidRPr="0074576D" w:rsidRDefault="00FE123F" w:rsidP="00962847">
      <w:pPr>
        <w:spacing w:after="0" w:line="240" w:lineRule="auto"/>
        <w:ind w:left="720" w:hanging="720"/>
        <w:contextualSpacing/>
        <w:jc w:val="both"/>
        <w:rPr>
          <w:rFonts w:ascii="Arial" w:eastAsia="Times New Roman" w:hAnsi="Arial" w:cs="Arial"/>
          <w:bCs/>
          <w:sz w:val="20"/>
          <w:szCs w:val="20"/>
          <w:highlight w:val="yellow"/>
        </w:rPr>
      </w:pPr>
      <w:r w:rsidRPr="0074576D">
        <w:rPr>
          <w:rFonts w:ascii="Arial" w:eastAsia="Times New Roman" w:hAnsi="Arial" w:cs="Arial"/>
          <w:bCs/>
          <w:sz w:val="20"/>
          <w:szCs w:val="20"/>
          <w:highlight w:val="yellow"/>
        </w:rPr>
        <w:t>Groves, D. I., &amp; Bierlein, F. P. (2007). Geodynamic settings of mineral deposit systems. </w:t>
      </w:r>
      <w:r w:rsidRPr="0074576D">
        <w:rPr>
          <w:rFonts w:ascii="Arial" w:eastAsia="Times New Roman" w:hAnsi="Arial" w:cs="Arial"/>
          <w:bCs/>
          <w:i/>
          <w:iCs/>
          <w:sz w:val="20"/>
          <w:szCs w:val="20"/>
          <w:highlight w:val="yellow"/>
        </w:rPr>
        <w:t>Journal of the Geological Society</w:t>
      </w:r>
      <w:r w:rsidRPr="0074576D">
        <w:rPr>
          <w:rFonts w:ascii="Arial" w:eastAsia="Times New Roman" w:hAnsi="Arial" w:cs="Arial"/>
          <w:bCs/>
          <w:sz w:val="20"/>
          <w:szCs w:val="20"/>
          <w:highlight w:val="yellow"/>
        </w:rPr>
        <w:t>, </w:t>
      </w:r>
      <w:r w:rsidRPr="0074576D">
        <w:rPr>
          <w:rFonts w:ascii="Arial" w:eastAsia="Times New Roman" w:hAnsi="Arial" w:cs="Arial"/>
          <w:bCs/>
          <w:i/>
          <w:iCs/>
          <w:sz w:val="20"/>
          <w:szCs w:val="20"/>
          <w:highlight w:val="yellow"/>
        </w:rPr>
        <w:t>164</w:t>
      </w:r>
      <w:r w:rsidRPr="0074576D">
        <w:rPr>
          <w:rFonts w:ascii="Arial" w:eastAsia="Times New Roman" w:hAnsi="Arial" w:cs="Arial"/>
          <w:bCs/>
          <w:sz w:val="20"/>
          <w:szCs w:val="20"/>
          <w:highlight w:val="yellow"/>
        </w:rPr>
        <w:t>(1), 19-30.</w:t>
      </w:r>
    </w:p>
    <w:p w14:paraId="22652ED4" w14:textId="77777777" w:rsidR="00FE123F" w:rsidRDefault="00FE123F" w:rsidP="00962847">
      <w:pPr>
        <w:spacing w:after="0" w:line="240" w:lineRule="auto"/>
        <w:ind w:left="720" w:hanging="720"/>
        <w:contextualSpacing/>
        <w:jc w:val="both"/>
        <w:rPr>
          <w:rFonts w:ascii="Arial" w:eastAsia="Times New Roman" w:hAnsi="Arial" w:cs="Arial"/>
          <w:bCs/>
          <w:sz w:val="20"/>
          <w:szCs w:val="20"/>
        </w:rPr>
      </w:pPr>
      <w:r w:rsidRPr="0074576D">
        <w:rPr>
          <w:rFonts w:ascii="Arial" w:eastAsia="Times New Roman" w:hAnsi="Arial" w:cs="Arial"/>
          <w:bCs/>
          <w:sz w:val="20"/>
          <w:szCs w:val="20"/>
          <w:highlight w:val="yellow"/>
        </w:rPr>
        <w:t xml:space="preserve">Groves, D. I., Phillips, G. N., Ho, S. E., </w:t>
      </w:r>
      <w:proofErr w:type="spellStart"/>
      <w:r w:rsidRPr="0074576D">
        <w:rPr>
          <w:rFonts w:ascii="Arial" w:eastAsia="Times New Roman" w:hAnsi="Arial" w:cs="Arial"/>
          <w:bCs/>
          <w:sz w:val="20"/>
          <w:szCs w:val="20"/>
          <w:highlight w:val="yellow"/>
        </w:rPr>
        <w:t>Houstoun</w:t>
      </w:r>
      <w:proofErr w:type="spellEnd"/>
      <w:r w:rsidRPr="0074576D">
        <w:rPr>
          <w:rFonts w:ascii="Arial" w:eastAsia="Times New Roman" w:hAnsi="Arial" w:cs="Arial"/>
          <w:bCs/>
          <w:sz w:val="20"/>
          <w:szCs w:val="20"/>
          <w:highlight w:val="yellow"/>
        </w:rPr>
        <w:t>, S. M., &amp; Standing, C. A. (1987). Craton-scale distribution of Archean greenstone gold deposits; predictive capacity of the metamorphic model. </w:t>
      </w:r>
      <w:r w:rsidRPr="0074576D">
        <w:rPr>
          <w:rFonts w:ascii="Arial" w:eastAsia="Times New Roman" w:hAnsi="Arial" w:cs="Arial"/>
          <w:bCs/>
          <w:i/>
          <w:iCs/>
          <w:sz w:val="20"/>
          <w:szCs w:val="20"/>
          <w:highlight w:val="yellow"/>
        </w:rPr>
        <w:t>Economic Geology</w:t>
      </w:r>
      <w:r w:rsidRPr="0074576D">
        <w:rPr>
          <w:rFonts w:ascii="Arial" w:eastAsia="Times New Roman" w:hAnsi="Arial" w:cs="Arial"/>
          <w:bCs/>
          <w:sz w:val="20"/>
          <w:szCs w:val="20"/>
          <w:highlight w:val="yellow"/>
        </w:rPr>
        <w:t>, </w:t>
      </w:r>
      <w:r w:rsidRPr="0074576D">
        <w:rPr>
          <w:rFonts w:ascii="Arial" w:eastAsia="Times New Roman" w:hAnsi="Arial" w:cs="Arial"/>
          <w:bCs/>
          <w:i/>
          <w:iCs/>
          <w:sz w:val="20"/>
          <w:szCs w:val="20"/>
          <w:highlight w:val="yellow"/>
        </w:rPr>
        <w:t>82</w:t>
      </w:r>
      <w:r w:rsidRPr="0074576D">
        <w:rPr>
          <w:rFonts w:ascii="Arial" w:eastAsia="Times New Roman" w:hAnsi="Arial" w:cs="Arial"/>
          <w:bCs/>
          <w:sz w:val="20"/>
          <w:szCs w:val="20"/>
          <w:highlight w:val="yellow"/>
        </w:rPr>
        <w:t>(8), 2045-2058.</w:t>
      </w:r>
    </w:p>
    <w:p w14:paraId="1EC2352A" w14:textId="77777777" w:rsidR="00FE123F" w:rsidRPr="0074576D" w:rsidRDefault="00FE123F" w:rsidP="00962847">
      <w:pPr>
        <w:spacing w:after="0" w:line="240" w:lineRule="auto"/>
        <w:ind w:left="720" w:hanging="720"/>
        <w:contextualSpacing/>
        <w:jc w:val="both"/>
        <w:rPr>
          <w:rFonts w:ascii="Arial" w:eastAsia="Times New Roman" w:hAnsi="Arial" w:cs="Arial"/>
          <w:bCs/>
          <w:sz w:val="20"/>
          <w:szCs w:val="20"/>
          <w:highlight w:val="yellow"/>
        </w:rPr>
      </w:pPr>
      <w:r w:rsidRPr="0074576D">
        <w:rPr>
          <w:rFonts w:ascii="Arial" w:eastAsia="Times New Roman" w:hAnsi="Arial" w:cs="Arial"/>
          <w:bCs/>
          <w:sz w:val="20"/>
          <w:szCs w:val="20"/>
          <w:highlight w:val="yellow"/>
        </w:rPr>
        <w:t xml:space="preserve">Hitzman, M. W., Oreskes, N., &amp; Einaudi, M. T. (1992). Geological characteristics and tectonic setting of </w:t>
      </w:r>
      <w:proofErr w:type="spellStart"/>
      <w:r w:rsidRPr="0074576D">
        <w:rPr>
          <w:rFonts w:ascii="Arial" w:eastAsia="Times New Roman" w:hAnsi="Arial" w:cs="Arial"/>
          <w:bCs/>
          <w:sz w:val="20"/>
          <w:szCs w:val="20"/>
          <w:highlight w:val="yellow"/>
        </w:rPr>
        <w:t>proterozoic</w:t>
      </w:r>
      <w:proofErr w:type="spellEnd"/>
      <w:r w:rsidRPr="0074576D">
        <w:rPr>
          <w:rFonts w:ascii="Arial" w:eastAsia="Times New Roman" w:hAnsi="Arial" w:cs="Arial"/>
          <w:bCs/>
          <w:sz w:val="20"/>
          <w:szCs w:val="20"/>
          <w:highlight w:val="yellow"/>
        </w:rPr>
        <w:t xml:space="preserve"> iron oxide (Cu U Au REE) deposits. </w:t>
      </w:r>
      <w:r w:rsidRPr="0074576D">
        <w:rPr>
          <w:rFonts w:ascii="Arial" w:eastAsia="Times New Roman" w:hAnsi="Arial" w:cs="Arial"/>
          <w:bCs/>
          <w:i/>
          <w:iCs/>
          <w:sz w:val="20"/>
          <w:szCs w:val="20"/>
          <w:highlight w:val="yellow"/>
        </w:rPr>
        <w:t>Precambrian research</w:t>
      </w:r>
      <w:r w:rsidRPr="0074576D">
        <w:rPr>
          <w:rFonts w:ascii="Arial" w:eastAsia="Times New Roman" w:hAnsi="Arial" w:cs="Arial"/>
          <w:bCs/>
          <w:sz w:val="20"/>
          <w:szCs w:val="20"/>
          <w:highlight w:val="yellow"/>
        </w:rPr>
        <w:t>, </w:t>
      </w:r>
      <w:r w:rsidRPr="0074576D">
        <w:rPr>
          <w:rFonts w:ascii="Arial" w:eastAsia="Times New Roman" w:hAnsi="Arial" w:cs="Arial"/>
          <w:bCs/>
          <w:i/>
          <w:iCs/>
          <w:sz w:val="20"/>
          <w:szCs w:val="20"/>
          <w:highlight w:val="yellow"/>
        </w:rPr>
        <w:t>58</w:t>
      </w:r>
      <w:r w:rsidRPr="0074576D">
        <w:rPr>
          <w:rFonts w:ascii="Arial" w:eastAsia="Times New Roman" w:hAnsi="Arial" w:cs="Arial"/>
          <w:bCs/>
          <w:sz w:val="20"/>
          <w:szCs w:val="20"/>
          <w:highlight w:val="yellow"/>
        </w:rPr>
        <w:t>(1-4), 241-287.</w:t>
      </w:r>
    </w:p>
    <w:p w14:paraId="1B7E3DF0" w14:textId="77777777" w:rsidR="00FE123F" w:rsidRPr="0010197F" w:rsidRDefault="00FE123F" w:rsidP="00962847">
      <w:pPr>
        <w:spacing w:after="0" w:line="240" w:lineRule="auto"/>
        <w:ind w:left="720" w:hanging="720"/>
        <w:contextualSpacing/>
        <w:jc w:val="both"/>
        <w:rPr>
          <w:rFonts w:ascii="Arial" w:eastAsia="Times New Roman" w:hAnsi="Arial" w:cs="Arial"/>
          <w:bCs/>
          <w:sz w:val="20"/>
          <w:szCs w:val="20"/>
        </w:rPr>
      </w:pPr>
      <w:r w:rsidRPr="0010197F">
        <w:rPr>
          <w:rFonts w:ascii="Arial" w:eastAsia="Times New Roman" w:hAnsi="Arial" w:cs="Arial"/>
          <w:bCs/>
          <w:sz w:val="20"/>
          <w:szCs w:val="20"/>
        </w:rPr>
        <w:t>Huang, X., Zhao, X.-F., Liang, Q., &amp; Zhou, M.-F. (2013). Re-</w:t>
      </w:r>
      <w:proofErr w:type="spellStart"/>
      <w:r w:rsidRPr="0010197F">
        <w:rPr>
          <w:rFonts w:ascii="Arial" w:eastAsia="Times New Roman" w:hAnsi="Arial" w:cs="Arial"/>
          <w:bCs/>
          <w:sz w:val="20"/>
          <w:szCs w:val="20"/>
        </w:rPr>
        <w:t>Os</w:t>
      </w:r>
      <w:proofErr w:type="spellEnd"/>
      <w:r w:rsidRPr="0010197F">
        <w:rPr>
          <w:rFonts w:ascii="Arial" w:eastAsia="Times New Roman" w:hAnsi="Arial" w:cs="Arial"/>
          <w:bCs/>
          <w:sz w:val="20"/>
          <w:szCs w:val="20"/>
        </w:rPr>
        <w:t xml:space="preserve"> and S isotopic constraints on the origins of two mineralization events at the </w:t>
      </w:r>
      <w:proofErr w:type="spellStart"/>
      <w:r w:rsidRPr="0010197F">
        <w:rPr>
          <w:rFonts w:ascii="Arial" w:eastAsia="Times New Roman" w:hAnsi="Arial" w:cs="Arial"/>
          <w:bCs/>
          <w:sz w:val="20"/>
          <w:szCs w:val="20"/>
        </w:rPr>
        <w:t>Tangdan</w:t>
      </w:r>
      <w:proofErr w:type="spellEnd"/>
      <w:r w:rsidRPr="0010197F">
        <w:rPr>
          <w:rFonts w:ascii="Arial" w:eastAsia="Times New Roman" w:hAnsi="Arial" w:cs="Arial"/>
          <w:bCs/>
          <w:sz w:val="20"/>
          <w:szCs w:val="20"/>
        </w:rPr>
        <w:t xml:space="preserve"> sedimentary rock-hosted stratiform Cu deposit, SW China. </w:t>
      </w:r>
      <w:r w:rsidRPr="0010197F">
        <w:rPr>
          <w:rFonts w:ascii="Arial" w:eastAsia="Times New Roman" w:hAnsi="Arial" w:cs="Arial"/>
          <w:bCs/>
          <w:i/>
          <w:iCs/>
          <w:sz w:val="20"/>
          <w:szCs w:val="20"/>
        </w:rPr>
        <w:t>Chemical Geology</w:t>
      </w:r>
      <w:r w:rsidRPr="0010197F">
        <w:rPr>
          <w:rFonts w:ascii="Arial" w:eastAsia="Times New Roman" w:hAnsi="Arial" w:cs="Arial"/>
          <w:bCs/>
          <w:sz w:val="20"/>
          <w:szCs w:val="20"/>
        </w:rPr>
        <w:t xml:space="preserve">, </w:t>
      </w:r>
      <w:r w:rsidRPr="0010197F">
        <w:rPr>
          <w:rFonts w:ascii="Arial" w:eastAsia="Times New Roman" w:hAnsi="Arial" w:cs="Arial"/>
          <w:bCs/>
          <w:i/>
          <w:iCs/>
          <w:sz w:val="20"/>
          <w:szCs w:val="20"/>
        </w:rPr>
        <w:t>347</w:t>
      </w:r>
      <w:r w:rsidRPr="0010197F">
        <w:rPr>
          <w:rFonts w:ascii="Arial" w:eastAsia="Times New Roman" w:hAnsi="Arial" w:cs="Arial"/>
          <w:bCs/>
          <w:sz w:val="20"/>
          <w:szCs w:val="20"/>
        </w:rPr>
        <w:t>. https://doi.org/10.1016/j.chemgeo.2013.03.020</w:t>
      </w:r>
    </w:p>
    <w:p w14:paraId="551AE412" w14:textId="77777777" w:rsidR="00FE123F" w:rsidRPr="0074576D" w:rsidRDefault="00FE123F" w:rsidP="00962847">
      <w:pPr>
        <w:spacing w:after="0" w:line="240" w:lineRule="auto"/>
        <w:ind w:left="720" w:hanging="720"/>
        <w:contextualSpacing/>
        <w:jc w:val="both"/>
        <w:rPr>
          <w:rFonts w:ascii="Arial" w:eastAsia="Times New Roman" w:hAnsi="Arial" w:cs="Arial"/>
          <w:bCs/>
          <w:sz w:val="20"/>
          <w:szCs w:val="20"/>
          <w:highlight w:val="yellow"/>
        </w:rPr>
      </w:pPr>
      <w:r w:rsidRPr="0074576D">
        <w:rPr>
          <w:rFonts w:ascii="Arial" w:eastAsia="Times New Roman" w:hAnsi="Arial" w:cs="Arial"/>
          <w:bCs/>
          <w:sz w:val="20"/>
          <w:szCs w:val="20"/>
          <w:highlight w:val="yellow"/>
        </w:rPr>
        <w:t>Indian Bureau of Mines. (1968). </w:t>
      </w:r>
      <w:r w:rsidRPr="0074576D">
        <w:rPr>
          <w:rFonts w:ascii="Arial" w:eastAsia="Times New Roman" w:hAnsi="Arial" w:cs="Arial"/>
          <w:bCs/>
          <w:i/>
          <w:iCs/>
          <w:sz w:val="20"/>
          <w:szCs w:val="20"/>
          <w:highlight w:val="yellow"/>
        </w:rPr>
        <w:t>Indian minerals yearbook</w:t>
      </w:r>
      <w:r w:rsidRPr="0074576D">
        <w:rPr>
          <w:rFonts w:ascii="Arial" w:eastAsia="Times New Roman" w:hAnsi="Arial" w:cs="Arial"/>
          <w:bCs/>
          <w:sz w:val="20"/>
          <w:szCs w:val="20"/>
          <w:highlight w:val="yellow"/>
        </w:rPr>
        <w:t>. Indian Bureau of Mines.</w:t>
      </w:r>
    </w:p>
    <w:p w14:paraId="03AC761C" w14:textId="77777777" w:rsidR="00FE123F" w:rsidRPr="0010197F" w:rsidRDefault="00FE123F" w:rsidP="00962847">
      <w:pPr>
        <w:spacing w:after="0" w:line="240" w:lineRule="auto"/>
        <w:ind w:left="720" w:hanging="720"/>
        <w:contextualSpacing/>
        <w:jc w:val="both"/>
        <w:rPr>
          <w:rFonts w:ascii="Arial" w:eastAsia="Times New Roman" w:hAnsi="Arial" w:cs="Arial"/>
          <w:bCs/>
          <w:sz w:val="20"/>
          <w:szCs w:val="20"/>
        </w:rPr>
      </w:pPr>
      <w:r w:rsidRPr="0010197F">
        <w:rPr>
          <w:rFonts w:ascii="Arial" w:eastAsia="Times New Roman" w:hAnsi="Arial" w:cs="Arial"/>
          <w:bCs/>
          <w:sz w:val="20"/>
          <w:szCs w:val="20"/>
        </w:rPr>
        <w:t xml:space="preserve">Knight, J., Lowe, J., Joy, S., Cameron, J., </w:t>
      </w:r>
      <w:proofErr w:type="spellStart"/>
      <w:r w:rsidRPr="0010197F">
        <w:rPr>
          <w:rFonts w:ascii="Arial" w:eastAsia="Times New Roman" w:hAnsi="Arial" w:cs="Arial"/>
          <w:bCs/>
          <w:sz w:val="20"/>
          <w:szCs w:val="20"/>
        </w:rPr>
        <w:t>Merrillees</w:t>
      </w:r>
      <w:proofErr w:type="spellEnd"/>
      <w:r w:rsidRPr="0010197F">
        <w:rPr>
          <w:rFonts w:ascii="Arial" w:eastAsia="Times New Roman" w:hAnsi="Arial" w:cs="Arial"/>
          <w:bCs/>
          <w:sz w:val="20"/>
          <w:szCs w:val="20"/>
        </w:rPr>
        <w:t xml:space="preserve">, J., Nag, S., Shah, N., Dua, G., &amp; Jhala, K. (2002). The </w:t>
      </w:r>
      <w:proofErr w:type="spellStart"/>
      <w:r w:rsidRPr="0010197F">
        <w:rPr>
          <w:rFonts w:ascii="Arial" w:eastAsia="Times New Roman" w:hAnsi="Arial" w:cs="Arial"/>
          <w:bCs/>
          <w:sz w:val="20"/>
          <w:szCs w:val="20"/>
        </w:rPr>
        <w:t>Khetri</w:t>
      </w:r>
      <w:proofErr w:type="spellEnd"/>
      <w:r w:rsidRPr="0010197F">
        <w:rPr>
          <w:rFonts w:ascii="Arial" w:eastAsia="Times New Roman" w:hAnsi="Arial" w:cs="Arial"/>
          <w:bCs/>
          <w:sz w:val="20"/>
          <w:szCs w:val="20"/>
        </w:rPr>
        <w:t xml:space="preserve"> Copper Belt, Rajasthan: Iron Oxide Copper-Gold Terrane in the Proterozoic of NE India. In T. M. Porter (Ed.), </w:t>
      </w:r>
      <w:r w:rsidRPr="0010197F">
        <w:rPr>
          <w:rFonts w:ascii="Arial" w:eastAsia="Times New Roman" w:hAnsi="Arial" w:cs="Arial"/>
          <w:bCs/>
          <w:i/>
          <w:iCs/>
          <w:sz w:val="20"/>
          <w:szCs w:val="20"/>
        </w:rPr>
        <w:t>Hydrothermal iron oxide copper-gold and related deposits: A global perspective</w:t>
      </w:r>
      <w:r w:rsidRPr="0010197F">
        <w:rPr>
          <w:rFonts w:ascii="Arial" w:eastAsia="Times New Roman" w:hAnsi="Arial" w:cs="Arial"/>
          <w:bCs/>
          <w:sz w:val="20"/>
          <w:szCs w:val="20"/>
        </w:rPr>
        <w:t xml:space="preserve"> (Vol. 2, pp. 321–341). PGC, Adelaide.</w:t>
      </w:r>
    </w:p>
    <w:p w14:paraId="0A3BD569" w14:textId="77777777" w:rsidR="00FE123F" w:rsidRPr="0010197F" w:rsidRDefault="00FE123F" w:rsidP="00962847">
      <w:pPr>
        <w:spacing w:after="0" w:line="240" w:lineRule="auto"/>
        <w:ind w:left="720" w:hanging="720"/>
        <w:contextualSpacing/>
        <w:jc w:val="both"/>
        <w:rPr>
          <w:rFonts w:ascii="Arial" w:eastAsia="Times New Roman" w:hAnsi="Arial" w:cs="Arial"/>
          <w:bCs/>
          <w:sz w:val="20"/>
          <w:szCs w:val="20"/>
        </w:rPr>
      </w:pPr>
      <w:r w:rsidRPr="0010197F">
        <w:rPr>
          <w:rFonts w:ascii="Arial" w:eastAsia="Times New Roman" w:hAnsi="Arial" w:cs="Arial"/>
          <w:bCs/>
          <w:sz w:val="20"/>
          <w:szCs w:val="20"/>
        </w:rPr>
        <w:t xml:space="preserve">Li, X.-C., Zhou, M.-F., Williams-Jones, A. E., Yang, Y.-H., &amp; Gao, J.-F. (2019). Timing and genesis of Cu-Au mineralization in the </w:t>
      </w:r>
      <w:proofErr w:type="spellStart"/>
      <w:r w:rsidRPr="0010197F">
        <w:rPr>
          <w:rFonts w:ascii="Arial" w:eastAsia="Times New Roman" w:hAnsi="Arial" w:cs="Arial"/>
          <w:bCs/>
          <w:sz w:val="20"/>
          <w:szCs w:val="20"/>
        </w:rPr>
        <w:t>Khetri</w:t>
      </w:r>
      <w:proofErr w:type="spellEnd"/>
      <w:r w:rsidRPr="0010197F">
        <w:rPr>
          <w:rFonts w:ascii="Arial" w:eastAsia="Times New Roman" w:hAnsi="Arial" w:cs="Arial"/>
          <w:bCs/>
          <w:sz w:val="20"/>
          <w:szCs w:val="20"/>
        </w:rPr>
        <w:t xml:space="preserve"> Copper Belt, northwestern India: Constraints from in situ U-Pb ages and </w:t>
      </w:r>
      <w:proofErr w:type="spellStart"/>
      <w:r w:rsidRPr="0010197F">
        <w:rPr>
          <w:rFonts w:ascii="Arial" w:eastAsia="Times New Roman" w:hAnsi="Arial" w:cs="Arial"/>
          <w:bCs/>
          <w:sz w:val="20"/>
          <w:szCs w:val="20"/>
        </w:rPr>
        <w:t>Sm</w:t>
      </w:r>
      <w:proofErr w:type="spellEnd"/>
      <w:r w:rsidRPr="0010197F">
        <w:rPr>
          <w:rFonts w:ascii="Arial" w:eastAsia="Times New Roman" w:hAnsi="Arial" w:cs="Arial"/>
          <w:bCs/>
          <w:sz w:val="20"/>
          <w:szCs w:val="20"/>
        </w:rPr>
        <w:t xml:space="preserve">-Nd isotopes of monazite-(Ce). </w:t>
      </w:r>
      <w:proofErr w:type="spellStart"/>
      <w:r w:rsidRPr="0010197F">
        <w:rPr>
          <w:rFonts w:ascii="Arial" w:eastAsia="Times New Roman" w:hAnsi="Arial" w:cs="Arial"/>
          <w:bCs/>
          <w:i/>
          <w:iCs/>
          <w:sz w:val="20"/>
          <w:szCs w:val="20"/>
        </w:rPr>
        <w:t>Mineralium</w:t>
      </w:r>
      <w:proofErr w:type="spellEnd"/>
      <w:r w:rsidRPr="0010197F">
        <w:rPr>
          <w:rFonts w:ascii="Arial" w:eastAsia="Times New Roman" w:hAnsi="Arial" w:cs="Arial"/>
          <w:bCs/>
          <w:i/>
          <w:iCs/>
          <w:sz w:val="20"/>
          <w:szCs w:val="20"/>
        </w:rPr>
        <w:t xml:space="preserve"> Deposita</w:t>
      </w:r>
      <w:r w:rsidRPr="0010197F">
        <w:rPr>
          <w:rFonts w:ascii="Arial" w:eastAsia="Times New Roman" w:hAnsi="Arial" w:cs="Arial"/>
          <w:bCs/>
          <w:sz w:val="20"/>
          <w:szCs w:val="20"/>
        </w:rPr>
        <w:t xml:space="preserve">, </w:t>
      </w:r>
      <w:r w:rsidRPr="0010197F">
        <w:rPr>
          <w:rFonts w:ascii="Arial" w:eastAsia="Times New Roman" w:hAnsi="Arial" w:cs="Arial"/>
          <w:bCs/>
          <w:i/>
          <w:iCs/>
          <w:sz w:val="20"/>
          <w:szCs w:val="20"/>
        </w:rPr>
        <w:t>54</w:t>
      </w:r>
      <w:r w:rsidRPr="0010197F">
        <w:rPr>
          <w:rFonts w:ascii="Arial" w:eastAsia="Times New Roman" w:hAnsi="Arial" w:cs="Arial"/>
          <w:bCs/>
          <w:sz w:val="20"/>
          <w:szCs w:val="20"/>
        </w:rPr>
        <w:t>, 553–568.</w:t>
      </w:r>
    </w:p>
    <w:p w14:paraId="3476CA54" w14:textId="77777777" w:rsidR="00FE123F" w:rsidRPr="0010197F" w:rsidRDefault="00FE123F" w:rsidP="00962847">
      <w:pPr>
        <w:spacing w:after="0" w:line="240" w:lineRule="auto"/>
        <w:ind w:left="720" w:hanging="720"/>
        <w:contextualSpacing/>
        <w:jc w:val="both"/>
        <w:rPr>
          <w:rFonts w:ascii="Arial" w:eastAsia="Times New Roman" w:hAnsi="Arial" w:cs="Arial"/>
          <w:bCs/>
          <w:sz w:val="20"/>
          <w:szCs w:val="20"/>
        </w:rPr>
      </w:pPr>
      <w:r w:rsidRPr="0010197F">
        <w:rPr>
          <w:rFonts w:ascii="Arial" w:eastAsia="Times New Roman" w:hAnsi="Arial" w:cs="Arial"/>
          <w:bCs/>
          <w:sz w:val="20"/>
          <w:szCs w:val="20"/>
        </w:rPr>
        <w:t xml:space="preserve">Misra, A. K., &amp; Rao, R. S. (1994). </w:t>
      </w:r>
      <w:r w:rsidRPr="0010197F">
        <w:rPr>
          <w:rFonts w:ascii="Arial" w:eastAsia="Times New Roman" w:hAnsi="Arial" w:cs="Arial"/>
          <w:bCs/>
          <w:i/>
          <w:iCs/>
          <w:sz w:val="20"/>
          <w:szCs w:val="20"/>
        </w:rPr>
        <w:t xml:space="preserve">Geophysical anomaly </w:t>
      </w:r>
      <w:proofErr w:type="spellStart"/>
      <w:r w:rsidRPr="0010197F">
        <w:rPr>
          <w:rFonts w:ascii="Arial" w:eastAsia="Times New Roman" w:hAnsi="Arial" w:cs="Arial"/>
          <w:bCs/>
          <w:i/>
          <w:iCs/>
          <w:sz w:val="20"/>
          <w:szCs w:val="20"/>
        </w:rPr>
        <w:t>anomaly</w:t>
      </w:r>
      <w:proofErr w:type="spellEnd"/>
      <w:r w:rsidRPr="0010197F">
        <w:rPr>
          <w:rFonts w:ascii="Arial" w:eastAsia="Times New Roman" w:hAnsi="Arial" w:cs="Arial"/>
          <w:bCs/>
          <w:i/>
          <w:iCs/>
          <w:sz w:val="20"/>
          <w:szCs w:val="20"/>
        </w:rPr>
        <w:t xml:space="preserve"> checking surface geochemical evaluation of gossan in </w:t>
      </w:r>
      <w:proofErr w:type="spellStart"/>
      <w:r w:rsidRPr="0010197F">
        <w:rPr>
          <w:rFonts w:ascii="Arial" w:eastAsia="Times New Roman" w:hAnsi="Arial" w:cs="Arial"/>
          <w:bCs/>
          <w:i/>
          <w:iCs/>
          <w:sz w:val="20"/>
          <w:szCs w:val="20"/>
        </w:rPr>
        <w:t>Bansiyal</w:t>
      </w:r>
      <w:proofErr w:type="spellEnd"/>
      <w:r w:rsidRPr="0010197F">
        <w:rPr>
          <w:rFonts w:ascii="Arial" w:eastAsia="Times New Roman" w:hAnsi="Arial" w:cs="Arial"/>
          <w:bCs/>
          <w:i/>
          <w:iCs/>
          <w:sz w:val="20"/>
          <w:szCs w:val="20"/>
        </w:rPr>
        <w:t xml:space="preserve"> area, Sikar District Raj.</w:t>
      </w:r>
      <w:r w:rsidRPr="0010197F">
        <w:rPr>
          <w:rFonts w:ascii="Arial" w:eastAsia="Times New Roman" w:hAnsi="Arial" w:cs="Arial"/>
          <w:bCs/>
          <w:sz w:val="20"/>
          <w:szCs w:val="20"/>
        </w:rPr>
        <w:t xml:space="preserve"> Unpublished report AMSE (GSI) WR, Jaipur.</w:t>
      </w:r>
    </w:p>
    <w:p w14:paraId="4C3CC04C" w14:textId="77777777" w:rsidR="00FE123F" w:rsidRPr="0010197F" w:rsidRDefault="00FE123F" w:rsidP="00962847">
      <w:pPr>
        <w:spacing w:after="0" w:line="240" w:lineRule="auto"/>
        <w:ind w:left="720" w:hanging="720"/>
        <w:contextualSpacing/>
        <w:jc w:val="both"/>
        <w:rPr>
          <w:rFonts w:ascii="Arial" w:eastAsia="Times New Roman" w:hAnsi="Arial" w:cs="Arial"/>
          <w:bCs/>
          <w:sz w:val="20"/>
          <w:szCs w:val="20"/>
        </w:rPr>
      </w:pPr>
      <w:r w:rsidRPr="0010197F">
        <w:rPr>
          <w:rFonts w:ascii="Arial" w:eastAsia="Times New Roman" w:hAnsi="Arial" w:cs="Arial"/>
          <w:bCs/>
          <w:sz w:val="20"/>
          <w:szCs w:val="20"/>
        </w:rPr>
        <w:t xml:space="preserve">Mukherjee, R., Akella, V. S., &amp; </w:t>
      </w:r>
      <w:proofErr w:type="spellStart"/>
      <w:r w:rsidRPr="0010197F">
        <w:rPr>
          <w:rFonts w:ascii="Arial" w:eastAsia="Times New Roman" w:hAnsi="Arial" w:cs="Arial"/>
          <w:bCs/>
          <w:sz w:val="20"/>
          <w:szCs w:val="20"/>
        </w:rPr>
        <w:t>Fareeduddin</w:t>
      </w:r>
      <w:proofErr w:type="spellEnd"/>
      <w:r w:rsidRPr="0010197F">
        <w:rPr>
          <w:rFonts w:ascii="Arial" w:eastAsia="Times New Roman" w:hAnsi="Arial" w:cs="Arial"/>
          <w:bCs/>
          <w:sz w:val="20"/>
          <w:szCs w:val="20"/>
        </w:rPr>
        <w:t xml:space="preserve">. (2016). Albitite hosted gold-sulfide mineralization: An example from the Paleoproterozoic Aravalli Supracrustal Sequence, </w:t>
      </w:r>
      <w:proofErr w:type="spellStart"/>
      <w:r w:rsidRPr="0010197F">
        <w:rPr>
          <w:rFonts w:ascii="Arial" w:eastAsia="Times New Roman" w:hAnsi="Arial" w:cs="Arial"/>
          <w:bCs/>
          <w:sz w:val="20"/>
          <w:szCs w:val="20"/>
        </w:rPr>
        <w:t>Bhukia</w:t>
      </w:r>
      <w:proofErr w:type="spellEnd"/>
      <w:r w:rsidRPr="0010197F">
        <w:rPr>
          <w:rFonts w:ascii="Arial" w:eastAsia="Times New Roman" w:hAnsi="Arial" w:cs="Arial"/>
          <w:bCs/>
          <w:sz w:val="20"/>
          <w:szCs w:val="20"/>
        </w:rPr>
        <w:t xml:space="preserve"> area, Western India. </w:t>
      </w:r>
      <w:r w:rsidRPr="0010197F">
        <w:rPr>
          <w:rFonts w:ascii="Arial" w:eastAsia="Times New Roman" w:hAnsi="Arial" w:cs="Arial"/>
          <w:bCs/>
          <w:i/>
          <w:iCs/>
          <w:sz w:val="20"/>
          <w:szCs w:val="20"/>
        </w:rPr>
        <w:t>Episodes</w:t>
      </w:r>
      <w:r w:rsidRPr="0010197F">
        <w:rPr>
          <w:rFonts w:ascii="Arial" w:eastAsia="Times New Roman" w:hAnsi="Arial" w:cs="Arial"/>
          <w:bCs/>
          <w:sz w:val="20"/>
          <w:szCs w:val="20"/>
        </w:rPr>
        <w:t xml:space="preserve">, </w:t>
      </w:r>
      <w:r w:rsidRPr="0010197F">
        <w:rPr>
          <w:rFonts w:ascii="Arial" w:eastAsia="Times New Roman" w:hAnsi="Arial" w:cs="Arial"/>
          <w:bCs/>
          <w:i/>
          <w:iCs/>
          <w:sz w:val="20"/>
          <w:szCs w:val="20"/>
        </w:rPr>
        <w:t>39</w:t>
      </w:r>
      <w:r w:rsidRPr="0010197F">
        <w:rPr>
          <w:rFonts w:ascii="Arial" w:eastAsia="Times New Roman" w:hAnsi="Arial" w:cs="Arial"/>
          <w:bCs/>
          <w:sz w:val="20"/>
          <w:szCs w:val="20"/>
        </w:rPr>
        <w:t>(4), 590–598. https://doi.org/10.18814/epiiugs/2016/v39i4/103891</w:t>
      </w:r>
    </w:p>
    <w:p w14:paraId="51A9FDE6" w14:textId="77777777" w:rsidR="00FE123F" w:rsidRPr="0010197F" w:rsidRDefault="00FE123F" w:rsidP="00962847">
      <w:pPr>
        <w:spacing w:after="0" w:line="240" w:lineRule="auto"/>
        <w:ind w:left="720" w:hanging="720"/>
        <w:contextualSpacing/>
        <w:jc w:val="both"/>
        <w:rPr>
          <w:rFonts w:ascii="Arial" w:eastAsia="Times New Roman" w:hAnsi="Arial" w:cs="Arial"/>
          <w:bCs/>
          <w:sz w:val="20"/>
          <w:szCs w:val="20"/>
        </w:rPr>
      </w:pPr>
      <w:r w:rsidRPr="0010197F">
        <w:rPr>
          <w:rFonts w:ascii="Arial" w:eastAsia="Times New Roman" w:hAnsi="Arial" w:cs="Arial"/>
          <w:bCs/>
          <w:sz w:val="20"/>
          <w:szCs w:val="20"/>
        </w:rPr>
        <w:t xml:space="preserve">Mukherjee, R., Venkatesh, A. S., &amp; </w:t>
      </w:r>
      <w:proofErr w:type="spellStart"/>
      <w:r w:rsidRPr="0010197F">
        <w:rPr>
          <w:rFonts w:ascii="Arial" w:eastAsia="Times New Roman" w:hAnsi="Arial" w:cs="Arial"/>
          <w:bCs/>
          <w:sz w:val="20"/>
          <w:szCs w:val="20"/>
        </w:rPr>
        <w:t>Fareeduddin</w:t>
      </w:r>
      <w:proofErr w:type="spellEnd"/>
      <w:r w:rsidRPr="0010197F">
        <w:rPr>
          <w:rFonts w:ascii="Arial" w:eastAsia="Times New Roman" w:hAnsi="Arial" w:cs="Arial"/>
          <w:bCs/>
          <w:sz w:val="20"/>
          <w:szCs w:val="20"/>
        </w:rPr>
        <w:t xml:space="preserve">. (2017). Chemistry of magnetite-apatite from </w:t>
      </w:r>
      <w:proofErr w:type="spellStart"/>
      <w:r w:rsidRPr="0010197F">
        <w:rPr>
          <w:rFonts w:ascii="Arial" w:eastAsia="Times New Roman" w:hAnsi="Arial" w:cs="Arial"/>
          <w:bCs/>
          <w:sz w:val="20"/>
          <w:szCs w:val="20"/>
        </w:rPr>
        <w:t>albitite</w:t>
      </w:r>
      <w:proofErr w:type="spellEnd"/>
      <w:r w:rsidRPr="0010197F">
        <w:rPr>
          <w:rFonts w:ascii="Arial" w:eastAsia="Times New Roman" w:hAnsi="Arial" w:cs="Arial"/>
          <w:bCs/>
          <w:sz w:val="20"/>
          <w:szCs w:val="20"/>
        </w:rPr>
        <w:t xml:space="preserve"> and carbonate-hosted </w:t>
      </w:r>
      <w:proofErr w:type="spellStart"/>
      <w:r w:rsidRPr="0010197F">
        <w:rPr>
          <w:rFonts w:ascii="Arial" w:eastAsia="Times New Roman" w:hAnsi="Arial" w:cs="Arial"/>
          <w:bCs/>
          <w:sz w:val="20"/>
          <w:szCs w:val="20"/>
        </w:rPr>
        <w:t>Bhukia</w:t>
      </w:r>
      <w:proofErr w:type="spellEnd"/>
      <w:r w:rsidRPr="0010197F">
        <w:rPr>
          <w:rFonts w:ascii="Arial" w:eastAsia="Times New Roman" w:hAnsi="Arial" w:cs="Arial"/>
          <w:bCs/>
          <w:sz w:val="20"/>
          <w:szCs w:val="20"/>
        </w:rPr>
        <w:t xml:space="preserve"> Gold Deposit, Rajasthan, western India – An IOCG-IOA analogue from Paleoproterozoic Aravalli Supergroup: Evidence from petrographic, LA-ICP-MS and EPMA studies. </w:t>
      </w:r>
      <w:r w:rsidRPr="0010197F">
        <w:rPr>
          <w:rFonts w:ascii="Arial" w:eastAsia="Times New Roman" w:hAnsi="Arial" w:cs="Arial"/>
          <w:bCs/>
          <w:i/>
          <w:iCs/>
          <w:sz w:val="20"/>
          <w:szCs w:val="20"/>
        </w:rPr>
        <w:t>Ore Geology Reviews</w:t>
      </w:r>
      <w:r w:rsidRPr="0010197F">
        <w:rPr>
          <w:rFonts w:ascii="Arial" w:eastAsia="Times New Roman" w:hAnsi="Arial" w:cs="Arial"/>
          <w:bCs/>
          <w:sz w:val="20"/>
          <w:szCs w:val="20"/>
        </w:rPr>
        <w:t>, September 2017.</w:t>
      </w:r>
    </w:p>
    <w:p w14:paraId="017E35AD" w14:textId="3FA543FE" w:rsidR="00FE123F" w:rsidRPr="0010197F" w:rsidRDefault="00FE123F" w:rsidP="00962847">
      <w:pPr>
        <w:spacing w:after="0" w:line="240" w:lineRule="auto"/>
        <w:ind w:left="720" w:hanging="720"/>
        <w:contextualSpacing/>
        <w:jc w:val="both"/>
        <w:rPr>
          <w:rFonts w:ascii="Arial" w:eastAsia="Times New Roman" w:hAnsi="Arial" w:cs="Arial"/>
          <w:bCs/>
          <w:sz w:val="20"/>
          <w:szCs w:val="20"/>
        </w:rPr>
      </w:pPr>
      <w:r w:rsidRPr="0010197F">
        <w:rPr>
          <w:rFonts w:ascii="Arial" w:eastAsia="Times New Roman" w:hAnsi="Arial" w:cs="Arial"/>
          <w:bCs/>
          <w:sz w:val="20"/>
          <w:szCs w:val="20"/>
        </w:rPr>
        <w:t xml:space="preserve">Sharma, A. K. (1998). </w:t>
      </w:r>
      <w:r w:rsidRPr="0010197F">
        <w:rPr>
          <w:rFonts w:ascii="Arial" w:eastAsia="Times New Roman" w:hAnsi="Arial" w:cs="Arial"/>
          <w:bCs/>
          <w:i/>
          <w:iCs/>
          <w:sz w:val="20"/>
          <w:szCs w:val="20"/>
        </w:rPr>
        <w:t xml:space="preserve">Exploration for base metal in the Rampura Tonda Naila Ki </w:t>
      </w:r>
      <w:r w:rsidR="003457A0">
        <w:rPr>
          <w:rFonts w:ascii="Arial" w:eastAsia="Times New Roman" w:hAnsi="Arial" w:cs="Arial"/>
          <w:bCs/>
          <w:i/>
          <w:iCs/>
          <w:sz w:val="20"/>
          <w:szCs w:val="20"/>
        </w:rPr>
        <w:t xml:space="preserve">               </w:t>
      </w:r>
      <w:r w:rsidRPr="0010197F">
        <w:rPr>
          <w:rFonts w:ascii="Arial" w:eastAsia="Times New Roman" w:hAnsi="Arial" w:cs="Arial"/>
          <w:bCs/>
          <w:i/>
          <w:iCs/>
          <w:sz w:val="20"/>
          <w:szCs w:val="20"/>
        </w:rPr>
        <w:t>Dhani area</w:t>
      </w:r>
      <w:r w:rsidRPr="0010197F">
        <w:rPr>
          <w:rFonts w:ascii="Arial" w:eastAsia="Times New Roman" w:hAnsi="Arial" w:cs="Arial"/>
          <w:bCs/>
          <w:sz w:val="20"/>
          <w:szCs w:val="20"/>
        </w:rPr>
        <w:t>. Unpublished final report of GSI for the FS 1995–96, 1996–97, 1997–98.</w:t>
      </w:r>
    </w:p>
    <w:p w14:paraId="61DDEE82" w14:textId="77777777" w:rsidR="00FE123F" w:rsidRPr="0010197F" w:rsidRDefault="00FE123F" w:rsidP="00962847">
      <w:pPr>
        <w:spacing w:after="0" w:line="240" w:lineRule="auto"/>
        <w:ind w:left="720" w:hanging="720"/>
        <w:contextualSpacing/>
        <w:jc w:val="both"/>
        <w:rPr>
          <w:rFonts w:ascii="Arial" w:eastAsia="Times New Roman" w:hAnsi="Arial" w:cs="Arial"/>
          <w:bCs/>
          <w:sz w:val="20"/>
          <w:szCs w:val="20"/>
        </w:rPr>
      </w:pPr>
      <w:r w:rsidRPr="0010197F">
        <w:rPr>
          <w:rFonts w:ascii="Arial" w:eastAsia="Times New Roman" w:hAnsi="Arial" w:cs="Arial"/>
          <w:bCs/>
          <w:sz w:val="20"/>
          <w:szCs w:val="20"/>
        </w:rPr>
        <w:t xml:space="preserve">Sharma, B. (1976). </w:t>
      </w:r>
      <w:r w:rsidRPr="0010197F">
        <w:rPr>
          <w:rFonts w:ascii="Arial" w:eastAsia="Times New Roman" w:hAnsi="Arial" w:cs="Arial"/>
          <w:bCs/>
          <w:i/>
          <w:iCs/>
          <w:sz w:val="20"/>
          <w:szCs w:val="20"/>
        </w:rPr>
        <w:t xml:space="preserve">Base metal exploration in </w:t>
      </w:r>
      <w:proofErr w:type="spellStart"/>
      <w:r w:rsidRPr="0010197F">
        <w:rPr>
          <w:rFonts w:ascii="Arial" w:eastAsia="Times New Roman" w:hAnsi="Arial" w:cs="Arial"/>
          <w:bCs/>
          <w:i/>
          <w:iCs/>
          <w:sz w:val="20"/>
          <w:szCs w:val="20"/>
        </w:rPr>
        <w:t>Bhokri</w:t>
      </w:r>
      <w:proofErr w:type="spellEnd"/>
      <w:r w:rsidRPr="0010197F">
        <w:rPr>
          <w:rFonts w:ascii="Arial" w:eastAsia="Times New Roman" w:hAnsi="Arial" w:cs="Arial"/>
          <w:bCs/>
          <w:i/>
          <w:iCs/>
          <w:sz w:val="20"/>
          <w:szCs w:val="20"/>
        </w:rPr>
        <w:t xml:space="preserve"> area, </w:t>
      </w:r>
      <w:proofErr w:type="spellStart"/>
      <w:r w:rsidRPr="0010197F">
        <w:rPr>
          <w:rFonts w:ascii="Arial" w:eastAsia="Times New Roman" w:hAnsi="Arial" w:cs="Arial"/>
          <w:bCs/>
          <w:i/>
          <w:iCs/>
          <w:sz w:val="20"/>
          <w:szCs w:val="20"/>
        </w:rPr>
        <w:t>Khetri</w:t>
      </w:r>
      <w:proofErr w:type="spellEnd"/>
      <w:r w:rsidRPr="0010197F">
        <w:rPr>
          <w:rFonts w:ascii="Arial" w:eastAsia="Times New Roman" w:hAnsi="Arial" w:cs="Arial"/>
          <w:bCs/>
          <w:i/>
          <w:iCs/>
          <w:sz w:val="20"/>
          <w:szCs w:val="20"/>
        </w:rPr>
        <w:t xml:space="preserve"> Copper Belt</w:t>
      </w:r>
      <w:r w:rsidRPr="0010197F">
        <w:rPr>
          <w:rFonts w:ascii="Arial" w:eastAsia="Times New Roman" w:hAnsi="Arial" w:cs="Arial"/>
          <w:bCs/>
          <w:sz w:val="20"/>
          <w:szCs w:val="20"/>
        </w:rPr>
        <w:t>. Unpublished progress report of GSI for the FS 1975–76.</w:t>
      </w:r>
    </w:p>
    <w:p w14:paraId="1A13E811" w14:textId="77777777" w:rsidR="00FE123F" w:rsidRPr="0010197F" w:rsidRDefault="00FE123F" w:rsidP="00962847">
      <w:pPr>
        <w:spacing w:after="0" w:line="240" w:lineRule="auto"/>
        <w:ind w:left="720" w:hanging="720"/>
        <w:contextualSpacing/>
        <w:jc w:val="both"/>
        <w:rPr>
          <w:rFonts w:ascii="Arial" w:eastAsia="Times New Roman" w:hAnsi="Arial" w:cs="Arial"/>
          <w:bCs/>
          <w:sz w:val="20"/>
          <w:szCs w:val="20"/>
        </w:rPr>
      </w:pPr>
      <w:r w:rsidRPr="0010197F">
        <w:rPr>
          <w:rFonts w:ascii="Arial" w:eastAsia="Times New Roman" w:hAnsi="Arial" w:cs="Arial"/>
          <w:bCs/>
          <w:sz w:val="20"/>
          <w:szCs w:val="20"/>
        </w:rPr>
        <w:lastRenderedPageBreak/>
        <w:t xml:space="preserve">Singh, S. P. (1988). Sedimentation patterns of Proterozoic Delhi Supergroup, North Eastern Rajasthan, India, and their tectonic implications. </w:t>
      </w:r>
      <w:r w:rsidRPr="0010197F">
        <w:rPr>
          <w:rFonts w:ascii="Arial" w:eastAsia="Times New Roman" w:hAnsi="Arial" w:cs="Arial"/>
          <w:bCs/>
          <w:i/>
          <w:iCs/>
          <w:sz w:val="20"/>
          <w:szCs w:val="20"/>
        </w:rPr>
        <w:t>Sedimentary Geology</w:t>
      </w:r>
      <w:r w:rsidRPr="0010197F">
        <w:rPr>
          <w:rFonts w:ascii="Arial" w:eastAsia="Times New Roman" w:hAnsi="Arial" w:cs="Arial"/>
          <w:bCs/>
          <w:sz w:val="20"/>
          <w:szCs w:val="20"/>
        </w:rPr>
        <w:t xml:space="preserve">, </w:t>
      </w:r>
      <w:r w:rsidRPr="0010197F">
        <w:rPr>
          <w:rFonts w:ascii="Arial" w:eastAsia="Times New Roman" w:hAnsi="Arial" w:cs="Arial"/>
          <w:bCs/>
          <w:i/>
          <w:iCs/>
          <w:sz w:val="20"/>
          <w:szCs w:val="20"/>
        </w:rPr>
        <w:t>58</w:t>
      </w:r>
      <w:r w:rsidRPr="0010197F">
        <w:rPr>
          <w:rFonts w:ascii="Arial" w:eastAsia="Times New Roman" w:hAnsi="Arial" w:cs="Arial"/>
          <w:bCs/>
          <w:sz w:val="20"/>
          <w:szCs w:val="20"/>
        </w:rPr>
        <w:t>, 79–95.</w:t>
      </w:r>
    </w:p>
    <w:p w14:paraId="08BA9644" w14:textId="77777777" w:rsidR="00FE123F" w:rsidRPr="0010197F" w:rsidRDefault="00FE123F" w:rsidP="00962847">
      <w:pPr>
        <w:spacing w:after="0" w:line="240" w:lineRule="auto"/>
        <w:ind w:left="720" w:hanging="720"/>
        <w:contextualSpacing/>
        <w:jc w:val="both"/>
        <w:rPr>
          <w:rFonts w:ascii="Arial" w:eastAsia="Times New Roman" w:hAnsi="Arial" w:cs="Arial"/>
          <w:bCs/>
          <w:sz w:val="20"/>
          <w:szCs w:val="20"/>
        </w:rPr>
      </w:pPr>
      <w:r w:rsidRPr="0010197F">
        <w:rPr>
          <w:rFonts w:ascii="Arial" w:eastAsia="Times New Roman" w:hAnsi="Arial" w:cs="Arial"/>
          <w:bCs/>
          <w:sz w:val="20"/>
          <w:szCs w:val="20"/>
        </w:rPr>
        <w:t xml:space="preserve">Sinha Roy, S. (1984). Precambrian crustal interactions in Rajasthan, NW India. </w:t>
      </w:r>
      <w:r w:rsidRPr="0010197F">
        <w:rPr>
          <w:rFonts w:ascii="Arial" w:eastAsia="Times New Roman" w:hAnsi="Arial" w:cs="Arial"/>
          <w:bCs/>
          <w:i/>
          <w:iCs/>
          <w:sz w:val="20"/>
          <w:szCs w:val="20"/>
        </w:rPr>
        <w:t>Indian Journal of Earth Sciences</w:t>
      </w:r>
      <w:r w:rsidRPr="0010197F">
        <w:rPr>
          <w:rFonts w:ascii="Arial" w:eastAsia="Times New Roman" w:hAnsi="Arial" w:cs="Arial"/>
          <w:bCs/>
          <w:sz w:val="20"/>
          <w:szCs w:val="20"/>
        </w:rPr>
        <w:t xml:space="preserve">, </w:t>
      </w:r>
      <w:r w:rsidRPr="0010197F">
        <w:rPr>
          <w:rFonts w:ascii="Arial" w:eastAsia="Times New Roman" w:hAnsi="Arial" w:cs="Arial"/>
          <w:bCs/>
          <w:i/>
          <w:iCs/>
          <w:sz w:val="20"/>
          <w:szCs w:val="20"/>
        </w:rPr>
        <w:t>CEISM volume</w:t>
      </w:r>
      <w:r w:rsidRPr="0010197F">
        <w:rPr>
          <w:rFonts w:ascii="Arial" w:eastAsia="Times New Roman" w:hAnsi="Arial" w:cs="Arial"/>
          <w:bCs/>
          <w:sz w:val="20"/>
          <w:szCs w:val="20"/>
        </w:rPr>
        <w:t>, 84–91.</w:t>
      </w:r>
    </w:p>
    <w:p w14:paraId="79236A1E" w14:textId="77777777" w:rsidR="00FE123F" w:rsidRPr="0010197F" w:rsidRDefault="00FE123F" w:rsidP="00962847">
      <w:pPr>
        <w:spacing w:after="0" w:line="240" w:lineRule="auto"/>
        <w:ind w:left="720" w:hanging="720"/>
        <w:contextualSpacing/>
        <w:jc w:val="both"/>
        <w:rPr>
          <w:rFonts w:ascii="Arial" w:eastAsia="Times New Roman" w:hAnsi="Arial" w:cs="Arial"/>
          <w:bCs/>
          <w:sz w:val="20"/>
          <w:szCs w:val="20"/>
        </w:rPr>
      </w:pPr>
      <w:r w:rsidRPr="0010197F">
        <w:rPr>
          <w:rFonts w:ascii="Arial" w:eastAsia="Times New Roman" w:hAnsi="Arial" w:cs="Arial"/>
          <w:bCs/>
          <w:sz w:val="20"/>
          <w:szCs w:val="20"/>
        </w:rPr>
        <w:t xml:space="preserve">Sinha Roy, S. (1988). Proterozoic Wilson cycles in Rajasthan. </w:t>
      </w:r>
      <w:r w:rsidRPr="0010197F">
        <w:rPr>
          <w:rFonts w:ascii="Arial" w:eastAsia="Times New Roman" w:hAnsi="Arial" w:cs="Arial"/>
          <w:bCs/>
          <w:i/>
          <w:iCs/>
          <w:sz w:val="20"/>
          <w:szCs w:val="20"/>
        </w:rPr>
        <w:t>Memoirs of the Geological Society of India</w:t>
      </w:r>
      <w:r w:rsidRPr="0010197F">
        <w:rPr>
          <w:rFonts w:ascii="Arial" w:eastAsia="Times New Roman" w:hAnsi="Arial" w:cs="Arial"/>
          <w:bCs/>
          <w:sz w:val="20"/>
          <w:szCs w:val="20"/>
        </w:rPr>
        <w:t xml:space="preserve">, </w:t>
      </w:r>
      <w:r w:rsidRPr="0010197F">
        <w:rPr>
          <w:rFonts w:ascii="Arial" w:eastAsia="Times New Roman" w:hAnsi="Arial" w:cs="Arial"/>
          <w:bCs/>
          <w:i/>
          <w:iCs/>
          <w:sz w:val="20"/>
          <w:szCs w:val="20"/>
        </w:rPr>
        <w:t>7</w:t>
      </w:r>
      <w:r w:rsidRPr="0010197F">
        <w:rPr>
          <w:rFonts w:ascii="Arial" w:eastAsia="Times New Roman" w:hAnsi="Arial" w:cs="Arial"/>
          <w:bCs/>
          <w:sz w:val="20"/>
          <w:szCs w:val="20"/>
        </w:rPr>
        <w:t>, 95–107.</w:t>
      </w:r>
    </w:p>
    <w:p w14:paraId="5EAB02AC" w14:textId="77777777" w:rsidR="00FE123F" w:rsidRPr="0010197F" w:rsidRDefault="00FE123F" w:rsidP="00962847">
      <w:pPr>
        <w:spacing w:after="0" w:line="240" w:lineRule="auto"/>
        <w:ind w:left="720" w:hanging="720"/>
        <w:contextualSpacing/>
        <w:jc w:val="both"/>
        <w:rPr>
          <w:rFonts w:ascii="Arial" w:eastAsia="Times New Roman" w:hAnsi="Arial" w:cs="Arial"/>
          <w:bCs/>
          <w:sz w:val="20"/>
          <w:szCs w:val="20"/>
        </w:rPr>
      </w:pPr>
      <w:r w:rsidRPr="0010197F">
        <w:rPr>
          <w:rFonts w:ascii="Arial" w:eastAsia="Times New Roman" w:hAnsi="Arial" w:cs="Arial"/>
          <w:bCs/>
          <w:sz w:val="20"/>
          <w:szCs w:val="20"/>
        </w:rPr>
        <w:t xml:space="preserve">Sinha Roy, S. (2000). </w:t>
      </w:r>
      <w:r w:rsidRPr="0010197F">
        <w:rPr>
          <w:rFonts w:ascii="Arial" w:eastAsia="Times New Roman" w:hAnsi="Arial" w:cs="Arial"/>
          <w:bCs/>
          <w:i/>
          <w:iCs/>
          <w:sz w:val="20"/>
          <w:szCs w:val="20"/>
        </w:rPr>
        <w:t>Crustal evolution and metallogeny in Rajasthan</w:t>
      </w:r>
      <w:r w:rsidRPr="0010197F">
        <w:rPr>
          <w:rFonts w:ascii="Arial" w:eastAsia="Times New Roman" w:hAnsi="Arial" w:cs="Arial"/>
          <w:bCs/>
          <w:sz w:val="20"/>
          <w:szCs w:val="20"/>
        </w:rPr>
        <w:t>. Alfa Science International Ltd.</w:t>
      </w:r>
    </w:p>
    <w:p w14:paraId="61927166" w14:textId="77777777" w:rsidR="00FE123F" w:rsidRPr="0010197F" w:rsidRDefault="00FE123F" w:rsidP="00962847">
      <w:pPr>
        <w:spacing w:after="0" w:line="240" w:lineRule="auto"/>
        <w:ind w:left="720" w:hanging="720"/>
        <w:contextualSpacing/>
        <w:jc w:val="both"/>
        <w:rPr>
          <w:rFonts w:ascii="Arial" w:eastAsia="Times New Roman" w:hAnsi="Arial" w:cs="Arial"/>
          <w:bCs/>
          <w:sz w:val="20"/>
          <w:szCs w:val="20"/>
        </w:rPr>
      </w:pPr>
      <w:r w:rsidRPr="0010197F">
        <w:rPr>
          <w:rFonts w:ascii="Arial" w:eastAsia="Times New Roman" w:hAnsi="Arial" w:cs="Arial"/>
          <w:bCs/>
          <w:sz w:val="20"/>
          <w:szCs w:val="20"/>
        </w:rPr>
        <w:t xml:space="preserve">Srivastava, S. C., et al. (1972). </w:t>
      </w:r>
      <w:r w:rsidRPr="0010197F">
        <w:rPr>
          <w:rFonts w:ascii="Arial" w:eastAsia="Times New Roman" w:hAnsi="Arial" w:cs="Arial"/>
          <w:bCs/>
          <w:i/>
          <w:iCs/>
          <w:sz w:val="20"/>
          <w:szCs w:val="20"/>
        </w:rPr>
        <w:t xml:space="preserve">A report on the geology, mineralization and exploration in </w:t>
      </w:r>
      <w:proofErr w:type="spellStart"/>
      <w:r w:rsidRPr="0010197F">
        <w:rPr>
          <w:rFonts w:ascii="Arial" w:eastAsia="Times New Roman" w:hAnsi="Arial" w:cs="Arial"/>
          <w:bCs/>
          <w:i/>
          <w:iCs/>
          <w:sz w:val="20"/>
          <w:szCs w:val="20"/>
        </w:rPr>
        <w:t>Papurna</w:t>
      </w:r>
      <w:proofErr w:type="spellEnd"/>
      <w:r w:rsidRPr="0010197F">
        <w:rPr>
          <w:rFonts w:ascii="Arial" w:eastAsia="Times New Roman" w:hAnsi="Arial" w:cs="Arial"/>
          <w:bCs/>
          <w:i/>
          <w:iCs/>
          <w:sz w:val="20"/>
          <w:szCs w:val="20"/>
        </w:rPr>
        <w:t xml:space="preserve"> section </w:t>
      </w:r>
      <w:proofErr w:type="spellStart"/>
      <w:r w:rsidRPr="0010197F">
        <w:rPr>
          <w:rFonts w:ascii="Arial" w:eastAsia="Times New Roman" w:hAnsi="Arial" w:cs="Arial"/>
          <w:bCs/>
          <w:i/>
          <w:iCs/>
          <w:sz w:val="20"/>
          <w:szCs w:val="20"/>
        </w:rPr>
        <w:t>Khetri</w:t>
      </w:r>
      <w:proofErr w:type="spellEnd"/>
      <w:r w:rsidRPr="0010197F">
        <w:rPr>
          <w:rFonts w:ascii="Arial" w:eastAsia="Times New Roman" w:hAnsi="Arial" w:cs="Arial"/>
          <w:bCs/>
          <w:i/>
          <w:iCs/>
          <w:sz w:val="20"/>
          <w:szCs w:val="20"/>
        </w:rPr>
        <w:t xml:space="preserve"> copper belt, Jhunjhunu districts, Rajasthan</w:t>
      </w:r>
      <w:r w:rsidRPr="0010197F">
        <w:rPr>
          <w:rFonts w:ascii="Arial" w:eastAsia="Times New Roman" w:hAnsi="Arial" w:cs="Arial"/>
          <w:bCs/>
          <w:sz w:val="20"/>
          <w:szCs w:val="20"/>
        </w:rPr>
        <w:t>. Unpublished progress report of GSI for the FS 1967–68 and 1970–71.</w:t>
      </w:r>
    </w:p>
    <w:p w14:paraId="4A154BFE" w14:textId="77777777" w:rsidR="00FE123F" w:rsidRDefault="00FE123F" w:rsidP="00962847">
      <w:pPr>
        <w:spacing w:after="0" w:line="240" w:lineRule="auto"/>
        <w:ind w:left="720" w:hanging="720"/>
        <w:contextualSpacing/>
        <w:jc w:val="both"/>
        <w:rPr>
          <w:rFonts w:ascii="Arial" w:eastAsia="Times New Roman" w:hAnsi="Arial" w:cs="Arial"/>
          <w:bCs/>
          <w:sz w:val="20"/>
          <w:szCs w:val="20"/>
        </w:rPr>
      </w:pPr>
      <w:r w:rsidRPr="0010197F">
        <w:rPr>
          <w:rFonts w:ascii="Arial" w:eastAsia="Times New Roman" w:hAnsi="Arial" w:cs="Arial"/>
          <w:bCs/>
          <w:sz w:val="20"/>
          <w:szCs w:val="20"/>
        </w:rPr>
        <w:t xml:space="preserve">Zhu, Z. (2016). Gold in iron oxide copper-gold deposits. </w:t>
      </w:r>
      <w:r w:rsidRPr="0010197F">
        <w:rPr>
          <w:rFonts w:ascii="Arial" w:eastAsia="Times New Roman" w:hAnsi="Arial" w:cs="Arial"/>
          <w:bCs/>
          <w:i/>
          <w:iCs/>
          <w:sz w:val="20"/>
          <w:szCs w:val="20"/>
        </w:rPr>
        <w:t>Ore Geology Reviews</w:t>
      </w:r>
      <w:r w:rsidRPr="0010197F">
        <w:rPr>
          <w:rFonts w:ascii="Arial" w:eastAsia="Times New Roman" w:hAnsi="Arial" w:cs="Arial"/>
          <w:bCs/>
          <w:sz w:val="20"/>
          <w:szCs w:val="20"/>
        </w:rPr>
        <w:t xml:space="preserve">, </w:t>
      </w:r>
      <w:r w:rsidRPr="0010197F">
        <w:rPr>
          <w:rFonts w:ascii="Arial" w:eastAsia="Times New Roman" w:hAnsi="Arial" w:cs="Arial"/>
          <w:bCs/>
          <w:i/>
          <w:iCs/>
          <w:sz w:val="20"/>
          <w:szCs w:val="20"/>
        </w:rPr>
        <w:t>72</w:t>
      </w:r>
      <w:r w:rsidRPr="0010197F">
        <w:rPr>
          <w:rFonts w:ascii="Arial" w:eastAsia="Times New Roman" w:hAnsi="Arial" w:cs="Arial"/>
          <w:bCs/>
          <w:sz w:val="20"/>
          <w:szCs w:val="20"/>
        </w:rPr>
        <w:t>, 37–42.</w:t>
      </w:r>
    </w:p>
    <w:p w14:paraId="56C9F59E" w14:textId="77777777" w:rsidR="003457A0" w:rsidRDefault="003457A0" w:rsidP="00962847">
      <w:pPr>
        <w:spacing w:after="0" w:line="240" w:lineRule="auto"/>
        <w:ind w:left="720" w:hanging="720"/>
        <w:contextualSpacing/>
        <w:jc w:val="both"/>
        <w:rPr>
          <w:rFonts w:ascii="Arial" w:eastAsia="Times New Roman" w:hAnsi="Arial" w:cs="Arial"/>
          <w:bCs/>
          <w:sz w:val="20"/>
          <w:szCs w:val="20"/>
        </w:rPr>
        <w:sectPr w:rsidR="003457A0" w:rsidSect="003457A0">
          <w:type w:val="continuous"/>
          <w:pgSz w:w="11909" w:h="16834" w:code="9"/>
          <w:pgMar w:top="1440" w:right="1440" w:bottom="1440" w:left="1440" w:header="720" w:footer="864" w:gutter="0"/>
          <w:cols w:num="2" w:space="288"/>
          <w:docGrid w:linePitch="360"/>
        </w:sectPr>
      </w:pPr>
    </w:p>
    <w:bookmarkEnd w:id="3"/>
    <w:p w14:paraId="7A627494" w14:textId="77777777" w:rsidR="001D4826" w:rsidRDefault="001D4826" w:rsidP="005653C2">
      <w:pPr>
        <w:spacing w:after="0" w:line="240" w:lineRule="auto"/>
        <w:contextualSpacing/>
        <w:jc w:val="both"/>
        <w:rPr>
          <w:rFonts w:ascii="Arial" w:eastAsia="Times New Roman" w:hAnsi="Arial" w:cs="Arial"/>
          <w:i/>
          <w:sz w:val="20"/>
          <w:szCs w:val="20"/>
        </w:rPr>
      </w:pPr>
    </w:p>
    <w:p w14:paraId="13C6C952" w14:textId="2A790D2E" w:rsidR="00BD7A95" w:rsidRPr="005653C2" w:rsidRDefault="00BD7A95" w:rsidP="005653C2">
      <w:pPr>
        <w:spacing w:after="0" w:line="240" w:lineRule="auto"/>
        <w:jc w:val="both"/>
        <w:rPr>
          <w:rFonts w:ascii="Arial" w:hAnsi="Arial" w:cs="Arial"/>
          <w:sz w:val="20"/>
        </w:rPr>
      </w:pPr>
    </w:p>
    <w:sectPr w:rsidR="00BD7A95" w:rsidRPr="005653C2" w:rsidSect="00320511">
      <w:type w:val="continuous"/>
      <w:pgSz w:w="11909" w:h="16834" w:code="9"/>
      <w:pgMar w:top="1440" w:right="1440" w:bottom="1440" w:left="1440" w:header="720" w:footer="115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082BE9" w14:textId="77777777" w:rsidR="009B7113" w:rsidRDefault="009B7113" w:rsidP="00BC3A09">
      <w:pPr>
        <w:spacing w:after="0" w:line="240" w:lineRule="auto"/>
      </w:pPr>
      <w:r>
        <w:separator/>
      </w:r>
    </w:p>
  </w:endnote>
  <w:endnote w:type="continuationSeparator" w:id="0">
    <w:p w14:paraId="4DD4BF16" w14:textId="77777777" w:rsidR="009B7113" w:rsidRDefault="009B7113" w:rsidP="00BC3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233681"/>
      <w:docPartObj>
        <w:docPartGallery w:val="Page Numbers (Bottom of Page)"/>
        <w:docPartUnique/>
      </w:docPartObj>
    </w:sdtPr>
    <w:sdtEndPr/>
    <w:sdtContent>
      <w:p w14:paraId="78EA102D" w14:textId="77777777" w:rsidR="008939AF" w:rsidRPr="00EF587A" w:rsidRDefault="008939AF">
        <w:pPr>
          <w:pStyle w:val="Footer"/>
          <w:jc w:val="center"/>
          <w:rPr>
            <w:rFonts w:ascii="Arial" w:hAnsi="Arial" w:cs="Arial"/>
            <w:sz w:val="28"/>
          </w:rPr>
        </w:pPr>
      </w:p>
      <w:p w14:paraId="467B742D" w14:textId="6C024DD7" w:rsidR="008939AF" w:rsidRDefault="000C6356">
        <w:pPr>
          <w:pStyle w:val="Footer"/>
          <w:jc w:val="center"/>
        </w:pPr>
        <w:r w:rsidRPr="008939AF">
          <w:rPr>
            <w:rFonts w:ascii="Arial" w:hAnsi="Arial" w:cs="Arial"/>
            <w:sz w:val="20"/>
          </w:rPr>
          <w:fldChar w:fldCharType="begin"/>
        </w:r>
        <w:r w:rsidR="008939AF" w:rsidRPr="008939AF">
          <w:rPr>
            <w:rFonts w:ascii="Arial" w:hAnsi="Arial" w:cs="Arial"/>
            <w:sz w:val="20"/>
          </w:rPr>
          <w:instrText xml:space="preserve"> PAGE   \* MERGEFORMAT </w:instrText>
        </w:r>
        <w:r w:rsidRPr="008939AF">
          <w:rPr>
            <w:rFonts w:ascii="Arial" w:hAnsi="Arial" w:cs="Arial"/>
            <w:sz w:val="20"/>
          </w:rPr>
          <w:fldChar w:fldCharType="separate"/>
        </w:r>
        <w:r w:rsidR="005F6882">
          <w:rPr>
            <w:rFonts w:ascii="Arial" w:hAnsi="Arial" w:cs="Arial"/>
            <w:noProof/>
            <w:sz w:val="20"/>
          </w:rPr>
          <w:t>9</w:t>
        </w:r>
        <w:r w:rsidRPr="008939AF">
          <w:rPr>
            <w:rFonts w:ascii="Arial" w:hAnsi="Arial" w:cs="Arial"/>
            <w:sz w:val="20"/>
          </w:rPr>
          <w:fldChar w:fldCharType="end"/>
        </w:r>
      </w:p>
    </w:sdtContent>
  </w:sdt>
  <w:p w14:paraId="0924B67F" w14:textId="77777777" w:rsidR="00EF587A" w:rsidRPr="00EF587A" w:rsidRDefault="00EF587A">
    <w:pPr>
      <w:pStyle w:val="Footer"/>
      <w:jc w:val="center"/>
      <w:rPr>
        <w:rFonts w:ascii="Arial" w:hAnsi="Arial" w:cs="Arial"/>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951D8" w14:textId="77777777" w:rsidR="008939AF" w:rsidRPr="00F322DF" w:rsidRDefault="008939AF" w:rsidP="00F322DF">
    <w:pPr>
      <w:pStyle w:val="Footer"/>
      <w:jc w:val="both"/>
      <w:rPr>
        <w:rFonts w:ascii="Arial" w:hAnsi="Arial" w:cs="Arial"/>
        <w:i/>
        <w:sz w:val="16"/>
      </w:rPr>
    </w:pPr>
    <w:r w:rsidRPr="00F322DF">
      <w:rPr>
        <w:rFonts w:ascii="Arial" w:hAnsi="Arial" w:cs="Arial"/>
        <w:i/>
        <w:sz w:val="16"/>
      </w:rPr>
      <w:t>____________________________________________________________________________________________</w:t>
    </w:r>
    <w:r w:rsidR="00153D47">
      <w:rPr>
        <w:rFonts w:ascii="Arial" w:hAnsi="Arial" w:cs="Arial"/>
        <w:i/>
        <w:sz w:val="16"/>
      </w:rPr>
      <w:t>_________</w:t>
    </w:r>
  </w:p>
  <w:p w14:paraId="68D5908D" w14:textId="77777777" w:rsidR="008939AF" w:rsidRPr="00F322DF" w:rsidRDefault="008939AF" w:rsidP="00F322DF">
    <w:pPr>
      <w:pStyle w:val="Footer"/>
      <w:jc w:val="both"/>
      <w:rPr>
        <w:rFonts w:ascii="Arial" w:hAnsi="Arial" w:cs="Arial"/>
        <w:i/>
        <w:sz w:val="16"/>
      </w:rPr>
    </w:pPr>
  </w:p>
  <w:p w14:paraId="64175D31" w14:textId="77777777" w:rsidR="008939AF" w:rsidRDefault="008939AF" w:rsidP="00F322DF">
    <w:pPr>
      <w:pStyle w:val="Footer"/>
      <w:jc w:val="both"/>
      <w:rPr>
        <w:rFonts w:ascii="Arial" w:hAnsi="Arial" w:cs="Arial"/>
        <w:i/>
        <w:sz w:val="16"/>
      </w:rPr>
    </w:pPr>
    <w:r w:rsidRPr="00F322DF">
      <w:rPr>
        <w:rFonts w:ascii="Arial" w:hAnsi="Arial" w:cs="Arial"/>
        <w:i/>
        <w:sz w:val="16"/>
      </w:rPr>
      <w:t>*Corresponding author: E</w:t>
    </w:r>
    <w:r w:rsidR="00AA52D0">
      <w:rPr>
        <w:rFonts w:ascii="Arial" w:hAnsi="Arial" w:cs="Arial"/>
        <w:i/>
        <w:sz w:val="16"/>
      </w:rPr>
      <w:t>-</w:t>
    </w:r>
    <w:r w:rsidRPr="00F322DF">
      <w:rPr>
        <w:rFonts w:ascii="Arial" w:hAnsi="Arial" w:cs="Arial"/>
        <w:i/>
        <w:sz w:val="16"/>
      </w:rPr>
      <w:t xml:space="preserve">mail: </w:t>
    </w:r>
    <w:r w:rsidR="003F10FB" w:rsidRPr="003F10FB">
      <w:rPr>
        <w:rFonts w:ascii="Arial" w:hAnsi="Arial" w:cs="Arial"/>
        <w:i/>
        <w:sz w:val="16"/>
        <w:highlight w:val="yellow"/>
      </w:rPr>
      <w:t>……………………………………</w:t>
    </w:r>
    <w:proofErr w:type="gramStart"/>
    <w:r w:rsidR="003F10FB" w:rsidRPr="003F10FB">
      <w:rPr>
        <w:rFonts w:ascii="Arial" w:hAnsi="Arial" w:cs="Arial"/>
        <w:i/>
        <w:sz w:val="16"/>
        <w:highlight w:val="yellow"/>
      </w:rPr>
      <w:t>…..</w:t>
    </w:r>
    <w:proofErr w:type="gramEnd"/>
    <w:r w:rsidR="002552B9" w:rsidRPr="003F10FB">
      <w:rPr>
        <w:rFonts w:ascii="Arial" w:hAnsi="Arial" w:cs="Arial"/>
        <w:i/>
        <w:sz w:val="16"/>
        <w:highlight w:val="yellow"/>
      </w:rPr>
      <w:t>;</w:t>
    </w:r>
  </w:p>
  <w:p w14:paraId="6F5F172F" w14:textId="77777777" w:rsidR="00481B62" w:rsidRDefault="00481B62" w:rsidP="00F322DF">
    <w:pPr>
      <w:pStyle w:val="Footer"/>
      <w:jc w:val="both"/>
      <w:rPr>
        <w:rFonts w:ascii="Arial" w:hAnsi="Arial" w:cs="Arial"/>
        <w:i/>
        <w:sz w:val="16"/>
      </w:rPr>
    </w:pPr>
  </w:p>
  <w:p w14:paraId="0E06670E" w14:textId="77777777" w:rsidR="00D0107B" w:rsidRDefault="00D0107B" w:rsidP="00D0107B">
    <w:pPr>
      <w:pStyle w:val="Footer"/>
      <w:jc w:val="both"/>
      <w:rPr>
        <w:rFonts w:ascii="Arial" w:hAnsi="Arial" w:cs="Arial"/>
        <w:b/>
        <w:bCs/>
        <w:i/>
        <w:sz w:val="16"/>
      </w:rPr>
    </w:pPr>
    <w:r w:rsidRPr="00932C11">
      <w:rPr>
        <w:rFonts w:ascii="Arial" w:hAnsi="Arial" w:cs="Arial"/>
        <w:b/>
        <w:bCs/>
        <w:i/>
        <w:sz w:val="16"/>
      </w:rPr>
      <w:t>Cite as:</w:t>
    </w:r>
  </w:p>
  <w:p w14:paraId="26AC40DB" w14:textId="77777777" w:rsidR="00D0107B" w:rsidRDefault="00D0107B" w:rsidP="00D0107B">
    <w:pPr>
      <w:pStyle w:val="Footer"/>
      <w:jc w:val="both"/>
      <w:rPr>
        <w:rFonts w:ascii="Arial" w:hAnsi="Arial" w:cs="Arial"/>
        <w:i/>
        <w:sz w:val="16"/>
      </w:rPr>
    </w:pPr>
  </w:p>
  <w:p w14:paraId="7E8465D9" w14:textId="77777777" w:rsidR="0012422C" w:rsidRDefault="0012422C" w:rsidP="00D0107B">
    <w:pPr>
      <w:pStyle w:val="Footer"/>
      <w:jc w:val="both"/>
      <w:rPr>
        <w:rFonts w:ascii="Arial" w:hAnsi="Arial" w:cs="Arial"/>
        <w:i/>
        <w:sz w:val="16"/>
      </w:rPr>
    </w:pPr>
  </w:p>
  <w:p w14:paraId="3940D0F3" w14:textId="77777777" w:rsidR="00D0107B" w:rsidRPr="00932C11" w:rsidRDefault="00D0107B" w:rsidP="00D0107B">
    <w:pPr>
      <w:pStyle w:val="Footer"/>
      <w:jc w:val="both"/>
      <w:rPr>
        <w:rFonts w:ascii="Arial" w:hAnsi="Arial" w:cs="Arial"/>
        <w:i/>
        <w:sz w:val="16"/>
      </w:rPr>
    </w:pPr>
  </w:p>
  <w:p w14:paraId="649A7DED" w14:textId="77777777" w:rsidR="00EF587A" w:rsidRPr="00D0107B" w:rsidRDefault="00EF587A" w:rsidP="00F322DF">
    <w:pPr>
      <w:pStyle w:val="Footer"/>
      <w:jc w:val="both"/>
      <w:rPr>
        <w:rFonts w:ascii="Arial" w:hAnsi="Arial" w:cs="Arial"/>
        <w:b/>
        <w:i/>
        <w:sz w:val="20"/>
        <w:szCs w:val="28"/>
      </w:rPr>
    </w:pPr>
  </w:p>
  <w:p w14:paraId="15DDDC12" w14:textId="77777777" w:rsidR="00EF587A" w:rsidRPr="00D0107B" w:rsidRDefault="00EF587A" w:rsidP="00F322DF">
    <w:pPr>
      <w:pStyle w:val="Footer"/>
      <w:jc w:val="both"/>
      <w:rPr>
        <w:rFonts w:ascii="Arial" w:hAnsi="Arial" w:cs="Arial"/>
        <w:b/>
        <w:i/>
        <w:sz w:val="20"/>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A15956" w14:textId="77777777" w:rsidR="009B7113" w:rsidRDefault="009B7113" w:rsidP="00BC3A09">
      <w:pPr>
        <w:spacing w:after="0" w:line="240" w:lineRule="auto"/>
      </w:pPr>
      <w:r>
        <w:separator/>
      </w:r>
    </w:p>
  </w:footnote>
  <w:footnote w:type="continuationSeparator" w:id="0">
    <w:p w14:paraId="09DE8CAF" w14:textId="77777777" w:rsidR="009B7113" w:rsidRDefault="009B7113" w:rsidP="00BC3A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ECD39" w14:textId="77777777" w:rsidR="008939AF" w:rsidRDefault="008939AF" w:rsidP="0002037D">
    <w:pPr>
      <w:tabs>
        <w:tab w:val="center" w:pos="4320"/>
        <w:tab w:val="right" w:pos="8640"/>
      </w:tabs>
      <w:spacing w:after="0" w:line="240" w:lineRule="auto"/>
      <w:jc w:val="right"/>
      <w:rPr>
        <w:rFonts w:ascii="Arial" w:eastAsia="Times New Roman" w:hAnsi="Arial" w:cs="Arial"/>
        <w:i/>
        <w:sz w:val="16"/>
        <w:szCs w:val="20"/>
        <w:highlight w:val="yellow"/>
      </w:rPr>
    </w:pPr>
  </w:p>
  <w:p w14:paraId="78C3D17B" w14:textId="77777777" w:rsidR="008939AF" w:rsidRDefault="008939AF" w:rsidP="0002037D">
    <w:pPr>
      <w:tabs>
        <w:tab w:val="center" w:pos="4320"/>
        <w:tab w:val="right" w:pos="8640"/>
      </w:tabs>
      <w:spacing w:after="0" w:line="240" w:lineRule="auto"/>
      <w:jc w:val="right"/>
      <w:rPr>
        <w:rFonts w:ascii="Arial" w:eastAsia="Times New Roman" w:hAnsi="Arial" w:cs="Arial"/>
        <w:i/>
        <w:sz w:val="16"/>
        <w:szCs w:val="20"/>
        <w:highlight w:val="yellow"/>
      </w:rPr>
    </w:pPr>
  </w:p>
  <w:p w14:paraId="0B484A5B" w14:textId="77777777" w:rsidR="008939AF" w:rsidRDefault="008939AF" w:rsidP="0002037D">
    <w:pPr>
      <w:tabs>
        <w:tab w:val="center" w:pos="4320"/>
        <w:tab w:val="right" w:pos="8640"/>
      </w:tabs>
      <w:spacing w:after="0" w:line="240" w:lineRule="auto"/>
      <w:jc w:val="right"/>
      <w:rPr>
        <w:rFonts w:ascii="Arial" w:eastAsia="Times New Roman" w:hAnsi="Arial" w:cs="Arial"/>
        <w:i/>
        <w:sz w:val="16"/>
        <w:szCs w:val="20"/>
        <w:highlight w:val="yellow"/>
      </w:rPr>
    </w:pPr>
  </w:p>
  <w:p w14:paraId="6F594379" w14:textId="77777777" w:rsidR="008939AF" w:rsidRDefault="008939AF" w:rsidP="0002037D">
    <w:pPr>
      <w:tabs>
        <w:tab w:val="center" w:pos="4320"/>
        <w:tab w:val="right" w:pos="8640"/>
      </w:tabs>
      <w:spacing w:after="0" w:line="240" w:lineRule="auto"/>
      <w:jc w:val="right"/>
      <w:rPr>
        <w:rFonts w:ascii="Arial" w:eastAsia="Times New Roman" w:hAnsi="Arial" w:cs="Arial"/>
        <w:i/>
        <w:sz w:val="16"/>
        <w:szCs w:val="20"/>
        <w:highlight w:val="yellow"/>
      </w:rPr>
    </w:pPr>
  </w:p>
  <w:p w14:paraId="1D871BE2" w14:textId="77777777" w:rsidR="008939AF" w:rsidRPr="0002037D" w:rsidRDefault="008939AF" w:rsidP="0002037D">
    <w:pPr>
      <w:tabs>
        <w:tab w:val="center" w:pos="4320"/>
        <w:tab w:val="right" w:pos="8640"/>
      </w:tabs>
      <w:spacing w:after="0" w:line="240" w:lineRule="auto"/>
      <w:jc w:val="right"/>
      <w:rPr>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44EDF" w14:textId="77777777" w:rsidR="00EF587A" w:rsidRDefault="00EF587A" w:rsidP="00EF587A">
    <w:pPr>
      <w:pStyle w:val="Header"/>
      <w:tabs>
        <w:tab w:val="clear" w:pos="468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C5E36"/>
    <w:multiLevelType w:val="hybridMultilevel"/>
    <w:tmpl w:val="F0AA3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C73A05"/>
    <w:multiLevelType w:val="hybridMultilevel"/>
    <w:tmpl w:val="33FCD5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F425D3"/>
    <w:multiLevelType w:val="hybridMultilevel"/>
    <w:tmpl w:val="7C462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82395C"/>
    <w:multiLevelType w:val="hybridMultilevel"/>
    <w:tmpl w:val="9C666050"/>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365B0402"/>
    <w:multiLevelType w:val="hybridMultilevel"/>
    <w:tmpl w:val="BC189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107D29"/>
    <w:multiLevelType w:val="hybridMultilevel"/>
    <w:tmpl w:val="E1586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7DC7F1A"/>
    <w:multiLevelType w:val="multilevel"/>
    <w:tmpl w:val="AAC2893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6"/>
  </w:num>
  <w:num w:numId="3">
    <w:abstractNumId w:val="2"/>
  </w:num>
  <w:num w:numId="4">
    <w:abstractNumId w:val="0"/>
  </w:num>
  <w:num w:numId="5">
    <w:abstractNumId w:val="1"/>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DC2NDO1tDC1sDAxNLdU0lEKTi0uzszPAykwrAUAFD8H3iwAAAA="/>
  </w:docVars>
  <w:rsids>
    <w:rsidRoot w:val="00BC3A09"/>
    <w:rsid w:val="0001745C"/>
    <w:rsid w:val="0002037D"/>
    <w:rsid w:val="00042B8D"/>
    <w:rsid w:val="0004319C"/>
    <w:rsid w:val="00043231"/>
    <w:rsid w:val="00052AB8"/>
    <w:rsid w:val="00063E5A"/>
    <w:rsid w:val="00073289"/>
    <w:rsid w:val="00074145"/>
    <w:rsid w:val="0007628D"/>
    <w:rsid w:val="000915A4"/>
    <w:rsid w:val="00096048"/>
    <w:rsid w:val="00097EAE"/>
    <w:rsid w:val="000B75DD"/>
    <w:rsid w:val="000C2DA5"/>
    <w:rsid w:val="000C5F62"/>
    <w:rsid w:val="000C6356"/>
    <w:rsid w:val="000D081A"/>
    <w:rsid w:val="000D4E9B"/>
    <w:rsid w:val="000D6107"/>
    <w:rsid w:val="000E2AAE"/>
    <w:rsid w:val="000E7EDB"/>
    <w:rsid w:val="000F7EB0"/>
    <w:rsid w:val="0010197F"/>
    <w:rsid w:val="001037BE"/>
    <w:rsid w:val="00122DD0"/>
    <w:rsid w:val="00123652"/>
    <w:rsid w:val="0012422C"/>
    <w:rsid w:val="001272FB"/>
    <w:rsid w:val="001363DE"/>
    <w:rsid w:val="0014301A"/>
    <w:rsid w:val="00150821"/>
    <w:rsid w:val="00153D47"/>
    <w:rsid w:val="00154488"/>
    <w:rsid w:val="00165A81"/>
    <w:rsid w:val="00167625"/>
    <w:rsid w:val="00175012"/>
    <w:rsid w:val="0018348E"/>
    <w:rsid w:val="001843EF"/>
    <w:rsid w:val="001908EF"/>
    <w:rsid w:val="00190CFB"/>
    <w:rsid w:val="0019165C"/>
    <w:rsid w:val="001A18A7"/>
    <w:rsid w:val="001A762C"/>
    <w:rsid w:val="001B06A2"/>
    <w:rsid w:val="001B06FF"/>
    <w:rsid w:val="001C19A9"/>
    <w:rsid w:val="001C1FD2"/>
    <w:rsid w:val="001C4B0D"/>
    <w:rsid w:val="001D36C2"/>
    <w:rsid w:val="001D4826"/>
    <w:rsid w:val="001D50F4"/>
    <w:rsid w:val="001E4A9B"/>
    <w:rsid w:val="001E4EE9"/>
    <w:rsid w:val="001E5AC6"/>
    <w:rsid w:val="001E673F"/>
    <w:rsid w:val="001F2FCA"/>
    <w:rsid w:val="002001AC"/>
    <w:rsid w:val="00204BC9"/>
    <w:rsid w:val="002065A5"/>
    <w:rsid w:val="00211F20"/>
    <w:rsid w:val="002128EE"/>
    <w:rsid w:val="00217E6A"/>
    <w:rsid w:val="002249B2"/>
    <w:rsid w:val="0024570E"/>
    <w:rsid w:val="002552B9"/>
    <w:rsid w:val="002575E6"/>
    <w:rsid w:val="00260707"/>
    <w:rsid w:val="00270C54"/>
    <w:rsid w:val="00280E50"/>
    <w:rsid w:val="00283AAA"/>
    <w:rsid w:val="002B26BC"/>
    <w:rsid w:val="002C0D35"/>
    <w:rsid w:val="002C381C"/>
    <w:rsid w:val="002C3BB8"/>
    <w:rsid w:val="002C5293"/>
    <w:rsid w:val="002C53FA"/>
    <w:rsid w:val="002D33C7"/>
    <w:rsid w:val="002D6FAD"/>
    <w:rsid w:val="002E579A"/>
    <w:rsid w:val="002F3BB5"/>
    <w:rsid w:val="003001DB"/>
    <w:rsid w:val="00317B75"/>
    <w:rsid w:val="00320511"/>
    <w:rsid w:val="003205C9"/>
    <w:rsid w:val="00320D35"/>
    <w:rsid w:val="00322EEF"/>
    <w:rsid w:val="00333787"/>
    <w:rsid w:val="00335795"/>
    <w:rsid w:val="00342A4E"/>
    <w:rsid w:val="003457A0"/>
    <w:rsid w:val="00350D58"/>
    <w:rsid w:val="00370CCD"/>
    <w:rsid w:val="00381739"/>
    <w:rsid w:val="00397809"/>
    <w:rsid w:val="00397F4E"/>
    <w:rsid w:val="003A5459"/>
    <w:rsid w:val="003B516A"/>
    <w:rsid w:val="003C12B0"/>
    <w:rsid w:val="003C2A76"/>
    <w:rsid w:val="003E61CD"/>
    <w:rsid w:val="003E7549"/>
    <w:rsid w:val="003E7EAE"/>
    <w:rsid w:val="003F10FB"/>
    <w:rsid w:val="00406503"/>
    <w:rsid w:val="004117FB"/>
    <w:rsid w:val="004150AA"/>
    <w:rsid w:val="004153D8"/>
    <w:rsid w:val="004365E1"/>
    <w:rsid w:val="004419B9"/>
    <w:rsid w:val="00442AED"/>
    <w:rsid w:val="0044483A"/>
    <w:rsid w:val="00453628"/>
    <w:rsid w:val="004624CB"/>
    <w:rsid w:val="00481B62"/>
    <w:rsid w:val="004826D4"/>
    <w:rsid w:val="00482CEA"/>
    <w:rsid w:val="0048601D"/>
    <w:rsid w:val="004966C0"/>
    <w:rsid w:val="00497903"/>
    <w:rsid w:val="004A3B82"/>
    <w:rsid w:val="004A5CC2"/>
    <w:rsid w:val="004A7912"/>
    <w:rsid w:val="004B7F30"/>
    <w:rsid w:val="004C7302"/>
    <w:rsid w:val="004C7B99"/>
    <w:rsid w:val="00510378"/>
    <w:rsid w:val="005158EF"/>
    <w:rsid w:val="005161CE"/>
    <w:rsid w:val="005443C7"/>
    <w:rsid w:val="0055259F"/>
    <w:rsid w:val="005536C0"/>
    <w:rsid w:val="00564312"/>
    <w:rsid w:val="005653C2"/>
    <w:rsid w:val="00572B3D"/>
    <w:rsid w:val="00590A2B"/>
    <w:rsid w:val="00592510"/>
    <w:rsid w:val="005929CC"/>
    <w:rsid w:val="00592D54"/>
    <w:rsid w:val="00597875"/>
    <w:rsid w:val="005A113D"/>
    <w:rsid w:val="005B297E"/>
    <w:rsid w:val="005B4F0E"/>
    <w:rsid w:val="005B6832"/>
    <w:rsid w:val="005B7584"/>
    <w:rsid w:val="005D05EF"/>
    <w:rsid w:val="005D1256"/>
    <w:rsid w:val="005D6185"/>
    <w:rsid w:val="005D6397"/>
    <w:rsid w:val="005D7836"/>
    <w:rsid w:val="005E22FA"/>
    <w:rsid w:val="005F6882"/>
    <w:rsid w:val="00614A8C"/>
    <w:rsid w:val="006201EB"/>
    <w:rsid w:val="006202A4"/>
    <w:rsid w:val="006238A2"/>
    <w:rsid w:val="00627B0B"/>
    <w:rsid w:val="0063214C"/>
    <w:rsid w:val="00644648"/>
    <w:rsid w:val="006544F6"/>
    <w:rsid w:val="0066102A"/>
    <w:rsid w:val="006624D2"/>
    <w:rsid w:val="00663B00"/>
    <w:rsid w:val="00671515"/>
    <w:rsid w:val="00687C27"/>
    <w:rsid w:val="006937C6"/>
    <w:rsid w:val="006B5C1B"/>
    <w:rsid w:val="006C15E2"/>
    <w:rsid w:val="006C277A"/>
    <w:rsid w:val="006C29D7"/>
    <w:rsid w:val="00701F76"/>
    <w:rsid w:val="00707516"/>
    <w:rsid w:val="007126E6"/>
    <w:rsid w:val="00723F29"/>
    <w:rsid w:val="0074576D"/>
    <w:rsid w:val="007457D0"/>
    <w:rsid w:val="00747530"/>
    <w:rsid w:val="00747B70"/>
    <w:rsid w:val="00755696"/>
    <w:rsid w:val="00767FE9"/>
    <w:rsid w:val="007829DD"/>
    <w:rsid w:val="0079208C"/>
    <w:rsid w:val="007A2874"/>
    <w:rsid w:val="007B37FA"/>
    <w:rsid w:val="007B4F08"/>
    <w:rsid w:val="007D412D"/>
    <w:rsid w:val="007E13E2"/>
    <w:rsid w:val="008071AC"/>
    <w:rsid w:val="00821B8D"/>
    <w:rsid w:val="008271B4"/>
    <w:rsid w:val="0083061C"/>
    <w:rsid w:val="00841957"/>
    <w:rsid w:val="00866A99"/>
    <w:rsid w:val="0087462A"/>
    <w:rsid w:val="00893243"/>
    <w:rsid w:val="008939AF"/>
    <w:rsid w:val="00894CD3"/>
    <w:rsid w:val="008B0B29"/>
    <w:rsid w:val="008B267E"/>
    <w:rsid w:val="008B7B29"/>
    <w:rsid w:val="008C5645"/>
    <w:rsid w:val="008D29E0"/>
    <w:rsid w:val="008D415A"/>
    <w:rsid w:val="008D493D"/>
    <w:rsid w:val="008D4BBD"/>
    <w:rsid w:val="008E2AB2"/>
    <w:rsid w:val="008F1A89"/>
    <w:rsid w:val="008F6828"/>
    <w:rsid w:val="009148FD"/>
    <w:rsid w:val="00930D3C"/>
    <w:rsid w:val="00943F97"/>
    <w:rsid w:val="00944A6A"/>
    <w:rsid w:val="00952568"/>
    <w:rsid w:val="00956CBB"/>
    <w:rsid w:val="0095749F"/>
    <w:rsid w:val="009623EF"/>
    <w:rsid w:val="00962847"/>
    <w:rsid w:val="00963F46"/>
    <w:rsid w:val="00966D0B"/>
    <w:rsid w:val="0097414C"/>
    <w:rsid w:val="009774C5"/>
    <w:rsid w:val="0098354B"/>
    <w:rsid w:val="00987105"/>
    <w:rsid w:val="0099154E"/>
    <w:rsid w:val="009A570A"/>
    <w:rsid w:val="009B1CAD"/>
    <w:rsid w:val="009B2761"/>
    <w:rsid w:val="009B5826"/>
    <w:rsid w:val="009B7113"/>
    <w:rsid w:val="009D2E41"/>
    <w:rsid w:val="009E5A81"/>
    <w:rsid w:val="00A0012D"/>
    <w:rsid w:val="00A00ED0"/>
    <w:rsid w:val="00A119F0"/>
    <w:rsid w:val="00A21431"/>
    <w:rsid w:val="00A30706"/>
    <w:rsid w:val="00A3117B"/>
    <w:rsid w:val="00A33A0A"/>
    <w:rsid w:val="00A34505"/>
    <w:rsid w:val="00A34B9F"/>
    <w:rsid w:val="00A42E0D"/>
    <w:rsid w:val="00A51734"/>
    <w:rsid w:val="00A549C2"/>
    <w:rsid w:val="00A5521D"/>
    <w:rsid w:val="00A553F8"/>
    <w:rsid w:val="00A573B6"/>
    <w:rsid w:val="00A626B3"/>
    <w:rsid w:val="00A8336F"/>
    <w:rsid w:val="00A8786E"/>
    <w:rsid w:val="00AA52D0"/>
    <w:rsid w:val="00AB0A33"/>
    <w:rsid w:val="00AB4B93"/>
    <w:rsid w:val="00AC0B00"/>
    <w:rsid w:val="00AC28BB"/>
    <w:rsid w:val="00AE6034"/>
    <w:rsid w:val="00AF7A67"/>
    <w:rsid w:val="00AF7DF7"/>
    <w:rsid w:val="00B13A5D"/>
    <w:rsid w:val="00B2068E"/>
    <w:rsid w:val="00B22D82"/>
    <w:rsid w:val="00B3120B"/>
    <w:rsid w:val="00B31EC3"/>
    <w:rsid w:val="00B425D6"/>
    <w:rsid w:val="00B46A0B"/>
    <w:rsid w:val="00B71869"/>
    <w:rsid w:val="00B74667"/>
    <w:rsid w:val="00B856AB"/>
    <w:rsid w:val="00B85892"/>
    <w:rsid w:val="00BA2876"/>
    <w:rsid w:val="00BA5ABD"/>
    <w:rsid w:val="00BA6187"/>
    <w:rsid w:val="00BB0032"/>
    <w:rsid w:val="00BB19E8"/>
    <w:rsid w:val="00BB501D"/>
    <w:rsid w:val="00BB6022"/>
    <w:rsid w:val="00BC2F0F"/>
    <w:rsid w:val="00BC3A09"/>
    <w:rsid w:val="00BC541D"/>
    <w:rsid w:val="00BD7A95"/>
    <w:rsid w:val="00BE3B11"/>
    <w:rsid w:val="00BF2592"/>
    <w:rsid w:val="00BF7CD2"/>
    <w:rsid w:val="00C2147A"/>
    <w:rsid w:val="00C22B68"/>
    <w:rsid w:val="00C25A7D"/>
    <w:rsid w:val="00C26F16"/>
    <w:rsid w:val="00C31F03"/>
    <w:rsid w:val="00C410C6"/>
    <w:rsid w:val="00C4437E"/>
    <w:rsid w:val="00C45470"/>
    <w:rsid w:val="00C471E6"/>
    <w:rsid w:val="00C64D2C"/>
    <w:rsid w:val="00C73BDF"/>
    <w:rsid w:val="00C74284"/>
    <w:rsid w:val="00C77F06"/>
    <w:rsid w:val="00CB2372"/>
    <w:rsid w:val="00CB28AA"/>
    <w:rsid w:val="00CB42D5"/>
    <w:rsid w:val="00CB7D0D"/>
    <w:rsid w:val="00CC4470"/>
    <w:rsid w:val="00CD2841"/>
    <w:rsid w:val="00CD6C91"/>
    <w:rsid w:val="00CF14D9"/>
    <w:rsid w:val="00CF43C8"/>
    <w:rsid w:val="00D0107B"/>
    <w:rsid w:val="00D048FB"/>
    <w:rsid w:val="00D2012D"/>
    <w:rsid w:val="00D201DB"/>
    <w:rsid w:val="00D278CF"/>
    <w:rsid w:val="00D4392C"/>
    <w:rsid w:val="00D62180"/>
    <w:rsid w:val="00D81062"/>
    <w:rsid w:val="00D860A0"/>
    <w:rsid w:val="00DE088D"/>
    <w:rsid w:val="00DE3090"/>
    <w:rsid w:val="00DE3256"/>
    <w:rsid w:val="00DE68B2"/>
    <w:rsid w:val="00DE69D5"/>
    <w:rsid w:val="00DF5D9D"/>
    <w:rsid w:val="00DF66A5"/>
    <w:rsid w:val="00E03241"/>
    <w:rsid w:val="00E25A8B"/>
    <w:rsid w:val="00E50E83"/>
    <w:rsid w:val="00E57DD7"/>
    <w:rsid w:val="00E706AE"/>
    <w:rsid w:val="00E75CF4"/>
    <w:rsid w:val="00E84BF0"/>
    <w:rsid w:val="00E8681F"/>
    <w:rsid w:val="00E90DD2"/>
    <w:rsid w:val="00E946E8"/>
    <w:rsid w:val="00E95A1A"/>
    <w:rsid w:val="00EA2033"/>
    <w:rsid w:val="00EA4ABE"/>
    <w:rsid w:val="00EB2074"/>
    <w:rsid w:val="00EB3F1B"/>
    <w:rsid w:val="00EC4D36"/>
    <w:rsid w:val="00EC4DA6"/>
    <w:rsid w:val="00EE5ED4"/>
    <w:rsid w:val="00EF2987"/>
    <w:rsid w:val="00EF587A"/>
    <w:rsid w:val="00F16C45"/>
    <w:rsid w:val="00F322DF"/>
    <w:rsid w:val="00F47053"/>
    <w:rsid w:val="00F47BBA"/>
    <w:rsid w:val="00F64700"/>
    <w:rsid w:val="00F73B6B"/>
    <w:rsid w:val="00F73FB3"/>
    <w:rsid w:val="00FA0EE9"/>
    <w:rsid w:val="00FA74C6"/>
    <w:rsid w:val="00FB2D2D"/>
    <w:rsid w:val="00FB77CA"/>
    <w:rsid w:val="00FC227E"/>
    <w:rsid w:val="00FC78DC"/>
    <w:rsid w:val="00FD3605"/>
    <w:rsid w:val="00FD4C7D"/>
    <w:rsid w:val="00FE0BB7"/>
    <w:rsid w:val="00FE123F"/>
    <w:rsid w:val="00FE3A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3" type="connector" idref="#_x0000_s1274"/>
        <o:r id="V:Rule4" type="connector" idref="#_x0000_s1273"/>
      </o:rules>
    </o:shapelayout>
  </w:shapeDefaults>
  <w:decimalSymbol w:val="."/>
  <w:listSeparator w:val=","/>
  <w14:docId w14:val="336AE2C7"/>
  <w15:docId w15:val="{03806AF7-2683-4C1E-AEBE-896BA95CD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2AED"/>
  </w:style>
  <w:style w:type="paragraph" w:styleId="Heading1">
    <w:name w:val="heading 1"/>
    <w:basedOn w:val="Normal"/>
    <w:next w:val="Normal"/>
    <w:link w:val="Heading1Char"/>
    <w:uiPriority w:val="9"/>
    <w:qFormat/>
    <w:rsid w:val="00AF7DF7"/>
    <w:pPr>
      <w:keepNext/>
      <w:keepLines/>
      <w:spacing w:after="0" w:line="240" w:lineRule="auto"/>
      <w:jc w:val="right"/>
      <w:outlineLvl w:val="0"/>
    </w:pPr>
    <w:rPr>
      <w:rFonts w:ascii="Arial" w:eastAsiaTheme="majorEastAsia" w:hAnsi="Arial" w:cstheme="majorBidi"/>
      <w:b/>
      <w:bCs/>
      <w:sz w:val="36"/>
      <w:szCs w:val="28"/>
    </w:rPr>
  </w:style>
  <w:style w:type="paragraph" w:styleId="Heading2">
    <w:name w:val="heading 2"/>
    <w:basedOn w:val="Normal"/>
    <w:next w:val="Normal"/>
    <w:link w:val="Heading2Char"/>
    <w:uiPriority w:val="9"/>
    <w:unhideWhenUsed/>
    <w:qFormat/>
    <w:rsid w:val="00AF7DF7"/>
    <w:pPr>
      <w:keepNext/>
      <w:keepLines/>
      <w:spacing w:after="0" w:line="240" w:lineRule="auto"/>
      <w:jc w:val="both"/>
      <w:outlineLvl w:val="1"/>
    </w:pPr>
    <w:rPr>
      <w:rFonts w:ascii="Arial" w:eastAsiaTheme="majorEastAsia" w:hAnsi="Arial" w:cstheme="majorBidi"/>
      <w:b/>
      <w:bCs/>
      <w:szCs w:val="26"/>
    </w:rPr>
  </w:style>
  <w:style w:type="paragraph" w:styleId="Heading3">
    <w:name w:val="heading 3"/>
    <w:basedOn w:val="Normal"/>
    <w:next w:val="Normal"/>
    <w:link w:val="Heading3Char"/>
    <w:uiPriority w:val="9"/>
    <w:unhideWhenUsed/>
    <w:qFormat/>
    <w:rsid w:val="00AF7DF7"/>
    <w:pPr>
      <w:keepNext/>
      <w:keepLines/>
      <w:spacing w:after="0" w:line="240" w:lineRule="auto"/>
      <w:ind w:left="2160"/>
      <w:outlineLvl w:val="2"/>
    </w:pPr>
    <w:rPr>
      <w:rFonts w:ascii="Arial" w:eastAsiaTheme="majorEastAsia" w:hAnsi="Arial" w:cstheme="majorBidi"/>
      <w:b/>
      <w:bCs/>
      <w:i/>
      <w:sz w:val="24"/>
    </w:rPr>
  </w:style>
  <w:style w:type="paragraph" w:styleId="Heading4">
    <w:name w:val="heading 4"/>
    <w:basedOn w:val="Normal"/>
    <w:next w:val="Normal"/>
    <w:link w:val="Heading4Char"/>
    <w:uiPriority w:val="9"/>
    <w:unhideWhenUsed/>
    <w:qFormat/>
    <w:rsid w:val="00AF7DF7"/>
    <w:pPr>
      <w:keepNext/>
      <w:keepLines/>
      <w:spacing w:after="0" w:line="240" w:lineRule="auto"/>
      <w:ind w:left="2160"/>
      <w:outlineLvl w:val="3"/>
    </w:pPr>
    <w:rPr>
      <w:rFonts w:ascii="Arial" w:eastAsiaTheme="majorEastAsia" w:hAnsi="Arial" w:cstheme="majorBidi"/>
      <w:b/>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3A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3A09"/>
  </w:style>
  <w:style w:type="paragraph" w:styleId="Footer">
    <w:name w:val="footer"/>
    <w:basedOn w:val="Normal"/>
    <w:link w:val="FooterChar"/>
    <w:uiPriority w:val="99"/>
    <w:unhideWhenUsed/>
    <w:rsid w:val="00BC3A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3A09"/>
  </w:style>
  <w:style w:type="character" w:styleId="Hyperlink">
    <w:name w:val="Hyperlink"/>
    <w:basedOn w:val="DefaultParagraphFont"/>
    <w:rsid w:val="00BD7A95"/>
    <w:rPr>
      <w:color w:val="FF0080"/>
      <w:u w:val="single"/>
    </w:rPr>
  </w:style>
  <w:style w:type="paragraph" w:styleId="BalloonText">
    <w:name w:val="Balloon Text"/>
    <w:basedOn w:val="Normal"/>
    <w:link w:val="BalloonTextChar"/>
    <w:uiPriority w:val="99"/>
    <w:semiHidden/>
    <w:unhideWhenUsed/>
    <w:rsid w:val="002B26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6BC"/>
    <w:rPr>
      <w:rFonts w:ascii="Tahoma" w:hAnsi="Tahoma" w:cs="Tahoma"/>
      <w:sz w:val="16"/>
      <w:szCs w:val="16"/>
    </w:rPr>
  </w:style>
  <w:style w:type="paragraph" w:styleId="NoSpacing">
    <w:name w:val="No Spacing"/>
    <w:link w:val="NoSpacingChar"/>
    <w:uiPriority w:val="1"/>
    <w:qFormat/>
    <w:rsid w:val="00D048FB"/>
    <w:pPr>
      <w:spacing w:after="0" w:line="240" w:lineRule="auto"/>
    </w:pPr>
  </w:style>
  <w:style w:type="character" w:customStyle="1" w:styleId="NoSpacingChar">
    <w:name w:val="No Spacing Char"/>
    <w:basedOn w:val="DefaultParagraphFont"/>
    <w:link w:val="NoSpacing"/>
    <w:uiPriority w:val="1"/>
    <w:rsid w:val="00D048FB"/>
  </w:style>
  <w:style w:type="table" w:styleId="TableGrid">
    <w:name w:val="Table Grid"/>
    <w:basedOn w:val="TableNormal"/>
    <w:uiPriority w:val="59"/>
    <w:rsid w:val="00592D54"/>
    <w:pPr>
      <w:spacing w:after="0" w:line="240" w:lineRule="auto"/>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592D54"/>
    <w:pPr>
      <w:ind w:left="720"/>
      <w:contextualSpacing/>
    </w:pPr>
  </w:style>
  <w:style w:type="table" w:customStyle="1" w:styleId="TableGrid1">
    <w:name w:val="Table Grid1"/>
    <w:basedOn w:val="TableNormal"/>
    <w:next w:val="TableGrid"/>
    <w:uiPriority w:val="59"/>
    <w:rsid w:val="00DE325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uthor">
    <w:name w:val="Author"/>
    <w:basedOn w:val="Normal"/>
    <w:rsid w:val="00CD6C91"/>
    <w:pPr>
      <w:spacing w:after="0" w:line="280" w:lineRule="exact"/>
      <w:jc w:val="right"/>
    </w:pPr>
    <w:rPr>
      <w:rFonts w:ascii="Helvetica" w:eastAsia="Times New Roman" w:hAnsi="Helvetica" w:cs="Times New Roman"/>
      <w:b/>
      <w:sz w:val="24"/>
      <w:szCs w:val="20"/>
    </w:rPr>
  </w:style>
  <w:style w:type="paragraph" w:customStyle="1" w:styleId="Affiliation">
    <w:name w:val="Affiliation"/>
    <w:basedOn w:val="Normal"/>
    <w:rsid w:val="00FB2D2D"/>
    <w:pPr>
      <w:spacing w:after="240" w:line="240" w:lineRule="exact"/>
      <w:jc w:val="right"/>
    </w:pPr>
    <w:rPr>
      <w:rFonts w:ascii="Helvetica" w:eastAsia="Times New Roman" w:hAnsi="Helvetica" w:cs="Times New Roman"/>
      <w:sz w:val="20"/>
      <w:szCs w:val="20"/>
    </w:rPr>
  </w:style>
  <w:style w:type="paragraph" w:customStyle="1" w:styleId="ReferHead">
    <w:name w:val="Refer Head"/>
    <w:basedOn w:val="Normal"/>
    <w:rsid w:val="000C5F62"/>
    <w:pPr>
      <w:keepNext/>
      <w:spacing w:after="240" w:line="240" w:lineRule="auto"/>
    </w:pPr>
    <w:rPr>
      <w:rFonts w:ascii="Helvetica" w:eastAsia="Times New Roman" w:hAnsi="Helvetica" w:cs="Times New Roman"/>
      <w:b/>
      <w:caps/>
      <w:szCs w:val="20"/>
    </w:rPr>
  </w:style>
  <w:style w:type="character" w:customStyle="1" w:styleId="Heading1Char">
    <w:name w:val="Heading 1 Char"/>
    <w:basedOn w:val="DefaultParagraphFont"/>
    <w:link w:val="Heading1"/>
    <w:uiPriority w:val="9"/>
    <w:rsid w:val="00AF7DF7"/>
    <w:rPr>
      <w:rFonts w:ascii="Arial" w:eastAsiaTheme="majorEastAsia" w:hAnsi="Arial" w:cstheme="majorBidi"/>
      <w:b/>
      <w:bCs/>
      <w:sz w:val="36"/>
      <w:szCs w:val="28"/>
    </w:rPr>
  </w:style>
  <w:style w:type="character" w:customStyle="1" w:styleId="Heading2Char">
    <w:name w:val="Heading 2 Char"/>
    <w:basedOn w:val="DefaultParagraphFont"/>
    <w:link w:val="Heading2"/>
    <w:uiPriority w:val="9"/>
    <w:rsid w:val="00AF7DF7"/>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AF7DF7"/>
    <w:rPr>
      <w:rFonts w:ascii="Arial" w:eastAsiaTheme="majorEastAsia" w:hAnsi="Arial" w:cstheme="majorBidi"/>
      <w:b/>
      <w:bCs/>
      <w:i/>
      <w:sz w:val="24"/>
    </w:rPr>
  </w:style>
  <w:style w:type="character" w:customStyle="1" w:styleId="Heading4Char">
    <w:name w:val="Heading 4 Char"/>
    <w:basedOn w:val="DefaultParagraphFont"/>
    <w:link w:val="Heading4"/>
    <w:uiPriority w:val="9"/>
    <w:rsid w:val="00AF7DF7"/>
    <w:rPr>
      <w:rFonts w:ascii="Arial" w:eastAsiaTheme="majorEastAsia" w:hAnsi="Arial" w:cstheme="majorBidi"/>
      <w:b/>
      <w:bCs/>
      <w:i/>
      <w:i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054691">
      <w:bodyDiv w:val="1"/>
      <w:marLeft w:val="0"/>
      <w:marRight w:val="0"/>
      <w:marTop w:val="0"/>
      <w:marBottom w:val="0"/>
      <w:divBdr>
        <w:top w:val="none" w:sz="0" w:space="0" w:color="auto"/>
        <w:left w:val="none" w:sz="0" w:space="0" w:color="auto"/>
        <w:bottom w:val="none" w:sz="0" w:space="0" w:color="auto"/>
        <w:right w:val="none" w:sz="0" w:space="0" w:color="auto"/>
      </w:divBdr>
    </w:div>
    <w:div w:id="171574071">
      <w:bodyDiv w:val="1"/>
      <w:marLeft w:val="0"/>
      <w:marRight w:val="0"/>
      <w:marTop w:val="0"/>
      <w:marBottom w:val="0"/>
      <w:divBdr>
        <w:top w:val="none" w:sz="0" w:space="0" w:color="auto"/>
        <w:left w:val="none" w:sz="0" w:space="0" w:color="auto"/>
        <w:bottom w:val="none" w:sz="0" w:space="0" w:color="auto"/>
        <w:right w:val="none" w:sz="0" w:space="0" w:color="auto"/>
      </w:divBdr>
    </w:div>
    <w:div w:id="194270161">
      <w:bodyDiv w:val="1"/>
      <w:marLeft w:val="0"/>
      <w:marRight w:val="0"/>
      <w:marTop w:val="0"/>
      <w:marBottom w:val="0"/>
      <w:divBdr>
        <w:top w:val="none" w:sz="0" w:space="0" w:color="auto"/>
        <w:left w:val="none" w:sz="0" w:space="0" w:color="auto"/>
        <w:bottom w:val="none" w:sz="0" w:space="0" w:color="auto"/>
        <w:right w:val="none" w:sz="0" w:space="0" w:color="auto"/>
      </w:divBdr>
    </w:div>
    <w:div w:id="1789740368">
      <w:bodyDiv w:val="1"/>
      <w:marLeft w:val="0"/>
      <w:marRight w:val="0"/>
      <w:marTop w:val="0"/>
      <w:marBottom w:val="0"/>
      <w:divBdr>
        <w:top w:val="none" w:sz="0" w:space="0" w:color="auto"/>
        <w:left w:val="none" w:sz="0" w:space="0" w:color="auto"/>
        <w:bottom w:val="none" w:sz="0" w:space="0" w:color="auto"/>
        <w:right w:val="none" w:sz="0" w:space="0" w:color="auto"/>
      </w:divBdr>
    </w:div>
    <w:div w:id="1803158798">
      <w:bodyDiv w:val="1"/>
      <w:marLeft w:val="0"/>
      <w:marRight w:val="0"/>
      <w:marTop w:val="0"/>
      <w:marBottom w:val="0"/>
      <w:divBdr>
        <w:top w:val="none" w:sz="0" w:space="0" w:color="auto"/>
        <w:left w:val="none" w:sz="0" w:space="0" w:color="auto"/>
        <w:bottom w:val="none" w:sz="0" w:space="0" w:color="auto"/>
        <w:right w:val="none" w:sz="0" w:space="0" w:color="auto"/>
      </w:divBdr>
    </w:div>
    <w:div w:id="213204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71728-2D68-4480-9A0E-BE9730C64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9</Pages>
  <Words>3299</Words>
  <Characters>18810</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reator>
  <cp:keywords/>
  <dc:description/>
  <cp:lastModifiedBy>SDI PC New 16</cp:lastModifiedBy>
  <cp:revision>171</cp:revision>
  <dcterms:created xsi:type="dcterms:W3CDTF">2014-09-23T05:53:00Z</dcterms:created>
  <dcterms:modified xsi:type="dcterms:W3CDTF">2025-05-01T06:40:00Z</dcterms:modified>
</cp:coreProperties>
</file>