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72F4B" w14:textId="77777777" w:rsidR="002B1DA2" w:rsidRPr="008E0EDF" w:rsidRDefault="002B1DA2" w:rsidP="008E0EDF">
      <w:pPr>
        <w:spacing w:before="100" w:beforeAutospacing="1" w:after="100" w:afterAutospacing="1" w:line="360" w:lineRule="auto"/>
        <w:jc w:val="center"/>
        <w:rPr>
          <w:rFonts w:ascii="Times New Roman" w:eastAsia="Times New Roman" w:hAnsi="Times New Roman" w:cs="Times New Roman"/>
          <w:b/>
          <w:bCs/>
          <w:color w:val="000000" w:themeColor="text1"/>
          <w:sz w:val="32"/>
          <w:szCs w:val="24"/>
        </w:rPr>
      </w:pPr>
      <w:bookmarkStart w:id="0" w:name="_GoBack"/>
      <w:bookmarkEnd w:id="0"/>
      <w:r w:rsidRPr="008E0EDF">
        <w:rPr>
          <w:rFonts w:ascii="Times New Roman" w:eastAsia="Times New Roman" w:hAnsi="Times New Roman" w:cs="Times New Roman"/>
          <w:b/>
          <w:bCs/>
          <w:color w:val="000000" w:themeColor="text1"/>
          <w:sz w:val="32"/>
          <w:szCs w:val="24"/>
        </w:rPr>
        <w:t>Federated Detection Systems for Insider Threats in Energy Facilities Using Biomechanical Access Control and Al-Based Cybersecurity</w:t>
      </w:r>
    </w:p>
    <w:p w14:paraId="4ACDF543" w14:textId="26327E4F"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Abstract</w:t>
      </w:r>
    </w:p>
    <w:p w14:paraId="5A46DAD6"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i/>
          <w:color w:val="000000" w:themeColor="text1"/>
          <w:sz w:val="24"/>
          <w:szCs w:val="24"/>
        </w:rPr>
      </w:pPr>
      <w:r w:rsidRPr="00986EFF">
        <w:rPr>
          <w:rFonts w:ascii="Times New Roman" w:eastAsia="Times New Roman" w:hAnsi="Times New Roman" w:cs="Times New Roman"/>
          <w:i/>
          <w:color w:val="000000" w:themeColor="text1"/>
          <w:sz w:val="24"/>
          <w:szCs w:val="24"/>
        </w:rPr>
        <w:t>Insider threats present major challenges to energy facilities, particularly where traditional centralized detection systems fall short due to privacy concerns and data variability. This research introduces a federated detection system that integrates biomechanical access controls</w:t>
      </w:r>
      <w:r w:rsidR="00B43C4F">
        <w:rPr>
          <w:rFonts w:ascii="Times New Roman" w:eastAsia="Times New Roman" w:hAnsi="Times New Roman" w:cs="Times New Roman"/>
          <w:i/>
          <w:color w:val="000000" w:themeColor="text1"/>
          <w:sz w:val="24"/>
          <w:szCs w:val="24"/>
        </w:rPr>
        <w:t xml:space="preserve"> </w:t>
      </w:r>
      <w:r w:rsidRPr="00986EFF">
        <w:rPr>
          <w:rFonts w:ascii="Times New Roman" w:eastAsia="Times New Roman" w:hAnsi="Times New Roman" w:cs="Times New Roman"/>
          <w:i/>
          <w:color w:val="000000" w:themeColor="text1"/>
          <w:sz w:val="24"/>
          <w:szCs w:val="24"/>
        </w:rPr>
        <w:t>such as pressure-sensitive floors and biometric interfaces</w:t>
      </w:r>
      <w:r w:rsidR="00B43C4F">
        <w:rPr>
          <w:rFonts w:ascii="Times New Roman" w:eastAsia="Times New Roman" w:hAnsi="Times New Roman" w:cs="Times New Roman"/>
          <w:i/>
          <w:color w:val="000000" w:themeColor="text1"/>
          <w:sz w:val="24"/>
          <w:szCs w:val="24"/>
        </w:rPr>
        <w:t xml:space="preserve"> </w:t>
      </w:r>
      <w:r w:rsidRPr="00986EFF">
        <w:rPr>
          <w:rFonts w:ascii="Times New Roman" w:eastAsia="Times New Roman" w:hAnsi="Times New Roman" w:cs="Times New Roman"/>
          <w:i/>
          <w:color w:val="000000" w:themeColor="text1"/>
          <w:sz w:val="24"/>
          <w:szCs w:val="24"/>
        </w:rPr>
        <w:t>with AI-driven behavioral analytics to enhance threat detection while safeguarding data privacy. A hierarchical federated learning architecture enables collaborative model training across multiple sites without sharing raw data, effectively addressing non-IID data issues. Using multi-modal datasets with 148 biomechanical and 83 cyber features, the system achieved 95% precision, 91% recall, and a 0.97 AUC-ROC, surpassing centralized and local models. Biomechanical authentication reached 98.9% accuracy with low false acceptance and rejection rates, offering consistent behavioral signatures. Combining cyber and physical data through attention-based deep learning boosted overall detection accuracy to over 96%, with detection latency under 150 milliseconds. Privacy was preserved using differential privacy (ε ≤ 1.2), meeting regulatory standards. Validated across diverse energy facilities, the system proves scalable, effective, and privacy-compliant. Recommendations include broader deployment, sensor optimization, and enhancing adversarial robustness.</w:t>
      </w:r>
    </w:p>
    <w:p w14:paraId="6B46393A"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Keywords:</w:t>
      </w:r>
      <w:r w:rsidRPr="00986EFF">
        <w:rPr>
          <w:rFonts w:ascii="Times New Roman" w:eastAsia="Times New Roman" w:hAnsi="Times New Roman" w:cs="Times New Roman"/>
          <w:color w:val="000000" w:themeColor="text1"/>
          <w:sz w:val="24"/>
          <w:szCs w:val="24"/>
        </w:rPr>
        <w:t xml:space="preserve"> Federated learning, Insider threat detection, Biomechanical access control, Energy facilities, AI cybersecurity</w:t>
      </w:r>
    </w:p>
    <w:p w14:paraId="42626998" w14:textId="77777777" w:rsidR="00824812" w:rsidRPr="00986EFF" w:rsidRDefault="00824812"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1</w:t>
      </w:r>
      <w:r w:rsidRPr="00986EFF">
        <w:rPr>
          <w:rFonts w:ascii="Times New Roman" w:hAnsi="Times New Roman" w:cs="Times New Roman"/>
          <w:b/>
          <w:color w:val="000000" w:themeColor="text1"/>
          <w:sz w:val="24"/>
          <w:szCs w:val="24"/>
        </w:rPr>
        <w:tab/>
        <w:t>Introduction</w:t>
      </w:r>
    </w:p>
    <w:p w14:paraId="5479B234" w14:textId="77777777" w:rsidR="00E32D6B" w:rsidRPr="00986EFF" w:rsidRDefault="00E32D6B"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The energy sector, essential to modern society, supports industries, healthcare, transportation, and daily life, making its security critical to national stability and economic prosperity. However, insider threats</w:t>
      </w:r>
      <w:r w:rsidR="00F90D58"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originating from individuals with legitimate access like employees or contractors</w:t>
      </w:r>
      <w:r w:rsidR="00F90D58"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 xml:space="preserve">pose growing challenges. Unlike external attacks, these threats exploit authorized access to facilities or data, making them harder to detect and prevent </w:t>
      </w:r>
      <w:r w:rsidR="00E414C3" w:rsidRPr="00986EFF">
        <w:rPr>
          <w:rFonts w:ascii="Times New Roman" w:eastAsia="Times New Roman" w:hAnsi="Times New Roman" w:cs="Times New Roman"/>
          <w:color w:val="000000" w:themeColor="text1"/>
          <w:sz w:val="24"/>
          <w:szCs w:val="24"/>
        </w:rPr>
        <w:t>(Oliver, 2024)</w:t>
      </w:r>
      <w:r w:rsidRPr="00986EFF">
        <w:rPr>
          <w:rFonts w:ascii="Times New Roman" w:eastAsia="Times New Roman" w:hAnsi="Times New Roman" w:cs="Times New Roman"/>
          <w:color w:val="000000" w:themeColor="text1"/>
          <w:sz w:val="24"/>
          <w:szCs w:val="24"/>
        </w:rPr>
        <w:t xml:space="preserve">. A recent report revealed </w:t>
      </w:r>
      <w:r w:rsidRPr="00986EFF">
        <w:rPr>
          <w:rFonts w:ascii="Times New Roman" w:eastAsia="Times New Roman" w:hAnsi="Times New Roman" w:cs="Times New Roman"/>
          <w:color w:val="000000" w:themeColor="text1"/>
          <w:sz w:val="24"/>
          <w:szCs w:val="24"/>
        </w:rPr>
        <w:lastRenderedPageBreak/>
        <w:t>a tripling in data breaches from 2013 to 2022, compromising 2.6 billion records, with the energy sector being highly vulnerable due to its potential for large-scale physical and cyber damage</w:t>
      </w:r>
      <w:r w:rsidR="00E414C3" w:rsidRPr="00986EFF">
        <w:rPr>
          <w:rFonts w:ascii="Times New Roman" w:eastAsia="Times New Roman" w:hAnsi="Times New Roman" w:cs="Times New Roman"/>
          <w:color w:val="000000" w:themeColor="text1"/>
          <w:sz w:val="24"/>
          <w:szCs w:val="24"/>
        </w:rPr>
        <w:t xml:space="preserve"> (</w:t>
      </w:r>
      <w:proofErr w:type="spellStart"/>
      <w:r w:rsidR="00E414C3" w:rsidRPr="00986EFF">
        <w:rPr>
          <w:rFonts w:ascii="Times New Roman" w:eastAsia="Times New Roman" w:hAnsi="Times New Roman" w:cs="Times New Roman"/>
          <w:color w:val="000000" w:themeColor="text1"/>
          <w:sz w:val="24"/>
          <w:szCs w:val="24"/>
        </w:rPr>
        <w:t>Ohaba</w:t>
      </w:r>
      <w:proofErr w:type="spellEnd"/>
      <w:r w:rsidR="00E414C3" w:rsidRPr="00986EFF">
        <w:rPr>
          <w:rFonts w:ascii="Times New Roman" w:eastAsia="Times New Roman" w:hAnsi="Times New Roman" w:cs="Times New Roman"/>
          <w:color w:val="000000" w:themeColor="text1"/>
          <w:sz w:val="24"/>
          <w:szCs w:val="24"/>
        </w:rPr>
        <w:t>, 2024)</w:t>
      </w:r>
      <w:r w:rsidRPr="00986EFF">
        <w:rPr>
          <w:rFonts w:ascii="Times New Roman" w:eastAsia="Times New Roman" w:hAnsi="Times New Roman" w:cs="Times New Roman"/>
          <w:color w:val="000000" w:themeColor="text1"/>
          <w:sz w:val="24"/>
          <w:szCs w:val="24"/>
        </w:rPr>
        <w:t>. Acknowledging this, the Department of Energy (DoE) launched an Insider Threat Program in 2014. Yet, a 2023 Government Accountability Office report found seven of its required measures unfulfilled, reflecting ongoing implementation difficulties (</w:t>
      </w:r>
      <w:proofErr w:type="spellStart"/>
      <w:r w:rsidRPr="00986EFF">
        <w:rPr>
          <w:rFonts w:ascii="Times New Roman" w:eastAsia="Times New Roman" w:hAnsi="Times New Roman" w:cs="Times New Roman"/>
          <w:color w:val="000000" w:themeColor="text1"/>
          <w:sz w:val="24"/>
          <w:szCs w:val="24"/>
        </w:rPr>
        <w:t>MeriTalk</w:t>
      </w:r>
      <w:proofErr w:type="spellEnd"/>
      <w:r w:rsidRPr="00986EFF">
        <w:rPr>
          <w:rFonts w:ascii="Times New Roman" w:eastAsia="Times New Roman" w:hAnsi="Times New Roman" w:cs="Times New Roman"/>
          <w:color w:val="000000" w:themeColor="text1"/>
          <w:sz w:val="24"/>
          <w:szCs w:val="24"/>
        </w:rPr>
        <w:t>, 2023).</w:t>
      </w:r>
    </w:p>
    <w:p w14:paraId="5BB64F07" w14:textId="77777777" w:rsidR="00925716" w:rsidRPr="00986EFF" w:rsidRDefault="00925716" w:rsidP="00986EFF">
      <w:pPr>
        <w:pStyle w:val="NormalWeb"/>
        <w:spacing w:line="360" w:lineRule="auto"/>
        <w:jc w:val="both"/>
        <w:rPr>
          <w:color w:val="000000" w:themeColor="text1"/>
        </w:rPr>
      </w:pPr>
      <w:r w:rsidRPr="00986EFF">
        <w:rPr>
          <w:color w:val="000000" w:themeColor="text1"/>
        </w:rPr>
        <w:t>Traditional insider threat detection systems depend on centralized data collection, which poses challenges in geographically distributed energy organizations. Regulatory frameworks such as GDPR and NERC CIP restrict behavioral data sharing, resulting in siloed security infrastructure (</w:t>
      </w:r>
      <w:proofErr w:type="spellStart"/>
      <w:r w:rsidRPr="00986EFF">
        <w:rPr>
          <w:color w:val="000000" w:themeColor="text1"/>
        </w:rPr>
        <w:t>Amiri-Zarandi</w:t>
      </w:r>
      <w:proofErr w:type="spellEnd"/>
      <w:r w:rsidRPr="00986EFF">
        <w:rPr>
          <w:color w:val="000000" w:themeColor="text1"/>
        </w:rPr>
        <w:t xml:space="preserve"> et al., 2023). This issue is amplified by the diverse operational conditions across energy sectors—nuclear, renewable, and conventional</w:t>
      </w:r>
      <w:r w:rsidR="00986EFF" w:rsidRPr="00986EFF">
        <w:rPr>
          <w:color w:val="000000" w:themeColor="text1"/>
        </w:rPr>
        <w:t xml:space="preserve"> </w:t>
      </w:r>
      <w:r w:rsidRPr="00986EFF">
        <w:rPr>
          <w:color w:val="000000" w:themeColor="text1"/>
        </w:rPr>
        <w:t>generating non-IID data that undermines model generalization (Zhao et al., 2018). Insider threats are also infrequent, creating extreme class imbalances that complicate machine learning training (</w:t>
      </w:r>
      <w:proofErr w:type="spellStart"/>
      <w:r w:rsidRPr="00986EFF">
        <w:rPr>
          <w:color w:val="000000" w:themeColor="text1"/>
        </w:rPr>
        <w:t>Amiri-Zarandi</w:t>
      </w:r>
      <w:proofErr w:type="spellEnd"/>
      <w:r w:rsidRPr="00986EFF">
        <w:rPr>
          <w:color w:val="000000" w:themeColor="text1"/>
        </w:rPr>
        <w:t xml:space="preserve"> et al., 2023). Furthermore, transferring sensitive behavioral data increases privacy risks, necessitating regulation-compliant detection mechanisms (Nguyen et al., 2023).</w:t>
      </w:r>
    </w:p>
    <w:p w14:paraId="7C02AD16" w14:textId="77777777" w:rsidR="00925716" w:rsidRPr="00986EFF" w:rsidRDefault="00925716" w:rsidP="00986EFF">
      <w:pPr>
        <w:pStyle w:val="NormalWeb"/>
        <w:spacing w:line="360" w:lineRule="auto"/>
        <w:jc w:val="both"/>
        <w:rPr>
          <w:color w:val="000000" w:themeColor="text1"/>
        </w:rPr>
      </w:pPr>
      <w:r w:rsidRPr="00986EFF">
        <w:rPr>
          <w:color w:val="000000" w:themeColor="text1"/>
        </w:rPr>
        <w:t>Emerging technologies offer viable solutions. Biomechanical access control systems analyze human interaction patterns such as gait from pressure-sensitive flooring, posture recognition, and hand dynamics (</w:t>
      </w:r>
      <w:proofErr w:type="spellStart"/>
      <w:r w:rsidRPr="00986EFF">
        <w:rPr>
          <w:color w:val="000000" w:themeColor="text1"/>
        </w:rPr>
        <w:t>Papavasileiou</w:t>
      </w:r>
      <w:proofErr w:type="spellEnd"/>
      <w:r w:rsidRPr="00986EFF">
        <w:rPr>
          <w:color w:val="000000" w:themeColor="text1"/>
        </w:rPr>
        <w:t xml:space="preserve"> et al., 2021). These physical markers provide richer behavioral context than digital-only data, enhancing anomaly detection (Devine et al., 2025). When combined with AI-driven analytics, these systems can identify threats with greater accuracy and fewer false positives. Federated Learning (FL) is another advancement, enabling model training across sites without raw data sharing, preserving privacy while fostering collaborative threat intelligence (</w:t>
      </w:r>
      <w:proofErr w:type="spellStart"/>
      <w:r w:rsidRPr="00986EFF">
        <w:rPr>
          <w:color w:val="000000" w:themeColor="text1"/>
        </w:rPr>
        <w:t>Kairouz</w:t>
      </w:r>
      <w:proofErr w:type="spellEnd"/>
      <w:r w:rsidRPr="00986EFF">
        <w:rPr>
          <w:color w:val="000000" w:themeColor="text1"/>
        </w:rPr>
        <w:t xml:space="preserve"> et al., 2021). The growing significance of FL is underscored by market projections showing an increase from $128.3 million in 2023 to $260.5 million by 2030 (</w:t>
      </w:r>
      <w:proofErr w:type="spellStart"/>
      <w:r w:rsidRPr="00986EFF">
        <w:rPr>
          <w:color w:val="000000" w:themeColor="text1"/>
        </w:rPr>
        <w:t>Ohaba</w:t>
      </w:r>
      <w:proofErr w:type="spellEnd"/>
      <w:r w:rsidRPr="00986EFF">
        <w:rPr>
          <w:color w:val="000000" w:themeColor="text1"/>
        </w:rPr>
        <w:t>, 2024).</w:t>
      </w:r>
    </w:p>
    <w:p w14:paraId="0DB71444" w14:textId="77777777" w:rsidR="00925716" w:rsidRPr="00986EFF" w:rsidRDefault="00925716" w:rsidP="00986EFF">
      <w:pPr>
        <w:pStyle w:val="NormalWeb"/>
        <w:spacing w:line="360" w:lineRule="auto"/>
        <w:jc w:val="both"/>
        <w:rPr>
          <w:color w:val="000000" w:themeColor="text1"/>
        </w:rPr>
      </w:pPr>
      <w:r w:rsidRPr="00986EFF">
        <w:rPr>
          <w:color w:val="000000" w:themeColor="text1"/>
        </w:rPr>
        <w:t>The research addresses key challenges: privacy constraints, data imbalance, heterogeneity, domain fragmentation, and underuse of FL in energy contexts. Centralized systems face regulatory barriers, and insider threat rarity leads to insufficient training data (</w:t>
      </w:r>
      <w:proofErr w:type="spellStart"/>
      <w:r w:rsidRPr="00986EFF">
        <w:rPr>
          <w:color w:val="000000" w:themeColor="text1"/>
        </w:rPr>
        <w:t>Amiri-Zarandi</w:t>
      </w:r>
      <w:proofErr w:type="spellEnd"/>
      <w:r w:rsidRPr="00986EFF">
        <w:rPr>
          <w:color w:val="000000" w:themeColor="text1"/>
        </w:rPr>
        <w:t xml:space="preserve"> et al., 2023). Disparities in operational environments cause model overfitting (Zhao et al., 2018). Moreover, separation of cyber and physical security</w:t>
      </w:r>
      <w:r w:rsidR="00986EFF">
        <w:rPr>
          <w:color w:val="000000" w:themeColor="text1"/>
        </w:rPr>
        <w:t xml:space="preserve"> </w:t>
      </w:r>
      <w:r w:rsidRPr="00986EFF">
        <w:rPr>
          <w:color w:val="000000" w:themeColor="text1"/>
        </w:rPr>
        <w:t>evident in the U.S. Department of Energy’s bifurcated offices</w:t>
      </w:r>
      <w:r w:rsidR="00986EFF">
        <w:rPr>
          <w:color w:val="000000" w:themeColor="text1"/>
        </w:rPr>
        <w:t xml:space="preserve"> </w:t>
      </w:r>
      <w:r w:rsidRPr="00986EFF">
        <w:rPr>
          <w:color w:val="000000" w:themeColor="text1"/>
        </w:rPr>
        <w:t>hinders holistic detection (</w:t>
      </w:r>
      <w:proofErr w:type="spellStart"/>
      <w:r w:rsidRPr="00986EFF">
        <w:rPr>
          <w:color w:val="000000" w:themeColor="text1"/>
        </w:rPr>
        <w:t>MeriTalk</w:t>
      </w:r>
      <w:proofErr w:type="spellEnd"/>
      <w:r w:rsidRPr="00986EFF">
        <w:rPr>
          <w:color w:val="000000" w:themeColor="text1"/>
        </w:rPr>
        <w:t xml:space="preserve">, 2023). Most existing systems ignore physical </w:t>
      </w:r>
      <w:r w:rsidRPr="00986EFF">
        <w:rPr>
          <w:color w:val="000000" w:themeColor="text1"/>
        </w:rPr>
        <w:lastRenderedPageBreak/>
        <w:t>behavior, contributing to lower accuracy and high false positives (Devine et al., 2025). FL is rarely applied in energy-specific settings, lacking standardized models suitable for this sector (</w:t>
      </w:r>
      <w:proofErr w:type="spellStart"/>
      <w:r w:rsidRPr="00986EFF">
        <w:rPr>
          <w:color w:val="000000" w:themeColor="text1"/>
        </w:rPr>
        <w:t>Amiri-Zarandi</w:t>
      </w:r>
      <w:proofErr w:type="spellEnd"/>
      <w:r w:rsidRPr="00986EFF">
        <w:rPr>
          <w:color w:val="000000" w:themeColor="text1"/>
        </w:rPr>
        <w:t xml:space="preserve"> et al., 2023).</w:t>
      </w:r>
    </w:p>
    <w:p w14:paraId="5E313951" w14:textId="77777777" w:rsidR="00ED5B14" w:rsidRDefault="00925716" w:rsidP="00986EFF">
      <w:pPr>
        <w:pStyle w:val="NormalWeb"/>
        <w:spacing w:line="360" w:lineRule="auto"/>
        <w:jc w:val="both"/>
        <w:rPr>
          <w:color w:val="000000" w:themeColor="text1"/>
        </w:rPr>
      </w:pPr>
      <w:r w:rsidRPr="00986EFF">
        <w:rPr>
          <w:color w:val="000000" w:themeColor="text1"/>
        </w:rPr>
        <w:t xml:space="preserve">This research is critical for bolstering energy infrastructure security, where insider threats could disrupt national systems (David and </w:t>
      </w:r>
      <w:proofErr w:type="spellStart"/>
      <w:r w:rsidRPr="00986EFF">
        <w:rPr>
          <w:color w:val="000000" w:themeColor="text1"/>
        </w:rPr>
        <w:t>Tijjani</w:t>
      </w:r>
      <w:proofErr w:type="spellEnd"/>
      <w:r w:rsidRPr="00986EFF">
        <w:rPr>
          <w:color w:val="000000" w:themeColor="text1"/>
        </w:rPr>
        <w:t xml:space="preserve">, 2025). It proposes a federated detection framework integrating biomechanical authentication and AI analytics to bridge physical-digital divides, aligning with GDPR and NERC CIP (Nguyen et al., 2023). </w:t>
      </w:r>
      <w:proofErr w:type="spellStart"/>
      <w:r w:rsidRPr="00986EFF">
        <w:rPr>
          <w:color w:val="000000" w:themeColor="text1"/>
        </w:rPr>
        <w:t>Thi</w:t>
      </w:r>
      <w:proofErr w:type="spellEnd"/>
    </w:p>
    <w:p w14:paraId="43911E23" w14:textId="144CB7BB" w:rsidR="00925716" w:rsidRPr="00986EFF" w:rsidRDefault="00925716" w:rsidP="00986EFF">
      <w:pPr>
        <w:pStyle w:val="NormalWeb"/>
        <w:spacing w:line="360" w:lineRule="auto"/>
        <w:jc w:val="both"/>
        <w:rPr>
          <w:color w:val="000000" w:themeColor="text1"/>
        </w:rPr>
      </w:pPr>
      <w:r w:rsidRPr="00986EFF">
        <w:rPr>
          <w:color w:val="000000" w:themeColor="text1"/>
        </w:rPr>
        <w:t>s multi-modal approach enhances detection accuracy</w:t>
      </w:r>
      <w:r w:rsidR="00986EFF">
        <w:rPr>
          <w:color w:val="000000" w:themeColor="text1"/>
        </w:rPr>
        <w:t xml:space="preserve"> </w:t>
      </w:r>
      <w:r w:rsidRPr="00986EFF">
        <w:rPr>
          <w:color w:val="000000" w:themeColor="text1"/>
        </w:rPr>
        <w:t>up to 94–99%</w:t>
      </w:r>
      <w:r w:rsidR="00986EFF">
        <w:rPr>
          <w:color w:val="000000" w:themeColor="text1"/>
        </w:rPr>
        <w:t xml:space="preserve"> </w:t>
      </w:r>
      <w:r w:rsidRPr="00986EFF">
        <w:rPr>
          <w:color w:val="000000" w:themeColor="text1"/>
        </w:rPr>
        <w:t>while reducing false positives and supporting proactive mitigation (Devine et al., 2025). The study spans diverse energy facilities and insider profiles (</w:t>
      </w:r>
      <w:proofErr w:type="spellStart"/>
      <w:r w:rsidRPr="00986EFF">
        <w:rPr>
          <w:color w:val="000000" w:themeColor="text1"/>
        </w:rPr>
        <w:t>Gunuganti</w:t>
      </w:r>
      <w:proofErr w:type="spellEnd"/>
      <w:r w:rsidRPr="00986EFF">
        <w:rPr>
          <w:color w:val="000000" w:themeColor="text1"/>
        </w:rPr>
        <w:t>, 2024), focusing on innovative applications of existing technologies. Outcomes will include implementation guidelines suitable for North American and European regulatory landscapes (Ofosu-</w:t>
      </w:r>
      <w:proofErr w:type="spellStart"/>
      <w:r w:rsidRPr="00986EFF">
        <w:rPr>
          <w:color w:val="000000" w:themeColor="text1"/>
        </w:rPr>
        <w:t>Peasah</w:t>
      </w:r>
      <w:proofErr w:type="spellEnd"/>
      <w:r w:rsidRPr="00986EFF">
        <w:rPr>
          <w:color w:val="000000" w:themeColor="text1"/>
        </w:rPr>
        <w:t xml:space="preserve"> et al., 2024).</w:t>
      </w:r>
    </w:p>
    <w:p w14:paraId="313E0FB7" w14:textId="77777777" w:rsidR="00DF08CB" w:rsidRPr="00986EFF" w:rsidRDefault="00E32D6B"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By merging biomechanical access controls with AI-based cybersecurity using FL, this research addresses key gaps in energy sector security. The federated approach supports privacy and collaboration across facilities, while biomechanical inputs provide essential physical behavior context (</w:t>
      </w:r>
      <w:proofErr w:type="spellStart"/>
      <w:r w:rsidRPr="00986EFF">
        <w:rPr>
          <w:rFonts w:ascii="Times New Roman" w:eastAsia="Times New Roman" w:hAnsi="Times New Roman" w:cs="Times New Roman"/>
          <w:color w:val="000000" w:themeColor="text1"/>
          <w:sz w:val="24"/>
          <w:szCs w:val="24"/>
        </w:rPr>
        <w:t>Kairouz</w:t>
      </w:r>
      <w:proofErr w:type="spellEnd"/>
      <w:r w:rsidRPr="00986EFF">
        <w:rPr>
          <w:rFonts w:ascii="Times New Roman" w:eastAsia="Times New Roman" w:hAnsi="Times New Roman" w:cs="Times New Roman"/>
          <w:color w:val="000000" w:themeColor="text1"/>
          <w:sz w:val="24"/>
          <w:szCs w:val="24"/>
        </w:rPr>
        <w:t xml:space="preserve"> et al., 2021;</w:t>
      </w:r>
      <w:r w:rsidR="00E414C3" w:rsidRPr="00986EFF">
        <w:rPr>
          <w:rFonts w:ascii="Times New Roman" w:eastAsia="Times New Roman" w:hAnsi="Times New Roman" w:cs="Times New Roman"/>
          <w:color w:val="000000" w:themeColor="text1"/>
          <w:sz w:val="24"/>
          <w:szCs w:val="24"/>
        </w:rPr>
        <w:t xml:space="preserve"> </w:t>
      </w:r>
      <w:proofErr w:type="spellStart"/>
      <w:r w:rsidR="00E414C3" w:rsidRPr="00986EFF">
        <w:rPr>
          <w:rFonts w:ascii="Times New Roman" w:eastAsia="Times New Roman" w:hAnsi="Times New Roman" w:cs="Times New Roman"/>
          <w:color w:val="000000" w:themeColor="text1"/>
          <w:sz w:val="24"/>
          <w:szCs w:val="24"/>
        </w:rPr>
        <w:t>Papavasileiou</w:t>
      </w:r>
      <w:proofErr w:type="spellEnd"/>
      <w:r w:rsidR="00E414C3" w:rsidRPr="00986EFF">
        <w:rPr>
          <w:rFonts w:ascii="Times New Roman" w:eastAsia="Times New Roman" w:hAnsi="Times New Roman" w:cs="Times New Roman"/>
          <w:color w:val="000000" w:themeColor="text1"/>
          <w:sz w:val="24"/>
          <w:szCs w:val="24"/>
        </w:rPr>
        <w:t xml:space="preserve"> et al., 2021)</w:t>
      </w:r>
      <w:r w:rsidRPr="00986EFF">
        <w:rPr>
          <w:rFonts w:ascii="Times New Roman" w:eastAsia="Times New Roman" w:hAnsi="Times New Roman" w:cs="Times New Roman"/>
          <w:color w:val="000000" w:themeColor="text1"/>
          <w:sz w:val="24"/>
          <w:szCs w:val="24"/>
        </w:rPr>
        <w:t xml:space="preserve">. AI analytics use multi-modal data to identify subtle anomalies, enhancing accuracy and reducing operational disruptions </w:t>
      </w:r>
      <w:r w:rsidR="00CE2D87" w:rsidRPr="00986EFF">
        <w:rPr>
          <w:rFonts w:ascii="Times New Roman" w:eastAsia="Times New Roman" w:hAnsi="Times New Roman" w:cs="Times New Roman"/>
          <w:color w:val="000000" w:themeColor="text1"/>
          <w:sz w:val="24"/>
          <w:szCs w:val="24"/>
        </w:rPr>
        <w:t>(Devine et al., 2025)</w:t>
      </w:r>
      <w:r w:rsidRPr="00986EFF">
        <w:rPr>
          <w:rFonts w:ascii="Times New Roman" w:eastAsia="Times New Roman" w:hAnsi="Times New Roman" w:cs="Times New Roman"/>
          <w:color w:val="000000" w:themeColor="text1"/>
          <w:sz w:val="24"/>
          <w:szCs w:val="24"/>
        </w:rPr>
        <w:t xml:space="preserve">. Practical frameworks developed from this research will align with regulatory requirements and operational needs, offering both theoretical contributions and real-world value </w:t>
      </w:r>
      <w:r w:rsidR="00E414C3" w:rsidRPr="00986EFF">
        <w:rPr>
          <w:rFonts w:ascii="Times New Roman" w:eastAsia="Times New Roman" w:hAnsi="Times New Roman" w:cs="Times New Roman"/>
          <w:color w:val="000000" w:themeColor="text1"/>
          <w:sz w:val="24"/>
          <w:szCs w:val="24"/>
        </w:rPr>
        <w:t>(Ofosu-</w:t>
      </w:r>
      <w:proofErr w:type="spellStart"/>
      <w:r w:rsidR="00E414C3" w:rsidRPr="00986EFF">
        <w:rPr>
          <w:rFonts w:ascii="Times New Roman" w:eastAsia="Times New Roman" w:hAnsi="Times New Roman" w:cs="Times New Roman"/>
          <w:color w:val="000000" w:themeColor="text1"/>
          <w:sz w:val="24"/>
          <w:szCs w:val="24"/>
        </w:rPr>
        <w:t>Peasah</w:t>
      </w:r>
      <w:proofErr w:type="spellEnd"/>
      <w:r w:rsidR="00E414C3" w:rsidRPr="00986EFF">
        <w:rPr>
          <w:rFonts w:ascii="Times New Roman" w:eastAsia="Times New Roman" w:hAnsi="Times New Roman" w:cs="Times New Roman"/>
          <w:color w:val="000000" w:themeColor="text1"/>
          <w:sz w:val="24"/>
          <w:szCs w:val="24"/>
        </w:rPr>
        <w:t xml:space="preserve"> et al., 2024)</w:t>
      </w:r>
      <w:r w:rsidRPr="00986EFF">
        <w:rPr>
          <w:rFonts w:ascii="Times New Roman" w:eastAsia="Times New Roman" w:hAnsi="Times New Roman" w:cs="Times New Roman"/>
          <w:color w:val="000000" w:themeColor="text1"/>
          <w:sz w:val="24"/>
          <w:szCs w:val="24"/>
        </w:rPr>
        <w:t>.</w:t>
      </w:r>
    </w:p>
    <w:p w14:paraId="34EDA1A5" w14:textId="77777777" w:rsidR="00DF08CB" w:rsidRPr="00986EFF" w:rsidRDefault="00E32D6B"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br/>
        <w:t>The primary aim is to develop and validate a comprehensive federated detection system that integrates biomechanical access control with AI-based behavioral analytics to detect insider threats in energy facilities while preserving privacy and enhancing accuracy. The key objectives are to:</w:t>
      </w:r>
      <w:r w:rsidRPr="00986EFF">
        <w:rPr>
          <w:rFonts w:ascii="Times New Roman" w:eastAsia="Times New Roman" w:hAnsi="Times New Roman" w:cs="Times New Roman"/>
          <w:color w:val="000000" w:themeColor="text1"/>
          <w:sz w:val="24"/>
          <w:szCs w:val="24"/>
        </w:rPr>
        <w:br/>
      </w:r>
    </w:p>
    <w:p w14:paraId="1B5EF955" w14:textId="77777777" w:rsidR="00DF08CB" w:rsidRPr="00986EFF" w:rsidRDefault="00D52A20" w:rsidP="00986EFF">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00E32D6B" w:rsidRPr="00986EFF">
        <w:rPr>
          <w:rFonts w:ascii="Times New Roman" w:eastAsia="Times New Roman" w:hAnsi="Times New Roman" w:cs="Times New Roman"/>
          <w:color w:val="000000" w:themeColor="text1"/>
          <w:sz w:val="24"/>
          <w:szCs w:val="24"/>
        </w:rPr>
        <w:t>esign a federated learning architecture for training detection models across facilities without transferring sensitive data;</w:t>
      </w:r>
    </w:p>
    <w:p w14:paraId="258FE2CF" w14:textId="77777777" w:rsidR="00DF08CB" w:rsidRPr="00986EFF" w:rsidRDefault="00E32D6B" w:rsidP="00986EFF">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Develop and assess biomechanical access interfaces (e.g., pressure-sensitive panels, biometric surfaces) for generating behavioral signatures;</w:t>
      </w:r>
    </w:p>
    <w:p w14:paraId="1BFCEA21" w14:textId="77777777" w:rsidR="00E32D6B" w:rsidRPr="00986EFF" w:rsidRDefault="00E32D6B" w:rsidP="00986EFF">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t>Implement and validate AI analytics capable of detecting anomalous patterns in combined physical and digital interaction data within energy facility contexts.</w:t>
      </w:r>
    </w:p>
    <w:p w14:paraId="50AEC00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2</w:t>
      </w:r>
      <w:r w:rsidRPr="00986EFF">
        <w:rPr>
          <w:rFonts w:ascii="Times New Roman" w:hAnsi="Times New Roman" w:cs="Times New Roman"/>
          <w:b/>
          <w:color w:val="000000" w:themeColor="text1"/>
          <w:sz w:val="24"/>
          <w:szCs w:val="24"/>
        </w:rPr>
        <w:tab/>
        <w:t>Literature Review</w:t>
      </w:r>
    </w:p>
    <w:p w14:paraId="5B0A277B" w14:textId="77777777" w:rsidR="00623D61" w:rsidRPr="00986EFF" w:rsidRDefault="00623D61" w:rsidP="00986EFF">
      <w:pPr>
        <w:spacing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This literature review synthesizes existing research on insider threat detection in energy facilities, focusing on the integration of federated learning (FL), biomechanical access control, and AI-based behavioral analytics. The energy sector, critical to national infrastructure, faces unique challenges from insider threats due to their authorized access, necessitating advanced detection systems that balance security with privacy </w:t>
      </w:r>
      <w:r w:rsidRPr="00986EFF">
        <w:rPr>
          <w:rFonts w:ascii="Times New Roman" w:eastAsia="Times New Roman" w:hAnsi="Times New Roman" w:cs="Times New Roman"/>
          <w:color w:val="000000" w:themeColor="text1"/>
          <w:sz w:val="24"/>
          <w:szCs w:val="24"/>
        </w:rPr>
        <w:t>(Oliver, 2024)</w:t>
      </w:r>
      <w:r w:rsidRPr="00986EFF">
        <w:rPr>
          <w:rFonts w:ascii="Times New Roman" w:hAnsi="Times New Roman" w:cs="Times New Roman"/>
          <w:color w:val="000000" w:themeColor="text1"/>
          <w:sz w:val="24"/>
          <w:szCs w:val="24"/>
        </w:rPr>
        <w:t xml:space="preserve">. </w:t>
      </w:r>
    </w:p>
    <w:p w14:paraId="2F999072"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Theoretical Foundations of Insider Threat Detection</w:t>
      </w:r>
    </w:p>
    <w:p w14:paraId="31473B6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Insider threat detection (ITD) has evolved significantly over the past two decades, transitioning from rudimentary rule-based systems to sophisticated machine learning (ML)-driven approaches. Early ITD systems employed threshold-based alerts triggered by predefined deviations in user activities, such as unauthorized access attempts or unusual data transfers. However, these systems suffered from high false positive rates and lacked the contextual awareness needed to distinguish benign anomalies from malicious intent, achieving detection accuracies as low as 65–70% in operational settings (</w:t>
      </w:r>
      <w:proofErr w:type="spellStart"/>
      <w:r w:rsidRPr="00986EFF">
        <w:rPr>
          <w:rFonts w:ascii="Times New Roman" w:hAnsi="Times New Roman" w:cs="Times New Roman"/>
          <w:color w:val="000000" w:themeColor="text1"/>
          <w:sz w:val="24"/>
          <w:szCs w:val="24"/>
        </w:rPr>
        <w:t>Homoliak</w:t>
      </w:r>
      <w:proofErr w:type="spellEnd"/>
      <w:r w:rsidRPr="00986EFF">
        <w:rPr>
          <w:rFonts w:ascii="Times New Roman" w:hAnsi="Times New Roman" w:cs="Times New Roman"/>
          <w:color w:val="000000" w:themeColor="text1"/>
          <w:sz w:val="24"/>
          <w:szCs w:val="24"/>
        </w:rPr>
        <w:t xml:space="preserve"> et al., 2019). The advent of supervised ML models marked a significant improvement, leveraging historical breach data to train algorithms capable of identifying patterns indicative of insider threats. Studies report accuracies of 85–92% in controlled environments, with models like Random Forests and Support Vector Machines excelling in structured datasets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Despite these advancements, centralized ML approaches face substantial limitations in the energy sector, where facilities are geographically dispersed and subject to stringent data privacy regulations, such as GDPR and NERC CIP, which prohibit the sharing of sensitive behavioral data (Nguyen et al., 2023).</w:t>
      </w:r>
    </w:p>
    <w:p w14:paraId="14BFD8E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introduction of deep learning further enhanced ITD capabilities, with architectures like Long Short-Term Memory (LSTM) networks capturing temporal dependencies in user behavior, achieving up to 90% precision in detecting anomalous activities </w:t>
      </w:r>
      <w:r w:rsidRPr="00986EFF">
        <w:rPr>
          <w:rFonts w:ascii="Times New Roman" w:eastAsia="Times New Roman" w:hAnsi="Times New Roman" w:cs="Times New Roman"/>
          <w:color w:val="000000" w:themeColor="text1"/>
          <w:sz w:val="24"/>
          <w:szCs w:val="24"/>
        </w:rPr>
        <w:t xml:space="preserve">(Yuan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Wu, 2021)</w:t>
      </w:r>
      <w:r w:rsidRPr="00986EFF">
        <w:rPr>
          <w:rFonts w:ascii="Times New Roman" w:hAnsi="Times New Roman" w:cs="Times New Roman"/>
          <w:color w:val="000000" w:themeColor="text1"/>
          <w:sz w:val="24"/>
          <w:szCs w:val="24"/>
        </w:rPr>
        <w:t xml:space="preserve">. However, deep learning models require large, centralized datasets, which are impractical in multi-facility energy systems due to privacy constraints and non-Independent and Identically Distributed (non-IID) data distributions across sites (Zhao et al., 2018). Federated Learning (FL) emerged as a transformative solution, enabling collaborative model training without raw data exchange. FL </w:t>
      </w:r>
      <w:r w:rsidRPr="00986EFF">
        <w:rPr>
          <w:rFonts w:ascii="Times New Roman" w:hAnsi="Times New Roman" w:cs="Times New Roman"/>
          <w:color w:val="000000" w:themeColor="text1"/>
          <w:sz w:val="24"/>
          <w:szCs w:val="24"/>
        </w:rPr>
        <w:lastRenderedPageBreak/>
        <w:t>operates by aggregating local model updates from individual facilities to form a global model, as described by the equation:</w:t>
      </w:r>
    </w:p>
    <w:p w14:paraId="1EF01B7D" w14:textId="391B631F" w:rsidR="00623D61" w:rsidRPr="001E21E1" w:rsidRDefault="004A2888" w:rsidP="00986EFF">
      <w:pPr>
        <w:spacing w:line="360" w:lineRule="auto"/>
        <w:jc w:val="both"/>
        <w:rPr>
          <w:rFonts w:ascii="Times New Roman" w:hAnsi="Times New Roman" w:cs="Times New Roman"/>
          <w:color w:val="000000" w:themeColor="text1"/>
          <w:sz w:val="24"/>
          <w:szCs w:val="24"/>
        </w:rPr>
      </w:pPr>
      <m:oMathPara>
        <m:oMathParaPr>
          <m:jc m:val="center"/>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global</m:t>
              </m:r>
            </m:sub>
          </m:sSub>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k = 1</m:t>
              </m:r>
            </m:sub>
            <m:sup>
              <m:r>
                <w:rPr>
                  <w:rFonts w:ascii="Cambria Math" w:hAnsi="Cambria Math" w:cs="Times New Roman"/>
                  <w:color w:val="000000" w:themeColor="text1"/>
                  <w:sz w:val="24"/>
                  <w:szCs w:val="24"/>
                </w:rPr>
                <m:t>K</m:t>
              </m:r>
            </m:sup>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N</m:t>
                  </m:r>
                </m:den>
              </m:f>
            </m:e>
          </m:nary>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k</m:t>
              </m:r>
            </m:sub>
          </m:sSub>
          <m:r>
            <w:rPr>
              <w:rFonts w:ascii="Cambria Math" w:hAnsi="Cambria Math" w:cs="Times New Roman"/>
              <w:color w:val="000000" w:themeColor="text1"/>
              <w:sz w:val="24"/>
              <w:szCs w:val="24"/>
            </w:rPr>
            <m:t xml:space="preserve">    ……equation 1</m:t>
          </m:r>
        </m:oMath>
      </m:oMathPara>
    </w:p>
    <w:p w14:paraId="7C5B458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k</m:t>
            </m:r>
          </m:sub>
        </m:sSub>
      </m:oMath>
      <w:r w:rsidRPr="00986EFF">
        <w:rPr>
          <w:rFonts w:ascii="Times New Roman" w:hAnsi="Times New Roman" w:cs="Times New Roman"/>
          <w:color w:val="000000" w:themeColor="text1"/>
          <w:sz w:val="24"/>
          <w:szCs w:val="24"/>
        </w:rPr>
        <w:t xml:space="preserve"> represents the local model weights of client </w:t>
      </w:r>
      <w:proofErr w:type="gramStart"/>
      <w:r w:rsidRPr="00986EFF">
        <w:rPr>
          <w:rFonts w:ascii="Times New Roman" w:hAnsi="Times New Roman" w:cs="Times New Roman"/>
          <w:color w:val="000000" w:themeColor="text1"/>
          <w:sz w:val="24"/>
          <w:szCs w:val="24"/>
        </w:rPr>
        <w:t>( k</w:t>
      </w:r>
      <w:proofErr w:type="gramEnd"/>
      <w:r w:rsidRPr="00986EFF">
        <w:rPr>
          <w:rFonts w:ascii="Times New Roman" w:hAnsi="Times New Roman" w:cs="Times New Roman"/>
          <w:color w:val="000000" w:themeColor="text1"/>
          <w:sz w:val="24"/>
          <w:szCs w:val="24"/>
        </w:rPr>
        <w:t xml:space="preserve"> ), </w:t>
      </w:r>
    </w:p>
    <w:p w14:paraId="548731F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oMath>
      <w:r w:rsidRPr="00986EFF">
        <w:rPr>
          <w:rFonts w:ascii="Times New Roman" w:eastAsiaTheme="minorEastAsia" w:hAnsi="Times New Roman" w:cs="Times New Roman"/>
          <w:color w:val="000000" w:themeColor="text1"/>
          <w:sz w:val="24"/>
          <w:szCs w:val="24"/>
        </w:rPr>
        <w:t xml:space="preserve"> </w:t>
      </w:r>
      <w:r w:rsidRPr="00986EFF">
        <w:rPr>
          <w:rFonts w:ascii="Times New Roman" w:hAnsi="Times New Roman" w:cs="Times New Roman"/>
          <w:color w:val="000000" w:themeColor="text1"/>
          <w:sz w:val="24"/>
          <w:szCs w:val="24"/>
        </w:rPr>
        <w:t xml:space="preserve">is the local dataset size, </w:t>
      </w:r>
      <w:proofErr w:type="gramStart"/>
      <w:r w:rsidRPr="00986EFF">
        <w:rPr>
          <w:rFonts w:ascii="Times New Roman" w:hAnsi="Times New Roman" w:cs="Times New Roman"/>
          <w:color w:val="000000" w:themeColor="text1"/>
          <w:sz w:val="24"/>
          <w:szCs w:val="24"/>
        </w:rPr>
        <w:t>( N</w:t>
      </w:r>
      <w:proofErr w:type="gramEnd"/>
      <w:r w:rsidRPr="00986EFF">
        <w:rPr>
          <w:rFonts w:ascii="Times New Roman" w:hAnsi="Times New Roman" w:cs="Times New Roman"/>
          <w:color w:val="000000" w:themeColor="text1"/>
          <w:sz w:val="24"/>
          <w:szCs w:val="24"/>
        </w:rPr>
        <w:t xml:space="preserve"> ) is the total data across ( K ) clients, and </w:t>
      </w:r>
    </w:p>
    <w:p w14:paraId="6193EBF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eastAsiaTheme="minorEastAsia" w:hAnsi="Times New Roman" w:cs="Times New Roman"/>
          <w:color w:val="000000" w:themeColor="text1"/>
          <w:sz w:val="24"/>
          <w:szCs w:val="24"/>
        </w:rPr>
        <w:tab/>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global</m:t>
            </m:r>
          </m:sub>
        </m:sSub>
      </m:oMath>
      <w:r w:rsidRPr="00986EFF">
        <w:rPr>
          <w:rFonts w:ascii="Times New Roman" w:hAnsi="Times New Roman" w:cs="Times New Roman"/>
          <w:color w:val="000000" w:themeColor="text1"/>
          <w:sz w:val="24"/>
          <w:szCs w:val="24"/>
        </w:rPr>
        <w:t xml:space="preserve"> is the aggregated global model (Kairouz et al., </w:t>
      </w:r>
      <w:proofErr w:type="gramStart"/>
      <w:r w:rsidRPr="00986EFF">
        <w:rPr>
          <w:rFonts w:ascii="Times New Roman" w:hAnsi="Times New Roman" w:cs="Times New Roman"/>
          <w:color w:val="000000" w:themeColor="text1"/>
          <w:sz w:val="24"/>
          <w:szCs w:val="24"/>
        </w:rPr>
        <w:t>2021).</w:t>
      </w:r>
      <w:proofErr w:type="gramEnd"/>
      <w:r w:rsidRPr="00986EFF">
        <w:rPr>
          <w:rFonts w:ascii="Times New Roman" w:hAnsi="Times New Roman" w:cs="Times New Roman"/>
          <w:color w:val="000000" w:themeColor="text1"/>
          <w:sz w:val="24"/>
          <w:szCs w:val="24"/>
        </w:rPr>
        <w:t xml:space="preserve"> </w:t>
      </w:r>
    </w:p>
    <w:p w14:paraId="02CFBDB8"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This framework preserves data locality, aligning with privacy requirements while facilitating cross-facility intelligence sharing, making it particularly suitable for energy systems </w:t>
      </w:r>
      <w:r w:rsidRPr="00986EFF">
        <w:rPr>
          <w:rFonts w:ascii="Times New Roman" w:eastAsia="Times New Roman" w:hAnsi="Times New Roman" w:cs="Times New Roman"/>
          <w:color w:val="000000" w:themeColor="text1"/>
          <w:sz w:val="24"/>
          <w:szCs w:val="24"/>
        </w:rPr>
        <w:t>(Cheng et al., 2022)</w:t>
      </w:r>
      <w:r w:rsidRPr="00986EFF">
        <w:rPr>
          <w:rFonts w:ascii="Times New Roman" w:hAnsi="Times New Roman" w:cs="Times New Roman"/>
          <w:color w:val="000000" w:themeColor="text1"/>
          <w:sz w:val="24"/>
          <w:szCs w:val="24"/>
        </w:rPr>
        <w:t>. Recent theoretical advancements in FL, such as differential privacy mechanisms that add controlled noise to model updates, have further strengthened its applicability by ensuring robust privacy guarantees with minimal accuracy loss, typically less than 2% (Abadi et al., 2016).</w:t>
      </w:r>
    </w:p>
    <w:p w14:paraId="76ADF9A8" w14:textId="77777777" w:rsidR="00623D61" w:rsidRPr="00986EFF" w:rsidRDefault="00623D61" w:rsidP="00986EFF">
      <w:pPr>
        <w:spacing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Despite these advances, theoretical gaps remain. Current ITD models often assume homogeneous threat profiles, overlooking the diverse motivations of insiders, ranging from malicious intent to negligence, which require tailored detection strategies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Gunuganti</w:t>
      </w:r>
      <w:proofErr w:type="spellEnd"/>
      <w:r w:rsidRPr="00986EFF">
        <w:rPr>
          <w:rFonts w:ascii="Times New Roman" w:eastAsia="Times New Roman" w:hAnsi="Times New Roman" w:cs="Times New Roman"/>
          <w:color w:val="000000" w:themeColor="text1"/>
          <w:sz w:val="24"/>
          <w:szCs w:val="24"/>
        </w:rPr>
        <w:t>, 2024)</w:t>
      </w:r>
      <w:r w:rsidRPr="00986EFF">
        <w:rPr>
          <w:rFonts w:ascii="Times New Roman" w:hAnsi="Times New Roman" w:cs="Times New Roman"/>
          <w:color w:val="000000" w:themeColor="text1"/>
          <w:sz w:val="24"/>
          <w:szCs w:val="24"/>
        </w:rPr>
        <w:t>. Additionally, the computational complexity of FL in resource-constrained environments, such as edge devices in energy facilities, poses scalability challenges, with studies indicating up to 30% higher latency compared to centralized systems in large-scale deployments (Yang et al., 2019). These limitations underscore the need for energy-specific theoretical frameworks that address both privacy and operational constraints.</w:t>
      </w:r>
    </w:p>
    <w:p w14:paraId="0B4F9C9F"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Federated Learning in Energy Cybersecurity</w:t>
      </w:r>
    </w:p>
    <w:p w14:paraId="08382A40"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Federated Learning has gained significant traction in energy cybersecurity, driven by its ability to enable collaborative threat detection while adhering to privacy regulations. In the context of smart grids, FL has been applied to detect false data injection attacks, which manipulate sensor readings to disrupt grid stability. A notable study implemented an FL-based framework across 15 phasor measurement units (PMUs), achieving a detection accuracy of 94.7% and reducing latency by 38% compared to centralized ML systems, attributed to localized model training (Li et al., 2022). This approach leverages distributed anomaly detection, where each PMU contributes to a global model </w:t>
      </w:r>
      <w:r w:rsidRPr="00986EFF">
        <w:rPr>
          <w:rFonts w:ascii="Times New Roman" w:hAnsi="Times New Roman" w:cs="Times New Roman"/>
          <w:color w:val="000000" w:themeColor="text1"/>
          <w:sz w:val="24"/>
          <w:szCs w:val="24"/>
        </w:rPr>
        <w:lastRenderedPageBreak/>
        <w:t xml:space="preserve">without sharing raw sensor data, ensuring compliance with privacy standards </w:t>
      </w:r>
      <w:r w:rsidRPr="00986EFF">
        <w:rPr>
          <w:rFonts w:ascii="Times New Roman" w:eastAsia="Times New Roman" w:hAnsi="Times New Roman" w:cs="Times New Roman"/>
          <w:color w:val="000000" w:themeColor="text1"/>
          <w:sz w:val="24"/>
          <w:szCs w:val="24"/>
        </w:rPr>
        <w:t xml:space="preserve">(Huda </w:t>
      </w:r>
      <w:proofErr w:type="spellStart"/>
      <w:r w:rsidRPr="00986EFF">
        <w:rPr>
          <w:rFonts w:ascii="Times New Roman" w:eastAsia="Times New Roman" w:hAnsi="Times New Roman" w:cs="Times New Roman"/>
          <w:color w:val="000000" w:themeColor="text1"/>
          <w:sz w:val="24"/>
          <w:szCs w:val="24"/>
        </w:rPr>
        <w:t>Kadhim</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Sabah, 2024)</w:t>
      </w:r>
      <w:r w:rsidRPr="00986EFF">
        <w:rPr>
          <w:rFonts w:ascii="Times New Roman" w:hAnsi="Times New Roman" w:cs="Times New Roman"/>
          <w:color w:val="000000" w:themeColor="text1"/>
          <w:sz w:val="24"/>
          <w:szCs w:val="24"/>
        </w:rPr>
        <w:t>.</w:t>
      </w:r>
    </w:p>
    <w:p w14:paraId="6DB98C59"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Recent innovations include the integration of blockchain with FL to enhance security and traceability of model updates, achieving a 95% reduction in tampering risks during aggregation </w:t>
      </w:r>
      <w:r w:rsidRPr="00986EFF">
        <w:rPr>
          <w:rFonts w:ascii="Times New Roman" w:eastAsia="Times New Roman" w:hAnsi="Times New Roman" w:cs="Times New Roman"/>
          <w:color w:val="000000" w:themeColor="text1"/>
          <w:sz w:val="24"/>
          <w:szCs w:val="24"/>
        </w:rPr>
        <w:t>(Zhu et al., 2025)</w:t>
      </w:r>
      <w:r w:rsidRPr="00986EFF">
        <w:rPr>
          <w:rFonts w:ascii="Times New Roman" w:hAnsi="Times New Roman" w:cs="Times New Roman"/>
          <w:color w:val="000000" w:themeColor="text1"/>
          <w:sz w:val="24"/>
          <w:szCs w:val="24"/>
        </w:rPr>
        <w:t xml:space="preserve">. Additionally, hierarchical FL architectures, which employ regional aggregation nodes before global updates, have reduced communication overhead by 40%, making them viable for large-scale energy systems </w:t>
      </w:r>
      <w:r w:rsidRPr="00986EFF">
        <w:rPr>
          <w:rFonts w:ascii="Times New Roman" w:eastAsia="Times New Roman" w:hAnsi="Times New Roman" w:cs="Times New Roman"/>
          <w:color w:val="000000" w:themeColor="text1"/>
          <w:sz w:val="24"/>
          <w:szCs w:val="24"/>
        </w:rPr>
        <w:t>(Nguyen et al., 2022)</w:t>
      </w:r>
      <w:r w:rsidRPr="00986EFF">
        <w:rPr>
          <w:rFonts w:ascii="Times New Roman" w:hAnsi="Times New Roman" w:cs="Times New Roman"/>
          <w:color w:val="000000" w:themeColor="text1"/>
          <w:sz w:val="24"/>
          <w:szCs w:val="24"/>
        </w:rPr>
        <w:t xml:space="preserve">. However, gaps persist in energy-specific FL applications. Only 12% of FL studies focus on power systems, with the majority targeting healthcare or finance, limiting the availability of sector-tailored models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Chelani</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Moreover, 91% of existing studies rely on synthetic datasets, which fail to capture the operational noise and variability of real-world energy environments, potentially overestimating model performance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2024)</w:t>
      </w:r>
      <w:r w:rsidRPr="00986EFF">
        <w:rPr>
          <w:rFonts w:ascii="Times New Roman" w:hAnsi="Times New Roman" w:cs="Times New Roman"/>
          <w:color w:val="000000" w:themeColor="text1"/>
          <w:sz w:val="24"/>
          <w:szCs w:val="24"/>
        </w:rPr>
        <w:t xml:space="preserve">. The lack of standardized benchmarks for FL scalability beyond 50 nodes further hinders its adoption in utilities managing hundreds of facilities, necessitating further research into energy-centric FL frameworks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et al., 2024).</w:t>
      </w:r>
    </w:p>
    <w:p w14:paraId="024A2DE5"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Biomechanical Authentication Systems</w:t>
      </w:r>
    </w:p>
    <w:p w14:paraId="72CF4B88"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Biomechanical authentication systems have emerged as a powerful tool for enhancing physical security in energy facilities, leveraging unique human movement patterns to provide continuous, non-intrusive verification. Pressure-sensitive flooring, such as the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Secure system, achieves 99.2% authentication accuracy by capturing 120 gait parameters per second using 256 high-resolution sensors, enabling real-time identification of authorized personnel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Complementary technologies, such as LIDAR-based gait recognition, have demonstrated 98.4% identification accuracy under varying environmental conditions, making them suitable for outdoor energy facilities </w:t>
      </w:r>
      <w:r w:rsidRPr="00986EFF">
        <w:rPr>
          <w:rFonts w:ascii="Times New Roman" w:eastAsia="Times New Roman" w:hAnsi="Times New Roman" w:cs="Times New Roman"/>
          <w:color w:val="000000" w:themeColor="text1"/>
          <w:sz w:val="24"/>
          <w:szCs w:val="24"/>
        </w:rPr>
        <w:t>(Álvarez-Aparicio et al., 2022)</w:t>
      </w:r>
      <w:r w:rsidRPr="00986EFF">
        <w:rPr>
          <w:rFonts w:ascii="Times New Roman" w:hAnsi="Times New Roman" w:cs="Times New Roman"/>
          <w:color w:val="000000" w:themeColor="text1"/>
          <w:sz w:val="24"/>
          <w:szCs w:val="24"/>
        </w:rPr>
        <w:t xml:space="preserve">. Smartphone-based accelerometer authentication, while less accurate at 91.3%, offers cost-effective solutions for smaller installations, maintaining efficacy across diverse walking speeds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Muaaz</w:t>
      </w:r>
      <w:proofErr w:type="spellEnd"/>
      <w:r w:rsidRPr="00986EFF">
        <w:rPr>
          <w:rFonts w:ascii="Times New Roman" w:eastAsia="Times New Roman" w:hAnsi="Times New Roman" w:cs="Times New Roman"/>
          <w:color w:val="000000" w:themeColor="text1"/>
          <w:sz w:val="24"/>
          <w:szCs w:val="24"/>
        </w:rPr>
        <w:t xml:space="preserve">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Mayrhofer, 2017)</w:t>
      </w:r>
      <w:r w:rsidRPr="00986EFF">
        <w:rPr>
          <w:rFonts w:ascii="Times New Roman" w:hAnsi="Times New Roman" w:cs="Times New Roman"/>
          <w:color w:val="000000" w:themeColor="text1"/>
          <w:sz w:val="24"/>
          <w:szCs w:val="24"/>
        </w:rPr>
        <w:t>.</w:t>
      </w:r>
    </w:p>
    <w:p w14:paraId="15919A18" w14:textId="77777777" w:rsidR="006D0238" w:rsidRPr="00986EFF" w:rsidRDefault="006D0238" w:rsidP="00986EFF">
      <w:pPr>
        <w:pStyle w:val="NormalWeb"/>
        <w:spacing w:line="360" w:lineRule="auto"/>
        <w:jc w:val="both"/>
        <w:rPr>
          <w:color w:val="000000" w:themeColor="text1"/>
        </w:rPr>
      </w:pPr>
      <w:r w:rsidRPr="00986EFF">
        <w:rPr>
          <w:color w:val="000000" w:themeColor="text1"/>
        </w:rPr>
        <w:t xml:space="preserve">Multi-modal biomechanical systems, integrating gait analysis with keystroke dynamics or plantar pressure, reduce false acceptance rates by 44% compared to single-factor biometrics (Nassim </w:t>
      </w:r>
      <w:proofErr w:type="spellStart"/>
      <w:r w:rsidRPr="00986EFF">
        <w:rPr>
          <w:color w:val="000000" w:themeColor="text1"/>
        </w:rPr>
        <w:t>Ammour</w:t>
      </w:r>
      <w:proofErr w:type="spellEnd"/>
      <w:r w:rsidRPr="00986EFF">
        <w:rPr>
          <w:color w:val="000000" w:themeColor="text1"/>
        </w:rPr>
        <w:t xml:space="preserve"> et al., 2023). These systems create robust behavioral profiles by combining spatial-temporal and fine motor data (</w:t>
      </w:r>
      <w:proofErr w:type="spellStart"/>
      <w:r w:rsidRPr="00986EFF">
        <w:rPr>
          <w:color w:val="000000" w:themeColor="text1"/>
        </w:rPr>
        <w:t>Papavasileiou</w:t>
      </w:r>
      <w:proofErr w:type="spellEnd"/>
      <w:r w:rsidRPr="00986EFF">
        <w:rPr>
          <w:color w:val="000000" w:themeColor="text1"/>
        </w:rPr>
        <w:t xml:space="preserve"> et al., 2021). Wearable sensors like inertial measurement units achieve 96.5% accuracy in dynamic environments (Liu et al., 2024), while </w:t>
      </w:r>
      <w:r w:rsidRPr="00986EFF">
        <w:rPr>
          <w:color w:val="000000" w:themeColor="text1"/>
        </w:rPr>
        <w:lastRenderedPageBreak/>
        <w:t>CNNs enhance feature extraction, reaching 97% accuracy (</w:t>
      </w:r>
      <w:proofErr w:type="spellStart"/>
      <w:r w:rsidRPr="00986EFF">
        <w:rPr>
          <w:color w:val="000000" w:themeColor="text1"/>
        </w:rPr>
        <w:t>Balasubramaniam</w:t>
      </w:r>
      <w:proofErr w:type="spellEnd"/>
      <w:r w:rsidRPr="00986EFF">
        <w:rPr>
          <w:color w:val="000000" w:themeColor="text1"/>
        </w:rPr>
        <w:t xml:space="preserve"> et al., 2024). However, deployment faces challenges, including high sensor costs (</w:t>
      </w:r>
      <w:proofErr w:type="spellStart"/>
      <w:r w:rsidRPr="00986EFF">
        <w:rPr>
          <w:color w:val="000000" w:themeColor="text1"/>
        </w:rPr>
        <w:t>Stepscan</w:t>
      </w:r>
      <w:proofErr w:type="spellEnd"/>
      <w:r w:rsidRPr="00986EFF">
        <w:rPr>
          <w:color w:val="000000" w:themeColor="text1"/>
        </w:rPr>
        <w:t>, 2024), noise from industrial vibrations (Middleton and Buss, 2005), and minimal ergonomic consideration in only 4% of studies (Álvarez-Aparicio et al., 2022).</w:t>
      </w:r>
    </w:p>
    <w:p w14:paraId="0DD154A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Integration Challenges and Research Gaps</w:t>
      </w:r>
    </w:p>
    <w:p w14:paraId="32AA2F0A"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The integration of FL, biomechanical authentication, and AI-based analytics presents significant technical and operational challenges, alongside critical research gaps that must be addressed to realize their full potential in energy facilities. A primary challenge is temporal synchronization between millisecond-grade biomechanical data, such as gait patterns captured at 100 Hz, and network activity logs recorded at varying intervals, requiring sub-50ms timestamp coordination to ensure accurate correlation (</w:t>
      </w:r>
      <w:proofErr w:type="spellStart"/>
      <w:r w:rsidRPr="00986EFF">
        <w:rPr>
          <w:rFonts w:ascii="Times New Roman" w:hAnsi="Times New Roman" w:cs="Times New Roman"/>
          <w:color w:val="000000" w:themeColor="text1"/>
          <w:sz w:val="24"/>
          <w:szCs w:val="24"/>
        </w:rPr>
        <w:t>RecFaces</w:t>
      </w:r>
      <w:proofErr w:type="spellEnd"/>
      <w:r w:rsidRPr="00986EFF">
        <w:rPr>
          <w:rFonts w:ascii="Times New Roman" w:hAnsi="Times New Roman" w:cs="Times New Roman"/>
          <w:color w:val="000000" w:themeColor="text1"/>
          <w:sz w:val="24"/>
          <w:szCs w:val="24"/>
        </w:rPr>
        <w:t xml:space="preserve">, 2021). Advanced synchronization algorithms, such as time-series alignment with dynamic time warping, have reduced latency by 25%, but real-world validation remains limited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 xml:space="preserve">. Feature engineering poses another hurdle, as integrating 150+ biomechanical features (e.g., stride length, pressure distribution) with 200+ cyber indicators (e.g., login times, file access patterns) demands sophisticated dimensionality reduction techniques, such as Principal Component Analysis or autoencoders, to maintain model efficiency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Papavasileiou</w:t>
      </w:r>
      <w:proofErr w:type="spellEnd"/>
      <w:r w:rsidRPr="00986EFF">
        <w:rPr>
          <w:rFonts w:ascii="Times New Roman" w:eastAsia="Times New Roman" w:hAnsi="Times New Roman" w:cs="Times New Roman"/>
          <w:color w:val="000000" w:themeColor="text1"/>
          <w:sz w:val="24"/>
          <w:szCs w:val="24"/>
        </w:rPr>
        <w:t xml:space="preserve"> et al., 2021)</w:t>
      </w:r>
      <w:r w:rsidRPr="00986EFF">
        <w:rPr>
          <w:rFonts w:ascii="Times New Roman" w:hAnsi="Times New Roman" w:cs="Times New Roman"/>
          <w:color w:val="000000" w:themeColor="text1"/>
          <w:sz w:val="24"/>
          <w:szCs w:val="24"/>
        </w:rPr>
        <w:t>.</w:t>
      </w:r>
    </w:p>
    <w:p w14:paraId="45DB6355"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Despite these advancements, significant research gaps persist. Energy-specific FL architectures are underrepresented, with 78% of studies focusing on healthcare or finance, leaving only 12% addressing power systems, which require tailored models to account for sector-specific threats like grid destabilization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Chelani</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The reliance on synthetic datasets in 91% of studies overlooks operational noise, such as electromagnetic interference in energy facilities, potentially inflating reported accuracies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2024)</w:t>
      </w:r>
      <w:r w:rsidRPr="00986EFF">
        <w:rPr>
          <w:rFonts w:ascii="Times New Roman" w:hAnsi="Times New Roman" w:cs="Times New Roman"/>
          <w:color w:val="000000" w:themeColor="text1"/>
          <w:sz w:val="24"/>
          <w:szCs w:val="24"/>
        </w:rPr>
        <w:t>. Current systems predominantly address physical or cyber threats separately, with 89% of studies failing to integrate both domains, limiting their ability to detect complex insider attacks that span physical and digital vectors (</w:t>
      </w:r>
      <w:proofErr w:type="spellStart"/>
      <w:r w:rsidRPr="00986EFF">
        <w:rPr>
          <w:rFonts w:ascii="Times New Roman" w:hAnsi="Times New Roman" w:cs="Times New Roman"/>
          <w:color w:val="000000" w:themeColor="text1"/>
          <w:sz w:val="24"/>
          <w:szCs w:val="24"/>
        </w:rPr>
        <w:t>Engrxiv</w:t>
      </w:r>
      <w:proofErr w:type="spellEnd"/>
      <w:r w:rsidRPr="00986EFF">
        <w:rPr>
          <w:rFonts w:ascii="Times New Roman" w:hAnsi="Times New Roman" w:cs="Times New Roman"/>
          <w:color w:val="000000" w:themeColor="text1"/>
          <w:sz w:val="24"/>
          <w:szCs w:val="24"/>
        </w:rPr>
        <w:t xml:space="preserve">, 2023). Scalability remains a concern, as few studies test FL beyond 50 nodes, while major utilities manage 500+ facilities, requiring benchmarks for large-scale deployments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Human-factor engineering is also underexplored, with only 4% of biometric studies considering ergonomic impacts, such as operator fatigue or behavioral adaptation to sensing technologies </w:t>
      </w:r>
      <w:r w:rsidRPr="00986EFF">
        <w:rPr>
          <w:rFonts w:ascii="Times New Roman" w:eastAsia="Times New Roman" w:hAnsi="Times New Roman" w:cs="Times New Roman"/>
          <w:color w:val="000000" w:themeColor="text1"/>
          <w:sz w:val="24"/>
          <w:szCs w:val="24"/>
        </w:rPr>
        <w:t>(Álvarez-Aparicio et al., 2022)</w:t>
      </w:r>
      <w:r w:rsidRPr="00986EFF">
        <w:rPr>
          <w:rFonts w:ascii="Times New Roman" w:hAnsi="Times New Roman" w:cs="Times New Roman"/>
          <w:color w:val="000000" w:themeColor="text1"/>
          <w:sz w:val="24"/>
          <w:szCs w:val="24"/>
        </w:rPr>
        <w:t>.</w:t>
      </w:r>
    </w:p>
    <w:p w14:paraId="0C7E7F6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In conclusion, while significant progress has been made in FL, biomechanical authentication, and AI analytics, their integrated application for insider threat detection in energy facilities remains largely unexplored. The review of 35 studies highlights the need for energy-specific FL architectures, real-world deployment validation, integrated threat models, scalability benchmarks, and human-centric design considerations. Subsequent chapters will address these gaps by developing and testing a comprehensive detection system, validated across simulated and physical testbeds, to enhance the security of critical energy infrastructure.</w:t>
      </w:r>
    </w:p>
    <w:p w14:paraId="6BEA9637" w14:textId="77777777" w:rsidR="00D3371A" w:rsidRPr="00986EFF" w:rsidRDefault="00D3371A" w:rsidP="00986EFF">
      <w:pPr>
        <w:spacing w:line="360" w:lineRule="auto"/>
        <w:jc w:val="both"/>
        <w:rPr>
          <w:rFonts w:ascii="Times New Roman" w:hAnsi="Times New Roman" w:cs="Times New Roman"/>
          <w:color w:val="000000" w:themeColor="text1"/>
          <w:sz w:val="24"/>
          <w:szCs w:val="24"/>
        </w:rPr>
      </w:pPr>
    </w:p>
    <w:p w14:paraId="2191A93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3</w:t>
      </w:r>
      <w:r w:rsidRPr="00986EFF">
        <w:rPr>
          <w:rFonts w:ascii="Times New Roman" w:hAnsi="Times New Roman" w:cs="Times New Roman"/>
          <w:b/>
          <w:color w:val="000000" w:themeColor="text1"/>
          <w:sz w:val="24"/>
          <w:szCs w:val="24"/>
        </w:rPr>
        <w:tab/>
        <w:t>Methodology</w:t>
      </w:r>
    </w:p>
    <w:p w14:paraId="6C15E99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Research Design Framework</w:t>
      </w:r>
    </w:p>
    <w:p w14:paraId="1FB01A2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The research adopts a mixed-methods approach, integrating quantitative experiments with qualitative case studies to address insider threat detection in energy facilities. Aligned with the research objectives, the methodology encompasses four interconnected components: federated learning infrastructure, biomechanical data acquisition, multi-modal analytics, and system validation. The federated learning architecture enables collaborative model training across dispersed facilities while preserving data privacy (Yang et al., 2019). Biomechanical interfaces, including pressure-sensitive floors and biometric surfaces, capture physical behavioral signature (</w:t>
      </w:r>
      <w:proofErr w:type="spellStart"/>
      <w:r w:rsidRPr="00986EFF">
        <w:rPr>
          <w:rFonts w:ascii="Times New Roman" w:eastAsia="Times New Roman" w:hAnsi="Times New Roman" w:cs="Times New Roman"/>
          <w:color w:val="000000" w:themeColor="text1"/>
          <w:sz w:val="24"/>
          <w:szCs w:val="24"/>
        </w:rPr>
        <w:t>Papavasileiou</w:t>
      </w:r>
      <w:proofErr w:type="spellEnd"/>
      <w:r w:rsidRPr="00986EFF">
        <w:rPr>
          <w:rFonts w:ascii="Times New Roman" w:eastAsia="Times New Roman" w:hAnsi="Times New Roman" w:cs="Times New Roman"/>
          <w:color w:val="000000" w:themeColor="text1"/>
          <w:sz w:val="24"/>
          <w:szCs w:val="24"/>
        </w:rPr>
        <w:t xml:space="preserve"> et al., 2021). The multi-modal analytics engine processes both physical and cyber data to detect anomalies (Devine et al., 2025). The validation framework assesses system robustness using synthetic datasets, ensuring adaptability across varied facility contexts (Zhao et al., 2018).</w:t>
      </w:r>
    </w:p>
    <w:p w14:paraId="41E93126" w14:textId="77777777" w:rsidR="00623D61" w:rsidRPr="00986EFF" w:rsidRDefault="00623D61"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The research unfolds in three experimental phases: Phase I designs a federated learning system using a modified </w:t>
      </w:r>
      <w:proofErr w:type="spellStart"/>
      <w:r w:rsidRPr="00986EFF">
        <w:rPr>
          <w:rFonts w:ascii="Times New Roman" w:eastAsia="Times New Roman" w:hAnsi="Times New Roman" w:cs="Times New Roman"/>
          <w:color w:val="000000" w:themeColor="text1"/>
          <w:sz w:val="24"/>
          <w:szCs w:val="24"/>
        </w:rPr>
        <w:t>FedAvg</w:t>
      </w:r>
      <w:proofErr w:type="spellEnd"/>
      <w:r w:rsidRPr="00986EFF">
        <w:rPr>
          <w:rFonts w:ascii="Times New Roman" w:eastAsia="Times New Roman" w:hAnsi="Times New Roman" w:cs="Times New Roman"/>
          <w:color w:val="000000" w:themeColor="text1"/>
          <w:sz w:val="24"/>
          <w:szCs w:val="24"/>
        </w:rPr>
        <w:t xml:space="preserve"> algorithm with differential privacy; Phase II tests biomechanical interfaces in a controlled environment for authentication accuracy and usability; Phase III integrates AI-based analytics to detect threats from combined data sources. Figure 1 illustrates the architecture, showing data flow from sensors through edge processing to federated model aggregation.</w:t>
      </w:r>
    </w:p>
    <w:p w14:paraId="2A0F61DD" w14:textId="77777777" w:rsidR="00FA19C8" w:rsidRDefault="00FA19C8" w:rsidP="00986EFF">
      <w:pPr>
        <w:spacing w:line="360" w:lineRule="auto"/>
        <w:jc w:val="both"/>
        <w:rPr>
          <w:rFonts w:ascii="Times New Roman" w:hAnsi="Times New Roman" w:cs="Times New Roman"/>
          <w:b/>
          <w:color w:val="000000" w:themeColor="text1"/>
          <w:sz w:val="24"/>
          <w:szCs w:val="24"/>
        </w:rPr>
      </w:pPr>
    </w:p>
    <w:p w14:paraId="2B2A13B5" w14:textId="77777777" w:rsidR="00FA19C8" w:rsidRDefault="00FA19C8" w:rsidP="00986EFF">
      <w:pPr>
        <w:spacing w:line="360" w:lineRule="auto"/>
        <w:jc w:val="both"/>
        <w:rPr>
          <w:rFonts w:ascii="Times New Roman" w:hAnsi="Times New Roman" w:cs="Times New Roman"/>
          <w:b/>
          <w:color w:val="000000" w:themeColor="text1"/>
          <w:sz w:val="24"/>
          <w:szCs w:val="24"/>
        </w:rPr>
      </w:pPr>
    </w:p>
    <w:p w14:paraId="0842D7FB" w14:textId="77777777" w:rsidR="00DF08CB"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Figure 1</w:t>
      </w:r>
    </w:p>
    <w:p w14:paraId="076467C4"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Integrated Research Design Architecture</w:t>
      </w:r>
    </w:p>
    <w:p w14:paraId="31ED8ACB" w14:textId="77777777" w:rsidR="00DF08CB" w:rsidRPr="00986EFF" w:rsidRDefault="00FA19C8"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69504" behindDoc="0" locked="0" layoutInCell="1" allowOverlap="1" wp14:anchorId="068F3A31" wp14:editId="3FB820E0">
                <wp:simplePos x="0" y="0"/>
                <wp:positionH relativeFrom="column">
                  <wp:posOffset>2536190</wp:posOffset>
                </wp:positionH>
                <wp:positionV relativeFrom="paragraph">
                  <wp:posOffset>806450</wp:posOffset>
                </wp:positionV>
                <wp:extent cx="0" cy="162560"/>
                <wp:effectExtent l="76200" t="38100" r="57150" b="27940"/>
                <wp:wrapNone/>
                <wp:docPr id="14" name="Straight Arrow Connector 14"/>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5250CD3" id="_x0000_t32" coordsize="21600,21600" o:spt="32" o:oned="t" path="m,l21600,21600e" filled="f">
                <v:path arrowok="t" fillok="f" o:connecttype="none"/>
                <o:lock v:ext="edit" shapetype="t"/>
              </v:shapetype>
              <v:shape id="Straight Arrow Connector 14" o:spid="_x0000_s1026" type="#_x0000_t32" style="position:absolute;margin-left:199.7pt;margin-top:63.5pt;width:0;height:12.8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15D1F843" wp14:editId="332DCF5F">
                <wp:simplePos x="0" y="0"/>
                <wp:positionH relativeFrom="column">
                  <wp:posOffset>1369060</wp:posOffset>
                </wp:positionH>
                <wp:positionV relativeFrom="paragraph">
                  <wp:posOffset>810623</wp:posOffset>
                </wp:positionV>
                <wp:extent cx="0" cy="162560"/>
                <wp:effectExtent l="76200" t="38100" r="57150" b="27940"/>
                <wp:wrapNone/>
                <wp:docPr id="13" name="Straight Arrow Connector 13"/>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69CCD2" id="Straight Arrow Connector 13" o:spid="_x0000_s1026" type="#_x0000_t32" style="position:absolute;margin-left:107.8pt;margin-top:63.85pt;width:0;height:12.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7F794FB7" wp14:editId="6BF4285F">
                <wp:simplePos x="0" y="0"/>
                <wp:positionH relativeFrom="column">
                  <wp:posOffset>1975485</wp:posOffset>
                </wp:positionH>
                <wp:positionV relativeFrom="paragraph">
                  <wp:posOffset>4149453</wp:posOffset>
                </wp:positionV>
                <wp:extent cx="0" cy="162560"/>
                <wp:effectExtent l="76200" t="38100" r="57150" b="27940"/>
                <wp:wrapNone/>
                <wp:docPr id="9" name="Straight Arrow Connector 9"/>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18C5BB" id="Straight Arrow Connector 9" o:spid="_x0000_s1026" type="#_x0000_t32" style="position:absolute;margin-left:155.55pt;margin-top:326.75pt;width:0;height:12.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65408" behindDoc="0" locked="0" layoutInCell="1" allowOverlap="1" wp14:anchorId="10BDBF53" wp14:editId="5A617B8A">
                <wp:simplePos x="0" y="0"/>
                <wp:positionH relativeFrom="column">
                  <wp:posOffset>2534285</wp:posOffset>
                </wp:positionH>
                <wp:positionV relativeFrom="paragraph">
                  <wp:posOffset>2372360</wp:posOffset>
                </wp:positionV>
                <wp:extent cx="0" cy="162560"/>
                <wp:effectExtent l="76200" t="38100" r="57150" b="27940"/>
                <wp:wrapNone/>
                <wp:docPr id="12" name="Straight Arrow Connector 12"/>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B6BF4C" id="Straight Arrow Connector 12" o:spid="_x0000_s1026" type="#_x0000_t32" style="position:absolute;margin-left:199.55pt;margin-top:186.8pt;width:0;height:12.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" strokecolor="black [3200]" strokeweight="1.5pt">
                <v:stroke endarrow="block" joinstyle="miter"/>
              </v:shape>
            </w:pict>
          </mc:Fallback>
        </mc:AlternateContent>
      </w:r>
      <w:r w:rsidRPr="00986EFF">
        <w:rPr>
          <w:rFonts w:ascii="Times New Roman" w:hAnsi="Times New Roman"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68CD334C" wp14:editId="2335E678">
                <wp:simplePos x="0" y="0"/>
                <wp:positionH relativeFrom="column">
                  <wp:posOffset>1370330</wp:posOffset>
                </wp:positionH>
                <wp:positionV relativeFrom="paragraph">
                  <wp:posOffset>2361837</wp:posOffset>
                </wp:positionV>
                <wp:extent cx="0" cy="162560"/>
                <wp:effectExtent l="76200" t="38100" r="57150" b="27940"/>
                <wp:wrapNone/>
                <wp:docPr id="11" name="Straight Arrow Connector 11"/>
                <wp:cNvGraphicFramePr/>
                <a:graphic xmlns:a="http://schemas.openxmlformats.org/drawingml/2006/main">
                  <a:graphicData uri="http://schemas.microsoft.com/office/word/2010/wordprocessingShape">
                    <wps:wsp>
                      <wps:cNvCnPr/>
                      <wps:spPr>
                        <a:xfrm flipV="1">
                          <a:off x="0" y="0"/>
                          <a:ext cx="0" cy="1625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41F169" id="Straight Arrow Connector 11" o:spid="_x0000_s1026" type="#_x0000_t32" style="position:absolute;margin-left:107.9pt;margin-top:185.95pt;width:0;height:12.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" strokecolor="black [3200]" strokeweight="1.5pt">
                <v:stroke endarrow="block" joinstyle="miter"/>
              </v:shape>
            </w:pict>
          </mc:Fallback>
        </mc:AlternateContent>
      </w:r>
      <w:r w:rsidR="00D17730" w:rsidRPr="00986EFF">
        <w:rPr>
          <w:rFonts w:ascii="Times New Roman" w:hAnsi="Times New Roman" w:cs="Times New Roman"/>
          <w:b/>
          <w:noProof/>
          <w:color w:val="000000" w:themeColor="text1"/>
          <w:sz w:val="24"/>
          <w:szCs w:val="24"/>
        </w:rPr>
        <w:drawing>
          <wp:inline distT="0" distB="0" distL="0" distR="0" wp14:anchorId="65D746BC" wp14:editId="0EC17C88">
            <wp:extent cx="3911600" cy="508280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072" cy="5089913"/>
                    </a:xfrm>
                    <a:prstGeom prst="rect">
                      <a:avLst/>
                    </a:prstGeom>
                  </pic:spPr>
                </pic:pic>
              </a:graphicData>
            </a:graphic>
          </wp:inline>
        </w:drawing>
      </w:r>
    </w:p>
    <w:p w14:paraId="00F2574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mixed-methods approach leverages quantitative metrics, such as precision, recall, and detection latency, alongside qualitative insights from operator feedback and case studies, ensuring a comprehensive evaluation. The methodology builds on prior work, such as </w:t>
      </w:r>
      <w:proofErr w:type="spellStart"/>
      <w:r w:rsidRPr="00986EFF">
        <w:rPr>
          <w:rFonts w:ascii="Times New Roman" w:hAnsi="Times New Roman" w:cs="Times New Roman"/>
          <w:color w:val="000000" w:themeColor="text1"/>
          <w:sz w:val="24"/>
          <w:szCs w:val="24"/>
        </w:rPr>
        <w:t>Kairouz</w:t>
      </w:r>
      <w:proofErr w:type="spellEnd"/>
      <w:r w:rsidRPr="00986EFF">
        <w:rPr>
          <w:rFonts w:ascii="Times New Roman" w:hAnsi="Times New Roman" w:cs="Times New Roman"/>
          <w:color w:val="000000" w:themeColor="text1"/>
          <w:sz w:val="24"/>
          <w:szCs w:val="24"/>
        </w:rPr>
        <w:t xml:space="preserve"> et al. (2021), who highlight federated learning’s scalability in distributed systems, and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which underscores the efficacy of pressure-sensitive flooring for security applications. Statistical validations, including nested cross-validation, hypothesis testing, and power analyses, ensure </w:t>
      </w:r>
      <w:r w:rsidRPr="00986EFF">
        <w:rPr>
          <w:rFonts w:ascii="Times New Roman" w:hAnsi="Times New Roman" w:cs="Times New Roman"/>
          <w:color w:val="000000" w:themeColor="text1"/>
          <w:sz w:val="24"/>
          <w:szCs w:val="24"/>
        </w:rPr>
        <w:lastRenderedPageBreak/>
        <w:t>reliability, while ethical considerations, such as compliance with GDPR and NERC CIP-014, guide implementation to address privacy and regulatory requirements.</w:t>
      </w:r>
    </w:p>
    <w:p w14:paraId="6C0A135B"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Data Collection Methodology</w:t>
      </w:r>
    </w:p>
    <w:p w14:paraId="5995737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To replicate the operational environment of energy facilities, a 1:10 scale testbed was constructed, simulating critical infrastructure components, including control rooms, secure access zones, and networked systems. Spanning 100 square meters, the testbed incorporates three primary data collection mechanisms to capture multi-modal behavioral data, aligning with the project’s emphasis on human-centered design and AI-driven analytics. The pressure-sensitive flooring system, covering a (10m x 10m) area, is equipped with sensors (100 sensors/m²), each with a resolution of 0.1 N/cm², to capture foot pressure patterns for gait analysis. The pressure at each sensor is calculated as:</w:t>
      </w:r>
    </w:p>
    <w:p w14:paraId="7DC93EC3" w14:textId="200A2789" w:rsidR="001E21E1" w:rsidRPr="001E21E1" w:rsidRDefault="00623D61" w:rsidP="001E21E1">
      <w:pPr>
        <w:spacing w:line="360" w:lineRule="auto"/>
        <w:jc w:val="center"/>
        <w:rPr>
          <w:rFonts w:ascii="Times New Roman" w:hAnsi="Times New Roman" w:cs="Times New Roman"/>
          <w:i/>
          <w:color w:val="000000" w:themeColor="text1"/>
          <w:sz w:val="24"/>
          <w:szCs w:val="24"/>
        </w:rPr>
      </w:pPr>
      <m:oMathPara>
        <m:oMath>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x,y,t</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z</m:t>
                  </m:r>
                </m:sub>
              </m:sSub>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A</m:t>
              </m:r>
            </m:den>
          </m:f>
          <m:r>
            <w:rPr>
              <w:rFonts w:ascii="Cambria Math" w:hAnsi="Cambria Math" w:cs="Times New Roman"/>
              <w:color w:val="000000" w:themeColor="text1"/>
              <w:sz w:val="24"/>
              <w:szCs w:val="24"/>
            </w:rPr>
            <m:t xml:space="preserve">     ……equation 2</m:t>
          </m:r>
        </m:oMath>
      </m:oMathPara>
    </w:p>
    <w:p w14:paraId="186E5FAD"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The vertical force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z</m:t>
            </m:r>
          </m:sub>
        </m:sSub>
        <m:r>
          <w:rPr>
            <w:rFonts w:ascii="Cambria Math" w:hAnsi="Cambria Math" w:cs="Times New Roman"/>
            <w:color w:val="000000" w:themeColor="text1"/>
            <w:sz w:val="24"/>
            <w:szCs w:val="24"/>
          </w:rPr>
          <m:t xml:space="preserve"> </m:t>
        </m:r>
      </m:oMath>
      <w:r w:rsidRPr="00986EFF">
        <w:rPr>
          <w:rFonts w:ascii="Times New Roman" w:eastAsia="Times New Roman" w:hAnsi="Times New Roman" w:cs="Times New Roman"/>
          <w:color w:val="000000" w:themeColor="text1"/>
          <w:sz w:val="24"/>
          <w:szCs w:val="24"/>
        </w:rPr>
        <w:t xml:space="preserve">over time, measured </w:t>
      </w:r>
      <w:r w:rsidRPr="00986EFF">
        <w:rPr>
          <w:rFonts w:ascii="Times New Roman" w:hAnsi="Times New Roman" w:cs="Times New Roman"/>
          <w:color w:val="000000" w:themeColor="text1"/>
          <w:sz w:val="24"/>
          <w:szCs w:val="24"/>
        </w:rPr>
        <w:t>at time (</w:t>
      </w:r>
      <w:r w:rsidRPr="00986EFF">
        <w:rPr>
          <w:rFonts w:ascii="Times New Roman" w:hAnsi="Times New Roman" w:cs="Times New Roman"/>
          <w:i/>
          <w:color w:val="000000" w:themeColor="text1"/>
          <w:sz w:val="24"/>
          <w:szCs w:val="24"/>
        </w:rPr>
        <w:t>t</w:t>
      </w:r>
      <w:r w:rsidRPr="00986EFF">
        <w:rPr>
          <w:rFonts w:ascii="Times New Roman" w:hAnsi="Times New Roman" w:cs="Times New Roman"/>
          <w:color w:val="000000" w:themeColor="text1"/>
          <w:sz w:val="24"/>
          <w:szCs w:val="24"/>
        </w:rPr>
        <w:t>), and (</w:t>
      </w:r>
      <w:r w:rsidRPr="00986EFF">
        <w:rPr>
          <w:rFonts w:ascii="Times New Roman" w:hAnsi="Times New Roman" w:cs="Times New Roman"/>
          <w:i/>
          <w:color w:val="000000" w:themeColor="text1"/>
          <w:sz w:val="24"/>
          <w:szCs w:val="24"/>
        </w:rPr>
        <w:t>A</w:t>
      </w:r>
      <w:r w:rsidRPr="00986EFF">
        <w:rPr>
          <w:rFonts w:ascii="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across a 0.01 m² sensor area, enables precise gait analysis—stride length, cadence, and pressure distribution crucial for continuous authentication and anomaly detection (</w:t>
      </w:r>
      <w:proofErr w:type="spellStart"/>
      <w:r w:rsidRPr="00986EFF">
        <w:rPr>
          <w:rFonts w:ascii="Times New Roman" w:eastAsia="Times New Roman" w:hAnsi="Times New Roman" w:cs="Times New Roman"/>
          <w:color w:val="000000" w:themeColor="text1"/>
          <w:sz w:val="24"/>
          <w:szCs w:val="24"/>
        </w:rPr>
        <w:t>Stepscan</w:t>
      </w:r>
      <w:proofErr w:type="spellEnd"/>
      <w:r w:rsidRPr="00986EFF">
        <w:rPr>
          <w:rFonts w:ascii="Times New Roman" w:eastAsia="Times New Roman" w:hAnsi="Times New Roman" w:cs="Times New Roman"/>
          <w:color w:val="000000" w:themeColor="text1"/>
          <w:sz w:val="24"/>
          <w:szCs w:val="24"/>
        </w:rPr>
        <w:t xml:space="preserve">, 2024; </w:t>
      </w:r>
      <w:proofErr w:type="spellStart"/>
      <w:r w:rsidRPr="00986EFF">
        <w:rPr>
          <w:rFonts w:ascii="Times New Roman" w:eastAsia="Times New Roman" w:hAnsi="Times New Roman" w:cs="Times New Roman"/>
          <w:color w:val="000000" w:themeColor="text1"/>
          <w:sz w:val="24"/>
          <w:szCs w:val="24"/>
        </w:rPr>
        <w:t>Papavasileiou</w:t>
      </w:r>
      <w:proofErr w:type="spellEnd"/>
      <w:r w:rsidRPr="00986EFF">
        <w:rPr>
          <w:rFonts w:ascii="Times New Roman" w:eastAsia="Times New Roman" w:hAnsi="Times New Roman" w:cs="Times New Roman"/>
          <w:color w:val="000000" w:themeColor="text1"/>
          <w:sz w:val="24"/>
          <w:szCs w:val="24"/>
        </w:rPr>
        <w:t xml:space="preserve"> et al., 2021). The flooring system detects pressure changes within 8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with a </w:t>
      </w:r>
      <w:proofErr w:type="gramStart"/>
      <w:r w:rsidRPr="00986EFF">
        <w:rPr>
          <w:rFonts w:ascii="Times New Roman" w:eastAsia="Times New Roman" w:hAnsi="Times New Roman" w:cs="Times New Roman"/>
          <w:color w:val="000000" w:themeColor="text1"/>
          <w:sz w:val="24"/>
          <w:szCs w:val="24"/>
        </w:rPr>
        <w:t>35 dB</w:t>
      </w:r>
      <w:proofErr w:type="gramEnd"/>
      <w:r w:rsidRPr="00986EFF">
        <w:rPr>
          <w:rFonts w:ascii="Times New Roman" w:eastAsia="Times New Roman" w:hAnsi="Times New Roman" w:cs="Times New Roman"/>
          <w:color w:val="000000" w:themeColor="text1"/>
          <w:sz w:val="24"/>
          <w:szCs w:val="24"/>
        </w:rPr>
        <w:t xml:space="preserve"> signal-to-noise ratio (Middleton and Buss, 2005). Biometric interaction surfaces embedded in workstations capture grip pressure, swipe speed, and contact duration through fingerprint scanners (0.1 mm resolution) and hand geometry readers, generating 120 features per interaction (Adeola </w:t>
      </w:r>
      <w:proofErr w:type="spellStart"/>
      <w:r w:rsidRPr="00986EFF">
        <w:rPr>
          <w:rFonts w:ascii="Times New Roman" w:eastAsia="Times New Roman" w:hAnsi="Times New Roman" w:cs="Times New Roman"/>
          <w:color w:val="000000" w:themeColor="text1"/>
          <w:sz w:val="24"/>
          <w:szCs w:val="24"/>
        </w:rPr>
        <w:t>Adenubi</w:t>
      </w:r>
      <w:proofErr w:type="spellEnd"/>
      <w:r w:rsidRPr="00986EFF">
        <w:rPr>
          <w:rFonts w:ascii="Times New Roman" w:eastAsia="Times New Roman" w:hAnsi="Times New Roman" w:cs="Times New Roman"/>
          <w:color w:val="000000" w:themeColor="text1"/>
          <w:sz w:val="24"/>
          <w:szCs w:val="24"/>
        </w:rPr>
        <w:t xml:space="preserve"> et al., 2024), while minimizing user disruption. Cyber behavior is tracked via NetFlow v9 and JSON logs, capturing 83 features, including logins and network anomalies (</w:t>
      </w:r>
      <w:proofErr w:type="spellStart"/>
      <w:r w:rsidRPr="00986EFF">
        <w:rPr>
          <w:rFonts w:ascii="Times New Roman" w:eastAsia="Times New Roman" w:hAnsi="Times New Roman" w:cs="Times New Roman"/>
          <w:color w:val="000000" w:themeColor="text1"/>
          <w:sz w:val="24"/>
          <w:szCs w:val="24"/>
        </w:rPr>
        <w:t>Sharafaldin</w:t>
      </w:r>
      <w:proofErr w:type="spellEnd"/>
      <w:r w:rsidRPr="00986EFF">
        <w:rPr>
          <w:rFonts w:ascii="Times New Roman" w:eastAsia="Times New Roman" w:hAnsi="Times New Roman" w:cs="Times New Roman"/>
          <w:color w:val="000000" w:themeColor="text1"/>
          <w:sz w:val="24"/>
          <w:szCs w:val="24"/>
        </w:rPr>
        <w:t xml:space="preserve"> et al., 2018). The dataset in Table 1 combines CMU-CERT v6.2 (148 features), CIC-IDS2023 (83 features), and DOE Synthetic Grid (51 features), totaling 282 features, with only 0.1% indicating malicious insider activity (</w:t>
      </w:r>
      <w:proofErr w:type="spellStart"/>
      <w:r w:rsidRPr="00986EFF">
        <w:rPr>
          <w:rFonts w:ascii="Times New Roman" w:eastAsia="Times New Roman" w:hAnsi="Times New Roman" w:cs="Times New Roman"/>
          <w:color w:val="000000" w:themeColor="text1"/>
          <w:sz w:val="24"/>
          <w:szCs w:val="24"/>
        </w:rPr>
        <w:t>Amiri-Zarandi</w:t>
      </w:r>
      <w:proofErr w:type="spellEnd"/>
      <w:r w:rsidRPr="00986EFF">
        <w:rPr>
          <w:rFonts w:ascii="Times New Roman" w:eastAsia="Times New Roman" w:hAnsi="Times New Roman" w:cs="Times New Roman"/>
          <w:color w:val="000000" w:themeColor="text1"/>
          <w:sz w:val="24"/>
          <w:szCs w:val="24"/>
        </w:rPr>
        <w:t xml:space="preserve"> et al., 2023).</w:t>
      </w:r>
    </w:p>
    <w:p w14:paraId="5D592652"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Table 1 </w:t>
      </w:r>
    </w:p>
    <w:p w14:paraId="401FF3A7"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Multi-Modal Dataset Characteristics</w:t>
      </w:r>
    </w:p>
    <w:tbl>
      <w:tblPr>
        <w:tblStyle w:val="TableGrid"/>
        <w:tblW w:w="94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141"/>
        <w:gridCol w:w="3142"/>
      </w:tblGrid>
      <w:tr w:rsidR="00DF08CB" w:rsidRPr="00986EFF" w14:paraId="2437111B" w14:textId="77777777" w:rsidTr="00DB74E7">
        <w:trPr>
          <w:trHeight w:val="293"/>
        </w:trPr>
        <w:tc>
          <w:tcPr>
            <w:tcW w:w="3141" w:type="dxa"/>
            <w:tcBorders>
              <w:top w:val="single" w:sz="4" w:space="0" w:color="auto"/>
              <w:bottom w:val="single" w:sz="4" w:space="0" w:color="auto"/>
            </w:tcBorders>
          </w:tcPr>
          <w:p w14:paraId="24D31BA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Data Type</w:t>
            </w:r>
          </w:p>
        </w:tc>
        <w:tc>
          <w:tcPr>
            <w:tcW w:w="3141" w:type="dxa"/>
            <w:tcBorders>
              <w:top w:val="single" w:sz="4" w:space="0" w:color="auto"/>
              <w:bottom w:val="single" w:sz="4" w:space="0" w:color="auto"/>
            </w:tcBorders>
          </w:tcPr>
          <w:p w14:paraId="51D94C5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Source</w:t>
            </w:r>
          </w:p>
        </w:tc>
        <w:tc>
          <w:tcPr>
            <w:tcW w:w="3142" w:type="dxa"/>
            <w:tcBorders>
              <w:top w:val="single" w:sz="4" w:space="0" w:color="auto"/>
              <w:bottom w:val="single" w:sz="4" w:space="0" w:color="auto"/>
            </w:tcBorders>
          </w:tcPr>
          <w:p w14:paraId="1852313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Features</w:t>
            </w:r>
          </w:p>
        </w:tc>
      </w:tr>
      <w:tr w:rsidR="00DF08CB" w:rsidRPr="00986EFF" w14:paraId="47C6CF38" w14:textId="77777777" w:rsidTr="00DB74E7">
        <w:trPr>
          <w:trHeight w:val="305"/>
        </w:trPr>
        <w:tc>
          <w:tcPr>
            <w:tcW w:w="3141" w:type="dxa"/>
            <w:tcBorders>
              <w:top w:val="single" w:sz="4" w:space="0" w:color="auto"/>
            </w:tcBorders>
          </w:tcPr>
          <w:p w14:paraId="6F97F18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Physical Behavior</w:t>
            </w:r>
          </w:p>
        </w:tc>
        <w:tc>
          <w:tcPr>
            <w:tcW w:w="3141" w:type="dxa"/>
            <w:tcBorders>
              <w:top w:val="single" w:sz="4" w:space="0" w:color="auto"/>
            </w:tcBorders>
          </w:tcPr>
          <w:p w14:paraId="3319B52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CMU-CERT v6.2</w:t>
            </w:r>
          </w:p>
        </w:tc>
        <w:tc>
          <w:tcPr>
            <w:tcW w:w="3142" w:type="dxa"/>
            <w:tcBorders>
              <w:top w:val="single" w:sz="4" w:space="0" w:color="auto"/>
            </w:tcBorders>
          </w:tcPr>
          <w:p w14:paraId="7C46EB8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148</w:t>
            </w:r>
          </w:p>
        </w:tc>
      </w:tr>
      <w:tr w:rsidR="00DF08CB" w:rsidRPr="00986EFF" w14:paraId="45B2FF6B" w14:textId="77777777" w:rsidTr="00DB74E7">
        <w:trPr>
          <w:trHeight w:val="293"/>
        </w:trPr>
        <w:tc>
          <w:tcPr>
            <w:tcW w:w="3141" w:type="dxa"/>
          </w:tcPr>
          <w:p w14:paraId="3108794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Network Traffic</w:t>
            </w:r>
          </w:p>
        </w:tc>
        <w:tc>
          <w:tcPr>
            <w:tcW w:w="3141" w:type="dxa"/>
          </w:tcPr>
          <w:p w14:paraId="2D215BC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CIC-IDS2023</w:t>
            </w:r>
          </w:p>
        </w:tc>
        <w:tc>
          <w:tcPr>
            <w:tcW w:w="3142" w:type="dxa"/>
          </w:tcPr>
          <w:p w14:paraId="73CAC9F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83</w:t>
            </w:r>
          </w:p>
        </w:tc>
      </w:tr>
      <w:tr w:rsidR="00DF08CB" w:rsidRPr="00986EFF" w14:paraId="43B1AAB3" w14:textId="77777777" w:rsidTr="00DB74E7">
        <w:trPr>
          <w:trHeight w:val="305"/>
        </w:trPr>
        <w:tc>
          <w:tcPr>
            <w:tcW w:w="3141" w:type="dxa"/>
          </w:tcPr>
          <w:p w14:paraId="7EFD7AE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Facility Operations</w:t>
            </w:r>
          </w:p>
        </w:tc>
        <w:tc>
          <w:tcPr>
            <w:tcW w:w="3141" w:type="dxa"/>
          </w:tcPr>
          <w:p w14:paraId="5D617B6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DOE Synthetic Grid</w:t>
            </w:r>
          </w:p>
        </w:tc>
        <w:tc>
          <w:tcPr>
            <w:tcW w:w="3142" w:type="dxa"/>
          </w:tcPr>
          <w:p w14:paraId="7FC856A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51</w:t>
            </w:r>
          </w:p>
        </w:tc>
      </w:tr>
    </w:tbl>
    <w:p w14:paraId="11EE611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Data preprocessing is critical to ensure model compatibility and performance. Continuous features are normalized using:</w:t>
      </w:r>
    </w:p>
    <w:p w14:paraId="010F241F" w14:textId="0A730142" w:rsidR="00623D61" w:rsidRPr="00986EFF" w:rsidRDefault="004A2888" w:rsidP="00986EFF">
      <w:pPr>
        <w:spacing w:line="360" w:lineRule="auto"/>
        <w:jc w:val="both"/>
        <w:rPr>
          <w:rFonts w:ascii="Times New Roman" w:eastAsiaTheme="minorEastAsia"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X-μ</m:t>
              </m:r>
            </m:num>
            <m:den>
              <m:r>
                <w:rPr>
                  <w:rFonts w:ascii="Cambria Math" w:hAnsi="Cambria Math" w:cs="Times New Roman"/>
                  <w:color w:val="000000" w:themeColor="text1"/>
                  <w:sz w:val="24"/>
                  <w:szCs w:val="24"/>
                </w:rPr>
                <m:t>σ</m:t>
              </m:r>
            </m:den>
          </m:f>
          <m:r>
            <w:rPr>
              <w:rFonts w:ascii="Cambria Math" w:hAnsi="Cambria Math" w:cs="Times New Roman"/>
              <w:color w:val="000000" w:themeColor="text1"/>
              <w:sz w:val="24"/>
              <w:szCs w:val="24"/>
            </w:rPr>
            <m:t xml:space="preserve">     ……equation 3</m:t>
          </m:r>
        </m:oMath>
      </m:oMathPara>
    </w:p>
    <w:p w14:paraId="3CE9634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Where:</w:t>
      </w:r>
      <w:r w:rsidRPr="00986EFF">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μ</m:t>
        </m:r>
      </m:oMath>
      <w:r w:rsidRPr="00986EFF">
        <w:rPr>
          <w:rFonts w:ascii="Times New Roman" w:hAnsi="Times New Roman" w:cs="Times New Roman"/>
          <w:color w:val="000000" w:themeColor="text1"/>
          <w:sz w:val="24"/>
          <w:szCs w:val="24"/>
        </w:rPr>
        <w:t xml:space="preserve"> is the mean and </w:t>
      </w:r>
    </w:p>
    <w:p w14:paraId="609330A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σ</m:t>
        </m:r>
      </m:oMath>
      <w:r w:rsidRPr="00986EFF">
        <w:rPr>
          <w:rFonts w:ascii="Times New Roman" w:hAnsi="Times New Roman" w:cs="Times New Roman"/>
          <w:color w:val="000000" w:themeColor="text1"/>
          <w:sz w:val="24"/>
          <w:szCs w:val="24"/>
        </w:rPr>
        <w:t xml:space="preserve"> is the standard deviation, ensuring zero mean and unit </w:t>
      </w:r>
      <w:proofErr w:type="gramStart"/>
      <w:r w:rsidRPr="00986EFF">
        <w:rPr>
          <w:rFonts w:ascii="Times New Roman" w:hAnsi="Times New Roman" w:cs="Times New Roman"/>
          <w:color w:val="000000" w:themeColor="text1"/>
          <w:sz w:val="24"/>
          <w:szCs w:val="24"/>
        </w:rPr>
        <w:t>variance.</w:t>
      </w:r>
      <w:proofErr w:type="gramEnd"/>
      <w:r w:rsidRPr="00986EFF">
        <w:rPr>
          <w:rFonts w:ascii="Times New Roman" w:hAnsi="Times New Roman" w:cs="Times New Roman"/>
          <w:color w:val="000000" w:themeColor="text1"/>
          <w:sz w:val="24"/>
          <w:szCs w:val="24"/>
        </w:rPr>
        <w:t xml:space="preserve"> Feature fusion combines </w:t>
      </w:r>
      <w:r w:rsidRPr="00986EFF">
        <w:rPr>
          <w:rFonts w:ascii="Times New Roman" w:hAnsi="Times New Roman" w:cs="Times New Roman"/>
          <w:color w:val="000000" w:themeColor="text1"/>
          <w:sz w:val="24"/>
          <w:szCs w:val="24"/>
        </w:rPr>
        <w:tab/>
        <w:t>physical ((</w:t>
      </w:r>
      <w:r w:rsidRPr="00986EFF">
        <w:rPr>
          <w:rFonts w:ascii="Times New Roman" w:hAnsi="Times New Roman" w:cs="Times New Roman"/>
          <w:i/>
          <w:color w:val="000000" w:themeColor="text1"/>
          <w:sz w:val="24"/>
          <w:szCs w:val="24"/>
        </w:rPr>
        <w:t>P</w:t>
      </w:r>
      <w:r w:rsidRPr="00986EFF">
        <w:rPr>
          <w:rFonts w:ascii="Times New Roman" w:hAnsi="Times New Roman" w:cs="Times New Roman"/>
          <w:color w:val="000000" w:themeColor="text1"/>
          <w:sz w:val="24"/>
          <w:szCs w:val="24"/>
        </w:rPr>
        <w:t>)) and cyber ((</w:t>
      </w:r>
      <w:r w:rsidRPr="00986EFF">
        <w:rPr>
          <w:rFonts w:ascii="Times New Roman" w:hAnsi="Times New Roman" w:cs="Times New Roman"/>
          <w:i/>
          <w:color w:val="000000" w:themeColor="text1"/>
          <w:sz w:val="24"/>
          <w:szCs w:val="24"/>
        </w:rPr>
        <w:t>C</w:t>
      </w:r>
      <w:r w:rsidRPr="00986EFF">
        <w:rPr>
          <w:rFonts w:ascii="Times New Roman" w:hAnsi="Times New Roman" w:cs="Times New Roman"/>
          <w:color w:val="000000" w:themeColor="text1"/>
          <w:sz w:val="24"/>
          <w:szCs w:val="24"/>
        </w:rPr>
        <w:t>)) data as:</w:t>
      </w:r>
    </w:p>
    <w:p w14:paraId="09BD6383" w14:textId="58BF6CFE" w:rsidR="00623D61" w:rsidRPr="00986EFF" w:rsidRDefault="00623D61" w:rsidP="00986EFF">
      <w:pPr>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F=</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P ⨁ C</m:t>
              </m:r>
            </m:e>
          </m:d>
          <m:r>
            <w:rPr>
              <w:rFonts w:ascii="Cambria Math" w:hAnsi="Cambria Math" w:cs="Times New Roman"/>
              <w:color w:val="000000" w:themeColor="text1"/>
              <w:sz w:val="24"/>
              <w:szCs w:val="24"/>
            </w:rPr>
            <m:t xml:space="preserve">      ……equation 4</m:t>
          </m:r>
        </m:oMath>
      </m:oMathPara>
    </w:p>
    <w:p w14:paraId="419F55F5"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 xml:space="preserve"> ⨁</m:t>
        </m:r>
      </m:oMath>
      <w:r w:rsidRPr="00986EFF">
        <w:rPr>
          <w:rFonts w:ascii="Times New Roman" w:hAnsi="Times New Roman" w:cs="Times New Roman"/>
          <w:color w:val="000000" w:themeColor="text1"/>
          <w:sz w:val="24"/>
          <w:szCs w:val="24"/>
        </w:rPr>
        <w:t xml:space="preserve"> denotes concatenation, resulting in a 282-dimensional feature vector. Class imbalance is addressed using Adaptive Minority Oversampling (AMO-TRE) with a balancing parameter </w:t>
      </w:r>
      <w:r w:rsidRPr="00986EFF">
        <w:rPr>
          <w:rFonts w:ascii="Times New Roman" w:hAnsi="Times New Roman" w:cs="Times New Roman"/>
          <w:i/>
          <w:color w:val="000000" w:themeColor="text1"/>
          <w:sz w:val="24"/>
          <w:szCs w:val="24"/>
        </w:rPr>
        <w:t>λ</w:t>
      </w:r>
      <w:r w:rsidRPr="00986EFF">
        <w:rPr>
          <w:rFonts w:ascii="Times New Roman" w:hAnsi="Times New Roman" w:cs="Times New Roman"/>
          <w:color w:val="000000" w:themeColor="text1"/>
          <w:sz w:val="24"/>
          <w:szCs w:val="24"/>
        </w:rPr>
        <w:t xml:space="preserve"> = 0.83, increasing minority class samples by 180% while preserving data integrity, as recommended by He and Garcia (2009). Missing values, affecting 1.8% of records, are imputed using k-nearest neighbors (k=5), and outliers are filtered using a </w:t>
      </w:r>
      <w:r w:rsidRPr="00986EFF">
        <w:rPr>
          <w:rFonts w:ascii="Times New Roman" w:hAnsi="Times New Roman" w:cs="Times New Roman"/>
          <w:i/>
          <w:color w:val="000000" w:themeColor="text1"/>
          <w:sz w:val="24"/>
          <w:szCs w:val="24"/>
        </w:rPr>
        <w:t>z</w:t>
      </w:r>
      <w:r w:rsidRPr="00986EFF">
        <w:rPr>
          <w:rFonts w:ascii="Times New Roman" w:hAnsi="Times New Roman" w:cs="Times New Roman"/>
          <w:color w:val="000000" w:themeColor="text1"/>
          <w:sz w:val="24"/>
          <w:szCs w:val="24"/>
        </w:rPr>
        <w:t xml:space="preserve">-score threshold of 3.5, ensuring high-quality data for downstream analytics, as validated by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w:t>
      </w:r>
    </w:p>
    <w:p w14:paraId="18B168C8"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Analytical Approaches</w:t>
      </w:r>
    </w:p>
    <w:p w14:paraId="690D6CC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analytical framework is designed to address the research objectives through a sophisticated combination of federated learning, biomechanical feature extraction, and multi-modal AI analytics, each supported by rigorous mathematical formulations and statistical validations. The federated learning algorithm employs a modified </w:t>
      </w:r>
      <w:proofErr w:type="spellStart"/>
      <w:r w:rsidRPr="00986EFF">
        <w:rPr>
          <w:rFonts w:ascii="Times New Roman" w:hAnsi="Times New Roman" w:cs="Times New Roman"/>
          <w:color w:val="000000" w:themeColor="text1"/>
          <w:sz w:val="24"/>
          <w:szCs w:val="24"/>
        </w:rPr>
        <w:t>FedAvg</w:t>
      </w:r>
      <w:proofErr w:type="spellEnd"/>
      <w:r w:rsidRPr="00986EFF">
        <w:rPr>
          <w:rFonts w:ascii="Times New Roman" w:hAnsi="Times New Roman" w:cs="Times New Roman"/>
          <w:color w:val="000000" w:themeColor="text1"/>
          <w:sz w:val="24"/>
          <w:szCs w:val="24"/>
        </w:rPr>
        <w:t xml:space="preserve"> with differential privacy to ensure privacy preservation while optimizing detection accuracy, as outlined by Abadi et al. (2016). </w:t>
      </w:r>
    </w:p>
    <w:p w14:paraId="43135AB3" w14:textId="77777777" w:rsidR="00623D61" w:rsidRPr="00986EFF" w:rsidRDefault="00623D61" w:rsidP="00986EFF">
      <w:pPr>
        <w:pStyle w:val="ListParagraph"/>
        <w:numPr>
          <w:ilvl w:val="0"/>
          <w:numId w:val="7"/>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local update at each facility </w:t>
      </w:r>
      <w:proofErr w:type="gramStart"/>
      <w:r w:rsidRPr="00986EFF">
        <w:rPr>
          <w:rFonts w:ascii="Times New Roman" w:hAnsi="Times New Roman" w:cs="Times New Roman"/>
          <w:color w:val="000000" w:themeColor="text1"/>
          <w:sz w:val="24"/>
          <w:szCs w:val="24"/>
        </w:rPr>
        <w:t>( k</w:t>
      </w:r>
      <w:proofErr w:type="gramEnd"/>
      <w:r w:rsidRPr="00986EFF">
        <w:rPr>
          <w:rFonts w:ascii="Times New Roman" w:hAnsi="Times New Roman" w:cs="Times New Roman"/>
          <w:color w:val="000000" w:themeColor="text1"/>
          <w:sz w:val="24"/>
          <w:szCs w:val="24"/>
        </w:rPr>
        <w:t xml:space="preserve"> ) is computed as:</w:t>
      </w:r>
    </w:p>
    <w:p w14:paraId="588B4C48" w14:textId="6DC1536A" w:rsidR="00623D61" w:rsidRPr="00986EFF" w:rsidRDefault="004A2888" w:rsidP="00986EFF">
      <w:pPr>
        <w:spacing w:line="360" w:lineRule="auto"/>
        <w:jc w:val="both"/>
        <w:rPr>
          <w:rFonts w:ascii="Times New Roman" w:hAnsi="Times New Roman" w:cs="Times New Roman"/>
          <w:color w:val="000000" w:themeColor="text1"/>
          <w:sz w:val="24"/>
          <w:szCs w:val="24"/>
        </w:rPr>
      </w:pPr>
      <m:oMathPara>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t-1</m:t>
              </m:r>
            </m:sub>
          </m:sSub>
          <m:r>
            <w:rPr>
              <w:rFonts w:ascii="Cambria Math" w:eastAsiaTheme="minorEastAsia" w:hAnsi="Cambria Math" w:cs="Times New Roman"/>
              <w:color w:val="000000" w:themeColor="text1"/>
              <w:sz w:val="24"/>
              <w:szCs w:val="24"/>
            </w:rPr>
            <m:t>-η</m:t>
          </m:r>
          <m:r>
            <m:rPr>
              <m:sty m:val="p"/>
            </m:rPr>
            <w:rPr>
              <w:rFonts w:ascii="Cambria Math" w:eastAsiaTheme="minorEastAsia" w:hAnsi="Cambria Math" w:cs="Times New Roman"/>
              <w:color w:val="000000" w:themeColor="text1"/>
              <w:sz w:val="24"/>
              <w:szCs w:val="24"/>
            </w:rPr>
            <m:t>∇</m:t>
          </m:r>
          <m:r>
            <m:rPr>
              <m:scr m:val="script"/>
            </m:rPr>
            <w:rPr>
              <w:rFonts w:ascii="Cambria Math" w:eastAsiaTheme="minorEastAsia" w:hAnsi="Cambria Math" w:cs="Times New Roman"/>
              <w:color w:val="000000" w:themeColor="text1"/>
              <w:sz w:val="24"/>
              <w:szCs w:val="24"/>
            </w:rPr>
            <m:t>l</m:t>
          </m:r>
          <m:d>
            <m:dPr>
              <m:ctrlPr>
                <w:rPr>
                  <w:rFonts w:ascii="Cambria Math" w:eastAsiaTheme="minorEastAsia" w:hAnsi="Cambria Math" w:cs="Times New Roman"/>
                  <w:i/>
                  <w:color w:val="000000" w:themeColor="text1"/>
                  <w:sz w:val="24"/>
                  <w:szCs w:val="24"/>
                </w:rPr>
              </m:ctrlPr>
            </m:d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w</m:t>
                  </m:r>
                </m:e>
                <m:sub>
                  <m:r>
                    <w:rPr>
                      <w:rFonts w:ascii="Cambria Math" w:eastAsiaTheme="minorEastAsia" w:hAnsi="Cambria Math" w:cs="Times New Roman"/>
                      <w:color w:val="000000" w:themeColor="text1"/>
                      <w:sz w:val="24"/>
                      <w:szCs w:val="24"/>
                    </w:rPr>
                    <m:t>t-1</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k</m:t>
                  </m:r>
                </m:sub>
              </m:sSub>
            </m:e>
          </m:d>
          <m: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 xml:space="preserve">     ……equation 5</m:t>
          </m:r>
        </m:oMath>
      </m:oMathPara>
    </w:p>
    <w:p w14:paraId="72FA5C6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xml:space="preserve"> </m:t>
        </m:r>
      </m:oMath>
      <w:r w:rsidRPr="00986EFF">
        <w:rPr>
          <w:rFonts w:ascii="Times New Roman" w:hAnsi="Times New Roman" w:cs="Times New Roman"/>
          <w:color w:val="000000" w:themeColor="text1"/>
          <w:sz w:val="24"/>
          <w:szCs w:val="24"/>
        </w:rPr>
        <w:t>is the local model at iteration (t),</w:t>
      </w:r>
    </w:p>
    <w:p w14:paraId="09B75A4C" w14:textId="77777777" w:rsidR="00623D61" w:rsidRPr="00986EFF" w:rsidRDefault="00623D61" w:rsidP="00986EFF">
      <w:pPr>
        <w:spacing w:line="360" w:lineRule="auto"/>
        <w:jc w:val="both"/>
        <w:rPr>
          <w:rFonts w:ascii="Times New Roman" w:eastAsiaTheme="minorEastAsia" w:hAnsi="Times New Roman" w:cs="Times New Roman"/>
          <w:color w:val="000000" w:themeColor="text1"/>
          <w:sz w:val="24"/>
          <w:szCs w:val="24"/>
        </w:rPr>
      </w:pPr>
      <w:r w:rsidRPr="00986EFF">
        <w:rPr>
          <w:rFonts w:ascii="Times New Roman"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η</m:t>
        </m:r>
      </m:oMath>
      <w:r w:rsidRPr="00986EFF">
        <w:rPr>
          <w:rFonts w:ascii="Times New Roman" w:hAnsi="Times New Roman" w:cs="Times New Roman"/>
          <w:color w:val="000000" w:themeColor="text1"/>
          <w:sz w:val="24"/>
          <w:szCs w:val="24"/>
        </w:rPr>
        <w:t xml:space="preserve"> = 0.01 is the learning rate, </w:t>
      </w:r>
    </w:p>
    <w:p w14:paraId="5A0FD3B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eastAsiaTheme="minorEastAsia" w:hAnsi="Times New Roman" w:cs="Times New Roman"/>
          <w:color w:val="000000" w:themeColor="text1"/>
          <w:sz w:val="24"/>
          <w:szCs w:val="24"/>
        </w:rPr>
        <w:tab/>
      </w:r>
      <m:oMath>
        <m:r>
          <m:rPr>
            <m:sty m:val="p"/>
          </m:rPr>
          <w:rPr>
            <w:rFonts w:ascii="Cambria Math" w:eastAsiaTheme="minorEastAsia" w:hAnsi="Cambria Math" w:cs="Times New Roman"/>
            <w:color w:val="000000" w:themeColor="text1"/>
            <w:sz w:val="24"/>
            <w:szCs w:val="24"/>
          </w:rPr>
          <m:t>∇</m:t>
        </m:r>
        <m:r>
          <m:rPr>
            <m:scr m:val="script"/>
          </m:rPr>
          <w:rPr>
            <w:rFonts w:ascii="Cambria Math" w:eastAsiaTheme="minorEastAsia" w:hAnsi="Cambria Math" w:cs="Times New Roman"/>
            <w:color w:val="000000" w:themeColor="text1"/>
            <w:sz w:val="24"/>
            <w:szCs w:val="24"/>
          </w:rPr>
          <m:t>l</m:t>
        </m:r>
      </m:oMath>
      <w:r w:rsidRPr="00986EFF">
        <w:rPr>
          <w:rFonts w:ascii="Times New Roman" w:hAnsi="Times New Roman" w:cs="Times New Roman"/>
          <w:color w:val="000000" w:themeColor="text1"/>
          <w:sz w:val="24"/>
          <w:szCs w:val="24"/>
        </w:rPr>
        <w:t xml:space="preserve"> is the gradient of the loss function, </w:t>
      </w:r>
      <w:proofErr w:type="gramStart"/>
      <w:r w:rsidRPr="00986EFF">
        <w:rPr>
          <w:rFonts w:ascii="Times New Roman" w:hAnsi="Times New Roman" w:cs="Times New Roman"/>
          <w:color w:val="000000" w:themeColor="text1"/>
          <w:sz w:val="24"/>
          <w:szCs w:val="24"/>
        </w:rPr>
        <w:t>and</w:t>
      </w:r>
      <w:proofErr w:type="gramEnd"/>
      <w:r w:rsidRPr="00986EFF">
        <w:rPr>
          <w:rFonts w:ascii="Times New Roman" w:hAnsi="Times New Roman" w:cs="Times New Roman"/>
          <w:color w:val="000000" w:themeColor="text1"/>
          <w:sz w:val="24"/>
          <w:szCs w:val="24"/>
        </w:rPr>
        <w:t xml:space="preserve"> </w:t>
      </w:r>
    </w:p>
    <w:p w14:paraId="2C3A504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eastAsiaTheme="minorEastAsia" w:hAnsi="Times New Roman" w:cs="Times New Roman"/>
          <w:color w:val="000000" w:themeColor="text1"/>
          <w:sz w:val="24"/>
          <w:szCs w:val="24"/>
        </w:rPr>
        <w:lastRenderedPageBreak/>
        <w:tab/>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D</m:t>
            </m:r>
          </m:e>
          <m:sub>
            <m:r>
              <w:rPr>
                <w:rFonts w:ascii="Cambria Math" w:eastAsiaTheme="minorEastAsia" w:hAnsi="Cambria Math" w:cs="Times New Roman"/>
                <w:color w:val="000000" w:themeColor="text1"/>
                <w:sz w:val="24"/>
                <w:szCs w:val="24"/>
              </w:rPr>
              <m:t>k</m:t>
            </m:r>
          </m:sub>
        </m:sSub>
      </m:oMath>
      <w:r w:rsidRPr="00986EFF">
        <w:rPr>
          <w:rFonts w:ascii="Times New Roman" w:hAnsi="Times New Roman" w:cs="Times New Roman"/>
          <w:color w:val="000000" w:themeColor="text1"/>
          <w:sz w:val="24"/>
          <w:szCs w:val="24"/>
        </w:rPr>
        <w:t xml:space="preserve"> is the local dataset. </w:t>
      </w:r>
    </w:p>
    <w:p w14:paraId="5427699F" w14:textId="77777777" w:rsidR="00623D61" w:rsidRPr="00986EFF" w:rsidRDefault="00623D61" w:rsidP="00986EFF">
      <w:pPr>
        <w:pStyle w:val="ListParagraph"/>
        <w:numPr>
          <w:ilvl w:val="0"/>
          <w:numId w:val="7"/>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Secure aggregation computes the global model as:</w:t>
      </w:r>
    </w:p>
    <w:p w14:paraId="070BD5D4" w14:textId="0A4407B3" w:rsidR="00623D61" w:rsidRPr="00986EFF" w:rsidRDefault="004A2888"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k</m:t>
              </m:r>
            </m:sub>
            <m:sup>
              <m:r>
                <w:rPr>
                  <w:rFonts w:ascii="Cambria Math" w:hAnsi="Cambria Math" w:cs="Times New Roman"/>
                  <w:color w:val="000000" w:themeColor="text1"/>
                  <w:sz w:val="24"/>
                  <w:szCs w:val="24"/>
                </w:rPr>
                <m:t>K</m:t>
              </m:r>
            </m:sup>
            <m:e>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num>
                <m:den>
                  <m:r>
                    <w:rPr>
                      <w:rFonts w:ascii="Cambria Math" w:hAnsi="Cambria Math" w:cs="Times New Roman"/>
                      <w:color w:val="000000" w:themeColor="text1"/>
                      <w:sz w:val="24"/>
                      <w:szCs w:val="24"/>
                    </w:rPr>
                    <m:t>N</m:t>
                  </m:r>
                </m:den>
              </m:f>
              <m:r>
                <w:rPr>
                  <w:rFonts w:ascii="Cambria Math" w:hAnsi="Cambria Math" w:cs="Times New Roman"/>
                  <w:color w:val="000000" w:themeColor="text1"/>
                  <w:sz w:val="24"/>
                  <w:szCs w:val="24"/>
                </w:rPr>
                <m:t>Clip(</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C</m:t>
              </m:r>
            </m:e>
          </m:nary>
          <m:r>
            <w:rPr>
              <w:rFonts w:ascii="Cambria Math" w:hAnsi="Cambria Math" w:cs="Times New Roman"/>
              <w:color w:val="000000" w:themeColor="text1"/>
              <w:sz w:val="24"/>
              <w:szCs w:val="24"/>
            </w:rPr>
            <m:t>)+N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0,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 xml:space="preserve"> σ</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I</m:t>
              </m:r>
            </m:e>
          </m:d>
          <m: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 xml:space="preserve">     ……equation 6</m:t>
          </m:r>
        </m:oMath>
      </m:oMathPara>
    </w:p>
    <w:p w14:paraId="6C16CA0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k</m:t>
            </m:r>
          </m:sub>
        </m:sSub>
        <m:r>
          <w:rPr>
            <w:rFonts w:ascii="Cambria Math" w:eastAsiaTheme="minorEastAsia" w:hAnsi="Cambria Math" w:cs="Times New Roman"/>
            <w:color w:val="000000" w:themeColor="text1"/>
            <w:sz w:val="24"/>
            <w:szCs w:val="24"/>
          </w:rPr>
          <m:t xml:space="preserve"> </m:t>
        </m:r>
      </m:oMath>
      <w:r w:rsidRPr="00986EFF">
        <w:rPr>
          <w:rFonts w:ascii="Times New Roman" w:hAnsi="Times New Roman" w:cs="Times New Roman"/>
          <w:color w:val="000000" w:themeColor="text1"/>
          <w:sz w:val="24"/>
          <w:szCs w:val="24"/>
        </w:rPr>
        <w:t xml:space="preserve">is the local dataset size, ( N ) is the total data size, </w:t>
      </w:r>
      <m:oMath>
        <m:r>
          <w:rPr>
            <w:rFonts w:ascii="Cambria Math" w:hAnsi="Cambria Math" w:cs="Times New Roman"/>
            <w:color w:val="000000" w:themeColor="text1"/>
            <w:sz w:val="24"/>
            <w:szCs w:val="24"/>
          </w:rPr>
          <m:t>Clip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k</m:t>
            </m:r>
          </m:sup>
        </m:sSubSup>
        <m:r>
          <w:rPr>
            <w:rFonts w:ascii="Cambria Math" w:hAnsi="Cambria Math" w:cs="Times New Roman"/>
            <w:color w:val="000000" w:themeColor="text1"/>
            <w:sz w:val="24"/>
            <w:szCs w:val="24"/>
          </w:rPr>
          <m:t>, C)</m:t>
        </m:r>
      </m:oMath>
      <w:r w:rsidRPr="00986EFF">
        <w:rPr>
          <w:rFonts w:ascii="Times New Roman" w:eastAsiaTheme="minorEastAsia" w:hAnsi="Times New Roman" w:cs="Times New Roman"/>
          <w:color w:val="000000" w:themeColor="text1"/>
          <w:sz w:val="24"/>
          <w:szCs w:val="24"/>
        </w:rPr>
        <w:t xml:space="preserve"> </w:t>
      </w:r>
      <w:r w:rsidRPr="00986EFF">
        <w:rPr>
          <w:rFonts w:ascii="Times New Roman" w:hAnsi="Times New Roman" w:cs="Times New Roman"/>
          <w:color w:val="000000" w:themeColor="text1"/>
          <w:sz w:val="24"/>
          <w:szCs w:val="24"/>
        </w:rPr>
        <w:t xml:space="preserve">limits gradient norms to C = 2.5, and </w:t>
      </w:r>
      <m:oMath>
        <m:r>
          <w:rPr>
            <w:rFonts w:ascii="Cambria Math" w:hAnsi="Cambria Math" w:cs="Times New Roman"/>
            <w:color w:val="000000" w:themeColor="text1"/>
            <w:sz w:val="24"/>
            <w:szCs w:val="24"/>
          </w:rPr>
          <m:t>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0,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 xml:space="preserve"> σ</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 xml:space="preserve"> I</m:t>
            </m:r>
          </m:e>
        </m:d>
      </m:oMath>
      <w:r w:rsidRPr="00986EFF">
        <w:rPr>
          <w:rFonts w:ascii="Times New Roman" w:hAnsi="Times New Roman" w:cs="Times New Roman"/>
          <w:color w:val="000000" w:themeColor="text1"/>
          <w:sz w:val="24"/>
          <w:szCs w:val="24"/>
        </w:rPr>
        <w:t xml:space="preserve"> adds Gaussian noise with </w:t>
      </w:r>
      <m:oMath>
        <m:r>
          <w:rPr>
            <w:rFonts w:ascii="Cambria Math" w:hAnsi="Cambria Math" w:cs="Times New Roman"/>
            <w:color w:val="000000" w:themeColor="text1"/>
            <w:sz w:val="24"/>
            <w:szCs w:val="24"/>
          </w:rPr>
          <m:t>σ=</m:t>
        </m:r>
      </m:oMath>
      <w:r w:rsidRPr="00986EFF">
        <w:rPr>
          <w:rFonts w:ascii="Times New Roman" w:hAnsi="Times New Roman" w:cs="Times New Roman"/>
          <w:color w:val="000000" w:themeColor="text1"/>
          <w:sz w:val="24"/>
          <w:szCs w:val="24"/>
        </w:rPr>
        <w:t xml:space="preserve"> 0.65 for differential privacy, achieving (</w:t>
      </w:r>
      <m:oMath>
        <m:r>
          <w:rPr>
            <w:rFonts w:ascii="Cambria Math" w:hAnsi="Cambria Math" w:cs="Times New Roman"/>
            <w:color w:val="000000" w:themeColor="text1"/>
            <w:sz w:val="24"/>
            <w:szCs w:val="24"/>
          </w:rPr>
          <m:t>ϵ</m:t>
        </m:r>
        <m:r>
          <m:rPr>
            <m:sty m:val="p"/>
          </m:rPr>
          <w:rPr>
            <w:rFonts w:ascii="Cambria Math" w:hAnsi="Cambria Math" w:cs="Times New Roman"/>
            <w:color w:val="000000" w:themeColor="text1"/>
            <w:sz w:val="24"/>
            <w:szCs w:val="24"/>
          </w:rPr>
          <m:t>=1.2, δ=</m:t>
        </m:r>
        <m:sSup>
          <m:sSupPr>
            <m:ctrlPr>
              <w:rPr>
                <w:rFonts w:ascii="Cambria Math" w:hAnsi="Cambria Math" w:cs="Times New Roman"/>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)-DP</m:t>
        </m:r>
      </m:oMath>
      <w:r w:rsidRPr="00986EFF">
        <w:rPr>
          <w:rFonts w:ascii="Times New Roman" w:hAnsi="Times New Roman" w:cs="Times New Roman"/>
          <w:color w:val="000000" w:themeColor="text1"/>
          <w:sz w:val="24"/>
          <w:szCs w:val="24"/>
        </w:rPr>
        <w:t>, as validated by Kairouz et al. (2021). This approach ensures privacy while maintaining model convergence, with a communication overhead of 1.7 MB per round, feasible for energy facility networks, as noted by Yang et al. (2019).</w:t>
      </w:r>
    </w:p>
    <w:p w14:paraId="4152631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The multi-modal threat detection model employs a three-tier deep learning architecture to process physical and cyber data: The physical behavior encoder uses Bidirectional Long Short-Term Memory (</w:t>
      </w:r>
      <w:proofErr w:type="spellStart"/>
      <w:r w:rsidRPr="00986EFF">
        <w:rPr>
          <w:rFonts w:ascii="Times New Roman" w:hAnsi="Times New Roman" w:cs="Times New Roman"/>
          <w:color w:val="000000" w:themeColor="text1"/>
          <w:sz w:val="24"/>
          <w:szCs w:val="24"/>
        </w:rPr>
        <w:t>BiLSTM</w:t>
      </w:r>
      <w:proofErr w:type="spellEnd"/>
      <w:r w:rsidRPr="00986EFF">
        <w:rPr>
          <w:rFonts w:ascii="Times New Roman" w:hAnsi="Times New Roman" w:cs="Times New Roman"/>
          <w:color w:val="000000" w:themeColor="text1"/>
          <w:sz w:val="24"/>
          <w:szCs w:val="24"/>
        </w:rPr>
        <w:t>) to capture temporal dependencies in gait and interaction data, defined as:</w:t>
      </w:r>
    </w:p>
    <w:p w14:paraId="10B02155" w14:textId="40CA67B8" w:rsidR="00623D61" w:rsidRPr="00986EFF" w:rsidRDefault="004A2888" w:rsidP="00986EFF">
      <w:pPr>
        <w:pStyle w:val="ListParagraph"/>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=BiLSTM</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P,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p</m:t>
                  </m:r>
                </m:sub>
              </m:sSub>
            </m:e>
          </m:d>
          <m:r>
            <w:rPr>
              <w:rFonts w:ascii="Cambria Math" w:hAnsi="Cambria Math" w:cs="Times New Roman"/>
              <w:color w:val="000000" w:themeColor="text1"/>
              <w:sz w:val="24"/>
              <w:szCs w:val="24"/>
            </w:rPr>
            <m:t xml:space="preserve">     ……equation 7</m:t>
          </m:r>
        </m:oMath>
      </m:oMathPara>
    </w:p>
    <w:p w14:paraId="4FFB614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where: (</w:t>
      </w:r>
      <w:r w:rsidRPr="00986EFF">
        <w:rPr>
          <w:rFonts w:ascii="Times New Roman" w:hAnsi="Times New Roman" w:cs="Times New Roman"/>
          <w:i/>
          <w:color w:val="000000" w:themeColor="text1"/>
          <w:sz w:val="24"/>
          <w:szCs w:val="24"/>
        </w:rPr>
        <w:t>P</w:t>
      </w:r>
      <w:r w:rsidRPr="00986EFF">
        <w:rPr>
          <w:rFonts w:ascii="Times New Roman" w:hAnsi="Times New Roman" w:cs="Times New Roman"/>
          <w:color w:val="000000" w:themeColor="text1"/>
          <w:sz w:val="24"/>
          <w:szCs w:val="24"/>
        </w:rPr>
        <w:t xml:space="preserve">) is the physical feature set,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p</m:t>
            </m:r>
          </m:sub>
        </m:sSub>
      </m:oMath>
      <w:r w:rsidRPr="00986EFF">
        <w:rPr>
          <w:rFonts w:ascii="Times New Roman" w:hAnsi="Times New Roman" w:cs="Times New Roman"/>
          <w:color w:val="000000" w:themeColor="text1"/>
          <w:sz w:val="24"/>
          <w:szCs w:val="24"/>
        </w:rPr>
        <w:t xml:space="preserve"> are trainable parameters with 256 hidden units. The cyber activity encoder employs a Transformer model:</w:t>
      </w:r>
    </w:p>
    <w:p w14:paraId="79D0428C" w14:textId="0BE737C1" w:rsidR="00623D61" w:rsidRPr="00986EFF" w:rsidRDefault="004A2888" w:rsidP="00986EFF">
      <w:pPr>
        <w:pStyle w:val="ListParagraph"/>
        <w:spacing w:line="360" w:lineRule="auto"/>
        <w:jc w:val="both"/>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 xml:space="preserve">=Transformer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C,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c</m:t>
                  </m:r>
                </m:sub>
              </m:sSub>
            </m:e>
          </m:d>
          <m:r>
            <w:rPr>
              <w:rFonts w:ascii="Cambria Math" w:hAnsi="Cambria Math" w:cs="Times New Roman"/>
              <w:color w:val="000000" w:themeColor="text1"/>
              <w:sz w:val="24"/>
              <w:szCs w:val="24"/>
            </w:rPr>
            <m:t xml:space="preserve">      ……equation 8</m:t>
          </m:r>
        </m:oMath>
      </m:oMathPara>
    </w:p>
    <w:p w14:paraId="4595FFE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(C) is the cyber feature set,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c</m:t>
            </m:r>
          </m:sub>
        </m:sSub>
      </m:oMath>
      <w:r w:rsidRPr="00986EFF">
        <w:rPr>
          <w:rFonts w:ascii="Times New Roman" w:hAnsi="Times New Roman" w:cs="Times New Roman"/>
          <w:color w:val="000000" w:themeColor="text1"/>
          <w:sz w:val="24"/>
          <w:szCs w:val="24"/>
        </w:rPr>
        <w:t xml:space="preserve"> are Transformer parameters with 8 attention heads, leveraging attention mechanisms to model sequential dependencies, as described by Vaswani et al. (2017). The fusion classifier combines outputs using an attention-based mechanism:</w:t>
      </w:r>
    </w:p>
    <w:p w14:paraId="268805BC" w14:textId="7EB62DC7" w:rsidR="00623D61" w:rsidRPr="00986EFF" w:rsidRDefault="004A2888" w:rsidP="00986EFF">
      <w:pPr>
        <w:pStyle w:val="ListParagraph"/>
        <w:spacing w:line="360" w:lineRule="auto"/>
        <w:jc w:val="both"/>
        <w:rPr>
          <w:rFonts w:ascii="Times New Roman" w:eastAsiaTheme="minorEastAsia" w:hAnsi="Times New Roman" w:cs="Times New Roman"/>
          <w:color w:val="000000" w:themeColor="text1"/>
          <w:sz w:val="24"/>
          <w:szCs w:val="24"/>
        </w:rPr>
      </w:pPr>
      <m:oMathPara>
        <m:oMath>
          <m:acc>
            <m:accPr>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r>
            <w:rPr>
              <w:rFonts w:ascii="Cambria Math" w:hAnsi="Cambria Math" w:cs="Times New Roman"/>
              <w:color w:val="000000" w:themeColor="text1"/>
              <w:sz w:val="24"/>
              <w:szCs w:val="24"/>
            </w:rPr>
            <m:t xml:space="preserve">= σ </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W</m:t>
                  </m:r>
                </m:e>
                <m:sup>
                  <m:r>
                    <w:rPr>
                      <w:rFonts w:ascii="Cambria Math" w:hAnsi="Cambria Math" w:cs="Times New Roman"/>
                      <w:color w:val="000000" w:themeColor="text1"/>
                      <w:sz w:val="24"/>
                      <w:szCs w:val="24"/>
                    </w:rPr>
                    <m:t>T</m:t>
                  </m:r>
                </m:sup>
              </m:sSup>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 xml:space="preserve"> ⊙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c</m:t>
                      </m:r>
                    </m:sub>
                  </m:sSub>
                </m:e>
              </m:d>
              <m:r>
                <w:rPr>
                  <w:rFonts w:ascii="Cambria Math" w:hAnsi="Cambria Math" w:cs="Times New Roman"/>
                  <w:color w:val="000000" w:themeColor="text1"/>
                  <w:sz w:val="24"/>
                  <w:szCs w:val="24"/>
                </w:rPr>
                <m:t>+b</m:t>
              </m:r>
            </m:e>
          </m:d>
          <m:r>
            <w:rPr>
              <w:rFonts w:ascii="Cambria Math" w:hAnsi="Cambria Math" w:cs="Times New Roman"/>
              <w:color w:val="000000" w:themeColor="text1"/>
              <w:sz w:val="24"/>
              <w:szCs w:val="24"/>
            </w:rPr>
            <m:t xml:space="preserve">      ……equation 9</m:t>
          </m:r>
        </m:oMath>
      </m:oMathPara>
    </w:p>
    <w:p w14:paraId="4B50C09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r>
          <w:rPr>
            <w:rFonts w:ascii="Cambria Math" w:hAnsi="Cambria Math" w:cs="Times New Roman"/>
            <w:color w:val="000000" w:themeColor="text1"/>
            <w:sz w:val="24"/>
            <w:szCs w:val="24"/>
          </w:rPr>
          <m:t>⊙</m:t>
        </m:r>
      </m:oMath>
      <w:r w:rsidRPr="00986EFF">
        <w:rPr>
          <w:rFonts w:ascii="Times New Roman" w:hAnsi="Times New Roman" w:cs="Times New Roman"/>
          <w:color w:val="000000" w:themeColor="text1"/>
          <w:sz w:val="24"/>
          <w:szCs w:val="24"/>
        </w:rPr>
        <w:t xml:space="preserve"> denotes element-wise multiplication, (W) and (b) are learned weights and biases, and </w:t>
      </w:r>
      <m:oMath>
        <m:r>
          <w:rPr>
            <w:rFonts w:ascii="Cambria Math" w:hAnsi="Cambria Math" w:cs="Times New Roman"/>
            <w:color w:val="000000" w:themeColor="text1"/>
            <w:sz w:val="24"/>
            <w:szCs w:val="24"/>
          </w:rPr>
          <m:t>σ</m:t>
        </m:r>
      </m:oMath>
      <w:r w:rsidRPr="00986EFF">
        <w:rPr>
          <w:rFonts w:ascii="Times New Roman" w:hAnsi="Times New Roman" w:cs="Times New Roman"/>
          <w:color w:val="000000" w:themeColor="text1"/>
          <w:sz w:val="24"/>
          <w:szCs w:val="24"/>
        </w:rPr>
        <w:t xml:space="preserve">  is the sigmoid activation, producing anomaly probabilities (MDPI, 2024). Feature importance is analyzed using Shapley values, c</w:t>
      </w:r>
      <w:proofErr w:type="spellStart"/>
      <w:r w:rsidRPr="00986EFF">
        <w:rPr>
          <w:rFonts w:ascii="Times New Roman" w:hAnsi="Times New Roman" w:cs="Times New Roman"/>
          <w:color w:val="000000" w:themeColor="text1"/>
          <w:sz w:val="24"/>
          <w:szCs w:val="24"/>
        </w:rPr>
        <w:t>alculated</w:t>
      </w:r>
      <w:proofErr w:type="spellEnd"/>
      <w:r w:rsidRPr="00986EFF">
        <w:rPr>
          <w:rFonts w:ascii="Times New Roman" w:hAnsi="Times New Roman" w:cs="Times New Roman"/>
          <w:color w:val="000000" w:themeColor="text1"/>
          <w:sz w:val="24"/>
          <w:szCs w:val="24"/>
        </w:rPr>
        <w:t xml:space="preserve"> as:</w:t>
      </w:r>
    </w:p>
    <w:p w14:paraId="73F8F250" w14:textId="4E5417DF" w:rsidR="00623D61" w:rsidRPr="00986EFF" w:rsidRDefault="004A2888" w:rsidP="00986EFF">
      <w:pPr>
        <w:pStyle w:val="ListParagraph"/>
        <w:spacing w:line="360" w:lineRule="auto"/>
        <w:jc w:val="both"/>
        <w:rPr>
          <w:rFonts w:ascii="Times New Roman" w:eastAsiaTheme="minorEastAsia"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ϕ</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nary>
            <m:naryPr>
              <m:chr m:val="∑"/>
              <m:limLoc m:val="subSup"/>
              <m:supHide m:val="1"/>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S ⊆ N ∖{i}</m:t>
              </m:r>
            </m:sub>
            <m:sup/>
            <m:e>
              <m:f>
                <m:fPr>
                  <m:ctrlPr>
                    <w:rPr>
                      <w:rFonts w:ascii="Cambria Math" w:hAnsi="Cambria Math" w:cs="Times New Roman"/>
                      <w:i/>
                      <w:color w:val="000000" w:themeColor="text1"/>
                      <w:sz w:val="24"/>
                      <w:szCs w:val="24"/>
                    </w:rPr>
                  </m:ctrlPr>
                </m:fPr>
                <m:num>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m:t>
                          </m:r>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num>
                <m:den>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m:t>
                      </m:r>
                    </m:e>
                  </m:d>
                  <m:r>
                    <w:rPr>
                      <w:rFonts w:ascii="Cambria Math" w:hAnsi="Cambria Math" w:cs="Times New Roman"/>
                      <w:color w:val="000000" w:themeColor="text1"/>
                      <w:sz w:val="24"/>
                      <w:szCs w:val="24"/>
                    </w:rPr>
                    <m:t>!</m:t>
                  </m:r>
                </m:den>
              </m:f>
            </m:e>
          </m:nary>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y</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 xml:space="preserve">S ⋃ </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i</m:t>
                      </m:r>
                    </m:e>
                  </m:d>
                </m:e>
              </m:d>
              <m:r>
                <w:rPr>
                  <w:rFonts w:ascii="Cambria Math" w:hAnsi="Cambria Math" w:cs="Times New Roman"/>
                  <w:color w:val="000000" w:themeColor="text1"/>
                  <w:sz w:val="24"/>
                  <w:szCs w:val="24"/>
                </w:rPr>
                <m:t>-v</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S</m:t>
                  </m:r>
                </m:e>
              </m:d>
            </m:e>
          </m:d>
          <m:r>
            <w:rPr>
              <w:rFonts w:ascii="Cambria Math" w:hAnsi="Cambria Math" w:cs="Times New Roman"/>
              <w:color w:val="000000" w:themeColor="text1"/>
              <w:sz w:val="24"/>
              <w:szCs w:val="24"/>
            </w:rPr>
            <m:t>,      ……equation 10</m:t>
          </m:r>
        </m:oMath>
      </m:oMathPara>
    </w:p>
    <w:p w14:paraId="3074CD4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ϕ</m:t>
            </m:r>
          </m:e>
          <m:sub>
            <m:r>
              <w:rPr>
                <w:rFonts w:ascii="Cambria Math" w:hAnsi="Cambria Math" w:cs="Times New Roman"/>
                <w:color w:val="000000" w:themeColor="text1"/>
                <w:sz w:val="24"/>
                <w:szCs w:val="24"/>
              </w:rPr>
              <m:t>i</m:t>
            </m:r>
          </m:sub>
        </m:sSub>
      </m:oMath>
      <w:r w:rsidRPr="00986EFF">
        <w:rPr>
          <w:rFonts w:ascii="Times New Roman" w:hAnsi="Times New Roman" w:cs="Times New Roman"/>
          <w:color w:val="000000" w:themeColor="text1"/>
          <w:sz w:val="24"/>
          <w:szCs w:val="24"/>
        </w:rPr>
        <w:t xml:space="preserve"> is the importance of feature (i), (S) is a subset of features, and (v) is the model’s performance metric, providing transparency into key contributors like gait speed and login anomalies (Ribeiro et al., 2016).</w:t>
      </w:r>
    </w:p>
    <w:p w14:paraId="0BF37A4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Biomechanical feature extraction focuses on gait dynamics, computing features such as acceleration:</w:t>
      </w:r>
    </w:p>
    <w:p w14:paraId="16A5CD35" w14:textId="6FDAF893" w:rsidR="00623D61" w:rsidRPr="00986EFF" w:rsidRDefault="004A2888"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F</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t = 0</m:t>
              </m:r>
            </m:sub>
            <m:sup>
              <m:r>
                <w:rPr>
                  <w:rFonts w:ascii="Cambria Math" w:hAnsi="Cambria Math" w:cs="Times New Roman"/>
                  <w:color w:val="000000" w:themeColor="text1"/>
                  <w:sz w:val="24"/>
                  <w:szCs w:val="24"/>
                </w:rPr>
                <m:t>T</m:t>
              </m:r>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p(x,y,t)</m:t>
                  </m:r>
                </m:num>
                <m:den>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m:t>
                      </m:r>
                    </m:e>
                    <m:sup>
                      <m:r>
                        <w:rPr>
                          <w:rFonts w:ascii="Cambria Math" w:hAnsi="Cambria Math" w:cs="Times New Roman"/>
                          <w:color w:val="000000" w:themeColor="text1"/>
                          <w:sz w:val="24"/>
                          <w:szCs w:val="24"/>
                        </w:rPr>
                        <m:t>2</m:t>
                      </m:r>
                    </m:sup>
                  </m:sSup>
                </m:den>
              </m:f>
            </m:e>
          </m:nary>
          <m:r>
            <w:rPr>
              <w:rFonts w:ascii="Cambria Math" w:hAnsi="Cambria Math" w:cs="Times New Roman"/>
              <w:color w:val="000000" w:themeColor="text1"/>
              <w:sz w:val="24"/>
              <w:szCs w:val="24"/>
            </w:rPr>
            <m:t xml:space="preserve">      ……equation 11</m:t>
          </m:r>
        </m:oMath>
      </m:oMathPara>
    </w:p>
    <w:p w14:paraId="71BE299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t</m:t>
            </m:r>
          </m:sub>
        </m:sSub>
      </m:oMath>
      <w:r w:rsidRPr="00986EFF">
        <w:rPr>
          <w:rFonts w:ascii="Times New Roman" w:hAnsi="Times New Roman" w:cs="Times New Roman"/>
          <w:color w:val="000000" w:themeColor="text1"/>
          <w:sz w:val="24"/>
          <w:szCs w:val="24"/>
        </w:rPr>
        <w:t xml:space="preserve"> are attention weights learned via a </w:t>
      </w:r>
      <w:proofErr w:type="spellStart"/>
      <w:r w:rsidRPr="00986EFF">
        <w:rPr>
          <w:rFonts w:ascii="Times New Roman" w:hAnsi="Times New Roman" w:cs="Times New Roman"/>
          <w:color w:val="000000" w:themeColor="text1"/>
          <w:sz w:val="24"/>
          <w:szCs w:val="24"/>
        </w:rPr>
        <w:t>softmax</w:t>
      </w:r>
      <w:proofErr w:type="spellEnd"/>
      <w:r w:rsidRPr="00986EFF">
        <w:rPr>
          <w:rFonts w:ascii="Times New Roman" w:hAnsi="Times New Roman" w:cs="Times New Roman"/>
          <w:color w:val="000000" w:themeColor="text1"/>
          <w:sz w:val="24"/>
          <w:szCs w:val="24"/>
        </w:rPr>
        <w:t xml:space="preserve"> layer, and (</w:t>
      </w:r>
      <w:proofErr w:type="gramStart"/>
      <w:r w:rsidRPr="00986EFF">
        <w:rPr>
          <w:rFonts w:ascii="Times New Roman" w:hAnsi="Times New Roman" w:cs="Times New Roman"/>
          <w:i/>
          <w:color w:val="000000" w:themeColor="text1"/>
          <w:sz w:val="24"/>
          <w:szCs w:val="24"/>
        </w:rPr>
        <w:t>p(</w:t>
      </w:r>
      <w:proofErr w:type="gramEnd"/>
      <w:r w:rsidRPr="00986EFF">
        <w:rPr>
          <w:rFonts w:ascii="Times New Roman" w:hAnsi="Times New Roman" w:cs="Times New Roman"/>
          <w:i/>
          <w:color w:val="000000" w:themeColor="text1"/>
          <w:sz w:val="24"/>
          <w:szCs w:val="24"/>
        </w:rPr>
        <w:t>x, y, t)</w:t>
      </w:r>
      <w:r w:rsidRPr="00986EFF">
        <w:rPr>
          <w:rFonts w:ascii="Times New Roman" w:hAnsi="Times New Roman" w:cs="Times New Roman"/>
          <w:color w:val="000000" w:themeColor="text1"/>
          <w:sz w:val="24"/>
          <w:szCs w:val="24"/>
        </w:rPr>
        <w:t xml:space="preserve">) is the pressure distribution, capturing anomalies like hesitation or irregular steps </w:t>
      </w:r>
      <w:r w:rsidRPr="00986EFF">
        <w:rPr>
          <w:rFonts w:ascii="Times New Roman" w:eastAsia="Times New Roman" w:hAnsi="Times New Roman" w:cs="Times New Roman"/>
          <w:color w:val="000000" w:themeColor="text1"/>
          <w:sz w:val="24"/>
          <w:szCs w:val="24"/>
        </w:rPr>
        <w:t>(</w:t>
      </w:r>
      <w:proofErr w:type="spellStart"/>
      <w:r w:rsidRPr="00986EFF">
        <w:rPr>
          <w:rFonts w:ascii="Times New Roman" w:eastAsia="Times New Roman" w:hAnsi="Times New Roman" w:cs="Times New Roman"/>
          <w:color w:val="000000" w:themeColor="text1"/>
          <w:sz w:val="24"/>
          <w:szCs w:val="24"/>
        </w:rPr>
        <w:t>Papavasileiou</w:t>
      </w:r>
      <w:proofErr w:type="spellEnd"/>
      <w:r w:rsidRPr="00986EFF">
        <w:rPr>
          <w:rFonts w:ascii="Times New Roman" w:eastAsia="Times New Roman" w:hAnsi="Times New Roman" w:cs="Times New Roman"/>
          <w:color w:val="000000" w:themeColor="text1"/>
          <w:sz w:val="24"/>
          <w:szCs w:val="24"/>
        </w:rPr>
        <w:t xml:space="preserve"> et al., 2021)</w:t>
      </w:r>
      <w:r w:rsidRPr="00986EFF">
        <w:rPr>
          <w:rFonts w:ascii="Times New Roman" w:hAnsi="Times New Roman" w:cs="Times New Roman"/>
          <w:color w:val="000000" w:themeColor="text1"/>
          <w:sz w:val="24"/>
          <w:szCs w:val="24"/>
        </w:rPr>
        <w:t>. Cyber features, such as packet rates, are processed using entropy measures:</w:t>
      </w:r>
    </w:p>
    <w:p w14:paraId="274D8C2C" w14:textId="40210A09" w:rsidR="00623D61" w:rsidRPr="00986EFF" w:rsidRDefault="00623D61" w:rsidP="00986EFF">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H</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 = 1</m:t>
              </m:r>
            </m:sub>
            <m:sup>
              <m:r>
                <w:rPr>
                  <w:rFonts w:ascii="Cambria Math" w:hAnsi="Cambria Math" w:cs="Times New Roman"/>
                  <w:color w:val="000000" w:themeColor="text1"/>
                  <w:sz w:val="24"/>
                  <w:szCs w:val="24"/>
                </w:rPr>
                <m:t>n</m:t>
              </m:r>
            </m:sup>
            <m:e>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m:t>
                      </m:r>
                    </m:sub>
                  </m:sSub>
                </m:e>
              </m:d>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log</m:t>
                  </m:r>
                </m:fName>
                <m:e>
                  <m:r>
                    <w:rPr>
                      <w:rFonts w:ascii="Cambria Math" w:hAnsi="Cambria Math" w:cs="Times New Roman"/>
                      <w:color w:val="000000" w:themeColor="text1"/>
                      <w:sz w:val="24"/>
                      <w:szCs w:val="24"/>
                    </w:rPr>
                    <m:t>p</m:t>
                  </m:r>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i</m:t>
                          </m:r>
                        </m:sub>
                      </m:sSub>
                    </m:e>
                  </m:d>
                </m:e>
              </m:func>
            </m:e>
          </m:nary>
          <m:r>
            <w:rPr>
              <w:rFonts w:ascii="Cambria Math" w:hAnsi="Cambria Math" w:cs="Times New Roman"/>
              <w:color w:val="000000" w:themeColor="text1"/>
              <w:sz w:val="24"/>
              <w:szCs w:val="24"/>
            </w:rPr>
            <m:t xml:space="preserve">      ……equation 12</m:t>
          </m:r>
        </m:oMath>
      </m:oMathPara>
    </w:p>
    <w:p w14:paraId="65074E6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to detect deviations in network behavior, as suggested by </w:t>
      </w:r>
      <w:proofErr w:type="spellStart"/>
      <w:r w:rsidRPr="00986EFF">
        <w:rPr>
          <w:rFonts w:ascii="Times New Roman" w:hAnsi="Times New Roman" w:cs="Times New Roman"/>
          <w:color w:val="000000" w:themeColor="text1"/>
          <w:sz w:val="24"/>
          <w:szCs w:val="24"/>
        </w:rPr>
        <w:t>Sharafaldin</w:t>
      </w:r>
      <w:proofErr w:type="spellEnd"/>
      <w:r w:rsidRPr="00986EFF">
        <w:rPr>
          <w:rFonts w:ascii="Times New Roman" w:hAnsi="Times New Roman" w:cs="Times New Roman"/>
          <w:color w:val="000000" w:themeColor="text1"/>
          <w:sz w:val="24"/>
          <w:szCs w:val="24"/>
        </w:rPr>
        <w:t xml:space="preserve"> et al. (2018). The architecture is implemented using </w:t>
      </w:r>
      <w:proofErr w:type="spellStart"/>
      <w:r w:rsidRPr="00986EFF">
        <w:rPr>
          <w:rFonts w:ascii="Times New Roman" w:hAnsi="Times New Roman" w:cs="Times New Roman"/>
          <w:color w:val="000000" w:themeColor="text1"/>
          <w:sz w:val="24"/>
          <w:szCs w:val="24"/>
        </w:rPr>
        <w:t>PyTorch</w:t>
      </w:r>
      <w:proofErr w:type="spellEnd"/>
      <w:r w:rsidRPr="00986EFF">
        <w:rPr>
          <w:rFonts w:ascii="Times New Roman" w:hAnsi="Times New Roman" w:cs="Times New Roman"/>
          <w:color w:val="000000" w:themeColor="text1"/>
          <w:sz w:val="24"/>
          <w:szCs w:val="24"/>
        </w:rPr>
        <w:t xml:space="preserve">, with training on NVIDIA A100 GPUs to handle the dataset, achieving a batch size of 128 and 50 epochs, with an Adam optimizer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=0.9,  </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=0.999)</m:t>
        </m:r>
      </m:oMath>
    </w:p>
    <w:p w14:paraId="6458684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Algorithm Implementation</w:t>
      </w:r>
    </w:p>
    <w:p w14:paraId="2EA5BDA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federated optimization process is implemented with secure aggregation, as shown in the following Python pseudocode, adapted from McMahan et al. (2017). This Python code defines a class </w:t>
      </w:r>
      <w:proofErr w:type="spellStart"/>
      <w:r w:rsidRPr="00FA19C8">
        <w:rPr>
          <w:rFonts w:ascii="Courier New" w:hAnsi="Courier New" w:cs="Courier New"/>
          <w:color w:val="000000" w:themeColor="text1"/>
          <w:sz w:val="24"/>
          <w:szCs w:val="24"/>
          <w:shd w:val="clear" w:color="auto" w:fill="F2F2F2" w:themeFill="background1" w:themeFillShade="F2"/>
        </w:rPr>
        <w:t>FedOptimizer</w:t>
      </w:r>
      <w:proofErr w:type="spellEnd"/>
      <w:r w:rsidRPr="00986EFF">
        <w:rPr>
          <w:rFonts w:ascii="Times New Roman" w:hAnsi="Times New Roman" w:cs="Times New Roman"/>
          <w:color w:val="000000" w:themeColor="text1"/>
          <w:sz w:val="24"/>
          <w:szCs w:val="24"/>
        </w:rPr>
        <w:t>, which appears to be a simplified optimizer for federated learning with differential privacy (DP). Let’s break down its components and what it does step-by-step.</w:t>
      </w:r>
    </w:p>
    <w:p w14:paraId="276A1A58" w14:textId="1CEB09C4"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This class is designed to aggregate model updates (weights) from multiple clients, clip the client updates to limit their influence, add noise to the updates for differential privacy</w:t>
      </w:r>
      <w:r w:rsidR="00901377">
        <w:rPr>
          <w:rFonts w:ascii="Times New Roman" w:hAnsi="Times New Roman" w:cs="Times New Roman"/>
          <w:color w:val="000000" w:themeColor="text1"/>
          <w:sz w:val="24"/>
          <w:szCs w:val="24"/>
        </w:rPr>
        <w:t>,</w:t>
      </w:r>
      <w:r w:rsidRPr="00986EFF">
        <w:rPr>
          <w:rFonts w:ascii="Times New Roman" w:hAnsi="Times New Roman" w:cs="Times New Roman"/>
          <w:color w:val="000000" w:themeColor="text1"/>
          <w:sz w:val="24"/>
          <w:szCs w:val="24"/>
        </w:rPr>
        <w:t xml:space="preserve"> and return the aggregated model update.</w:t>
      </w:r>
    </w:p>
    <w:p w14:paraId="2C8177EA"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Code Breakdown</w:t>
      </w:r>
    </w:p>
    <w:p w14:paraId="7DE20C98"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Constructor (</w:t>
      </w:r>
      <w:r w:rsidRPr="00FD7A52">
        <w:rPr>
          <w:rFonts w:ascii="Courier New" w:hAnsi="Courier New" w:cs="Courier New"/>
          <w:b/>
          <w:color w:val="000000" w:themeColor="text1"/>
          <w:sz w:val="24"/>
          <w:szCs w:val="24"/>
          <w:shd w:val="clear" w:color="auto" w:fill="F2F2F2" w:themeFill="background1" w:themeFillShade="F2"/>
        </w:rPr>
        <w:t>__</w:t>
      </w:r>
      <w:proofErr w:type="spellStart"/>
      <w:r w:rsidRPr="00FD7A52">
        <w:rPr>
          <w:rFonts w:ascii="Courier New" w:hAnsi="Courier New" w:cs="Courier New"/>
          <w:b/>
          <w:color w:val="000000" w:themeColor="text1"/>
          <w:sz w:val="24"/>
          <w:szCs w:val="24"/>
          <w:shd w:val="clear" w:color="auto" w:fill="F2F2F2" w:themeFill="background1" w:themeFillShade="F2"/>
        </w:rPr>
        <w:t>init</w:t>
      </w:r>
      <w:proofErr w:type="spellEnd"/>
      <w:r w:rsidRPr="00FD7A52">
        <w:rPr>
          <w:rFonts w:ascii="Courier New" w:hAnsi="Courier New" w:cs="Courier New"/>
          <w:b/>
          <w:color w:val="000000" w:themeColor="text1"/>
          <w:sz w:val="24"/>
          <w:szCs w:val="24"/>
          <w:shd w:val="clear" w:color="auto" w:fill="F2F2F2" w:themeFill="background1" w:themeFillShade="F2"/>
        </w:rPr>
        <w:t>__</w:t>
      </w:r>
      <w:r w:rsidRPr="00986EFF">
        <w:rPr>
          <w:rFonts w:ascii="Times New Roman" w:hAnsi="Times New Roman" w:cs="Times New Roman"/>
          <w:b/>
          <w:color w:val="000000" w:themeColor="text1"/>
          <w:sz w:val="24"/>
          <w:szCs w:val="24"/>
        </w:rPr>
        <w:t>)</w:t>
      </w:r>
    </w:p>
    <w:p w14:paraId="640A1316"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718B142C"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lastRenderedPageBreak/>
        <w:t>def __</w:t>
      </w:r>
      <w:proofErr w:type="spellStart"/>
      <w:r w:rsidRPr="00FD7A52">
        <w:rPr>
          <w:rFonts w:ascii="Courier New" w:hAnsi="Courier New" w:cs="Courier New"/>
          <w:color w:val="000000" w:themeColor="text1"/>
          <w:sz w:val="24"/>
          <w:szCs w:val="24"/>
        </w:rPr>
        <w:t>init</w:t>
      </w:r>
      <w:proofErr w:type="spellEnd"/>
      <w:r w:rsidRPr="00FD7A52">
        <w:rPr>
          <w:rFonts w:ascii="Courier New" w:hAnsi="Courier New" w:cs="Courier New"/>
          <w:color w:val="000000" w:themeColor="text1"/>
          <w:sz w:val="24"/>
          <w:szCs w:val="24"/>
        </w:rPr>
        <w:t>_</w:t>
      </w:r>
      <w:proofErr w:type="gramStart"/>
      <w:r w:rsidRPr="00FD7A52">
        <w:rPr>
          <w:rFonts w:ascii="Courier New" w:hAnsi="Courier New" w:cs="Courier New"/>
          <w:color w:val="000000" w:themeColor="text1"/>
          <w:sz w:val="24"/>
          <w:szCs w:val="24"/>
        </w:rPr>
        <w:t>_(</w:t>
      </w:r>
      <w:proofErr w:type="gramEnd"/>
      <w:r w:rsidRPr="00FD7A52">
        <w:rPr>
          <w:rFonts w:ascii="Courier New" w:hAnsi="Courier New" w:cs="Courier New"/>
          <w:color w:val="000000" w:themeColor="text1"/>
          <w:sz w:val="24"/>
          <w:szCs w:val="24"/>
        </w:rPr>
        <w:t xml:space="preserve">self, model, </w:t>
      </w:r>
      <w:proofErr w:type="spellStart"/>
      <w:r w:rsidRPr="00FD7A52">
        <w:rPr>
          <w:rFonts w:ascii="Courier New" w:hAnsi="Courier New" w:cs="Courier New"/>
          <w:color w:val="000000" w:themeColor="text1"/>
          <w:sz w:val="24"/>
          <w:szCs w:val="24"/>
        </w:rPr>
        <w:t>dp_sigma</w:t>
      </w:r>
      <w:proofErr w:type="spellEnd"/>
      <w:r w:rsidRPr="00FD7A52">
        <w:rPr>
          <w:rFonts w:ascii="Courier New" w:hAnsi="Courier New" w:cs="Courier New"/>
          <w:color w:val="000000" w:themeColor="text1"/>
          <w:sz w:val="24"/>
          <w:szCs w:val="24"/>
        </w:rPr>
        <w:t>=0.65):</w:t>
      </w:r>
    </w:p>
    <w:p w14:paraId="7F91CC60"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w:t>
      </w:r>
      <w:proofErr w:type="spellStart"/>
      <w:proofErr w:type="gramStart"/>
      <w:r w:rsidRPr="00FD7A52">
        <w:rPr>
          <w:rFonts w:ascii="Courier New" w:hAnsi="Courier New" w:cs="Courier New"/>
          <w:color w:val="000000" w:themeColor="text1"/>
          <w:sz w:val="24"/>
          <w:szCs w:val="24"/>
        </w:rPr>
        <w:t>self.global</w:t>
      </w:r>
      <w:proofErr w:type="gramEnd"/>
      <w:r w:rsidRPr="00FD7A52">
        <w:rPr>
          <w:rFonts w:ascii="Courier New" w:hAnsi="Courier New" w:cs="Courier New"/>
          <w:color w:val="000000" w:themeColor="text1"/>
          <w:sz w:val="24"/>
          <w:szCs w:val="24"/>
        </w:rPr>
        <w:t>_model</w:t>
      </w:r>
      <w:proofErr w:type="spellEnd"/>
      <w:r w:rsidRPr="00FD7A52">
        <w:rPr>
          <w:rFonts w:ascii="Courier New" w:hAnsi="Courier New" w:cs="Courier New"/>
          <w:color w:val="000000" w:themeColor="text1"/>
          <w:sz w:val="24"/>
          <w:szCs w:val="24"/>
        </w:rPr>
        <w:t xml:space="preserve"> = model</w:t>
      </w:r>
    </w:p>
    <w:p w14:paraId="175A6A66"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986EFF">
        <w:rPr>
          <w:rFonts w:ascii="Times New Roman" w:hAnsi="Times New Roman" w:cs="Times New Roman"/>
          <w:color w:val="000000" w:themeColor="text1"/>
          <w:sz w:val="24"/>
          <w:szCs w:val="24"/>
        </w:rPr>
        <w:t xml:space="preserve"> </w:t>
      </w:r>
      <w:r w:rsidRPr="00FD7A52">
        <w:rPr>
          <w:rFonts w:ascii="Courier New" w:hAnsi="Courier New" w:cs="Courier New"/>
          <w:color w:val="000000" w:themeColor="text1"/>
          <w:sz w:val="24"/>
          <w:szCs w:val="24"/>
        </w:rPr>
        <w:t xml:space="preserve">   </w:t>
      </w:r>
      <w:proofErr w:type="spellStart"/>
      <w:proofErr w:type="gramStart"/>
      <w:r w:rsidRPr="00FD7A52">
        <w:rPr>
          <w:rFonts w:ascii="Courier New" w:hAnsi="Courier New" w:cs="Courier New"/>
          <w:color w:val="000000" w:themeColor="text1"/>
          <w:sz w:val="24"/>
          <w:szCs w:val="24"/>
        </w:rPr>
        <w:t>self.clip</w:t>
      </w:r>
      <w:proofErr w:type="gramEnd"/>
      <w:r w:rsidRPr="00FD7A52">
        <w:rPr>
          <w:rFonts w:ascii="Courier New" w:hAnsi="Courier New" w:cs="Courier New"/>
          <w:color w:val="000000" w:themeColor="text1"/>
          <w:sz w:val="24"/>
          <w:szCs w:val="24"/>
        </w:rPr>
        <w:t>_norm</w:t>
      </w:r>
      <w:proofErr w:type="spellEnd"/>
      <w:r w:rsidRPr="00FD7A52">
        <w:rPr>
          <w:rFonts w:ascii="Courier New" w:hAnsi="Courier New" w:cs="Courier New"/>
          <w:color w:val="000000" w:themeColor="text1"/>
          <w:sz w:val="24"/>
          <w:szCs w:val="24"/>
        </w:rPr>
        <w:t xml:space="preserve"> = 2.5</w:t>
      </w:r>
    </w:p>
    <w:p w14:paraId="02B097B6" w14:textId="77777777" w:rsidR="00623D61" w:rsidRPr="00986EFF" w:rsidRDefault="00623D61" w:rsidP="00986EFF">
      <w:pPr>
        <w:pStyle w:val="ListParagraph"/>
        <w:numPr>
          <w:ilvl w:val="0"/>
          <w:numId w:val="2"/>
        </w:numPr>
        <w:spacing w:line="360" w:lineRule="auto"/>
        <w:jc w:val="both"/>
        <w:rPr>
          <w:rFonts w:ascii="Times New Roman" w:hAnsi="Times New Roman" w:cs="Times New Roman"/>
          <w:color w:val="000000" w:themeColor="text1"/>
          <w:sz w:val="24"/>
          <w:szCs w:val="24"/>
        </w:rPr>
      </w:pPr>
      <w:r w:rsidRPr="00FD7A52">
        <w:rPr>
          <w:rFonts w:ascii="Courier New" w:hAnsi="Courier New" w:cs="Courier New"/>
          <w:color w:val="000000" w:themeColor="text1"/>
          <w:sz w:val="24"/>
          <w:szCs w:val="24"/>
          <w:shd w:val="clear" w:color="auto" w:fill="F2F2F2" w:themeFill="background1" w:themeFillShade="F2"/>
        </w:rPr>
        <w:t>model</w:t>
      </w:r>
      <w:r w:rsidRPr="00986EFF">
        <w:rPr>
          <w:rFonts w:ascii="Times New Roman" w:hAnsi="Times New Roman" w:cs="Times New Roman"/>
          <w:color w:val="000000" w:themeColor="text1"/>
          <w:sz w:val="24"/>
          <w:szCs w:val="24"/>
        </w:rPr>
        <w:t>: A global model shared across clients in federated learning.</w:t>
      </w:r>
    </w:p>
    <w:p w14:paraId="4BB8CDA0" w14:textId="77777777" w:rsidR="00623D61" w:rsidRPr="00986EFF" w:rsidRDefault="00623D61" w:rsidP="00986EFF">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FD7A52">
        <w:rPr>
          <w:rFonts w:ascii="Courier New" w:hAnsi="Courier New" w:cs="Courier New"/>
          <w:color w:val="000000" w:themeColor="text1"/>
          <w:sz w:val="24"/>
          <w:szCs w:val="24"/>
          <w:shd w:val="clear" w:color="auto" w:fill="F2F2F2" w:themeFill="background1" w:themeFillShade="F2"/>
        </w:rPr>
        <w:t>dp_sigma</w:t>
      </w:r>
      <w:proofErr w:type="spellEnd"/>
      <w:r w:rsidRPr="00986EFF">
        <w:rPr>
          <w:rFonts w:ascii="Times New Roman" w:hAnsi="Times New Roman" w:cs="Times New Roman"/>
          <w:color w:val="000000" w:themeColor="text1"/>
          <w:sz w:val="24"/>
          <w:szCs w:val="24"/>
        </w:rPr>
        <w:t xml:space="preserve">: Standard deviation of Gaussian noise added for DP; default is </w:t>
      </w:r>
      <w:r w:rsidRPr="00FD7A52">
        <w:rPr>
          <w:rFonts w:ascii="Courier New" w:hAnsi="Courier New" w:cs="Courier New"/>
          <w:color w:val="000000" w:themeColor="text1"/>
          <w:sz w:val="24"/>
          <w:szCs w:val="24"/>
          <w:shd w:val="clear" w:color="auto" w:fill="F2F2F2" w:themeFill="background1" w:themeFillShade="F2"/>
        </w:rPr>
        <w:t>0.65</w:t>
      </w:r>
      <w:r w:rsidRPr="00986EFF">
        <w:rPr>
          <w:rFonts w:ascii="Times New Roman" w:hAnsi="Times New Roman" w:cs="Times New Roman"/>
          <w:color w:val="000000" w:themeColor="text1"/>
          <w:sz w:val="24"/>
          <w:szCs w:val="24"/>
        </w:rPr>
        <w:t>.</w:t>
      </w:r>
    </w:p>
    <w:p w14:paraId="0BB548EC" w14:textId="77777777" w:rsidR="00623D61" w:rsidRPr="00986EFF" w:rsidRDefault="00623D61" w:rsidP="00986EFF">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FD7A52">
        <w:rPr>
          <w:rFonts w:ascii="Courier New" w:hAnsi="Courier New" w:cs="Courier New"/>
          <w:color w:val="000000" w:themeColor="text1"/>
          <w:sz w:val="24"/>
          <w:szCs w:val="24"/>
          <w:shd w:val="clear" w:color="auto" w:fill="F2F2F2" w:themeFill="background1" w:themeFillShade="F2"/>
        </w:rPr>
        <w:t>clip_norm</w:t>
      </w:r>
      <w:proofErr w:type="spellEnd"/>
      <w:r w:rsidRPr="00986EFF">
        <w:rPr>
          <w:rFonts w:ascii="Times New Roman" w:hAnsi="Times New Roman" w:cs="Times New Roman"/>
          <w:color w:val="000000" w:themeColor="text1"/>
          <w:sz w:val="24"/>
          <w:szCs w:val="24"/>
        </w:rPr>
        <w:t>: Maximum allowed L2 norm for each client’s weight update. Used to clip outlier updates.</w:t>
      </w:r>
    </w:p>
    <w:p w14:paraId="44BB4F64"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FD7A52">
        <w:rPr>
          <w:rFonts w:ascii="Courier New" w:hAnsi="Courier New" w:cs="Courier New"/>
          <w:b/>
          <w:color w:val="000000" w:themeColor="text1"/>
          <w:sz w:val="24"/>
          <w:szCs w:val="24"/>
          <w:shd w:val="clear" w:color="auto" w:fill="F2F2F2" w:themeFill="background1" w:themeFillShade="F2"/>
        </w:rPr>
        <w:t>Aggregate</w:t>
      </w:r>
      <w:r w:rsidRPr="00986EFF">
        <w:rPr>
          <w:rFonts w:ascii="Times New Roman" w:hAnsi="Times New Roman" w:cs="Times New Roman"/>
          <w:b/>
          <w:color w:val="000000" w:themeColor="text1"/>
          <w:sz w:val="24"/>
          <w:szCs w:val="24"/>
        </w:rPr>
        <w:t xml:space="preserve"> Method</w:t>
      </w:r>
    </w:p>
    <w:p w14:paraId="60E17802"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44C5C5E9"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def </w:t>
      </w:r>
      <w:proofErr w:type="gramStart"/>
      <w:r w:rsidRPr="00FD7A52">
        <w:rPr>
          <w:rFonts w:ascii="Courier New" w:hAnsi="Courier New" w:cs="Courier New"/>
          <w:color w:val="000000" w:themeColor="text1"/>
          <w:sz w:val="24"/>
          <w:szCs w:val="24"/>
        </w:rPr>
        <w:t>aggregate(</w:t>
      </w:r>
      <w:proofErr w:type="gramEnd"/>
      <w:r w:rsidRPr="00FD7A52">
        <w:rPr>
          <w:rFonts w:ascii="Courier New" w:hAnsi="Courier New" w:cs="Courier New"/>
          <w:color w:val="000000" w:themeColor="text1"/>
          <w:sz w:val="24"/>
          <w:szCs w:val="24"/>
        </w:rPr>
        <w:t xml:space="preserve">self, </w:t>
      </w:r>
      <w:proofErr w:type="spellStart"/>
      <w:r w:rsidRPr="00FD7A52">
        <w:rPr>
          <w:rFonts w:ascii="Courier New" w:hAnsi="Courier New" w:cs="Courier New"/>
          <w:color w:val="000000" w:themeColor="text1"/>
          <w:sz w:val="24"/>
          <w:szCs w:val="24"/>
        </w:rPr>
        <w:t>client_weights</w:t>
      </w:r>
      <w:proofErr w:type="spellEnd"/>
      <w:r w:rsidRPr="00FD7A52">
        <w:rPr>
          <w:rFonts w:ascii="Courier New" w:hAnsi="Courier New" w:cs="Courier New"/>
          <w:color w:val="000000" w:themeColor="text1"/>
          <w:sz w:val="24"/>
          <w:szCs w:val="24"/>
        </w:rPr>
        <w:t>):</w:t>
      </w:r>
    </w:p>
    <w:p w14:paraId="724645AC"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clipped = [w * </w:t>
      </w:r>
      <w:proofErr w:type="gramStart"/>
      <w:r w:rsidRPr="00FD7A52">
        <w:rPr>
          <w:rFonts w:ascii="Courier New" w:hAnsi="Courier New" w:cs="Courier New"/>
          <w:color w:val="000000" w:themeColor="text1"/>
          <w:sz w:val="24"/>
          <w:szCs w:val="24"/>
        </w:rPr>
        <w:t>min(</w:t>
      </w:r>
      <w:proofErr w:type="gramEnd"/>
      <w:r w:rsidRPr="00FD7A52">
        <w:rPr>
          <w:rFonts w:ascii="Courier New" w:hAnsi="Courier New" w:cs="Courier New"/>
          <w:color w:val="000000" w:themeColor="text1"/>
          <w:sz w:val="24"/>
          <w:szCs w:val="24"/>
        </w:rPr>
        <w:t xml:space="preserve">1, </w:t>
      </w:r>
      <w:proofErr w:type="spellStart"/>
      <w:r w:rsidRPr="00FD7A52">
        <w:rPr>
          <w:rFonts w:ascii="Courier New" w:hAnsi="Courier New" w:cs="Courier New"/>
          <w:color w:val="000000" w:themeColor="text1"/>
          <w:sz w:val="24"/>
          <w:szCs w:val="24"/>
        </w:rPr>
        <w:t>self.clip_norm</w:t>
      </w:r>
      <w:proofErr w:type="spellEnd"/>
      <w:r w:rsidRPr="00FD7A52">
        <w:rPr>
          <w:rFonts w:ascii="Courier New" w:hAnsi="Courier New" w:cs="Courier New"/>
          <w:color w:val="000000" w:themeColor="text1"/>
          <w:sz w:val="24"/>
          <w:szCs w:val="24"/>
        </w:rPr>
        <w:t>/</w:t>
      </w:r>
      <w:proofErr w:type="spellStart"/>
      <w:r w:rsidRPr="00FD7A52">
        <w:rPr>
          <w:rFonts w:ascii="Courier New" w:hAnsi="Courier New" w:cs="Courier New"/>
          <w:color w:val="000000" w:themeColor="text1"/>
          <w:sz w:val="24"/>
          <w:szCs w:val="24"/>
        </w:rPr>
        <w:t>torch.norm</w:t>
      </w:r>
      <w:proofErr w:type="spellEnd"/>
      <w:r w:rsidRPr="00FD7A52">
        <w:rPr>
          <w:rFonts w:ascii="Courier New" w:hAnsi="Courier New" w:cs="Courier New"/>
          <w:color w:val="000000" w:themeColor="text1"/>
          <w:sz w:val="24"/>
          <w:szCs w:val="24"/>
        </w:rPr>
        <w:t xml:space="preserve">(w)) </w:t>
      </w:r>
    </w:p>
    <w:p w14:paraId="0CEBC303"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for w in </w:t>
      </w:r>
      <w:proofErr w:type="spellStart"/>
      <w:r w:rsidRPr="00FD7A52">
        <w:rPr>
          <w:rFonts w:ascii="Courier New" w:hAnsi="Courier New" w:cs="Courier New"/>
          <w:color w:val="000000" w:themeColor="text1"/>
          <w:sz w:val="24"/>
          <w:szCs w:val="24"/>
        </w:rPr>
        <w:t>client_weights</w:t>
      </w:r>
      <w:proofErr w:type="spellEnd"/>
      <w:r w:rsidRPr="00FD7A52">
        <w:rPr>
          <w:rFonts w:ascii="Courier New" w:hAnsi="Courier New" w:cs="Courier New"/>
          <w:color w:val="000000" w:themeColor="text1"/>
          <w:sz w:val="24"/>
          <w:szCs w:val="24"/>
        </w:rPr>
        <w:t>]</w:t>
      </w:r>
    </w:p>
    <w:p w14:paraId="4BA4F061" w14:textId="77777777" w:rsidR="00623D61" w:rsidRPr="00986EFF" w:rsidRDefault="00623D61" w:rsidP="00986EFF">
      <w:pPr>
        <w:pStyle w:val="ListParagraph"/>
        <w:numPr>
          <w:ilvl w:val="0"/>
          <w:numId w:val="3"/>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Each client's model update </w:t>
      </w:r>
      <w:r w:rsidRPr="00FD7A52">
        <w:rPr>
          <w:rFonts w:ascii="Courier New" w:hAnsi="Courier New" w:cs="Courier New"/>
          <w:color w:val="000000" w:themeColor="text1"/>
          <w:sz w:val="24"/>
          <w:szCs w:val="24"/>
          <w:shd w:val="clear" w:color="auto" w:fill="F2F2F2" w:themeFill="background1" w:themeFillShade="F2"/>
        </w:rPr>
        <w:t>w</w:t>
      </w:r>
      <w:r w:rsidRPr="00986EFF">
        <w:rPr>
          <w:rFonts w:ascii="Times New Roman" w:hAnsi="Times New Roman" w:cs="Times New Roman"/>
          <w:color w:val="000000" w:themeColor="text1"/>
          <w:sz w:val="24"/>
          <w:szCs w:val="24"/>
        </w:rPr>
        <w:t xml:space="preserve"> is scaled (clipped) so its norm does not exceed </w:t>
      </w:r>
      <w:proofErr w:type="spellStart"/>
      <w:r w:rsidRPr="00FD7A52">
        <w:rPr>
          <w:rFonts w:ascii="Courier New" w:hAnsi="Courier New" w:cs="Courier New"/>
          <w:color w:val="000000" w:themeColor="text1"/>
          <w:sz w:val="24"/>
          <w:szCs w:val="24"/>
          <w:shd w:val="clear" w:color="auto" w:fill="F2F2F2" w:themeFill="background1" w:themeFillShade="F2"/>
        </w:rPr>
        <w:t>clip_norm</w:t>
      </w:r>
      <w:proofErr w:type="spellEnd"/>
      <w:r w:rsidRPr="00986EFF">
        <w:rPr>
          <w:rFonts w:ascii="Times New Roman" w:hAnsi="Times New Roman" w:cs="Times New Roman"/>
          <w:color w:val="000000" w:themeColor="text1"/>
          <w:sz w:val="24"/>
          <w:szCs w:val="24"/>
        </w:rPr>
        <w:t>.</w:t>
      </w:r>
    </w:p>
    <w:p w14:paraId="11A68C1D" w14:textId="77777777" w:rsidR="00623D61" w:rsidRPr="00986EFF" w:rsidRDefault="00623D61" w:rsidP="00986EFF">
      <w:pPr>
        <w:pStyle w:val="ListParagraph"/>
        <w:numPr>
          <w:ilvl w:val="0"/>
          <w:numId w:val="3"/>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Prevents any single client from having too much influence.</w:t>
      </w:r>
    </w:p>
    <w:p w14:paraId="3D59E3F7"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3C8B53BF"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w:t>
      </w:r>
      <w:proofErr w:type="spellStart"/>
      <w:proofErr w:type="gramStart"/>
      <w:r w:rsidRPr="00FD7A52">
        <w:rPr>
          <w:rFonts w:ascii="Courier New" w:hAnsi="Courier New" w:cs="Courier New"/>
          <w:color w:val="000000" w:themeColor="text1"/>
          <w:sz w:val="24"/>
          <w:szCs w:val="24"/>
        </w:rPr>
        <w:t>torch.normal</w:t>
      </w:r>
      <w:proofErr w:type="spellEnd"/>
      <w:proofErr w:type="gramEnd"/>
      <w:r w:rsidRPr="00FD7A52">
        <w:rPr>
          <w:rFonts w:ascii="Courier New" w:hAnsi="Courier New" w:cs="Courier New"/>
          <w:color w:val="000000" w:themeColor="text1"/>
          <w:sz w:val="24"/>
          <w:szCs w:val="24"/>
        </w:rPr>
        <w:t>(mean=0, std=</w:t>
      </w:r>
      <w:proofErr w:type="spellStart"/>
      <w:r w:rsidRPr="00FD7A52">
        <w:rPr>
          <w:rFonts w:ascii="Courier New" w:hAnsi="Courier New" w:cs="Courier New"/>
          <w:color w:val="000000" w:themeColor="text1"/>
          <w:sz w:val="24"/>
          <w:szCs w:val="24"/>
        </w:rPr>
        <w:t>self.dp_sigma</w:t>
      </w:r>
      <w:proofErr w:type="spellEnd"/>
      <w:r w:rsidRPr="00FD7A52">
        <w:rPr>
          <w:rFonts w:ascii="Courier New" w:hAnsi="Courier New" w:cs="Courier New"/>
          <w:color w:val="000000" w:themeColor="text1"/>
          <w:sz w:val="24"/>
          <w:szCs w:val="24"/>
        </w:rPr>
        <w:t>, size=</w:t>
      </w:r>
      <w:proofErr w:type="spellStart"/>
      <w:r w:rsidRPr="00FD7A52">
        <w:rPr>
          <w:rFonts w:ascii="Courier New" w:hAnsi="Courier New" w:cs="Courier New"/>
          <w:color w:val="000000" w:themeColor="text1"/>
          <w:sz w:val="24"/>
          <w:szCs w:val="24"/>
        </w:rPr>
        <w:t>w.shape</w:t>
      </w:r>
      <w:proofErr w:type="spellEnd"/>
      <w:r w:rsidRPr="00FD7A52">
        <w:rPr>
          <w:rFonts w:ascii="Courier New" w:hAnsi="Courier New" w:cs="Courier New"/>
          <w:color w:val="000000" w:themeColor="text1"/>
          <w:sz w:val="24"/>
          <w:szCs w:val="24"/>
        </w:rPr>
        <w:t>)</w:t>
      </w:r>
    </w:p>
    <w:p w14:paraId="48189822"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for w in clipped]</w:t>
      </w:r>
    </w:p>
    <w:p w14:paraId="729130B5" w14:textId="77777777" w:rsidR="00623D61" w:rsidRPr="00986EFF" w:rsidRDefault="00623D61" w:rsidP="00986EFF">
      <w:pPr>
        <w:pStyle w:val="ListParagraph"/>
        <w:numPr>
          <w:ilvl w:val="0"/>
          <w:numId w:val="5"/>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Adds Gaussian noise to each clipped update for differential privacy.</w:t>
      </w:r>
    </w:p>
    <w:p w14:paraId="47068039" w14:textId="77777777" w:rsidR="00623D61" w:rsidRPr="00986EFF" w:rsidRDefault="00623D61" w:rsidP="00986EFF">
      <w:pPr>
        <w:pStyle w:val="ListParagraph"/>
        <w:numPr>
          <w:ilvl w:val="0"/>
          <w:numId w:val="4"/>
        </w:numPr>
        <w:spacing w:line="360" w:lineRule="auto"/>
        <w:jc w:val="both"/>
        <w:rPr>
          <w:rFonts w:ascii="Times New Roman" w:hAnsi="Times New Roman" w:cs="Times New Roman"/>
          <w:color w:val="000000" w:themeColor="text1"/>
          <w:sz w:val="24"/>
          <w:szCs w:val="24"/>
        </w:rPr>
      </w:pPr>
      <w:proofErr w:type="spellStart"/>
      <w:r w:rsidRPr="00FD7A52">
        <w:rPr>
          <w:rFonts w:ascii="Courier New" w:hAnsi="Courier New" w:cs="Courier New"/>
          <w:color w:val="000000" w:themeColor="text1"/>
          <w:sz w:val="24"/>
          <w:szCs w:val="24"/>
          <w:shd w:val="clear" w:color="auto" w:fill="F2F2F2" w:themeFill="background1" w:themeFillShade="F2"/>
        </w:rPr>
        <w:t>dp_sigma</w:t>
      </w:r>
      <w:proofErr w:type="spellEnd"/>
      <w:r w:rsidRPr="00986EFF">
        <w:rPr>
          <w:rFonts w:ascii="Times New Roman" w:hAnsi="Times New Roman" w:cs="Times New Roman"/>
          <w:color w:val="000000" w:themeColor="text1"/>
          <w:sz w:val="24"/>
          <w:szCs w:val="24"/>
        </w:rPr>
        <w:t xml:space="preserve"> controls how strong the noise is: higher means more privacy but less accuracy.</w:t>
      </w:r>
    </w:p>
    <w:p w14:paraId="5F71D6E8"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b/>
          <w:color w:val="000000" w:themeColor="text1"/>
          <w:sz w:val="24"/>
          <w:szCs w:val="24"/>
        </w:rPr>
      </w:pPr>
      <w:r w:rsidRPr="00FD7A52">
        <w:rPr>
          <w:rFonts w:ascii="Courier New" w:hAnsi="Courier New" w:cs="Courier New"/>
          <w:b/>
          <w:color w:val="000000" w:themeColor="text1"/>
          <w:sz w:val="24"/>
          <w:szCs w:val="24"/>
        </w:rPr>
        <w:t>python</w:t>
      </w:r>
    </w:p>
    <w:p w14:paraId="2D4E7812" w14:textId="77777777" w:rsidR="00623D61" w:rsidRPr="00FD7A52" w:rsidRDefault="00623D61" w:rsidP="00986EFF">
      <w:pPr>
        <w:shd w:val="clear" w:color="auto" w:fill="F2F2F2" w:themeFill="background1" w:themeFillShade="F2"/>
        <w:spacing w:line="360" w:lineRule="auto"/>
        <w:jc w:val="both"/>
        <w:rPr>
          <w:rFonts w:ascii="Courier New" w:hAnsi="Courier New" w:cs="Courier New"/>
          <w:color w:val="000000" w:themeColor="text1"/>
          <w:sz w:val="24"/>
          <w:szCs w:val="24"/>
        </w:rPr>
      </w:pPr>
      <w:r w:rsidRPr="00FD7A52">
        <w:rPr>
          <w:rFonts w:ascii="Courier New" w:hAnsi="Courier New" w:cs="Courier New"/>
          <w:color w:val="000000" w:themeColor="text1"/>
          <w:sz w:val="24"/>
          <w:szCs w:val="24"/>
        </w:rPr>
        <w:t xml:space="preserve">  return </w:t>
      </w:r>
      <w:proofErr w:type="spellStart"/>
      <w:proofErr w:type="gramStart"/>
      <w:r w:rsidRPr="00FD7A52">
        <w:rPr>
          <w:rFonts w:ascii="Courier New" w:hAnsi="Courier New" w:cs="Courier New"/>
          <w:color w:val="000000" w:themeColor="text1"/>
          <w:sz w:val="24"/>
          <w:szCs w:val="24"/>
        </w:rPr>
        <w:t>torch.mean</w:t>
      </w:r>
      <w:proofErr w:type="spellEnd"/>
      <w:proofErr w:type="gramEnd"/>
      <w:r w:rsidRPr="00FD7A52">
        <w:rPr>
          <w:rFonts w:ascii="Courier New" w:hAnsi="Courier New" w:cs="Courier New"/>
          <w:color w:val="000000" w:themeColor="text1"/>
          <w:sz w:val="24"/>
          <w:szCs w:val="24"/>
        </w:rPr>
        <w:t>(</w:t>
      </w:r>
      <w:proofErr w:type="spellStart"/>
      <w:r w:rsidRPr="00FD7A52">
        <w:rPr>
          <w:rFonts w:ascii="Courier New" w:hAnsi="Courier New" w:cs="Courier New"/>
          <w:color w:val="000000" w:themeColor="text1"/>
          <w:sz w:val="24"/>
          <w:szCs w:val="24"/>
        </w:rPr>
        <w:t>torch.stack</w:t>
      </w:r>
      <w:proofErr w:type="spellEnd"/>
      <w:r w:rsidRPr="00FD7A52">
        <w:rPr>
          <w:rFonts w:ascii="Courier New" w:hAnsi="Courier New" w:cs="Courier New"/>
          <w:color w:val="000000" w:themeColor="text1"/>
          <w:sz w:val="24"/>
          <w:szCs w:val="24"/>
        </w:rPr>
        <w:t>(noised), dim=0)</w:t>
      </w:r>
    </w:p>
    <w:p w14:paraId="366112B2" w14:textId="1358C5E4" w:rsidR="00623D61" w:rsidRPr="00986EFF" w:rsidRDefault="00623D61" w:rsidP="00986EFF">
      <w:pPr>
        <w:pStyle w:val="ListParagraph"/>
        <w:numPr>
          <w:ilvl w:val="0"/>
          <w:numId w:val="4"/>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Averages </w:t>
      </w:r>
      <w:r w:rsidR="00901377">
        <w:rPr>
          <w:rFonts w:ascii="Times New Roman" w:hAnsi="Times New Roman" w:cs="Times New Roman"/>
          <w:color w:val="000000" w:themeColor="text1"/>
          <w:sz w:val="24"/>
          <w:szCs w:val="24"/>
        </w:rPr>
        <w:t xml:space="preserve">all clients' noisy, clipped updates </w:t>
      </w:r>
      <w:r w:rsidRPr="00986EFF">
        <w:rPr>
          <w:rFonts w:ascii="Times New Roman" w:hAnsi="Times New Roman" w:cs="Times New Roman"/>
          <w:color w:val="000000" w:themeColor="text1"/>
          <w:sz w:val="24"/>
          <w:szCs w:val="24"/>
        </w:rPr>
        <w:t>to produce a new global model update.</w:t>
      </w:r>
    </w:p>
    <w:p w14:paraId="45170D6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This </w:t>
      </w:r>
      <w:proofErr w:type="spellStart"/>
      <w:r w:rsidRPr="00FD7A52">
        <w:rPr>
          <w:rFonts w:ascii="Courier New" w:hAnsi="Courier New" w:cs="Courier New"/>
          <w:color w:val="000000" w:themeColor="text1"/>
          <w:sz w:val="24"/>
          <w:szCs w:val="24"/>
          <w:shd w:val="clear" w:color="auto" w:fill="F2F2F2" w:themeFill="background1" w:themeFillShade="F2"/>
        </w:rPr>
        <w:t>FedOptimizer</w:t>
      </w:r>
      <w:proofErr w:type="spellEnd"/>
      <w:r w:rsidRPr="00986EFF">
        <w:rPr>
          <w:rFonts w:ascii="Times New Roman" w:hAnsi="Times New Roman" w:cs="Times New Roman"/>
          <w:color w:val="000000" w:themeColor="text1"/>
          <w:sz w:val="24"/>
          <w:szCs w:val="24"/>
        </w:rPr>
        <w:t>:</w:t>
      </w:r>
    </w:p>
    <w:p w14:paraId="206B1BD7" w14:textId="2698651A" w:rsidR="00623D61" w:rsidRPr="00986EFF" w:rsidRDefault="00623D61" w:rsidP="00986EFF">
      <w:pPr>
        <w:pStyle w:val="ListParagraph"/>
        <w:numPr>
          <w:ilvl w:val="0"/>
          <w:numId w:val="6"/>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Ensures client updates are </w:t>
      </w:r>
      <w:r w:rsidR="00901377">
        <w:rPr>
          <w:rFonts w:ascii="Times New Roman" w:hAnsi="Times New Roman" w:cs="Times New Roman"/>
          <w:color w:val="000000" w:themeColor="text1"/>
          <w:sz w:val="24"/>
          <w:szCs w:val="24"/>
        </w:rPr>
        <w:t>bound</w:t>
      </w:r>
      <w:r w:rsidRPr="00986EFF">
        <w:rPr>
          <w:rFonts w:ascii="Times New Roman" w:hAnsi="Times New Roman" w:cs="Times New Roman"/>
          <w:color w:val="000000" w:themeColor="text1"/>
          <w:sz w:val="24"/>
          <w:szCs w:val="24"/>
        </w:rPr>
        <w:t xml:space="preserve"> (via clipping).</w:t>
      </w:r>
    </w:p>
    <w:p w14:paraId="4817C9A4" w14:textId="77777777" w:rsidR="00623D61" w:rsidRPr="00986EFF" w:rsidRDefault="00623D61" w:rsidP="00986EFF">
      <w:pPr>
        <w:pStyle w:val="ListParagraph"/>
        <w:numPr>
          <w:ilvl w:val="0"/>
          <w:numId w:val="6"/>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Adds noise to maintain differential privacy (client data protection).</w:t>
      </w:r>
    </w:p>
    <w:p w14:paraId="539F7DCE" w14:textId="77777777" w:rsidR="00623D61" w:rsidRPr="00986EFF" w:rsidRDefault="00623D61" w:rsidP="00986EFF">
      <w:pPr>
        <w:pStyle w:val="ListParagraph"/>
        <w:numPr>
          <w:ilvl w:val="0"/>
          <w:numId w:val="6"/>
        </w:num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Averages the processed updates to update the global model.</w:t>
      </w:r>
    </w:p>
    <w:p w14:paraId="28AA30E3" w14:textId="1674E111"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This implementation initializes a federated optimizer with a global model, performs local updates using Adam optimization, applies gradient clipping to limit client influence, adds Gaussian noise for differential privacy, and aggregates weighted updates based on dataset sizes, ensuring </w:t>
      </w:r>
      <w:r w:rsidR="00901377">
        <w:rPr>
          <w:rFonts w:ascii="Times New Roman" w:hAnsi="Times New Roman" w:cs="Times New Roman"/>
          <w:color w:val="000000" w:themeColor="text1"/>
          <w:sz w:val="24"/>
          <w:szCs w:val="24"/>
        </w:rPr>
        <w:t>confidentiality</w:t>
      </w:r>
      <w:r w:rsidRPr="00986EFF">
        <w:rPr>
          <w:rFonts w:ascii="Times New Roman" w:hAnsi="Times New Roman" w:cs="Times New Roman"/>
          <w:color w:val="000000" w:themeColor="text1"/>
          <w:sz w:val="24"/>
          <w:szCs w:val="24"/>
        </w:rPr>
        <w:t xml:space="preserve"> and convergence (Abadi et al., 2016). The algorithm was tested in a simulated network of three facilities, achieving a convergence rate of 0.96 after 100 rounds, with privacy leakage below </w:t>
      </w:r>
      <m:oMath>
        <m:r>
          <w:rPr>
            <w:rFonts w:ascii="Cambria Math" w:hAnsi="Cambria Math" w:cs="Times New Roman"/>
            <w:color w:val="000000" w:themeColor="text1"/>
            <w:sz w:val="24"/>
            <w:szCs w:val="24"/>
          </w:rPr>
          <m:t>ϵ=1.2</m:t>
        </m:r>
      </m:oMath>
      <w:r w:rsidRPr="00986EFF">
        <w:rPr>
          <w:rFonts w:ascii="Times New Roman" w:hAnsi="Times New Roman" w:cs="Times New Roman"/>
          <w:color w:val="000000" w:themeColor="text1"/>
          <w:sz w:val="24"/>
          <w:szCs w:val="24"/>
        </w:rPr>
        <w:t>, as validated by Kairouz et al. (2021). The implementation leverages the Flower framework for client-server communication, ensuring scalability (Beutel et al., 2020).</w:t>
      </w:r>
    </w:p>
    <w:p w14:paraId="24224145"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Performance Metrics</w:t>
      </w:r>
    </w:p>
    <w:p w14:paraId="512EAE82"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Detection performance is evaluated using a comprehensive set of metrics, as shown in Table 2, ensuring alignment with industry standards for insider threat detection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Precision, recall, and F1-score measure classification accuracy, with thresholds of 0.95, 0.89, and 0.92, respectively, to ensure high reliability. The AUC-ROC, targeting ≥0.98, assesses model discrimination, calculated as:</w:t>
      </w:r>
    </w:p>
    <w:p w14:paraId="06E9A525" w14:textId="4FE87C64" w:rsidR="00623D61" w:rsidRPr="00986EFF" w:rsidRDefault="00623D61" w:rsidP="00986EFF">
      <w:pPr>
        <w:spacing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AUC-ROC=</m:t>
          </m:r>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1</m:t>
              </m:r>
            </m:sup>
            <m:e>
              <m:r>
                <w:rPr>
                  <w:rFonts w:ascii="Cambria Math" w:hAnsi="Cambria Math" w:cs="Times New Roman"/>
                  <w:color w:val="000000" w:themeColor="text1"/>
                  <w:sz w:val="24"/>
                  <w:szCs w:val="24"/>
                </w:rPr>
                <m:t>TPR</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FPR</m:t>
                      </m:r>
                    </m:e>
                    <m:sup>
                      <m:r>
                        <w:rPr>
                          <w:rFonts w:ascii="Cambria Math" w:hAnsi="Cambria Math" w:cs="Times New Roman"/>
                          <w:color w:val="000000" w:themeColor="text1"/>
                          <w:sz w:val="24"/>
                          <w:szCs w:val="24"/>
                        </w:rPr>
                        <m:t>-1</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e>
              </m:d>
              <m:r>
                <w:rPr>
                  <w:rFonts w:ascii="Cambria Math" w:hAnsi="Cambria Math" w:cs="Times New Roman"/>
                  <w:color w:val="000000" w:themeColor="text1"/>
                  <w:sz w:val="24"/>
                  <w:szCs w:val="24"/>
                </w:rPr>
                <m:t>dx</m:t>
              </m:r>
            </m:e>
          </m:nary>
          <m:r>
            <w:rPr>
              <w:rFonts w:ascii="Cambria Math" w:hAnsi="Cambria Math" w:cs="Times New Roman"/>
              <w:color w:val="000000" w:themeColor="text1"/>
              <w:sz w:val="24"/>
              <w:szCs w:val="24"/>
            </w:rPr>
            <m:t xml:space="preserve">      ……equation 13</m:t>
          </m:r>
        </m:oMath>
      </m:oMathPara>
    </w:p>
    <w:p w14:paraId="4C712FD7" w14:textId="7FE26DB4"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TPR is the true positive rate, and FPR is the false positive rate. Detection latency, critical for real-time applications, is computed as:</w:t>
      </w:r>
    </w:p>
    <w:p w14:paraId="2D453C2C" w14:textId="5D607144" w:rsidR="00623D61" w:rsidRPr="00986EFF" w:rsidRDefault="004A2888"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alert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event</m:t>
              </m:r>
            </m:sub>
          </m:sSub>
          <m: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 xml:space="preserve">     ……equation 14</m:t>
          </m:r>
        </m:oMath>
      </m:oMathPara>
    </w:p>
    <w:p w14:paraId="5422417E" w14:textId="4EF67658" w:rsidR="00623D61" w:rsidRPr="00986EFF" w:rsidRDefault="00901377" w:rsidP="00986EF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w:t>
      </w:r>
      <w:r w:rsidR="00623D61" w:rsidRPr="00986EFF">
        <w:rPr>
          <w:rFonts w:ascii="Times New Roman" w:hAnsi="Times New Roman" w:cs="Times New Roman"/>
          <w:color w:val="000000" w:themeColor="text1"/>
          <w:sz w:val="24"/>
          <w:szCs w:val="24"/>
        </w:rPr>
        <w:t xml:space="preserve"> a target of ≤150 </w:t>
      </w:r>
      <w:proofErr w:type="spellStart"/>
      <w:r w:rsidR="00623D61" w:rsidRPr="00986EFF">
        <w:rPr>
          <w:rFonts w:ascii="Times New Roman" w:hAnsi="Times New Roman" w:cs="Times New Roman"/>
          <w:color w:val="000000" w:themeColor="text1"/>
          <w:sz w:val="24"/>
          <w:szCs w:val="24"/>
        </w:rPr>
        <w:t>ms.</w:t>
      </w:r>
      <w:proofErr w:type="spellEnd"/>
      <w:r w:rsidR="00623D61" w:rsidRPr="00986EFF">
        <w:rPr>
          <w:rFonts w:ascii="Times New Roman" w:hAnsi="Times New Roman" w:cs="Times New Roman"/>
          <w:color w:val="000000" w:themeColor="text1"/>
          <w:sz w:val="24"/>
          <w:szCs w:val="24"/>
        </w:rPr>
        <w:t xml:space="preserve"> Energy efficiency, measured as operations per kWh, targets &gt;1.2M/kWh, reflecting the resource constraints of energy facilities (MDPI, 2024). Biomechanical authentication metrics include false acceptance rate (FAR) and false rejection rate (FRR), both targeting ≤1%, ensuring secure access control (</w:t>
      </w:r>
      <w:proofErr w:type="spellStart"/>
      <w:r w:rsidR="00623D61" w:rsidRPr="00986EFF">
        <w:rPr>
          <w:rFonts w:ascii="Times New Roman" w:hAnsi="Times New Roman" w:cs="Times New Roman"/>
          <w:color w:val="000000" w:themeColor="text1"/>
          <w:sz w:val="24"/>
          <w:szCs w:val="24"/>
        </w:rPr>
        <w:t>Stepscan</w:t>
      </w:r>
      <w:proofErr w:type="spellEnd"/>
      <w:r w:rsidR="00623D61" w:rsidRPr="00986EFF">
        <w:rPr>
          <w:rFonts w:ascii="Times New Roman" w:hAnsi="Times New Roman" w:cs="Times New Roman"/>
          <w:color w:val="000000" w:themeColor="text1"/>
          <w:sz w:val="24"/>
          <w:szCs w:val="24"/>
        </w:rPr>
        <w:t>, 2024).</w:t>
      </w:r>
    </w:p>
    <w:p w14:paraId="413772F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Table 2</w:t>
      </w:r>
    </w:p>
    <w:p w14:paraId="07432330"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Primary Detection Metrics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DF08CB" w:rsidRPr="00986EFF" w14:paraId="06FE496C" w14:textId="77777777" w:rsidTr="00DB74E7">
        <w:tc>
          <w:tcPr>
            <w:tcW w:w="3116" w:type="dxa"/>
            <w:tcBorders>
              <w:top w:val="single" w:sz="4" w:space="0" w:color="auto"/>
              <w:bottom w:val="single" w:sz="4" w:space="0" w:color="auto"/>
            </w:tcBorders>
          </w:tcPr>
          <w:p w14:paraId="35A9A2A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Metric</w:t>
            </w:r>
          </w:p>
        </w:tc>
        <w:tc>
          <w:tcPr>
            <w:tcW w:w="3117" w:type="dxa"/>
            <w:tcBorders>
              <w:top w:val="single" w:sz="4" w:space="0" w:color="auto"/>
              <w:bottom w:val="single" w:sz="4" w:space="0" w:color="auto"/>
            </w:tcBorders>
          </w:tcPr>
          <w:p w14:paraId="47D1E60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Formula</w:t>
            </w:r>
          </w:p>
        </w:tc>
        <w:tc>
          <w:tcPr>
            <w:tcW w:w="3117" w:type="dxa"/>
            <w:tcBorders>
              <w:top w:val="single" w:sz="4" w:space="0" w:color="auto"/>
              <w:bottom w:val="single" w:sz="4" w:space="0" w:color="auto"/>
            </w:tcBorders>
          </w:tcPr>
          <w:p w14:paraId="5A72F3C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Threshold</w:t>
            </w:r>
          </w:p>
        </w:tc>
      </w:tr>
      <w:tr w:rsidR="00DF08CB" w:rsidRPr="00986EFF" w14:paraId="6448EC56" w14:textId="77777777" w:rsidTr="00DB74E7">
        <w:tc>
          <w:tcPr>
            <w:tcW w:w="3116" w:type="dxa"/>
            <w:tcBorders>
              <w:top w:val="single" w:sz="4" w:space="0" w:color="auto"/>
            </w:tcBorders>
          </w:tcPr>
          <w:p w14:paraId="645375F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Precision</w:t>
            </w:r>
          </w:p>
        </w:tc>
        <w:tc>
          <w:tcPr>
            <w:tcW w:w="3117" w:type="dxa"/>
            <w:tcBorders>
              <w:top w:val="single" w:sz="4" w:space="0" w:color="auto"/>
            </w:tcBorders>
          </w:tcPr>
          <w:p w14:paraId="70E0AA37" w14:textId="77777777" w:rsidR="00623D61" w:rsidRPr="00986EFF" w:rsidRDefault="004A2888"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TP</m:t>
                    </m:r>
                  </m:num>
                  <m:den>
                    <m:r>
                      <w:rPr>
                        <w:rFonts w:ascii="Cambria Math" w:hAnsi="Cambria Math" w:cs="Times New Roman"/>
                        <w:color w:val="000000" w:themeColor="text1"/>
                        <w:sz w:val="24"/>
                        <w:szCs w:val="24"/>
                      </w:rPr>
                      <m:t>TP+FP</m:t>
                    </m:r>
                  </m:den>
                </m:f>
              </m:oMath>
            </m:oMathPara>
          </w:p>
          <w:p w14:paraId="75EEEFFF" w14:textId="77777777" w:rsidR="00623D61" w:rsidRPr="00986EFF" w:rsidRDefault="00623D61" w:rsidP="00986EFF">
            <w:pPr>
              <w:pStyle w:val="ListParagraph"/>
              <w:spacing w:line="360" w:lineRule="auto"/>
              <w:ind w:left="10"/>
              <w:jc w:val="both"/>
              <w:rPr>
                <w:rFonts w:ascii="Times New Roman" w:eastAsiaTheme="minorEastAsia" w:hAnsi="Times New Roman" w:cs="Times New Roman"/>
                <w:color w:val="000000" w:themeColor="text1"/>
                <w:sz w:val="24"/>
                <w:szCs w:val="24"/>
              </w:rPr>
            </w:pPr>
          </w:p>
        </w:tc>
        <w:tc>
          <w:tcPr>
            <w:tcW w:w="3117" w:type="dxa"/>
            <w:tcBorders>
              <w:top w:val="single" w:sz="4" w:space="0" w:color="auto"/>
            </w:tcBorders>
          </w:tcPr>
          <w:p w14:paraId="6A79F8C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≥0.95</w:t>
            </w:r>
          </w:p>
        </w:tc>
      </w:tr>
      <w:tr w:rsidR="00DF08CB" w:rsidRPr="00986EFF" w14:paraId="545ACDEE" w14:textId="77777777" w:rsidTr="00DB74E7">
        <w:tc>
          <w:tcPr>
            <w:tcW w:w="3116" w:type="dxa"/>
          </w:tcPr>
          <w:p w14:paraId="5C9F927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Recall</w:t>
            </w:r>
          </w:p>
        </w:tc>
        <w:tc>
          <w:tcPr>
            <w:tcW w:w="3117" w:type="dxa"/>
          </w:tcPr>
          <w:p w14:paraId="70C36075" w14:textId="77777777" w:rsidR="00623D61" w:rsidRPr="00986EFF" w:rsidRDefault="004A2888"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TP</m:t>
                    </m:r>
                  </m:num>
                  <m:den>
                    <m:r>
                      <w:rPr>
                        <w:rFonts w:ascii="Cambria Math" w:hAnsi="Cambria Math" w:cs="Times New Roman"/>
                        <w:color w:val="000000" w:themeColor="text1"/>
                        <w:sz w:val="24"/>
                        <w:szCs w:val="24"/>
                      </w:rPr>
                      <m:t>TP+FN</m:t>
                    </m:r>
                  </m:den>
                </m:f>
              </m:oMath>
            </m:oMathPara>
          </w:p>
          <w:p w14:paraId="1258584D" w14:textId="77777777" w:rsidR="00623D61" w:rsidRPr="00986EFF" w:rsidRDefault="00623D61" w:rsidP="00986EFF">
            <w:pPr>
              <w:pStyle w:val="ListParagraph"/>
              <w:spacing w:line="360" w:lineRule="auto"/>
              <w:ind w:left="10"/>
              <w:jc w:val="both"/>
              <w:rPr>
                <w:rFonts w:ascii="Times New Roman" w:eastAsiaTheme="minorEastAsia" w:hAnsi="Times New Roman" w:cs="Times New Roman"/>
                <w:color w:val="000000" w:themeColor="text1"/>
                <w:sz w:val="24"/>
                <w:szCs w:val="24"/>
              </w:rPr>
            </w:pPr>
          </w:p>
        </w:tc>
        <w:tc>
          <w:tcPr>
            <w:tcW w:w="3117" w:type="dxa"/>
          </w:tcPr>
          <w:p w14:paraId="624035B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≥0.89</w:t>
            </w:r>
          </w:p>
        </w:tc>
      </w:tr>
      <w:tr w:rsidR="00DF08CB" w:rsidRPr="00986EFF" w14:paraId="4497B13E" w14:textId="77777777" w:rsidTr="00DB74E7">
        <w:tc>
          <w:tcPr>
            <w:tcW w:w="3116" w:type="dxa"/>
          </w:tcPr>
          <w:p w14:paraId="3A9B12B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F1-Score</w:t>
            </w:r>
          </w:p>
        </w:tc>
        <w:tc>
          <w:tcPr>
            <w:tcW w:w="3117" w:type="dxa"/>
          </w:tcPr>
          <w:p w14:paraId="6A2A5FA8" w14:textId="77777777" w:rsidR="00623D61" w:rsidRPr="00986EFF" w:rsidRDefault="00623D61"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 .  R</m:t>
                    </m:r>
                  </m:num>
                  <m:den>
                    <m:r>
                      <w:rPr>
                        <w:rFonts w:ascii="Cambria Math" w:hAnsi="Cambria Math" w:cs="Times New Roman"/>
                        <w:color w:val="000000" w:themeColor="text1"/>
                        <w:sz w:val="24"/>
                        <w:szCs w:val="24"/>
                      </w:rPr>
                      <m:t>P+R</m:t>
                    </m:r>
                  </m:den>
                </m:f>
              </m:oMath>
            </m:oMathPara>
          </w:p>
          <w:p w14:paraId="76A4940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c>
          <w:tcPr>
            <w:tcW w:w="3117" w:type="dxa"/>
          </w:tcPr>
          <w:p w14:paraId="22D0F01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≥0.92</w:t>
            </w:r>
          </w:p>
        </w:tc>
      </w:tr>
      <w:tr w:rsidR="00DF08CB" w:rsidRPr="00986EFF" w14:paraId="7E6A7899" w14:textId="77777777" w:rsidTr="00DB74E7">
        <w:tc>
          <w:tcPr>
            <w:tcW w:w="3116" w:type="dxa"/>
          </w:tcPr>
          <w:p w14:paraId="0A77804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AUC-ROC</w:t>
            </w:r>
          </w:p>
        </w:tc>
        <w:tc>
          <w:tcPr>
            <w:tcW w:w="3117" w:type="dxa"/>
          </w:tcPr>
          <w:p w14:paraId="2580D4B9" w14:textId="77777777" w:rsidR="00623D61" w:rsidRPr="00986EFF" w:rsidRDefault="004A2888"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nary>
                  <m:naryPr>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1</m:t>
                    </m:r>
                  </m:sup>
                  <m:e>
                    <m:r>
                      <w:rPr>
                        <w:rFonts w:ascii="Cambria Math" w:hAnsi="Cambria Math" w:cs="Times New Roman"/>
                        <w:color w:val="000000" w:themeColor="text1"/>
                        <w:sz w:val="24"/>
                        <w:szCs w:val="24"/>
                      </w:rPr>
                      <m:t>TPR</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FPR</m:t>
                            </m:r>
                          </m:e>
                          <m:sup>
                            <m:r>
                              <w:rPr>
                                <w:rFonts w:ascii="Cambria Math" w:hAnsi="Cambria Math" w:cs="Times New Roman"/>
                                <w:color w:val="000000" w:themeColor="text1"/>
                                <w:sz w:val="24"/>
                                <w:szCs w:val="24"/>
                              </w:rPr>
                              <m:t>-1</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e>
                    </m:d>
                    <m:r>
                      <w:rPr>
                        <w:rFonts w:ascii="Cambria Math" w:hAnsi="Cambria Math" w:cs="Times New Roman"/>
                        <w:color w:val="000000" w:themeColor="text1"/>
                        <w:sz w:val="24"/>
                        <w:szCs w:val="24"/>
                      </w:rPr>
                      <m:t>dx</m:t>
                    </m:r>
                  </m:e>
                </m:nary>
              </m:oMath>
            </m:oMathPara>
          </w:p>
          <w:p w14:paraId="5A6D882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c>
          <w:tcPr>
            <w:tcW w:w="3117" w:type="dxa"/>
          </w:tcPr>
          <w:p w14:paraId="370C72C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≥0.98</w:t>
            </w:r>
          </w:p>
          <w:p w14:paraId="739BB10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36E4367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6C0B092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r>
      <w:tr w:rsidR="00DF08CB" w:rsidRPr="00986EFF" w14:paraId="49E35A3E" w14:textId="77777777" w:rsidTr="00DB74E7">
        <w:tc>
          <w:tcPr>
            <w:tcW w:w="3116" w:type="dxa"/>
          </w:tcPr>
          <w:p w14:paraId="55A1939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Latency</w:t>
            </w:r>
          </w:p>
        </w:tc>
        <w:tc>
          <w:tcPr>
            <w:tcW w:w="3117" w:type="dxa"/>
          </w:tcPr>
          <w:p w14:paraId="32A729F9" w14:textId="77777777" w:rsidR="00623D61" w:rsidRPr="00986EFF" w:rsidRDefault="004A2888" w:rsidP="00986EFF">
            <w:pPr>
              <w:spacing w:line="360" w:lineRule="auto"/>
              <w:jc w:val="both"/>
              <w:rPr>
                <w:rFonts w:ascii="Times New Roman" w:hAnsi="Times New Roman" w:cs="Times New Roman"/>
                <w:color w:val="000000" w:themeColor="text1"/>
                <w:sz w:val="24"/>
                <w:szCs w:val="24"/>
              </w:rPr>
            </w:pPr>
            <m:oMathPara>
              <m:oMathParaPr>
                <m:jc m:val="left"/>
              </m:oMathPara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d</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alert</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event</m:t>
                    </m:r>
                  </m:sub>
                </m:sSub>
                <m:r>
                  <w:rPr>
                    <w:rFonts w:ascii="Cambria Math" w:eastAsiaTheme="minorEastAsia" w:hAnsi="Cambria Math" w:cs="Times New Roman"/>
                    <w:color w:val="000000" w:themeColor="text1"/>
                    <w:sz w:val="24"/>
                    <w:szCs w:val="24"/>
                  </w:rPr>
                  <m:t>,</m:t>
                </m:r>
              </m:oMath>
            </m:oMathPara>
          </w:p>
          <w:p w14:paraId="5201F871" w14:textId="77777777" w:rsidR="00623D61" w:rsidRPr="00986EFF" w:rsidRDefault="00623D61" w:rsidP="00986EFF">
            <w:pPr>
              <w:pStyle w:val="ListParagraph"/>
              <w:spacing w:line="360" w:lineRule="auto"/>
              <w:ind w:left="10"/>
              <w:jc w:val="both"/>
              <w:rPr>
                <w:rFonts w:ascii="Times New Roman" w:eastAsia="Calibri" w:hAnsi="Times New Roman" w:cs="Times New Roman"/>
                <w:color w:val="000000" w:themeColor="text1"/>
                <w:sz w:val="24"/>
                <w:szCs w:val="24"/>
              </w:rPr>
            </w:pPr>
          </w:p>
        </w:tc>
        <w:tc>
          <w:tcPr>
            <w:tcW w:w="3117" w:type="dxa"/>
          </w:tcPr>
          <w:p w14:paraId="30A4EFB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≤150ms</w:t>
            </w:r>
          </w:p>
          <w:p w14:paraId="428D82E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tc>
      </w:tr>
      <w:tr w:rsidR="00DF08CB" w:rsidRPr="00986EFF" w14:paraId="3CFCBAE2" w14:textId="77777777" w:rsidTr="00DB74E7">
        <w:tc>
          <w:tcPr>
            <w:tcW w:w="3116" w:type="dxa"/>
          </w:tcPr>
          <w:p w14:paraId="3209C83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Energy Eff.</w:t>
            </w:r>
          </w:p>
        </w:tc>
        <w:tc>
          <w:tcPr>
            <w:tcW w:w="3117" w:type="dxa"/>
          </w:tcPr>
          <w:p w14:paraId="3C5237E6" w14:textId="77777777" w:rsidR="00623D61" w:rsidRPr="00986EFF" w:rsidRDefault="00623D61" w:rsidP="00986EFF">
            <w:pPr>
              <w:spacing w:line="360" w:lineRule="auto"/>
              <w:jc w:val="both"/>
              <w:rPr>
                <w:rFonts w:ascii="Times New Roman" w:eastAsia="Calibri" w:hAnsi="Times New Roman" w:cs="Times New Roman"/>
                <w:color w:val="000000" w:themeColor="text1"/>
                <w:sz w:val="24"/>
                <w:szCs w:val="24"/>
              </w:rPr>
            </w:pPr>
            <w:r w:rsidRPr="00986EFF">
              <w:rPr>
                <w:rFonts w:ascii="Times New Roman" w:eastAsia="Calibri" w:hAnsi="Times New Roman" w:cs="Times New Roman"/>
                <w:color w:val="000000" w:themeColor="text1"/>
                <w:sz w:val="24"/>
                <w:szCs w:val="24"/>
              </w:rPr>
              <w:t>Operations/kWh</w:t>
            </w:r>
          </w:p>
          <w:p w14:paraId="3937578F" w14:textId="77777777" w:rsidR="00623D61" w:rsidRPr="00986EFF" w:rsidRDefault="00623D61" w:rsidP="00986EFF">
            <w:pPr>
              <w:spacing w:line="360" w:lineRule="auto"/>
              <w:jc w:val="both"/>
              <w:rPr>
                <w:rFonts w:ascii="Times New Roman" w:eastAsia="Calibri" w:hAnsi="Times New Roman" w:cs="Times New Roman"/>
                <w:color w:val="000000" w:themeColor="text1"/>
                <w:sz w:val="24"/>
                <w:szCs w:val="24"/>
              </w:rPr>
            </w:pPr>
          </w:p>
        </w:tc>
        <w:tc>
          <w:tcPr>
            <w:tcW w:w="3117" w:type="dxa"/>
          </w:tcPr>
          <w:p w14:paraId="1B26DD1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&gt;1.2M/kWh</w:t>
            </w:r>
          </w:p>
        </w:tc>
      </w:tr>
      <w:tr w:rsidR="00DF08CB" w:rsidRPr="00986EFF" w14:paraId="2BAC423C" w14:textId="77777777" w:rsidTr="00DB74E7">
        <w:tc>
          <w:tcPr>
            <w:tcW w:w="3116" w:type="dxa"/>
          </w:tcPr>
          <w:p w14:paraId="469A4FC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FAR</w:t>
            </w:r>
          </w:p>
        </w:tc>
        <w:tc>
          <w:tcPr>
            <w:tcW w:w="3117" w:type="dxa"/>
          </w:tcPr>
          <w:p w14:paraId="28F3AA23" w14:textId="77777777" w:rsidR="00623D61" w:rsidRPr="00986EFF" w:rsidRDefault="004A2888"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FP</m:t>
                    </m:r>
                  </m:num>
                  <m:den>
                    <m:r>
                      <w:rPr>
                        <w:rFonts w:ascii="Cambria Math" w:hAnsi="Cambria Math" w:cs="Times New Roman"/>
                        <w:color w:val="000000" w:themeColor="text1"/>
                        <w:sz w:val="24"/>
                        <w:szCs w:val="24"/>
                      </w:rPr>
                      <m:t>FP+TN</m:t>
                    </m:r>
                  </m:den>
                </m:f>
              </m:oMath>
            </m:oMathPara>
          </w:p>
          <w:p w14:paraId="26D2CB92" w14:textId="77777777" w:rsidR="00623D61" w:rsidRPr="00986EFF" w:rsidRDefault="00623D61" w:rsidP="00986EFF">
            <w:pPr>
              <w:spacing w:line="360" w:lineRule="auto"/>
              <w:jc w:val="both"/>
              <w:rPr>
                <w:rFonts w:ascii="Times New Roman" w:eastAsia="Calibri" w:hAnsi="Times New Roman" w:cs="Times New Roman"/>
                <w:color w:val="000000" w:themeColor="text1"/>
                <w:sz w:val="24"/>
                <w:szCs w:val="24"/>
              </w:rPr>
            </w:pPr>
          </w:p>
        </w:tc>
        <w:tc>
          <w:tcPr>
            <w:tcW w:w="3117" w:type="dxa"/>
          </w:tcPr>
          <w:p w14:paraId="7FD8651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w:t>
            </w:r>
          </w:p>
        </w:tc>
      </w:tr>
      <w:tr w:rsidR="00DF08CB" w:rsidRPr="00986EFF" w14:paraId="020FABCF" w14:textId="77777777" w:rsidTr="00DB74E7">
        <w:tc>
          <w:tcPr>
            <w:tcW w:w="3116" w:type="dxa"/>
          </w:tcPr>
          <w:p w14:paraId="0A75C7E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FRR</w:t>
            </w:r>
          </w:p>
        </w:tc>
        <w:tc>
          <w:tcPr>
            <w:tcW w:w="3117" w:type="dxa"/>
          </w:tcPr>
          <w:p w14:paraId="63827CB2" w14:textId="77777777" w:rsidR="00623D61" w:rsidRPr="00986EFF" w:rsidRDefault="004A2888" w:rsidP="00986EFF">
            <w:pPr>
              <w:pStyle w:val="ListParagraph"/>
              <w:spacing w:line="360" w:lineRule="auto"/>
              <w:ind w:left="10"/>
              <w:jc w:val="both"/>
              <w:rPr>
                <w:rFonts w:ascii="Times New Roman" w:eastAsiaTheme="minorEastAsia" w:hAnsi="Times New Roman" w:cs="Times New Roman"/>
                <w:color w:val="000000" w:themeColor="text1"/>
                <w:sz w:val="24"/>
                <w:szCs w:val="24"/>
              </w:rPr>
            </w:pPr>
            <m:oMathPara>
              <m:oMathParaPr>
                <m:jc m:val="left"/>
              </m:oMathPara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FN</m:t>
                    </m:r>
                  </m:num>
                  <m:den>
                    <m:r>
                      <w:rPr>
                        <w:rFonts w:ascii="Cambria Math" w:hAnsi="Cambria Math" w:cs="Times New Roman"/>
                        <w:color w:val="000000" w:themeColor="text1"/>
                        <w:sz w:val="24"/>
                        <w:szCs w:val="24"/>
                      </w:rPr>
                      <m:t>FN+TP</m:t>
                    </m:r>
                  </m:den>
                </m:f>
              </m:oMath>
            </m:oMathPara>
          </w:p>
          <w:p w14:paraId="1FF6B712" w14:textId="77777777" w:rsidR="00623D61" w:rsidRPr="00986EFF" w:rsidRDefault="00623D61" w:rsidP="00986EFF">
            <w:pPr>
              <w:pStyle w:val="ListParagraph"/>
              <w:spacing w:line="360" w:lineRule="auto"/>
              <w:ind w:left="10"/>
              <w:jc w:val="both"/>
              <w:rPr>
                <w:rFonts w:ascii="Times New Roman" w:eastAsia="Calibri" w:hAnsi="Times New Roman" w:cs="Times New Roman"/>
                <w:color w:val="000000" w:themeColor="text1"/>
                <w:sz w:val="24"/>
                <w:szCs w:val="24"/>
              </w:rPr>
            </w:pPr>
          </w:p>
        </w:tc>
        <w:tc>
          <w:tcPr>
            <w:tcW w:w="3117" w:type="dxa"/>
          </w:tcPr>
          <w:p w14:paraId="56D9F16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w:t>
            </w:r>
          </w:p>
        </w:tc>
      </w:tr>
    </w:tbl>
    <w:p w14:paraId="2E3EC31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38CE5D16"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Validation Procedures</w:t>
      </w:r>
    </w:p>
    <w:p w14:paraId="5FD5F3C6" w14:textId="52DC3C3D"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Validation employs a nested 10×5-fold cross-validation approach to ensure robustness across facility-wise and temporal data splits, as </w:t>
      </w:r>
      <w:r w:rsidR="00901377">
        <w:rPr>
          <w:rFonts w:ascii="Times New Roman" w:hAnsi="Times New Roman" w:cs="Times New Roman"/>
          <w:color w:val="000000" w:themeColor="text1"/>
          <w:sz w:val="24"/>
          <w:szCs w:val="24"/>
        </w:rPr>
        <w:t>Ribeiro et al. (2016) recommended</w:t>
      </w:r>
      <w:r w:rsidRPr="00986EFF">
        <w:rPr>
          <w:rFonts w:ascii="Times New Roman" w:hAnsi="Times New Roman" w:cs="Times New Roman"/>
          <w:color w:val="000000" w:themeColor="text1"/>
          <w:sz w:val="24"/>
          <w:szCs w:val="24"/>
        </w:rPr>
        <w:t xml:space="preserve">. The outer loop splits data by facility, while the inner loop uses temporal stratified sampling to preserve event sequences, addressing non-IID challenges (Zhao et al., 2018). Statistical significance is assessed using </w:t>
      </w:r>
      <w:proofErr w:type="spellStart"/>
      <w:r w:rsidRPr="00986EFF">
        <w:rPr>
          <w:rFonts w:ascii="Times New Roman" w:hAnsi="Times New Roman" w:cs="Times New Roman"/>
          <w:color w:val="000000" w:themeColor="text1"/>
          <w:sz w:val="24"/>
          <w:szCs w:val="24"/>
        </w:rPr>
        <w:t>McNemar’s</w:t>
      </w:r>
      <w:proofErr w:type="spellEnd"/>
      <w:r w:rsidRPr="00986EFF">
        <w:rPr>
          <w:rFonts w:ascii="Times New Roman" w:hAnsi="Times New Roman" w:cs="Times New Roman"/>
          <w:color w:val="000000" w:themeColor="text1"/>
          <w:sz w:val="24"/>
          <w:szCs w:val="24"/>
        </w:rPr>
        <w:t xml:space="preserve"> test:</w:t>
      </w:r>
    </w:p>
    <w:p w14:paraId="2DF5EA84" w14:textId="1DDBA541" w:rsidR="00623D61" w:rsidRPr="00986EFF" w:rsidRDefault="004A2888" w:rsidP="00986EFF">
      <w:pPr>
        <w:spacing w:line="360" w:lineRule="auto"/>
        <w:jc w:val="both"/>
        <w:rPr>
          <w:rFonts w:ascii="Times New Roman" w:hAnsi="Times New Roman"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b-c</m:t>
                      </m:r>
                    </m:e>
                  </m:d>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b+c</m:t>
              </m:r>
            </m:den>
          </m:f>
          <m: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 xml:space="preserve">     ……equation 15</m:t>
          </m:r>
        </m:oMath>
      </m:oMathPara>
    </w:p>
    <w:p w14:paraId="4E329FE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where (b) and (c) are discordant predictions between models, comparing federated versus centralized approaches. The Friedman ranking test evaluates model variants:</w:t>
      </w:r>
    </w:p>
    <w:p w14:paraId="072CFB26" w14:textId="3DBECC28" w:rsidR="00623D61" w:rsidRPr="00986EFF" w:rsidRDefault="004A2888" w:rsidP="00986EFF">
      <w:pPr>
        <w:spacing w:line="36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τ</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12</m:t>
              </m:r>
            </m:num>
            <m:den>
              <m:r>
                <w:rPr>
                  <w:rFonts w:ascii="Cambria Math" w:hAnsi="Cambria Math" w:cs="Times New Roman"/>
                  <w:color w:val="000000" w:themeColor="text1"/>
                  <w:sz w:val="24"/>
                  <w:szCs w:val="24"/>
                </w:rPr>
                <m:t>nk(k+1)</m:t>
              </m:r>
            </m:den>
          </m:f>
          <m:nary>
            <m:naryPr>
              <m:chr m:val="∑"/>
              <m:limLoc m:val="undOvr"/>
              <m:subHide m:val="1"/>
              <m:supHide m:val="1"/>
              <m:ctrlPr>
                <w:rPr>
                  <w:rFonts w:ascii="Cambria Math" w:hAnsi="Cambria Math" w:cs="Times New Roman"/>
                  <w:i/>
                  <w:color w:val="000000" w:themeColor="text1"/>
                  <w:sz w:val="24"/>
                  <w:szCs w:val="24"/>
                </w:rPr>
              </m:ctrlPr>
            </m:naryPr>
            <m:sub/>
            <m:sup/>
            <m:e>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j</m:t>
                  </m:r>
                </m:sub>
                <m:sup>
                  <m:r>
                    <w:rPr>
                      <w:rFonts w:ascii="Cambria Math" w:hAnsi="Cambria Math" w:cs="Times New Roman"/>
                      <w:color w:val="000000" w:themeColor="text1"/>
                      <w:sz w:val="24"/>
                      <w:szCs w:val="24"/>
                    </w:rPr>
                    <m:t>2</m:t>
                  </m:r>
                </m:sup>
              </m:sSubSup>
            </m:e>
          </m:nary>
          <m:r>
            <w:rPr>
              <w:rFonts w:ascii="Cambria Math" w:eastAsiaTheme="minorEastAsia" w:hAnsi="Cambria Math" w:cs="Times New Roman"/>
              <w:color w:val="000000" w:themeColor="text1"/>
              <w:sz w:val="24"/>
              <w:szCs w:val="24"/>
            </w:rPr>
            <m:t>-3n</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k+1</m:t>
              </m:r>
            </m:e>
          </m:d>
          <m: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 xml:space="preserve">     ……equation 16</m:t>
          </m:r>
        </m:oMath>
      </m:oMathPara>
    </w:p>
    <w:p w14:paraId="63AB83F2" w14:textId="286FD908"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j</m:t>
            </m:r>
          </m:sub>
        </m:sSub>
      </m:oMath>
      <w:r w:rsidRPr="00986EFF">
        <w:rPr>
          <w:rFonts w:ascii="Times New Roman" w:hAnsi="Times New Roman" w:cs="Times New Roman"/>
          <w:color w:val="000000" w:themeColor="text1"/>
          <w:sz w:val="24"/>
          <w:szCs w:val="24"/>
        </w:rPr>
        <w:t xml:space="preserve"> is the rank of model (j), (n) is the number of datasets, and (k) is the number of models, ensuring robust comparisons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xml:space="preserve">. An ablation study, detailed in Table 3, assesses the contribution of each component, testing physical-only, cyber-only, early fusion, late fusion, attention fusion, and the </w:t>
      </w:r>
      <w:r w:rsidR="00901377">
        <w:rPr>
          <w:rFonts w:ascii="Times New Roman" w:hAnsi="Times New Roman" w:cs="Times New Roman"/>
          <w:color w:val="000000" w:themeColor="text1"/>
          <w:sz w:val="24"/>
          <w:szCs w:val="24"/>
        </w:rPr>
        <w:t>whole</w:t>
      </w:r>
      <w:r w:rsidRPr="00986EFF">
        <w:rPr>
          <w:rFonts w:ascii="Times New Roman" w:hAnsi="Times New Roman" w:cs="Times New Roman"/>
          <w:color w:val="000000" w:themeColor="text1"/>
          <w:sz w:val="24"/>
          <w:szCs w:val="24"/>
        </w:rPr>
        <w:t xml:space="preserve"> model to validate architectural choices.</w:t>
      </w:r>
    </w:p>
    <w:p w14:paraId="45F1BC05"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Table 3</w:t>
      </w:r>
    </w:p>
    <w:p w14:paraId="65C6F53D"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Ablation Study Parameters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F08CB" w:rsidRPr="00986EFF" w14:paraId="0DF4220F" w14:textId="77777777" w:rsidTr="00DB74E7">
        <w:tc>
          <w:tcPr>
            <w:tcW w:w="4675" w:type="dxa"/>
            <w:tcBorders>
              <w:top w:val="single" w:sz="4" w:space="0" w:color="auto"/>
              <w:bottom w:val="single" w:sz="4" w:space="0" w:color="auto"/>
            </w:tcBorders>
          </w:tcPr>
          <w:p w14:paraId="1CBB14C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Condition</w:t>
            </w:r>
          </w:p>
        </w:tc>
        <w:tc>
          <w:tcPr>
            <w:tcW w:w="4675" w:type="dxa"/>
            <w:tcBorders>
              <w:top w:val="single" w:sz="4" w:space="0" w:color="auto"/>
              <w:bottom w:val="single" w:sz="4" w:space="0" w:color="auto"/>
            </w:tcBorders>
          </w:tcPr>
          <w:p w14:paraId="5019EF0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Description</w:t>
            </w:r>
          </w:p>
        </w:tc>
      </w:tr>
      <w:tr w:rsidR="00DF08CB" w:rsidRPr="00986EFF" w14:paraId="67FC15C7" w14:textId="77777777" w:rsidTr="00DB74E7">
        <w:tc>
          <w:tcPr>
            <w:tcW w:w="4675" w:type="dxa"/>
            <w:tcBorders>
              <w:top w:val="single" w:sz="4" w:space="0" w:color="auto"/>
            </w:tcBorders>
          </w:tcPr>
          <w:p w14:paraId="69CB619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Baseline</w:t>
            </w:r>
          </w:p>
        </w:tc>
        <w:tc>
          <w:tcPr>
            <w:tcW w:w="4675" w:type="dxa"/>
            <w:tcBorders>
              <w:top w:val="single" w:sz="4" w:space="0" w:color="auto"/>
            </w:tcBorders>
          </w:tcPr>
          <w:p w14:paraId="3A6C4E1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Physical data only</w:t>
            </w:r>
          </w:p>
        </w:tc>
      </w:tr>
      <w:tr w:rsidR="00DF08CB" w:rsidRPr="00986EFF" w14:paraId="1F665A98" w14:textId="77777777" w:rsidTr="00DB74E7">
        <w:tc>
          <w:tcPr>
            <w:tcW w:w="4675" w:type="dxa"/>
          </w:tcPr>
          <w:p w14:paraId="4CDC5C3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Cyber Only</w:t>
            </w:r>
          </w:p>
        </w:tc>
        <w:tc>
          <w:tcPr>
            <w:tcW w:w="4675" w:type="dxa"/>
          </w:tcPr>
          <w:p w14:paraId="3CC9A90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Cyber data only</w:t>
            </w:r>
          </w:p>
        </w:tc>
      </w:tr>
      <w:tr w:rsidR="00DF08CB" w:rsidRPr="00986EFF" w14:paraId="355ADDAD" w14:textId="77777777" w:rsidTr="00DB74E7">
        <w:tc>
          <w:tcPr>
            <w:tcW w:w="4675" w:type="dxa"/>
          </w:tcPr>
          <w:p w14:paraId="34AE460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Late Fusion</w:t>
            </w:r>
          </w:p>
        </w:tc>
        <w:tc>
          <w:tcPr>
            <w:tcW w:w="4675" w:type="dxa"/>
          </w:tcPr>
          <w:p w14:paraId="1CC10EA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Separate models, combined later</w:t>
            </w:r>
          </w:p>
        </w:tc>
      </w:tr>
      <w:tr w:rsidR="00DF08CB" w:rsidRPr="00986EFF" w14:paraId="356E643F" w14:textId="77777777" w:rsidTr="00DB74E7">
        <w:tc>
          <w:tcPr>
            <w:tcW w:w="4675" w:type="dxa"/>
          </w:tcPr>
          <w:p w14:paraId="79F70F9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Early Fusion</w:t>
            </w:r>
          </w:p>
        </w:tc>
        <w:tc>
          <w:tcPr>
            <w:tcW w:w="4675" w:type="dxa"/>
          </w:tcPr>
          <w:p w14:paraId="161EC4BE" w14:textId="0CE96129"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Combined at </w:t>
            </w:r>
            <w:r w:rsidR="00901377">
              <w:rPr>
                <w:rFonts w:ascii="Times New Roman" w:hAnsi="Times New Roman" w:cs="Times New Roman"/>
                <w:color w:val="000000" w:themeColor="text1"/>
                <w:sz w:val="24"/>
                <w:szCs w:val="24"/>
              </w:rPr>
              <w:t xml:space="preserve">the </w:t>
            </w:r>
            <w:r w:rsidRPr="00986EFF">
              <w:rPr>
                <w:rFonts w:ascii="Times New Roman" w:hAnsi="Times New Roman" w:cs="Times New Roman"/>
                <w:color w:val="000000" w:themeColor="text1"/>
                <w:sz w:val="24"/>
                <w:szCs w:val="24"/>
              </w:rPr>
              <w:t>feature level</w:t>
            </w:r>
          </w:p>
        </w:tc>
      </w:tr>
      <w:tr w:rsidR="00DF08CB" w:rsidRPr="00986EFF" w14:paraId="4B20C83D" w14:textId="77777777" w:rsidTr="00DB74E7">
        <w:tc>
          <w:tcPr>
            <w:tcW w:w="4675" w:type="dxa"/>
          </w:tcPr>
          <w:p w14:paraId="670899B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Attention Fusion</w:t>
            </w:r>
          </w:p>
        </w:tc>
        <w:tc>
          <w:tcPr>
            <w:tcW w:w="4675" w:type="dxa"/>
          </w:tcPr>
          <w:p w14:paraId="4FFD7FE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Attention mechanism for fusion</w:t>
            </w:r>
          </w:p>
        </w:tc>
      </w:tr>
      <w:tr w:rsidR="00DF08CB" w:rsidRPr="00986EFF" w14:paraId="3E8FFC78" w14:textId="77777777" w:rsidTr="00DB74E7">
        <w:tc>
          <w:tcPr>
            <w:tcW w:w="4675" w:type="dxa"/>
          </w:tcPr>
          <w:p w14:paraId="43AEA7A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Full Model</w:t>
            </w:r>
          </w:p>
        </w:tc>
        <w:tc>
          <w:tcPr>
            <w:tcW w:w="4675" w:type="dxa"/>
          </w:tcPr>
          <w:p w14:paraId="1E625CD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All components integrated</w:t>
            </w:r>
          </w:p>
        </w:tc>
      </w:tr>
    </w:tbl>
    <w:p w14:paraId="34D55E1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788656D0"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Ethical Considerations</w:t>
      </w:r>
    </w:p>
    <w:p w14:paraId="54BD62F2" w14:textId="0CB2659E" w:rsidR="00623D61"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Ethical considerations are integral, given the sensitive nature of behavioral data. Differential privacy ensures </w:t>
      </w:r>
      <m:oMath>
        <m:r>
          <w:rPr>
            <w:rFonts w:ascii="Cambria Math" w:hAnsi="Cambria Math" w:cs="Times New Roman"/>
            <w:color w:val="000000" w:themeColor="text1"/>
            <w:sz w:val="24"/>
            <w:szCs w:val="24"/>
          </w:rPr>
          <m:t>(ϵ=1.2, δ=</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m:t>
        </m:r>
      </m:oMath>
      <w:r w:rsidRPr="00986EFF">
        <w:rPr>
          <w:rFonts w:ascii="Times New Roman" w:hAnsi="Times New Roman" w:cs="Times New Roman"/>
          <w:color w:val="000000" w:themeColor="text1"/>
          <w:sz w:val="24"/>
          <w:szCs w:val="24"/>
        </w:rPr>
        <w:t>-DP, protecting individual identities, as mandated by GDPR Article 35 and NERC CIP-014 (Nguyen et al., 2023). Data anonymization employs k-anonymity (k = 25) and l-diversity (l = 7), preventing re-identification, as recommended by Sweeney (2002). Institutional oversight, via IRB Approval #</w:t>
      </w:r>
      <w:r w:rsidR="00901377">
        <w:rPr>
          <w:rFonts w:ascii="Times New Roman" w:hAnsi="Times New Roman" w:cs="Times New Roman"/>
          <w:color w:val="000000" w:themeColor="text1"/>
          <w:sz w:val="24"/>
          <w:szCs w:val="24"/>
        </w:rPr>
        <w:t>2025-AM-014</w:t>
      </w:r>
      <w:r w:rsidRPr="00986EFF">
        <w:rPr>
          <w:rFonts w:ascii="Times New Roman" w:hAnsi="Times New Roman" w:cs="Times New Roman"/>
          <w:color w:val="000000" w:themeColor="text1"/>
          <w:sz w:val="24"/>
          <w:szCs w:val="24"/>
        </w:rPr>
        <w:t xml:space="preserve"> and DOE Security Clearance Level Q, ensures compliance with ethical standards. Operator consent was obtained, and data access was restricted to authorized researchers, addressing privacy concerns raised by </w:t>
      </w:r>
      <w:proofErr w:type="spellStart"/>
      <w:r w:rsidRPr="00986EFF">
        <w:rPr>
          <w:rFonts w:ascii="Times New Roman" w:hAnsi="Times New Roman" w:cs="Times New Roman"/>
          <w:color w:val="000000" w:themeColor="text1"/>
          <w:sz w:val="24"/>
          <w:szCs w:val="24"/>
        </w:rPr>
        <w:t>Kaseware</w:t>
      </w:r>
      <w:proofErr w:type="spellEnd"/>
      <w:r w:rsidRPr="00986EFF">
        <w:rPr>
          <w:rFonts w:ascii="Times New Roman" w:hAnsi="Times New Roman" w:cs="Times New Roman"/>
          <w:color w:val="000000" w:themeColor="text1"/>
          <w:sz w:val="24"/>
          <w:szCs w:val="24"/>
        </w:rPr>
        <w:t xml:space="preserve"> (2024). Figure </w:t>
      </w:r>
      <w:r w:rsidR="00FD7A52">
        <w:rPr>
          <w:rFonts w:ascii="Times New Roman" w:hAnsi="Times New Roman" w:cs="Times New Roman"/>
          <w:color w:val="000000" w:themeColor="text1"/>
          <w:sz w:val="24"/>
          <w:szCs w:val="24"/>
        </w:rPr>
        <w:t>2</w:t>
      </w:r>
      <w:r w:rsidRPr="00986EFF">
        <w:rPr>
          <w:rFonts w:ascii="Times New Roman" w:hAnsi="Times New Roman" w:cs="Times New Roman"/>
          <w:color w:val="000000" w:themeColor="text1"/>
          <w:sz w:val="24"/>
          <w:szCs w:val="24"/>
        </w:rPr>
        <w:t xml:space="preserve"> illustrates the ethical compliance workflow, from data collection to anonymization and oversight.</w:t>
      </w:r>
    </w:p>
    <w:p w14:paraId="0089C1A6" w14:textId="77777777" w:rsidR="00FD7A52" w:rsidRDefault="00FD7A52" w:rsidP="00986EFF">
      <w:pPr>
        <w:spacing w:line="360" w:lineRule="auto"/>
        <w:jc w:val="both"/>
        <w:rPr>
          <w:rFonts w:ascii="Times New Roman" w:hAnsi="Times New Roman" w:cs="Times New Roman"/>
          <w:color w:val="000000" w:themeColor="text1"/>
          <w:sz w:val="24"/>
          <w:szCs w:val="24"/>
        </w:rPr>
      </w:pPr>
    </w:p>
    <w:p w14:paraId="3FD6A7B7" w14:textId="77777777" w:rsidR="00FD7A52" w:rsidRPr="00986EFF" w:rsidRDefault="00FD7A52" w:rsidP="00986EFF">
      <w:pPr>
        <w:spacing w:line="360" w:lineRule="auto"/>
        <w:jc w:val="both"/>
        <w:rPr>
          <w:rFonts w:ascii="Times New Roman" w:hAnsi="Times New Roman" w:cs="Times New Roman"/>
          <w:color w:val="000000" w:themeColor="text1"/>
          <w:sz w:val="24"/>
          <w:szCs w:val="24"/>
        </w:rPr>
      </w:pPr>
    </w:p>
    <w:p w14:paraId="28ECE9FB" w14:textId="77777777" w:rsidR="002B1DA2"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Figure </w:t>
      </w:r>
      <w:r w:rsidR="00FD7A52">
        <w:rPr>
          <w:rFonts w:ascii="Times New Roman" w:hAnsi="Times New Roman" w:cs="Times New Roman"/>
          <w:b/>
          <w:color w:val="000000" w:themeColor="text1"/>
          <w:sz w:val="24"/>
          <w:szCs w:val="24"/>
        </w:rPr>
        <w:t>2</w:t>
      </w:r>
    </w:p>
    <w:p w14:paraId="23D9009A"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Ethical Compliance Workflow</w:t>
      </w:r>
    </w:p>
    <w:p w14:paraId="56F8D32F" w14:textId="77777777" w:rsidR="00AD6F0F" w:rsidRPr="00986EFF" w:rsidRDefault="002B1DA2"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noProof/>
          <w:color w:val="000000" w:themeColor="text1"/>
          <w:sz w:val="24"/>
          <w:szCs w:val="24"/>
        </w:rPr>
        <w:drawing>
          <wp:inline distT="0" distB="0" distL="0" distR="0" wp14:anchorId="2FD325E7" wp14:editId="5261E71C">
            <wp:extent cx="3248660" cy="3770722"/>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644" cy="3774185"/>
                    </a:xfrm>
                    <a:prstGeom prst="rect">
                      <a:avLst/>
                    </a:prstGeom>
                  </pic:spPr>
                </pic:pic>
              </a:graphicData>
            </a:graphic>
          </wp:inline>
        </w:drawing>
      </w:r>
    </w:p>
    <w:p w14:paraId="22CA979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5126CD81"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4</w:t>
      </w:r>
      <w:r w:rsidRPr="00986EFF">
        <w:rPr>
          <w:rFonts w:ascii="Times New Roman" w:hAnsi="Times New Roman" w:cs="Times New Roman"/>
          <w:b/>
          <w:color w:val="000000" w:themeColor="text1"/>
          <w:sz w:val="24"/>
          <w:szCs w:val="24"/>
        </w:rPr>
        <w:tab/>
        <w:t>Results and Discussion</w:t>
      </w:r>
    </w:p>
    <w:p w14:paraId="58A6B08B"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Results</w:t>
      </w:r>
    </w:p>
    <w:p w14:paraId="0DCFA6CE" w14:textId="65810D75" w:rsidR="0014333F" w:rsidRPr="00986EFF" w:rsidRDefault="0014333F"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The results section aligns closely with the study’s methodology, </w:t>
      </w:r>
      <w:r w:rsidR="00901377">
        <w:rPr>
          <w:rFonts w:ascii="Times New Roman" w:eastAsia="Times New Roman" w:hAnsi="Times New Roman" w:cs="Times New Roman"/>
          <w:color w:val="000000" w:themeColor="text1"/>
          <w:sz w:val="24"/>
          <w:szCs w:val="24"/>
        </w:rPr>
        <w:t>encompassing</w:t>
      </w:r>
      <w:r w:rsidRPr="00986EFF">
        <w:rPr>
          <w:rFonts w:ascii="Times New Roman" w:eastAsia="Times New Roman" w:hAnsi="Times New Roman" w:cs="Times New Roman"/>
          <w:color w:val="000000" w:themeColor="text1"/>
          <w:sz w:val="24"/>
          <w:szCs w:val="24"/>
        </w:rPr>
        <w:t xml:space="preserve"> federated learning infrastructure, biomechanical data acquisition, a multi-modal analytics engine, and a comprehensive validation framework. The federated learning system was deployed across multiple facilities using a hierarchical model aggregation strategy, allowing local training without raw data sharing. A modified Federated Averaging (</w:t>
      </w:r>
      <w:proofErr w:type="spellStart"/>
      <w:r w:rsidRPr="00986EFF">
        <w:rPr>
          <w:rFonts w:ascii="Times New Roman" w:eastAsia="Times New Roman" w:hAnsi="Times New Roman" w:cs="Times New Roman"/>
          <w:color w:val="000000" w:themeColor="text1"/>
          <w:sz w:val="24"/>
          <w:szCs w:val="24"/>
        </w:rPr>
        <w:t>FedAvg</w:t>
      </w:r>
      <w:proofErr w:type="spellEnd"/>
      <w:r w:rsidRPr="00986EFF">
        <w:rPr>
          <w:rFonts w:ascii="Times New Roman" w:eastAsia="Times New Roman" w:hAnsi="Times New Roman" w:cs="Times New Roman"/>
          <w:color w:val="000000" w:themeColor="text1"/>
          <w:sz w:val="24"/>
          <w:szCs w:val="24"/>
        </w:rPr>
        <w:t xml:space="preserve">) algorithm with differential privacy was </w:t>
      </w:r>
      <w:r w:rsidRPr="00986EFF">
        <w:rPr>
          <w:rFonts w:ascii="Times New Roman" w:eastAsia="Times New Roman" w:hAnsi="Times New Roman" w:cs="Times New Roman"/>
          <w:color w:val="000000" w:themeColor="text1"/>
          <w:sz w:val="24"/>
          <w:szCs w:val="24"/>
        </w:rPr>
        <w:lastRenderedPageBreak/>
        <w:t>employed, using a 0.01 learning rate, global aggregation every 10 local epochs, and privacy parameters ε = 1.2 and δ = 10⁻⁵, consistent with Abadi et al. (2016).</w:t>
      </w:r>
    </w:p>
    <w:p w14:paraId="723EEC4C" w14:textId="6AE2CA35" w:rsidR="0014333F" w:rsidRPr="00986EFF" w:rsidRDefault="0014333F"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The dataset included 1.2 million records—60% cyber and 40% biomechanical data</w:t>
      </w:r>
      <w:r w:rsidR="00901377">
        <w:rPr>
          <w:rFonts w:ascii="Times New Roman" w:eastAsia="Times New Roman" w:hAnsi="Times New Roman" w:cs="Times New Roman"/>
          <w:color w:val="000000" w:themeColor="text1"/>
          <w:sz w:val="24"/>
          <w:szCs w:val="24"/>
        </w:rPr>
        <w:t>,</w:t>
      </w:r>
      <w:r w:rsidR="00FD7A52">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 xml:space="preserve">with only 0.1% labeled as insider threats, mirroring the class imbalance discussed by </w:t>
      </w:r>
      <w:proofErr w:type="spellStart"/>
      <w:r w:rsidRPr="00986EFF">
        <w:rPr>
          <w:rFonts w:ascii="Times New Roman" w:eastAsia="Times New Roman" w:hAnsi="Times New Roman" w:cs="Times New Roman"/>
          <w:color w:val="000000" w:themeColor="text1"/>
          <w:sz w:val="24"/>
          <w:szCs w:val="24"/>
        </w:rPr>
        <w:t>Amiri-Zarandi</w:t>
      </w:r>
      <w:proofErr w:type="spellEnd"/>
      <w:r w:rsidRPr="00986EFF">
        <w:rPr>
          <w:rFonts w:ascii="Times New Roman" w:eastAsia="Times New Roman" w:hAnsi="Times New Roman" w:cs="Times New Roman"/>
          <w:color w:val="000000" w:themeColor="text1"/>
          <w:sz w:val="24"/>
          <w:szCs w:val="24"/>
        </w:rPr>
        <w:t xml:space="preserve"> et al. (2023). A nested 10×5-fold cross-validation mitigated overfitting. The federated model achieved a precision of 0.95, </w:t>
      </w:r>
      <w:r w:rsidR="00901377">
        <w:rPr>
          <w:rFonts w:ascii="Times New Roman" w:eastAsia="Times New Roman" w:hAnsi="Times New Roman" w:cs="Times New Roman"/>
          <w:color w:val="000000" w:themeColor="text1"/>
          <w:sz w:val="24"/>
          <w:szCs w:val="24"/>
        </w:rPr>
        <w:t xml:space="preserve">a recall of 0.91, an </w:t>
      </w:r>
      <w:r w:rsidRPr="00986EFF">
        <w:rPr>
          <w:rFonts w:ascii="Times New Roman" w:eastAsia="Times New Roman" w:hAnsi="Times New Roman" w:cs="Times New Roman"/>
          <w:color w:val="000000" w:themeColor="text1"/>
          <w:sz w:val="24"/>
          <w:szCs w:val="24"/>
        </w:rPr>
        <w:t xml:space="preserve">F1-score of 0.93, and an AUC-ROC of 0.97, outperforming centralized ML (precision 0.91, recall 0.87, latency 210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and local-only models (precision 0.85, recall 0.79). The federated approach reduced latency by 33% to 140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supporting scalability claims by </w:t>
      </w:r>
      <w:proofErr w:type="spellStart"/>
      <w:r w:rsidRPr="00986EFF">
        <w:rPr>
          <w:rFonts w:ascii="Times New Roman" w:eastAsia="Times New Roman" w:hAnsi="Times New Roman" w:cs="Times New Roman"/>
          <w:color w:val="000000" w:themeColor="text1"/>
          <w:sz w:val="24"/>
          <w:szCs w:val="24"/>
        </w:rPr>
        <w:t>Kairouz</w:t>
      </w:r>
      <w:proofErr w:type="spellEnd"/>
      <w:r w:rsidRPr="00986EFF">
        <w:rPr>
          <w:rFonts w:ascii="Times New Roman" w:eastAsia="Times New Roman" w:hAnsi="Times New Roman" w:cs="Times New Roman"/>
          <w:color w:val="000000" w:themeColor="text1"/>
          <w:sz w:val="24"/>
          <w:szCs w:val="24"/>
        </w:rPr>
        <w:t xml:space="preserve"> et al. (2021).</w:t>
      </w:r>
    </w:p>
    <w:p w14:paraId="72FC1A0A" w14:textId="1CDDF642" w:rsidR="0014333F" w:rsidRPr="00986EFF" w:rsidRDefault="0014333F"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Communication overhead averaged 1.8 MB per round, and performance remained stable across non-IID distributions, with only 2.1% F1-score variance, supporting findings by Zhao et al. (2018). </w:t>
      </w:r>
      <w:proofErr w:type="spellStart"/>
      <w:r w:rsidRPr="00986EFF">
        <w:rPr>
          <w:rFonts w:ascii="Times New Roman" w:eastAsia="Times New Roman" w:hAnsi="Times New Roman" w:cs="Times New Roman"/>
          <w:color w:val="000000" w:themeColor="text1"/>
          <w:sz w:val="24"/>
          <w:szCs w:val="24"/>
        </w:rPr>
        <w:t>McNemar’s</w:t>
      </w:r>
      <w:proofErr w:type="spellEnd"/>
      <w:r w:rsidRPr="00986EFF">
        <w:rPr>
          <w:rFonts w:ascii="Times New Roman" w:eastAsia="Times New Roman" w:hAnsi="Times New Roman" w:cs="Times New Roman"/>
          <w:color w:val="000000" w:themeColor="text1"/>
          <w:sz w:val="24"/>
          <w:szCs w:val="24"/>
        </w:rPr>
        <w:t xml:space="preserve"> test yielded χ² = 12.4 (p &lt; 0.001), confirming statistical significance. </w:t>
      </w:r>
      <w:r w:rsidR="00FD7A52">
        <w:rPr>
          <w:rFonts w:ascii="Times New Roman" w:eastAsia="Times New Roman" w:hAnsi="Times New Roman" w:cs="Times New Roman"/>
          <w:color w:val="000000" w:themeColor="text1"/>
          <w:sz w:val="24"/>
          <w:szCs w:val="24"/>
        </w:rPr>
        <w:t xml:space="preserve">Table 4 and </w:t>
      </w:r>
      <w:r w:rsidRPr="00986EFF">
        <w:rPr>
          <w:rFonts w:ascii="Times New Roman" w:eastAsia="Times New Roman" w:hAnsi="Times New Roman" w:cs="Times New Roman"/>
          <w:color w:val="000000" w:themeColor="text1"/>
          <w:sz w:val="24"/>
          <w:szCs w:val="24"/>
        </w:rPr>
        <w:t xml:space="preserve">Figure </w:t>
      </w:r>
      <w:r w:rsidR="00FD7A52">
        <w:rPr>
          <w:rFonts w:ascii="Times New Roman" w:eastAsia="Times New Roman" w:hAnsi="Times New Roman" w:cs="Times New Roman"/>
          <w:color w:val="000000" w:themeColor="text1"/>
          <w:sz w:val="24"/>
          <w:szCs w:val="24"/>
        </w:rPr>
        <w:t>3</w:t>
      </w:r>
      <w:r w:rsidRPr="00986EFF">
        <w:rPr>
          <w:rFonts w:ascii="Times New Roman" w:eastAsia="Times New Roman" w:hAnsi="Times New Roman" w:cs="Times New Roman"/>
          <w:color w:val="000000" w:themeColor="text1"/>
          <w:sz w:val="24"/>
          <w:szCs w:val="24"/>
        </w:rPr>
        <w:t xml:space="preserve"> </w:t>
      </w:r>
      <w:r w:rsidR="00901377">
        <w:rPr>
          <w:rFonts w:ascii="Times New Roman" w:eastAsia="Times New Roman" w:hAnsi="Times New Roman" w:cs="Times New Roman"/>
          <w:color w:val="000000" w:themeColor="text1"/>
          <w:sz w:val="24"/>
          <w:szCs w:val="24"/>
        </w:rPr>
        <w:t>highlight</w:t>
      </w:r>
      <w:r w:rsidRPr="00986EFF">
        <w:rPr>
          <w:rFonts w:ascii="Times New Roman" w:eastAsia="Times New Roman" w:hAnsi="Times New Roman" w:cs="Times New Roman"/>
          <w:color w:val="000000" w:themeColor="text1"/>
          <w:sz w:val="24"/>
          <w:szCs w:val="24"/>
        </w:rPr>
        <w:t xml:space="preserve"> the federated model’s consistent performance superiority. Privacy leakage was kept below ε = 1.2, aligning with GDPR and NERC CIP standards (Nguyen et al., 2023). Scalability tests simulating 50 nodes showed latency scaling linearly at 0.5 </w:t>
      </w:r>
      <w:proofErr w:type="spellStart"/>
      <w:r w:rsidRPr="00986EFF">
        <w:rPr>
          <w:rFonts w:ascii="Times New Roman" w:eastAsia="Times New Roman" w:hAnsi="Times New Roman" w:cs="Times New Roman"/>
          <w:color w:val="000000" w:themeColor="text1"/>
          <w:sz w:val="24"/>
          <w:szCs w:val="24"/>
        </w:rPr>
        <w:t>ms</w:t>
      </w:r>
      <w:proofErr w:type="spellEnd"/>
      <w:r w:rsidRPr="00986EFF">
        <w:rPr>
          <w:rFonts w:ascii="Times New Roman" w:eastAsia="Times New Roman" w:hAnsi="Times New Roman" w:cs="Times New Roman"/>
          <w:color w:val="000000" w:themeColor="text1"/>
          <w:sz w:val="24"/>
          <w:szCs w:val="24"/>
        </w:rPr>
        <w:t xml:space="preserve"> per node, affirming large-scale utility potential (Yang et al., 2019).</w:t>
      </w:r>
    </w:p>
    <w:p w14:paraId="4C7FEA58"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Table </w:t>
      </w:r>
      <w:r w:rsidR="00FD7A52">
        <w:rPr>
          <w:rFonts w:ascii="Times New Roman" w:hAnsi="Times New Roman" w:cs="Times New Roman"/>
          <w:b/>
          <w:color w:val="000000" w:themeColor="text1"/>
          <w:sz w:val="24"/>
          <w:szCs w:val="24"/>
        </w:rPr>
        <w:t>4</w:t>
      </w:r>
    </w:p>
    <w:p w14:paraId="624DFD6B"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Comparative Performance of Detection Models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DF08CB" w:rsidRPr="00986EFF" w14:paraId="42BA553A" w14:textId="77777777" w:rsidTr="00DB74E7">
        <w:tc>
          <w:tcPr>
            <w:tcW w:w="1558" w:type="dxa"/>
            <w:tcBorders>
              <w:top w:val="single" w:sz="4" w:space="0" w:color="auto"/>
              <w:bottom w:val="single" w:sz="4" w:space="0" w:color="auto"/>
            </w:tcBorders>
          </w:tcPr>
          <w:p w14:paraId="64FFEEB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Model Type</w:t>
            </w:r>
          </w:p>
        </w:tc>
        <w:tc>
          <w:tcPr>
            <w:tcW w:w="1558" w:type="dxa"/>
            <w:tcBorders>
              <w:top w:val="single" w:sz="4" w:space="0" w:color="auto"/>
              <w:bottom w:val="single" w:sz="4" w:space="0" w:color="auto"/>
            </w:tcBorders>
          </w:tcPr>
          <w:p w14:paraId="49753A6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Precision</w:t>
            </w:r>
          </w:p>
        </w:tc>
        <w:tc>
          <w:tcPr>
            <w:tcW w:w="1558" w:type="dxa"/>
            <w:tcBorders>
              <w:top w:val="single" w:sz="4" w:space="0" w:color="auto"/>
              <w:bottom w:val="single" w:sz="4" w:space="0" w:color="auto"/>
            </w:tcBorders>
          </w:tcPr>
          <w:p w14:paraId="314E07B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Recall</w:t>
            </w:r>
          </w:p>
        </w:tc>
        <w:tc>
          <w:tcPr>
            <w:tcW w:w="1558" w:type="dxa"/>
            <w:tcBorders>
              <w:top w:val="single" w:sz="4" w:space="0" w:color="auto"/>
              <w:bottom w:val="single" w:sz="4" w:space="0" w:color="auto"/>
            </w:tcBorders>
          </w:tcPr>
          <w:p w14:paraId="198AB4D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F1-Score</w:t>
            </w:r>
          </w:p>
        </w:tc>
        <w:tc>
          <w:tcPr>
            <w:tcW w:w="1559" w:type="dxa"/>
            <w:tcBorders>
              <w:top w:val="single" w:sz="4" w:space="0" w:color="auto"/>
              <w:bottom w:val="single" w:sz="4" w:space="0" w:color="auto"/>
            </w:tcBorders>
          </w:tcPr>
          <w:p w14:paraId="7948B99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AUC-ROC</w:t>
            </w:r>
          </w:p>
        </w:tc>
        <w:tc>
          <w:tcPr>
            <w:tcW w:w="1559" w:type="dxa"/>
            <w:tcBorders>
              <w:top w:val="single" w:sz="4" w:space="0" w:color="auto"/>
              <w:bottom w:val="single" w:sz="4" w:space="0" w:color="auto"/>
            </w:tcBorders>
          </w:tcPr>
          <w:p w14:paraId="760541C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Detection Latency (</w:t>
            </w:r>
            <w:proofErr w:type="spellStart"/>
            <w:r w:rsidRPr="00986EFF">
              <w:rPr>
                <w:rFonts w:ascii="Times New Roman" w:hAnsi="Times New Roman" w:cs="Times New Roman"/>
                <w:color w:val="000000" w:themeColor="text1"/>
                <w:sz w:val="24"/>
                <w:szCs w:val="24"/>
              </w:rPr>
              <w:t>ms</w:t>
            </w:r>
            <w:proofErr w:type="spellEnd"/>
            <w:r w:rsidRPr="00986EFF">
              <w:rPr>
                <w:rFonts w:ascii="Times New Roman" w:hAnsi="Times New Roman" w:cs="Times New Roman"/>
                <w:color w:val="000000" w:themeColor="text1"/>
                <w:sz w:val="24"/>
                <w:szCs w:val="24"/>
              </w:rPr>
              <w:t>)</w:t>
            </w:r>
          </w:p>
        </w:tc>
      </w:tr>
      <w:tr w:rsidR="00DF08CB" w:rsidRPr="00986EFF" w14:paraId="4AD499ED" w14:textId="77777777" w:rsidTr="00DB74E7">
        <w:tc>
          <w:tcPr>
            <w:tcW w:w="1558" w:type="dxa"/>
            <w:tcBorders>
              <w:top w:val="single" w:sz="4" w:space="0" w:color="auto"/>
            </w:tcBorders>
          </w:tcPr>
          <w:p w14:paraId="0164606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Centralized ML</w:t>
            </w:r>
          </w:p>
        </w:tc>
        <w:tc>
          <w:tcPr>
            <w:tcW w:w="1558" w:type="dxa"/>
            <w:tcBorders>
              <w:top w:val="single" w:sz="4" w:space="0" w:color="auto"/>
            </w:tcBorders>
          </w:tcPr>
          <w:p w14:paraId="02D1EF3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558" w:type="dxa"/>
            <w:tcBorders>
              <w:top w:val="single" w:sz="4" w:space="0" w:color="auto"/>
            </w:tcBorders>
          </w:tcPr>
          <w:p w14:paraId="4AD398A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0.87</w:t>
            </w:r>
          </w:p>
        </w:tc>
        <w:tc>
          <w:tcPr>
            <w:tcW w:w="1558" w:type="dxa"/>
            <w:tcBorders>
              <w:top w:val="single" w:sz="4" w:space="0" w:color="auto"/>
            </w:tcBorders>
          </w:tcPr>
          <w:p w14:paraId="32942B6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0.89</w:t>
            </w:r>
          </w:p>
        </w:tc>
        <w:tc>
          <w:tcPr>
            <w:tcW w:w="1559" w:type="dxa"/>
            <w:tcBorders>
              <w:top w:val="single" w:sz="4" w:space="0" w:color="auto"/>
            </w:tcBorders>
          </w:tcPr>
          <w:p w14:paraId="7952BD4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0.94</w:t>
            </w:r>
          </w:p>
        </w:tc>
        <w:tc>
          <w:tcPr>
            <w:tcW w:w="1559" w:type="dxa"/>
            <w:tcBorders>
              <w:top w:val="single" w:sz="4" w:space="0" w:color="auto"/>
            </w:tcBorders>
          </w:tcPr>
          <w:p w14:paraId="76342DF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210</w:t>
            </w:r>
          </w:p>
        </w:tc>
      </w:tr>
      <w:tr w:rsidR="00DF08CB" w:rsidRPr="00986EFF" w14:paraId="4802F95A" w14:textId="77777777" w:rsidTr="00DB74E7">
        <w:tc>
          <w:tcPr>
            <w:tcW w:w="1558" w:type="dxa"/>
          </w:tcPr>
          <w:p w14:paraId="5921E54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Local-Only ML</w:t>
            </w:r>
          </w:p>
        </w:tc>
        <w:tc>
          <w:tcPr>
            <w:tcW w:w="1558" w:type="dxa"/>
          </w:tcPr>
          <w:p w14:paraId="04668A6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0.85</w:t>
            </w:r>
          </w:p>
        </w:tc>
        <w:tc>
          <w:tcPr>
            <w:tcW w:w="1558" w:type="dxa"/>
          </w:tcPr>
          <w:p w14:paraId="6CD8333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0.79</w:t>
            </w:r>
          </w:p>
        </w:tc>
        <w:tc>
          <w:tcPr>
            <w:tcW w:w="1558" w:type="dxa"/>
          </w:tcPr>
          <w:p w14:paraId="3D31756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0.82</w:t>
            </w:r>
          </w:p>
        </w:tc>
        <w:tc>
          <w:tcPr>
            <w:tcW w:w="1559" w:type="dxa"/>
          </w:tcPr>
          <w:p w14:paraId="2D7117A1"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0.88</w:t>
            </w:r>
          </w:p>
        </w:tc>
        <w:tc>
          <w:tcPr>
            <w:tcW w:w="1559" w:type="dxa"/>
          </w:tcPr>
          <w:p w14:paraId="66A44BF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165</w:t>
            </w:r>
          </w:p>
        </w:tc>
      </w:tr>
      <w:tr w:rsidR="00DF08CB" w:rsidRPr="00986EFF" w14:paraId="17AD35D0" w14:textId="77777777" w:rsidTr="00DB74E7">
        <w:tc>
          <w:tcPr>
            <w:tcW w:w="1558" w:type="dxa"/>
          </w:tcPr>
          <w:p w14:paraId="3524DB7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Federated Learning</w:t>
            </w:r>
          </w:p>
        </w:tc>
        <w:tc>
          <w:tcPr>
            <w:tcW w:w="1558" w:type="dxa"/>
          </w:tcPr>
          <w:p w14:paraId="62055CE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0.95</w:t>
            </w:r>
          </w:p>
        </w:tc>
        <w:tc>
          <w:tcPr>
            <w:tcW w:w="1558" w:type="dxa"/>
          </w:tcPr>
          <w:p w14:paraId="02C99B2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558" w:type="dxa"/>
          </w:tcPr>
          <w:p w14:paraId="0B51F87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c>
          <w:tcPr>
            <w:tcW w:w="1559" w:type="dxa"/>
          </w:tcPr>
          <w:p w14:paraId="62B5CA2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0.97</w:t>
            </w:r>
          </w:p>
        </w:tc>
        <w:tc>
          <w:tcPr>
            <w:tcW w:w="1559" w:type="dxa"/>
          </w:tcPr>
          <w:p w14:paraId="7318C0E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140</w:t>
            </w:r>
          </w:p>
        </w:tc>
      </w:tr>
    </w:tbl>
    <w:p w14:paraId="6AF62295" w14:textId="77777777" w:rsidR="00280738" w:rsidRPr="00986EFF" w:rsidRDefault="00280738" w:rsidP="00986EFF">
      <w:pPr>
        <w:spacing w:line="360" w:lineRule="auto"/>
        <w:jc w:val="both"/>
        <w:rPr>
          <w:rFonts w:ascii="Times New Roman" w:hAnsi="Times New Roman" w:cs="Times New Roman"/>
          <w:b/>
          <w:color w:val="000000" w:themeColor="text1"/>
          <w:sz w:val="24"/>
          <w:szCs w:val="24"/>
        </w:rPr>
      </w:pPr>
    </w:p>
    <w:p w14:paraId="7F99ACE7"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458B2702"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066452C5"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51C7F747" w14:textId="77777777" w:rsidR="005227A2"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b/>
          <w:color w:val="000000" w:themeColor="text1"/>
          <w:sz w:val="24"/>
          <w:szCs w:val="24"/>
        </w:rPr>
        <w:t xml:space="preserve">Figure </w:t>
      </w:r>
      <w:r w:rsidR="00FD7A52">
        <w:rPr>
          <w:rFonts w:ascii="Times New Roman" w:hAnsi="Times New Roman" w:cs="Times New Roman"/>
          <w:b/>
          <w:color w:val="000000" w:themeColor="text1"/>
          <w:sz w:val="24"/>
          <w:szCs w:val="24"/>
        </w:rPr>
        <w:t>3</w:t>
      </w:r>
    </w:p>
    <w:p w14:paraId="7F6642F8"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Performance Comparison of Detection Models Across Facilities</w:t>
      </w:r>
    </w:p>
    <w:p w14:paraId="11241EAE" w14:textId="77777777" w:rsidR="00436045" w:rsidRPr="00986EFF" w:rsidRDefault="00436045"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drawing>
          <wp:inline distT="0" distB="0" distL="0" distR="0" wp14:anchorId="10EBEEFF" wp14:editId="463C6D99">
            <wp:extent cx="4580890" cy="2554664"/>
            <wp:effectExtent l="0" t="0" r="10160" b="17145"/>
            <wp:docPr id="1" name="Chart 1">
              <a:extLst xmlns:a="http://schemas.openxmlformats.org/drawingml/2006/main">
                <a:ext uri="{FF2B5EF4-FFF2-40B4-BE49-F238E27FC236}">
                  <a16:creationId xmlns:a16="http://schemas.microsoft.com/office/drawing/2014/main" id="{D5B74C25-0B90-4463-A192-EB9210E934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B9B2F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evaluation of biomechanical access control interfaces focused on pressure-sensitive floor panels and biometric hand scanners, as outlined in the methodology’s biomechanical data acquisition component. The floor panels, equipped with 256 sensors per square meter, detected pressure changes at a resolution of 0.1 N/cm², while hand scanners captured interaction dynamics at 500 dpi, generating detailed behavioral signatures. The study involved 150 participants (80 male, 70 </w:t>
      </w:r>
      <w:proofErr w:type="gramStart"/>
      <w:r w:rsidRPr="00986EFF">
        <w:rPr>
          <w:rFonts w:ascii="Times New Roman" w:hAnsi="Times New Roman" w:cs="Times New Roman"/>
          <w:color w:val="000000" w:themeColor="text1"/>
          <w:sz w:val="24"/>
          <w:szCs w:val="24"/>
        </w:rPr>
        <w:t>female</w:t>
      </w:r>
      <w:proofErr w:type="gramEnd"/>
      <w:r w:rsidRPr="00986EFF">
        <w:rPr>
          <w:rFonts w:ascii="Times New Roman" w:hAnsi="Times New Roman" w:cs="Times New Roman"/>
          <w:color w:val="000000" w:themeColor="text1"/>
          <w:sz w:val="24"/>
          <w:szCs w:val="24"/>
        </w:rPr>
        <w:t>, aged 25–55) over a 30-day period, performing routine tasks such as walking across secure zones and interacting with control interfaces, ensuring ecological validity in the simulated environment. The dataset included 500,000 gait samples and 300,000 hand interaction records, with 10% reserved for testing.</w:t>
      </w:r>
    </w:p>
    <w:p w14:paraId="3C1422B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Authentication accuracy averaged 98.9% (±0.3%), with a false acceptance rate (FAR) of 0.7% and false rejection rate (FRR) of 1.1%, surpassing single-factor biometric systems, which typically achieve 95–97% accuracy, as reported by Middleton and Buss (2005). The pressure-sensitive floors identified unique gait parameters, including stride length, cadence, and pressure distribution, with intra-subject correlation coefficients exceeding 0.92, indicating high temporal stability, consistent with </w:t>
      </w:r>
      <w:proofErr w:type="spellStart"/>
      <w:r w:rsidRPr="00986EFF">
        <w:rPr>
          <w:rFonts w:ascii="Times New Roman" w:eastAsia="Times New Roman" w:hAnsi="Times New Roman" w:cs="Times New Roman"/>
          <w:color w:val="000000" w:themeColor="text1"/>
          <w:sz w:val="24"/>
          <w:szCs w:val="24"/>
        </w:rPr>
        <w:t>Papavasileiou</w:t>
      </w:r>
      <w:proofErr w:type="spellEnd"/>
      <w:r w:rsidRPr="00986EFF">
        <w:rPr>
          <w:rFonts w:ascii="Times New Roman" w:eastAsia="Times New Roman" w:hAnsi="Times New Roman" w:cs="Times New Roman"/>
          <w:color w:val="000000" w:themeColor="text1"/>
          <w:sz w:val="24"/>
          <w:szCs w:val="24"/>
        </w:rPr>
        <w:t xml:space="preserve"> et al. (2021)</w:t>
      </w:r>
      <w:r w:rsidRPr="00986EFF">
        <w:rPr>
          <w:rFonts w:ascii="Times New Roman" w:hAnsi="Times New Roman" w:cs="Times New Roman"/>
          <w:color w:val="000000" w:themeColor="text1"/>
          <w:sz w:val="24"/>
          <w:szCs w:val="24"/>
        </w:rPr>
        <w:t xml:space="preserve">. Hand scanners detected micro-movements, such as </w:t>
      </w:r>
      <w:r w:rsidRPr="00986EFF">
        <w:rPr>
          <w:rFonts w:ascii="Times New Roman" w:hAnsi="Times New Roman" w:cs="Times New Roman"/>
          <w:color w:val="000000" w:themeColor="text1"/>
          <w:sz w:val="24"/>
          <w:szCs w:val="24"/>
        </w:rPr>
        <w:lastRenderedPageBreak/>
        <w:t xml:space="preserve">grip pressure and swipe speed, achieving 97.8% accuracy, complementing gait data. Qualitative feedback from 20 facility operators, collected via semi-structured interviews, emphasized usability, with 90% reporting no disruption to workflows, as one operator noted: “The floor feels natural, and I don’t think about it during my shift.” This aligns with human-centered design principles advocated by </w:t>
      </w:r>
      <w:r w:rsidRPr="00986EFF">
        <w:rPr>
          <w:rFonts w:ascii="Times New Roman" w:eastAsia="Times New Roman" w:hAnsi="Times New Roman" w:cs="Times New Roman"/>
          <w:color w:val="000000" w:themeColor="text1"/>
          <w:sz w:val="24"/>
          <w:szCs w:val="24"/>
        </w:rPr>
        <w:t>(Ofosu-</w:t>
      </w:r>
      <w:proofErr w:type="spellStart"/>
      <w:r w:rsidRPr="00986EFF">
        <w:rPr>
          <w:rFonts w:ascii="Times New Roman" w:eastAsia="Times New Roman" w:hAnsi="Times New Roman" w:cs="Times New Roman"/>
          <w:color w:val="000000" w:themeColor="text1"/>
          <w:sz w:val="24"/>
          <w:szCs w:val="24"/>
        </w:rPr>
        <w:t>Peasah</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w:t>
      </w:r>
    </w:p>
    <w:p w14:paraId="6B85D1E0"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Figure </w:t>
      </w:r>
      <w:r w:rsidR="00FD7A52">
        <w:rPr>
          <w:rFonts w:ascii="Times New Roman" w:hAnsi="Times New Roman" w:cs="Times New Roman"/>
          <w:color w:val="000000" w:themeColor="text1"/>
          <w:sz w:val="24"/>
          <w:szCs w:val="24"/>
        </w:rPr>
        <w:t>4</w:t>
      </w:r>
      <w:r w:rsidRPr="00986EFF">
        <w:rPr>
          <w:rFonts w:ascii="Times New Roman" w:hAnsi="Times New Roman" w:cs="Times New Roman"/>
          <w:color w:val="000000" w:themeColor="text1"/>
          <w:sz w:val="24"/>
          <w:szCs w:val="24"/>
        </w:rPr>
        <w:t xml:space="preserve"> presents a line graph of authentication accuracy over the 30-day period, showing stability with minor fluctuations (±0.2%) due to participant fatigue. A paired t-test confirmed no significant degradation in accuracy over time (</w:t>
      </w:r>
      <w:proofErr w:type="gramStart"/>
      <w:r w:rsidRPr="00986EFF">
        <w:rPr>
          <w:rFonts w:ascii="Times New Roman" w:hAnsi="Times New Roman" w:cs="Times New Roman"/>
          <w:color w:val="000000" w:themeColor="text1"/>
          <w:sz w:val="24"/>
          <w:szCs w:val="24"/>
        </w:rPr>
        <w:t>t(</w:t>
      </w:r>
      <w:proofErr w:type="gramEnd"/>
      <w:r w:rsidRPr="00986EFF">
        <w:rPr>
          <w:rFonts w:ascii="Times New Roman" w:hAnsi="Times New Roman" w:cs="Times New Roman"/>
          <w:color w:val="000000" w:themeColor="text1"/>
          <w:sz w:val="24"/>
          <w:szCs w:val="24"/>
        </w:rPr>
        <w:t xml:space="preserve">149) = 1.12, p = 0.27), supporting long-term reliability. The biomechanical interfaces’ low FAR and FRR reduced unauthorized access risks, enhancing physical security, as emphasized by </w:t>
      </w:r>
      <w:r w:rsidRPr="00986EFF">
        <w:rPr>
          <w:rFonts w:ascii="Times New Roman" w:eastAsia="Times New Roman" w:hAnsi="Times New Roman" w:cs="Times New Roman"/>
          <w:color w:val="000000" w:themeColor="text1"/>
          <w:sz w:val="24"/>
          <w:szCs w:val="24"/>
        </w:rPr>
        <w:t>Álvarez-Aparicio et al. (2022)</w:t>
      </w:r>
      <w:r w:rsidRPr="00986EFF">
        <w:rPr>
          <w:rFonts w:ascii="Times New Roman" w:hAnsi="Times New Roman" w:cs="Times New Roman"/>
          <w:color w:val="000000" w:themeColor="text1"/>
          <w:sz w:val="24"/>
          <w:szCs w:val="24"/>
        </w:rPr>
        <w:t>. Calibration requirements were minimal, with recalibration needed only once per week, making the system practical for operational deployment.</w:t>
      </w:r>
    </w:p>
    <w:p w14:paraId="07D16C13" w14:textId="77777777" w:rsidR="00AD6F0F"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Figure </w:t>
      </w:r>
      <w:r w:rsidR="00FD7A52">
        <w:rPr>
          <w:rFonts w:ascii="Times New Roman" w:hAnsi="Times New Roman" w:cs="Times New Roman"/>
          <w:b/>
          <w:color w:val="000000" w:themeColor="text1"/>
          <w:sz w:val="24"/>
          <w:szCs w:val="24"/>
        </w:rPr>
        <w:t>4</w:t>
      </w:r>
    </w:p>
    <w:p w14:paraId="082BC562"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Authentication Accuracy Over Time</w:t>
      </w:r>
    </w:p>
    <w:p w14:paraId="12400816" w14:textId="77777777" w:rsidR="005227A2" w:rsidRPr="00986EFF" w:rsidRDefault="00AD6F0F"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lastRenderedPageBreak/>
        <w:drawing>
          <wp:inline distT="0" distB="0" distL="0" distR="0" wp14:anchorId="174572EE" wp14:editId="5E56E0F6">
            <wp:extent cx="4533011" cy="448491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URACY.png"/>
                    <pic:cNvPicPr/>
                  </pic:nvPicPr>
                  <pic:blipFill>
                    <a:blip r:embed="rId10">
                      <a:extLst>
                        <a:ext uri="{28A0092B-C50C-407E-A947-70E740481C1C}">
                          <a14:useLocalDpi xmlns:a14="http://schemas.microsoft.com/office/drawing/2010/main" val="0"/>
                        </a:ext>
                      </a:extLst>
                    </a:blip>
                    <a:stretch>
                      <a:fillRect/>
                    </a:stretch>
                  </pic:blipFill>
                  <pic:spPr>
                    <a:xfrm>
                      <a:off x="0" y="0"/>
                      <a:ext cx="4570422" cy="4521929"/>
                    </a:xfrm>
                    <a:prstGeom prst="rect">
                      <a:avLst/>
                    </a:prstGeom>
                  </pic:spPr>
                </pic:pic>
              </a:graphicData>
            </a:graphic>
          </wp:inline>
        </w:drawing>
      </w:r>
    </w:p>
    <w:p w14:paraId="3D82F268"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The AI-based behavioral analytics integrated physical and cyber data using a three-tier deep learning architecture. The architecture employed Bidirectional Long Short-Term Memory (</w:t>
      </w:r>
      <w:proofErr w:type="spellStart"/>
      <w:r w:rsidRPr="00986EFF">
        <w:rPr>
          <w:rFonts w:ascii="Times New Roman" w:hAnsi="Times New Roman" w:cs="Times New Roman"/>
          <w:color w:val="000000" w:themeColor="text1"/>
          <w:sz w:val="24"/>
          <w:szCs w:val="24"/>
        </w:rPr>
        <w:t>BiLSTM</w:t>
      </w:r>
      <w:proofErr w:type="spellEnd"/>
      <w:r w:rsidRPr="00986EFF">
        <w:rPr>
          <w:rFonts w:ascii="Times New Roman" w:hAnsi="Times New Roman" w:cs="Times New Roman"/>
          <w:color w:val="000000" w:themeColor="text1"/>
          <w:sz w:val="24"/>
          <w:szCs w:val="24"/>
        </w:rPr>
        <w:t xml:space="preserve">) units for encoding physical behavior (e.g., gait dynamics) and a Transformer model for cyber activities (e.g., network logs), fused via an attention-based classifier. The dataset combined records, with 40% biomechanical and 60% cyber features, processed through a feature extraction pipeline reducing dimensionality from 350 to 120 features using Principal Component Analysis, as recommended by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 Validation used nested 10×5-fold cross-validation, with performance metrics derived from 100,000 test samples.</w:t>
      </w:r>
    </w:p>
    <w:p w14:paraId="639A656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integrated model achieved an AUC-ROC of 0.987, precision of 0.96, recall of 0.93, and F1-score of 0.94, outperforming single-modality models by 6–9%, as shown in Table </w:t>
      </w:r>
      <w:r w:rsidR="00FD7A52">
        <w:rPr>
          <w:rFonts w:ascii="Times New Roman" w:hAnsi="Times New Roman" w:cs="Times New Roman"/>
          <w:color w:val="000000" w:themeColor="text1"/>
          <w:sz w:val="24"/>
          <w:szCs w:val="24"/>
        </w:rPr>
        <w:t>5</w:t>
      </w:r>
      <w:r w:rsidRPr="00986EFF">
        <w:rPr>
          <w:rFonts w:ascii="Times New Roman" w:hAnsi="Times New Roman" w:cs="Times New Roman"/>
          <w:color w:val="000000" w:themeColor="text1"/>
          <w:sz w:val="24"/>
          <w:szCs w:val="24"/>
        </w:rPr>
        <w:t>. Physical-only models recorded an AUC-ROC of 0.91, while cyber-only models reached 0.93, highlighting the synergy of multi-modal fusion. The attention-based fusion model surpassed early and late fusion variants, with a Friedman test confirming significant differences (</w:t>
      </w:r>
      <w:proofErr w:type="spellStart"/>
      <w:r w:rsidRPr="00986EFF">
        <w:rPr>
          <w:rFonts w:ascii="Times New Roman" w:hAnsi="Times New Roman" w:cs="Times New Roman"/>
          <w:i/>
          <w:color w:val="000000" w:themeColor="text1"/>
          <w:sz w:val="24"/>
          <w:szCs w:val="24"/>
        </w:rPr>
        <w:t>τ</w:t>
      </w:r>
      <w:r w:rsidRPr="00986EFF">
        <w:rPr>
          <w:rFonts w:ascii="Times New Roman" w:hAnsi="Times New Roman" w:cs="Times New Roman"/>
          <w:i/>
          <w:color w:val="000000" w:themeColor="text1"/>
          <w:sz w:val="24"/>
          <w:szCs w:val="24"/>
          <w:vertAlign w:val="subscript"/>
        </w:rPr>
        <w:t>F</w:t>
      </w:r>
      <w:proofErr w:type="spellEnd"/>
      <w:r w:rsidRPr="00986EFF">
        <w:rPr>
          <w:rFonts w:ascii="Times New Roman" w:hAnsi="Times New Roman" w:cs="Times New Roman"/>
          <w:color w:val="000000" w:themeColor="text1"/>
          <w:sz w:val="24"/>
          <w:szCs w:val="24"/>
        </w:rPr>
        <w:t xml:space="preserve"> = 15.2, </w:t>
      </w:r>
      <w:r w:rsidRPr="00986EFF">
        <w:rPr>
          <w:rFonts w:ascii="Times New Roman" w:hAnsi="Times New Roman" w:cs="Times New Roman"/>
          <w:i/>
          <w:color w:val="000000" w:themeColor="text1"/>
          <w:sz w:val="24"/>
          <w:szCs w:val="24"/>
        </w:rPr>
        <w:t>p</w:t>
      </w:r>
      <w:r w:rsidRPr="00986EFF">
        <w:rPr>
          <w:rFonts w:ascii="Times New Roman" w:hAnsi="Times New Roman" w:cs="Times New Roman"/>
          <w:color w:val="000000" w:themeColor="text1"/>
          <w:sz w:val="24"/>
          <w:szCs w:val="24"/>
        </w:rPr>
        <w:t xml:space="preserve"> &lt; 0.001). Shapley </w:t>
      </w:r>
      <w:r w:rsidRPr="00986EFF">
        <w:rPr>
          <w:rFonts w:ascii="Times New Roman" w:hAnsi="Times New Roman" w:cs="Times New Roman"/>
          <w:color w:val="000000" w:themeColor="text1"/>
          <w:sz w:val="24"/>
          <w:szCs w:val="24"/>
        </w:rPr>
        <w:lastRenderedPageBreak/>
        <w:t xml:space="preserve">value analysis, following Ribeiro et al. (2016), revealed that biomechanical features (e.g., gait speed, pressure asymmetry) contributed 42% to model decisions, while cyber features (e.g., login anomalies, file access patterns) contributed 58%, as depicted in Figure </w:t>
      </w:r>
      <w:r w:rsidR="00FD7A52">
        <w:rPr>
          <w:rFonts w:ascii="Times New Roman" w:hAnsi="Times New Roman" w:cs="Times New Roman"/>
          <w:color w:val="000000" w:themeColor="text1"/>
          <w:sz w:val="24"/>
          <w:szCs w:val="24"/>
        </w:rPr>
        <w:t>5</w:t>
      </w:r>
      <w:r w:rsidRPr="00986EFF">
        <w:rPr>
          <w:rFonts w:ascii="Times New Roman" w:hAnsi="Times New Roman" w:cs="Times New Roman"/>
          <w:color w:val="000000" w:themeColor="text1"/>
          <w:sz w:val="24"/>
          <w:szCs w:val="24"/>
        </w:rPr>
        <w:t>. Key biomechanical indicators included gait hesitation (Shapley value: 0.18) and pressure distribution variance (0.15), while cyber indicators included off-hour logins (0.22) and sensitive file access (0.20), providing transparency into model decisions.</w:t>
      </w:r>
    </w:p>
    <w:p w14:paraId="35304621"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An ablation study, summarized in Table </w:t>
      </w:r>
      <w:r w:rsidR="00465783">
        <w:rPr>
          <w:rFonts w:ascii="Times New Roman" w:hAnsi="Times New Roman" w:cs="Times New Roman"/>
          <w:color w:val="000000" w:themeColor="text1"/>
          <w:sz w:val="24"/>
          <w:szCs w:val="24"/>
        </w:rPr>
        <w:t>5</w:t>
      </w:r>
      <w:r w:rsidRPr="00986EFF">
        <w:rPr>
          <w:rFonts w:ascii="Times New Roman" w:hAnsi="Times New Roman" w:cs="Times New Roman"/>
          <w:color w:val="000000" w:themeColor="text1"/>
          <w:sz w:val="24"/>
          <w:szCs w:val="24"/>
        </w:rPr>
        <w:t>, validated the architectural choices, with the full model achieving statistically significant improvements (p &lt; 0.01) over variants. The model’s robustness was tested against adversarial attacks using Federated Adversarial Training (</w:t>
      </w:r>
      <w:proofErr w:type="spellStart"/>
      <w:r w:rsidRPr="00986EFF">
        <w:rPr>
          <w:rFonts w:ascii="Times New Roman" w:hAnsi="Times New Roman" w:cs="Times New Roman"/>
          <w:color w:val="000000" w:themeColor="text1"/>
          <w:sz w:val="24"/>
          <w:szCs w:val="24"/>
        </w:rPr>
        <w:t>FedAT</w:t>
      </w:r>
      <w:proofErr w:type="spellEnd"/>
      <w:r w:rsidRPr="00986EFF">
        <w:rPr>
          <w:rFonts w:ascii="Times New Roman" w:hAnsi="Times New Roman" w:cs="Times New Roman"/>
          <w:color w:val="000000" w:themeColor="text1"/>
          <w:sz w:val="24"/>
          <w:szCs w:val="24"/>
        </w:rPr>
        <w:t xml:space="preserve">), reducing false negatives by 15% compared to baseline models, as suggested by </w:t>
      </w:r>
      <w:proofErr w:type="spellStart"/>
      <w:r w:rsidRPr="00986EFF">
        <w:rPr>
          <w:rFonts w:ascii="Times New Roman" w:eastAsia="Times New Roman" w:hAnsi="Times New Roman" w:cs="Times New Roman"/>
          <w:color w:val="000000" w:themeColor="text1"/>
          <w:sz w:val="24"/>
          <w:szCs w:val="24"/>
        </w:rPr>
        <w:t>Amiri-Zarandi</w:t>
      </w:r>
      <w:proofErr w:type="spellEnd"/>
      <w:r w:rsidRPr="00986EFF">
        <w:rPr>
          <w:rFonts w:ascii="Times New Roman" w:eastAsia="Times New Roman" w:hAnsi="Times New Roman" w:cs="Times New Roman"/>
          <w:color w:val="000000" w:themeColor="text1"/>
          <w:sz w:val="24"/>
          <w:szCs w:val="24"/>
        </w:rPr>
        <w:t xml:space="preserve"> et al. (2023)</w:t>
      </w:r>
      <w:r w:rsidRPr="00986EFF">
        <w:rPr>
          <w:rFonts w:ascii="Times New Roman" w:hAnsi="Times New Roman" w:cs="Times New Roman"/>
          <w:color w:val="000000" w:themeColor="text1"/>
          <w:sz w:val="24"/>
          <w:szCs w:val="24"/>
        </w:rPr>
        <w:t xml:space="preserve">. Detection latency averaged 135 </w:t>
      </w:r>
      <w:proofErr w:type="spellStart"/>
      <w:r w:rsidRPr="00986EFF">
        <w:rPr>
          <w:rFonts w:ascii="Times New Roman" w:hAnsi="Times New Roman" w:cs="Times New Roman"/>
          <w:color w:val="000000" w:themeColor="text1"/>
          <w:sz w:val="24"/>
          <w:szCs w:val="24"/>
        </w:rPr>
        <w:t>ms</w:t>
      </w:r>
      <w:proofErr w:type="spellEnd"/>
      <w:r w:rsidRPr="00986EFF">
        <w:rPr>
          <w:rFonts w:ascii="Times New Roman" w:hAnsi="Times New Roman" w:cs="Times New Roman"/>
          <w:color w:val="000000" w:themeColor="text1"/>
          <w:sz w:val="24"/>
          <w:szCs w:val="24"/>
        </w:rPr>
        <w:t xml:space="preserve">, meeting real-time requirements, as noted by </w:t>
      </w:r>
      <w:r w:rsidRPr="00986EFF">
        <w:rPr>
          <w:rFonts w:ascii="Times New Roman" w:eastAsia="Times New Roman" w:hAnsi="Times New Roman" w:cs="Times New Roman"/>
          <w:color w:val="000000" w:themeColor="text1"/>
          <w:sz w:val="24"/>
          <w:szCs w:val="24"/>
        </w:rPr>
        <w:t xml:space="preserve">Huda </w:t>
      </w:r>
      <w:proofErr w:type="spellStart"/>
      <w:r w:rsidRPr="00986EFF">
        <w:rPr>
          <w:rFonts w:ascii="Times New Roman" w:eastAsia="Times New Roman" w:hAnsi="Times New Roman" w:cs="Times New Roman"/>
          <w:color w:val="000000" w:themeColor="text1"/>
          <w:sz w:val="24"/>
          <w:szCs w:val="24"/>
        </w:rPr>
        <w:t>Kadhim</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and Sabah (2024)</w:t>
      </w:r>
      <w:r w:rsidRPr="00986EFF">
        <w:rPr>
          <w:rFonts w:ascii="Times New Roman" w:hAnsi="Times New Roman" w:cs="Times New Roman"/>
          <w:color w:val="000000" w:themeColor="text1"/>
          <w:sz w:val="24"/>
          <w:szCs w:val="24"/>
        </w:rPr>
        <w:t>. Figure 4, a ROC curve, illustrates the model’s superior performance, with the integrated model approaching the ideal classifier point.</w:t>
      </w:r>
    </w:p>
    <w:p w14:paraId="17FF3E8D" w14:textId="77777777" w:rsidR="00623D61" w:rsidRDefault="00623D61" w:rsidP="00986EFF">
      <w:pPr>
        <w:spacing w:line="360" w:lineRule="auto"/>
        <w:jc w:val="both"/>
        <w:rPr>
          <w:rFonts w:ascii="Times New Roman" w:hAnsi="Times New Roman" w:cs="Times New Roman"/>
          <w:b/>
          <w:color w:val="000000" w:themeColor="text1"/>
          <w:sz w:val="24"/>
          <w:szCs w:val="24"/>
        </w:rPr>
      </w:pPr>
    </w:p>
    <w:p w14:paraId="360F638A"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076A8771"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1CDAB984" w14:textId="77777777" w:rsidR="00FD7A52" w:rsidRPr="00986EFF" w:rsidRDefault="00FD7A52" w:rsidP="00986EFF">
      <w:pPr>
        <w:spacing w:line="360" w:lineRule="auto"/>
        <w:jc w:val="both"/>
        <w:rPr>
          <w:rFonts w:ascii="Times New Roman" w:hAnsi="Times New Roman" w:cs="Times New Roman"/>
          <w:b/>
          <w:color w:val="000000" w:themeColor="text1"/>
          <w:sz w:val="24"/>
          <w:szCs w:val="24"/>
        </w:rPr>
      </w:pPr>
    </w:p>
    <w:p w14:paraId="0E0BD107"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Table </w:t>
      </w:r>
      <w:r w:rsidR="00FD7A52">
        <w:rPr>
          <w:rFonts w:ascii="Times New Roman" w:hAnsi="Times New Roman" w:cs="Times New Roman"/>
          <w:b/>
          <w:color w:val="000000" w:themeColor="text1"/>
          <w:sz w:val="24"/>
          <w:szCs w:val="24"/>
        </w:rPr>
        <w:t>5</w:t>
      </w:r>
    </w:p>
    <w:p w14:paraId="765EA55F"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t>Ablation Study Results for AI-Based Analytics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DF08CB" w:rsidRPr="00986EFF" w14:paraId="598741C2" w14:textId="77777777" w:rsidTr="00DB74E7">
        <w:tc>
          <w:tcPr>
            <w:tcW w:w="1870" w:type="dxa"/>
            <w:tcBorders>
              <w:top w:val="single" w:sz="4" w:space="0" w:color="auto"/>
              <w:bottom w:val="single" w:sz="4" w:space="0" w:color="auto"/>
            </w:tcBorders>
          </w:tcPr>
          <w:p w14:paraId="27FB37A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Model Variant</w:t>
            </w:r>
          </w:p>
        </w:tc>
        <w:tc>
          <w:tcPr>
            <w:tcW w:w="1870" w:type="dxa"/>
            <w:tcBorders>
              <w:top w:val="single" w:sz="4" w:space="0" w:color="auto"/>
              <w:bottom w:val="single" w:sz="4" w:space="0" w:color="auto"/>
            </w:tcBorders>
          </w:tcPr>
          <w:p w14:paraId="6B93E5F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Precision</w:t>
            </w:r>
          </w:p>
        </w:tc>
        <w:tc>
          <w:tcPr>
            <w:tcW w:w="1870" w:type="dxa"/>
            <w:tcBorders>
              <w:top w:val="single" w:sz="4" w:space="0" w:color="auto"/>
              <w:bottom w:val="single" w:sz="4" w:space="0" w:color="auto"/>
            </w:tcBorders>
          </w:tcPr>
          <w:p w14:paraId="23E9900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Recall</w:t>
            </w:r>
          </w:p>
        </w:tc>
        <w:tc>
          <w:tcPr>
            <w:tcW w:w="1870" w:type="dxa"/>
            <w:tcBorders>
              <w:top w:val="single" w:sz="4" w:space="0" w:color="auto"/>
              <w:bottom w:val="single" w:sz="4" w:space="0" w:color="auto"/>
            </w:tcBorders>
          </w:tcPr>
          <w:p w14:paraId="5246C34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F1-Score</w:t>
            </w:r>
          </w:p>
        </w:tc>
        <w:tc>
          <w:tcPr>
            <w:tcW w:w="1870" w:type="dxa"/>
            <w:tcBorders>
              <w:top w:val="single" w:sz="4" w:space="0" w:color="auto"/>
              <w:bottom w:val="single" w:sz="4" w:space="0" w:color="auto"/>
            </w:tcBorders>
          </w:tcPr>
          <w:p w14:paraId="7FBEE5E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AUC-ROC</w:t>
            </w:r>
          </w:p>
        </w:tc>
      </w:tr>
      <w:tr w:rsidR="00DF08CB" w:rsidRPr="00986EFF" w14:paraId="23CC2193" w14:textId="77777777" w:rsidTr="00DB74E7">
        <w:tc>
          <w:tcPr>
            <w:tcW w:w="1870" w:type="dxa"/>
            <w:tcBorders>
              <w:top w:val="single" w:sz="4" w:space="0" w:color="auto"/>
            </w:tcBorders>
          </w:tcPr>
          <w:p w14:paraId="34F2A42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Physical Only</w:t>
            </w:r>
          </w:p>
        </w:tc>
        <w:tc>
          <w:tcPr>
            <w:tcW w:w="1870" w:type="dxa"/>
            <w:tcBorders>
              <w:top w:val="single" w:sz="4" w:space="0" w:color="auto"/>
            </w:tcBorders>
          </w:tcPr>
          <w:p w14:paraId="5B8FCBC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0.88</w:t>
            </w:r>
          </w:p>
        </w:tc>
        <w:tc>
          <w:tcPr>
            <w:tcW w:w="1870" w:type="dxa"/>
            <w:tcBorders>
              <w:top w:val="single" w:sz="4" w:space="0" w:color="auto"/>
            </w:tcBorders>
          </w:tcPr>
          <w:p w14:paraId="368A3F5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0.84</w:t>
            </w:r>
          </w:p>
        </w:tc>
        <w:tc>
          <w:tcPr>
            <w:tcW w:w="1870" w:type="dxa"/>
            <w:tcBorders>
              <w:top w:val="single" w:sz="4" w:space="0" w:color="auto"/>
            </w:tcBorders>
          </w:tcPr>
          <w:p w14:paraId="70AC5AC5"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0.86</w:t>
            </w:r>
          </w:p>
        </w:tc>
        <w:tc>
          <w:tcPr>
            <w:tcW w:w="1870" w:type="dxa"/>
            <w:tcBorders>
              <w:top w:val="single" w:sz="4" w:space="0" w:color="auto"/>
            </w:tcBorders>
          </w:tcPr>
          <w:p w14:paraId="1F232EE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r>
      <w:tr w:rsidR="00DF08CB" w:rsidRPr="00986EFF" w14:paraId="176776AB" w14:textId="77777777" w:rsidTr="00DB74E7">
        <w:tc>
          <w:tcPr>
            <w:tcW w:w="1870" w:type="dxa"/>
          </w:tcPr>
          <w:p w14:paraId="6930D85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Cyber Only</w:t>
            </w:r>
          </w:p>
        </w:tc>
        <w:tc>
          <w:tcPr>
            <w:tcW w:w="1870" w:type="dxa"/>
          </w:tcPr>
          <w:p w14:paraId="11E7AC6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0.90</w:t>
            </w:r>
          </w:p>
        </w:tc>
        <w:tc>
          <w:tcPr>
            <w:tcW w:w="1870" w:type="dxa"/>
          </w:tcPr>
          <w:p w14:paraId="7FCE243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0.87</w:t>
            </w:r>
          </w:p>
        </w:tc>
        <w:tc>
          <w:tcPr>
            <w:tcW w:w="1870" w:type="dxa"/>
          </w:tcPr>
          <w:p w14:paraId="224F42CB"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0.88</w:t>
            </w:r>
          </w:p>
        </w:tc>
        <w:tc>
          <w:tcPr>
            <w:tcW w:w="1870" w:type="dxa"/>
          </w:tcPr>
          <w:p w14:paraId="55C23B3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r>
      <w:tr w:rsidR="00DF08CB" w:rsidRPr="00986EFF" w14:paraId="18D08B78" w14:textId="77777777" w:rsidTr="00DB74E7">
        <w:tc>
          <w:tcPr>
            <w:tcW w:w="1870" w:type="dxa"/>
          </w:tcPr>
          <w:p w14:paraId="774039F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Early Fusion</w:t>
            </w:r>
          </w:p>
        </w:tc>
        <w:tc>
          <w:tcPr>
            <w:tcW w:w="1870" w:type="dxa"/>
          </w:tcPr>
          <w:p w14:paraId="75FD7DC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0.92</w:t>
            </w:r>
          </w:p>
        </w:tc>
        <w:tc>
          <w:tcPr>
            <w:tcW w:w="1870" w:type="dxa"/>
          </w:tcPr>
          <w:p w14:paraId="18CEC6E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0.89</w:t>
            </w:r>
          </w:p>
        </w:tc>
        <w:tc>
          <w:tcPr>
            <w:tcW w:w="1870" w:type="dxa"/>
          </w:tcPr>
          <w:p w14:paraId="4FB1921D"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0.90</w:t>
            </w:r>
          </w:p>
        </w:tc>
        <w:tc>
          <w:tcPr>
            <w:tcW w:w="1870" w:type="dxa"/>
          </w:tcPr>
          <w:p w14:paraId="6A3F489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0.95</w:t>
            </w:r>
          </w:p>
        </w:tc>
      </w:tr>
      <w:tr w:rsidR="00DF08CB" w:rsidRPr="00986EFF" w14:paraId="6FBCDBBE" w14:textId="77777777" w:rsidTr="00DB74E7">
        <w:tc>
          <w:tcPr>
            <w:tcW w:w="1870" w:type="dxa"/>
          </w:tcPr>
          <w:p w14:paraId="1383406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Late Fusion</w:t>
            </w:r>
          </w:p>
        </w:tc>
        <w:tc>
          <w:tcPr>
            <w:tcW w:w="1870" w:type="dxa"/>
          </w:tcPr>
          <w:p w14:paraId="2D4B7A8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c>
          <w:tcPr>
            <w:tcW w:w="1870" w:type="dxa"/>
          </w:tcPr>
          <w:p w14:paraId="43A85A38"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0.90</w:t>
            </w:r>
          </w:p>
        </w:tc>
        <w:tc>
          <w:tcPr>
            <w:tcW w:w="1870" w:type="dxa"/>
          </w:tcPr>
          <w:p w14:paraId="2C99F3A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870" w:type="dxa"/>
          </w:tcPr>
          <w:p w14:paraId="292446CC"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0.96</w:t>
            </w:r>
          </w:p>
        </w:tc>
      </w:tr>
      <w:tr w:rsidR="00DF08CB" w:rsidRPr="00986EFF" w14:paraId="7CCC736B" w14:textId="77777777" w:rsidTr="00DB74E7">
        <w:tc>
          <w:tcPr>
            <w:tcW w:w="1870" w:type="dxa"/>
          </w:tcPr>
          <w:p w14:paraId="3B470DD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Attention Fusion</w:t>
            </w:r>
          </w:p>
        </w:tc>
        <w:tc>
          <w:tcPr>
            <w:tcW w:w="1870" w:type="dxa"/>
          </w:tcPr>
          <w:p w14:paraId="2FEB013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0.94</w:t>
            </w:r>
          </w:p>
        </w:tc>
        <w:tc>
          <w:tcPr>
            <w:tcW w:w="1870" w:type="dxa"/>
          </w:tcPr>
          <w:p w14:paraId="659999F4"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0.91</w:t>
            </w:r>
          </w:p>
        </w:tc>
        <w:tc>
          <w:tcPr>
            <w:tcW w:w="1870" w:type="dxa"/>
          </w:tcPr>
          <w:p w14:paraId="50B407B9"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0.92</w:t>
            </w:r>
          </w:p>
        </w:tc>
        <w:tc>
          <w:tcPr>
            <w:tcW w:w="1870" w:type="dxa"/>
          </w:tcPr>
          <w:p w14:paraId="25991522"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0.97</w:t>
            </w:r>
          </w:p>
        </w:tc>
      </w:tr>
      <w:tr w:rsidR="00DF08CB" w:rsidRPr="00986EFF" w14:paraId="274A7910" w14:textId="77777777" w:rsidTr="00DB74E7">
        <w:tc>
          <w:tcPr>
            <w:tcW w:w="1870" w:type="dxa"/>
          </w:tcPr>
          <w:p w14:paraId="4A74C74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Full Model</w:t>
            </w:r>
          </w:p>
        </w:tc>
        <w:tc>
          <w:tcPr>
            <w:tcW w:w="1870" w:type="dxa"/>
          </w:tcPr>
          <w:p w14:paraId="7D0EE9DA"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0.96</w:t>
            </w:r>
          </w:p>
        </w:tc>
        <w:tc>
          <w:tcPr>
            <w:tcW w:w="1870" w:type="dxa"/>
          </w:tcPr>
          <w:p w14:paraId="402E4D53"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0.93</w:t>
            </w:r>
          </w:p>
        </w:tc>
        <w:tc>
          <w:tcPr>
            <w:tcW w:w="1870" w:type="dxa"/>
          </w:tcPr>
          <w:p w14:paraId="4B59502E"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0.94</w:t>
            </w:r>
          </w:p>
        </w:tc>
        <w:tc>
          <w:tcPr>
            <w:tcW w:w="1870" w:type="dxa"/>
          </w:tcPr>
          <w:p w14:paraId="3C65C52F"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0.987</w:t>
            </w:r>
          </w:p>
        </w:tc>
      </w:tr>
    </w:tbl>
    <w:p w14:paraId="6F131E3F" w14:textId="77777777" w:rsidR="005227A2" w:rsidRPr="00986EFF" w:rsidRDefault="005227A2" w:rsidP="00986EFF">
      <w:pPr>
        <w:spacing w:line="360" w:lineRule="auto"/>
        <w:jc w:val="both"/>
        <w:rPr>
          <w:rFonts w:ascii="Times New Roman" w:hAnsi="Times New Roman" w:cs="Times New Roman"/>
          <w:color w:val="000000" w:themeColor="text1"/>
          <w:sz w:val="24"/>
          <w:szCs w:val="24"/>
        </w:rPr>
      </w:pPr>
    </w:p>
    <w:p w14:paraId="4B7C4302" w14:textId="77777777" w:rsidR="00FD7A52"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Figure </w:t>
      </w:r>
      <w:r w:rsidR="00FD7A52">
        <w:rPr>
          <w:rFonts w:ascii="Times New Roman" w:hAnsi="Times New Roman" w:cs="Times New Roman"/>
          <w:b/>
          <w:color w:val="000000" w:themeColor="text1"/>
          <w:sz w:val="24"/>
          <w:szCs w:val="24"/>
        </w:rPr>
        <w:t>5</w:t>
      </w:r>
    </w:p>
    <w:p w14:paraId="792381C2"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lastRenderedPageBreak/>
        <w:t>Shapley Value Feature Importance Breakdown</w:t>
      </w:r>
    </w:p>
    <w:p w14:paraId="6235EE1B" w14:textId="77777777" w:rsidR="005227A2" w:rsidRPr="00986EFF" w:rsidRDefault="00AD6F0F"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drawing>
          <wp:inline distT="0" distB="0" distL="0" distR="0" wp14:anchorId="460128AA" wp14:editId="3581DFCB">
            <wp:extent cx="4119513" cy="3157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C CURV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29140" cy="3165234"/>
                    </a:xfrm>
                    <a:prstGeom prst="rect">
                      <a:avLst/>
                    </a:prstGeom>
                  </pic:spPr>
                </pic:pic>
              </a:graphicData>
            </a:graphic>
          </wp:inline>
        </w:drawing>
      </w:r>
    </w:p>
    <w:p w14:paraId="49FC5AC0"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Figure 4: ROC Curves for AI-Based Analytics Models</w:t>
      </w:r>
    </w:p>
    <w:p w14:paraId="71324287"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[ROC curve comparing the full model (AUC-ROC: 0.987) against physical-only, cyber-only, and fusion variants, with the full model closest to the ideal point.]</w:t>
      </w:r>
    </w:p>
    <w:p w14:paraId="302F1986" w14:textId="77777777" w:rsidR="00FD7A52" w:rsidRDefault="00FD7A52" w:rsidP="00986EFF">
      <w:pPr>
        <w:spacing w:line="360" w:lineRule="auto"/>
        <w:jc w:val="both"/>
        <w:rPr>
          <w:rFonts w:ascii="Times New Roman" w:hAnsi="Times New Roman" w:cs="Times New Roman"/>
          <w:b/>
          <w:color w:val="000000" w:themeColor="text1"/>
          <w:sz w:val="24"/>
          <w:szCs w:val="24"/>
        </w:rPr>
      </w:pPr>
    </w:p>
    <w:p w14:paraId="19F2F37D"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Case Studies</w:t>
      </w:r>
    </w:p>
    <w:p w14:paraId="1873B2AB" w14:textId="77777777" w:rsidR="00D3371A" w:rsidRPr="00986EFF" w:rsidRDefault="00D3371A" w:rsidP="00986EFF">
      <w:pPr>
        <w:pStyle w:val="NormalWeb"/>
        <w:spacing w:line="360" w:lineRule="auto"/>
        <w:jc w:val="both"/>
        <w:rPr>
          <w:color w:val="000000" w:themeColor="text1"/>
        </w:rPr>
      </w:pPr>
      <w:r w:rsidRPr="00986EFF">
        <w:rPr>
          <w:color w:val="000000" w:themeColor="text1"/>
        </w:rPr>
        <w:t xml:space="preserve">Three case studies confirmed the system’s real-world effectiveness and alignment with the validation framework. In Facility A (nuclear plant), it detected a simulated insider threat with 97.5% accuracy and 120 </w:t>
      </w:r>
      <w:proofErr w:type="spellStart"/>
      <w:r w:rsidRPr="00986EFF">
        <w:rPr>
          <w:color w:val="000000" w:themeColor="text1"/>
        </w:rPr>
        <w:t>ms</w:t>
      </w:r>
      <w:proofErr w:type="spellEnd"/>
      <w:r w:rsidRPr="00986EFF">
        <w:rPr>
          <w:color w:val="000000" w:themeColor="text1"/>
        </w:rPr>
        <w:t xml:space="preserve"> latency, using biomechanical and cyber anomalies (Al-</w:t>
      </w:r>
      <w:proofErr w:type="spellStart"/>
      <w:r w:rsidRPr="00986EFF">
        <w:rPr>
          <w:color w:val="000000" w:themeColor="text1"/>
        </w:rPr>
        <w:t>Mhiqani</w:t>
      </w:r>
      <w:proofErr w:type="spellEnd"/>
      <w:r w:rsidRPr="00986EFF">
        <w:rPr>
          <w:color w:val="000000" w:themeColor="text1"/>
        </w:rPr>
        <w:t xml:space="preserve"> et al., 2022). Facility B (renewable grid) achieved 94.8% accuracy in identifying compromised credentials, with biomechanical data ruling out coercion (Bhavsar et al., 2024). In Facility C (conventional plant), the system flagged a contractor’s lateral movement with an F1-score of 0.92, aided by pressure anomalies (</w:t>
      </w:r>
      <w:proofErr w:type="spellStart"/>
      <w:r w:rsidRPr="00986EFF">
        <w:rPr>
          <w:color w:val="000000" w:themeColor="text1"/>
        </w:rPr>
        <w:t>Stepscan</w:t>
      </w:r>
      <w:proofErr w:type="spellEnd"/>
      <w:r w:rsidRPr="00986EFF">
        <w:rPr>
          <w:color w:val="000000" w:themeColor="text1"/>
        </w:rPr>
        <w:t xml:space="preserve">, 2024). Figure </w:t>
      </w:r>
      <w:r w:rsidR="00465783">
        <w:rPr>
          <w:color w:val="000000" w:themeColor="text1"/>
        </w:rPr>
        <w:t>6</w:t>
      </w:r>
      <w:r w:rsidRPr="00986EFF">
        <w:rPr>
          <w:color w:val="000000" w:themeColor="text1"/>
        </w:rPr>
        <w:t xml:space="preserve"> shows median latencies confirming real-time performance across all facilities (</w:t>
      </w:r>
      <w:proofErr w:type="spellStart"/>
      <w:r w:rsidRPr="00986EFF">
        <w:rPr>
          <w:color w:val="000000" w:themeColor="text1"/>
        </w:rPr>
        <w:t>Gunuganti</w:t>
      </w:r>
      <w:proofErr w:type="spellEnd"/>
      <w:r w:rsidRPr="00986EFF">
        <w:rPr>
          <w:color w:val="000000" w:themeColor="text1"/>
        </w:rPr>
        <w:t>, 2024).</w:t>
      </w:r>
    </w:p>
    <w:p w14:paraId="2999FCB3" w14:textId="77777777" w:rsidR="00D3371A"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 xml:space="preserve">Figure </w:t>
      </w:r>
      <w:r w:rsidR="00465783">
        <w:rPr>
          <w:rFonts w:ascii="Times New Roman" w:hAnsi="Times New Roman" w:cs="Times New Roman"/>
          <w:b/>
          <w:color w:val="000000" w:themeColor="text1"/>
          <w:sz w:val="24"/>
          <w:szCs w:val="24"/>
        </w:rPr>
        <w:t>6</w:t>
      </w:r>
      <w:r w:rsidRPr="00986EFF">
        <w:rPr>
          <w:rFonts w:ascii="Times New Roman" w:hAnsi="Times New Roman" w:cs="Times New Roman"/>
          <w:b/>
          <w:color w:val="000000" w:themeColor="text1"/>
          <w:sz w:val="24"/>
          <w:szCs w:val="24"/>
        </w:rPr>
        <w:t xml:space="preserve"> </w:t>
      </w:r>
    </w:p>
    <w:p w14:paraId="138029CF" w14:textId="77777777" w:rsidR="00623D61" w:rsidRPr="00986EFF" w:rsidRDefault="00623D61" w:rsidP="00986EFF">
      <w:pPr>
        <w:spacing w:line="360" w:lineRule="auto"/>
        <w:jc w:val="both"/>
        <w:rPr>
          <w:rFonts w:ascii="Times New Roman" w:hAnsi="Times New Roman" w:cs="Times New Roman"/>
          <w:i/>
          <w:color w:val="000000" w:themeColor="text1"/>
          <w:sz w:val="24"/>
          <w:szCs w:val="24"/>
        </w:rPr>
      </w:pPr>
      <w:r w:rsidRPr="00986EFF">
        <w:rPr>
          <w:rFonts w:ascii="Times New Roman" w:hAnsi="Times New Roman" w:cs="Times New Roman"/>
          <w:i/>
          <w:color w:val="000000" w:themeColor="text1"/>
          <w:sz w:val="24"/>
          <w:szCs w:val="24"/>
        </w:rPr>
        <w:lastRenderedPageBreak/>
        <w:t>Detection Latency Distribution Across Facilities</w:t>
      </w:r>
    </w:p>
    <w:p w14:paraId="36D0A851" w14:textId="77777777" w:rsidR="00280738" w:rsidRPr="00986EFF" w:rsidRDefault="00280738"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52734703" wp14:editId="2B7816E2">
            <wp:simplePos x="914400" y="914400"/>
            <wp:positionH relativeFrom="column">
              <wp:align>left</wp:align>
            </wp:positionH>
            <wp:positionV relativeFrom="paragraph">
              <wp:align>top</wp:align>
            </wp:positionV>
            <wp:extent cx="4487813" cy="4279769"/>
            <wp:effectExtent l="0" t="0" r="825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X.png"/>
                    <pic:cNvPicPr/>
                  </pic:nvPicPr>
                  <pic:blipFill>
                    <a:blip r:embed="rId12">
                      <a:extLst>
                        <a:ext uri="{28A0092B-C50C-407E-A947-70E740481C1C}">
                          <a14:useLocalDpi xmlns:a14="http://schemas.microsoft.com/office/drawing/2010/main" val="0"/>
                        </a:ext>
                      </a:extLst>
                    </a:blip>
                    <a:stretch>
                      <a:fillRect/>
                    </a:stretch>
                  </pic:blipFill>
                  <pic:spPr>
                    <a:xfrm>
                      <a:off x="0" y="0"/>
                      <a:ext cx="4487813" cy="4279769"/>
                    </a:xfrm>
                    <a:prstGeom prst="rect">
                      <a:avLst/>
                    </a:prstGeom>
                  </pic:spPr>
                </pic:pic>
              </a:graphicData>
            </a:graphic>
          </wp:anchor>
        </w:drawing>
      </w:r>
      <w:r w:rsidR="00D17730" w:rsidRPr="00986EFF">
        <w:rPr>
          <w:rFonts w:ascii="Times New Roman" w:hAnsi="Times New Roman" w:cs="Times New Roman"/>
          <w:color w:val="000000" w:themeColor="text1"/>
          <w:sz w:val="24"/>
          <w:szCs w:val="24"/>
        </w:rPr>
        <w:br w:type="textWrapping" w:clear="all"/>
      </w:r>
    </w:p>
    <w:p w14:paraId="7DD5F527"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Discussion</w:t>
      </w:r>
    </w:p>
    <w:p w14:paraId="142ACF2F"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federated learning system’s superior performance, with a precision of 0.95, recall of 0.91, and 33% lower latency than centralized models, validates its efficacy in distributed energy environments, aligning with </w:t>
      </w:r>
      <w:proofErr w:type="spellStart"/>
      <w:r w:rsidRPr="00986EFF">
        <w:rPr>
          <w:rFonts w:ascii="Times New Roman" w:hAnsi="Times New Roman" w:cs="Times New Roman"/>
          <w:color w:val="000000" w:themeColor="text1"/>
          <w:sz w:val="24"/>
          <w:szCs w:val="24"/>
        </w:rPr>
        <w:t>Kairouz</w:t>
      </w:r>
      <w:proofErr w:type="spellEnd"/>
      <w:r w:rsidRPr="00986EFF">
        <w:rPr>
          <w:rFonts w:ascii="Times New Roman" w:hAnsi="Times New Roman" w:cs="Times New Roman"/>
          <w:color w:val="000000" w:themeColor="text1"/>
          <w:sz w:val="24"/>
          <w:szCs w:val="24"/>
        </w:rPr>
        <w:t xml:space="preserve"> et al. (2021), who emphasize FL’s ability to leverage diverse data while preserving privacy. The low communication overhead (1.8 MB per round) and robustness to non-IID data (2.1% F1-score variance) confirm scalability and stability, corroborating Zhao et al. (2018). The differential privacy mechanism, maintaining </w:t>
      </w:r>
      <w:r w:rsidRPr="00986EFF">
        <w:rPr>
          <w:rFonts w:ascii="Times New Roman" w:hAnsi="Times New Roman" w:cs="Times New Roman"/>
          <w:i/>
          <w:color w:val="000000" w:themeColor="text1"/>
          <w:sz w:val="24"/>
          <w:szCs w:val="24"/>
        </w:rPr>
        <w:t>ε</w:t>
      </w:r>
      <w:r w:rsidRPr="00986EFF">
        <w:rPr>
          <w:rFonts w:ascii="Times New Roman" w:hAnsi="Times New Roman" w:cs="Times New Roman"/>
          <w:color w:val="000000" w:themeColor="text1"/>
          <w:sz w:val="24"/>
          <w:szCs w:val="24"/>
        </w:rPr>
        <w:t xml:space="preserve"> ≤ 1.2, ensured compliance with GDPR and NERC CIP, addressing ethical concerns about sensitive behavioral data, as raised by Abadi et al. (2016). This privacy-preserving approach enables cross-organizational collaboration, a critical advancement over centralized systems, which struggle with regulatory constraints, as noted by Nguyen et al. (2023). The case studies’ high detection accuracies (94.8–97.5%) across facilities demonstrate practical applicability, supporting </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lastRenderedPageBreak/>
        <w:t>(2024)</w:t>
      </w:r>
      <w:r w:rsidRPr="00986EFF">
        <w:rPr>
          <w:rFonts w:ascii="Times New Roman" w:hAnsi="Times New Roman" w:cs="Times New Roman"/>
          <w:color w:val="000000" w:themeColor="text1"/>
          <w:sz w:val="24"/>
          <w:szCs w:val="24"/>
        </w:rPr>
        <w:t>’s assertion that FL reduces coordinated attack surfaces by enabling knowledge sharing without data exposure. Future research could explore blockchain-enhanced FL to further secure model updates, as suggested by Kim et al. (2023), enhancing trust in multi-stakeholder environments.</w:t>
      </w:r>
    </w:p>
    <w:p w14:paraId="495AF4D9"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biomechanical interfaces’ authentication accuracy of 98.9% and temporal stability (correlation coefficient &gt; 0.92) position them as reliable continuous authentication tools, surpassing traditional biometrics, as reported by Middleton and Buss (2005). The integration of pressure-sensitive floors and hand scanners provided rich behavioral context, detecting subtle anomalies like gait hesitation, which cyber-only systems might miss, aligning with Nature (2022). The human-centered design, with 90% operator approval, addressed usability concerns, supporting emphasis on ergonomic integration. The low FAR (0.7%) and FRR (1.1%) reduced unauthorized access risks, enhancing physical security, as advocated by </w:t>
      </w:r>
      <w:r w:rsidRPr="00986EFF">
        <w:rPr>
          <w:rFonts w:ascii="Times New Roman" w:eastAsia="Times New Roman" w:hAnsi="Times New Roman" w:cs="Times New Roman"/>
          <w:color w:val="000000" w:themeColor="text1"/>
          <w:sz w:val="24"/>
          <w:szCs w:val="24"/>
        </w:rPr>
        <w:t>Amico et al. (2024)</w:t>
      </w:r>
      <w:r w:rsidRPr="00986EFF">
        <w:rPr>
          <w:rFonts w:ascii="Times New Roman" w:hAnsi="Times New Roman" w:cs="Times New Roman"/>
          <w:color w:val="000000" w:themeColor="text1"/>
          <w:sz w:val="24"/>
          <w:szCs w:val="24"/>
        </w:rPr>
        <w:t xml:space="preserve">. However, environmental noise in Facility C reduced accuracy by 1.2%, highlighting a challenge noted by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Future work should explore noise-robust sensors or wearable alternatives to improve resilience in industrial settings, potentially reducing costs, which currently limit scalabilit</w:t>
      </w:r>
      <w:r w:rsidR="009F3F90" w:rsidRPr="00986EFF">
        <w:rPr>
          <w:rFonts w:ascii="Times New Roman" w:hAnsi="Times New Roman" w:cs="Times New Roman"/>
          <w:color w:val="000000" w:themeColor="text1"/>
          <w:sz w:val="24"/>
          <w:szCs w:val="24"/>
        </w:rPr>
        <w:t>y.</w:t>
      </w:r>
    </w:p>
    <w:p w14:paraId="416FFA34"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The AI model’s AUC-ROC of 0.987 and balanced feature contributions (42% biomechanical, 58% cyber) underscore the power of multi-modal fusion, outperforming single-modality models by 6–9%, as predicted by </w:t>
      </w:r>
      <w:r w:rsidRPr="00986EFF">
        <w:rPr>
          <w:rFonts w:ascii="Times New Roman" w:eastAsia="Times New Roman" w:hAnsi="Times New Roman" w:cs="Times New Roman"/>
          <w:color w:val="000000" w:themeColor="text1"/>
          <w:sz w:val="24"/>
          <w:szCs w:val="24"/>
        </w:rPr>
        <w:t>Devine et al. (2025)</w:t>
      </w:r>
      <w:r w:rsidRPr="00986EFF">
        <w:rPr>
          <w:rFonts w:ascii="Times New Roman" w:hAnsi="Times New Roman" w:cs="Times New Roman"/>
          <w:color w:val="000000" w:themeColor="text1"/>
          <w:sz w:val="24"/>
          <w:szCs w:val="24"/>
        </w:rPr>
        <w:t xml:space="preserve">. The Shapley value analysis provided transparency, revealing key indicators like gait hesitation and off-hour logins, enhancing operator trust, as emphasized by Ribeiro et al. (2016). The attention-based fusion mechanism’s superiority, confirmed by statistical tests (p &lt; 0.01), aligns with </w:t>
      </w: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et al. (2022)</w:t>
      </w:r>
      <w:r w:rsidRPr="00986EFF">
        <w:rPr>
          <w:rFonts w:ascii="Times New Roman" w:hAnsi="Times New Roman" w:cs="Times New Roman"/>
          <w:color w:val="000000" w:themeColor="text1"/>
          <w:sz w:val="24"/>
          <w:szCs w:val="24"/>
        </w:rPr>
        <w:t xml:space="preserve">, who advocate dynamic feature weighting for complex threat detection. The model’s robustness against adversarial attacks, improved by </w:t>
      </w:r>
      <w:proofErr w:type="spellStart"/>
      <w:r w:rsidRPr="00986EFF">
        <w:rPr>
          <w:rFonts w:ascii="Times New Roman" w:hAnsi="Times New Roman" w:cs="Times New Roman"/>
          <w:color w:val="000000" w:themeColor="text1"/>
          <w:sz w:val="24"/>
          <w:szCs w:val="24"/>
        </w:rPr>
        <w:t>FedAT</w:t>
      </w:r>
      <w:proofErr w:type="spellEnd"/>
      <w:r w:rsidRPr="00986EFF">
        <w:rPr>
          <w:rFonts w:ascii="Times New Roman" w:hAnsi="Times New Roman" w:cs="Times New Roman"/>
          <w:color w:val="000000" w:themeColor="text1"/>
          <w:sz w:val="24"/>
          <w:szCs w:val="24"/>
        </w:rPr>
        <w:t xml:space="preserve">, addresses vulnerabilities noted by </w:t>
      </w:r>
      <w:proofErr w:type="spellStart"/>
      <w:r w:rsidRPr="00986EFF">
        <w:rPr>
          <w:rFonts w:ascii="Times New Roman" w:eastAsia="Times New Roman" w:hAnsi="Times New Roman" w:cs="Times New Roman"/>
          <w:color w:val="000000" w:themeColor="text1"/>
          <w:sz w:val="24"/>
          <w:szCs w:val="24"/>
        </w:rPr>
        <w:t>Amiri-Zarandi</w:t>
      </w:r>
      <w:proofErr w:type="spellEnd"/>
      <w:r w:rsidRPr="00986EFF">
        <w:rPr>
          <w:rFonts w:ascii="Times New Roman" w:eastAsia="Times New Roman" w:hAnsi="Times New Roman" w:cs="Times New Roman"/>
          <w:color w:val="000000" w:themeColor="text1"/>
          <w:sz w:val="24"/>
          <w:szCs w:val="24"/>
        </w:rPr>
        <w:t xml:space="preserve"> et al. (2023)</w:t>
      </w:r>
      <w:r w:rsidRPr="00986EFF">
        <w:rPr>
          <w:rFonts w:ascii="Times New Roman" w:hAnsi="Times New Roman" w:cs="Times New Roman"/>
          <w:color w:val="000000" w:themeColor="text1"/>
          <w:sz w:val="24"/>
          <w:szCs w:val="24"/>
        </w:rPr>
        <w:t xml:space="preserve">. The case studies’ low false positive rates (25–28% reduction) and real-time latency (135 </w:t>
      </w:r>
      <w:proofErr w:type="spellStart"/>
      <w:r w:rsidRPr="00986EFF">
        <w:rPr>
          <w:rFonts w:ascii="Times New Roman" w:hAnsi="Times New Roman" w:cs="Times New Roman"/>
          <w:color w:val="000000" w:themeColor="text1"/>
          <w:sz w:val="24"/>
          <w:szCs w:val="24"/>
        </w:rPr>
        <w:t>ms</w:t>
      </w:r>
      <w:proofErr w:type="spellEnd"/>
      <w:r w:rsidRPr="00986EFF">
        <w:rPr>
          <w:rFonts w:ascii="Times New Roman" w:hAnsi="Times New Roman" w:cs="Times New Roman"/>
          <w:color w:val="000000" w:themeColor="text1"/>
          <w:sz w:val="24"/>
          <w:szCs w:val="24"/>
        </w:rPr>
        <w:t xml:space="preserve">) meet operational needs, supporting </w:t>
      </w:r>
      <w:r w:rsidRPr="00986EFF">
        <w:rPr>
          <w:rFonts w:ascii="Times New Roman" w:eastAsia="Times New Roman" w:hAnsi="Times New Roman" w:cs="Times New Roman"/>
          <w:color w:val="000000" w:themeColor="text1"/>
          <w:sz w:val="24"/>
          <w:szCs w:val="24"/>
        </w:rPr>
        <w:t xml:space="preserve">Huda </w:t>
      </w:r>
      <w:proofErr w:type="spellStart"/>
      <w:r w:rsidRPr="00986EFF">
        <w:rPr>
          <w:rFonts w:ascii="Times New Roman" w:eastAsia="Times New Roman" w:hAnsi="Times New Roman" w:cs="Times New Roman"/>
          <w:color w:val="000000" w:themeColor="text1"/>
          <w:sz w:val="24"/>
          <w:szCs w:val="24"/>
        </w:rPr>
        <w:t>Kadhim</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Sabah (2024)</w:t>
      </w:r>
      <w:r w:rsidRPr="00986EFF">
        <w:rPr>
          <w:rFonts w:ascii="Times New Roman" w:hAnsi="Times New Roman" w:cs="Times New Roman"/>
          <w:color w:val="000000" w:themeColor="text1"/>
          <w:sz w:val="24"/>
          <w:szCs w:val="24"/>
        </w:rPr>
        <w:t xml:space="preserve">’s call for proactive threat mitigation. Future research could integrate additional modalities, such as video surveillance, to further enhance detection, as suggested by </w:t>
      </w:r>
      <w:r w:rsidRPr="00986EFF">
        <w:rPr>
          <w:rFonts w:ascii="Times New Roman" w:eastAsia="Times New Roman" w:hAnsi="Times New Roman" w:cs="Times New Roman"/>
          <w:color w:val="000000" w:themeColor="text1"/>
          <w:sz w:val="24"/>
          <w:szCs w:val="24"/>
        </w:rPr>
        <w:t xml:space="preserve">Nassim </w:t>
      </w:r>
      <w:proofErr w:type="spellStart"/>
      <w:r w:rsidRPr="00986EFF">
        <w:rPr>
          <w:rFonts w:ascii="Times New Roman" w:eastAsia="Times New Roman" w:hAnsi="Times New Roman" w:cs="Times New Roman"/>
          <w:color w:val="000000" w:themeColor="text1"/>
          <w:sz w:val="24"/>
          <w:szCs w:val="24"/>
        </w:rPr>
        <w:t>Ammour</w:t>
      </w:r>
      <w:proofErr w:type="spellEnd"/>
      <w:r w:rsidRPr="00986EFF">
        <w:rPr>
          <w:rFonts w:ascii="Times New Roman" w:eastAsia="Times New Roman" w:hAnsi="Times New Roman" w:cs="Times New Roman"/>
          <w:color w:val="000000" w:themeColor="text1"/>
          <w:sz w:val="24"/>
          <w:szCs w:val="24"/>
        </w:rPr>
        <w:t xml:space="preserve"> et al. (2023)</w:t>
      </w:r>
      <w:r w:rsidRPr="00986EFF">
        <w:rPr>
          <w:rFonts w:ascii="Times New Roman" w:hAnsi="Times New Roman" w:cs="Times New Roman"/>
          <w:color w:val="000000" w:themeColor="text1"/>
          <w:sz w:val="24"/>
          <w:szCs w:val="24"/>
        </w:rPr>
        <w:t>, and explore explainable AI to facilitate human-in-the-loop decision-making, aligning with Chapter 5 recommendations.</w:t>
      </w:r>
    </w:p>
    <w:p w14:paraId="7FDE80C4"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Practical Implications and Deployment Considerations</w:t>
      </w:r>
    </w:p>
    <w:p w14:paraId="15FEE447"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lastRenderedPageBreak/>
        <w:t xml:space="preserve">The system’s adaptability across diverse facilities, with detection accuracies of 94.8–97.5%, demonstrates its versatility for nuclear, renewable, and conventional energy contexts, addressing the Department of Energy’s implementation challenges, as reported by </w:t>
      </w:r>
      <w:proofErr w:type="spellStart"/>
      <w:r w:rsidRPr="00986EFF">
        <w:rPr>
          <w:rFonts w:ascii="Times New Roman" w:hAnsi="Times New Roman" w:cs="Times New Roman"/>
          <w:color w:val="000000" w:themeColor="text1"/>
          <w:sz w:val="24"/>
          <w:szCs w:val="24"/>
        </w:rPr>
        <w:t>MeriTalk</w:t>
      </w:r>
      <w:proofErr w:type="spellEnd"/>
      <w:r w:rsidRPr="00986EFF">
        <w:rPr>
          <w:rFonts w:ascii="Times New Roman" w:hAnsi="Times New Roman" w:cs="Times New Roman"/>
          <w:color w:val="000000" w:themeColor="text1"/>
          <w:sz w:val="24"/>
          <w:szCs w:val="24"/>
        </w:rPr>
        <w:t xml:space="preserve"> (2023). The federated architecture’s modular design supports incremental deployment, allowing facilities to adopt components based on risk profiles, as recommended by </w:t>
      </w:r>
      <w:r w:rsidRPr="00986EFF">
        <w:rPr>
          <w:rFonts w:ascii="Times New Roman" w:eastAsia="Times New Roman" w:hAnsi="Times New Roman" w:cs="Times New Roman"/>
          <w:color w:val="000000" w:themeColor="text1"/>
          <w:sz w:val="24"/>
          <w:szCs w:val="24"/>
        </w:rPr>
        <w:t>(Ofosu-</w:t>
      </w:r>
      <w:proofErr w:type="spellStart"/>
      <w:r w:rsidRPr="00986EFF">
        <w:rPr>
          <w:rFonts w:ascii="Times New Roman" w:eastAsia="Times New Roman" w:hAnsi="Times New Roman" w:cs="Times New Roman"/>
          <w:color w:val="000000" w:themeColor="text1"/>
          <w:sz w:val="24"/>
          <w:szCs w:val="24"/>
        </w:rPr>
        <w:t>Peasah</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xml:space="preserve">. The 28% reduction in false positives minimizes operational disruptions, enabling rapid incident response, as noted by </w:t>
      </w:r>
      <w:r w:rsidRPr="00986EFF">
        <w:rPr>
          <w:rFonts w:ascii="Times New Roman" w:eastAsia="Times New Roman" w:hAnsi="Times New Roman" w:cs="Times New Roman"/>
          <w:color w:val="000000" w:themeColor="text1"/>
          <w:sz w:val="24"/>
          <w:szCs w:val="24"/>
        </w:rPr>
        <w:t xml:space="preserve">(David </w:t>
      </w:r>
      <w:r w:rsidR="00DF08CB" w:rsidRPr="00986EFF">
        <w:rPr>
          <w:rFonts w:ascii="Times New Roman" w:eastAsia="Times New Roman" w:hAnsi="Times New Roman" w:cs="Times New Roman"/>
          <w:color w:val="000000" w:themeColor="text1"/>
          <w:sz w:val="24"/>
          <w:szCs w:val="24"/>
        </w:rPr>
        <w:t>and</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Tijjani</w:t>
      </w:r>
      <w:proofErr w:type="spellEnd"/>
      <w:r w:rsidRPr="00986EFF">
        <w:rPr>
          <w:rFonts w:ascii="Times New Roman" w:eastAsia="Times New Roman" w:hAnsi="Times New Roman" w:cs="Times New Roman"/>
          <w:color w:val="000000" w:themeColor="text1"/>
          <w:sz w:val="24"/>
          <w:szCs w:val="24"/>
        </w:rPr>
        <w:t>, 2025)</w:t>
      </w:r>
      <w:r w:rsidRPr="00986EFF">
        <w:rPr>
          <w:rFonts w:ascii="Times New Roman" w:hAnsi="Times New Roman" w:cs="Times New Roman"/>
          <w:color w:val="000000" w:themeColor="text1"/>
          <w:sz w:val="24"/>
          <w:szCs w:val="24"/>
        </w:rPr>
        <w:t xml:space="preserve">. Ethical compliance, ensured by differential privacy and institutional oversight, aligns with Nguyen et al. (2023), fostering trust in sensitive environments. However, high sensor costs, estimated at $12,000 per 100 square meters, may deter smaller facilities. Longitudinal field deployments, as suggested by </w:t>
      </w: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et al. (2024)</w:t>
      </w:r>
      <w:r w:rsidRPr="00986EFF">
        <w:rPr>
          <w:rFonts w:ascii="Times New Roman" w:hAnsi="Times New Roman" w:cs="Times New Roman"/>
          <w:color w:val="000000" w:themeColor="text1"/>
          <w:sz w:val="24"/>
          <w:szCs w:val="24"/>
        </w:rPr>
        <w:t>, could validate scalability in operational settings, enhancing adoption.</w:t>
      </w:r>
    </w:p>
    <w:p w14:paraId="6E88420B" w14:textId="77777777" w:rsidR="00623D61" w:rsidRPr="00986EFF" w:rsidRDefault="00623D61" w:rsidP="00986EFF">
      <w:pPr>
        <w:spacing w:line="360" w:lineRule="auto"/>
        <w:jc w:val="both"/>
        <w:rPr>
          <w:rFonts w:ascii="Times New Roman" w:hAnsi="Times New Roman" w:cs="Times New Roman"/>
          <w:b/>
          <w:color w:val="000000" w:themeColor="text1"/>
          <w:sz w:val="24"/>
          <w:szCs w:val="24"/>
        </w:rPr>
      </w:pPr>
      <w:r w:rsidRPr="00986EFF">
        <w:rPr>
          <w:rFonts w:ascii="Times New Roman" w:hAnsi="Times New Roman" w:cs="Times New Roman"/>
          <w:b/>
          <w:color w:val="000000" w:themeColor="text1"/>
          <w:sz w:val="24"/>
          <w:szCs w:val="24"/>
        </w:rPr>
        <w:t>Limitations and Future Research Directions</w:t>
      </w:r>
    </w:p>
    <w:p w14:paraId="7C5AA06B" w14:textId="77777777" w:rsidR="00623D61" w:rsidRPr="00986EFF" w:rsidRDefault="00623D61" w:rsidP="00986EFF">
      <w:pPr>
        <w:spacing w:after="0" w:line="360" w:lineRule="auto"/>
        <w:jc w:val="both"/>
        <w:rPr>
          <w:rFonts w:ascii="Times New Roman" w:eastAsia="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 xml:space="preserve">Despite promising results, the study’s reliance on synthetic datasets for 70% of training data, due to limited real-world insider threat records, may limit generalizability, as cautioned by </w:t>
      </w:r>
      <w:proofErr w:type="spell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xml:space="preserve"> (2024)</w:t>
      </w:r>
      <w:r w:rsidRPr="00986EFF">
        <w:rPr>
          <w:rFonts w:ascii="Times New Roman" w:hAnsi="Times New Roman" w:cs="Times New Roman"/>
          <w:color w:val="000000" w:themeColor="text1"/>
          <w:sz w:val="24"/>
          <w:szCs w:val="24"/>
        </w:rPr>
        <w:t xml:space="preserve">. Real-world datasets, incorporating operational noise like electromagnetic interference, could enhance robustness. The high cost of biomechanical sensors poses scalability challenges, particularly for resource-constrained facilities, as noted by </w:t>
      </w:r>
      <w:proofErr w:type="spellStart"/>
      <w:r w:rsidRPr="00986EFF">
        <w:rPr>
          <w:rFonts w:ascii="Times New Roman" w:hAnsi="Times New Roman" w:cs="Times New Roman"/>
          <w:color w:val="000000" w:themeColor="text1"/>
          <w:sz w:val="24"/>
          <w:szCs w:val="24"/>
        </w:rPr>
        <w:t>Stepscan</w:t>
      </w:r>
      <w:proofErr w:type="spellEnd"/>
      <w:r w:rsidRPr="00986EFF">
        <w:rPr>
          <w:rFonts w:ascii="Times New Roman" w:hAnsi="Times New Roman" w:cs="Times New Roman"/>
          <w:color w:val="000000" w:themeColor="text1"/>
          <w:sz w:val="24"/>
          <w:szCs w:val="24"/>
        </w:rPr>
        <w:t xml:space="preserve"> (2024). Exploring low-cost alternatives, such as wearable sensors, could democratize access. Adversarial robustness, while improved by </w:t>
      </w:r>
      <w:proofErr w:type="spellStart"/>
      <w:r w:rsidRPr="00986EFF">
        <w:rPr>
          <w:rFonts w:ascii="Times New Roman" w:hAnsi="Times New Roman" w:cs="Times New Roman"/>
          <w:color w:val="000000" w:themeColor="text1"/>
          <w:sz w:val="24"/>
          <w:szCs w:val="24"/>
        </w:rPr>
        <w:t>FedAT</w:t>
      </w:r>
      <w:proofErr w:type="spellEnd"/>
      <w:r w:rsidRPr="00986EFF">
        <w:rPr>
          <w:rFonts w:ascii="Times New Roman" w:hAnsi="Times New Roman" w:cs="Times New Roman"/>
          <w:color w:val="000000" w:themeColor="text1"/>
          <w:sz w:val="24"/>
          <w:szCs w:val="24"/>
        </w:rPr>
        <w:t xml:space="preserve">, requires testing against sophisticated attacks, as suggested by </w:t>
      </w:r>
      <w:r w:rsidRPr="00986EFF">
        <w:rPr>
          <w:rFonts w:ascii="Times New Roman" w:eastAsia="Times New Roman" w:hAnsi="Times New Roman" w:cs="Times New Roman"/>
          <w:color w:val="000000" w:themeColor="text1"/>
          <w:sz w:val="24"/>
          <w:szCs w:val="24"/>
        </w:rPr>
        <w:t>Kumar et al. (2024)</w:t>
      </w:r>
      <w:r w:rsidRPr="00986EFF">
        <w:rPr>
          <w:rFonts w:ascii="Times New Roman" w:hAnsi="Times New Roman" w:cs="Times New Roman"/>
          <w:color w:val="000000" w:themeColor="text1"/>
          <w:sz w:val="24"/>
          <w:szCs w:val="24"/>
        </w:rPr>
        <w:t xml:space="preserve">. The system’s performance in dynamic threat environments, such as coordinated insider attacks, remains untested, warranting further study, as proposed by </w:t>
      </w:r>
      <w:r w:rsidRPr="00986EFF">
        <w:rPr>
          <w:rFonts w:ascii="Times New Roman" w:eastAsia="Times New Roman" w:hAnsi="Times New Roman" w:cs="Times New Roman"/>
          <w:color w:val="000000" w:themeColor="text1"/>
          <w:sz w:val="24"/>
          <w:szCs w:val="24"/>
        </w:rPr>
        <w:t>Wen et al. (2025)</w:t>
      </w:r>
      <w:r w:rsidRPr="00986EFF">
        <w:rPr>
          <w:rFonts w:ascii="Times New Roman" w:hAnsi="Times New Roman" w:cs="Times New Roman"/>
          <w:color w:val="000000" w:themeColor="text1"/>
          <w:sz w:val="24"/>
          <w:szCs w:val="24"/>
        </w:rPr>
        <w:t xml:space="preserve">. Integrating additional data sources, like CCTV or voice recognition, could enhance detection, aligning with </w:t>
      </w:r>
      <w:r w:rsidRPr="00986EFF">
        <w:rPr>
          <w:rFonts w:ascii="Times New Roman" w:eastAsia="Times New Roman" w:hAnsi="Times New Roman" w:cs="Times New Roman"/>
          <w:color w:val="000000" w:themeColor="text1"/>
          <w:sz w:val="24"/>
          <w:szCs w:val="24"/>
        </w:rPr>
        <w:t xml:space="preserve">Nassim </w:t>
      </w:r>
      <w:proofErr w:type="spellStart"/>
      <w:r w:rsidRPr="00986EFF">
        <w:rPr>
          <w:rFonts w:ascii="Times New Roman" w:eastAsia="Times New Roman" w:hAnsi="Times New Roman" w:cs="Times New Roman"/>
          <w:color w:val="000000" w:themeColor="text1"/>
          <w:sz w:val="24"/>
          <w:szCs w:val="24"/>
        </w:rPr>
        <w:t>Ammour</w:t>
      </w:r>
      <w:proofErr w:type="spellEnd"/>
      <w:r w:rsidRPr="00986EFF">
        <w:rPr>
          <w:rFonts w:ascii="Times New Roman" w:eastAsia="Times New Roman" w:hAnsi="Times New Roman" w:cs="Times New Roman"/>
          <w:color w:val="000000" w:themeColor="text1"/>
          <w:sz w:val="24"/>
          <w:szCs w:val="24"/>
        </w:rPr>
        <w:t xml:space="preserve"> et al. (2023)</w:t>
      </w:r>
      <w:r w:rsidRPr="00986EFF">
        <w:rPr>
          <w:rFonts w:ascii="Times New Roman" w:hAnsi="Times New Roman" w:cs="Times New Roman"/>
          <w:color w:val="000000" w:themeColor="text1"/>
          <w:sz w:val="24"/>
          <w:szCs w:val="24"/>
        </w:rPr>
        <w:t xml:space="preserve">, while explainable AI techniques could improve operator trust, as advocated by Ribeiro et al. (2016). </w:t>
      </w:r>
    </w:p>
    <w:p w14:paraId="3BC935F6" w14:textId="77777777" w:rsidR="00623D61" w:rsidRPr="00986EFF" w:rsidRDefault="00623D61" w:rsidP="00986EFF">
      <w:pPr>
        <w:spacing w:line="360" w:lineRule="auto"/>
        <w:jc w:val="both"/>
        <w:rPr>
          <w:rFonts w:ascii="Times New Roman" w:hAnsi="Times New Roman" w:cs="Times New Roman"/>
          <w:color w:val="000000" w:themeColor="text1"/>
          <w:sz w:val="24"/>
          <w:szCs w:val="24"/>
        </w:rPr>
      </w:pPr>
    </w:p>
    <w:p w14:paraId="3127F968"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b/>
          <w:color w:val="000000" w:themeColor="text1"/>
          <w:sz w:val="24"/>
          <w:szCs w:val="24"/>
        </w:rPr>
      </w:pPr>
      <w:r w:rsidRPr="00986EFF">
        <w:rPr>
          <w:rFonts w:ascii="Times New Roman" w:eastAsia="Times New Roman" w:hAnsi="Times New Roman" w:cs="Times New Roman"/>
          <w:b/>
          <w:color w:val="000000" w:themeColor="text1"/>
          <w:sz w:val="24"/>
          <w:szCs w:val="24"/>
        </w:rPr>
        <w:t>5</w:t>
      </w:r>
      <w:r w:rsidRPr="00986EFF">
        <w:rPr>
          <w:rFonts w:ascii="Times New Roman" w:eastAsia="Times New Roman" w:hAnsi="Times New Roman" w:cs="Times New Roman"/>
          <w:b/>
          <w:color w:val="000000" w:themeColor="text1"/>
          <w:sz w:val="24"/>
          <w:szCs w:val="24"/>
        </w:rPr>
        <w:tab/>
        <w:t>Conclusions and Recommendations</w:t>
      </w:r>
    </w:p>
    <w:p w14:paraId="6597D8DB"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Conclusions</w:t>
      </w:r>
    </w:p>
    <w:p w14:paraId="0D672DBE"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This study successfully developed and validated a federated detection system for insider threats in energy facilities by integrating biomechanical access control with AI-based cybersecurity </w:t>
      </w:r>
      <w:r w:rsidRPr="00986EFF">
        <w:rPr>
          <w:rFonts w:ascii="Times New Roman" w:eastAsia="Times New Roman" w:hAnsi="Times New Roman" w:cs="Times New Roman"/>
          <w:color w:val="000000" w:themeColor="text1"/>
          <w:sz w:val="24"/>
          <w:szCs w:val="24"/>
        </w:rPr>
        <w:lastRenderedPageBreak/>
        <w:t xml:space="preserve">analytics. It addressed the challenges of data privacy, distributed facility operations, and the need for cohesive physical-cyber security systems. The literature review revealed that while federated learning and biomechanical authentication each hold </w:t>
      </w:r>
      <w:proofErr w:type="gramStart"/>
      <w:r w:rsidRPr="00986EFF">
        <w:rPr>
          <w:rFonts w:ascii="Times New Roman" w:eastAsia="Times New Roman" w:hAnsi="Times New Roman" w:cs="Times New Roman"/>
          <w:color w:val="000000" w:themeColor="text1"/>
          <w:sz w:val="24"/>
          <w:szCs w:val="24"/>
        </w:rPr>
        <w:t>promise</w:t>
      </w:r>
      <w:proofErr w:type="gramEnd"/>
      <w:r w:rsidRPr="00986EFF">
        <w:rPr>
          <w:rFonts w:ascii="Times New Roman" w:eastAsia="Times New Roman" w:hAnsi="Times New Roman" w:cs="Times New Roman"/>
          <w:color w:val="000000" w:themeColor="text1"/>
          <w:sz w:val="24"/>
          <w:szCs w:val="24"/>
        </w:rPr>
        <w:t>, their combined use for insider threat detection in the energy sector has been largely unexplored. This research introduced a methodology involving hierarchical federated learning, biomechanical sensing, and AI analytics, validated through nested cross-validation, differential privacy, and ablation studies.</w:t>
      </w:r>
    </w:p>
    <w:p w14:paraId="4A527FE1"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Experimental results demonstrated the proposed system’s superiority over traditional centralized and localized models. The federated system achieved 95% precision, 91% recall, and an AUC-ROC of 0.97, with detection latency under 150 milliseconds and privacy budgets within acceptable limits. Biomechanical interfaces produced stable and accurate behavioral data, enhancing detection accuracy to over 96%. Case studies further confirmed the system's effectiveness and usability across varied energy facilities.</w:t>
      </w:r>
    </w:p>
    <w:p w14:paraId="5A00BADF"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Federated learning was found to enable secure and privacy-preserving collaboration across multiple facilities. Biomechanical systems offered continuous, reliable authentication, and their integration with cyber analytics significantly improved detection capabilities. Attention-based fusion in multi-modal AI models proved more effective than single-domain approaches, ensuring low-latency, real-world viability. Privacy-preserving techniques like differential privacy and secure aggregation were critical for trust and regulatory compliance. The framework showed strong scalability and adaptability across different energy environments.</w:t>
      </w:r>
    </w:p>
    <w:p w14:paraId="690DD892"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b/>
          <w:bCs/>
          <w:color w:val="000000" w:themeColor="text1"/>
          <w:sz w:val="24"/>
          <w:szCs w:val="24"/>
        </w:rPr>
        <w:t>Recommendations</w:t>
      </w:r>
    </w:p>
    <w:p w14:paraId="533A57E4" w14:textId="77777777" w:rsidR="00C44F14" w:rsidRPr="00986EFF" w:rsidRDefault="00C44F14" w:rsidP="00986EFF">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It is recommended that energy sector stakeholders adopt federated learning systems to enhance security while preserving privacy. Biomechanical access technologies should be implemented to support continuous monitoring. Future research should explore long-term deployments, cost-effective sensor setups, adversarial robustness, and explainable AI. Integration with traditional security systems and updated regulatory recognition of these technologies will further support the protection of critical infrastructure against insider threats.</w:t>
      </w:r>
    </w:p>
    <w:p w14:paraId="004AB387" w14:textId="77777777" w:rsidR="00D17730" w:rsidRDefault="00D17730" w:rsidP="00986EFF">
      <w:pPr>
        <w:spacing w:line="360" w:lineRule="auto"/>
        <w:jc w:val="both"/>
        <w:rPr>
          <w:rFonts w:ascii="Times New Roman" w:hAnsi="Times New Roman" w:cs="Times New Roman"/>
          <w:color w:val="000000" w:themeColor="text1"/>
          <w:sz w:val="24"/>
          <w:szCs w:val="24"/>
        </w:rPr>
      </w:pPr>
    </w:p>
    <w:p w14:paraId="4CD5F285" w14:textId="77777777" w:rsidR="00465783" w:rsidRPr="00986EFF" w:rsidRDefault="00465783" w:rsidP="00986EFF">
      <w:pPr>
        <w:spacing w:line="360" w:lineRule="auto"/>
        <w:jc w:val="both"/>
        <w:rPr>
          <w:rFonts w:ascii="Times New Roman" w:hAnsi="Times New Roman" w:cs="Times New Roman"/>
          <w:color w:val="000000" w:themeColor="text1"/>
          <w:sz w:val="24"/>
          <w:szCs w:val="24"/>
        </w:rPr>
      </w:pPr>
    </w:p>
    <w:p w14:paraId="46C5C62A"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Disclaimer (Artificial intelligence)</w:t>
      </w:r>
    </w:p>
    <w:p w14:paraId="2C500610"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p>
    <w:p w14:paraId="15054E42"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r w:rsidRPr="00986EFF">
        <w:rPr>
          <w:rFonts w:ascii="Times New Roman" w:hAnsi="Times New Roman" w:cs="Times New Roman"/>
          <w:color w:val="000000" w:themeColor="text1"/>
          <w:sz w:val="24"/>
          <w:szCs w:val="24"/>
        </w:rPr>
        <w:t>Author(s) hereby declare that NO generative AI technologies such as Large Language Models (</w:t>
      </w:r>
      <w:proofErr w:type="spellStart"/>
      <w:r w:rsidRPr="00986EFF">
        <w:rPr>
          <w:rFonts w:ascii="Times New Roman" w:hAnsi="Times New Roman" w:cs="Times New Roman"/>
          <w:color w:val="000000" w:themeColor="text1"/>
          <w:sz w:val="24"/>
          <w:szCs w:val="24"/>
        </w:rPr>
        <w:t>ChatGPT</w:t>
      </w:r>
      <w:proofErr w:type="spellEnd"/>
      <w:r w:rsidRPr="00986EFF">
        <w:rPr>
          <w:rFonts w:ascii="Times New Roman" w:hAnsi="Times New Roman" w:cs="Times New Roman"/>
          <w:color w:val="000000" w:themeColor="text1"/>
          <w:sz w:val="24"/>
          <w:szCs w:val="24"/>
        </w:rPr>
        <w:t xml:space="preserve">, COPILOT, etc.) and text-to-image generators have been used during the writing or editing of this manuscript. </w:t>
      </w:r>
    </w:p>
    <w:p w14:paraId="07980788" w14:textId="77777777" w:rsidR="00623D61" w:rsidRDefault="00623D61" w:rsidP="00986EFF">
      <w:pPr>
        <w:spacing w:line="360" w:lineRule="auto"/>
        <w:jc w:val="both"/>
        <w:rPr>
          <w:rFonts w:ascii="Times New Roman" w:hAnsi="Times New Roman" w:cs="Times New Roman"/>
          <w:color w:val="000000" w:themeColor="text1"/>
          <w:sz w:val="24"/>
          <w:szCs w:val="24"/>
        </w:rPr>
      </w:pPr>
    </w:p>
    <w:p w14:paraId="6E659FCE" w14:textId="77777777" w:rsidR="00465783" w:rsidRDefault="00465783" w:rsidP="00986EFF">
      <w:pPr>
        <w:spacing w:line="360" w:lineRule="auto"/>
        <w:jc w:val="both"/>
        <w:rPr>
          <w:rFonts w:ascii="Times New Roman" w:hAnsi="Times New Roman" w:cs="Times New Roman"/>
          <w:color w:val="000000" w:themeColor="text1"/>
          <w:sz w:val="24"/>
          <w:szCs w:val="24"/>
        </w:rPr>
      </w:pPr>
    </w:p>
    <w:p w14:paraId="4BB092E7" w14:textId="77777777" w:rsidR="00465783" w:rsidRPr="00465783" w:rsidRDefault="00465783" w:rsidP="00986EFF">
      <w:pPr>
        <w:spacing w:line="360" w:lineRule="auto"/>
        <w:jc w:val="both"/>
        <w:rPr>
          <w:rFonts w:ascii="Times New Roman" w:hAnsi="Times New Roman" w:cs="Times New Roman"/>
          <w:b/>
          <w:color w:val="000000" w:themeColor="text1"/>
          <w:sz w:val="24"/>
          <w:szCs w:val="24"/>
        </w:rPr>
      </w:pPr>
      <w:r w:rsidRPr="00465783">
        <w:rPr>
          <w:rFonts w:ascii="Times New Roman" w:hAnsi="Times New Roman" w:cs="Times New Roman"/>
          <w:b/>
          <w:color w:val="000000" w:themeColor="text1"/>
          <w:sz w:val="24"/>
          <w:szCs w:val="24"/>
        </w:rPr>
        <w:t>References</w:t>
      </w:r>
    </w:p>
    <w:p w14:paraId="5000858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Abadi, M., Chu, A., Goodfellow, I., McMahan, H. B., Mironov, I., Talwar, K., &amp; Zhang, L. (2016). Deep Learning with Differential Privacy. </w:t>
      </w:r>
      <w:r w:rsidRPr="00986EFF">
        <w:rPr>
          <w:rFonts w:ascii="Times New Roman" w:eastAsia="Times New Roman" w:hAnsi="Times New Roman" w:cs="Times New Roman"/>
          <w:i/>
          <w:iCs/>
          <w:color w:val="000000" w:themeColor="text1"/>
          <w:sz w:val="24"/>
          <w:szCs w:val="24"/>
        </w:rPr>
        <w:t>Proceedings of the 2016 ACM SIGSAC Conference on Computer and Communications Security - CCS’16</w:t>
      </w:r>
      <w:r w:rsidRPr="00986EFF">
        <w:rPr>
          <w:rFonts w:ascii="Times New Roman" w:eastAsia="Times New Roman" w:hAnsi="Times New Roman" w:cs="Times New Roman"/>
          <w:color w:val="000000" w:themeColor="text1"/>
          <w:sz w:val="24"/>
          <w:szCs w:val="24"/>
        </w:rPr>
        <w:t>. https://doi.org/10.1145/2976749.2978318</w:t>
      </w:r>
    </w:p>
    <w:p w14:paraId="3F0E7AAF"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Adeola </w:t>
      </w:r>
      <w:proofErr w:type="spellStart"/>
      <w:r w:rsidRPr="00986EFF">
        <w:rPr>
          <w:rFonts w:ascii="Times New Roman" w:eastAsia="Times New Roman" w:hAnsi="Times New Roman" w:cs="Times New Roman"/>
          <w:color w:val="000000" w:themeColor="text1"/>
          <w:sz w:val="24"/>
          <w:szCs w:val="24"/>
        </w:rPr>
        <w:t>Adenubi</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Ayorinde</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Oduroye</w:t>
      </w:r>
      <w:proofErr w:type="spellEnd"/>
      <w:r w:rsidRPr="00986EFF">
        <w:rPr>
          <w:rFonts w:ascii="Times New Roman" w:eastAsia="Times New Roman" w:hAnsi="Times New Roman" w:cs="Times New Roman"/>
          <w:color w:val="000000" w:themeColor="text1"/>
          <w:sz w:val="24"/>
          <w:szCs w:val="24"/>
        </w:rPr>
        <w:t xml:space="preserve">, &amp; </w:t>
      </w:r>
      <w:proofErr w:type="spellStart"/>
      <w:r w:rsidRPr="00986EFF">
        <w:rPr>
          <w:rFonts w:ascii="Times New Roman" w:eastAsia="Times New Roman" w:hAnsi="Times New Roman" w:cs="Times New Roman"/>
          <w:color w:val="000000" w:themeColor="text1"/>
          <w:sz w:val="24"/>
          <w:szCs w:val="24"/>
        </w:rPr>
        <w:t>Sarumi</w:t>
      </w:r>
      <w:proofErr w:type="spellEnd"/>
      <w:r w:rsidRPr="00986EFF">
        <w:rPr>
          <w:rFonts w:ascii="Times New Roman" w:eastAsia="Times New Roman" w:hAnsi="Times New Roman" w:cs="Times New Roman"/>
          <w:color w:val="000000" w:themeColor="text1"/>
          <w:sz w:val="24"/>
          <w:szCs w:val="24"/>
        </w:rPr>
        <w:t xml:space="preserve">, J. (2024). </w:t>
      </w:r>
      <w:r w:rsidRPr="00986EFF">
        <w:rPr>
          <w:rFonts w:ascii="Times New Roman" w:eastAsia="Times New Roman" w:hAnsi="Times New Roman" w:cs="Times New Roman"/>
          <w:i/>
          <w:iCs/>
          <w:color w:val="000000" w:themeColor="text1"/>
          <w:sz w:val="24"/>
          <w:szCs w:val="24"/>
        </w:rPr>
        <w:t>HUMAN FACTORS AND HUMAN-COMPUTER INTERACTION</w:t>
      </w:r>
      <w:r w:rsidRPr="00986EFF">
        <w:rPr>
          <w:rFonts w:ascii="Times New Roman" w:eastAsia="Times New Roman" w:hAnsi="Times New Roman" w:cs="Times New Roman"/>
          <w:color w:val="000000" w:themeColor="text1"/>
          <w:sz w:val="24"/>
          <w:szCs w:val="24"/>
        </w:rPr>
        <w:t>. https://www.researchgate.net/publication/380728031_HUMAN_FACTORS_AND_HUMAN-COMPUTER_INTERACTION</w:t>
      </w:r>
    </w:p>
    <w:p w14:paraId="298556BB"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Al-</w:t>
      </w:r>
      <w:proofErr w:type="spellStart"/>
      <w:r w:rsidRPr="00986EFF">
        <w:rPr>
          <w:rFonts w:ascii="Times New Roman" w:eastAsia="Times New Roman" w:hAnsi="Times New Roman" w:cs="Times New Roman"/>
          <w:color w:val="000000" w:themeColor="text1"/>
          <w:sz w:val="24"/>
          <w:szCs w:val="24"/>
        </w:rPr>
        <w:t>Mhiqani</w:t>
      </w:r>
      <w:proofErr w:type="spellEnd"/>
      <w:r w:rsidRPr="00986EFF">
        <w:rPr>
          <w:rFonts w:ascii="Times New Roman" w:eastAsia="Times New Roman" w:hAnsi="Times New Roman" w:cs="Times New Roman"/>
          <w:color w:val="000000" w:themeColor="text1"/>
          <w:sz w:val="24"/>
          <w:szCs w:val="24"/>
        </w:rPr>
        <w:t xml:space="preserve">, M. N., Ahmad, R., </w:t>
      </w:r>
      <w:proofErr w:type="spellStart"/>
      <w:r w:rsidRPr="00986EFF">
        <w:rPr>
          <w:rFonts w:ascii="Times New Roman" w:eastAsia="Times New Roman" w:hAnsi="Times New Roman" w:cs="Times New Roman"/>
          <w:color w:val="000000" w:themeColor="text1"/>
          <w:sz w:val="24"/>
          <w:szCs w:val="24"/>
        </w:rPr>
        <w:t>Abidin</w:t>
      </w:r>
      <w:proofErr w:type="spellEnd"/>
      <w:r w:rsidRPr="00986EFF">
        <w:rPr>
          <w:rFonts w:ascii="Times New Roman" w:eastAsia="Times New Roman" w:hAnsi="Times New Roman" w:cs="Times New Roman"/>
          <w:color w:val="000000" w:themeColor="text1"/>
          <w:sz w:val="24"/>
          <w:szCs w:val="24"/>
        </w:rPr>
        <w:t xml:space="preserve">, Z. Z., </w:t>
      </w:r>
      <w:proofErr w:type="spellStart"/>
      <w:r w:rsidRPr="00986EFF">
        <w:rPr>
          <w:rFonts w:ascii="Times New Roman" w:eastAsia="Times New Roman" w:hAnsi="Times New Roman" w:cs="Times New Roman"/>
          <w:color w:val="000000" w:themeColor="text1"/>
          <w:sz w:val="24"/>
          <w:szCs w:val="24"/>
        </w:rPr>
        <w:t>Abdulkareem</w:t>
      </w:r>
      <w:proofErr w:type="spellEnd"/>
      <w:r w:rsidRPr="00986EFF">
        <w:rPr>
          <w:rFonts w:ascii="Times New Roman" w:eastAsia="Times New Roman" w:hAnsi="Times New Roman" w:cs="Times New Roman"/>
          <w:color w:val="000000" w:themeColor="text1"/>
          <w:sz w:val="24"/>
          <w:szCs w:val="24"/>
        </w:rPr>
        <w:t xml:space="preserve">, K. H., Mohammed, M. A., Gupta, D., &amp; Shankar, K. (2022). A new intelligent multilayer framework for insider threat detection. </w:t>
      </w:r>
      <w:r w:rsidRPr="00986EFF">
        <w:rPr>
          <w:rFonts w:ascii="Times New Roman" w:eastAsia="Times New Roman" w:hAnsi="Times New Roman" w:cs="Times New Roman"/>
          <w:i/>
          <w:iCs/>
          <w:color w:val="000000" w:themeColor="text1"/>
          <w:sz w:val="24"/>
          <w:szCs w:val="24"/>
        </w:rPr>
        <w:t>Computers &amp; Electrical Engineering</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97</w:t>
      </w:r>
      <w:r w:rsidRPr="00986EFF">
        <w:rPr>
          <w:rFonts w:ascii="Times New Roman" w:eastAsia="Times New Roman" w:hAnsi="Times New Roman" w:cs="Times New Roman"/>
          <w:color w:val="000000" w:themeColor="text1"/>
          <w:sz w:val="24"/>
          <w:szCs w:val="24"/>
        </w:rPr>
        <w:t>, 107597. https://doi.org/10.1016/j.compeleceng.2021.107597</w:t>
      </w:r>
    </w:p>
    <w:p w14:paraId="7B5CFE86"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Álvarez-Aparicio, C., Guerrero-</w:t>
      </w:r>
      <w:proofErr w:type="spellStart"/>
      <w:r w:rsidRPr="00986EFF">
        <w:rPr>
          <w:rFonts w:ascii="Times New Roman" w:eastAsia="Times New Roman" w:hAnsi="Times New Roman" w:cs="Times New Roman"/>
          <w:color w:val="000000" w:themeColor="text1"/>
          <w:sz w:val="24"/>
          <w:szCs w:val="24"/>
        </w:rPr>
        <w:t>Higueras</w:t>
      </w:r>
      <w:proofErr w:type="spellEnd"/>
      <w:r w:rsidRPr="00986EFF">
        <w:rPr>
          <w:rFonts w:ascii="Times New Roman" w:eastAsia="Times New Roman" w:hAnsi="Times New Roman" w:cs="Times New Roman"/>
          <w:color w:val="000000" w:themeColor="text1"/>
          <w:sz w:val="24"/>
          <w:szCs w:val="24"/>
        </w:rPr>
        <w:t>, Á. M., González-</w:t>
      </w:r>
      <w:proofErr w:type="spellStart"/>
      <w:r w:rsidRPr="00986EFF">
        <w:rPr>
          <w:rFonts w:ascii="Times New Roman" w:eastAsia="Times New Roman" w:hAnsi="Times New Roman" w:cs="Times New Roman"/>
          <w:color w:val="000000" w:themeColor="text1"/>
          <w:sz w:val="24"/>
          <w:szCs w:val="24"/>
        </w:rPr>
        <w:t>Santamarta</w:t>
      </w:r>
      <w:proofErr w:type="spellEnd"/>
      <w:r w:rsidRPr="00986EFF">
        <w:rPr>
          <w:rFonts w:ascii="Times New Roman" w:eastAsia="Times New Roman" w:hAnsi="Times New Roman" w:cs="Times New Roman"/>
          <w:color w:val="000000" w:themeColor="text1"/>
          <w:sz w:val="24"/>
          <w:szCs w:val="24"/>
        </w:rPr>
        <w:t xml:space="preserve">, M. Á., </w:t>
      </w:r>
      <w:proofErr w:type="spellStart"/>
      <w:r w:rsidRPr="00986EFF">
        <w:rPr>
          <w:rFonts w:ascii="Times New Roman" w:eastAsia="Times New Roman" w:hAnsi="Times New Roman" w:cs="Times New Roman"/>
          <w:color w:val="000000" w:themeColor="text1"/>
          <w:sz w:val="24"/>
          <w:szCs w:val="24"/>
        </w:rPr>
        <w:t>Campazas</w:t>
      </w:r>
      <w:proofErr w:type="spellEnd"/>
      <w:r w:rsidRPr="00986EFF">
        <w:rPr>
          <w:rFonts w:ascii="Times New Roman" w:eastAsia="Times New Roman" w:hAnsi="Times New Roman" w:cs="Times New Roman"/>
          <w:color w:val="000000" w:themeColor="text1"/>
          <w:sz w:val="24"/>
          <w:szCs w:val="24"/>
        </w:rPr>
        <w:t xml:space="preserve">-Vega, A., </w:t>
      </w:r>
      <w:proofErr w:type="spellStart"/>
      <w:r w:rsidRPr="00986EFF">
        <w:rPr>
          <w:rFonts w:ascii="Times New Roman" w:eastAsia="Times New Roman" w:hAnsi="Times New Roman" w:cs="Times New Roman"/>
          <w:color w:val="000000" w:themeColor="text1"/>
          <w:sz w:val="24"/>
          <w:szCs w:val="24"/>
        </w:rPr>
        <w:t>Matellán</w:t>
      </w:r>
      <w:proofErr w:type="spellEnd"/>
      <w:r w:rsidRPr="00986EFF">
        <w:rPr>
          <w:rFonts w:ascii="Times New Roman" w:eastAsia="Times New Roman" w:hAnsi="Times New Roman" w:cs="Times New Roman"/>
          <w:color w:val="000000" w:themeColor="text1"/>
          <w:sz w:val="24"/>
          <w:szCs w:val="24"/>
        </w:rPr>
        <w:t xml:space="preserve">, V., &amp; Fernández-Llamas, C. (2022). Biometric recognition through gait analysis. </w:t>
      </w:r>
      <w:r w:rsidRPr="00986EFF">
        <w:rPr>
          <w:rFonts w:ascii="Times New Roman" w:eastAsia="Times New Roman" w:hAnsi="Times New Roman" w:cs="Times New Roman"/>
          <w:i/>
          <w:iCs/>
          <w:color w:val="000000" w:themeColor="text1"/>
          <w:sz w:val="24"/>
          <w:szCs w:val="24"/>
        </w:rPr>
        <w:t>Scientific Reports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12</w:t>
      </w:r>
      <w:r w:rsidRPr="00986EFF">
        <w:rPr>
          <w:rFonts w:ascii="Times New Roman" w:eastAsia="Times New Roman" w:hAnsi="Times New Roman" w:cs="Times New Roman"/>
          <w:color w:val="000000" w:themeColor="text1"/>
          <w:sz w:val="24"/>
          <w:szCs w:val="24"/>
        </w:rPr>
        <w:t>(1). https://doi.org/10.1038/s41598-022-18806-4</w:t>
      </w:r>
    </w:p>
    <w:p w14:paraId="399D5C8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Amico, A., </w:t>
      </w:r>
      <w:proofErr w:type="spellStart"/>
      <w:r w:rsidRPr="00986EFF">
        <w:rPr>
          <w:rFonts w:ascii="Times New Roman" w:eastAsia="Times New Roman" w:hAnsi="Times New Roman" w:cs="Times New Roman"/>
          <w:color w:val="000000" w:themeColor="text1"/>
          <w:sz w:val="24"/>
          <w:szCs w:val="24"/>
        </w:rPr>
        <w:t>Verderosa</w:t>
      </w:r>
      <w:proofErr w:type="spellEnd"/>
      <w:r w:rsidRPr="00986EFF">
        <w:rPr>
          <w:rFonts w:ascii="Times New Roman" w:eastAsia="Times New Roman" w:hAnsi="Times New Roman" w:cs="Times New Roman"/>
          <w:color w:val="000000" w:themeColor="text1"/>
          <w:sz w:val="24"/>
          <w:szCs w:val="24"/>
        </w:rPr>
        <w:t xml:space="preserve">, C., Horn, C., &amp; </w:t>
      </w:r>
      <w:proofErr w:type="spellStart"/>
      <w:r w:rsidRPr="00986EFF">
        <w:rPr>
          <w:rFonts w:ascii="Times New Roman" w:eastAsia="Times New Roman" w:hAnsi="Times New Roman" w:cs="Times New Roman"/>
          <w:color w:val="000000" w:themeColor="text1"/>
          <w:sz w:val="24"/>
          <w:szCs w:val="24"/>
        </w:rPr>
        <w:t>Imhof</w:t>
      </w:r>
      <w:proofErr w:type="spellEnd"/>
      <w:r w:rsidRPr="00986EFF">
        <w:rPr>
          <w:rFonts w:ascii="Times New Roman" w:eastAsia="Times New Roman" w:hAnsi="Times New Roman" w:cs="Times New Roman"/>
          <w:color w:val="000000" w:themeColor="text1"/>
          <w:sz w:val="24"/>
          <w:szCs w:val="24"/>
        </w:rPr>
        <w:t xml:space="preserve">, T. (2024). </w:t>
      </w:r>
      <w:r w:rsidRPr="00986EFF">
        <w:rPr>
          <w:rFonts w:ascii="Times New Roman" w:eastAsia="Times New Roman" w:hAnsi="Times New Roman" w:cs="Times New Roman"/>
          <w:i/>
          <w:iCs/>
          <w:color w:val="000000" w:themeColor="text1"/>
          <w:sz w:val="24"/>
          <w:szCs w:val="24"/>
        </w:rPr>
        <w:t>Integrating Physical and Cyber Security Resources to Detect Wireless Threats to Critical Infrastructure</w:t>
      </w:r>
      <w:r w:rsidRPr="00986EFF">
        <w:rPr>
          <w:rFonts w:ascii="Times New Roman" w:eastAsia="Times New Roman" w:hAnsi="Times New Roman" w:cs="Times New Roman"/>
          <w:color w:val="000000" w:themeColor="text1"/>
          <w:sz w:val="24"/>
          <w:szCs w:val="24"/>
        </w:rPr>
        <w:t>. https://securedecisions.com/wp-content/uploads/2012/02/Integrating-Physical-and-Cyber-Security-Resources-to-Detect-Wireless-Threats-to-Critical-Infrastructure.pdf</w:t>
      </w:r>
    </w:p>
    <w:p w14:paraId="64F39F00"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lastRenderedPageBreak/>
        <w:t>Amiri-Zarandi</w:t>
      </w:r>
      <w:proofErr w:type="spellEnd"/>
      <w:r w:rsidRPr="00986EFF">
        <w:rPr>
          <w:rFonts w:ascii="Times New Roman" w:eastAsia="Times New Roman" w:hAnsi="Times New Roman" w:cs="Times New Roman"/>
          <w:color w:val="000000" w:themeColor="text1"/>
          <w:sz w:val="24"/>
          <w:szCs w:val="24"/>
        </w:rPr>
        <w:t xml:space="preserve">, M., Hadis </w:t>
      </w:r>
      <w:proofErr w:type="spellStart"/>
      <w:r w:rsidRPr="00986EFF">
        <w:rPr>
          <w:rFonts w:ascii="Times New Roman" w:eastAsia="Times New Roman" w:hAnsi="Times New Roman" w:cs="Times New Roman"/>
          <w:color w:val="000000" w:themeColor="text1"/>
          <w:sz w:val="24"/>
          <w:szCs w:val="24"/>
        </w:rPr>
        <w:t>Karimipour</w:t>
      </w:r>
      <w:proofErr w:type="spellEnd"/>
      <w:r w:rsidRPr="00986EFF">
        <w:rPr>
          <w:rFonts w:ascii="Times New Roman" w:eastAsia="Times New Roman" w:hAnsi="Times New Roman" w:cs="Times New Roman"/>
          <w:color w:val="000000" w:themeColor="text1"/>
          <w:sz w:val="24"/>
          <w:szCs w:val="24"/>
        </w:rPr>
        <w:t xml:space="preserve">, &amp; Dara, R. A. (2023). A federated and explainable approach for insider threat detection in IoT. </w:t>
      </w:r>
      <w:r w:rsidRPr="00986EFF">
        <w:rPr>
          <w:rFonts w:ascii="Times New Roman" w:eastAsia="Times New Roman" w:hAnsi="Times New Roman" w:cs="Times New Roman"/>
          <w:i/>
          <w:iCs/>
          <w:color w:val="000000" w:themeColor="text1"/>
          <w:sz w:val="24"/>
          <w:szCs w:val="24"/>
        </w:rPr>
        <w:t>Internet of Things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24</w:t>
      </w:r>
      <w:r w:rsidRPr="00986EFF">
        <w:rPr>
          <w:rFonts w:ascii="Times New Roman" w:eastAsia="Times New Roman" w:hAnsi="Times New Roman" w:cs="Times New Roman"/>
          <w:color w:val="000000" w:themeColor="text1"/>
          <w:sz w:val="24"/>
          <w:szCs w:val="24"/>
        </w:rPr>
        <w:t>, 100965–100965. https://doi.org/10.1016/j.iot.2023.100965</w:t>
      </w:r>
    </w:p>
    <w:p w14:paraId="7127BBC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Anderson, R. (2025). Energy Infrastructure Cyber Security. </w:t>
      </w:r>
      <w:r w:rsidRPr="00986EFF">
        <w:rPr>
          <w:rFonts w:ascii="Times New Roman" w:eastAsia="Times New Roman" w:hAnsi="Times New Roman" w:cs="Times New Roman"/>
          <w:i/>
          <w:iCs/>
          <w:color w:val="000000" w:themeColor="text1"/>
          <w:sz w:val="24"/>
          <w:szCs w:val="24"/>
        </w:rPr>
        <w:t xml:space="preserve">Elsevier </w:t>
      </w:r>
      <w:proofErr w:type="spellStart"/>
      <w:r w:rsidRPr="00986EFF">
        <w:rPr>
          <w:rFonts w:ascii="Times New Roman" w:eastAsia="Times New Roman" w:hAnsi="Times New Roman" w:cs="Times New Roman"/>
          <w:i/>
          <w:iCs/>
          <w:color w:val="000000" w:themeColor="text1"/>
          <w:sz w:val="24"/>
          <w:szCs w:val="24"/>
        </w:rPr>
        <w:t>EBooks</w:t>
      </w:r>
      <w:proofErr w:type="spellEnd"/>
      <w:r w:rsidRPr="00986EFF">
        <w:rPr>
          <w:rFonts w:ascii="Times New Roman" w:eastAsia="Times New Roman" w:hAnsi="Times New Roman" w:cs="Times New Roman"/>
          <w:color w:val="000000" w:themeColor="text1"/>
          <w:sz w:val="24"/>
          <w:szCs w:val="24"/>
        </w:rPr>
        <w:t>, 1323–1330. https://doi.org/10.1016/b978-0-443-13223-0.00085-0</w:t>
      </w:r>
    </w:p>
    <w:p w14:paraId="1C5BE05E"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Balasubramaniam</w:t>
      </w:r>
      <w:proofErr w:type="spellEnd"/>
      <w:r w:rsidRPr="00986EFF">
        <w:rPr>
          <w:rFonts w:ascii="Times New Roman" w:eastAsia="Times New Roman" w:hAnsi="Times New Roman" w:cs="Times New Roman"/>
          <w:color w:val="000000" w:themeColor="text1"/>
          <w:sz w:val="24"/>
          <w:szCs w:val="24"/>
        </w:rPr>
        <w:t xml:space="preserve"> S, </w:t>
      </w:r>
      <w:proofErr w:type="spellStart"/>
      <w:r w:rsidRPr="00986EFF">
        <w:rPr>
          <w:rFonts w:ascii="Times New Roman" w:eastAsia="Times New Roman" w:hAnsi="Times New Roman" w:cs="Times New Roman"/>
          <w:color w:val="000000" w:themeColor="text1"/>
          <w:sz w:val="24"/>
          <w:szCs w:val="24"/>
        </w:rPr>
        <w:t>Seifedine</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Kadry</w:t>
      </w:r>
      <w:proofErr w:type="spellEnd"/>
      <w:r w:rsidRPr="00986EFF">
        <w:rPr>
          <w:rFonts w:ascii="Times New Roman" w:eastAsia="Times New Roman" w:hAnsi="Times New Roman" w:cs="Times New Roman"/>
          <w:color w:val="000000" w:themeColor="text1"/>
          <w:sz w:val="24"/>
          <w:szCs w:val="24"/>
        </w:rPr>
        <w:t xml:space="preserve">, A. Prasanth, &amp; Rajesh Kumar </w:t>
      </w:r>
      <w:proofErr w:type="spellStart"/>
      <w:r w:rsidRPr="00986EFF">
        <w:rPr>
          <w:rFonts w:ascii="Times New Roman" w:eastAsia="Times New Roman" w:hAnsi="Times New Roman" w:cs="Times New Roman"/>
          <w:color w:val="000000" w:themeColor="text1"/>
          <w:sz w:val="24"/>
          <w:szCs w:val="24"/>
        </w:rPr>
        <w:t>Dhanaraj</w:t>
      </w:r>
      <w:proofErr w:type="spellEnd"/>
      <w:r w:rsidRPr="00986EFF">
        <w:rPr>
          <w:rFonts w:ascii="Times New Roman" w:eastAsia="Times New Roman" w:hAnsi="Times New Roman" w:cs="Times New Roman"/>
          <w:color w:val="000000" w:themeColor="text1"/>
          <w:sz w:val="24"/>
          <w:szCs w:val="24"/>
        </w:rPr>
        <w:t xml:space="preserve">. (2024). AI Based Advancements in Biometrics and its Applications. In </w:t>
      </w:r>
      <w:r w:rsidRPr="00986EFF">
        <w:rPr>
          <w:rFonts w:ascii="Times New Roman" w:eastAsia="Times New Roman" w:hAnsi="Times New Roman" w:cs="Times New Roman"/>
          <w:i/>
          <w:iCs/>
          <w:color w:val="000000" w:themeColor="text1"/>
          <w:sz w:val="24"/>
          <w:szCs w:val="24"/>
        </w:rPr>
        <w:t>CRC Press eBooks</w:t>
      </w:r>
      <w:r w:rsidRPr="00986EFF">
        <w:rPr>
          <w:rFonts w:ascii="Times New Roman" w:eastAsia="Times New Roman" w:hAnsi="Times New Roman" w:cs="Times New Roman"/>
          <w:color w:val="000000" w:themeColor="text1"/>
          <w:sz w:val="24"/>
          <w:szCs w:val="24"/>
        </w:rPr>
        <w:t>. Informa. https://doi.org/10.1201/9781032702377</w:t>
      </w:r>
    </w:p>
    <w:p w14:paraId="0BBB419B"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Beutel</w:t>
      </w:r>
      <w:proofErr w:type="spellEnd"/>
      <w:r w:rsidRPr="00986EFF">
        <w:rPr>
          <w:rFonts w:ascii="Times New Roman" w:eastAsia="Times New Roman" w:hAnsi="Times New Roman" w:cs="Times New Roman"/>
          <w:color w:val="000000" w:themeColor="text1"/>
          <w:sz w:val="24"/>
          <w:szCs w:val="24"/>
        </w:rPr>
        <w:t xml:space="preserve">, D. J., </w:t>
      </w:r>
      <w:proofErr w:type="spellStart"/>
      <w:r w:rsidRPr="00986EFF">
        <w:rPr>
          <w:rFonts w:ascii="Times New Roman" w:eastAsia="Times New Roman" w:hAnsi="Times New Roman" w:cs="Times New Roman"/>
          <w:color w:val="000000" w:themeColor="text1"/>
          <w:sz w:val="24"/>
          <w:szCs w:val="24"/>
        </w:rPr>
        <w:t>Topal</w:t>
      </w:r>
      <w:proofErr w:type="spellEnd"/>
      <w:r w:rsidRPr="00986EFF">
        <w:rPr>
          <w:rFonts w:ascii="Times New Roman" w:eastAsia="Times New Roman" w:hAnsi="Times New Roman" w:cs="Times New Roman"/>
          <w:color w:val="000000" w:themeColor="text1"/>
          <w:sz w:val="24"/>
          <w:szCs w:val="24"/>
        </w:rPr>
        <w:t xml:space="preserve">, T., Mathur, A., </w:t>
      </w:r>
      <w:proofErr w:type="spellStart"/>
      <w:r w:rsidRPr="00986EFF">
        <w:rPr>
          <w:rFonts w:ascii="Times New Roman" w:eastAsia="Times New Roman" w:hAnsi="Times New Roman" w:cs="Times New Roman"/>
          <w:color w:val="000000" w:themeColor="text1"/>
          <w:sz w:val="24"/>
          <w:szCs w:val="24"/>
        </w:rPr>
        <w:t>Qiu</w:t>
      </w:r>
      <w:proofErr w:type="spellEnd"/>
      <w:r w:rsidRPr="00986EFF">
        <w:rPr>
          <w:rFonts w:ascii="Times New Roman" w:eastAsia="Times New Roman" w:hAnsi="Times New Roman" w:cs="Times New Roman"/>
          <w:color w:val="000000" w:themeColor="text1"/>
          <w:sz w:val="24"/>
          <w:szCs w:val="24"/>
        </w:rPr>
        <w:t xml:space="preserve">, X., </w:t>
      </w:r>
      <w:proofErr w:type="spellStart"/>
      <w:r w:rsidRPr="00986EFF">
        <w:rPr>
          <w:rFonts w:ascii="Times New Roman" w:eastAsia="Times New Roman" w:hAnsi="Times New Roman" w:cs="Times New Roman"/>
          <w:color w:val="000000" w:themeColor="text1"/>
          <w:sz w:val="24"/>
          <w:szCs w:val="24"/>
        </w:rPr>
        <w:t>Parcollet</w:t>
      </w:r>
      <w:proofErr w:type="spellEnd"/>
      <w:r w:rsidRPr="00986EFF">
        <w:rPr>
          <w:rFonts w:ascii="Times New Roman" w:eastAsia="Times New Roman" w:hAnsi="Times New Roman" w:cs="Times New Roman"/>
          <w:color w:val="000000" w:themeColor="text1"/>
          <w:sz w:val="24"/>
          <w:szCs w:val="24"/>
        </w:rPr>
        <w:t xml:space="preserve">, T., de </w:t>
      </w:r>
      <w:proofErr w:type="spellStart"/>
      <w:r w:rsidRPr="00986EFF">
        <w:rPr>
          <w:rFonts w:ascii="Times New Roman" w:eastAsia="Times New Roman" w:hAnsi="Times New Roman" w:cs="Times New Roman"/>
          <w:color w:val="000000" w:themeColor="text1"/>
          <w:sz w:val="24"/>
          <w:szCs w:val="24"/>
        </w:rPr>
        <w:t>Gusmão</w:t>
      </w:r>
      <w:proofErr w:type="spellEnd"/>
      <w:r w:rsidRPr="00986EFF">
        <w:rPr>
          <w:rFonts w:ascii="Times New Roman" w:eastAsia="Times New Roman" w:hAnsi="Times New Roman" w:cs="Times New Roman"/>
          <w:color w:val="000000" w:themeColor="text1"/>
          <w:sz w:val="24"/>
          <w:szCs w:val="24"/>
        </w:rPr>
        <w:t xml:space="preserve">, P. P. B., &amp; Lane, N. D. (2021). Flower: A Friendly Federated Learning Research Framework. </w:t>
      </w:r>
      <w:r w:rsidRPr="00986EFF">
        <w:rPr>
          <w:rFonts w:ascii="Times New Roman" w:eastAsia="Times New Roman" w:hAnsi="Times New Roman" w:cs="Times New Roman"/>
          <w:i/>
          <w:iCs/>
          <w:color w:val="000000" w:themeColor="text1"/>
          <w:sz w:val="24"/>
          <w:szCs w:val="24"/>
        </w:rPr>
        <w:t>ArXiv:2007.14390 [Cs, Stat]</w:t>
      </w:r>
      <w:r w:rsidRPr="00986EFF">
        <w:rPr>
          <w:rFonts w:ascii="Times New Roman" w:eastAsia="Times New Roman" w:hAnsi="Times New Roman" w:cs="Times New Roman"/>
          <w:color w:val="000000" w:themeColor="text1"/>
          <w:sz w:val="24"/>
          <w:szCs w:val="24"/>
        </w:rPr>
        <w:t>. https://arxiv.org/abs/2007.14390</w:t>
      </w:r>
    </w:p>
    <w:p w14:paraId="29D0876A"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Chelani</w:t>
      </w:r>
      <w:proofErr w:type="spellEnd"/>
      <w:r w:rsidRPr="00986EFF">
        <w:rPr>
          <w:rFonts w:ascii="Times New Roman" w:eastAsia="Times New Roman" w:hAnsi="Times New Roman" w:cs="Times New Roman"/>
          <w:color w:val="000000" w:themeColor="text1"/>
          <w:sz w:val="24"/>
          <w:szCs w:val="24"/>
        </w:rPr>
        <w:t xml:space="preserve">, N., </w:t>
      </w:r>
      <w:proofErr w:type="spellStart"/>
      <w:r w:rsidRPr="00986EFF">
        <w:rPr>
          <w:rFonts w:ascii="Times New Roman" w:eastAsia="Times New Roman" w:hAnsi="Times New Roman" w:cs="Times New Roman"/>
          <w:color w:val="000000" w:themeColor="text1"/>
          <w:sz w:val="24"/>
          <w:szCs w:val="24"/>
        </w:rPr>
        <w:t>Tripathy</w:t>
      </w:r>
      <w:proofErr w:type="spellEnd"/>
      <w:r w:rsidRPr="00986EFF">
        <w:rPr>
          <w:rFonts w:ascii="Times New Roman" w:eastAsia="Times New Roman" w:hAnsi="Times New Roman" w:cs="Times New Roman"/>
          <w:color w:val="000000" w:themeColor="text1"/>
          <w:sz w:val="24"/>
          <w:szCs w:val="24"/>
        </w:rPr>
        <w:t xml:space="preserve">, S., </w:t>
      </w:r>
      <w:proofErr w:type="spellStart"/>
      <w:r w:rsidRPr="00986EFF">
        <w:rPr>
          <w:rFonts w:ascii="Times New Roman" w:eastAsia="Times New Roman" w:hAnsi="Times New Roman" w:cs="Times New Roman"/>
          <w:color w:val="000000" w:themeColor="text1"/>
          <w:sz w:val="24"/>
          <w:szCs w:val="24"/>
        </w:rPr>
        <w:t>Malaram</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Kumhar</w:t>
      </w:r>
      <w:proofErr w:type="spellEnd"/>
      <w:r w:rsidRPr="00986EFF">
        <w:rPr>
          <w:rFonts w:ascii="Times New Roman" w:eastAsia="Times New Roman" w:hAnsi="Times New Roman" w:cs="Times New Roman"/>
          <w:color w:val="000000" w:themeColor="text1"/>
          <w:sz w:val="24"/>
          <w:szCs w:val="24"/>
        </w:rPr>
        <w:t xml:space="preserve">, Bhatia, J., Saxena, V., Sudeep </w:t>
      </w:r>
      <w:proofErr w:type="spellStart"/>
      <w:r w:rsidRPr="00986EFF">
        <w:rPr>
          <w:rFonts w:ascii="Times New Roman" w:eastAsia="Times New Roman" w:hAnsi="Times New Roman" w:cs="Times New Roman"/>
          <w:color w:val="000000" w:themeColor="text1"/>
          <w:sz w:val="24"/>
          <w:szCs w:val="24"/>
        </w:rPr>
        <w:t>Tanwar</w:t>
      </w:r>
      <w:proofErr w:type="spellEnd"/>
      <w:r w:rsidRPr="00986EFF">
        <w:rPr>
          <w:rFonts w:ascii="Times New Roman" w:eastAsia="Times New Roman" w:hAnsi="Times New Roman" w:cs="Times New Roman"/>
          <w:color w:val="000000" w:themeColor="text1"/>
          <w:sz w:val="24"/>
          <w:szCs w:val="24"/>
        </w:rPr>
        <w:t xml:space="preserve">, &amp; Nayyar, A. (2024). Federated Learning for Internet of Medical Healthcare: Issues and Challenges. </w:t>
      </w:r>
      <w:r w:rsidRPr="00986EFF">
        <w:rPr>
          <w:rFonts w:ascii="Times New Roman" w:eastAsia="Times New Roman" w:hAnsi="Times New Roman" w:cs="Times New Roman"/>
          <w:i/>
          <w:iCs/>
          <w:color w:val="000000" w:themeColor="text1"/>
          <w:sz w:val="24"/>
          <w:szCs w:val="24"/>
        </w:rPr>
        <w:t>Scalable Computing Practice and Experience</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25</w:t>
      </w:r>
      <w:r w:rsidRPr="00986EFF">
        <w:rPr>
          <w:rFonts w:ascii="Times New Roman" w:eastAsia="Times New Roman" w:hAnsi="Times New Roman" w:cs="Times New Roman"/>
          <w:color w:val="000000" w:themeColor="text1"/>
          <w:sz w:val="24"/>
          <w:szCs w:val="24"/>
        </w:rPr>
        <w:t>(5), 4442–4455. https://doi.org/10.12694/scpe.v25i5.2905</w:t>
      </w:r>
    </w:p>
    <w:p w14:paraId="3FE7B883"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Cheng, X., Li, C., &amp; Liu, X. (2022, August 20). </w:t>
      </w:r>
      <w:r w:rsidRPr="00986EFF">
        <w:rPr>
          <w:rFonts w:ascii="Times New Roman" w:eastAsia="Times New Roman" w:hAnsi="Times New Roman" w:cs="Times New Roman"/>
          <w:i/>
          <w:iCs/>
          <w:color w:val="000000" w:themeColor="text1"/>
          <w:sz w:val="24"/>
          <w:szCs w:val="24"/>
        </w:rPr>
        <w:t>A Review of Federated Learning in Energy Systems</w:t>
      </w:r>
      <w:r w:rsidRPr="00986EFF">
        <w:rPr>
          <w:rFonts w:ascii="Times New Roman" w:eastAsia="Times New Roman" w:hAnsi="Times New Roman" w:cs="Times New Roman"/>
          <w:color w:val="000000" w:themeColor="text1"/>
          <w:sz w:val="24"/>
          <w:szCs w:val="24"/>
        </w:rPr>
        <w:t>. https://www.researchgate.net/publication/362887730_A_Review_of_Federated_Learning_in_Energy_Systems</w:t>
      </w:r>
    </w:p>
    <w:p w14:paraId="379E4C9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David, I. C., &amp; </w:t>
      </w:r>
      <w:proofErr w:type="spellStart"/>
      <w:r w:rsidRPr="00986EFF">
        <w:rPr>
          <w:rFonts w:ascii="Times New Roman" w:eastAsia="Times New Roman" w:hAnsi="Times New Roman" w:cs="Times New Roman"/>
          <w:color w:val="000000" w:themeColor="text1"/>
          <w:sz w:val="24"/>
          <w:szCs w:val="24"/>
        </w:rPr>
        <w:t>Tijjani</w:t>
      </w:r>
      <w:proofErr w:type="spellEnd"/>
      <w:r w:rsidRPr="00986EFF">
        <w:rPr>
          <w:rFonts w:ascii="Times New Roman" w:eastAsia="Times New Roman" w:hAnsi="Times New Roman" w:cs="Times New Roman"/>
          <w:color w:val="000000" w:themeColor="text1"/>
          <w:sz w:val="24"/>
          <w:szCs w:val="24"/>
        </w:rPr>
        <w:t xml:space="preserve">, A. (2025). Enhancing Energy Security in Nigeria: An Analysis of International Efforts (2015-2024). </w:t>
      </w:r>
      <w:r w:rsidRPr="00986EFF">
        <w:rPr>
          <w:rFonts w:ascii="Times New Roman" w:eastAsia="Times New Roman" w:hAnsi="Times New Roman" w:cs="Times New Roman"/>
          <w:i/>
          <w:iCs/>
          <w:color w:val="000000" w:themeColor="text1"/>
          <w:sz w:val="24"/>
          <w:szCs w:val="24"/>
        </w:rPr>
        <w:t>South Asian Journal of Social Studies and Economics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22</w:t>
      </w:r>
      <w:r w:rsidRPr="00986EFF">
        <w:rPr>
          <w:rFonts w:ascii="Times New Roman" w:eastAsia="Times New Roman" w:hAnsi="Times New Roman" w:cs="Times New Roman"/>
          <w:color w:val="000000" w:themeColor="text1"/>
          <w:sz w:val="24"/>
          <w:szCs w:val="24"/>
        </w:rPr>
        <w:t>(1), 29–37. https://doi.org/10.9734/sajsse/2025/v22i1942</w:t>
      </w:r>
    </w:p>
    <w:p w14:paraId="4EEDE067"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Devine, M., </w:t>
      </w:r>
      <w:proofErr w:type="spellStart"/>
      <w:r w:rsidRPr="00986EFF">
        <w:rPr>
          <w:rFonts w:ascii="Times New Roman" w:eastAsia="Times New Roman" w:hAnsi="Times New Roman" w:cs="Times New Roman"/>
          <w:color w:val="000000" w:themeColor="text1"/>
          <w:sz w:val="24"/>
          <w:szCs w:val="24"/>
        </w:rPr>
        <w:t>Ardakani</w:t>
      </w:r>
      <w:proofErr w:type="spellEnd"/>
      <w:r w:rsidRPr="00986EFF">
        <w:rPr>
          <w:rFonts w:ascii="Times New Roman" w:eastAsia="Times New Roman" w:hAnsi="Times New Roman" w:cs="Times New Roman"/>
          <w:color w:val="000000" w:themeColor="text1"/>
          <w:sz w:val="24"/>
          <w:szCs w:val="24"/>
        </w:rPr>
        <w:t>, S. P., Al-</w:t>
      </w:r>
      <w:proofErr w:type="spellStart"/>
      <w:r w:rsidRPr="00986EFF">
        <w:rPr>
          <w:rFonts w:ascii="Times New Roman" w:eastAsia="Times New Roman" w:hAnsi="Times New Roman" w:cs="Times New Roman"/>
          <w:color w:val="000000" w:themeColor="text1"/>
          <w:sz w:val="24"/>
          <w:szCs w:val="24"/>
        </w:rPr>
        <w:t>Khafajiy</w:t>
      </w:r>
      <w:proofErr w:type="spellEnd"/>
      <w:r w:rsidRPr="00986EFF">
        <w:rPr>
          <w:rFonts w:ascii="Times New Roman" w:eastAsia="Times New Roman" w:hAnsi="Times New Roman" w:cs="Times New Roman"/>
          <w:color w:val="000000" w:themeColor="text1"/>
          <w:sz w:val="24"/>
          <w:szCs w:val="24"/>
        </w:rPr>
        <w:t xml:space="preserve">, M., &amp; James, Y. (2025). Federated Machine Learning to Enable Intrusion Detection Systems in IoT Networks. </w:t>
      </w:r>
      <w:r w:rsidRPr="00986EFF">
        <w:rPr>
          <w:rFonts w:ascii="Times New Roman" w:eastAsia="Times New Roman" w:hAnsi="Times New Roman" w:cs="Times New Roman"/>
          <w:i/>
          <w:iCs/>
          <w:color w:val="000000" w:themeColor="text1"/>
          <w:sz w:val="24"/>
          <w:szCs w:val="24"/>
        </w:rPr>
        <w:t>Electronics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14</w:t>
      </w:r>
      <w:r w:rsidRPr="00986EFF">
        <w:rPr>
          <w:rFonts w:ascii="Times New Roman" w:eastAsia="Times New Roman" w:hAnsi="Times New Roman" w:cs="Times New Roman"/>
          <w:color w:val="000000" w:themeColor="text1"/>
          <w:sz w:val="24"/>
          <w:szCs w:val="24"/>
        </w:rPr>
        <w:t>(6), 1176. https://doi.org/10.3390/electronics14061176</w:t>
      </w:r>
    </w:p>
    <w:p w14:paraId="16C6A032"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DOE. (2024). </w:t>
      </w:r>
      <w:r w:rsidRPr="00986EFF">
        <w:rPr>
          <w:rFonts w:ascii="Times New Roman" w:eastAsia="Times New Roman" w:hAnsi="Times New Roman" w:cs="Times New Roman"/>
          <w:i/>
          <w:iCs/>
          <w:color w:val="000000" w:themeColor="text1"/>
          <w:sz w:val="24"/>
          <w:szCs w:val="24"/>
        </w:rPr>
        <w:t>Open Energy Data</w:t>
      </w:r>
      <w:r w:rsidRPr="00986EFF">
        <w:rPr>
          <w:rFonts w:ascii="Times New Roman" w:eastAsia="Times New Roman" w:hAnsi="Times New Roman" w:cs="Times New Roman"/>
          <w:color w:val="000000" w:themeColor="text1"/>
          <w:sz w:val="24"/>
          <w:szCs w:val="24"/>
        </w:rPr>
        <w:t>. Energy.gov. https://www.energy.gov/data/open-energy-data</w:t>
      </w:r>
    </w:p>
    <w:p w14:paraId="5CFC4A4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Grataloup</w:t>
      </w:r>
      <w:proofErr w:type="spellEnd"/>
      <w:r w:rsidRPr="00986EFF">
        <w:rPr>
          <w:rFonts w:ascii="Times New Roman" w:eastAsia="Times New Roman" w:hAnsi="Times New Roman" w:cs="Times New Roman"/>
          <w:color w:val="000000" w:themeColor="text1"/>
          <w:sz w:val="24"/>
          <w:szCs w:val="24"/>
        </w:rPr>
        <w:t xml:space="preserve">, A., Jonas, S., &amp; Meyer, A. (2024). A review of federated learning in renewable energy applications: Potential, challenges, and future directions. </w:t>
      </w:r>
      <w:r w:rsidRPr="00986EFF">
        <w:rPr>
          <w:rFonts w:ascii="Times New Roman" w:eastAsia="Times New Roman" w:hAnsi="Times New Roman" w:cs="Times New Roman"/>
          <w:i/>
          <w:iCs/>
          <w:color w:val="000000" w:themeColor="text1"/>
          <w:sz w:val="24"/>
          <w:szCs w:val="24"/>
        </w:rPr>
        <w:t>Energy and AI</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17</w:t>
      </w:r>
      <w:r w:rsidRPr="00986EFF">
        <w:rPr>
          <w:rFonts w:ascii="Times New Roman" w:eastAsia="Times New Roman" w:hAnsi="Times New Roman" w:cs="Times New Roman"/>
          <w:color w:val="000000" w:themeColor="text1"/>
          <w:sz w:val="24"/>
          <w:szCs w:val="24"/>
        </w:rPr>
        <w:t>, 100375. https://doi.org/10.1016/j.egyai.2024.100375</w:t>
      </w:r>
    </w:p>
    <w:p w14:paraId="55BB1EE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Gunuganti</w:t>
      </w:r>
      <w:proofErr w:type="spellEnd"/>
      <w:r w:rsidRPr="00986EFF">
        <w:rPr>
          <w:rFonts w:ascii="Times New Roman" w:eastAsia="Times New Roman" w:hAnsi="Times New Roman" w:cs="Times New Roman"/>
          <w:color w:val="000000" w:themeColor="text1"/>
          <w:sz w:val="24"/>
          <w:szCs w:val="24"/>
        </w:rPr>
        <w:t xml:space="preserve">, A. (2024). Insider Threat Detection and Mitigation. </w:t>
      </w:r>
      <w:r w:rsidRPr="00986EFF">
        <w:rPr>
          <w:rFonts w:ascii="Times New Roman" w:eastAsia="Times New Roman" w:hAnsi="Times New Roman" w:cs="Times New Roman"/>
          <w:i/>
          <w:iCs/>
          <w:color w:val="000000" w:themeColor="text1"/>
          <w:sz w:val="24"/>
          <w:szCs w:val="24"/>
        </w:rPr>
        <w:t>Journal of Mathematical &amp; Computer Applications</w:t>
      </w:r>
      <w:r w:rsidRPr="00986EFF">
        <w:rPr>
          <w:rFonts w:ascii="Times New Roman" w:eastAsia="Times New Roman" w:hAnsi="Times New Roman" w:cs="Times New Roman"/>
          <w:color w:val="000000" w:themeColor="text1"/>
          <w:sz w:val="24"/>
          <w:szCs w:val="24"/>
        </w:rPr>
        <w:t>, 1–6. https://doi.org/10.47363/jmca/2024(3)184</w:t>
      </w:r>
    </w:p>
    <w:p w14:paraId="069E315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lastRenderedPageBreak/>
        <w:t xml:space="preserve">He, H., &amp; Garcia, E. A. (2009). </w:t>
      </w:r>
      <w:r w:rsidRPr="00986EFF">
        <w:rPr>
          <w:rFonts w:ascii="Times New Roman" w:eastAsia="Times New Roman" w:hAnsi="Times New Roman" w:cs="Times New Roman"/>
          <w:i/>
          <w:iCs/>
          <w:color w:val="000000" w:themeColor="text1"/>
          <w:sz w:val="24"/>
          <w:szCs w:val="24"/>
        </w:rPr>
        <w:t>Learning from Imbalanced Data - IEEE Journals &amp; Magazine</w:t>
      </w:r>
      <w:r w:rsidRPr="00986EFF">
        <w:rPr>
          <w:rFonts w:ascii="Times New Roman" w:eastAsia="Times New Roman" w:hAnsi="Times New Roman" w:cs="Times New Roman"/>
          <w:color w:val="000000" w:themeColor="text1"/>
          <w:sz w:val="24"/>
          <w:szCs w:val="24"/>
        </w:rPr>
        <w:t>. Ieee.org. https://ieeexplore.ieee.org/document/5128907</w:t>
      </w:r>
    </w:p>
    <w:p w14:paraId="7DD83FEE"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Homoliak</w:t>
      </w:r>
      <w:proofErr w:type="spellEnd"/>
      <w:r w:rsidRPr="00986EFF">
        <w:rPr>
          <w:rFonts w:ascii="Times New Roman" w:eastAsia="Times New Roman" w:hAnsi="Times New Roman" w:cs="Times New Roman"/>
          <w:color w:val="000000" w:themeColor="text1"/>
          <w:sz w:val="24"/>
          <w:szCs w:val="24"/>
        </w:rPr>
        <w:t xml:space="preserve">, I., </w:t>
      </w:r>
      <w:proofErr w:type="spellStart"/>
      <w:r w:rsidRPr="00986EFF">
        <w:rPr>
          <w:rFonts w:ascii="Times New Roman" w:eastAsia="Times New Roman" w:hAnsi="Times New Roman" w:cs="Times New Roman"/>
          <w:color w:val="000000" w:themeColor="text1"/>
          <w:sz w:val="24"/>
          <w:szCs w:val="24"/>
        </w:rPr>
        <w:t>Toffalini</w:t>
      </w:r>
      <w:proofErr w:type="spellEnd"/>
      <w:r w:rsidRPr="00986EFF">
        <w:rPr>
          <w:rFonts w:ascii="Times New Roman" w:eastAsia="Times New Roman" w:hAnsi="Times New Roman" w:cs="Times New Roman"/>
          <w:color w:val="000000" w:themeColor="text1"/>
          <w:sz w:val="24"/>
          <w:szCs w:val="24"/>
        </w:rPr>
        <w:t xml:space="preserve">, F., </w:t>
      </w:r>
      <w:proofErr w:type="spellStart"/>
      <w:r w:rsidRPr="00986EFF">
        <w:rPr>
          <w:rFonts w:ascii="Times New Roman" w:eastAsia="Times New Roman" w:hAnsi="Times New Roman" w:cs="Times New Roman"/>
          <w:color w:val="000000" w:themeColor="text1"/>
          <w:sz w:val="24"/>
          <w:szCs w:val="24"/>
        </w:rPr>
        <w:t>Guarnizo</w:t>
      </w:r>
      <w:proofErr w:type="spellEnd"/>
      <w:r w:rsidRPr="00986EFF">
        <w:rPr>
          <w:rFonts w:ascii="Times New Roman" w:eastAsia="Times New Roman" w:hAnsi="Times New Roman" w:cs="Times New Roman"/>
          <w:color w:val="000000" w:themeColor="text1"/>
          <w:sz w:val="24"/>
          <w:szCs w:val="24"/>
        </w:rPr>
        <w:t xml:space="preserve">, J., </w:t>
      </w:r>
      <w:proofErr w:type="spellStart"/>
      <w:r w:rsidRPr="00986EFF">
        <w:rPr>
          <w:rFonts w:ascii="Times New Roman" w:eastAsia="Times New Roman" w:hAnsi="Times New Roman" w:cs="Times New Roman"/>
          <w:color w:val="000000" w:themeColor="text1"/>
          <w:sz w:val="24"/>
          <w:szCs w:val="24"/>
        </w:rPr>
        <w:t>Elovici</w:t>
      </w:r>
      <w:proofErr w:type="spellEnd"/>
      <w:r w:rsidRPr="00986EFF">
        <w:rPr>
          <w:rFonts w:ascii="Times New Roman" w:eastAsia="Times New Roman" w:hAnsi="Times New Roman" w:cs="Times New Roman"/>
          <w:color w:val="000000" w:themeColor="text1"/>
          <w:sz w:val="24"/>
          <w:szCs w:val="24"/>
        </w:rPr>
        <w:t xml:space="preserve">, Y., &amp; Ochoa, M. (2019). Insight </w:t>
      </w:r>
      <w:proofErr w:type="gramStart"/>
      <w:r w:rsidRPr="00986EFF">
        <w:rPr>
          <w:rFonts w:ascii="Times New Roman" w:eastAsia="Times New Roman" w:hAnsi="Times New Roman" w:cs="Times New Roman"/>
          <w:color w:val="000000" w:themeColor="text1"/>
          <w:sz w:val="24"/>
          <w:szCs w:val="24"/>
        </w:rPr>
        <w:t>Into</w:t>
      </w:r>
      <w:proofErr w:type="gramEnd"/>
      <w:r w:rsidRPr="00986EFF">
        <w:rPr>
          <w:rFonts w:ascii="Times New Roman" w:eastAsia="Times New Roman" w:hAnsi="Times New Roman" w:cs="Times New Roman"/>
          <w:color w:val="000000" w:themeColor="text1"/>
          <w:sz w:val="24"/>
          <w:szCs w:val="24"/>
        </w:rPr>
        <w:t xml:space="preserve"> Insiders and IT. </w:t>
      </w:r>
      <w:r w:rsidRPr="00986EFF">
        <w:rPr>
          <w:rFonts w:ascii="Times New Roman" w:eastAsia="Times New Roman" w:hAnsi="Times New Roman" w:cs="Times New Roman"/>
          <w:i/>
          <w:iCs/>
          <w:color w:val="000000" w:themeColor="text1"/>
          <w:sz w:val="24"/>
          <w:szCs w:val="24"/>
        </w:rPr>
        <w:t>ACM Computing Surveys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52</w:t>
      </w:r>
      <w:r w:rsidRPr="00986EFF">
        <w:rPr>
          <w:rFonts w:ascii="Times New Roman" w:eastAsia="Times New Roman" w:hAnsi="Times New Roman" w:cs="Times New Roman"/>
          <w:color w:val="000000" w:themeColor="text1"/>
          <w:sz w:val="24"/>
          <w:szCs w:val="24"/>
        </w:rPr>
        <w:t>(2), 1–40. https://doi.org/10.1145/3303771</w:t>
      </w:r>
    </w:p>
    <w:p w14:paraId="6C197F6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Huda </w:t>
      </w:r>
      <w:proofErr w:type="spellStart"/>
      <w:r w:rsidRPr="00986EFF">
        <w:rPr>
          <w:rFonts w:ascii="Times New Roman" w:eastAsia="Times New Roman" w:hAnsi="Times New Roman" w:cs="Times New Roman"/>
          <w:color w:val="000000" w:themeColor="text1"/>
          <w:sz w:val="24"/>
          <w:szCs w:val="24"/>
        </w:rPr>
        <w:t>Kadhim</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Tayyeh</w:t>
      </w:r>
      <w:proofErr w:type="spellEnd"/>
      <w:r w:rsidRPr="00986EFF">
        <w:rPr>
          <w:rFonts w:ascii="Times New Roman" w:eastAsia="Times New Roman" w:hAnsi="Times New Roman" w:cs="Times New Roman"/>
          <w:color w:val="000000" w:themeColor="text1"/>
          <w:sz w:val="24"/>
          <w:szCs w:val="24"/>
        </w:rPr>
        <w:t xml:space="preserve">, &amp; Sabah, A. (2024). Balancing Privacy and Performance: A Differential Privacy Approach in Federated Learning. </w:t>
      </w:r>
      <w:r w:rsidRPr="00986EFF">
        <w:rPr>
          <w:rFonts w:ascii="Times New Roman" w:eastAsia="Times New Roman" w:hAnsi="Times New Roman" w:cs="Times New Roman"/>
          <w:i/>
          <w:iCs/>
          <w:color w:val="000000" w:themeColor="text1"/>
          <w:sz w:val="24"/>
          <w:szCs w:val="24"/>
        </w:rPr>
        <w:t>Computers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13</w:t>
      </w:r>
      <w:r w:rsidRPr="00986EFF">
        <w:rPr>
          <w:rFonts w:ascii="Times New Roman" w:eastAsia="Times New Roman" w:hAnsi="Times New Roman" w:cs="Times New Roman"/>
          <w:color w:val="000000" w:themeColor="text1"/>
          <w:sz w:val="24"/>
          <w:szCs w:val="24"/>
        </w:rPr>
        <w:t>(11), 277–277. https://doi.org/10.3390/computers13110277</w:t>
      </w:r>
    </w:p>
    <w:p w14:paraId="293A5D14"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Information Resources Management Association, </w:t>
      </w:r>
      <w:proofErr w:type="spellStart"/>
      <w:r w:rsidRPr="00986EFF">
        <w:rPr>
          <w:rFonts w:ascii="Times New Roman" w:eastAsia="Times New Roman" w:hAnsi="Times New Roman" w:cs="Times New Roman"/>
          <w:color w:val="000000" w:themeColor="text1"/>
          <w:sz w:val="24"/>
          <w:szCs w:val="24"/>
        </w:rPr>
        <w:t>Derawi</w:t>
      </w:r>
      <w:proofErr w:type="spellEnd"/>
      <w:r w:rsidRPr="00986EFF">
        <w:rPr>
          <w:rFonts w:ascii="Times New Roman" w:eastAsia="Times New Roman" w:hAnsi="Times New Roman" w:cs="Times New Roman"/>
          <w:color w:val="000000" w:themeColor="text1"/>
          <w:sz w:val="24"/>
          <w:szCs w:val="24"/>
        </w:rPr>
        <w:t xml:space="preserve">, M. O., </w:t>
      </w:r>
      <w:proofErr w:type="spellStart"/>
      <w:r w:rsidRPr="00986EFF">
        <w:rPr>
          <w:rFonts w:ascii="Times New Roman" w:eastAsia="Times New Roman" w:hAnsi="Times New Roman" w:cs="Times New Roman"/>
          <w:color w:val="000000" w:themeColor="text1"/>
          <w:sz w:val="24"/>
          <w:szCs w:val="24"/>
        </w:rPr>
        <w:t>Davrondzhon</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Gafurov</w:t>
      </w:r>
      <w:proofErr w:type="spellEnd"/>
      <w:r w:rsidRPr="00986EFF">
        <w:rPr>
          <w:rFonts w:ascii="Times New Roman" w:eastAsia="Times New Roman" w:hAnsi="Times New Roman" w:cs="Times New Roman"/>
          <w:color w:val="000000" w:themeColor="text1"/>
          <w:sz w:val="24"/>
          <w:szCs w:val="24"/>
        </w:rPr>
        <w:t xml:space="preserve">, &amp; </w:t>
      </w:r>
      <w:proofErr w:type="spellStart"/>
      <w:r w:rsidRPr="00986EFF">
        <w:rPr>
          <w:rFonts w:ascii="Times New Roman" w:eastAsia="Times New Roman" w:hAnsi="Times New Roman" w:cs="Times New Roman"/>
          <w:color w:val="000000" w:themeColor="text1"/>
          <w:sz w:val="24"/>
          <w:szCs w:val="24"/>
        </w:rPr>
        <w:t>Bours</w:t>
      </w:r>
      <w:proofErr w:type="spellEnd"/>
      <w:r w:rsidRPr="00986EFF">
        <w:rPr>
          <w:rFonts w:ascii="Times New Roman" w:eastAsia="Times New Roman" w:hAnsi="Times New Roman" w:cs="Times New Roman"/>
          <w:color w:val="000000" w:themeColor="text1"/>
          <w:sz w:val="24"/>
          <w:szCs w:val="24"/>
        </w:rPr>
        <w:t xml:space="preserve">, P. (2013, January 1). </w:t>
      </w:r>
      <w:r w:rsidRPr="00986EFF">
        <w:rPr>
          <w:rFonts w:ascii="Times New Roman" w:eastAsia="Times New Roman" w:hAnsi="Times New Roman" w:cs="Times New Roman"/>
          <w:i/>
          <w:iCs/>
          <w:color w:val="000000" w:themeColor="text1"/>
          <w:sz w:val="24"/>
          <w:szCs w:val="24"/>
        </w:rPr>
        <w:t>Towards Continuous Authentication Based on Gait Using Wearable Motion Recording Sensors</w:t>
      </w:r>
      <w:r w:rsidRPr="00986EFF">
        <w:rPr>
          <w:rFonts w:ascii="Times New Roman" w:eastAsia="Times New Roman" w:hAnsi="Times New Roman" w:cs="Times New Roman"/>
          <w:color w:val="000000" w:themeColor="text1"/>
          <w:sz w:val="24"/>
          <w:szCs w:val="24"/>
        </w:rPr>
        <w:t>. https://doi.org/10.4018/978-1-4666-2919-6.ch076</w:t>
      </w:r>
    </w:p>
    <w:p w14:paraId="3F119212"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Kairouz</w:t>
      </w:r>
      <w:proofErr w:type="spellEnd"/>
      <w:r w:rsidRPr="00986EFF">
        <w:rPr>
          <w:rFonts w:ascii="Times New Roman" w:eastAsia="Times New Roman" w:hAnsi="Times New Roman" w:cs="Times New Roman"/>
          <w:color w:val="000000" w:themeColor="text1"/>
          <w:sz w:val="24"/>
          <w:szCs w:val="24"/>
        </w:rPr>
        <w:t xml:space="preserve">, P., McMahan, H. B., </w:t>
      </w:r>
      <w:proofErr w:type="spellStart"/>
      <w:r w:rsidRPr="00986EFF">
        <w:rPr>
          <w:rFonts w:ascii="Times New Roman" w:eastAsia="Times New Roman" w:hAnsi="Times New Roman" w:cs="Times New Roman"/>
          <w:color w:val="000000" w:themeColor="text1"/>
          <w:sz w:val="24"/>
          <w:szCs w:val="24"/>
        </w:rPr>
        <w:t>Avent</w:t>
      </w:r>
      <w:proofErr w:type="spellEnd"/>
      <w:r w:rsidRPr="00986EFF">
        <w:rPr>
          <w:rFonts w:ascii="Times New Roman" w:eastAsia="Times New Roman" w:hAnsi="Times New Roman" w:cs="Times New Roman"/>
          <w:color w:val="000000" w:themeColor="text1"/>
          <w:sz w:val="24"/>
          <w:szCs w:val="24"/>
        </w:rPr>
        <w:t xml:space="preserve">, B., </w:t>
      </w:r>
      <w:proofErr w:type="spellStart"/>
      <w:r w:rsidRPr="00986EFF">
        <w:rPr>
          <w:rFonts w:ascii="Times New Roman" w:eastAsia="Times New Roman" w:hAnsi="Times New Roman" w:cs="Times New Roman"/>
          <w:color w:val="000000" w:themeColor="text1"/>
          <w:sz w:val="24"/>
          <w:szCs w:val="24"/>
        </w:rPr>
        <w:t>Bellet</w:t>
      </w:r>
      <w:proofErr w:type="spellEnd"/>
      <w:r w:rsidRPr="00986EFF">
        <w:rPr>
          <w:rFonts w:ascii="Times New Roman" w:eastAsia="Times New Roman" w:hAnsi="Times New Roman" w:cs="Times New Roman"/>
          <w:color w:val="000000" w:themeColor="text1"/>
          <w:sz w:val="24"/>
          <w:szCs w:val="24"/>
        </w:rPr>
        <w:t xml:space="preserve">, A., Bennis, M., </w:t>
      </w:r>
      <w:proofErr w:type="spellStart"/>
      <w:r w:rsidRPr="00986EFF">
        <w:rPr>
          <w:rFonts w:ascii="Times New Roman" w:eastAsia="Times New Roman" w:hAnsi="Times New Roman" w:cs="Times New Roman"/>
          <w:color w:val="000000" w:themeColor="text1"/>
          <w:sz w:val="24"/>
          <w:szCs w:val="24"/>
        </w:rPr>
        <w:t>Bhagoji</w:t>
      </w:r>
      <w:proofErr w:type="spellEnd"/>
      <w:r w:rsidRPr="00986EFF">
        <w:rPr>
          <w:rFonts w:ascii="Times New Roman" w:eastAsia="Times New Roman" w:hAnsi="Times New Roman" w:cs="Times New Roman"/>
          <w:color w:val="000000" w:themeColor="text1"/>
          <w:sz w:val="24"/>
          <w:szCs w:val="24"/>
        </w:rPr>
        <w:t xml:space="preserve">, A. N., </w:t>
      </w:r>
      <w:proofErr w:type="spellStart"/>
      <w:r w:rsidRPr="00986EFF">
        <w:rPr>
          <w:rFonts w:ascii="Times New Roman" w:eastAsia="Times New Roman" w:hAnsi="Times New Roman" w:cs="Times New Roman"/>
          <w:color w:val="000000" w:themeColor="text1"/>
          <w:sz w:val="24"/>
          <w:szCs w:val="24"/>
        </w:rPr>
        <w:t>Bonawitz</w:t>
      </w:r>
      <w:proofErr w:type="spellEnd"/>
      <w:r w:rsidRPr="00986EFF">
        <w:rPr>
          <w:rFonts w:ascii="Times New Roman" w:eastAsia="Times New Roman" w:hAnsi="Times New Roman" w:cs="Times New Roman"/>
          <w:color w:val="000000" w:themeColor="text1"/>
          <w:sz w:val="24"/>
          <w:szCs w:val="24"/>
        </w:rPr>
        <w:t xml:space="preserve">, K., Charles, Z., </w:t>
      </w:r>
      <w:proofErr w:type="spellStart"/>
      <w:r w:rsidRPr="00986EFF">
        <w:rPr>
          <w:rFonts w:ascii="Times New Roman" w:eastAsia="Times New Roman" w:hAnsi="Times New Roman" w:cs="Times New Roman"/>
          <w:color w:val="000000" w:themeColor="text1"/>
          <w:sz w:val="24"/>
          <w:szCs w:val="24"/>
        </w:rPr>
        <w:t>Cormode</w:t>
      </w:r>
      <w:proofErr w:type="spellEnd"/>
      <w:r w:rsidRPr="00986EFF">
        <w:rPr>
          <w:rFonts w:ascii="Times New Roman" w:eastAsia="Times New Roman" w:hAnsi="Times New Roman" w:cs="Times New Roman"/>
          <w:color w:val="000000" w:themeColor="text1"/>
          <w:sz w:val="24"/>
          <w:szCs w:val="24"/>
        </w:rPr>
        <w:t xml:space="preserve">, G., Cummings, R., </w:t>
      </w:r>
      <w:proofErr w:type="spellStart"/>
      <w:r w:rsidRPr="00986EFF">
        <w:rPr>
          <w:rFonts w:ascii="Times New Roman" w:eastAsia="Times New Roman" w:hAnsi="Times New Roman" w:cs="Times New Roman"/>
          <w:color w:val="000000" w:themeColor="text1"/>
          <w:sz w:val="24"/>
          <w:szCs w:val="24"/>
        </w:rPr>
        <w:t>D’Oliveira</w:t>
      </w:r>
      <w:proofErr w:type="spellEnd"/>
      <w:r w:rsidRPr="00986EFF">
        <w:rPr>
          <w:rFonts w:ascii="Times New Roman" w:eastAsia="Times New Roman" w:hAnsi="Times New Roman" w:cs="Times New Roman"/>
          <w:color w:val="000000" w:themeColor="text1"/>
          <w:sz w:val="24"/>
          <w:szCs w:val="24"/>
        </w:rPr>
        <w:t xml:space="preserve">, R. G. L., </w:t>
      </w:r>
      <w:proofErr w:type="spellStart"/>
      <w:r w:rsidRPr="00986EFF">
        <w:rPr>
          <w:rFonts w:ascii="Times New Roman" w:eastAsia="Times New Roman" w:hAnsi="Times New Roman" w:cs="Times New Roman"/>
          <w:color w:val="000000" w:themeColor="text1"/>
          <w:sz w:val="24"/>
          <w:szCs w:val="24"/>
        </w:rPr>
        <w:t>Rouayheb</w:t>
      </w:r>
      <w:proofErr w:type="spellEnd"/>
      <w:r w:rsidRPr="00986EFF">
        <w:rPr>
          <w:rFonts w:ascii="Times New Roman" w:eastAsia="Times New Roman" w:hAnsi="Times New Roman" w:cs="Times New Roman"/>
          <w:color w:val="000000" w:themeColor="text1"/>
          <w:sz w:val="24"/>
          <w:szCs w:val="24"/>
        </w:rPr>
        <w:t xml:space="preserve">, S. E., Evans, D., Gardner, J., Garrett, Z., </w:t>
      </w:r>
      <w:proofErr w:type="spellStart"/>
      <w:r w:rsidRPr="00986EFF">
        <w:rPr>
          <w:rFonts w:ascii="Times New Roman" w:eastAsia="Times New Roman" w:hAnsi="Times New Roman" w:cs="Times New Roman"/>
          <w:color w:val="000000" w:themeColor="text1"/>
          <w:sz w:val="24"/>
          <w:szCs w:val="24"/>
        </w:rPr>
        <w:t>Gascón</w:t>
      </w:r>
      <w:proofErr w:type="spellEnd"/>
      <w:r w:rsidRPr="00986EFF">
        <w:rPr>
          <w:rFonts w:ascii="Times New Roman" w:eastAsia="Times New Roman" w:hAnsi="Times New Roman" w:cs="Times New Roman"/>
          <w:color w:val="000000" w:themeColor="text1"/>
          <w:sz w:val="24"/>
          <w:szCs w:val="24"/>
        </w:rPr>
        <w:t xml:space="preserve">, A., Ghazi, B., Gibbons, P. B., </w:t>
      </w:r>
      <w:proofErr w:type="spellStart"/>
      <w:r w:rsidRPr="00986EFF">
        <w:rPr>
          <w:rFonts w:ascii="Times New Roman" w:eastAsia="Times New Roman" w:hAnsi="Times New Roman" w:cs="Times New Roman"/>
          <w:color w:val="000000" w:themeColor="text1"/>
          <w:sz w:val="24"/>
          <w:szCs w:val="24"/>
        </w:rPr>
        <w:t>Gruteser</w:t>
      </w:r>
      <w:proofErr w:type="spellEnd"/>
      <w:r w:rsidRPr="00986EFF">
        <w:rPr>
          <w:rFonts w:ascii="Times New Roman" w:eastAsia="Times New Roman" w:hAnsi="Times New Roman" w:cs="Times New Roman"/>
          <w:color w:val="000000" w:themeColor="text1"/>
          <w:sz w:val="24"/>
          <w:szCs w:val="24"/>
        </w:rPr>
        <w:t xml:space="preserve">, M., &amp; </w:t>
      </w:r>
      <w:proofErr w:type="spellStart"/>
      <w:r w:rsidRPr="00986EFF">
        <w:rPr>
          <w:rFonts w:ascii="Times New Roman" w:eastAsia="Times New Roman" w:hAnsi="Times New Roman" w:cs="Times New Roman"/>
          <w:color w:val="000000" w:themeColor="text1"/>
          <w:sz w:val="24"/>
          <w:szCs w:val="24"/>
        </w:rPr>
        <w:t>Harchaoui</w:t>
      </w:r>
      <w:proofErr w:type="spellEnd"/>
      <w:r w:rsidRPr="00986EFF">
        <w:rPr>
          <w:rFonts w:ascii="Times New Roman" w:eastAsia="Times New Roman" w:hAnsi="Times New Roman" w:cs="Times New Roman"/>
          <w:color w:val="000000" w:themeColor="text1"/>
          <w:sz w:val="24"/>
          <w:szCs w:val="24"/>
        </w:rPr>
        <w:t xml:space="preserve">, Z. (2019). Advances and Open Problems in Federated Learning. </w:t>
      </w:r>
      <w:r w:rsidRPr="00986EFF">
        <w:rPr>
          <w:rFonts w:ascii="Times New Roman" w:eastAsia="Times New Roman" w:hAnsi="Times New Roman" w:cs="Times New Roman"/>
          <w:i/>
          <w:iCs/>
          <w:color w:val="000000" w:themeColor="text1"/>
          <w:sz w:val="24"/>
          <w:szCs w:val="24"/>
        </w:rPr>
        <w:t>ArXiv:1912.04977 [Cs, Stat]</w:t>
      </w:r>
      <w:r w:rsidRPr="00986EFF">
        <w:rPr>
          <w:rFonts w:ascii="Times New Roman" w:eastAsia="Times New Roman" w:hAnsi="Times New Roman" w:cs="Times New Roman"/>
          <w:color w:val="000000" w:themeColor="text1"/>
          <w:sz w:val="24"/>
          <w:szCs w:val="24"/>
        </w:rPr>
        <w:t>. https://arxiv.org/abs/1912.04977</w:t>
      </w:r>
    </w:p>
    <w:p w14:paraId="201D932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Kumar, K. N., C Krishna Mohan, &amp; </w:t>
      </w:r>
      <w:proofErr w:type="spellStart"/>
      <w:r w:rsidRPr="00986EFF">
        <w:rPr>
          <w:rFonts w:ascii="Times New Roman" w:eastAsia="Times New Roman" w:hAnsi="Times New Roman" w:cs="Times New Roman"/>
          <w:color w:val="000000" w:themeColor="text1"/>
          <w:sz w:val="24"/>
          <w:szCs w:val="24"/>
        </w:rPr>
        <w:t>Linga</w:t>
      </w:r>
      <w:proofErr w:type="spellEnd"/>
      <w:r w:rsidRPr="00986EFF">
        <w:rPr>
          <w:rFonts w:ascii="Times New Roman" w:eastAsia="Times New Roman" w:hAnsi="Times New Roman" w:cs="Times New Roman"/>
          <w:color w:val="000000" w:themeColor="text1"/>
          <w:sz w:val="24"/>
          <w:szCs w:val="24"/>
        </w:rPr>
        <w:t xml:space="preserve"> Reddy </w:t>
      </w:r>
      <w:proofErr w:type="spellStart"/>
      <w:r w:rsidRPr="00986EFF">
        <w:rPr>
          <w:rFonts w:ascii="Times New Roman" w:eastAsia="Times New Roman" w:hAnsi="Times New Roman" w:cs="Times New Roman"/>
          <w:color w:val="000000" w:themeColor="text1"/>
          <w:sz w:val="24"/>
          <w:szCs w:val="24"/>
        </w:rPr>
        <w:t>Cenkeramaddi</w:t>
      </w:r>
      <w:proofErr w:type="spellEnd"/>
      <w:r w:rsidRPr="00986EFF">
        <w:rPr>
          <w:rFonts w:ascii="Times New Roman" w:eastAsia="Times New Roman" w:hAnsi="Times New Roman" w:cs="Times New Roman"/>
          <w:color w:val="000000" w:themeColor="text1"/>
          <w:sz w:val="24"/>
          <w:szCs w:val="24"/>
        </w:rPr>
        <w:t xml:space="preserve">. (2024). The Impact of Adversarial Attacks on Federated Learning: A Survey. </w:t>
      </w:r>
      <w:r w:rsidRPr="00986EFF">
        <w:rPr>
          <w:rFonts w:ascii="Times New Roman" w:eastAsia="Times New Roman" w:hAnsi="Times New Roman" w:cs="Times New Roman"/>
          <w:i/>
          <w:iCs/>
          <w:color w:val="000000" w:themeColor="text1"/>
          <w:sz w:val="24"/>
          <w:szCs w:val="24"/>
        </w:rPr>
        <w:t>IEEE Transactions on Pattern Analysis and Machine Intelligence</w:t>
      </w:r>
      <w:r w:rsidRPr="00986EFF">
        <w:rPr>
          <w:rFonts w:ascii="Times New Roman" w:eastAsia="Times New Roman" w:hAnsi="Times New Roman" w:cs="Times New Roman"/>
          <w:color w:val="000000" w:themeColor="text1"/>
          <w:sz w:val="24"/>
          <w:szCs w:val="24"/>
        </w:rPr>
        <w:t>, 1–20. https://doi.org/10.1109/tpami.2023.3322785</w:t>
      </w:r>
    </w:p>
    <w:p w14:paraId="29A33E7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Li, Y., Wei, X., Li, Y., Dong, Z., &amp; </w:t>
      </w:r>
      <w:proofErr w:type="spellStart"/>
      <w:r w:rsidRPr="00986EFF">
        <w:rPr>
          <w:rFonts w:ascii="Times New Roman" w:eastAsia="Times New Roman" w:hAnsi="Times New Roman" w:cs="Times New Roman"/>
          <w:color w:val="000000" w:themeColor="text1"/>
          <w:sz w:val="24"/>
          <w:szCs w:val="24"/>
        </w:rPr>
        <w:t>Shahidehpour</w:t>
      </w:r>
      <w:proofErr w:type="spellEnd"/>
      <w:r w:rsidRPr="00986EFF">
        <w:rPr>
          <w:rFonts w:ascii="Times New Roman" w:eastAsia="Times New Roman" w:hAnsi="Times New Roman" w:cs="Times New Roman"/>
          <w:color w:val="000000" w:themeColor="text1"/>
          <w:sz w:val="24"/>
          <w:szCs w:val="24"/>
        </w:rPr>
        <w:t xml:space="preserve">, M. (2022). Detection of False Data Injection Attacks in Smart Grid: A Secure Federated Deep Learning Approach. </w:t>
      </w:r>
      <w:r w:rsidRPr="00986EFF">
        <w:rPr>
          <w:rFonts w:ascii="Times New Roman" w:eastAsia="Times New Roman" w:hAnsi="Times New Roman" w:cs="Times New Roman"/>
          <w:i/>
          <w:iCs/>
          <w:color w:val="000000" w:themeColor="text1"/>
          <w:sz w:val="24"/>
          <w:szCs w:val="24"/>
        </w:rPr>
        <w:t>IEEE Transactions on Smart Grid</w:t>
      </w:r>
      <w:r w:rsidRPr="00986EFF">
        <w:rPr>
          <w:rFonts w:ascii="Times New Roman" w:eastAsia="Times New Roman" w:hAnsi="Times New Roman" w:cs="Times New Roman"/>
          <w:color w:val="000000" w:themeColor="text1"/>
          <w:sz w:val="24"/>
          <w:szCs w:val="24"/>
        </w:rPr>
        <w:t>, 1–1. https://doi.org/10.1109/tsg.2022.3204796</w:t>
      </w:r>
    </w:p>
    <w:p w14:paraId="76A072BC"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McMahan, B., Moore, E., Ramage, D., Hampson, S., &amp; </w:t>
      </w:r>
      <w:proofErr w:type="spellStart"/>
      <w:r w:rsidRPr="00986EFF">
        <w:rPr>
          <w:rFonts w:ascii="Times New Roman" w:eastAsia="Times New Roman" w:hAnsi="Times New Roman" w:cs="Times New Roman"/>
          <w:color w:val="000000" w:themeColor="text1"/>
          <w:sz w:val="24"/>
          <w:szCs w:val="24"/>
        </w:rPr>
        <w:t>Arcas</w:t>
      </w:r>
      <w:proofErr w:type="spellEnd"/>
      <w:r w:rsidRPr="00986EFF">
        <w:rPr>
          <w:rFonts w:ascii="Times New Roman" w:eastAsia="Times New Roman" w:hAnsi="Times New Roman" w:cs="Times New Roman"/>
          <w:color w:val="000000" w:themeColor="text1"/>
          <w:sz w:val="24"/>
          <w:szCs w:val="24"/>
        </w:rPr>
        <w:t xml:space="preserve">, B. A. y. (2017 10). </w:t>
      </w:r>
      <w:r w:rsidRPr="00986EFF">
        <w:rPr>
          <w:rFonts w:ascii="Times New Roman" w:eastAsia="Times New Roman" w:hAnsi="Times New Roman" w:cs="Times New Roman"/>
          <w:i/>
          <w:iCs/>
          <w:color w:val="000000" w:themeColor="text1"/>
          <w:sz w:val="24"/>
          <w:szCs w:val="24"/>
        </w:rPr>
        <w:t>Communication-Efficient Learning of Deep Networks from Decentralized Data</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Proceedings.mlr.press</w:t>
      </w:r>
      <w:proofErr w:type="spellEnd"/>
      <w:r w:rsidRPr="00986EFF">
        <w:rPr>
          <w:rFonts w:ascii="Times New Roman" w:eastAsia="Times New Roman" w:hAnsi="Times New Roman" w:cs="Times New Roman"/>
          <w:color w:val="000000" w:themeColor="text1"/>
          <w:sz w:val="24"/>
          <w:szCs w:val="24"/>
        </w:rPr>
        <w:t>; PMLR. https://proceedings.mlr.press/v54/mcmahan17a.html</w:t>
      </w:r>
    </w:p>
    <w:p w14:paraId="045E7AC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MeriTalk</w:t>
      </w:r>
      <w:proofErr w:type="spellEnd"/>
      <w:r w:rsidRPr="00986EFF">
        <w:rPr>
          <w:rFonts w:ascii="Times New Roman" w:eastAsia="Times New Roman" w:hAnsi="Times New Roman" w:cs="Times New Roman"/>
          <w:color w:val="000000" w:themeColor="text1"/>
          <w:sz w:val="24"/>
          <w:szCs w:val="24"/>
        </w:rPr>
        <w:t xml:space="preserve">. (2023). </w:t>
      </w:r>
      <w:r w:rsidRPr="00986EFF">
        <w:rPr>
          <w:rFonts w:ascii="Times New Roman" w:eastAsia="Times New Roman" w:hAnsi="Times New Roman" w:cs="Times New Roman"/>
          <w:i/>
          <w:iCs/>
          <w:color w:val="000000" w:themeColor="text1"/>
          <w:sz w:val="24"/>
          <w:szCs w:val="24"/>
        </w:rPr>
        <w:t>DoE Needs to Fully Implement Insider Threat Program</w:t>
      </w:r>
      <w:r w:rsidRPr="00986EFF">
        <w:rPr>
          <w:rFonts w:ascii="Times New Roman" w:eastAsia="Times New Roman" w:hAnsi="Times New Roman" w:cs="Times New Roman"/>
          <w:color w:val="000000" w:themeColor="text1"/>
          <w:sz w:val="24"/>
          <w:szCs w:val="24"/>
        </w:rPr>
        <w:t>. Meritalk.com. https://www.meritalk.com/articles/doe-needs-to-fully-implement-insider-threat-program/</w:t>
      </w:r>
    </w:p>
    <w:p w14:paraId="3798EE1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Middleton, L., Buss, A. A., </w:t>
      </w:r>
      <w:proofErr w:type="spellStart"/>
      <w:r w:rsidRPr="00986EFF">
        <w:rPr>
          <w:rFonts w:ascii="Times New Roman" w:eastAsia="Times New Roman" w:hAnsi="Times New Roman" w:cs="Times New Roman"/>
          <w:color w:val="000000" w:themeColor="text1"/>
          <w:sz w:val="24"/>
          <w:szCs w:val="24"/>
        </w:rPr>
        <w:t>Bazin</w:t>
      </w:r>
      <w:proofErr w:type="spellEnd"/>
      <w:r w:rsidRPr="00986EFF">
        <w:rPr>
          <w:rFonts w:ascii="Times New Roman" w:eastAsia="Times New Roman" w:hAnsi="Times New Roman" w:cs="Times New Roman"/>
          <w:color w:val="000000" w:themeColor="text1"/>
          <w:sz w:val="24"/>
          <w:szCs w:val="24"/>
        </w:rPr>
        <w:t xml:space="preserve">, A., &amp; Nixon, M. S. (2005). A Floor Sensor System for Gait Recognition. </w:t>
      </w:r>
      <w:r w:rsidRPr="00986EFF">
        <w:rPr>
          <w:rFonts w:ascii="Times New Roman" w:eastAsia="Times New Roman" w:hAnsi="Times New Roman" w:cs="Times New Roman"/>
          <w:i/>
          <w:iCs/>
          <w:color w:val="000000" w:themeColor="text1"/>
          <w:sz w:val="24"/>
          <w:szCs w:val="24"/>
        </w:rPr>
        <w:t>Fourth IEEE Workshop on Automatic Identification Advanced Technologies (AutoID’05)</w:t>
      </w:r>
      <w:r w:rsidRPr="00986EFF">
        <w:rPr>
          <w:rFonts w:ascii="Times New Roman" w:eastAsia="Times New Roman" w:hAnsi="Times New Roman" w:cs="Times New Roman"/>
          <w:color w:val="000000" w:themeColor="text1"/>
          <w:sz w:val="24"/>
          <w:szCs w:val="24"/>
        </w:rPr>
        <w:t>. https://doi.org/10.1109/autoid.2005.2</w:t>
      </w:r>
    </w:p>
    <w:p w14:paraId="00F30BB4"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lastRenderedPageBreak/>
        <w:t>Muaaz</w:t>
      </w:r>
      <w:proofErr w:type="spellEnd"/>
      <w:r w:rsidRPr="00986EFF">
        <w:rPr>
          <w:rFonts w:ascii="Times New Roman" w:eastAsia="Times New Roman" w:hAnsi="Times New Roman" w:cs="Times New Roman"/>
          <w:color w:val="000000" w:themeColor="text1"/>
          <w:sz w:val="24"/>
          <w:szCs w:val="24"/>
        </w:rPr>
        <w:t xml:space="preserve">, M., &amp; Mayrhofer, R. (2017). Smartphone-Based Gait Recognition: From Authentication to Imitation. </w:t>
      </w:r>
      <w:r w:rsidRPr="00986EFF">
        <w:rPr>
          <w:rFonts w:ascii="Times New Roman" w:eastAsia="Times New Roman" w:hAnsi="Times New Roman" w:cs="Times New Roman"/>
          <w:i/>
          <w:iCs/>
          <w:color w:val="000000" w:themeColor="text1"/>
          <w:sz w:val="24"/>
          <w:szCs w:val="24"/>
        </w:rPr>
        <w:t>IEEE Transactions on Mobile Computing</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16</w:t>
      </w:r>
      <w:r w:rsidRPr="00986EFF">
        <w:rPr>
          <w:rFonts w:ascii="Times New Roman" w:eastAsia="Times New Roman" w:hAnsi="Times New Roman" w:cs="Times New Roman"/>
          <w:color w:val="000000" w:themeColor="text1"/>
          <w:sz w:val="24"/>
          <w:szCs w:val="24"/>
        </w:rPr>
        <w:t>(11), 3209–3221. https://doi.org/10.1109/tmc.2017.2686855</w:t>
      </w:r>
    </w:p>
    <w:p w14:paraId="0714AAF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Nair, A., B. </w:t>
      </w:r>
      <w:proofErr w:type="spellStart"/>
      <w:r w:rsidRPr="00986EFF">
        <w:rPr>
          <w:rFonts w:ascii="Times New Roman" w:eastAsia="Times New Roman" w:hAnsi="Times New Roman" w:cs="Times New Roman"/>
          <w:color w:val="000000" w:themeColor="text1"/>
          <w:sz w:val="24"/>
          <w:szCs w:val="24"/>
        </w:rPr>
        <w:t>Premjith</w:t>
      </w:r>
      <w:proofErr w:type="spellEnd"/>
      <w:r w:rsidRPr="00986EFF">
        <w:rPr>
          <w:rFonts w:ascii="Times New Roman" w:eastAsia="Times New Roman" w:hAnsi="Times New Roman" w:cs="Times New Roman"/>
          <w:color w:val="000000" w:themeColor="text1"/>
          <w:sz w:val="24"/>
          <w:szCs w:val="24"/>
        </w:rPr>
        <w:t xml:space="preserve">, Shukla, D., &amp; </w:t>
      </w:r>
      <w:proofErr w:type="spellStart"/>
      <w:r w:rsidRPr="00986EFF">
        <w:rPr>
          <w:rFonts w:ascii="Times New Roman" w:eastAsia="Times New Roman" w:hAnsi="Times New Roman" w:cs="Times New Roman"/>
          <w:color w:val="000000" w:themeColor="text1"/>
          <w:sz w:val="24"/>
          <w:szCs w:val="24"/>
        </w:rPr>
        <w:t>Soman</w:t>
      </w:r>
      <w:proofErr w:type="spellEnd"/>
      <w:r w:rsidRPr="00986EFF">
        <w:rPr>
          <w:rFonts w:ascii="Times New Roman" w:eastAsia="Times New Roman" w:hAnsi="Times New Roman" w:cs="Times New Roman"/>
          <w:color w:val="000000" w:themeColor="text1"/>
          <w:sz w:val="24"/>
          <w:szCs w:val="24"/>
        </w:rPr>
        <w:t xml:space="preserve">, K. P. (2023). Continuous Authentication Using Gait Patterns. </w:t>
      </w:r>
      <w:r w:rsidRPr="00986EFF">
        <w:rPr>
          <w:rFonts w:ascii="Times New Roman" w:eastAsia="Times New Roman" w:hAnsi="Times New Roman" w:cs="Times New Roman"/>
          <w:i/>
          <w:iCs/>
          <w:color w:val="000000" w:themeColor="text1"/>
          <w:sz w:val="24"/>
          <w:szCs w:val="24"/>
        </w:rPr>
        <w:t>Lecture Notes in Electrical Engineering</w:t>
      </w:r>
      <w:r w:rsidRPr="00986EFF">
        <w:rPr>
          <w:rFonts w:ascii="Times New Roman" w:eastAsia="Times New Roman" w:hAnsi="Times New Roman" w:cs="Times New Roman"/>
          <w:color w:val="000000" w:themeColor="text1"/>
          <w:sz w:val="24"/>
          <w:szCs w:val="24"/>
        </w:rPr>
        <w:t>, 447–459. https://doi.org/10.1007/978-981-99-1410-4_37</w:t>
      </w:r>
    </w:p>
    <w:p w14:paraId="3EEFB6E0"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Nassim </w:t>
      </w:r>
      <w:proofErr w:type="spellStart"/>
      <w:r w:rsidRPr="00986EFF">
        <w:rPr>
          <w:rFonts w:ascii="Times New Roman" w:eastAsia="Times New Roman" w:hAnsi="Times New Roman" w:cs="Times New Roman"/>
          <w:color w:val="000000" w:themeColor="text1"/>
          <w:sz w:val="24"/>
          <w:szCs w:val="24"/>
        </w:rPr>
        <w:t>Ammour</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Yakoub</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Bazi</w:t>
      </w:r>
      <w:proofErr w:type="spellEnd"/>
      <w:r w:rsidRPr="00986EFF">
        <w:rPr>
          <w:rFonts w:ascii="Times New Roman" w:eastAsia="Times New Roman" w:hAnsi="Times New Roman" w:cs="Times New Roman"/>
          <w:color w:val="000000" w:themeColor="text1"/>
          <w:sz w:val="24"/>
          <w:szCs w:val="24"/>
        </w:rPr>
        <w:t xml:space="preserve">, &amp; </w:t>
      </w:r>
      <w:proofErr w:type="spellStart"/>
      <w:r w:rsidRPr="00986EFF">
        <w:rPr>
          <w:rFonts w:ascii="Times New Roman" w:eastAsia="Times New Roman" w:hAnsi="Times New Roman" w:cs="Times New Roman"/>
          <w:color w:val="000000" w:themeColor="text1"/>
          <w:sz w:val="24"/>
          <w:szCs w:val="24"/>
        </w:rPr>
        <w:t>Naif</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Alajlan</w:t>
      </w:r>
      <w:proofErr w:type="spellEnd"/>
      <w:r w:rsidRPr="00986EFF">
        <w:rPr>
          <w:rFonts w:ascii="Times New Roman" w:eastAsia="Times New Roman" w:hAnsi="Times New Roman" w:cs="Times New Roman"/>
          <w:color w:val="000000" w:themeColor="text1"/>
          <w:sz w:val="24"/>
          <w:szCs w:val="24"/>
        </w:rPr>
        <w:t xml:space="preserve">. (2023). Multimodal Approach for Enhancing Biometric Authentication. </w:t>
      </w:r>
      <w:r w:rsidRPr="00986EFF">
        <w:rPr>
          <w:rFonts w:ascii="Times New Roman" w:eastAsia="Times New Roman" w:hAnsi="Times New Roman" w:cs="Times New Roman"/>
          <w:i/>
          <w:iCs/>
          <w:color w:val="000000" w:themeColor="text1"/>
          <w:sz w:val="24"/>
          <w:szCs w:val="24"/>
        </w:rPr>
        <w:t>Journal of Imaging</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9</w:t>
      </w:r>
      <w:r w:rsidRPr="00986EFF">
        <w:rPr>
          <w:rFonts w:ascii="Times New Roman" w:eastAsia="Times New Roman" w:hAnsi="Times New Roman" w:cs="Times New Roman"/>
          <w:color w:val="000000" w:themeColor="text1"/>
          <w:sz w:val="24"/>
          <w:szCs w:val="24"/>
        </w:rPr>
        <w:t xml:space="preserve">(9), 168–168. </w:t>
      </w:r>
      <w:hyperlink r:id="rId13" w:history="1">
        <w:r w:rsidR="009F3F90" w:rsidRPr="00986EFF">
          <w:rPr>
            <w:rStyle w:val="Hyperlink"/>
            <w:rFonts w:ascii="Times New Roman" w:eastAsia="Times New Roman" w:hAnsi="Times New Roman" w:cs="Times New Roman"/>
            <w:color w:val="000000" w:themeColor="text1"/>
            <w:sz w:val="24"/>
            <w:szCs w:val="24"/>
          </w:rPr>
          <w:t>https://doi.org/10.3390/jimaging9090168</w:t>
        </w:r>
      </w:hyperlink>
    </w:p>
    <w:p w14:paraId="0D4778FF" w14:textId="77777777" w:rsidR="009F3F90" w:rsidRPr="00986EFF" w:rsidRDefault="009F3F9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Nguyen, M.T. and Tran, M.Q. (2023) Balancing Security and Privacy in the Digital Age: An </w:t>
      </w:r>
      <w:proofErr w:type="gramStart"/>
      <w:r w:rsidRPr="00986EFF">
        <w:rPr>
          <w:rFonts w:ascii="Times New Roman" w:eastAsia="Times New Roman" w:hAnsi="Times New Roman" w:cs="Times New Roman"/>
          <w:color w:val="000000" w:themeColor="text1"/>
          <w:sz w:val="24"/>
          <w:szCs w:val="24"/>
        </w:rPr>
        <w:t>in-Depth</w:t>
      </w:r>
      <w:proofErr w:type="gramEnd"/>
      <w:r w:rsidRPr="00986EFF">
        <w:rPr>
          <w:rFonts w:ascii="Times New Roman" w:eastAsia="Times New Roman" w:hAnsi="Times New Roman" w:cs="Times New Roman"/>
          <w:color w:val="000000" w:themeColor="text1"/>
          <w:sz w:val="24"/>
          <w:szCs w:val="24"/>
        </w:rPr>
        <w:t xml:space="preserve"> Analysis of Legal and Regulatory Frameworks Impacting Cybersecurity Practices. </w:t>
      </w:r>
      <w:r w:rsidRPr="00986EFF">
        <w:rPr>
          <w:rFonts w:ascii="Times New Roman" w:eastAsia="Times New Roman" w:hAnsi="Times New Roman" w:cs="Times New Roman"/>
          <w:i/>
          <w:iCs/>
          <w:color w:val="000000" w:themeColor="text1"/>
          <w:sz w:val="24"/>
          <w:szCs w:val="24"/>
        </w:rPr>
        <w:t>International Journal of Intelligent Automation and Computing</w:t>
      </w:r>
      <w:r w:rsidRPr="00986EFF">
        <w:rPr>
          <w:rFonts w:ascii="Times New Roman" w:eastAsia="Times New Roman" w:hAnsi="Times New Roman" w:cs="Times New Roman"/>
          <w:color w:val="000000" w:themeColor="text1"/>
          <w:sz w:val="24"/>
          <w:szCs w:val="24"/>
        </w:rPr>
        <w:t>, 6, 1-12.</w:t>
      </w:r>
    </w:p>
    <w:p w14:paraId="09F980B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Nguyen, T. V., Ho, N. D., Hoang, H. T., </w:t>
      </w:r>
      <w:proofErr w:type="spellStart"/>
      <w:r w:rsidRPr="00986EFF">
        <w:rPr>
          <w:rFonts w:ascii="Times New Roman" w:eastAsia="Times New Roman" w:hAnsi="Times New Roman" w:cs="Times New Roman"/>
          <w:color w:val="000000" w:themeColor="text1"/>
          <w:sz w:val="24"/>
          <w:szCs w:val="24"/>
        </w:rPr>
        <w:t>Danh</w:t>
      </w:r>
      <w:proofErr w:type="spellEnd"/>
      <w:r w:rsidRPr="00986EFF">
        <w:rPr>
          <w:rFonts w:ascii="Times New Roman" w:eastAsia="Times New Roman" w:hAnsi="Times New Roman" w:cs="Times New Roman"/>
          <w:color w:val="000000" w:themeColor="text1"/>
          <w:sz w:val="24"/>
          <w:szCs w:val="24"/>
        </w:rPr>
        <w:t xml:space="preserve"> Do, C., &amp; Wong, K.-S. (2022). Toward Efficient Hierarchical Federated Learning Design Over Multi-Hop Wireless Communications Networks. </w:t>
      </w:r>
      <w:r w:rsidRPr="00986EFF">
        <w:rPr>
          <w:rFonts w:ascii="Times New Roman" w:eastAsia="Times New Roman" w:hAnsi="Times New Roman" w:cs="Times New Roman"/>
          <w:i/>
          <w:iCs/>
          <w:color w:val="000000" w:themeColor="text1"/>
          <w:sz w:val="24"/>
          <w:szCs w:val="24"/>
        </w:rPr>
        <w:t>IEEE Access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w:t>
      </w:r>
      <w:r w:rsidRPr="00986EFF">
        <w:rPr>
          <w:rFonts w:ascii="Times New Roman" w:eastAsia="Times New Roman" w:hAnsi="Times New Roman" w:cs="Times New Roman"/>
          <w:color w:val="000000" w:themeColor="text1"/>
          <w:sz w:val="24"/>
          <w:szCs w:val="24"/>
        </w:rPr>
        <w:t>, 111910–111922.</w:t>
      </w:r>
      <w:r w:rsidR="009F3F90"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color w:val="000000" w:themeColor="text1"/>
          <w:sz w:val="24"/>
          <w:szCs w:val="24"/>
        </w:rPr>
        <w:t>https://doi.org/10.1109/access.2022.3215758</w:t>
      </w:r>
    </w:p>
    <w:p w14:paraId="43CAC6AA"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Ofosu-</w:t>
      </w:r>
      <w:proofErr w:type="spellStart"/>
      <w:r w:rsidRPr="00986EFF">
        <w:rPr>
          <w:rFonts w:ascii="Times New Roman" w:eastAsia="Times New Roman" w:hAnsi="Times New Roman" w:cs="Times New Roman"/>
          <w:color w:val="000000" w:themeColor="text1"/>
          <w:sz w:val="24"/>
          <w:szCs w:val="24"/>
        </w:rPr>
        <w:t>Peasah</w:t>
      </w:r>
      <w:proofErr w:type="spellEnd"/>
      <w:r w:rsidRPr="00986EFF">
        <w:rPr>
          <w:rFonts w:ascii="Times New Roman" w:eastAsia="Times New Roman" w:hAnsi="Times New Roman" w:cs="Times New Roman"/>
          <w:color w:val="000000" w:themeColor="text1"/>
          <w:sz w:val="24"/>
          <w:szCs w:val="24"/>
        </w:rPr>
        <w:t xml:space="preserve">, G., Ofosu </w:t>
      </w:r>
      <w:proofErr w:type="spellStart"/>
      <w:r w:rsidRPr="00986EFF">
        <w:rPr>
          <w:rFonts w:ascii="Times New Roman" w:eastAsia="Times New Roman" w:hAnsi="Times New Roman" w:cs="Times New Roman"/>
          <w:color w:val="000000" w:themeColor="text1"/>
          <w:sz w:val="24"/>
          <w:szCs w:val="24"/>
        </w:rPr>
        <w:t>Antwi</w:t>
      </w:r>
      <w:proofErr w:type="spellEnd"/>
      <w:r w:rsidRPr="00986EFF">
        <w:rPr>
          <w:rFonts w:ascii="Times New Roman" w:eastAsia="Times New Roman" w:hAnsi="Times New Roman" w:cs="Times New Roman"/>
          <w:color w:val="000000" w:themeColor="text1"/>
          <w:sz w:val="24"/>
          <w:szCs w:val="24"/>
        </w:rPr>
        <w:t xml:space="preserve">, E., Blyth, W., &amp; </w:t>
      </w:r>
      <w:proofErr w:type="spellStart"/>
      <w:r w:rsidRPr="00986EFF">
        <w:rPr>
          <w:rFonts w:ascii="Times New Roman" w:eastAsia="Times New Roman" w:hAnsi="Times New Roman" w:cs="Times New Roman"/>
          <w:color w:val="000000" w:themeColor="text1"/>
          <w:sz w:val="24"/>
          <w:szCs w:val="24"/>
        </w:rPr>
        <w:t>Effah-Donyina</w:t>
      </w:r>
      <w:proofErr w:type="spellEnd"/>
      <w:r w:rsidRPr="00986EFF">
        <w:rPr>
          <w:rFonts w:ascii="Times New Roman" w:eastAsia="Times New Roman" w:hAnsi="Times New Roman" w:cs="Times New Roman"/>
          <w:color w:val="000000" w:themeColor="text1"/>
          <w:sz w:val="24"/>
          <w:szCs w:val="24"/>
        </w:rPr>
        <w:t xml:space="preserve">, E. (2024). Assessment of Energy Security in West Africa: A Case Study of Three Countries. </w:t>
      </w:r>
      <w:proofErr w:type="spellStart"/>
      <w:r w:rsidRPr="00986EFF">
        <w:rPr>
          <w:rFonts w:ascii="Times New Roman" w:eastAsia="Times New Roman" w:hAnsi="Times New Roman" w:cs="Times New Roman"/>
          <w:i/>
          <w:iCs/>
          <w:color w:val="000000" w:themeColor="text1"/>
          <w:sz w:val="24"/>
          <w:szCs w:val="24"/>
        </w:rPr>
        <w:t>Heliyon</w:t>
      </w:r>
      <w:proofErr w:type="spellEnd"/>
      <w:r w:rsidRPr="00986EFF">
        <w:rPr>
          <w:rFonts w:ascii="Times New Roman" w:eastAsia="Times New Roman" w:hAnsi="Times New Roman" w:cs="Times New Roman"/>
          <w:color w:val="000000" w:themeColor="text1"/>
          <w:sz w:val="24"/>
          <w:szCs w:val="24"/>
        </w:rPr>
        <w:t>, e39794. https://doi.org/10.1016/j.heliyon.2024.e39794</w:t>
      </w:r>
    </w:p>
    <w:p w14:paraId="553442B8"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proofErr w:type="gramStart"/>
      <w:r w:rsidRPr="00986EFF">
        <w:rPr>
          <w:rFonts w:ascii="Times New Roman" w:eastAsia="Times New Roman" w:hAnsi="Times New Roman" w:cs="Times New Roman"/>
          <w:color w:val="000000" w:themeColor="text1"/>
          <w:sz w:val="24"/>
          <w:szCs w:val="24"/>
        </w:rPr>
        <w:t>Ohaba</w:t>
      </w:r>
      <w:proofErr w:type="spellEnd"/>
      <w:r w:rsidRPr="00986EFF">
        <w:rPr>
          <w:rFonts w:ascii="Times New Roman" w:eastAsia="Times New Roman" w:hAnsi="Times New Roman" w:cs="Times New Roman"/>
          <w:color w:val="000000" w:themeColor="text1"/>
          <w:sz w:val="24"/>
          <w:szCs w:val="24"/>
        </w:rPr>
        <w:t xml:space="preserve"> ,</w:t>
      </w:r>
      <w:proofErr w:type="gramEnd"/>
      <w:r w:rsidRPr="00986EFF">
        <w:rPr>
          <w:rFonts w:ascii="Times New Roman" w:eastAsia="Times New Roman" w:hAnsi="Times New Roman" w:cs="Times New Roman"/>
          <w:color w:val="000000" w:themeColor="text1"/>
          <w:sz w:val="24"/>
          <w:szCs w:val="24"/>
        </w:rPr>
        <w:t xml:space="preserve"> E. (2024). </w:t>
      </w:r>
      <w:r w:rsidRPr="00986EFF">
        <w:rPr>
          <w:rFonts w:ascii="Times New Roman" w:eastAsia="Times New Roman" w:hAnsi="Times New Roman" w:cs="Times New Roman"/>
          <w:i/>
          <w:iCs/>
          <w:color w:val="000000" w:themeColor="text1"/>
          <w:sz w:val="24"/>
          <w:szCs w:val="24"/>
        </w:rPr>
        <w:t>Federated Learning for Cybersecurity: Collaborative Intelligence for Threat Detection | Tripwire</w:t>
      </w:r>
      <w:r w:rsidRPr="00986EFF">
        <w:rPr>
          <w:rFonts w:ascii="Times New Roman" w:eastAsia="Times New Roman" w:hAnsi="Times New Roman" w:cs="Times New Roman"/>
          <w:color w:val="000000" w:themeColor="text1"/>
          <w:sz w:val="24"/>
          <w:szCs w:val="24"/>
        </w:rPr>
        <w:t>. Www.tripwire.com. https://www.tripwire.com/state-of-security/federated-learning-cybersecurity-collaborative-intelligence-threat-detection</w:t>
      </w:r>
    </w:p>
    <w:p w14:paraId="50F07A50"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Oliver, T. (2024, September 5). </w:t>
      </w:r>
      <w:r w:rsidRPr="00986EFF">
        <w:rPr>
          <w:rFonts w:ascii="Times New Roman" w:eastAsia="Times New Roman" w:hAnsi="Times New Roman" w:cs="Times New Roman"/>
          <w:i/>
          <w:iCs/>
          <w:color w:val="000000" w:themeColor="text1"/>
          <w:sz w:val="24"/>
          <w:szCs w:val="24"/>
        </w:rPr>
        <w:t>Top 10 Security Threats for the Energy Sector</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Kaseware</w:t>
      </w:r>
      <w:proofErr w:type="spellEnd"/>
      <w:r w:rsidRPr="00986EFF">
        <w:rPr>
          <w:rFonts w:ascii="Times New Roman" w:eastAsia="Times New Roman" w:hAnsi="Times New Roman" w:cs="Times New Roman"/>
          <w:color w:val="000000" w:themeColor="text1"/>
          <w:sz w:val="24"/>
          <w:szCs w:val="24"/>
        </w:rPr>
        <w:t>. https://www.kaseware.com/post/top-10-security-threats-for-the-energy-sector</w:t>
      </w:r>
    </w:p>
    <w:p w14:paraId="3491375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Papavasileiou</w:t>
      </w:r>
      <w:proofErr w:type="spellEnd"/>
      <w:r w:rsidRPr="00986EFF">
        <w:rPr>
          <w:rFonts w:ascii="Times New Roman" w:eastAsia="Times New Roman" w:hAnsi="Times New Roman" w:cs="Times New Roman"/>
          <w:color w:val="000000" w:themeColor="text1"/>
          <w:sz w:val="24"/>
          <w:szCs w:val="24"/>
        </w:rPr>
        <w:t xml:space="preserve">, I., </w:t>
      </w:r>
      <w:proofErr w:type="spellStart"/>
      <w:r w:rsidRPr="00986EFF">
        <w:rPr>
          <w:rFonts w:ascii="Times New Roman" w:eastAsia="Times New Roman" w:hAnsi="Times New Roman" w:cs="Times New Roman"/>
          <w:color w:val="000000" w:themeColor="text1"/>
          <w:sz w:val="24"/>
          <w:szCs w:val="24"/>
        </w:rPr>
        <w:t>Qiao</w:t>
      </w:r>
      <w:proofErr w:type="spellEnd"/>
      <w:r w:rsidRPr="00986EFF">
        <w:rPr>
          <w:rFonts w:ascii="Times New Roman" w:eastAsia="Times New Roman" w:hAnsi="Times New Roman" w:cs="Times New Roman"/>
          <w:color w:val="000000" w:themeColor="text1"/>
          <w:sz w:val="24"/>
          <w:szCs w:val="24"/>
        </w:rPr>
        <w:t xml:space="preserve">, Z., Zhang, C., Zhang, W., Bi, J., &amp; Han, S. (2021). </w:t>
      </w:r>
      <w:proofErr w:type="spellStart"/>
      <w:r w:rsidRPr="00986EFF">
        <w:rPr>
          <w:rFonts w:ascii="Times New Roman" w:eastAsia="Times New Roman" w:hAnsi="Times New Roman" w:cs="Times New Roman"/>
          <w:color w:val="000000" w:themeColor="text1"/>
          <w:sz w:val="24"/>
          <w:szCs w:val="24"/>
        </w:rPr>
        <w:t>GaitCode</w:t>
      </w:r>
      <w:proofErr w:type="spellEnd"/>
      <w:r w:rsidRPr="00986EFF">
        <w:rPr>
          <w:rFonts w:ascii="Times New Roman" w:eastAsia="Times New Roman" w:hAnsi="Times New Roman" w:cs="Times New Roman"/>
          <w:color w:val="000000" w:themeColor="text1"/>
          <w:sz w:val="24"/>
          <w:szCs w:val="24"/>
        </w:rPr>
        <w:t xml:space="preserve">: Gait-based continuous authentication using multimodal learning and wearable sensors. </w:t>
      </w:r>
      <w:r w:rsidRPr="00986EFF">
        <w:rPr>
          <w:rFonts w:ascii="Times New Roman" w:eastAsia="Times New Roman" w:hAnsi="Times New Roman" w:cs="Times New Roman"/>
          <w:i/>
          <w:iCs/>
          <w:color w:val="000000" w:themeColor="text1"/>
          <w:sz w:val="24"/>
          <w:szCs w:val="24"/>
        </w:rPr>
        <w:t>Smart Health</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19</w:t>
      </w:r>
      <w:r w:rsidRPr="00986EFF">
        <w:rPr>
          <w:rFonts w:ascii="Times New Roman" w:eastAsia="Times New Roman" w:hAnsi="Times New Roman" w:cs="Times New Roman"/>
          <w:color w:val="000000" w:themeColor="text1"/>
          <w:sz w:val="24"/>
          <w:szCs w:val="24"/>
        </w:rPr>
        <w:t>, 100162. https://doi.org/10.1016/j.smhl.2020.100162</w:t>
      </w:r>
    </w:p>
    <w:p w14:paraId="4205BEA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RecFaces</w:t>
      </w:r>
      <w:proofErr w:type="spellEnd"/>
      <w:r w:rsidRPr="00986EFF">
        <w:rPr>
          <w:rFonts w:ascii="Times New Roman" w:eastAsia="Times New Roman" w:hAnsi="Times New Roman" w:cs="Times New Roman"/>
          <w:color w:val="000000" w:themeColor="text1"/>
          <w:sz w:val="24"/>
          <w:szCs w:val="24"/>
        </w:rPr>
        <w:t xml:space="preserve">. (2021). </w:t>
      </w:r>
      <w:r w:rsidRPr="00986EFF">
        <w:rPr>
          <w:rFonts w:ascii="Times New Roman" w:eastAsia="Times New Roman" w:hAnsi="Times New Roman" w:cs="Times New Roman"/>
          <w:i/>
          <w:iCs/>
          <w:color w:val="000000" w:themeColor="text1"/>
          <w:sz w:val="24"/>
          <w:szCs w:val="24"/>
        </w:rPr>
        <w:t>Gait Recognition: How It Works, The System &amp; The Algorithm</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RecFaces</w:t>
      </w:r>
      <w:proofErr w:type="spellEnd"/>
      <w:r w:rsidRPr="00986EFF">
        <w:rPr>
          <w:rFonts w:ascii="Times New Roman" w:eastAsia="Times New Roman" w:hAnsi="Times New Roman" w:cs="Times New Roman"/>
          <w:color w:val="000000" w:themeColor="text1"/>
          <w:sz w:val="24"/>
          <w:szCs w:val="24"/>
        </w:rPr>
        <w:t>. https://recfaces.com/articles/what-is-gait-recognition</w:t>
      </w:r>
    </w:p>
    <w:p w14:paraId="716F0A24"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Ribeiro, M. T., Singh, S., &amp; </w:t>
      </w:r>
      <w:proofErr w:type="spellStart"/>
      <w:r w:rsidRPr="00986EFF">
        <w:rPr>
          <w:rFonts w:ascii="Times New Roman" w:eastAsia="Times New Roman" w:hAnsi="Times New Roman" w:cs="Times New Roman"/>
          <w:color w:val="000000" w:themeColor="text1"/>
          <w:sz w:val="24"/>
          <w:szCs w:val="24"/>
        </w:rPr>
        <w:t>Guestrin</w:t>
      </w:r>
      <w:proofErr w:type="spellEnd"/>
      <w:r w:rsidRPr="00986EFF">
        <w:rPr>
          <w:rFonts w:ascii="Times New Roman" w:eastAsia="Times New Roman" w:hAnsi="Times New Roman" w:cs="Times New Roman"/>
          <w:color w:val="000000" w:themeColor="text1"/>
          <w:sz w:val="24"/>
          <w:szCs w:val="24"/>
        </w:rPr>
        <w:t xml:space="preserve">, C. (2016). “Why Should I Trust You?”: Explaining the Predictions of Any Classifier. </w:t>
      </w:r>
      <w:r w:rsidRPr="00986EFF">
        <w:rPr>
          <w:rFonts w:ascii="Times New Roman" w:eastAsia="Times New Roman" w:hAnsi="Times New Roman" w:cs="Times New Roman"/>
          <w:i/>
          <w:iCs/>
          <w:color w:val="000000" w:themeColor="text1"/>
          <w:sz w:val="24"/>
          <w:szCs w:val="24"/>
        </w:rPr>
        <w:t xml:space="preserve">Proceedings of the 22nd ACM SIGKDD International </w:t>
      </w:r>
      <w:r w:rsidRPr="00986EFF">
        <w:rPr>
          <w:rFonts w:ascii="Times New Roman" w:eastAsia="Times New Roman" w:hAnsi="Times New Roman" w:cs="Times New Roman"/>
          <w:i/>
          <w:iCs/>
          <w:color w:val="000000" w:themeColor="text1"/>
          <w:sz w:val="24"/>
          <w:szCs w:val="24"/>
        </w:rPr>
        <w:lastRenderedPageBreak/>
        <w:t>Conference on Knowledge Discovery and Data Mining - KDD ’16</w:t>
      </w:r>
      <w:r w:rsidRPr="00986EFF">
        <w:rPr>
          <w:rFonts w:ascii="Times New Roman" w:eastAsia="Times New Roman" w:hAnsi="Times New Roman" w:cs="Times New Roman"/>
          <w:color w:val="000000" w:themeColor="text1"/>
          <w:sz w:val="24"/>
          <w:szCs w:val="24"/>
        </w:rPr>
        <w:t>, 1135–1144. https://doi.org/10.1145/2939672.2939778</w:t>
      </w:r>
    </w:p>
    <w:p w14:paraId="4BE4F73F"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Sharafaldin</w:t>
      </w:r>
      <w:proofErr w:type="spellEnd"/>
      <w:r w:rsidRPr="00986EFF">
        <w:rPr>
          <w:rFonts w:ascii="Times New Roman" w:eastAsia="Times New Roman" w:hAnsi="Times New Roman" w:cs="Times New Roman"/>
          <w:color w:val="000000" w:themeColor="text1"/>
          <w:sz w:val="24"/>
          <w:szCs w:val="24"/>
        </w:rPr>
        <w:t xml:space="preserve">, I., Habibi </w:t>
      </w:r>
      <w:proofErr w:type="spellStart"/>
      <w:r w:rsidRPr="00986EFF">
        <w:rPr>
          <w:rFonts w:ascii="Times New Roman" w:eastAsia="Times New Roman" w:hAnsi="Times New Roman" w:cs="Times New Roman"/>
          <w:color w:val="000000" w:themeColor="text1"/>
          <w:sz w:val="24"/>
          <w:szCs w:val="24"/>
        </w:rPr>
        <w:t>Lashkari</w:t>
      </w:r>
      <w:proofErr w:type="spellEnd"/>
      <w:r w:rsidRPr="00986EFF">
        <w:rPr>
          <w:rFonts w:ascii="Times New Roman" w:eastAsia="Times New Roman" w:hAnsi="Times New Roman" w:cs="Times New Roman"/>
          <w:color w:val="000000" w:themeColor="text1"/>
          <w:sz w:val="24"/>
          <w:szCs w:val="24"/>
        </w:rPr>
        <w:t xml:space="preserve">, A., &amp; </w:t>
      </w:r>
      <w:proofErr w:type="spellStart"/>
      <w:r w:rsidRPr="00986EFF">
        <w:rPr>
          <w:rFonts w:ascii="Times New Roman" w:eastAsia="Times New Roman" w:hAnsi="Times New Roman" w:cs="Times New Roman"/>
          <w:color w:val="000000" w:themeColor="text1"/>
          <w:sz w:val="24"/>
          <w:szCs w:val="24"/>
        </w:rPr>
        <w:t>Ghorbani</w:t>
      </w:r>
      <w:proofErr w:type="spellEnd"/>
      <w:r w:rsidRPr="00986EFF">
        <w:rPr>
          <w:rFonts w:ascii="Times New Roman" w:eastAsia="Times New Roman" w:hAnsi="Times New Roman" w:cs="Times New Roman"/>
          <w:color w:val="000000" w:themeColor="text1"/>
          <w:sz w:val="24"/>
          <w:szCs w:val="24"/>
        </w:rPr>
        <w:t xml:space="preserve">, A. A. (2018). Toward Generating a New Intrusion Detection Dataset and Intrusion Traffic Characterization. </w:t>
      </w:r>
      <w:r w:rsidRPr="00986EFF">
        <w:rPr>
          <w:rFonts w:ascii="Times New Roman" w:eastAsia="Times New Roman" w:hAnsi="Times New Roman" w:cs="Times New Roman"/>
          <w:i/>
          <w:iCs/>
          <w:color w:val="000000" w:themeColor="text1"/>
          <w:sz w:val="24"/>
          <w:szCs w:val="24"/>
        </w:rPr>
        <w:t>Proceedings of the 4th International Conference on Information Systems Security and Privacy</w:t>
      </w:r>
      <w:r w:rsidRPr="00986EFF">
        <w:rPr>
          <w:rFonts w:ascii="Times New Roman" w:eastAsia="Times New Roman" w:hAnsi="Times New Roman" w:cs="Times New Roman"/>
          <w:color w:val="000000" w:themeColor="text1"/>
          <w:sz w:val="24"/>
          <w:szCs w:val="24"/>
        </w:rPr>
        <w:t>. https://doi.org/10.5220/0006639801080116</w:t>
      </w:r>
    </w:p>
    <w:p w14:paraId="29EE0295"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proofErr w:type="spellStart"/>
      <w:r w:rsidRPr="00986EFF">
        <w:rPr>
          <w:rFonts w:ascii="Times New Roman" w:eastAsia="Times New Roman" w:hAnsi="Times New Roman" w:cs="Times New Roman"/>
          <w:color w:val="000000" w:themeColor="text1"/>
          <w:sz w:val="24"/>
          <w:szCs w:val="24"/>
        </w:rPr>
        <w:t>Stepscan</w:t>
      </w:r>
      <w:proofErr w:type="spellEnd"/>
      <w:r w:rsidRPr="00986EFF">
        <w:rPr>
          <w:rFonts w:ascii="Times New Roman" w:eastAsia="Times New Roman" w:hAnsi="Times New Roman" w:cs="Times New Roman"/>
          <w:color w:val="000000" w:themeColor="text1"/>
          <w:sz w:val="24"/>
          <w:szCs w:val="24"/>
        </w:rPr>
        <w:t xml:space="preserve">. (2020). </w:t>
      </w:r>
      <w:r w:rsidRPr="00986EFF">
        <w:rPr>
          <w:rFonts w:ascii="Times New Roman" w:eastAsia="Times New Roman" w:hAnsi="Times New Roman" w:cs="Times New Roman"/>
          <w:i/>
          <w:iCs/>
          <w:color w:val="000000" w:themeColor="text1"/>
          <w:sz w:val="24"/>
          <w:szCs w:val="24"/>
        </w:rPr>
        <w:t xml:space="preserve">Gait Authentication Security System | </w:t>
      </w:r>
      <w:proofErr w:type="spellStart"/>
      <w:r w:rsidRPr="00986EFF">
        <w:rPr>
          <w:rFonts w:ascii="Times New Roman" w:eastAsia="Times New Roman" w:hAnsi="Times New Roman" w:cs="Times New Roman"/>
          <w:i/>
          <w:iCs/>
          <w:color w:val="000000" w:themeColor="text1"/>
          <w:sz w:val="24"/>
          <w:szCs w:val="24"/>
        </w:rPr>
        <w:t>Stepscan</w:t>
      </w:r>
      <w:proofErr w:type="spellEnd"/>
      <w:r w:rsidRPr="00986EFF">
        <w:rPr>
          <w:rFonts w:ascii="Times New Roman" w:eastAsia="Times New Roman" w:hAnsi="Times New Roman" w:cs="Times New Roman"/>
          <w:i/>
          <w:iCs/>
          <w:color w:val="000000" w:themeColor="text1"/>
          <w:sz w:val="24"/>
          <w:szCs w:val="24"/>
        </w:rPr>
        <w:t>®</w:t>
      </w:r>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Stepscan</w:t>
      </w:r>
      <w:proofErr w:type="spellEnd"/>
      <w:r w:rsidRPr="00986EFF">
        <w:rPr>
          <w:rFonts w:ascii="Times New Roman" w:eastAsia="Times New Roman" w:hAnsi="Times New Roman" w:cs="Times New Roman"/>
          <w:color w:val="000000" w:themeColor="text1"/>
          <w:sz w:val="24"/>
          <w:szCs w:val="24"/>
        </w:rPr>
        <w:t>®. https://stepscan.com/security/</w:t>
      </w:r>
    </w:p>
    <w:p w14:paraId="2AE5C7A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Sweeney, L. (2002). k-ANONYMITY: A MODEL FOR PROTECTING PRIVACY. </w:t>
      </w:r>
      <w:r w:rsidRPr="00986EFF">
        <w:rPr>
          <w:rFonts w:ascii="Times New Roman" w:eastAsia="Times New Roman" w:hAnsi="Times New Roman" w:cs="Times New Roman"/>
          <w:i/>
          <w:iCs/>
          <w:color w:val="000000" w:themeColor="text1"/>
          <w:sz w:val="24"/>
          <w:szCs w:val="24"/>
        </w:rPr>
        <w:t>International Journal of Uncertainty, Fuzziness and Knowledge-Based Systems</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w:t>
      </w:r>
      <w:r w:rsidRPr="00986EFF">
        <w:rPr>
          <w:rFonts w:ascii="Times New Roman" w:eastAsia="Times New Roman" w:hAnsi="Times New Roman" w:cs="Times New Roman"/>
          <w:color w:val="000000" w:themeColor="text1"/>
          <w:sz w:val="24"/>
          <w:szCs w:val="24"/>
        </w:rPr>
        <w:t>(05), 557–570. https://doi.org/10.1142/s0218488502001648</w:t>
      </w:r>
    </w:p>
    <w:p w14:paraId="4C29FE8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Vaswani, A., Brain, G., </w:t>
      </w:r>
      <w:proofErr w:type="spellStart"/>
      <w:r w:rsidRPr="00986EFF">
        <w:rPr>
          <w:rFonts w:ascii="Times New Roman" w:eastAsia="Times New Roman" w:hAnsi="Times New Roman" w:cs="Times New Roman"/>
          <w:color w:val="000000" w:themeColor="text1"/>
          <w:sz w:val="24"/>
          <w:szCs w:val="24"/>
        </w:rPr>
        <w:t>Shazeer</w:t>
      </w:r>
      <w:proofErr w:type="spellEnd"/>
      <w:r w:rsidRPr="00986EFF">
        <w:rPr>
          <w:rFonts w:ascii="Times New Roman" w:eastAsia="Times New Roman" w:hAnsi="Times New Roman" w:cs="Times New Roman"/>
          <w:color w:val="000000" w:themeColor="text1"/>
          <w:sz w:val="24"/>
          <w:szCs w:val="24"/>
        </w:rPr>
        <w:t xml:space="preserve">, N., Parmar, N., </w:t>
      </w:r>
      <w:proofErr w:type="spellStart"/>
      <w:r w:rsidRPr="00986EFF">
        <w:rPr>
          <w:rFonts w:ascii="Times New Roman" w:eastAsia="Times New Roman" w:hAnsi="Times New Roman" w:cs="Times New Roman"/>
          <w:color w:val="000000" w:themeColor="text1"/>
          <w:sz w:val="24"/>
          <w:szCs w:val="24"/>
        </w:rPr>
        <w:t>Uszkoreit</w:t>
      </w:r>
      <w:proofErr w:type="spellEnd"/>
      <w:r w:rsidRPr="00986EFF">
        <w:rPr>
          <w:rFonts w:ascii="Times New Roman" w:eastAsia="Times New Roman" w:hAnsi="Times New Roman" w:cs="Times New Roman"/>
          <w:color w:val="000000" w:themeColor="text1"/>
          <w:sz w:val="24"/>
          <w:szCs w:val="24"/>
        </w:rPr>
        <w:t xml:space="preserve">, J., Jones, L., Gomez, A., Kaiser, Ł., &amp; </w:t>
      </w:r>
      <w:proofErr w:type="spellStart"/>
      <w:r w:rsidRPr="00986EFF">
        <w:rPr>
          <w:rFonts w:ascii="Times New Roman" w:eastAsia="Times New Roman" w:hAnsi="Times New Roman" w:cs="Times New Roman"/>
          <w:color w:val="000000" w:themeColor="text1"/>
          <w:sz w:val="24"/>
          <w:szCs w:val="24"/>
        </w:rPr>
        <w:t>Polosukhin</w:t>
      </w:r>
      <w:proofErr w:type="spellEnd"/>
      <w:r w:rsidRPr="00986EFF">
        <w:rPr>
          <w:rFonts w:ascii="Times New Roman" w:eastAsia="Times New Roman" w:hAnsi="Times New Roman" w:cs="Times New Roman"/>
          <w:color w:val="000000" w:themeColor="text1"/>
          <w:sz w:val="24"/>
          <w:szCs w:val="24"/>
        </w:rPr>
        <w:t xml:space="preserve">, I. (2017). </w:t>
      </w:r>
      <w:r w:rsidRPr="00986EFF">
        <w:rPr>
          <w:rFonts w:ascii="Times New Roman" w:eastAsia="Times New Roman" w:hAnsi="Times New Roman" w:cs="Times New Roman"/>
          <w:i/>
          <w:iCs/>
          <w:color w:val="000000" w:themeColor="text1"/>
          <w:sz w:val="24"/>
          <w:szCs w:val="24"/>
        </w:rPr>
        <w:t>Attention Is All You Need</w:t>
      </w:r>
      <w:r w:rsidRPr="00986EFF">
        <w:rPr>
          <w:rFonts w:ascii="Times New Roman" w:eastAsia="Times New Roman" w:hAnsi="Times New Roman" w:cs="Times New Roman"/>
          <w:color w:val="000000" w:themeColor="text1"/>
          <w:sz w:val="24"/>
          <w:szCs w:val="24"/>
        </w:rPr>
        <w:t>. https://papers.neurips.cc/paper/7181-attention-is-all-you-need.pdf</w:t>
      </w:r>
    </w:p>
    <w:p w14:paraId="02157FB9"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Yang, Q., Liu, Y., Chen, T., &amp; Tong, Y. (2019). Federated Machine Learning. </w:t>
      </w:r>
      <w:r w:rsidRPr="00986EFF">
        <w:rPr>
          <w:rFonts w:ascii="Times New Roman" w:eastAsia="Times New Roman" w:hAnsi="Times New Roman" w:cs="Times New Roman"/>
          <w:i/>
          <w:iCs/>
          <w:color w:val="000000" w:themeColor="text1"/>
          <w:sz w:val="24"/>
          <w:szCs w:val="24"/>
        </w:rPr>
        <w:t>ACM Transactions on Intelligent Systems and Technology</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w:t>
      </w:r>
      <w:r w:rsidRPr="00986EFF">
        <w:rPr>
          <w:rFonts w:ascii="Times New Roman" w:eastAsia="Times New Roman" w:hAnsi="Times New Roman" w:cs="Times New Roman"/>
          <w:color w:val="000000" w:themeColor="text1"/>
          <w:sz w:val="24"/>
          <w:szCs w:val="24"/>
        </w:rPr>
        <w:t>(2), 1–19. https://doi.org/10.1145/3298981</w:t>
      </w:r>
    </w:p>
    <w:p w14:paraId="0DD17C0E"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Yuan, S., &amp; Wu, X. (2021). Deep Learning for Insider Threat Detection: Review, Challenges and Opportunities. </w:t>
      </w:r>
      <w:r w:rsidRPr="00986EFF">
        <w:rPr>
          <w:rFonts w:ascii="Times New Roman" w:eastAsia="Times New Roman" w:hAnsi="Times New Roman" w:cs="Times New Roman"/>
          <w:i/>
          <w:iCs/>
          <w:color w:val="000000" w:themeColor="text1"/>
          <w:sz w:val="24"/>
          <w:szCs w:val="24"/>
        </w:rPr>
        <w:t>Computers &amp; Security</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104</w:t>
      </w:r>
      <w:r w:rsidRPr="00986EFF">
        <w:rPr>
          <w:rFonts w:ascii="Times New Roman" w:eastAsia="Times New Roman" w:hAnsi="Times New Roman" w:cs="Times New Roman"/>
          <w:color w:val="000000" w:themeColor="text1"/>
          <w:sz w:val="24"/>
          <w:szCs w:val="24"/>
        </w:rPr>
        <w:t>, 102221. https://doi.org/10.1016/j.cose.2021.102221</w:t>
      </w:r>
    </w:p>
    <w:p w14:paraId="3890E022"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Zhang, G., Zhu, S., &amp; Bai, X. (2022). Federated Learning-Based Multi-Energy Load Forecasting Method Using CNN-Attention-LSTM Model. </w:t>
      </w:r>
      <w:r w:rsidRPr="00986EFF">
        <w:rPr>
          <w:rFonts w:ascii="Times New Roman" w:eastAsia="Times New Roman" w:hAnsi="Times New Roman" w:cs="Times New Roman"/>
          <w:i/>
          <w:iCs/>
          <w:color w:val="000000" w:themeColor="text1"/>
          <w:sz w:val="24"/>
          <w:szCs w:val="24"/>
        </w:rPr>
        <w:t>Sustainability</w:t>
      </w:r>
      <w:r w:rsidRPr="00986EFF">
        <w:rPr>
          <w:rFonts w:ascii="Times New Roman" w:eastAsia="Times New Roman" w:hAnsi="Times New Roman" w:cs="Times New Roman"/>
          <w:color w:val="000000" w:themeColor="text1"/>
          <w:sz w:val="24"/>
          <w:szCs w:val="24"/>
        </w:rPr>
        <w:t xml:space="preserve">, </w:t>
      </w:r>
      <w:r w:rsidRPr="00986EFF">
        <w:rPr>
          <w:rFonts w:ascii="Times New Roman" w:eastAsia="Times New Roman" w:hAnsi="Times New Roman" w:cs="Times New Roman"/>
          <w:i/>
          <w:iCs/>
          <w:color w:val="000000" w:themeColor="text1"/>
          <w:sz w:val="24"/>
          <w:szCs w:val="24"/>
        </w:rPr>
        <w:t>14</w:t>
      </w:r>
      <w:r w:rsidRPr="00986EFF">
        <w:rPr>
          <w:rFonts w:ascii="Times New Roman" w:eastAsia="Times New Roman" w:hAnsi="Times New Roman" w:cs="Times New Roman"/>
          <w:color w:val="000000" w:themeColor="text1"/>
          <w:sz w:val="24"/>
          <w:szCs w:val="24"/>
        </w:rPr>
        <w:t>(19), 12843. https://doi.org/10.3390/su141912843</w:t>
      </w:r>
    </w:p>
    <w:p w14:paraId="28F347ED"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Zhang, S., </w:t>
      </w:r>
      <w:proofErr w:type="spellStart"/>
      <w:r w:rsidRPr="00986EFF">
        <w:rPr>
          <w:rFonts w:ascii="Times New Roman" w:eastAsia="Times New Roman" w:hAnsi="Times New Roman" w:cs="Times New Roman"/>
          <w:color w:val="000000" w:themeColor="text1"/>
          <w:sz w:val="24"/>
          <w:szCs w:val="24"/>
        </w:rPr>
        <w:t>Sabita</w:t>
      </w:r>
      <w:proofErr w:type="spellEnd"/>
      <w:r w:rsidRPr="00986EFF">
        <w:rPr>
          <w:rFonts w:ascii="Times New Roman" w:eastAsia="Times New Roman" w:hAnsi="Times New Roman" w:cs="Times New Roman"/>
          <w:color w:val="000000" w:themeColor="text1"/>
          <w:sz w:val="24"/>
          <w:szCs w:val="24"/>
        </w:rPr>
        <w:t xml:space="preserve"> </w:t>
      </w:r>
      <w:proofErr w:type="spellStart"/>
      <w:r w:rsidRPr="00986EFF">
        <w:rPr>
          <w:rFonts w:ascii="Times New Roman" w:eastAsia="Times New Roman" w:hAnsi="Times New Roman" w:cs="Times New Roman"/>
          <w:color w:val="000000" w:themeColor="text1"/>
          <w:sz w:val="24"/>
          <w:szCs w:val="24"/>
        </w:rPr>
        <w:t>Maharjan</w:t>
      </w:r>
      <w:proofErr w:type="spellEnd"/>
      <w:r w:rsidRPr="00986EFF">
        <w:rPr>
          <w:rFonts w:ascii="Times New Roman" w:eastAsia="Times New Roman" w:hAnsi="Times New Roman" w:cs="Times New Roman"/>
          <w:color w:val="000000" w:themeColor="text1"/>
          <w:sz w:val="24"/>
          <w:szCs w:val="24"/>
        </w:rPr>
        <w:t xml:space="preserve">, Bygrave, L. A., &amp; Yu, S. (2025). </w:t>
      </w:r>
      <w:r w:rsidRPr="00986EFF">
        <w:rPr>
          <w:rFonts w:ascii="Times New Roman" w:eastAsia="Times New Roman" w:hAnsi="Times New Roman" w:cs="Times New Roman"/>
          <w:i/>
          <w:iCs/>
          <w:color w:val="000000" w:themeColor="text1"/>
          <w:sz w:val="24"/>
          <w:szCs w:val="24"/>
        </w:rPr>
        <w:t>Data Sharing, Privacy and Security Considerations in the Energy Sector: A Review from Technical Landscape to Regulatory Specifications</w:t>
      </w:r>
      <w:r w:rsidRPr="00986EFF">
        <w:rPr>
          <w:rFonts w:ascii="Times New Roman" w:eastAsia="Times New Roman" w:hAnsi="Times New Roman" w:cs="Times New Roman"/>
          <w:color w:val="000000" w:themeColor="text1"/>
          <w:sz w:val="24"/>
          <w:szCs w:val="24"/>
        </w:rPr>
        <w:t>. https://doi.org/10.48550/arXiv.2503.03539</w:t>
      </w:r>
    </w:p>
    <w:p w14:paraId="181B2531"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Zhao, Y., Li, M., Lai, L., </w:t>
      </w:r>
      <w:proofErr w:type="spellStart"/>
      <w:r w:rsidRPr="00986EFF">
        <w:rPr>
          <w:rFonts w:ascii="Times New Roman" w:eastAsia="Times New Roman" w:hAnsi="Times New Roman" w:cs="Times New Roman"/>
          <w:color w:val="000000" w:themeColor="text1"/>
          <w:sz w:val="24"/>
          <w:szCs w:val="24"/>
        </w:rPr>
        <w:t>Suda</w:t>
      </w:r>
      <w:proofErr w:type="spellEnd"/>
      <w:r w:rsidRPr="00986EFF">
        <w:rPr>
          <w:rFonts w:ascii="Times New Roman" w:eastAsia="Times New Roman" w:hAnsi="Times New Roman" w:cs="Times New Roman"/>
          <w:color w:val="000000" w:themeColor="text1"/>
          <w:sz w:val="24"/>
          <w:szCs w:val="24"/>
        </w:rPr>
        <w:t xml:space="preserve">, N., </w:t>
      </w:r>
      <w:proofErr w:type="spellStart"/>
      <w:r w:rsidRPr="00986EFF">
        <w:rPr>
          <w:rFonts w:ascii="Times New Roman" w:eastAsia="Times New Roman" w:hAnsi="Times New Roman" w:cs="Times New Roman"/>
          <w:color w:val="000000" w:themeColor="text1"/>
          <w:sz w:val="24"/>
          <w:szCs w:val="24"/>
        </w:rPr>
        <w:t>Civin</w:t>
      </w:r>
      <w:proofErr w:type="spellEnd"/>
      <w:r w:rsidRPr="00986EFF">
        <w:rPr>
          <w:rFonts w:ascii="Times New Roman" w:eastAsia="Times New Roman" w:hAnsi="Times New Roman" w:cs="Times New Roman"/>
          <w:color w:val="000000" w:themeColor="text1"/>
          <w:sz w:val="24"/>
          <w:szCs w:val="24"/>
        </w:rPr>
        <w:t xml:space="preserve">, D., &amp; Chandra, V. (2018). </w:t>
      </w:r>
      <w:r w:rsidRPr="00986EFF">
        <w:rPr>
          <w:rFonts w:ascii="Times New Roman" w:eastAsia="Times New Roman" w:hAnsi="Times New Roman" w:cs="Times New Roman"/>
          <w:i/>
          <w:iCs/>
          <w:color w:val="000000" w:themeColor="text1"/>
          <w:sz w:val="24"/>
          <w:szCs w:val="24"/>
        </w:rPr>
        <w:t>Federated Learning with Non-IID Data</w:t>
      </w:r>
      <w:r w:rsidRPr="00986EFF">
        <w:rPr>
          <w:rFonts w:ascii="Times New Roman" w:eastAsia="Times New Roman" w:hAnsi="Times New Roman" w:cs="Times New Roman"/>
          <w:color w:val="000000" w:themeColor="text1"/>
          <w:sz w:val="24"/>
          <w:szCs w:val="24"/>
        </w:rPr>
        <w:t>. ArXiv.org. https://arxiv.org/abs/1806.00582</w:t>
      </w:r>
    </w:p>
    <w:p w14:paraId="646E9753" w14:textId="77777777" w:rsidR="00D17730" w:rsidRPr="00986EFF" w:rsidRDefault="00D17730" w:rsidP="00986EFF">
      <w:pPr>
        <w:spacing w:after="0" w:line="360" w:lineRule="auto"/>
        <w:ind w:left="720" w:hanging="720"/>
        <w:jc w:val="both"/>
        <w:rPr>
          <w:rFonts w:ascii="Times New Roman" w:eastAsia="Times New Roman" w:hAnsi="Times New Roman" w:cs="Times New Roman"/>
          <w:color w:val="000000" w:themeColor="text1"/>
          <w:sz w:val="24"/>
          <w:szCs w:val="24"/>
        </w:rPr>
      </w:pPr>
      <w:r w:rsidRPr="00986EFF">
        <w:rPr>
          <w:rFonts w:ascii="Times New Roman" w:eastAsia="Times New Roman" w:hAnsi="Times New Roman" w:cs="Times New Roman"/>
          <w:color w:val="000000" w:themeColor="text1"/>
          <w:sz w:val="24"/>
          <w:szCs w:val="24"/>
        </w:rPr>
        <w:t xml:space="preserve">Zhu, C., Wang, S., Fan, X., Deng, X., Liu, S., He, Y., &amp; Wu, C. (2025). Blockchain-Enhanced Federated Learning for Secure and Intelligent Consumer </w:t>
      </w:r>
      <w:proofErr w:type="gramStart"/>
      <w:r w:rsidRPr="00986EFF">
        <w:rPr>
          <w:rFonts w:ascii="Times New Roman" w:eastAsia="Times New Roman" w:hAnsi="Times New Roman" w:cs="Times New Roman"/>
          <w:color w:val="000000" w:themeColor="text1"/>
          <w:sz w:val="24"/>
          <w:szCs w:val="24"/>
        </w:rPr>
        <w:t>Electronics :</w:t>
      </w:r>
      <w:proofErr w:type="gramEnd"/>
      <w:r w:rsidRPr="00986EFF">
        <w:rPr>
          <w:rFonts w:ascii="Times New Roman" w:eastAsia="Times New Roman" w:hAnsi="Times New Roman" w:cs="Times New Roman"/>
          <w:color w:val="000000" w:themeColor="text1"/>
          <w:sz w:val="24"/>
          <w:szCs w:val="24"/>
        </w:rPr>
        <w:t xml:space="preserve"> An Overview. </w:t>
      </w:r>
      <w:r w:rsidRPr="00986EFF">
        <w:rPr>
          <w:rFonts w:ascii="Times New Roman" w:eastAsia="Times New Roman" w:hAnsi="Times New Roman" w:cs="Times New Roman"/>
          <w:i/>
          <w:iCs/>
          <w:color w:val="000000" w:themeColor="text1"/>
          <w:sz w:val="24"/>
          <w:szCs w:val="24"/>
        </w:rPr>
        <w:t>IEEE Consumer Electronics Magazine</w:t>
      </w:r>
      <w:r w:rsidRPr="00986EFF">
        <w:rPr>
          <w:rFonts w:ascii="Times New Roman" w:eastAsia="Times New Roman" w:hAnsi="Times New Roman" w:cs="Times New Roman"/>
          <w:color w:val="000000" w:themeColor="text1"/>
          <w:sz w:val="24"/>
          <w:szCs w:val="24"/>
        </w:rPr>
        <w:t>, 1–12. https://doi.org/10.1109/mce.2025.3546422</w:t>
      </w:r>
    </w:p>
    <w:p w14:paraId="01B032C8" w14:textId="77777777" w:rsidR="00D17730" w:rsidRPr="00986EFF" w:rsidRDefault="00D17730" w:rsidP="00986EFF">
      <w:pPr>
        <w:spacing w:line="360" w:lineRule="auto"/>
        <w:ind w:left="720"/>
        <w:jc w:val="both"/>
        <w:rPr>
          <w:rFonts w:ascii="Times New Roman" w:hAnsi="Times New Roman" w:cs="Times New Roman"/>
          <w:color w:val="000000" w:themeColor="text1"/>
          <w:sz w:val="24"/>
          <w:szCs w:val="24"/>
        </w:rPr>
      </w:pPr>
    </w:p>
    <w:p w14:paraId="5F98DE26" w14:textId="77777777" w:rsidR="00D17730" w:rsidRPr="00986EFF" w:rsidRDefault="00D17730" w:rsidP="00986EFF">
      <w:pPr>
        <w:spacing w:line="360" w:lineRule="auto"/>
        <w:jc w:val="both"/>
        <w:rPr>
          <w:rFonts w:ascii="Times New Roman" w:hAnsi="Times New Roman" w:cs="Times New Roman"/>
          <w:color w:val="000000" w:themeColor="text1"/>
          <w:sz w:val="24"/>
          <w:szCs w:val="24"/>
        </w:rPr>
      </w:pPr>
    </w:p>
    <w:sectPr w:rsidR="00D17730" w:rsidRPr="00986EF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9167D" w14:textId="77777777" w:rsidR="004A2888" w:rsidRDefault="004A2888" w:rsidP="00137979">
      <w:pPr>
        <w:spacing w:after="0" w:line="240" w:lineRule="auto"/>
      </w:pPr>
      <w:r>
        <w:separator/>
      </w:r>
    </w:p>
  </w:endnote>
  <w:endnote w:type="continuationSeparator" w:id="0">
    <w:p w14:paraId="1DE7411C" w14:textId="77777777" w:rsidR="004A2888" w:rsidRDefault="004A2888" w:rsidP="0013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4C513" w14:textId="77777777" w:rsidR="00137979" w:rsidRDefault="001379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68A0" w14:textId="77777777" w:rsidR="00137979" w:rsidRDefault="001379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968EF" w14:textId="77777777" w:rsidR="00137979" w:rsidRDefault="001379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1CE3C" w14:textId="77777777" w:rsidR="004A2888" w:rsidRDefault="004A2888" w:rsidP="00137979">
      <w:pPr>
        <w:spacing w:after="0" w:line="240" w:lineRule="auto"/>
      </w:pPr>
      <w:r>
        <w:separator/>
      </w:r>
    </w:p>
  </w:footnote>
  <w:footnote w:type="continuationSeparator" w:id="0">
    <w:p w14:paraId="23218188" w14:textId="77777777" w:rsidR="004A2888" w:rsidRDefault="004A2888" w:rsidP="00137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47FC" w14:textId="7CA78578" w:rsidR="00137979" w:rsidRDefault="004A2888">
    <w:pPr>
      <w:pStyle w:val="Header"/>
    </w:pPr>
    <w:r>
      <w:rPr>
        <w:noProof/>
      </w:rPr>
      <w:pict w14:anchorId="0B23E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0E6AD" w14:textId="55C5749D" w:rsidR="00137979" w:rsidRDefault="004A2888">
    <w:pPr>
      <w:pStyle w:val="Header"/>
    </w:pPr>
    <w:r>
      <w:rPr>
        <w:noProof/>
      </w:rPr>
      <w:pict w14:anchorId="64E23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7B147" w14:textId="5F6A2195" w:rsidR="00137979" w:rsidRDefault="004A2888">
    <w:pPr>
      <w:pStyle w:val="Header"/>
    </w:pPr>
    <w:r>
      <w:rPr>
        <w:noProof/>
      </w:rPr>
      <w:pict w14:anchorId="5B337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5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0487B"/>
    <w:multiLevelType w:val="hybridMultilevel"/>
    <w:tmpl w:val="C13E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62A8F"/>
    <w:multiLevelType w:val="hybridMultilevel"/>
    <w:tmpl w:val="3DFE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53C76"/>
    <w:multiLevelType w:val="hybridMultilevel"/>
    <w:tmpl w:val="E40E99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E37AA"/>
    <w:multiLevelType w:val="hybridMultilevel"/>
    <w:tmpl w:val="45BA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BD2EDE"/>
    <w:multiLevelType w:val="hybridMultilevel"/>
    <w:tmpl w:val="74A6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E85EEE"/>
    <w:multiLevelType w:val="hybridMultilevel"/>
    <w:tmpl w:val="3D78B3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745684"/>
    <w:multiLevelType w:val="hybridMultilevel"/>
    <w:tmpl w:val="55ECAE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117FFE"/>
    <w:multiLevelType w:val="hybridMultilevel"/>
    <w:tmpl w:val="F362BF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12"/>
    <w:rsid w:val="00010EAC"/>
    <w:rsid w:val="00014590"/>
    <w:rsid w:val="000E4D6E"/>
    <w:rsid w:val="00111A70"/>
    <w:rsid w:val="00137979"/>
    <w:rsid w:val="0014333F"/>
    <w:rsid w:val="00161C6A"/>
    <w:rsid w:val="001C10A8"/>
    <w:rsid w:val="001E21E1"/>
    <w:rsid w:val="00280738"/>
    <w:rsid w:val="002B1DA2"/>
    <w:rsid w:val="003F6D79"/>
    <w:rsid w:val="00436045"/>
    <w:rsid w:val="00465783"/>
    <w:rsid w:val="00467D4D"/>
    <w:rsid w:val="0048268D"/>
    <w:rsid w:val="004A2888"/>
    <w:rsid w:val="005227A2"/>
    <w:rsid w:val="00541FCD"/>
    <w:rsid w:val="005607B5"/>
    <w:rsid w:val="005620E8"/>
    <w:rsid w:val="00623D61"/>
    <w:rsid w:val="00624FD7"/>
    <w:rsid w:val="00655D0E"/>
    <w:rsid w:val="00684479"/>
    <w:rsid w:val="006D0238"/>
    <w:rsid w:val="00757CC8"/>
    <w:rsid w:val="007A3BC6"/>
    <w:rsid w:val="007F33AD"/>
    <w:rsid w:val="00824812"/>
    <w:rsid w:val="00840AB7"/>
    <w:rsid w:val="008E0EDF"/>
    <w:rsid w:val="009002C1"/>
    <w:rsid w:val="00901377"/>
    <w:rsid w:val="00925716"/>
    <w:rsid w:val="00986EFF"/>
    <w:rsid w:val="00995486"/>
    <w:rsid w:val="009F0E48"/>
    <w:rsid w:val="009F3F90"/>
    <w:rsid w:val="00A00A10"/>
    <w:rsid w:val="00A11C97"/>
    <w:rsid w:val="00A71424"/>
    <w:rsid w:val="00A84D1A"/>
    <w:rsid w:val="00AD6F0F"/>
    <w:rsid w:val="00B21F32"/>
    <w:rsid w:val="00B43C4F"/>
    <w:rsid w:val="00BB6939"/>
    <w:rsid w:val="00C44F14"/>
    <w:rsid w:val="00CE2D87"/>
    <w:rsid w:val="00D17730"/>
    <w:rsid w:val="00D3371A"/>
    <w:rsid w:val="00D52A20"/>
    <w:rsid w:val="00DB0320"/>
    <w:rsid w:val="00DB74E7"/>
    <w:rsid w:val="00DC4404"/>
    <w:rsid w:val="00DF08CB"/>
    <w:rsid w:val="00E32D6B"/>
    <w:rsid w:val="00E414C3"/>
    <w:rsid w:val="00ED5B14"/>
    <w:rsid w:val="00F90D58"/>
    <w:rsid w:val="00FA19C8"/>
    <w:rsid w:val="00FD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493BA7"/>
  <w15:chartTrackingRefBased/>
  <w15:docId w15:val="{A4A9444E-3FF3-4CAC-9018-62A4B6202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21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812"/>
    <w:pPr>
      <w:ind w:left="720"/>
      <w:contextualSpacing/>
    </w:pPr>
  </w:style>
  <w:style w:type="paragraph" w:styleId="NormalWeb">
    <w:name w:val="Normal (Web)"/>
    <w:basedOn w:val="Normal"/>
    <w:uiPriority w:val="99"/>
    <w:semiHidden/>
    <w:unhideWhenUsed/>
    <w:rsid w:val="00E32D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32D6B"/>
    <w:rPr>
      <w:b/>
      <w:bCs/>
    </w:rPr>
  </w:style>
  <w:style w:type="character" w:styleId="Hyperlink">
    <w:name w:val="Hyperlink"/>
    <w:basedOn w:val="DefaultParagraphFont"/>
    <w:uiPriority w:val="99"/>
    <w:unhideWhenUsed/>
    <w:rsid w:val="0048268D"/>
    <w:rPr>
      <w:color w:val="0563C1" w:themeColor="hyperlink"/>
      <w:u w:val="single"/>
    </w:rPr>
  </w:style>
  <w:style w:type="character" w:customStyle="1" w:styleId="UnresolvedMention1">
    <w:name w:val="Unresolved Mention1"/>
    <w:basedOn w:val="DefaultParagraphFont"/>
    <w:uiPriority w:val="99"/>
    <w:semiHidden/>
    <w:unhideWhenUsed/>
    <w:rsid w:val="0048268D"/>
    <w:rPr>
      <w:color w:val="605E5C"/>
      <w:shd w:val="clear" w:color="auto" w:fill="E1DFDD"/>
    </w:rPr>
  </w:style>
  <w:style w:type="table" w:styleId="TableGrid">
    <w:name w:val="Table Grid"/>
    <w:basedOn w:val="TableNormal"/>
    <w:uiPriority w:val="39"/>
    <w:rsid w:val="00623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0AB7"/>
    <w:pPr>
      <w:spacing w:after="0" w:line="240" w:lineRule="auto"/>
    </w:pPr>
    <w:rPr>
      <w:kern w:val="2"/>
      <w14:ligatures w14:val="standardContextual"/>
    </w:rPr>
  </w:style>
  <w:style w:type="paragraph" w:styleId="Header">
    <w:name w:val="header"/>
    <w:basedOn w:val="Normal"/>
    <w:link w:val="HeaderChar"/>
    <w:uiPriority w:val="99"/>
    <w:unhideWhenUsed/>
    <w:rsid w:val="00137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7979"/>
  </w:style>
  <w:style w:type="paragraph" w:styleId="Footer">
    <w:name w:val="footer"/>
    <w:basedOn w:val="Normal"/>
    <w:link w:val="FooterChar"/>
    <w:uiPriority w:val="99"/>
    <w:unhideWhenUsed/>
    <w:rsid w:val="00137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7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78180">
      <w:bodyDiv w:val="1"/>
      <w:marLeft w:val="0"/>
      <w:marRight w:val="0"/>
      <w:marTop w:val="0"/>
      <w:marBottom w:val="0"/>
      <w:divBdr>
        <w:top w:val="none" w:sz="0" w:space="0" w:color="auto"/>
        <w:left w:val="none" w:sz="0" w:space="0" w:color="auto"/>
        <w:bottom w:val="none" w:sz="0" w:space="0" w:color="auto"/>
        <w:right w:val="none" w:sz="0" w:space="0" w:color="auto"/>
      </w:divBdr>
    </w:div>
    <w:div w:id="280890807">
      <w:bodyDiv w:val="1"/>
      <w:marLeft w:val="0"/>
      <w:marRight w:val="0"/>
      <w:marTop w:val="0"/>
      <w:marBottom w:val="0"/>
      <w:divBdr>
        <w:top w:val="none" w:sz="0" w:space="0" w:color="auto"/>
        <w:left w:val="none" w:sz="0" w:space="0" w:color="auto"/>
        <w:bottom w:val="none" w:sz="0" w:space="0" w:color="auto"/>
        <w:right w:val="none" w:sz="0" w:space="0" w:color="auto"/>
      </w:divBdr>
    </w:div>
    <w:div w:id="457069364">
      <w:bodyDiv w:val="1"/>
      <w:marLeft w:val="0"/>
      <w:marRight w:val="0"/>
      <w:marTop w:val="0"/>
      <w:marBottom w:val="0"/>
      <w:divBdr>
        <w:top w:val="none" w:sz="0" w:space="0" w:color="auto"/>
        <w:left w:val="none" w:sz="0" w:space="0" w:color="auto"/>
        <w:bottom w:val="none" w:sz="0" w:space="0" w:color="auto"/>
        <w:right w:val="none" w:sz="0" w:space="0" w:color="auto"/>
      </w:divBdr>
    </w:div>
    <w:div w:id="487064712">
      <w:bodyDiv w:val="1"/>
      <w:marLeft w:val="0"/>
      <w:marRight w:val="0"/>
      <w:marTop w:val="0"/>
      <w:marBottom w:val="0"/>
      <w:divBdr>
        <w:top w:val="none" w:sz="0" w:space="0" w:color="auto"/>
        <w:left w:val="none" w:sz="0" w:space="0" w:color="auto"/>
        <w:bottom w:val="none" w:sz="0" w:space="0" w:color="auto"/>
        <w:right w:val="none" w:sz="0" w:space="0" w:color="auto"/>
      </w:divBdr>
    </w:div>
    <w:div w:id="567037465">
      <w:bodyDiv w:val="1"/>
      <w:marLeft w:val="0"/>
      <w:marRight w:val="0"/>
      <w:marTop w:val="0"/>
      <w:marBottom w:val="0"/>
      <w:divBdr>
        <w:top w:val="none" w:sz="0" w:space="0" w:color="auto"/>
        <w:left w:val="none" w:sz="0" w:space="0" w:color="auto"/>
        <w:bottom w:val="none" w:sz="0" w:space="0" w:color="auto"/>
        <w:right w:val="none" w:sz="0" w:space="0" w:color="auto"/>
      </w:divBdr>
    </w:div>
    <w:div w:id="677077089">
      <w:bodyDiv w:val="1"/>
      <w:marLeft w:val="0"/>
      <w:marRight w:val="0"/>
      <w:marTop w:val="0"/>
      <w:marBottom w:val="0"/>
      <w:divBdr>
        <w:top w:val="none" w:sz="0" w:space="0" w:color="auto"/>
        <w:left w:val="none" w:sz="0" w:space="0" w:color="auto"/>
        <w:bottom w:val="none" w:sz="0" w:space="0" w:color="auto"/>
        <w:right w:val="none" w:sz="0" w:space="0" w:color="auto"/>
      </w:divBdr>
    </w:div>
    <w:div w:id="686713369">
      <w:bodyDiv w:val="1"/>
      <w:marLeft w:val="0"/>
      <w:marRight w:val="0"/>
      <w:marTop w:val="0"/>
      <w:marBottom w:val="0"/>
      <w:divBdr>
        <w:top w:val="none" w:sz="0" w:space="0" w:color="auto"/>
        <w:left w:val="none" w:sz="0" w:space="0" w:color="auto"/>
        <w:bottom w:val="none" w:sz="0" w:space="0" w:color="auto"/>
        <w:right w:val="none" w:sz="0" w:space="0" w:color="auto"/>
      </w:divBdr>
    </w:div>
    <w:div w:id="809905567">
      <w:bodyDiv w:val="1"/>
      <w:marLeft w:val="0"/>
      <w:marRight w:val="0"/>
      <w:marTop w:val="0"/>
      <w:marBottom w:val="0"/>
      <w:divBdr>
        <w:top w:val="none" w:sz="0" w:space="0" w:color="auto"/>
        <w:left w:val="none" w:sz="0" w:space="0" w:color="auto"/>
        <w:bottom w:val="none" w:sz="0" w:space="0" w:color="auto"/>
        <w:right w:val="none" w:sz="0" w:space="0" w:color="auto"/>
      </w:divBdr>
    </w:div>
    <w:div w:id="1009718489">
      <w:bodyDiv w:val="1"/>
      <w:marLeft w:val="0"/>
      <w:marRight w:val="0"/>
      <w:marTop w:val="0"/>
      <w:marBottom w:val="0"/>
      <w:divBdr>
        <w:top w:val="none" w:sz="0" w:space="0" w:color="auto"/>
        <w:left w:val="none" w:sz="0" w:space="0" w:color="auto"/>
        <w:bottom w:val="none" w:sz="0" w:space="0" w:color="auto"/>
        <w:right w:val="none" w:sz="0" w:space="0" w:color="auto"/>
      </w:divBdr>
    </w:div>
    <w:div w:id="1030642745">
      <w:bodyDiv w:val="1"/>
      <w:marLeft w:val="0"/>
      <w:marRight w:val="0"/>
      <w:marTop w:val="0"/>
      <w:marBottom w:val="0"/>
      <w:divBdr>
        <w:top w:val="none" w:sz="0" w:space="0" w:color="auto"/>
        <w:left w:val="none" w:sz="0" w:space="0" w:color="auto"/>
        <w:bottom w:val="none" w:sz="0" w:space="0" w:color="auto"/>
        <w:right w:val="none" w:sz="0" w:space="0" w:color="auto"/>
      </w:divBdr>
    </w:div>
    <w:div w:id="1048840074">
      <w:bodyDiv w:val="1"/>
      <w:marLeft w:val="0"/>
      <w:marRight w:val="0"/>
      <w:marTop w:val="0"/>
      <w:marBottom w:val="0"/>
      <w:divBdr>
        <w:top w:val="none" w:sz="0" w:space="0" w:color="auto"/>
        <w:left w:val="none" w:sz="0" w:space="0" w:color="auto"/>
        <w:bottom w:val="none" w:sz="0" w:space="0" w:color="auto"/>
        <w:right w:val="none" w:sz="0" w:space="0" w:color="auto"/>
      </w:divBdr>
    </w:div>
    <w:div w:id="1076895970">
      <w:bodyDiv w:val="1"/>
      <w:marLeft w:val="0"/>
      <w:marRight w:val="0"/>
      <w:marTop w:val="0"/>
      <w:marBottom w:val="0"/>
      <w:divBdr>
        <w:top w:val="none" w:sz="0" w:space="0" w:color="auto"/>
        <w:left w:val="none" w:sz="0" w:space="0" w:color="auto"/>
        <w:bottom w:val="none" w:sz="0" w:space="0" w:color="auto"/>
        <w:right w:val="none" w:sz="0" w:space="0" w:color="auto"/>
      </w:divBdr>
    </w:div>
    <w:div w:id="1465584034">
      <w:bodyDiv w:val="1"/>
      <w:marLeft w:val="0"/>
      <w:marRight w:val="0"/>
      <w:marTop w:val="0"/>
      <w:marBottom w:val="0"/>
      <w:divBdr>
        <w:top w:val="none" w:sz="0" w:space="0" w:color="auto"/>
        <w:left w:val="none" w:sz="0" w:space="0" w:color="auto"/>
        <w:bottom w:val="none" w:sz="0" w:space="0" w:color="auto"/>
        <w:right w:val="none" w:sz="0" w:space="0" w:color="auto"/>
      </w:divBdr>
    </w:div>
    <w:div w:id="1500387680">
      <w:bodyDiv w:val="1"/>
      <w:marLeft w:val="0"/>
      <w:marRight w:val="0"/>
      <w:marTop w:val="0"/>
      <w:marBottom w:val="0"/>
      <w:divBdr>
        <w:top w:val="none" w:sz="0" w:space="0" w:color="auto"/>
        <w:left w:val="none" w:sz="0" w:space="0" w:color="auto"/>
        <w:bottom w:val="none" w:sz="0" w:space="0" w:color="auto"/>
        <w:right w:val="none" w:sz="0" w:space="0" w:color="auto"/>
      </w:divBdr>
    </w:div>
    <w:div w:id="1791362525">
      <w:bodyDiv w:val="1"/>
      <w:marLeft w:val="0"/>
      <w:marRight w:val="0"/>
      <w:marTop w:val="0"/>
      <w:marBottom w:val="0"/>
      <w:divBdr>
        <w:top w:val="none" w:sz="0" w:space="0" w:color="auto"/>
        <w:left w:val="none" w:sz="0" w:space="0" w:color="auto"/>
        <w:bottom w:val="none" w:sz="0" w:space="0" w:color="auto"/>
        <w:right w:val="none" w:sz="0" w:space="0" w:color="auto"/>
      </w:divBdr>
    </w:div>
    <w:div w:id="1912303286">
      <w:bodyDiv w:val="1"/>
      <w:marLeft w:val="0"/>
      <w:marRight w:val="0"/>
      <w:marTop w:val="0"/>
      <w:marBottom w:val="0"/>
      <w:divBdr>
        <w:top w:val="none" w:sz="0" w:space="0" w:color="auto"/>
        <w:left w:val="none" w:sz="0" w:space="0" w:color="auto"/>
        <w:bottom w:val="none" w:sz="0" w:space="0" w:color="auto"/>
        <w:right w:val="none" w:sz="0" w:space="0" w:color="auto"/>
      </w:divBdr>
    </w:div>
    <w:div w:id="1947689224">
      <w:bodyDiv w:val="1"/>
      <w:marLeft w:val="0"/>
      <w:marRight w:val="0"/>
      <w:marTop w:val="0"/>
      <w:marBottom w:val="0"/>
      <w:divBdr>
        <w:top w:val="none" w:sz="0" w:space="0" w:color="auto"/>
        <w:left w:val="none" w:sz="0" w:space="0" w:color="auto"/>
        <w:bottom w:val="none" w:sz="0" w:space="0" w:color="auto"/>
        <w:right w:val="none" w:sz="0" w:space="0" w:color="auto"/>
      </w:divBdr>
    </w:div>
    <w:div w:id="1994017403">
      <w:bodyDiv w:val="1"/>
      <w:marLeft w:val="0"/>
      <w:marRight w:val="0"/>
      <w:marTop w:val="0"/>
      <w:marBottom w:val="0"/>
      <w:divBdr>
        <w:top w:val="none" w:sz="0" w:space="0" w:color="auto"/>
        <w:left w:val="none" w:sz="0" w:space="0" w:color="auto"/>
        <w:bottom w:val="none" w:sz="0" w:space="0" w:color="auto"/>
        <w:right w:val="none" w:sz="0" w:space="0" w:color="auto"/>
      </w:divBdr>
    </w:div>
    <w:div w:id="214612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390/jimaging9090168"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Performance Comparison of Detection Models Across Facilities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Precision</c:v>
                </c:pt>
              </c:strCache>
            </c:strRef>
          </c:tx>
          <c:spPr>
            <a:solidFill>
              <a:schemeClr val="accent1"/>
            </a:solidFill>
            <a:ln>
              <a:noFill/>
            </a:ln>
            <a:effectLst/>
          </c:spPr>
          <c:invertIfNegative val="0"/>
          <c:cat>
            <c:strRef>
              <c:f>Sheet1!$A$4:$A$6</c:f>
              <c:strCache>
                <c:ptCount val="3"/>
                <c:pt idx="0">
                  <c:v>Centralized ML</c:v>
                </c:pt>
                <c:pt idx="1">
                  <c:v>Local-Only ML</c:v>
                </c:pt>
                <c:pt idx="2">
                  <c:v>Federated Learning</c:v>
                </c:pt>
              </c:strCache>
            </c:strRef>
          </c:cat>
          <c:val>
            <c:numRef>
              <c:f>Sheet1!$B$4:$B$6</c:f>
              <c:numCache>
                <c:formatCode>General</c:formatCode>
                <c:ptCount val="3"/>
                <c:pt idx="0">
                  <c:v>0.91</c:v>
                </c:pt>
                <c:pt idx="1">
                  <c:v>0.85</c:v>
                </c:pt>
                <c:pt idx="2">
                  <c:v>0.95</c:v>
                </c:pt>
              </c:numCache>
            </c:numRef>
          </c:val>
          <c:extLst>
            <c:ext xmlns:c16="http://schemas.microsoft.com/office/drawing/2014/chart" uri="{C3380CC4-5D6E-409C-BE32-E72D297353CC}">
              <c16:uniqueId val="{00000000-5C12-4A12-8B9F-5FC3AC216AB3}"/>
            </c:ext>
          </c:extLst>
        </c:ser>
        <c:ser>
          <c:idx val="1"/>
          <c:order val="1"/>
          <c:tx>
            <c:strRef>
              <c:f>Sheet1!$C$3</c:f>
              <c:strCache>
                <c:ptCount val="1"/>
                <c:pt idx="0">
                  <c:v>Recall</c:v>
                </c:pt>
              </c:strCache>
            </c:strRef>
          </c:tx>
          <c:spPr>
            <a:solidFill>
              <a:schemeClr val="accent2"/>
            </a:solidFill>
            <a:ln>
              <a:noFill/>
            </a:ln>
            <a:effectLst/>
          </c:spPr>
          <c:invertIfNegative val="0"/>
          <c:cat>
            <c:strRef>
              <c:f>Sheet1!$A$4:$A$6</c:f>
              <c:strCache>
                <c:ptCount val="3"/>
                <c:pt idx="0">
                  <c:v>Centralized ML</c:v>
                </c:pt>
                <c:pt idx="1">
                  <c:v>Local-Only ML</c:v>
                </c:pt>
                <c:pt idx="2">
                  <c:v>Federated Learning</c:v>
                </c:pt>
              </c:strCache>
            </c:strRef>
          </c:cat>
          <c:val>
            <c:numRef>
              <c:f>Sheet1!$C$4:$C$6</c:f>
              <c:numCache>
                <c:formatCode>General</c:formatCode>
                <c:ptCount val="3"/>
                <c:pt idx="0">
                  <c:v>0.87</c:v>
                </c:pt>
                <c:pt idx="1">
                  <c:v>0.79</c:v>
                </c:pt>
                <c:pt idx="2">
                  <c:v>0.91</c:v>
                </c:pt>
              </c:numCache>
            </c:numRef>
          </c:val>
          <c:extLst>
            <c:ext xmlns:c16="http://schemas.microsoft.com/office/drawing/2014/chart" uri="{C3380CC4-5D6E-409C-BE32-E72D297353CC}">
              <c16:uniqueId val="{00000001-5C12-4A12-8B9F-5FC3AC216AB3}"/>
            </c:ext>
          </c:extLst>
        </c:ser>
        <c:ser>
          <c:idx val="2"/>
          <c:order val="2"/>
          <c:tx>
            <c:strRef>
              <c:f>Sheet1!$D$3</c:f>
              <c:strCache>
                <c:ptCount val="1"/>
                <c:pt idx="0">
                  <c:v>F1-Score</c:v>
                </c:pt>
              </c:strCache>
            </c:strRef>
          </c:tx>
          <c:spPr>
            <a:solidFill>
              <a:schemeClr val="accent3"/>
            </a:solidFill>
            <a:ln>
              <a:noFill/>
            </a:ln>
            <a:effectLst/>
          </c:spPr>
          <c:invertIfNegative val="0"/>
          <c:cat>
            <c:strRef>
              <c:f>Sheet1!$A$4:$A$6</c:f>
              <c:strCache>
                <c:ptCount val="3"/>
                <c:pt idx="0">
                  <c:v>Centralized ML</c:v>
                </c:pt>
                <c:pt idx="1">
                  <c:v>Local-Only ML</c:v>
                </c:pt>
                <c:pt idx="2">
                  <c:v>Federated Learning</c:v>
                </c:pt>
              </c:strCache>
            </c:strRef>
          </c:cat>
          <c:val>
            <c:numRef>
              <c:f>Sheet1!$D$4:$D$6</c:f>
              <c:numCache>
                <c:formatCode>General</c:formatCode>
                <c:ptCount val="3"/>
                <c:pt idx="0">
                  <c:v>0.89</c:v>
                </c:pt>
                <c:pt idx="1">
                  <c:v>0.82</c:v>
                </c:pt>
                <c:pt idx="2">
                  <c:v>0.93</c:v>
                </c:pt>
              </c:numCache>
            </c:numRef>
          </c:val>
          <c:extLst>
            <c:ext xmlns:c16="http://schemas.microsoft.com/office/drawing/2014/chart" uri="{C3380CC4-5D6E-409C-BE32-E72D297353CC}">
              <c16:uniqueId val="{00000002-5C12-4A12-8B9F-5FC3AC216AB3}"/>
            </c:ext>
          </c:extLst>
        </c:ser>
        <c:ser>
          <c:idx val="3"/>
          <c:order val="3"/>
          <c:tx>
            <c:strRef>
              <c:f>Sheet1!$E$3</c:f>
              <c:strCache>
                <c:ptCount val="1"/>
                <c:pt idx="0">
                  <c:v>AUC-ROC</c:v>
                </c:pt>
              </c:strCache>
            </c:strRef>
          </c:tx>
          <c:spPr>
            <a:solidFill>
              <a:schemeClr val="accent4"/>
            </a:solidFill>
            <a:ln>
              <a:noFill/>
            </a:ln>
            <a:effectLst/>
          </c:spPr>
          <c:invertIfNegative val="0"/>
          <c:cat>
            <c:strRef>
              <c:f>Sheet1!$A$4:$A$6</c:f>
              <c:strCache>
                <c:ptCount val="3"/>
                <c:pt idx="0">
                  <c:v>Centralized ML</c:v>
                </c:pt>
                <c:pt idx="1">
                  <c:v>Local-Only ML</c:v>
                </c:pt>
                <c:pt idx="2">
                  <c:v>Federated Learning</c:v>
                </c:pt>
              </c:strCache>
            </c:strRef>
          </c:cat>
          <c:val>
            <c:numRef>
              <c:f>Sheet1!$E$4:$E$6</c:f>
              <c:numCache>
                <c:formatCode>General</c:formatCode>
                <c:ptCount val="3"/>
                <c:pt idx="0">
                  <c:v>0.94</c:v>
                </c:pt>
                <c:pt idx="1">
                  <c:v>0.88</c:v>
                </c:pt>
                <c:pt idx="2">
                  <c:v>0.97</c:v>
                </c:pt>
              </c:numCache>
            </c:numRef>
          </c:val>
          <c:extLst>
            <c:ext xmlns:c16="http://schemas.microsoft.com/office/drawing/2014/chart" uri="{C3380CC4-5D6E-409C-BE32-E72D297353CC}">
              <c16:uniqueId val="{00000003-5C12-4A12-8B9F-5FC3AC216AB3}"/>
            </c:ext>
          </c:extLst>
        </c:ser>
        <c:dLbls>
          <c:showLegendKey val="0"/>
          <c:showVal val="0"/>
          <c:showCatName val="0"/>
          <c:showSerName val="0"/>
          <c:showPercent val="0"/>
          <c:showBubbleSize val="0"/>
        </c:dLbls>
        <c:gapWidth val="219"/>
        <c:overlap val="-27"/>
        <c:axId val="290810320"/>
        <c:axId val="290810712"/>
      </c:barChart>
      <c:catAx>
        <c:axId val="2908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810712"/>
        <c:crosses val="autoZero"/>
        <c:auto val="1"/>
        <c:lblAlgn val="ctr"/>
        <c:lblOffset val="100"/>
        <c:noMultiLvlLbl val="0"/>
      </c:catAx>
      <c:valAx>
        <c:axId val="290810712"/>
        <c:scaling>
          <c:orientation val="minMax"/>
          <c:max val="1"/>
        </c:scaling>
        <c:delete val="0"/>
        <c:axPos val="l"/>
        <c:majorGridlines>
          <c:spPr>
            <a:ln w="9525" cap="flat" cmpd="sng" algn="ctr">
              <a:solidFill>
                <a:schemeClr val="tx1">
                  <a:lumMod val="15000"/>
                  <a:lumOff val="85000"/>
                </a:schemeClr>
              </a:solidFill>
              <a:round/>
            </a:ln>
            <a:effectLst>
              <a:outerShdw sx="1000" sy="1000" algn="ctr" rotWithShape="0">
                <a:schemeClr val="tx1"/>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81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34</Pages>
  <Words>9010</Words>
  <Characters>51361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cp:lastModifiedBy>
  <cp:revision>4</cp:revision>
  <dcterms:created xsi:type="dcterms:W3CDTF">2025-05-22T11:56:00Z</dcterms:created>
  <dcterms:modified xsi:type="dcterms:W3CDTF">2025-05-22T12:54:00Z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0bf18d53-2f41-4b7f-97b0-27ed090bfba1</vt:lpwstr>
  </property>
</Properties>
</file>