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E6ADC" w14:textId="77777777" w:rsidR="00E055A7" w:rsidRDefault="00E055A7" w:rsidP="00E055A7">
      <w:pPr>
        <w:spacing w:before="100" w:beforeAutospacing="1" w:after="100" w:afterAutospacing="1" w:line="360" w:lineRule="auto"/>
        <w:jc w:val="center"/>
        <w:rPr>
          <w:rFonts w:ascii="Times New Roman" w:eastAsia="Times New Roman" w:hAnsi="Times New Roman" w:cs="Times New Roman"/>
          <w:b/>
          <w:bCs/>
          <w:sz w:val="36"/>
          <w:szCs w:val="36"/>
        </w:rPr>
      </w:pPr>
      <w:r w:rsidRPr="00E055A7">
        <w:rPr>
          <w:rFonts w:ascii="Times New Roman" w:eastAsia="Times New Roman" w:hAnsi="Times New Roman" w:cs="Times New Roman"/>
          <w:b/>
          <w:bCs/>
          <w:sz w:val="36"/>
          <w:szCs w:val="36"/>
        </w:rPr>
        <w:t>A Multiscale Approach to Cyber-Mechanical Threat Modeling for Predicting and Preventing Failures in Critical Energy Infrastructure</w:t>
      </w:r>
    </w:p>
    <w:p w14:paraId="56C66106" w14:textId="77777777" w:rsidR="00EF6C32" w:rsidRPr="00EF6C32" w:rsidRDefault="00EF6C32" w:rsidP="00EF6C32">
      <w:pPr>
        <w:spacing w:before="100" w:beforeAutospacing="1" w:after="100" w:afterAutospacing="1" w:line="360" w:lineRule="auto"/>
        <w:jc w:val="both"/>
        <w:rPr>
          <w:rFonts w:ascii="Times New Roman" w:eastAsia="Times New Roman" w:hAnsi="Times New Roman" w:cs="Times New Roman"/>
          <w:sz w:val="24"/>
          <w:szCs w:val="24"/>
        </w:rPr>
      </w:pPr>
      <w:r w:rsidRPr="00EF6C32">
        <w:rPr>
          <w:rFonts w:ascii="Times New Roman" w:eastAsia="Times New Roman" w:hAnsi="Times New Roman" w:cs="Times New Roman"/>
          <w:b/>
          <w:bCs/>
          <w:sz w:val="24"/>
          <w:szCs w:val="24"/>
        </w:rPr>
        <w:t>Abstract</w:t>
      </w:r>
    </w:p>
    <w:p w14:paraId="519481E4" w14:textId="53D5149E" w:rsidR="00B94ECF" w:rsidRPr="00476909" w:rsidRDefault="00B94ECF" w:rsidP="00476909">
      <w:pPr>
        <w:spacing w:before="100" w:beforeAutospacing="1" w:after="100" w:afterAutospacing="1" w:line="360" w:lineRule="auto"/>
        <w:rPr>
          <w:rFonts w:ascii="Times New Roman" w:eastAsia="Times New Roman" w:hAnsi="Times New Roman" w:cs="Times New Roman"/>
          <w:i/>
          <w:sz w:val="24"/>
          <w:szCs w:val="24"/>
        </w:rPr>
      </w:pPr>
      <w:r w:rsidRPr="00476909">
        <w:rPr>
          <w:rFonts w:ascii="Times New Roman" w:eastAsia="Times New Roman" w:hAnsi="Times New Roman" w:cs="Times New Roman"/>
          <w:i/>
          <w:sz w:val="24"/>
          <w:szCs w:val="24"/>
        </w:rPr>
        <w:t>The increasing convergence of cyber and mechanical domains in critical energy infrastructure</w:t>
      </w:r>
      <w:r w:rsidR="00476909">
        <w:rPr>
          <w:rFonts w:ascii="Times New Roman" w:eastAsia="Times New Roman" w:hAnsi="Times New Roman" w:cs="Times New Roman"/>
          <w:i/>
          <w:sz w:val="24"/>
          <w:szCs w:val="24"/>
        </w:rPr>
        <w:t xml:space="preserve">, </w:t>
      </w:r>
      <w:r w:rsidRPr="00476909">
        <w:rPr>
          <w:rFonts w:ascii="Times New Roman" w:eastAsia="Times New Roman" w:hAnsi="Times New Roman" w:cs="Times New Roman"/>
          <w:i/>
          <w:sz w:val="24"/>
          <w:szCs w:val="24"/>
        </w:rPr>
        <w:t>including electric power grids, oil and gas pipelines, and renewable energy systems</w:t>
      </w:r>
      <w:r w:rsidR="00476909">
        <w:rPr>
          <w:rFonts w:ascii="Times New Roman" w:eastAsia="Times New Roman" w:hAnsi="Times New Roman" w:cs="Times New Roman"/>
          <w:i/>
          <w:sz w:val="24"/>
          <w:szCs w:val="24"/>
        </w:rPr>
        <w:t xml:space="preserve">, </w:t>
      </w:r>
      <w:r w:rsidRPr="00476909">
        <w:rPr>
          <w:rFonts w:ascii="Times New Roman" w:eastAsia="Times New Roman" w:hAnsi="Times New Roman" w:cs="Times New Roman"/>
          <w:i/>
          <w:sz w:val="24"/>
          <w:szCs w:val="24"/>
        </w:rPr>
        <w:t>has significantly expanded the attack surface for sophisticated cyber threats, particularly ransomware. These hybrid systems, known as cyber-mechanical systems (CMS), present complex vulnerabilities across multiple temporal and spatial scales, which are inadequately addressed by traditional security frameworks that treat cyber and physical layers in isolation. This study introduces a novel multiscale AI/ML-based framework for predictive resilience modeling and real-time anomaly detection in CMS environments. The proposed architecture integrates a Convolutional Long Short-Term Memory 3D (ConvLSTM3D) model for high-resolution spatiotemporal anomaly detection, and a Graph Neural Network (GNN) for dynamic threat propagation analysis across system hierarchies.</w:t>
      </w:r>
      <w:r w:rsidR="00476909">
        <w:rPr>
          <w:rFonts w:ascii="Times New Roman" w:eastAsia="Times New Roman" w:hAnsi="Times New Roman" w:cs="Times New Roman"/>
          <w:i/>
          <w:sz w:val="24"/>
          <w:szCs w:val="24"/>
        </w:rPr>
        <w:t xml:space="preserve"> </w:t>
      </w:r>
      <w:r w:rsidRPr="00476909">
        <w:rPr>
          <w:rFonts w:ascii="Times New Roman" w:eastAsia="Times New Roman" w:hAnsi="Times New Roman" w:cs="Times New Roman"/>
          <w:i/>
          <w:sz w:val="24"/>
          <w:szCs w:val="24"/>
        </w:rPr>
        <w:t xml:space="preserve">The framework was evaluated using both synthetic simulations and the CICIDS 2017 dataset, yielding a test accuracy of 88.86%, an AUC of 0.89, and an F1-score of 0.38 in highly imbalanced ransomware detection scenarios. A simulated ransomware attack on a SCADA-controlled energy network demonstrated the model’s ability to detect threats at the micro (≤1s), meso (1s–1h), and macro (&gt;1h) levels, with detection precision exceeding 95% for short-duration anomalies. These results confirm that modeling cyber-mechanical interactions across multiple scales significantly enhances early threat detection and </w:t>
      </w:r>
      <w:r w:rsidR="00476909" w:rsidRPr="00476909">
        <w:rPr>
          <w:rFonts w:ascii="Times New Roman" w:eastAsia="Times New Roman" w:hAnsi="Times New Roman" w:cs="Times New Roman"/>
          <w:i/>
          <w:sz w:val="24"/>
          <w:szCs w:val="24"/>
        </w:rPr>
        <w:t>supports situational awareness. Future research should</w:t>
      </w:r>
      <w:r w:rsidRPr="00476909">
        <w:rPr>
          <w:rFonts w:ascii="Times New Roman" w:eastAsia="Times New Roman" w:hAnsi="Times New Roman" w:cs="Times New Roman"/>
          <w:i/>
          <w:sz w:val="24"/>
          <w:szCs w:val="24"/>
        </w:rPr>
        <w:t xml:space="preserve"> explore federated learning, continual adaptation, and explainable AI to enable real-time deployment and broader generalizability. By bridging cyber-physical modeling, machine learning, and resilience engineering, this study contributes an actionable framework for safeguarding critical energy infrastructure from increasingly sophisticated and coordinated cyber threats.</w:t>
      </w:r>
    </w:p>
    <w:p w14:paraId="6F8F7EA0" w14:textId="77777777" w:rsidR="00EF6C32" w:rsidRPr="00EF6C32" w:rsidRDefault="00EF6C32" w:rsidP="00EF6C32">
      <w:pPr>
        <w:spacing w:before="100" w:beforeAutospacing="1" w:after="100" w:afterAutospacing="1" w:line="360" w:lineRule="auto"/>
        <w:jc w:val="both"/>
        <w:rPr>
          <w:rFonts w:ascii="Times New Roman" w:eastAsia="Times New Roman" w:hAnsi="Times New Roman" w:cs="Times New Roman"/>
          <w:sz w:val="24"/>
          <w:szCs w:val="24"/>
        </w:rPr>
      </w:pPr>
      <w:r w:rsidRPr="00DD0B3A">
        <w:rPr>
          <w:rFonts w:ascii="Times New Roman" w:eastAsia="Times New Roman" w:hAnsi="Times New Roman" w:cs="Times New Roman"/>
          <w:bCs/>
          <w:sz w:val="24"/>
          <w:szCs w:val="24"/>
        </w:rPr>
        <w:t>Keywords</w:t>
      </w:r>
      <w:r w:rsidRPr="00EF6C32">
        <w:rPr>
          <w:rFonts w:ascii="Times New Roman" w:eastAsia="Times New Roman" w:hAnsi="Times New Roman" w:cs="Times New Roman"/>
          <w:sz w:val="24"/>
          <w:szCs w:val="24"/>
        </w:rPr>
        <w:t>: Cyber-</w:t>
      </w:r>
      <w:r w:rsidR="00DD0B3A" w:rsidRPr="00DD0B3A">
        <w:rPr>
          <w:rFonts w:ascii="Times New Roman" w:eastAsia="Times New Roman" w:hAnsi="Times New Roman" w:cs="Times New Roman"/>
          <w:sz w:val="24"/>
          <w:szCs w:val="24"/>
        </w:rPr>
        <w:t>Mechanical</w:t>
      </w:r>
      <w:r w:rsidRPr="00EF6C32">
        <w:rPr>
          <w:rFonts w:ascii="Times New Roman" w:eastAsia="Times New Roman" w:hAnsi="Times New Roman" w:cs="Times New Roman"/>
          <w:sz w:val="24"/>
          <w:szCs w:val="24"/>
        </w:rPr>
        <w:t xml:space="preserve"> Systems, Ransomware, ConvLSTM3D, Critical Infrastructure, Resilience Modeling</w:t>
      </w:r>
    </w:p>
    <w:p w14:paraId="3930CB77" w14:textId="77777777" w:rsidR="00086BE9" w:rsidRPr="004E3B91" w:rsidRDefault="00086BE9" w:rsidP="004E3B91">
      <w:pPr>
        <w:spacing w:line="360" w:lineRule="auto"/>
        <w:jc w:val="both"/>
        <w:rPr>
          <w:rFonts w:ascii="Times New Roman" w:hAnsi="Times New Roman" w:cs="Times New Roman"/>
          <w:b/>
          <w:color w:val="000000" w:themeColor="text1"/>
          <w:sz w:val="24"/>
          <w:szCs w:val="24"/>
        </w:rPr>
      </w:pPr>
      <w:r w:rsidRPr="004E3B91">
        <w:rPr>
          <w:rFonts w:ascii="Times New Roman" w:hAnsi="Times New Roman" w:cs="Times New Roman"/>
          <w:b/>
          <w:color w:val="000000" w:themeColor="text1"/>
          <w:sz w:val="24"/>
          <w:szCs w:val="24"/>
        </w:rPr>
        <w:lastRenderedPageBreak/>
        <w:t>1</w:t>
      </w:r>
      <w:r w:rsidR="004E3B91" w:rsidRPr="004E3B91">
        <w:rPr>
          <w:rFonts w:ascii="Times New Roman" w:hAnsi="Times New Roman" w:cs="Times New Roman"/>
          <w:b/>
          <w:color w:val="000000" w:themeColor="text1"/>
          <w:sz w:val="24"/>
          <w:szCs w:val="24"/>
        </w:rPr>
        <w:tab/>
      </w:r>
      <w:r w:rsidRPr="004E3B91">
        <w:rPr>
          <w:rFonts w:ascii="Times New Roman" w:hAnsi="Times New Roman" w:cs="Times New Roman"/>
          <w:b/>
          <w:color w:val="000000" w:themeColor="text1"/>
          <w:sz w:val="24"/>
          <w:szCs w:val="24"/>
        </w:rPr>
        <w:t>Introduction</w:t>
      </w:r>
    </w:p>
    <w:p w14:paraId="1FFA62C2" w14:textId="7175B4D4"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Critical energy infrastructure</w:t>
      </w:r>
      <w:r w:rsidR="00476909">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comprising electric power systems, oil and gas pipelines, and renewable energy networks</w:t>
      </w:r>
      <w:r w:rsidR="0035224A">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forms the backbone of modern society by supporting economic stability, national security, and public welfare. The evolution of these systems from purely mechanical constructs to cyber-mechanical systems (CMS) has improved operational efficiency through digital monitoring and control technologies, but has also introduced complex vulnerabilities (Lee, 2008). These cyber-physical interactions render critical infrastructure increasingly susceptible to sophisticated threats, necessitating a novel multiscale modeling framework powered by artificial intelligence (AI) and machine learning (ML) to predict and prevent failures across both temporal and spatial dimensions (Humayed et al., 2017).</w:t>
      </w:r>
    </w:p>
    <w:p w14:paraId="63AB6DBD"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The integration of cyber components into energy infrastructure has significantly broadened the attack surface, exposing systems to hybrid threats. Incidents like the 2015 Ukraine power grid attack, which caused a blackout affecting 230,000 people, and the 2021 Colonial Pipeline ransomware attack, which disrupted fuel distribution across the U.S. East Coast, exemplify the potential cascading impacts of cyber-mechanical attacks (Greenberg, 2017; White, 2016). These events reveal the limitations of traditional security models that separate cybersecurity from physical reliability, ignoring their interdependencies (Cherdantseva et al., 2016). Multiscale modeling, an approach rooted in computational physics and materials science, provides a mechanism to analyze energy systems from millisecond-level controls to multi-decade infrastructure lifespans (Horstemeyer, 2009). When applied to cyber-physical systems (CPS), this approach can trace threats from component-level failures, such as compromised sensors, to full-scale disruptions like regional blackouts (Rausand &amp; Haugen, 2020).</w:t>
      </w:r>
    </w:p>
    <w:p w14:paraId="429DCD84"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 xml:space="preserve">Energy infrastructure’s operational dynamics span multiple temporal and spatial scales. Real-time control systems interact with hour-ahead scheduling, day-ahead planning, and long-term infrastructure development. Spatially, energy systems include components ranging from sensors to nationwide grids (Chassin et al., 2014). Existing threat models often lack the granularity and adaptability to address such complex multiscale interactions, leaving blind spots exploitable by adversaries (Khan et al., 2017). Moreover, most threat models are static and unable to evolve alongside changing system configurations and attack vectors (Ericsson, 2010). The prevalent </w:t>
      </w:r>
      <w:r w:rsidRPr="0042340B">
        <w:rPr>
          <w:rFonts w:ascii="Times New Roman" w:eastAsia="Times New Roman" w:hAnsi="Times New Roman" w:cs="Times New Roman"/>
          <w:sz w:val="24"/>
          <w:szCs w:val="24"/>
        </w:rPr>
        <w:lastRenderedPageBreak/>
        <w:t>siloed approach to security, where cyber and physical domains are managed separately, further amplifies vulnerabilities (Line et al., 2014).</w:t>
      </w:r>
    </w:p>
    <w:p w14:paraId="3AE22356"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AI and ML technologies can help address these gaps by enabling dynamic, adaptive, and predictive threat models. Deep learning methods, such as convolutional neural networks (CNNs), can model complex time-dependent system dynamics and identify both routine and abnormal behaviors (Qian et al., 2017). In energy systems, early detection of such anomalies is vital to prevent cascading failures (Zio, 2016). However, current AI/ML applications often target narrow use cases and specific layers of infrastructure without capturing multiscale dependencies</w:t>
      </w:r>
      <w:r w:rsidR="00C646DD">
        <w:rPr>
          <w:rFonts w:ascii="Times New Roman" w:eastAsia="Times New Roman" w:hAnsi="Times New Roman" w:cs="Times New Roman"/>
          <w:sz w:val="24"/>
          <w:szCs w:val="24"/>
        </w:rPr>
        <w:t>.</w:t>
      </w:r>
      <w:r w:rsidRPr="0042340B">
        <w:rPr>
          <w:rFonts w:ascii="Times New Roman" w:eastAsia="Times New Roman" w:hAnsi="Times New Roman" w:cs="Times New Roman"/>
          <w:sz w:val="24"/>
          <w:szCs w:val="24"/>
        </w:rPr>
        <w:t xml:space="preserve"> Integrating AI/ML with multiscale modeling can generate adaptive systems that continuously improve through data-driven learning (Mohit Kumar Maheshwari et al., 2023).</w:t>
      </w:r>
    </w:p>
    <w:p w14:paraId="107260AE" w14:textId="66D3DBDD"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The central research problem addressed is the inadequacy of current threat modeling frameworks in capturing the heterogeneous, multiscale, and evolving nature of cyber-mechanical threats to energy infrastructure. Most frameworks are dichotomous, focusing on either cyber incidents</w:t>
      </w:r>
      <w:r w:rsidR="0035224A">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like malware</w:t>
      </w:r>
      <w:r w:rsidR="0035224A">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or physical failures</w:t>
      </w:r>
      <w:r w:rsidR="00476909">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such as component fatigue</w:t>
      </w:r>
      <w:r w:rsidR="0035224A">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without analyzing their interplay (Humayed et al., 2017). For example, the Stuxnet attack demonstrated how a cyber intrusion could cause physical damage, while physical malfunctions may expose systems to cyber threats (Farwell &amp; Rohozinski, 2011). Moreover, scaling existing models to cover large, interconnected systems introduces computational burdens that limit real-time analysis (Rüde et al., 2018). The lack of adaptive, learning-based models further reduces responsiveness to emerging threats, emphasizing the need for a framework that combines multiscale analysis with AI/ML-enhanced prediction and prevention (Mohit Kumar Maheshwari et al., 2023).</w:t>
      </w:r>
    </w:p>
    <w:p w14:paraId="0EF39CCD"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The scope of this study covers electric power systems (generation, transmission, distribution), oil and gas infrastructure (extraction, refining, transport, distribution), and large-scale renewable energy systems (solar and wind with advanced control). It addresses diverse threat vectors: cyberattacks by state and non-state actors, insider threats, cascading component failures, coordinated cyber-mechanical attacks, and vulnerabilities arising from system interdependencies (Cherdantseva et al., 2016). Purely physical threats—like natural disasters—are excluded unless they impact cyber vulnerabilities.</w:t>
      </w:r>
    </w:p>
    <w:p w14:paraId="32D310AE"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lastRenderedPageBreak/>
        <w:t>Temporally, the framework spans from millisecond-level control signals to long-term aging and obsolescence vulnerabilities. Spatially, it includes individual components up to national-scale networks. Organizationally, the study considers technical, operational, and strategic levels, acknowledging that procedural or human factors can initiate or propagate threats (Zio, 2016). The methodology uses a mixed-methods approach: formal modeling and simulation of cyber-mechanical systems, case study analyses, AI/ML algorithm development, and validation via simulated attack scenarios. While empirical validation is included, real-world deployment is reserved for future collaboration with industry stakeholders (Rüde et al., 2018).</w:t>
      </w:r>
    </w:p>
    <w:p w14:paraId="6633C37E"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The research offers significant value across national security, economic, technical, and regulatory domains. Cyber-mechanical systems in energy are high-value targets for adversaries, with cyberattacks like Stuxnet and the Ukraine blackout underscoring the strategic risks (Farwell &amp; Rohozinski, 2011; White, 2016). Economically, infrastructure failures are costly, as illustrated by the 2003 Northeast blackout, which affected 50 million people and resulted in losses between $2 billion and $10 billion (U.S.-Canada Power System Outage Task Force, 2004). Technically, this research advances CPS security by combining multiscale and AI/ML modeling, filling methodological gaps in current approaches (Khan et al., 2017). By leveraging multi-paradigm modeling, it offers a way to accurately represent systems across appropriate levels of abstraction (Vangheluwe et al., 2002).</w:t>
      </w:r>
    </w:p>
    <w:p w14:paraId="6ADFA245" w14:textId="77777777" w:rsidR="0042340B" w:rsidRPr="0042340B"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Practically, this research delivers actionable insights and tools to energy sector stakeholders, facilitating proactive, automated security strategies</w:t>
      </w:r>
      <w:r w:rsidR="006A3009">
        <w:rPr>
          <w:rFonts w:ascii="Times New Roman" w:eastAsia="Times New Roman" w:hAnsi="Times New Roman" w:cs="Times New Roman"/>
          <w:sz w:val="24"/>
          <w:szCs w:val="24"/>
        </w:rPr>
        <w:t xml:space="preserve">. </w:t>
      </w:r>
      <w:r w:rsidRPr="0042340B">
        <w:rPr>
          <w:rFonts w:ascii="Times New Roman" w:eastAsia="Times New Roman" w:hAnsi="Times New Roman" w:cs="Times New Roman"/>
          <w:sz w:val="24"/>
          <w:szCs w:val="24"/>
        </w:rPr>
        <w:t xml:space="preserve"> From a policy standpoint, the framework can support more adaptive regulatory guidelines that keep pace with technology (Butun et al., 2020). Academically, it contributes to CPS security by bridging cyber, physical, and modeling domains, with implications for other sectors like transportation and healthcare (Mohit Kumar Maheshwari et al., 2023). As countries shift to renewable and smart grid systems, particularly in the Global South where legacy and modern technologies coexist, this adaptable framework supports global energy resilience (REN21, 2022; World Bank, 2020). Its emphasis on predictive analytics aligns with global trends in data-driven infrastructure management (Hinton et al., 2012).</w:t>
      </w:r>
    </w:p>
    <w:p w14:paraId="206127AE" w14:textId="77777777" w:rsidR="0035224A" w:rsidRDefault="0042340B" w:rsidP="0035224A">
      <w:pPr>
        <w:spacing w:before="100" w:beforeAutospacing="1" w:after="100" w:afterAutospacing="1" w:line="360" w:lineRule="auto"/>
        <w:jc w:val="both"/>
        <w:rPr>
          <w:rFonts w:ascii="Times New Roman" w:eastAsia="Times New Roman" w:hAnsi="Times New Roman" w:cs="Times New Roman"/>
          <w:sz w:val="24"/>
          <w:szCs w:val="24"/>
        </w:rPr>
      </w:pPr>
      <w:r w:rsidRPr="0042340B">
        <w:rPr>
          <w:rFonts w:ascii="Times New Roman" w:eastAsia="Times New Roman" w:hAnsi="Times New Roman" w:cs="Times New Roman"/>
          <w:sz w:val="24"/>
          <w:szCs w:val="24"/>
        </w:rPr>
        <w:t>The research aims to develop a comprehensive multiscale framework for cyber-mechanical threat modeling in critical energy infrastructure. The key objectives are to:</w:t>
      </w:r>
    </w:p>
    <w:p w14:paraId="4A3C065E" w14:textId="77777777" w:rsidR="0035224A" w:rsidRDefault="0042340B" w:rsidP="0035224A">
      <w:pPr>
        <w:pStyle w:val="ListParagraph"/>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35224A">
        <w:rPr>
          <w:rFonts w:ascii="Times New Roman" w:eastAsia="Times New Roman" w:hAnsi="Times New Roman" w:cs="Times New Roman"/>
          <w:sz w:val="24"/>
          <w:szCs w:val="24"/>
        </w:rPr>
        <w:lastRenderedPageBreak/>
        <w:t>develop an integrated framework capturing threats across temporal and spatial scales;</w:t>
      </w:r>
    </w:p>
    <w:p w14:paraId="7BCD1AE9" w14:textId="77777777" w:rsidR="0035224A" w:rsidRDefault="0042340B" w:rsidP="0035224A">
      <w:pPr>
        <w:pStyle w:val="ListParagraph"/>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35224A">
        <w:rPr>
          <w:rFonts w:ascii="Times New Roman" w:eastAsia="Times New Roman" w:hAnsi="Times New Roman" w:cs="Times New Roman"/>
          <w:sz w:val="24"/>
          <w:szCs w:val="24"/>
        </w:rPr>
        <w:t>implement AI/ML algorithms for adaptive threat detection and prevention; and</w:t>
      </w:r>
    </w:p>
    <w:p w14:paraId="068E69E3" w14:textId="77777777" w:rsidR="0042340B" w:rsidRPr="0035224A" w:rsidRDefault="0042340B" w:rsidP="0035224A">
      <w:pPr>
        <w:pStyle w:val="ListParagraph"/>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35224A">
        <w:rPr>
          <w:rFonts w:ascii="Times New Roman" w:eastAsia="Times New Roman" w:hAnsi="Times New Roman" w:cs="Times New Roman"/>
          <w:sz w:val="24"/>
          <w:szCs w:val="24"/>
        </w:rPr>
        <w:t>validate the framework using simulations.</w:t>
      </w:r>
    </w:p>
    <w:p w14:paraId="2080EC14" w14:textId="77777777" w:rsidR="00DB6F99" w:rsidRDefault="00DB6F99" w:rsidP="00192A1C">
      <w:pPr>
        <w:pStyle w:val="NormalWeb"/>
        <w:spacing w:line="360" w:lineRule="auto"/>
        <w:jc w:val="both"/>
        <w:rPr>
          <w:rFonts w:eastAsiaTheme="minorHAnsi"/>
          <w:color w:val="000000" w:themeColor="text1"/>
        </w:rPr>
      </w:pPr>
    </w:p>
    <w:p w14:paraId="0CED811A" w14:textId="77777777" w:rsidR="00DB6F99" w:rsidRDefault="00DB6F99" w:rsidP="00192A1C">
      <w:pPr>
        <w:pStyle w:val="NormalWeb"/>
        <w:spacing w:line="360" w:lineRule="auto"/>
        <w:jc w:val="both"/>
        <w:rPr>
          <w:rStyle w:val="Strong"/>
        </w:rPr>
      </w:pPr>
      <w:r>
        <w:rPr>
          <w:rStyle w:val="Strong"/>
        </w:rPr>
        <w:t>2.</w:t>
      </w:r>
      <w:r>
        <w:rPr>
          <w:rStyle w:val="Strong"/>
        </w:rPr>
        <w:tab/>
      </w:r>
      <w:r w:rsidR="00192A1C" w:rsidRPr="00192A1C">
        <w:rPr>
          <w:rStyle w:val="Strong"/>
        </w:rPr>
        <w:t>Literature Review</w:t>
      </w:r>
    </w:p>
    <w:p w14:paraId="0E7E8104" w14:textId="77777777" w:rsidR="00192A1C" w:rsidRPr="00192A1C" w:rsidRDefault="00192A1C" w:rsidP="00192A1C">
      <w:pPr>
        <w:pStyle w:val="NormalWeb"/>
        <w:spacing w:line="360" w:lineRule="auto"/>
        <w:jc w:val="both"/>
      </w:pPr>
      <w:r w:rsidRPr="00192A1C">
        <w:t>Artificial Intelligence (AI) and Machine Learning (ML) have become pivotal in enhancing cyber-mechanical security within critical energy infrastructures, especially as systems transition into more complex cyber-physical systems (CPS). These technologies facilitate anomaly detection, predictive maintenance, and adversarial robustness, helping detect threats early, optimize operations, and improve system resilience (Hinton et al., 2012). Despite these advantages, their application across multiscale C</w:t>
      </w:r>
      <w:r w:rsidR="00DB6F99">
        <w:t>M</w:t>
      </w:r>
      <w:r w:rsidRPr="00192A1C">
        <w:t>S</w:t>
      </w:r>
      <w:r w:rsidR="00DB6F99">
        <w:t xml:space="preserve">, </w:t>
      </w:r>
      <w:r w:rsidRPr="00192A1C">
        <w:t>ranging from sensors to regional grids</w:t>
      </w:r>
      <w:r w:rsidR="00DB6F99">
        <w:t xml:space="preserve"> </w:t>
      </w:r>
      <w:r w:rsidRPr="00192A1C">
        <w:t>remains nascent due to scalability, data scarcity, robustness, and validation concerns (Mohit Kumar Maheshwari et al., 2023).</w:t>
      </w:r>
    </w:p>
    <w:p w14:paraId="26281D45" w14:textId="77777777" w:rsidR="00192A1C" w:rsidRPr="00192A1C" w:rsidRDefault="00192A1C" w:rsidP="00192A1C">
      <w:pPr>
        <w:pStyle w:val="Heading3"/>
        <w:spacing w:line="360" w:lineRule="auto"/>
        <w:jc w:val="both"/>
        <w:rPr>
          <w:sz w:val="24"/>
          <w:szCs w:val="24"/>
        </w:rPr>
      </w:pPr>
      <w:r w:rsidRPr="00192A1C">
        <w:rPr>
          <w:sz w:val="24"/>
          <w:szCs w:val="24"/>
        </w:rPr>
        <w:t>Anomaly Detection in Cyber-Mechanical Systems</w:t>
      </w:r>
    </w:p>
    <w:p w14:paraId="6BF796FD" w14:textId="77777777" w:rsidR="00192A1C" w:rsidRPr="00192A1C" w:rsidRDefault="00192A1C" w:rsidP="00192A1C">
      <w:pPr>
        <w:pStyle w:val="NormalWeb"/>
        <w:spacing w:line="360" w:lineRule="auto"/>
        <w:jc w:val="both"/>
      </w:pPr>
      <w:r w:rsidRPr="00192A1C">
        <w:t>Anomaly detection is foundational to AI/ML applications in CPS security. Deep learning techniques like Long Short-Term Memory (LSTM) autoencoders excel at uncovering deviations in time-series data</w:t>
      </w:r>
      <w:r w:rsidR="00DB6F99">
        <w:t xml:space="preserve"> </w:t>
      </w:r>
      <w:r w:rsidRPr="00192A1C">
        <w:t>key in identifying faults in voltage, pressure, and other critical metrics (Zaidan et al., 2013). For instance, LSTM models achieved 90% accuracy in detecting false data injection (FDI) attacks in controlled power grid settings by identifying manipulated sensor values that could destabilize grid frequency. However, these models struggle in noisy industrial environments, suffering up to 30% false positive rates due to sensor drift and environmental variability (Chen et al., 2023).</w:t>
      </w:r>
    </w:p>
    <w:p w14:paraId="14684739" w14:textId="77777777" w:rsidR="00192A1C" w:rsidRPr="00192A1C" w:rsidRDefault="00192A1C" w:rsidP="00192A1C">
      <w:pPr>
        <w:pStyle w:val="NormalWeb"/>
        <w:spacing w:line="360" w:lineRule="auto"/>
        <w:jc w:val="both"/>
      </w:pPr>
      <w:r w:rsidRPr="00192A1C">
        <w:t xml:space="preserve">To mitigate this, hybrid models incorporating Convolutional Neural Networks (CNNs) and physics-based constraints have shown promise. In gas pipeline monitoring, integrating pressure-flow relationships into CNN architectures improved precision by 22% (Chen et al., 2023). Similarly, Xue et al. (2020) designed a stacked LSTM model for wind turbine anomaly detection that reduced false positives by 25% by incorporating meteorological data. Despite these gains, the </w:t>
      </w:r>
      <w:r w:rsidRPr="00192A1C">
        <w:lastRenderedPageBreak/>
        <w:t>reliance on large, high-fidelity datasets limits performance in data-scarce environments like emerging renewable energy systems (REN21, 2022).</w:t>
      </w:r>
    </w:p>
    <w:p w14:paraId="7F810AFA" w14:textId="77777777" w:rsidR="00192A1C" w:rsidRPr="00192A1C" w:rsidRDefault="00192A1C" w:rsidP="00192A1C">
      <w:pPr>
        <w:pStyle w:val="Heading3"/>
        <w:spacing w:line="360" w:lineRule="auto"/>
        <w:jc w:val="both"/>
        <w:rPr>
          <w:sz w:val="24"/>
          <w:szCs w:val="24"/>
        </w:rPr>
      </w:pPr>
      <w:r w:rsidRPr="00192A1C">
        <w:rPr>
          <w:sz w:val="24"/>
          <w:szCs w:val="24"/>
        </w:rPr>
        <w:t>Predictive Maintenance via AI/ML</w:t>
      </w:r>
    </w:p>
    <w:p w14:paraId="148F1EA5" w14:textId="77777777" w:rsidR="00192A1C" w:rsidRPr="00192A1C" w:rsidRDefault="00192A1C" w:rsidP="00192A1C">
      <w:pPr>
        <w:pStyle w:val="NormalWeb"/>
        <w:spacing w:line="360" w:lineRule="auto"/>
        <w:jc w:val="both"/>
      </w:pPr>
      <w:r w:rsidRPr="00192A1C">
        <w:t>AI/ML-enabled predictive maintenance is transforming how energy systems manage component lifecycles. Reinforcement Learning (RL) models, for example, simulate degradation paths to plan proactive maintenance schedules. In a wind turbine study, Alabi (2024) demonstrated a 35% reduction in unscheduled downtimes by using RL to forecast bearing failures. However, the proprietary nature of industrial datasets hinders reproducibility, and data sharing is often constrained due to competitive and security reasons (Ibrahim et al., 2021).</w:t>
      </w:r>
    </w:p>
    <w:p w14:paraId="5197634D" w14:textId="77777777" w:rsidR="00192A1C" w:rsidRPr="00192A1C" w:rsidRDefault="00192A1C" w:rsidP="00192A1C">
      <w:pPr>
        <w:pStyle w:val="NormalWeb"/>
        <w:spacing w:line="360" w:lineRule="auto"/>
        <w:jc w:val="both"/>
      </w:pPr>
      <w:r w:rsidRPr="00192A1C">
        <w:t>To overcome data scarcity, transfer learning has emerged as a promising solution. Wang et al. (2019) improved maintenance predictions for photovoltaic systems by 20% by adapting models trained on analogous infrastructure. Predictive models are increasingly incorporating cyber-induced failures, recognizing that cyber-attacks can accelerate mechanical degradation by bypassing safety limits (Mohit Kumar Maheshwari et al., 2023). Michailidis et al. (2025) developed a hybrid RL model that integrated cyber threat data, improving prediction accuracy for SCADA-controlled systems by 15%. However, such hybrid models often demand high computational resources, making real-time deployment difficult.</w:t>
      </w:r>
    </w:p>
    <w:p w14:paraId="37C96620" w14:textId="77777777" w:rsidR="00192A1C" w:rsidRPr="00192A1C" w:rsidRDefault="00192A1C" w:rsidP="00192A1C">
      <w:pPr>
        <w:pStyle w:val="Heading3"/>
        <w:spacing w:line="360" w:lineRule="auto"/>
        <w:jc w:val="both"/>
        <w:rPr>
          <w:sz w:val="24"/>
          <w:szCs w:val="24"/>
        </w:rPr>
      </w:pPr>
      <w:r w:rsidRPr="00192A1C">
        <w:rPr>
          <w:sz w:val="24"/>
          <w:szCs w:val="24"/>
        </w:rPr>
        <w:t>Adversarial Robustness in CPS Security</w:t>
      </w:r>
    </w:p>
    <w:p w14:paraId="445FBBB5" w14:textId="77777777" w:rsidR="00192A1C" w:rsidRPr="00192A1C" w:rsidRDefault="00192A1C" w:rsidP="00192A1C">
      <w:pPr>
        <w:pStyle w:val="NormalWeb"/>
        <w:spacing w:line="360" w:lineRule="auto"/>
        <w:jc w:val="both"/>
      </w:pPr>
      <w:r w:rsidRPr="00192A1C">
        <w:t>Adversarial robustness is a crucial frontier in CPS security, especially as adversaries adopt sophisticated ML-based attacks. Generative Adversarial Networks (GANs) are used to simulate attack scenarios and train more resilient models. Wang et al. (2019) reported a 50% increase in resistance to FDI attacks in photovoltaic systems using GAN-generated samples. However, these models often do not scale well to heterogeneous infrastructures, where diversity in components and communication protocols causes exponential increases in training times (Mohanta et al., 2022).</w:t>
      </w:r>
    </w:p>
    <w:p w14:paraId="27B0DFAE" w14:textId="77777777" w:rsidR="00192A1C" w:rsidRPr="00192A1C" w:rsidRDefault="00192A1C" w:rsidP="00192A1C">
      <w:pPr>
        <w:pStyle w:val="NormalWeb"/>
        <w:spacing w:line="360" w:lineRule="auto"/>
        <w:jc w:val="both"/>
      </w:pPr>
      <w:r w:rsidRPr="00192A1C">
        <w:t xml:space="preserve">Ensemble methods combining multiple learning models have improved detection by enhancing generalizability. Wang et al. (2018) found that such methods boosted network intrusion detection </w:t>
      </w:r>
      <w:r w:rsidRPr="00192A1C">
        <w:lastRenderedPageBreak/>
        <w:t>rates by 15% through model diversity. Adversarial training—where models are exposed to attack simulations during training—also shows promise. Goodfellow et al. (2014) demonstrated a 30% increase in robustness in image classification, and Madry et al. (2019) extended this to CPS. Still, high computational costs limit adversarial training's use on edge devices in decentralized smart grids (Qi et al., 2019).</w:t>
      </w:r>
    </w:p>
    <w:p w14:paraId="4781D048" w14:textId="77777777" w:rsidR="00192A1C" w:rsidRPr="00192A1C" w:rsidRDefault="00192A1C" w:rsidP="00192A1C">
      <w:pPr>
        <w:pStyle w:val="Heading3"/>
        <w:spacing w:line="360" w:lineRule="auto"/>
        <w:jc w:val="both"/>
        <w:rPr>
          <w:sz w:val="24"/>
          <w:szCs w:val="24"/>
        </w:rPr>
      </w:pPr>
      <w:r w:rsidRPr="00192A1C">
        <w:rPr>
          <w:sz w:val="24"/>
          <w:szCs w:val="24"/>
        </w:rPr>
        <w:t>Integration of Domain Knowledge and Real-Time Processing</w:t>
      </w:r>
    </w:p>
    <w:p w14:paraId="5A202B3A" w14:textId="77777777" w:rsidR="00192A1C" w:rsidRPr="00192A1C" w:rsidRDefault="00192A1C" w:rsidP="00192A1C">
      <w:pPr>
        <w:pStyle w:val="NormalWeb"/>
        <w:spacing w:line="360" w:lineRule="auto"/>
        <w:jc w:val="both"/>
      </w:pPr>
      <w:r w:rsidRPr="00192A1C">
        <w:t>Recent AI/ML research emphasizes aligning models with physical principles and real-time constraints. Misyris et al. (2020) developed physics-informed neural networks that integrate power flow equations, boosting detection accuracy in distribution grids by 18%. Federated learning, another breakthrough, enables collaborative model training across distributed assets while preserving privacy. Jithish et al. (2023) implemented this for anomaly detection, achieving a 20% improvement without compromising sensitive data.</w:t>
      </w:r>
    </w:p>
    <w:p w14:paraId="1F273E71" w14:textId="77777777" w:rsidR="00192A1C" w:rsidRPr="00192A1C" w:rsidRDefault="00192A1C" w:rsidP="00192A1C">
      <w:pPr>
        <w:pStyle w:val="NormalWeb"/>
        <w:spacing w:line="360" w:lineRule="auto"/>
        <w:jc w:val="both"/>
      </w:pPr>
      <w:r w:rsidRPr="00192A1C">
        <w:t>Standardized data protocols remain a hurdle, especially across diverse energy systems. Furthermore, techniques like meta-learning and few-shot learning have gained traction. Finn et al. (2017) demonstrated that meta-learning improved anomaly detection in renewable systems by 25%, even with minimal data. These methods show potential for broader AI/ML adoption in environments where high-quality labeled datasets are unavailable.</w:t>
      </w:r>
    </w:p>
    <w:p w14:paraId="3F933DE2" w14:textId="77777777" w:rsidR="00192A1C" w:rsidRPr="00192A1C" w:rsidRDefault="00192A1C" w:rsidP="00192A1C">
      <w:pPr>
        <w:pStyle w:val="Heading3"/>
        <w:spacing w:line="360" w:lineRule="auto"/>
        <w:jc w:val="both"/>
        <w:rPr>
          <w:sz w:val="24"/>
          <w:szCs w:val="24"/>
        </w:rPr>
      </w:pPr>
      <w:r w:rsidRPr="00192A1C">
        <w:rPr>
          <w:sz w:val="24"/>
          <w:szCs w:val="24"/>
        </w:rPr>
        <w:t>Persistent Challenges and Barriers</w:t>
      </w:r>
    </w:p>
    <w:p w14:paraId="0EB9CFDC" w14:textId="77777777" w:rsidR="00192A1C" w:rsidRPr="00192A1C" w:rsidRDefault="00192A1C" w:rsidP="00192A1C">
      <w:pPr>
        <w:pStyle w:val="NormalWeb"/>
        <w:spacing w:line="360" w:lineRule="auto"/>
        <w:jc w:val="both"/>
      </w:pPr>
      <w:r w:rsidRPr="00192A1C">
        <w:t>Despite these innovations, significant barriers hinder AI/ML adoption in CPS security. First is the lack of</w:t>
      </w:r>
      <w:r w:rsidRPr="00DB6F99">
        <w:t xml:space="preserve"> </w:t>
      </w:r>
      <w:r w:rsidRPr="00DB6F99">
        <w:rPr>
          <w:rStyle w:val="Strong"/>
          <w:b w:val="0"/>
        </w:rPr>
        <w:t>multiscale integration</w:t>
      </w:r>
      <w:r w:rsidRPr="00DB6F99">
        <w:rPr>
          <w:b/>
        </w:rPr>
        <w:t>,</w:t>
      </w:r>
      <w:r w:rsidRPr="00DB6F99">
        <w:t xml:space="preserve"> which hampers the ability to track cascading threats that span from individual devices to entire networks. Second is </w:t>
      </w:r>
      <w:r w:rsidRPr="00DB6F99">
        <w:rPr>
          <w:rStyle w:val="Strong"/>
          <w:b w:val="0"/>
        </w:rPr>
        <w:t>data availability</w:t>
      </w:r>
      <w:r w:rsidRPr="00DB6F99">
        <w:rPr>
          <w:b/>
        </w:rPr>
        <w:t xml:space="preserve">, </w:t>
      </w:r>
      <w:r w:rsidRPr="00DB6F99">
        <w:t xml:space="preserve">as most datasets are proprietary, incomplete, or tailored to specific operating conditions. Third, </w:t>
      </w:r>
      <w:r w:rsidRPr="00DB6F99">
        <w:rPr>
          <w:rStyle w:val="Strong"/>
          <w:b w:val="0"/>
        </w:rPr>
        <w:t>adversarial robustness</w:t>
      </w:r>
      <w:r w:rsidRPr="00DB6F99">
        <w:rPr>
          <w:b/>
        </w:rPr>
        <w:t xml:space="preserve"> </w:t>
      </w:r>
      <w:r w:rsidRPr="00DB6F99">
        <w:t xml:space="preserve">remains </w:t>
      </w:r>
      <w:r w:rsidRPr="00192A1C">
        <w:t>limited by the computational burdens of advanced ML models, restricting deployment in real-time and resource-constrained environments.</w:t>
      </w:r>
    </w:p>
    <w:p w14:paraId="0967ECB6" w14:textId="77777777" w:rsidR="00192A1C" w:rsidRPr="00192A1C" w:rsidRDefault="00192A1C" w:rsidP="00192A1C">
      <w:pPr>
        <w:pStyle w:val="NormalWeb"/>
        <w:spacing w:line="360" w:lineRule="auto"/>
        <w:jc w:val="both"/>
      </w:pPr>
      <w:r w:rsidRPr="00192A1C">
        <w:t>Four</w:t>
      </w:r>
      <w:r w:rsidRPr="00DB6F99">
        <w:t xml:space="preserve">th, </w:t>
      </w:r>
      <w:r w:rsidRPr="00DB6F99">
        <w:rPr>
          <w:rStyle w:val="Strong"/>
          <w:b w:val="0"/>
        </w:rPr>
        <w:t>validation issues</w:t>
      </w:r>
      <w:r w:rsidRPr="00DB6F99">
        <w:t xml:space="preserve"> p</w:t>
      </w:r>
      <w:r w:rsidRPr="00192A1C">
        <w:t xml:space="preserve">ersist due to the absence of standardized protocols, leading to overfitting on synthetic datasets and undermining trust in model generalizability (Zio, 2016). Finally, </w:t>
      </w:r>
      <w:r w:rsidRPr="00DB6F99">
        <w:rPr>
          <w:rStyle w:val="Strong"/>
          <w:b w:val="0"/>
        </w:rPr>
        <w:t>organizational integration</w:t>
      </w:r>
      <w:r w:rsidRPr="00DB6F99">
        <w:rPr>
          <w:b/>
        </w:rPr>
        <w:t xml:space="preserve"> </w:t>
      </w:r>
      <w:r w:rsidRPr="00192A1C">
        <w:t xml:space="preserve">is often problematic, with security operators lacking the expertise or </w:t>
      </w:r>
      <w:r w:rsidRPr="00192A1C">
        <w:lastRenderedPageBreak/>
        <w:t>tools to interpret AI outputs or integrate them with legacy systems (Mohit Kumar Maheshwari et al., 2023).</w:t>
      </w:r>
    </w:p>
    <w:p w14:paraId="72F0C806" w14:textId="77777777" w:rsidR="00192A1C" w:rsidRPr="00192A1C" w:rsidRDefault="00192A1C" w:rsidP="00192A1C">
      <w:pPr>
        <w:pStyle w:val="Heading3"/>
        <w:spacing w:line="360" w:lineRule="auto"/>
        <w:jc w:val="both"/>
        <w:rPr>
          <w:sz w:val="24"/>
          <w:szCs w:val="24"/>
        </w:rPr>
      </w:pPr>
      <w:r w:rsidRPr="00192A1C">
        <w:rPr>
          <w:sz w:val="24"/>
          <w:szCs w:val="24"/>
        </w:rPr>
        <w:t>Research Gaps and Opportunities</w:t>
      </w:r>
    </w:p>
    <w:p w14:paraId="1A367A14" w14:textId="77777777" w:rsidR="00192A1C" w:rsidRPr="00192A1C" w:rsidRDefault="00192A1C" w:rsidP="00192A1C">
      <w:pPr>
        <w:pStyle w:val="NormalWeb"/>
        <w:spacing w:line="360" w:lineRule="auto"/>
        <w:jc w:val="both"/>
      </w:pPr>
      <w:r w:rsidRPr="00192A1C">
        <w:t>From the reviewed literature, five key research gaps emerge:</w:t>
      </w:r>
    </w:p>
    <w:p w14:paraId="36F61A52" w14:textId="77777777" w:rsidR="00192A1C" w:rsidRPr="00192A1C" w:rsidRDefault="00192A1C" w:rsidP="00192A1C">
      <w:pPr>
        <w:pStyle w:val="NormalWeb"/>
        <w:numPr>
          <w:ilvl w:val="0"/>
          <w:numId w:val="28"/>
        </w:numPr>
        <w:spacing w:line="360" w:lineRule="auto"/>
        <w:jc w:val="both"/>
      </w:pPr>
      <w:r w:rsidRPr="00192A1C">
        <w:rPr>
          <w:rStyle w:val="Strong"/>
        </w:rPr>
        <w:t>Scale Disconnects:</w:t>
      </w:r>
      <w:r w:rsidRPr="00192A1C">
        <w:t xml:space="preserve"> Most existing frameworks are limited to single-scale analysis, overlooking cross-domain impacts such as cyber intrusions exacerbating mechanical wear.</w:t>
      </w:r>
    </w:p>
    <w:p w14:paraId="1A5C9974" w14:textId="77777777" w:rsidR="00192A1C" w:rsidRPr="00192A1C" w:rsidRDefault="00192A1C" w:rsidP="00192A1C">
      <w:pPr>
        <w:pStyle w:val="NormalWeb"/>
        <w:numPr>
          <w:ilvl w:val="0"/>
          <w:numId w:val="28"/>
        </w:numPr>
        <w:spacing w:line="360" w:lineRule="auto"/>
        <w:jc w:val="both"/>
      </w:pPr>
      <w:r w:rsidRPr="00192A1C">
        <w:rPr>
          <w:rStyle w:val="Strong"/>
        </w:rPr>
        <w:t>Static Modeling:</w:t>
      </w:r>
      <w:r w:rsidRPr="00192A1C">
        <w:t xml:space="preserve"> Many models assume fixed grid topologies, neglecting dynamic reconfigurations introduced by renewable integration and smart grid evolution (REN21, 2022).</w:t>
      </w:r>
    </w:p>
    <w:p w14:paraId="6D77AC90" w14:textId="77777777" w:rsidR="00192A1C" w:rsidRPr="00192A1C" w:rsidRDefault="00192A1C" w:rsidP="00192A1C">
      <w:pPr>
        <w:pStyle w:val="NormalWeb"/>
        <w:numPr>
          <w:ilvl w:val="0"/>
          <w:numId w:val="28"/>
        </w:numPr>
        <w:spacing w:line="360" w:lineRule="auto"/>
        <w:jc w:val="both"/>
      </w:pPr>
      <w:r w:rsidRPr="00192A1C">
        <w:rPr>
          <w:rStyle w:val="Strong"/>
        </w:rPr>
        <w:t>Limited Real-World Validation:</w:t>
      </w:r>
      <w:r w:rsidRPr="00192A1C">
        <w:t xml:space="preserve"> AI/ML models are often validated on synthetic datasets, with few tested under actual CPS operating conditions (Mohit Kumar Maheshwari et al., 2023).</w:t>
      </w:r>
    </w:p>
    <w:p w14:paraId="2323FDB6" w14:textId="77777777" w:rsidR="00192A1C" w:rsidRPr="00192A1C" w:rsidRDefault="00192A1C" w:rsidP="00192A1C">
      <w:pPr>
        <w:pStyle w:val="NormalWeb"/>
        <w:numPr>
          <w:ilvl w:val="0"/>
          <w:numId w:val="28"/>
        </w:numPr>
        <w:spacing w:line="360" w:lineRule="auto"/>
        <w:jc w:val="both"/>
      </w:pPr>
      <w:r w:rsidRPr="00192A1C">
        <w:rPr>
          <w:rStyle w:val="Strong"/>
        </w:rPr>
        <w:t>Regulatory Misalignment:</w:t>
      </w:r>
      <w:r w:rsidRPr="00192A1C">
        <w:t xml:space="preserve"> Current standards (e.g., NERC CIP) do not account for AI/ML capabilities, hindering their integration into formal security processes.</w:t>
      </w:r>
    </w:p>
    <w:p w14:paraId="36C8EA16" w14:textId="77777777" w:rsidR="00192A1C" w:rsidRPr="00192A1C" w:rsidRDefault="00192A1C" w:rsidP="00192A1C">
      <w:pPr>
        <w:pStyle w:val="NormalWeb"/>
        <w:numPr>
          <w:ilvl w:val="0"/>
          <w:numId w:val="28"/>
        </w:numPr>
        <w:spacing w:line="360" w:lineRule="auto"/>
        <w:jc w:val="both"/>
      </w:pPr>
      <w:r w:rsidRPr="00192A1C">
        <w:rPr>
          <w:rStyle w:val="Strong"/>
        </w:rPr>
        <w:t>Lack of Standardized Datasets and Protocols:</w:t>
      </w:r>
      <w:r w:rsidRPr="00192A1C">
        <w:t xml:space="preserve"> The absence of common validation frameworks erodes confidence in AI/ML predictions, especially for high-stakes infrastructure (Zio, 2016).</w:t>
      </w:r>
    </w:p>
    <w:p w14:paraId="54C925F5" w14:textId="77777777" w:rsidR="00192A1C" w:rsidRDefault="00192A1C" w:rsidP="00192A1C">
      <w:pPr>
        <w:pStyle w:val="NormalWeb"/>
        <w:spacing w:line="360" w:lineRule="auto"/>
        <w:jc w:val="both"/>
      </w:pPr>
      <w:r w:rsidRPr="00192A1C">
        <w:t>Addressing these gaps opens up significant opportunities for developing multiscale AI/ML frameworks that can operate across both cyber and mechanical domains while remaining robust and adaptable.</w:t>
      </w:r>
    </w:p>
    <w:p w14:paraId="43C20B49" w14:textId="77777777" w:rsidR="00192A1C" w:rsidRPr="00192A1C" w:rsidRDefault="00192A1C" w:rsidP="00192A1C">
      <w:pPr>
        <w:pStyle w:val="Heading3"/>
        <w:spacing w:line="360" w:lineRule="auto"/>
        <w:jc w:val="both"/>
        <w:rPr>
          <w:sz w:val="24"/>
          <w:szCs w:val="24"/>
        </w:rPr>
      </w:pPr>
      <w:r w:rsidRPr="00192A1C">
        <w:rPr>
          <w:sz w:val="24"/>
          <w:szCs w:val="24"/>
        </w:rPr>
        <w:t>Theoretical Foundations for a Multiscale Framework</w:t>
      </w:r>
    </w:p>
    <w:p w14:paraId="0637BCD9" w14:textId="77777777" w:rsidR="00192A1C" w:rsidRPr="00192A1C" w:rsidRDefault="00192A1C" w:rsidP="00192A1C">
      <w:pPr>
        <w:pStyle w:val="NormalWeb"/>
        <w:spacing w:line="360" w:lineRule="auto"/>
        <w:jc w:val="both"/>
      </w:pPr>
      <w:r w:rsidRPr="00192A1C">
        <w:t>To tackle these challenges, a new cyber-mechanical security framework should integrate three foundational theories:</w:t>
      </w:r>
    </w:p>
    <w:p w14:paraId="235495B1" w14:textId="77777777" w:rsidR="00192A1C" w:rsidRPr="00192A1C" w:rsidRDefault="00192A1C" w:rsidP="00192A1C">
      <w:pPr>
        <w:pStyle w:val="NormalWeb"/>
        <w:numPr>
          <w:ilvl w:val="0"/>
          <w:numId w:val="29"/>
        </w:numPr>
        <w:spacing w:line="360" w:lineRule="auto"/>
        <w:jc w:val="both"/>
      </w:pPr>
      <w:r w:rsidRPr="00192A1C">
        <w:rPr>
          <w:rStyle w:val="Strong"/>
        </w:rPr>
        <w:t>Complex Systems Theory</w:t>
      </w:r>
      <w:r w:rsidRPr="00192A1C">
        <w:t xml:space="preserve"> (Holland, 2014): This theory explains how local interactions among system components can produce emergent global behaviors, enabling the modeling of cascading failures and nonlinear threat propagation.</w:t>
      </w:r>
    </w:p>
    <w:p w14:paraId="7EFF7E5D" w14:textId="77777777" w:rsidR="00192A1C" w:rsidRPr="00192A1C" w:rsidRDefault="00192A1C" w:rsidP="00192A1C">
      <w:pPr>
        <w:pStyle w:val="NormalWeb"/>
        <w:numPr>
          <w:ilvl w:val="0"/>
          <w:numId w:val="29"/>
        </w:numPr>
        <w:spacing w:line="360" w:lineRule="auto"/>
        <w:jc w:val="both"/>
      </w:pPr>
      <w:r w:rsidRPr="00192A1C">
        <w:rPr>
          <w:rStyle w:val="Strong"/>
        </w:rPr>
        <w:lastRenderedPageBreak/>
        <w:t>Cyber-Mechanical Co-Evolution</w:t>
      </w:r>
      <w:r w:rsidRPr="00192A1C">
        <w:t xml:space="preserve"> (Lee, 2008): Recognizing the bidirectional influence between cyber and physical domains, this principle supports the development of integrated models that reflect real-world interdependencies.</w:t>
      </w:r>
    </w:p>
    <w:p w14:paraId="2A9FB889" w14:textId="77777777" w:rsidR="00192A1C" w:rsidRPr="00192A1C" w:rsidRDefault="00192A1C" w:rsidP="00192A1C">
      <w:pPr>
        <w:pStyle w:val="NormalWeb"/>
        <w:numPr>
          <w:ilvl w:val="0"/>
          <w:numId w:val="29"/>
        </w:numPr>
        <w:spacing w:line="360" w:lineRule="auto"/>
        <w:jc w:val="both"/>
      </w:pPr>
      <w:r w:rsidRPr="00192A1C">
        <w:rPr>
          <w:rStyle w:val="Strong"/>
        </w:rPr>
        <w:t>Adaptive Control Theory</w:t>
      </w:r>
      <w:r w:rsidRPr="00192A1C">
        <w:t xml:space="preserve"> (Åström &amp; Murray, 2012): This theory supports the real-time reconfiguration of system defenses, crucial for responding to evolving threats with dynamic mitigation strategies.</w:t>
      </w:r>
    </w:p>
    <w:p w14:paraId="4C773842" w14:textId="77777777" w:rsidR="00192A1C" w:rsidRPr="00192A1C" w:rsidRDefault="00192A1C" w:rsidP="00192A1C">
      <w:pPr>
        <w:pStyle w:val="NormalWeb"/>
        <w:spacing w:line="360" w:lineRule="auto"/>
        <w:jc w:val="both"/>
      </w:pPr>
      <w:r w:rsidRPr="00192A1C">
        <w:t>These theoretical pillars offer a robust foundation for a holistic, multiscale approach to CPS security. Such a framework would be capable of integrating diverse data sources, adapting to emerging threats, and supporting predictive and preventive strategies in real time.</w:t>
      </w:r>
    </w:p>
    <w:p w14:paraId="14B629AD" w14:textId="77777777" w:rsidR="00192A1C" w:rsidRDefault="00192A1C" w:rsidP="00DB6F99"/>
    <w:p w14:paraId="2B698254" w14:textId="3CBE568C" w:rsidR="009D2085" w:rsidRDefault="009D2085" w:rsidP="009D2085">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3.</w:t>
      </w:r>
      <w:r>
        <w:rPr>
          <w:rFonts w:ascii="Times New Roman" w:eastAsia="Times New Roman" w:hAnsi="Times New Roman" w:cs="Times New Roman"/>
          <w:b/>
          <w:bCs/>
          <w:kern w:val="36"/>
          <w:sz w:val="24"/>
          <w:szCs w:val="24"/>
        </w:rPr>
        <w:tab/>
        <w:t>Methodology</w:t>
      </w:r>
    </w:p>
    <w:p w14:paraId="09B99800"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details the comprehensive methodology employed in developing a multiscale approach to cyber-mechanical threat modeling for predicting and preventing failures in critical energy infrastructure. Building on the theoretical and empirical foundations established in Chapters 1 and 2, this chapter focuses on the design, data collection, modeling framework, and analytical approaches, with a particular emphasis on the implementation of a Convolutional Long Short-Term Memory (ConvLSTM3D) model for multiscale anomaly detection. The chapter also discusses performance metrics, validation techniques, and the integration of the AI/ML model within the multiscale framework.</w:t>
      </w:r>
    </w:p>
    <w:p w14:paraId="3008F66B"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Design</w:t>
      </w:r>
    </w:p>
    <w:p w14:paraId="62E2261C"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adopts a </w:t>
      </w:r>
      <w:r>
        <w:rPr>
          <w:rFonts w:ascii="Times New Roman" w:eastAsia="Times New Roman" w:hAnsi="Times New Roman" w:cs="Times New Roman"/>
          <w:b/>
          <w:bCs/>
          <w:sz w:val="24"/>
          <w:szCs w:val="24"/>
        </w:rPr>
        <w:t>mixed-methods design</w:t>
      </w:r>
      <w:r>
        <w:rPr>
          <w:rFonts w:ascii="Times New Roman" w:eastAsia="Times New Roman" w:hAnsi="Times New Roman" w:cs="Times New Roman"/>
          <w:sz w:val="24"/>
          <w:szCs w:val="24"/>
        </w:rPr>
        <w:t xml:space="preserve"> combining system modeling, machine learning, and empirical validation to address the complex, multiscale nature of cyber-mechanical threats in energy infrastructure as shown in Figure 1. The design comprises three main phases:</w:t>
      </w:r>
    </w:p>
    <w:p w14:paraId="18DCE5B4" w14:textId="77777777" w:rsidR="009D2085" w:rsidRDefault="009D2085" w:rsidP="009D2085">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 multiscale threat modeling framework was developed to capture cyber-mechanical interactions, implemented with a ConvLSTM3D-based anomaly detection model, and validated using real-world and synthetic data to evaluate its accuracy, robustness, and practical utility. </w:t>
      </w:r>
    </w:p>
    <w:p w14:paraId="6D64E29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Figure 1 </w:t>
      </w:r>
    </w:p>
    <w:p w14:paraId="5255772C" w14:textId="77777777" w:rsidR="009D2085" w:rsidRDefault="009D2085" w:rsidP="009D2085">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Cs/>
          <w:i/>
          <w:sz w:val="24"/>
          <w:szCs w:val="24"/>
        </w:rPr>
        <w:t>Research Design Workflow</w:t>
      </w:r>
      <w:r>
        <w:rPr>
          <w:rFonts w:ascii="Times New Roman" w:eastAsia="Times New Roman" w:hAnsi="Times New Roman" w:cs="Times New Roman"/>
          <w:i/>
          <w:sz w:val="24"/>
          <w:szCs w:val="24"/>
        </w:rPr>
        <w:br/>
      </w:r>
      <w:r>
        <w:rPr>
          <w:rFonts w:ascii="Times New Roman" w:eastAsia="Times New Roman" w:hAnsi="Times New Roman" w:cs="Times New Roman"/>
          <w:noProof/>
          <w:sz w:val="24"/>
          <w:szCs w:val="24"/>
        </w:rPr>
        <w:drawing>
          <wp:inline distT="0" distB="0" distL="0" distR="0" wp14:anchorId="02762835" wp14:editId="09F138DF">
            <wp:extent cx="4532630" cy="27114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2630" cy="2711450"/>
                    </a:xfrm>
                    <a:prstGeom prst="rect">
                      <a:avLst/>
                    </a:prstGeom>
                    <a:noFill/>
                    <a:ln>
                      <a:noFill/>
                    </a:ln>
                  </pic:spPr>
                </pic:pic>
              </a:graphicData>
            </a:graphic>
          </wp:inline>
        </w:drawing>
      </w:r>
    </w:p>
    <w:p w14:paraId="33C9B55E"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Collection and Preprocessing</w:t>
      </w:r>
    </w:p>
    <w:p w14:paraId="5C3F9D94"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Dataset Selection</w:t>
      </w:r>
    </w:p>
    <w:p w14:paraId="0F8D2D15"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dataset used for training and validating the ConvLSTM3D model is the </w:t>
      </w:r>
      <w:r>
        <w:rPr>
          <w:rFonts w:ascii="Times New Roman" w:eastAsia="Times New Roman" w:hAnsi="Times New Roman" w:cs="Times New Roman"/>
          <w:b/>
          <w:bCs/>
          <w:sz w:val="24"/>
          <w:szCs w:val="24"/>
        </w:rPr>
        <w:t>CICIDS 2017 dataset</w:t>
      </w:r>
      <w:r>
        <w:rPr>
          <w:rFonts w:ascii="Times New Roman" w:eastAsia="Times New Roman" w:hAnsi="Times New Roman" w:cs="Times New Roman"/>
          <w:sz w:val="24"/>
          <w:szCs w:val="24"/>
        </w:rPr>
        <w:t>, specifically the "Friday-WorkingHours-Afternoon-DDos.pcap_ISCX.csv" file, which contains network flow data labeled as benign or attack traffic (Sharafaldin et al., 2018). This dataset is widely recognized for cybersecurity research and includes 225,745 records with 79 features capturing network traffic characteristics.</w:t>
      </w:r>
    </w:p>
    <w:p w14:paraId="36072AD6"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Loading and Initial Inspection</w:t>
      </w:r>
    </w:p>
    <w:p w14:paraId="4C03340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dataset was loaded into a pandas </w:t>
      </w:r>
      <w:r>
        <w:rPr>
          <w:rFonts w:ascii="Courier New" w:eastAsia="Times New Roman" w:hAnsi="Courier New" w:cs="Courier New"/>
          <w:sz w:val="24"/>
          <w:szCs w:val="24"/>
        </w:rPr>
        <w:t>DataFrame</w:t>
      </w:r>
      <w:r>
        <w:rPr>
          <w:rFonts w:ascii="Times New Roman" w:eastAsia="Times New Roman" w:hAnsi="Times New Roman" w:cs="Times New Roman"/>
          <w:sz w:val="24"/>
          <w:szCs w:val="24"/>
        </w:rPr>
        <w:t>, yielding a shape of (225,745, 79). The first five rows were inspected to verify data integrity and feature consistency.</w:t>
      </w:r>
    </w:p>
    <w:p w14:paraId="31EFB3AE" w14:textId="77777777" w:rsidR="00C646DD" w:rsidRDefault="00C646DD" w:rsidP="009D2085">
      <w:pPr>
        <w:spacing w:before="100" w:beforeAutospacing="1" w:after="100" w:afterAutospacing="1" w:line="360" w:lineRule="auto"/>
        <w:jc w:val="both"/>
        <w:rPr>
          <w:rFonts w:ascii="Times New Roman" w:eastAsia="Times New Roman" w:hAnsi="Times New Roman" w:cs="Times New Roman"/>
          <w:sz w:val="24"/>
          <w:szCs w:val="24"/>
        </w:rPr>
      </w:pPr>
    </w:p>
    <w:p w14:paraId="53CCEA75" w14:textId="77777777" w:rsidR="00C646DD" w:rsidRDefault="00C646DD" w:rsidP="009D2085">
      <w:pPr>
        <w:spacing w:before="100" w:beforeAutospacing="1" w:after="100" w:afterAutospacing="1" w:line="360" w:lineRule="auto"/>
        <w:jc w:val="both"/>
        <w:rPr>
          <w:rFonts w:ascii="Times New Roman" w:eastAsia="Times New Roman" w:hAnsi="Times New Roman" w:cs="Times New Roman"/>
          <w:sz w:val="24"/>
          <w:szCs w:val="24"/>
        </w:rPr>
      </w:pPr>
    </w:p>
    <w:p w14:paraId="774B78F2" w14:textId="77777777" w:rsidR="009D2085" w:rsidRDefault="009D2085" w:rsidP="009D2085">
      <w:pPr>
        <w:rPr>
          <w:rFonts w:ascii="Times New Roman" w:hAnsi="Times New Roman" w:cs="Times New Roman"/>
          <w:b/>
          <w:sz w:val="24"/>
          <w:szCs w:val="24"/>
        </w:rPr>
      </w:pPr>
      <w:r>
        <w:rPr>
          <w:rFonts w:ascii="Times New Roman" w:hAnsi="Times New Roman" w:cs="Times New Roman"/>
          <w:b/>
          <w:sz w:val="24"/>
          <w:szCs w:val="24"/>
        </w:rPr>
        <w:lastRenderedPageBreak/>
        <w:t>Feature Cleaning and Selection</w:t>
      </w:r>
    </w:p>
    <w:p w14:paraId="256BD214" w14:textId="77777777" w:rsidR="009D2085" w:rsidRDefault="009D2085" w:rsidP="009D2085">
      <w:pPr>
        <w:spacing w:before="100" w:beforeAutospacing="1" w:after="100" w:afterAutospacing="1" w:line="360" w:lineRule="auto"/>
        <w:jc w:val="both"/>
        <w:outlineLvl w:val="1"/>
        <w:rPr>
          <w:rFonts w:ascii="Times New Roman" w:hAnsi="Times New Roman" w:cs="Times New Roman"/>
          <w:sz w:val="24"/>
          <w:szCs w:val="24"/>
        </w:rPr>
      </w:pPr>
      <w:r>
        <w:rPr>
          <w:rFonts w:ascii="Times New Roman" w:hAnsi="Times New Roman" w:cs="Times New Roman"/>
          <w:sz w:val="24"/>
          <w:szCs w:val="24"/>
        </w:rPr>
        <w:t>The dataset was cleaned by standardizing column names, removing irrelevant identifying columns, replacing missing values with zeros, and retaining only numeric features for compatibility with the ConvLSTM3D model.</w:t>
      </w:r>
    </w:p>
    <w:p w14:paraId="34670DFA"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Label Encoding</w:t>
      </w:r>
    </w:p>
    <w:p w14:paraId="708FF8F3"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'Label' column, indicating benign or attack traffic, was encoded into binary integers:</w:t>
      </w:r>
    </w:p>
    <w:p w14:paraId="5E4E66E8" w14:textId="77777777" w:rsidR="009D2085" w:rsidRDefault="009D2085" w:rsidP="009D2085">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BENIGN → 0</w:t>
      </w:r>
    </w:p>
    <w:p w14:paraId="00CEAA07" w14:textId="77777777" w:rsidR="009D2085" w:rsidRDefault="009D2085" w:rsidP="009D2085">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DDoS (attack) → 1</w:t>
      </w:r>
    </w:p>
    <w:p w14:paraId="135D768F"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encoding was performed using scikit-learn's: </w:t>
      </w:r>
      <w:r>
        <w:rPr>
          <w:rFonts w:ascii="Times New Roman" w:eastAsia="Times New Roman" w:hAnsi="Times New Roman" w:cs="Times New Roman"/>
          <w:sz w:val="24"/>
          <w:szCs w:val="24"/>
          <w:shd w:val="clear" w:color="auto" w:fill="F2F2F2" w:themeFill="background1" w:themeFillShade="F2"/>
        </w:rPr>
        <w:t>LabelEncoder</w:t>
      </w:r>
      <w:r>
        <w:rPr>
          <w:rFonts w:ascii="Times New Roman" w:eastAsia="Times New Roman" w:hAnsi="Times New Roman" w:cs="Times New Roman"/>
          <w:sz w:val="24"/>
          <w:szCs w:val="24"/>
          <w:shd w:val="clear" w:color="auto" w:fill="D9D9D9" w:themeFill="background1" w:themeFillShade="D9"/>
        </w:rPr>
        <w:t>.</w:t>
      </w:r>
    </w:p>
    <w:p w14:paraId="0399FF48"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Feature Scaling</w:t>
      </w:r>
    </w:p>
    <w:p w14:paraId="45E31608"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normalize the feature space and improve model convergence, Min-Max scaling was applied to all numeric features, transforming values into the range using:</w:t>
      </w:r>
    </w:p>
    <w:p w14:paraId="33D0FAD3" w14:textId="77777777" w:rsidR="009D2085" w:rsidRDefault="00000000" w:rsidP="009D2085">
      <w:pPr>
        <w:spacing w:before="100" w:beforeAutospacing="1" w:after="100" w:afterAutospacing="1" w:line="360" w:lineRule="auto"/>
        <w:jc w:val="both"/>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min</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min</m:t>
                  </m:r>
                </m:sub>
              </m:sSub>
            </m:den>
          </m:f>
        </m:oMath>
      </m:oMathPara>
    </w:p>
    <w:p w14:paraId="73333E93"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Cambria Math" w:eastAsia="Times New Roman" w:hAnsi="Cambria Math" w:cs="Times New Roman"/>
            <w:sz w:val="24"/>
            <w:szCs w:val="24"/>
          </w:rPr>
          <m:t>x</m:t>
        </m:r>
      </m:oMath>
      <w:r>
        <w:rPr>
          <w:rFonts w:ascii="Times New Roman" w:eastAsia="Times New Roman" w:hAnsi="Times New Roman" w:cs="Times New Roman"/>
          <w:sz w:val="24"/>
          <w:szCs w:val="24"/>
        </w:rPr>
        <w:t xml:space="preserve"> is the original feature value,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min</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max</m:t>
            </m:r>
          </m:sub>
        </m:sSub>
      </m:oMath>
      <w:r>
        <w:rPr>
          <w:rFonts w:ascii="Times New Roman" w:eastAsia="Times New Roman" w:hAnsi="Times New Roman" w:cs="Times New Roman"/>
          <w:sz w:val="24"/>
          <w:szCs w:val="24"/>
        </w:rPr>
        <w:t xml:space="preserve"> are the minimum and maximum values of the feature.</w:t>
      </w:r>
    </w:p>
    <w:p w14:paraId="0FF48A03"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Sequence Construction</w:t>
      </w:r>
    </w:p>
    <w:p w14:paraId="335F4B44"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ConvLSTM3D model requires input data shaped as sequences of frames representing spatial-temporal features. To this end:</w:t>
      </w:r>
    </w:p>
    <w:p w14:paraId="69D72FB1" w14:textId="77777777" w:rsidR="009D2085" w:rsidRDefault="009D2085" w:rsidP="009D2085">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Time Steps</w:t>
      </w:r>
      <w:r>
        <w:rPr>
          <w:rFonts w:ascii="Times New Roman" w:eastAsia="Times New Roman" w:hAnsi="Times New Roman" w:cs="Times New Roman"/>
          <w:sz w:val="24"/>
          <w:szCs w:val="24"/>
        </w:rPr>
        <w:t xml:space="preserve"> (T) were set to 10, meaning each input sample contains 10 consecutive records.</w:t>
      </w:r>
    </w:p>
    <w:p w14:paraId="7F4D77C8" w14:textId="77777777" w:rsidR="009D2085" w:rsidRDefault="009D2085" w:rsidP="009D2085">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Frame Dimensions</w:t>
      </w:r>
      <w:r>
        <w:rPr>
          <w:rFonts w:ascii="Times New Roman" w:eastAsia="Times New Roman" w:hAnsi="Times New Roman" w:cs="Times New Roman"/>
          <w:sz w:val="24"/>
          <w:szCs w:val="24"/>
        </w:rPr>
        <w:t>: Each time step is represented as an 8x8 "image" (height × width), with 1 channel (grayscale).</w:t>
      </w:r>
    </w:p>
    <w:p w14:paraId="59F935BB" w14:textId="77777777" w:rsidR="00C646DD" w:rsidRDefault="00C646DD" w:rsidP="00C646DD">
      <w:pPr>
        <w:spacing w:before="100" w:beforeAutospacing="1" w:after="100" w:afterAutospacing="1" w:line="360" w:lineRule="auto"/>
        <w:ind w:left="720"/>
        <w:jc w:val="both"/>
        <w:rPr>
          <w:rFonts w:ascii="Times New Roman" w:eastAsia="Times New Roman" w:hAnsi="Times New Roman" w:cs="Times New Roman"/>
          <w:sz w:val="24"/>
          <w:szCs w:val="24"/>
        </w:rPr>
      </w:pPr>
    </w:p>
    <w:p w14:paraId="488F2D5C"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Feature Padding or Trimming</w:t>
      </w:r>
    </w:p>
    <w:p w14:paraId="37CC07E0"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total number of numeric features (after cleaning) may not exactly equal 8×8=64, the features were:</w:t>
      </w:r>
    </w:p>
    <w:p w14:paraId="2956F3F8" w14:textId="77777777" w:rsidR="009D2085" w:rsidRDefault="009D2085" w:rsidP="009D2085">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Padded with zeros</w:t>
      </w:r>
      <w:r>
        <w:rPr>
          <w:rFonts w:ascii="Times New Roman" w:eastAsia="Times New Roman" w:hAnsi="Times New Roman" w:cs="Times New Roman"/>
          <w:sz w:val="24"/>
          <w:szCs w:val="24"/>
        </w:rPr>
        <w:t xml:space="preserve"> if fewer than 64 features.</w:t>
      </w:r>
    </w:p>
    <w:p w14:paraId="07DA3189" w14:textId="77777777" w:rsidR="009D2085" w:rsidRDefault="009D2085" w:rsidP="009D2085">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Trimmed</w:t>
      </w:r>
      <w:r>
        <w:rPr>
          <w:rFonts w:ascii="Times New Roman" w:eastAsia="Times New Roman" w:hAnsi="Times New Roman" w:cs="Times New Roman"/>
          <w:sz w:val="24"/>
          <w:szCs w:val="24"/>
        </w:rPr>
        <w:t xml:space="preserve"> if more than 64 features.</w:t>
      </w:r>
    </w:p>
    <w:p w14:paraId="58AB105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ensured a consistent input dimension for the ConvLSTM3D model.</w:t>
      </w:r>
    </w:p>
    <w:p w14:paraId="359E9C98"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Final Input Shape</w:t>
      </w:r>
    </w:p>
    <w:p w14:paraId="20EA3588"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processed data was reshaped into a 5D tensor:</w:t>
      </w:r>
    </w:p>
    <w:p w14:paraId="541472BA"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m:oMathPara>
        <m:oMath>
          <m:r>
            <m:rPr>
              <m:sty m:val="bi"/>
            </m:rPr>
            <w:rPr>
              <w:rFonts w:ascii="Cambria Math" w:eastAsia="Times New Roman" w:hAnsi="Cambria Math" w:cs="Times New Roman"/>
              <w:sz w:val="24"/>
              <w:szCs w:val="24"/>
            </w:rPr>
            <m:t xml:space="preserve">X </m:t>
          </m:r>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m:rPr>
                  <m:scr m:val="double-struck"/>
                </m:rPr>
                <w:rPr>
                  <w:rFonts w:ascii="Cambria Math" w:eastAsia="Times New Roman" w:hAnsi="Cambria Math" w:cs="Times New Roman"/>
                  <w:sz w:val="24"/>
                  <w:szCs w:val="24"/>
                </w:rPr>
                <m:t>R</m:t>
              </m:r>
            </m:e>
            <m:sup>
              <m:r>
                <w:rPr>
                  <w:rFonts w:ascii="Cambria Math" w:eastAsia="Times New Roman" w:hAnsi="Cambria Math" w:cs="Times New Roman"/>
                  <w:sz w:val="24"/>
                  <w:szCs w:val="24"/>
                </w:rPr>
                <m:t>N×T×H×W×C</m:t>
              </m:r>
            </m:sup>
          </m:sSup>
        </m:oMath>
      </m:oMathPara>
    </w:p>
    <w:p w14:paraId="2F823EFC"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32B7153A" w14:textId="77777777" w:rsidR="009D2085" w:rsidRDefault="009D2085" w:rsidP="009D208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N</m:t>
        </m:r>
      </m:oMath>
      <w:r>
        <w:rPr>
          <w:rFonts w:ascii="Times New Roman" w:eastAsia="Times New Roman" w:hAnsi="Times New Roman" w:cs="Times New Roman"/>
          <w:sz w:val="24"/>
          <w:szCs w:val="24"/>
        </w:rPr>
        <w:t xml:space="preserve"> = number of samples</w:t>
      </w:r>
    </w:p>
    <w:p w14:paraId="34B61715" w14:textId="77777777" w:rsidR="009D2085" w:rsidRDefault="009D2085" w:rsidP="009D208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T</m:t>
        </m:r>
      </m:oMath>
      <w:r>
        <w:rPr>
          <w:rFonts w:ascii="Times New Roman" w:eastAsia="Times New Roman" w:hAnsi="Times New Roman" w:cs="Times New Roman"/>
          <w:sz w:val="24"/>
          <w:szCs w:val="24"/>
        </w:rPr>
        <w:t xml:space="preserve"> = 10 (time steps)</w:t>
      </w:r>
    </w:p>
    <w:p w14:paraId="48A03F45" w14:textId="77777777" w:rsidR="009D2085" w:rsidRDefault="009D2085" w:rsidP="009D208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H</m:t>
        </m:r>
      </m:oMath>
      <w:r>
        <w:rPr>
          <w:rFonts w:ascii="Times New Roman" w:eastAsia="Times New Roman" w:hAnsi="Times New Roman" w:cs="Times New Roman"/>
          <w:sz w:val="24"/>
          <w:szCs w:val="24"/>
        </w:rPr>
        <w:t xml:space="preserve"> = 8 (height)</w:t>
      </w:r>
    </w:p>
    <w:p w14:paraId="46A80E36" w14:textId="77777777" w:rsidR="009D2085" w:rsidRDefault="009D2085" w:rsidP="009D208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W</m:t>
        </m:r>
      </m:oMath>
      <w:r>
        <w:rPr>
          <w:rFonts w:ascii="Times New Roman" w:eastAsia="Times New Roman" w:hAnsi="Times New Roman" w:cs="Times New Roman"/>
          <w:sz w:val="24"/>
          <w:szCs w:val="24"/>
        </w:rPr>
        <w:t xml:space="preserve"> =8 (width)</w:t>
      </w:r>
    </w:p>
    <w:p w14:paraId="383606C8" w14:textId="77777777" w:rsidR="009D2085" w:rsidRDefault="009D2085" w:rsidP="009D208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C</m:t>
        </m:r>
      </m:oMath>
      <w:r>
        <w:rPr>
          <w:rFonts w:ascii="Times New Roman" w:eastAsia="Times New Roman" w:hAnsi="Times New Roman" w:cs="Times New Roman"/>
          <w:sz w:val="24"/>
          <w:szCs w:val="24"/>
        </w:rPr>
        <w:t xml:space="preserve"> =1 (channels)</w:t>
      </w:r>
    </w:p>
    <w:p w14:paraId="0BAF0658"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Labels were aggregated across sequences, with any attack label within a sequence marking the entire sequence as an attack (label 1).</w:t>
      </w:r>
    </w:p>
    <w:p w14:paraId="54930FB8"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Temporal Scales</w:t>
      </w:r>
    </w:p>
    <w:p w14:paraId="28CEF710" w14:textId="77777777" w:rsidR="009D2085" w:rsidRDefault="009D2085" w:rsidP="009D2085">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Fast Dynamics </w:t>
      </w:r>
      <m:oMath>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τ</m:t>
            </m:r>
          </m:e>
          <m:sub>
            <m:r>
              <w:rPr>
                <w:rFonts w:ascii="Cambria Math" w:eastAsia="Times New Roman" w:hAnsi="Cambria Math" w:cs="Times New Roman"/>
                <w:sz w:val="24"/>
                <w:szCs w:val="24"/>
              </w:rPr>
              <m:t>f</m:t>
            </m:r>
          </m:sub>
        </m:sSub>
        <m:r>
          <w:rPr>
            <w:rFonts w:ascii="Cambria Math" w:eastAsia="Times New Roman" w:hAnsi="Cambria Math" w:cs="Times New Roman"/>
            <w:sz w:val="24"/>
            <w:szCs w:val="24"/>
          </w:rPr>
          <m:t>≤1s)</m:t>
        </m:r>
      </m:oMath>
      <w:r>
        <w:rPr>
          <w:rFonts w:ascii="Times New Roman" w:eastAsia="Times New Roman" w:hAnsi="Times New Roman" w:cs="Times New Roman"/>
          <w:sz w:val="24"/>
          <w:szCs w:val="24"/>
        </w:rPr>
        <w:t>: Relay operations, sensor readings.</w:t>
      </w:r>
    </w:p>
    <w:p w14:paraId="26E8E5E6" w14:textId="77777777" w:rsidR="009D2085" w:rsidRDefault="009D2085" w:rsidP="009D2085">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Medium Dynamics</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 </w:t>
      </w:r>
      <m:oMath>
        <m:r>
          <w:rPr>
            <w:rFonts w:ascii="Cambria Math" w:eastAsia="Times New Roman" w:hAnsi="Cambria Math" w:cs="Times New Roman"/>
            <w:sz w:val="24"/>
            <w:szCs w:val="24"/>
          </w:rPr>
          <m:t xml:space="preserve">(1s ≤ </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τ</m:t>
            </m:r>
          </m:e>
          <m:sub>
            <m:r>
              <w:rPr>
                <w:rFonts w:ascii="Cambria Math" w:eastAsia="Times New Roman" w:hAnsi="Cambria Math" w:cs="Times New Roman"/>
                <w:sz w:val="24"/>
                <w:szCs w:val="24"/>
              </w:rPr>
              <m:t>m</m:t>
            </m:r>
          </m:sub>
        </m:sSub>
        <m:r>
          <w:rPr>
            <w:rFonts w:ascii="Cambria Math" w:eastAsia="Times New Roman" w:hAnsi="Cambria Math" w:cs="Times New Roman"/>
            <w:sz w:val="24"/>
            <w:szCs w:val="24"/>
          </w:rPr>
          <m:t xml:space="preserve"> ≤1</m:t>
        </m:r>
        <m:r>
          <w:rPr>
            <w:rFonts w:ascii="Cambria Math" w:eastAsia="Times New Roman" w:hAnsi="Cambria Math" w:cs="Times New Roman"/>
            <w:sz w:val="24"/>
            <w:szCs w:val="24"/>
          </w:rPr>
          <m:t>h)</m:t>
        </m:r>
      </m:oMath>
      <w:r>
        <w:rPr>
          <w:rFonts w:ascii="Times New Roman" w:eastAsia="Times New Roman" w:hAnsi="Times New Roman" w:cs="Times New Roman"/>
          <w:sz w:val="24"/>
          <w:szCs w:val="24"/>
        </w:rPr>
        <w:t>: Load balancing, control commands.</w:t>
      </w:r>
    </w:p>
    <w:p w14:paraId="4FC86E2A" w14:textId="77777777" w:rsidR="009D2085" w:rsidRDefault="009D2085" w:rsidP="009D2085">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Slow Dynamics</w:t>
      </w:r>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τ</m:t>
            </m:r>
          </m:e>
          <m:sub>
            <m:r>
              <w:rPr>
                <w:rFonts w:ascii="Cambria Math" w:eastAsia="Times New Roman" w:hAnsi="Cambria Math" w:cs="Times New Roman"/>
                <w:sz w:val="24"/>
                <w:szCs w:val="24"/>
              </w:rPr>
              <m:t xml:space="preserve">s </m:t>
            </m:r>
          </m:sub>
        </m:sSub>
        <m:r>
          <w:rPr>
            <w:rFonts w:ascii="Cambria Math" w:eastAsia="Times New Roman" w:hAnsi="Cambria Math" w:cs="Times New Roman"/>
            <w:sz w:val="24"/>
            <w:szCs w:val="24"/>
          </w:rPr>
          <m:t>&gt; 1</m:t>
        </m:r>
        <m:r>
          <w:rPr>
            <w:rFonts w:ascii="Cambria Math" w:eastAsia="Times New Roman" w:hAnsi="Cambria Math" w:cs="Times New Roman"/>
            <w:sz w:val="24"/>
            <w:szCs w:val="24"/>
          </w:rPr>
          <m:t>h)</m:t>
        </m:r>
      </m:oMath>
      <w:r>
        <w:rPr>
          <w:rFonts w:ascii="Times New Roman" w:eastAsia="Times New Roman" w:hAnsi="Times New Roman" w:cs="Times New Roman"/>
          <w:sz w:val="24"/>
          <w:szCs w:val="24"/>
        </w:rPr>
        <w:t>: Maintenance cycles, component degradation.</w:t>
      </w:r>
    </w:p>
    <w:p w14:paraId="57371148" w14:textId="77777777" w:rsidR="00C646DD" w:rsidRDefault="00C646DD" w:rsidP="00C646DD">
      <w:pPr>
        <w:spacing w:before="100" w:beforeAutospacing="1" w:after="100" w:afterAutospacing="1" w:line="360" w:lineRule="auto"/>
        <w:ind w:left="720"/>
        <w:jc w:val="both"/>
        <w:rPr>
          <w:rFonts w:ascii="Times New Roman" w:eastAsia="Times New Roman" w:hAnsi="Times New Roman" w:cs="Times New Roman"/>
          <w:sz w:val="24"/>
          <w:szCs w:val="24"/>
        </w:rPr>
      </w:pPr>
    </w:p>
    <w:p w14:paraId="769ED0B1"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Spatial Scales</w:t>
      </w:r>
    </w:p>
    <w:p w14:paraId="45B918D3" w14:textId="77777777" w:rsidR="009D2085" w:rsidRDefault="009D2085" w:rsidP="009D20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Micro-scale</w:t>
      </w:r>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vertAlign w:val="subscript"/>
        </w:rPr>
        <w:t>micro</w:t>
      </w:r>
      <w:r>
        <w:rPr>
          <w:rFonts w:ascii="Times New Roman" w:eastAsia="Times New Roman" w:hAnsi="Times New Roman" w:cs="Times New Roman"/>
          <w:sz w:val="24"/>
          <w:szCs w:val="24"/>
        </w:rPr>
        <w:t>): Individual sensors, actuators.</w:t>
      </w:r>
    </w:p>
    <w:p w14:paraId="68FA40AC" w14:textId="77777777" w:rsidR="009D2085" w:rsidRDefault="009D2085" w:rsidP="009D20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Meso-scale</w:t>
      </w:r>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vertAlign w:val="subscript"/>
        </w:rPr>
        <w:t>mesos</w:t>
      </w:r>
      <w:r>
        <w:rPr>
          <w:rFonts w:ascii="Times New Roman" w:eastAsia="Times New Roman" w:hAnsi="Times New Roman" w:cs="Times New Roman"/>
          <w:sz w:val="24"/>
          <w:szCs w:val="24"/>
        </w:rPr>
        <w:t>): Subsystems or facilities.</w:t>
      </w:r>
    </w:p>
    <w:p w14:paraId="63900782" w14:textId="77777777" w:rsidR="009D2085" w:rsidRDefault="009D2085" w:rsidP="009D208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Macro-scale</w:t>
      </w:r>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vertAlign w:val="subscript"/>
        </w:rPr>
        <w:t>macros</w:t>
      </w:r>
      <w:r>
        <w:rPr>
          <w:rFonts w:ascii="Times New Roman" w:eastAsia="Times New Roman" w:hAnsi="Times New Roman" w:cs="Times New Roman"/>
          <w:sz w:val="24"/>
          <w:szCs w:val="24"/>
        </w:rPr>
        <w:t>): Regional or national networks.</w:t>
      </w:r>
    </w:p>
    <w:p w14:paraId="277CFE30"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spatial scales satisfy:</w:t>
      </w:r>
    </w:p>
    <w:p w14:paraId="013049DD" w14:textId="77777777" w:rsidR="009D2085" w:rsidRDefault="00000000" w:rsidP="009D2085">
      <w:pPr>
        <w:spacing w:before="100" w:beforeAutospacing="1" w:after="100" w:afterAutospacing="1" w:line="360" w:lineRule="auto"/>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micro</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meso</m:t>
              </m:r>
            </m:sub>
          </m:sSub>
          <m:r>
            <w:rPr>
              <w:rFonts w:ascii="Cambria Math" w:eastAsia="Times New Roman" w:hAnsi="Cambria Math" w:cs="Times New Roman"/>
              <w:sz w:val="24"/>
              <w:szCs w:val="24"/>
            </w:rPr>
            <m:t xml:space="preserve"> ⊆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macro</m:t>
              </m:r>
            </m:sub>
          </m:sSub>
        </m:oMath>
      </m:oMathPara>
    </w:p>
    <w:p w14:paraId="348E4F45"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Threat Propagation Model</w:t>
      </w:r>
    </w:p>
    <w:p w14:paraId="5283D572"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threat diffusion rate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λ</m:t>
            </m:r>
          </m:e>
          <m:sub>
            <m:r>
              <w:rPr>
                <w:rFonts w:ascii="Cambria Math" w:eastAsia="Times New Roman" w:hAnsi="Cambria Math" w:cs="Times New Roman"/>
                <w:sz w:val="24"/>
                <w:szCs w:val="24"/>
              </w:rPr>
              <m:t>tp</m:t>
            </m:r>
          </m:sub>
        </m:sSub>
      </m:oMath>
      <w:r>
        <w:rPr>
          <w:rFonts w:ascii="Times New Roman" w:eastAsia="Times New Roman" w:hAnsi="Times New Roman" w:cs="Times New Roman"/>
          <w:sz w:val="24"/>
          <w:szCs w:val="24"/>
        </w:rPr>
        <w:t xml:space="preserve"> between scales is modeled as:</w:t>
      </w:r>
    </w:p>
    <w:p w14:paraId="26A0516B" w14:textId="77777777" w:rsidR="009D2085" w:rsidRDefault="00000000" w:rsidP="009D2085">
      <w:pPr>
        <w:spacing w:before="100" w:beforeAutospacing="1" w:after="100" w:afterAutospacing="1" w:line="360" w:lineRule="auto"/>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λ</m:t>
              </m:r>
            </m:e>
            <m:sub>
              <m:r>
                <w:rPr>
                  <w:rFonts w:ascii="Cambria Math" w:eastAsia="Times New Roman" w:hAnsi="Cambria Math" w:cs="Times New Roman"/>
                  <w:sz w:val="24"/>
                  <w:szCs w:val="24"/>
                </w:rPr>
                <m:t>tp</m:t>
              </m:r>
            </m:sub>
          </m:sSub>
          <m:r>
            <w:rPr>
              <w:rFonts w:ascii="Cambria Math" w:eastAsia="Times New Roman" w:hAnsi="Cambria Math" w:cs="Times New Roman"/>
              <w:sz w:val="24"/>
              <w:szCs w:val="24"/>
            </w:rPr>
            <m:t xml:space="preserve">=α </m:t>
          </m:r>
          <m:r>
            <m:rPr>
              <m:sty m:val="bi"/>
            </m:rPr>
            <w:rPr>
              <w:rFonts w:ascii="Cambria Math" w:eastAsia="Times New Roman" w:hAnsi="Cambria Math" w:cs="Times New Roman"/>
              <w:sz w:val="24"/>
              <w:szCs w:val="24"/>
            </w:rPr>
            <m:t>⋅</m:t>
          </m:r>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∂t</m:t>
                  </m:r>
                </m:den>
              </m:f>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β</m:t>
                  </m:r>
                  <m:r>
                    <m:rPr>
                      <m:sty m:val="p"/>
                    </m:rPr>
                    <w:rPr>
                      <w:rFonts w:ascii="Cambria Math" w:eastAsia="Times New Roman" w:hAnsi="Cambria Math" w:cs="Times New Roman"/>
                      <w:sz w:val="24"/>
                      <w:szCs w:val="24"/>
                    </w:rPr>
                    <m:t>∇V</m:t>
                  </m:r>
                  <m:ctrlPr>
                    <w:rPr>
                      <w:rFonts w:ascii="Cambria Math" w:eastAsia="Times New Roman" w:hAnsi="Cambria Math" w:cs="Times New Roman"/>
                      <w:sz w:val="24"/>
                      <w:szCs w:val="24"/>
                    </w:rPr>
                  </m:ctrlPr>
                </m:e>
              </m:d>
            </m:e>
          </m:d>
        </m:oMath>
      </m:oMathPara>
    </w:p>
    <w:p w14:paraId="6F602D51"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57B76626" w14:textId="77777777" w:rsidR="009D2085" w:rsidRDefault="009D2085" w:rsidP="009D2085">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vulnerability index</w:t>
      </w:r>
    </w:p>
    <w:p w14:paraId="31D6A509" w14:textId="77777777" w:rsidR="009D2085" w:rsidRDefault="009D2085" w:rsidP="009D2085">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 = coupling coefficient</w:t>
      </w:r>
    </w:p>
    <w:p w14:paraId="12860CF5" w14:textId="77777777" w:rsidR="009D2085" w:rsidRDefault="009D2085" w:rsidP="009D2085">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 xml:space="preserve"> = system conductivity</w:t>
      </w:r>
    </w:p>
    <w:p w14:paraId="3BABDFCE"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partial differential equation captures temporal change and spatial diffusion of vulnerabilities.</w:t>
      </w:r>
    </w:p>
    <w:p w14:paraId="4BB5C2A5"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Vulnerability Assessment Matrix</w:t>
      </w:r>
    </w:p>
    <w:p w14:paraId="16F9017F"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matrix </w:t>
      </w:r>
      <m:oMath>
        <m:r>
          <m:rPr>
            <m:sty m:val="b"/>
          </m:rPr>
          <w:rPr>
            <w:rFonts w:ascii="Cambria Math" w:eastAsia="Times New Roman" w:hAnsi="Cambria Math" w:cs="Times New Roman"/>
            <w:sz w:val="24"/>
            <w:szCs w:val="24"/>
          </w:rPr>
          <m:t>V</m:t>
        </m:r>
        <m:r>
          <m:rPr>
            <m:sty m:val="p"/>
          </m:rPr>
          <w:rPr>
            <w:rFonts w:ascii="Cambria Math" w:eastAsia="Times New Roman" w:hAnsi="Cambria Math" w:cs="Times New Roman"/>
            <w:sz w:val="24"/>
            <w:szCs w:val="24"/>
          </w:rPr>
          <m:t>∈</m:t>
        </m:r>
        <m:sSup>
          <m:sSupPr>
            <m:ctrlPr>
              <w:rPr>
                <w:rFonts w:ascii="Cambria Math" w:eastAsia="Times New Roman" w:hAnsi="Cambria Math" w:cs="Times New Roman"/>
                <w:b/>
                <w:sz w:val="24"/>
                <w:szCs w:val="24"/>
              </w:rPr>
            </m:ctrlPr>
          </m:sSupPr>
          <m:e>
            <m:r>
              <m:rPr>
                <m:scr m:val="double-struck"/>
                <m:sty m:val="b"/>
              </m:rPr>
              <w:rPr>
                <w:rFonts w:ascii="Cambria Math" w:eastAsia="Times New Roman" w:hAnsi="Cambria Math" w:cs="Times New Roman"/>
                <w:sz w:val="24"/>
                <w:szCs w:val="24"/>
              </w:rPr>
              <m:t>R</m:t>
            </m:r>
          </m:e>
          <m:sup>
            <m:r>
              <w:rPr>
                <w:rFonts w:ascii="Cambria Math" w:eastAsia="Times New Roman" w:hAnsi="Cambria Math" w:cs="Times New Roman"/>
                <w:sz w:val="24"/>
                <w:szCs w:val="24"/>
              </w:rPr>
              <m:t>7×7</m:t>
            </m:r>
          </m:sup>
        </m:sSup>
      </m:oMath>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quantifies component vulnerabilities:</w:t>
      </w:r>
    </w:p>
    <w:p w14:paraId="69BB1889" w14:textId="77777777" w:rsidR="009D2085" w:rsidRDefault="00000000" w:rsidP="009D2085">
      <w:pPr>
        <w:spacing w:before="100" w:beforeAutospacing="1" w:after="100" w:afterAutospacing="1" w:line="360" w:lineRule="auto"/>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ν</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m:rPr>
                  <m:scr m:val="script"/>
                </m:rPr>
                <w:rPr>
                  <w:rFonts w:ascii="Cambria Math" w:eastAsia="Times New Roman" w:hAnsi="Cambria Math" w:cs="Times New Roman"/>
                  <w:sz w:val="24"/>
                  <w:szCs w:val="24"/>
                </w:rPr>
                <m:t>c</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 + </m:t>
          </m:r>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w:rPr>
                  <w:rFonts w:ascii="Cambria Math" w:eastAsia="Times New Roman" w:hAnsi="Cambria Math" w:cs="Times New Roman"/>
                  <w:sz w:val="24"/>
                  <w:szCs w:val="24"/>
                </w:rPr>
                <m:t>o</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 + </m:t>
          </m:r>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ij</m:t>
              </m:r>
            </m:sub>
          </m:sSub>
        </m:oMath>
      </m:oMathPara>
    </w:p>
    <w:p w14:paraId="49A930D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p>
    <w:p w14:paraId="7AC35F40"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342A0E77" w14:textId="77777777" w:rsidR="009D2085" w:rsidRDefault="00000000" w:rsidP="009D2085">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 </m:t>
        </m:r>
      </m:oMath>
      <w:r w:rsidR="009D2085">
        <w:rPr>
          <w:rFonts w:ascii="Times New Roman" w:eastAsia="Times New Roman" w:hAnsi="Times New Roman" w:cs="Times New Roman"/>
          <w:sz w:val="24"/>
          <w:szCs w:val="24"/>
        </w:rPr>
        <w:t>= complexity score</w:t>
      </w:r>
    </w:p>
    <w:p w14:paraId="4C79BA94" w14:textId="77777777" w:rsidR="009D2085" w:rsidRDefault="00000000" w:rsidP="009D2085">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 </m:t>
        </m:r>
      </m:oMath>
      <w:r w:rsidR="009D2085">
        <w:rPr>
          <w:rFonts w:ascii="Times New Roman" w:eastAsia="Times New Roman" w:hAnsi="Times New Roman" w:cs="Times New Roman"/>
          <w:sz w:val="24"/>
          <w:szCs w:val="24"/>
        </w:rPr>
        <w:t>= observability score</w:t>
      </w:r>
    </w:p>
    <w:p w14:paraId="74F7A750" w14:textId="77777777" w:rsidR="009D2085" w:rsidRDefault="00000000" w:rsidP="009D2085">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ij</m:t>
            </m:r>
          </m:sub>
        </m:sSub>
      </m:oMath>
      <w:r w:rsidR="009D2085">
        <w:rPr>
          <w:rFonts w:ascii="Times New Roman" w:eastAsia="Times New Roman" w:hAnsi="Times New Roman" w:cs="Times New Roman"/>
          <w:sz w:val="24"/>
          <w:szCs w:val="24"/>
        </w:rPr>
        <w:t xml:space="preserve">  = impact score</w:t>
      </w:r>
    </w:p>
    <w:p w14:paraId="5BDAA950" w14:textId="77777777" w:rsidR="009D2085" w:rsidRPr="0042340B" w:rsidRDefault="00000000" w:rsidP="0042340B">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m:rPr>
                <m:scr m:val="script"/>
              </m:rPr>
              <w:rPr>
                <w:rFonts w:ascii="Cambria Math" w:eastAsia="Times New Roman" w:hAnsi="Cambria Math" w:cs="Times New Roman"/>
                <w:sz w:val="24"/>
                <w:szCs w:val="24"/>
              </w:rPr>
              <m:t>c</m:t>
            </m:r>
          </m:sub>
        </m:sSub>
        <m:r>
          <w:rPr>
            <w:rFonts w:ascii="Cambria Math" w:eastAsia="Times New Roman" w:hAnsi="Cambria Math" w:cs="Times New Roman"/>
            <w:sz w:val="24"/>
            <w:szCs w:val="24"/>
          </w:rPr>
          <m:t xml:space="preserve"> </m:t>
        </m:r>
      </m:oMath>
      <w:r w:rsidR="009D2085">
        <w:rPr>
          <w:rFonts w:ascii="Times New Roman" w:eastAsia="Times New Roman" w:hAnsi="Times New Roman" w:cs="Times New Roman"/>
          <w:sz w:val="24"/>
          <w:szCs w:val="24"/>
        </w:rPr>
        <w:t xml:space="preserve">= 0.4, </w:t>
      </w:r>
      <m:oMath>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w:rPr>
                <w:rFonts w:ascii="Cambria Math" w:eastAsia="Times New Roman" w:hAnsi="Cambria Math" w:cs="Times New Roman"/>
                <w:sz w:val="24"/>
                <w:szCs w:val="24"/>
              </w:rPr>
              <m:t>o</m:t>
            </m:r>
          </m:sub>
        </m:sSub>
        <m:r>
          <w:rPr>
            <w:rFonts w:ascii="Cambria Math" w:eastAsia="Times New Roman" w:hAnsi="Cambria Math" w:cs="Times New Roman"/>
            <w:sz w:val="24"/>
            <w:szCs w:val="24"/>
          </w:rPr>
          <m:t xml:space="preserve"> </m:t>
        </m:r>
      </m:oMath>
      <w:r w:rsidR="009D2085">
        <w:rPr>
          <w:rFonts w:ascii="Times New Roman" w:eastAsia="Times New Roman" w:hAnsi="Times New Roman" w:cs="Times New Roman"/>
          <w:sz w:val="24"/>
          <w:szCs w:val="24"/>
        </w:rPr>
        <w:t xml:space="preserve">= 0.3, </w:t>
      </w:r>
      <m:oMath>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oMath>
      <w:r w:rsidR="009D2085">
        <w:rPr>
          <w:rFonts w:ascii="Times New Roman" w:eastAsia="Times New Roman" w:hAnsi="Times New Roman" w:cs="Times New Roman"/>
          <w:sz w:val="24"/>
          <w:szCs w:val="24"/>
        </w:rPr>
        <w:t>= 0.3(weights)</w:t>
      </w:r>
    </w:p>
    <w:p w14:paraId="6E9E48A3"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AI/ML Algorithm Implementation: ConvLSTM3D for Multiscale Anomaly Detection</w:t>
      </w:r>
    </w:p>
    <w:p w14:paraId="4955889B"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 Architecture</w:t>
      </w:r>
    </w:p>
    <w:p w14:paraId="716671A8"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ConvLSTM3D architecture combines convolutional layers with LSTM units to capture spatial and temporal dependencies in the data. The model layers are included in Table 1 Convolutional LSTM (ConvLSTM3D) processes spatiotemporal data:</w:t>
      </w:r>
      <w:r>
        <w:rPr>
          <w:rFonts w:ascii="Times New Roman" w:eastAsia="Times New Roman" w:hAnsi="Times New Roman" w:cs="Times New Roman"/>
          <w:sz w:val="24"/>
          <w:szCs w:val="24"/>
        </w:rPr>
        <w:br/>
      </w:r>
      <m:oMathPara>
        <m:oMath>
          <m:r>
            <m:rPr>
              <m:scr m:val="script"/>
              <m:sty m:val="bi"/>
            </m:rPr>
            <w:rPr>
              <w:rFonts w:ascii="Cambria Math" w:eastAsia="Times New Roman" w:hAnsi="Cambria Math" w:cs="Times New Roman"/>
              <w:sz w:val="24"/>
              <w:szCs w:val="24"/>
            </w:rPr>
            <m:t>F</m:t>
          </m:r>
          <m:d>
            <m:dPr>
              <m:ctrlPr>
                <w:rPr>
                  <w:rFonts w:ascii="Cambria Math" w:eastAsia="Times New Roman" w:hAnsi="Cambria Math" w:cs="Times New Roman"/>
                  <w:b/>
                  <w:i/>
                  <w:sz w:val="24"/>
                  <w:szCs w:val="24"/>
                </w:rPr>
              </m:ctrlPr>
            </m:dPr>
            <m:e>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X</m:t>
                  </m:r>
                </m:e>
                <m:sub>
                  <m:r>
                    <m:rPr>
                      <m:sty m:val="bi"/>
                    </m:rPr>
                    <w:rPr>
                      <w:rFonts w:ascii="Cambria Math" w:eastAsia="Times New Roman" w:hAnsi="Cambria Math" w:cs="Times New Roman"/>
                      <w:sz w:val="24"/>
                      <w:szCs w:val="24"/>
                    </w:rPr>
                    <m:t>t</m:t>
                  </m:r>
                </m:sub>
              </m:sSub>
            </m:e>
          </m:d>
          <m:r>
            <w:rPr>
              <w:rFonts w:ascii="Cambria Math" w:eastAsia="Times New Roman" w:hAnsi="Cambria Math" w:cs="Times New Roman"/>
              <w:sz w:val="24"/>
              <w:szCs w:val="24"/>
            </w:rPr>
            <m:t>=σ(</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xh</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 xml:space="preserve"> +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hh</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h</m:t>
              </m:r>
            </m:sub>
          </m:sSub>
          <m:r>
            <w:rPr>
              <w:rFonts w:ascii="Cambria Math" w:eastAsia="Times New Roman" w:hAnsi="Cambria Math" w:cs="Times New Roman"/>
              <w:sz w:val="24"/>
              <w:szCs w:val="24"/>
            </w:rPr>
            <m:t>)</m:t>
          </m:r>
        </m:oMath>
      </m:oMathPara>
    </w:p>
    <w:p w14:paraId="0223219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sidR="00AC0E7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1</w:t>
      </w:r>
    </w:p>
    <w:p w14:paraId="18CC2C2B"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rPr>
        <w:t>Model Layers</w:t>
      </w:r>
    </w:p>
    <w:tbl>
      <w:tblPr>
        <w:tblW w:w="0" w:type="auto"/>
        <w:tblCellSpacing w:w="15" w:type="dxa"/>
        <w:tblLook w:val="04A0" w:firstRow="1" w:lastRow="0" w:firstColumn="1" w:lastColumn="0" w:noHBand="0" w:noVBand="1"/>
      </w:tblPr>
      <w:tblGrid>
        <w:gridCol w:w="1943"/>
        <w:gridCol w:w="2438"/>
        <w:gridCol w:w="1640"/>
        <w:gridCol w:w="3339"/>
      </w:tblGrid>
      <w:tr w:rsidR="009D2085" w14:paraId="69663959" w14:textId="77777777" w:rsidTr="009D2085">
        <w:trPr>
          <w:tblHeader/>
          <w:tblCellSpacing w:w="15" w:type="dxa"/>
        </w:trPr>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14:paraId="6BC73BB2" w14:textId="77777777" w:rsidR="009D2085" w:rsidRDefault="009D208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Layer Type</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14:paraId="554A16D8" w14:textId="77777777" w:rsidR="009D2085" w:rsidRDefault="009D208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Parameters</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14:paraId="165B4DFD" w14:textId="77777777" w:rsidR="009D2085" w:rsidRDefault="009D208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Output Shape</w:t>
            </w:r>
          </w:p>
        </w:tc>
        <w:tc>
          <w:tcPr>
            <w:tcW w:w="0" w:type="auto"/>
            <w:tcBorders>
              <w:top w:val="single" w:sz="4" w:space="0" w:color="auto"/>
              <w:left w:val="nil"/>
              <w:bottom w:val="single" w:sz="4" w:space="0" w:color="auto"/>
              <w:right w:val="nil"/>
            </w:tcBorders>
            <w:tcMar>
              <w:top w:w="15" w:type="dxa"/>
              <w:left w:w="15" w:type="dxa"/>
              <w:bottom w:w="15" w:type="dxa"/>
              <w:right w:w="15" w:type="dxa"/>
            </w:tcMar>
            <w:vAlign w:val="center"/>
            <w:hideMark/>
          </w:tcPr>
          <w:p w14:paraId="47CB9D81" w14:textId="77777777" w:rsidR="009D2085" w:rsidRDefault="009D208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r>
      <w:tr w:rsidR="009D2085" w14:paraId="4B077696" w14:textId="77777777" w:rsidTr="009D2085">
        <w:trPr>
          <w:tblCellSpacing w:w="15" w:type="dxa"/>
        </w:trPr>
        <w:tc>
          <w:tcPr>
            <w:tcW w:w="0" w:type="auto"/>
            <w:tcMar>
              <w:top w:w="15" w:type="dxa"/>
              <w:left w:w="15" w:type="dxa"/>
              <w:bottom w:w="15" w:type="dxa"/>
              <w:right w:w="15" w:type="dxa"/>
            </w:tcMar>
            <w:vAlign w:val="center"/>
            <w:hideMark/>
          </w:tcPr>
          <w:p w14:paraId="11B30338"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Input</w:t>
            </w:r>
          </w:p>
        </w:tc>
        <w:tc>
          <w:tcPr>
            <w:tcW w:w="0" w:type="auto"/>
            <w:tcMar>
              <w:top w:w="15" w:type="dxa"/>
              <w:left w:w="15" w:type="dxa"/>
              <w:bottom w:w="15" w:type="dxa"/>
              <w:right w:w="15" w:type="dxa"/>
            </w:tcMar>
            <w:vAlign w:val="center"/>
            <w:hideMark/>
          </w:tcPr>
          <w:p w14:paraId="1B8F46CD"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Shape = (10, 8, 8, 1)</w:t>
            </w:r>
          </w:p>
        </w:tc>
        <w:tc>
          <w:tcPr>
            <w:tcW w:w="0" w:type="auto"/>
            <w:tcMar>
              <w:top w:w="15" w:type="dxa"/>
              <w:left w:w="15" w:type="dxa"/>
              <w:bottom w:w="15" w:type="dxa"/>
              <w:right w:w="15" w:type="dxa"/>
            </w:tcMar>
            <w:vAlign w:val="center"/>
            <w:hideMark/>
          </w:tcPr>
          <w:p w14:paraId="629BD693"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10, 8, 8, 1)</w:t>
            </w:r>
          </w:p>
        </w:tc>
        <w:tc>
          <w:tcPr>
            <w:tcW w:w="0" w:type="auto"/>
            <w:tcMar>
              <w:top w:w="15" w:type="dxa"/>
              <w:left w:w="15" w:type="dxa"/>
              <w:bottom w:w="15" w:type="dxa"/>
              <w:right w:w="15" w:type="dxa"/>
            </w:tcMar>
            <w:vAlign w:val="center"/>
            <w:hideMark/>
          </w:tcPr>
          <w:p w14:paraId="0F83B6C6"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Sequence of 10 frames, 8x8 grayscale</w:t>
            </w:r>
          </w:p>
        </w:tc>
      </w:tr>
      <w:tr w:rsidR="009D2085" w14:paraId="18467995" w14:textId="77777777" w:rsidTr="009D2085">
        <w:trPr>
          <w:tblCellSpacing w:w="15" w:type="dxa"/>
        </w:trPr>
        <w:tc>
          <w:tcPr>
            <w:tcW w:w="0" w:type="auto"/>
            <w:tcMar>
              <w:top w:w="15" w:type="dxa"/>
              <w:left w:w="15" w:type="dxa"/>
              <w:bottom w:w="15" w:type="dxa"/>
              <w:right w:w="15" w:type="dxa"/>
            </w:tcMar>
            <w:vAlign w:val="center"/>
            <w:hideMark/>
          </w:tcPr>
          <w:p w14:paraId="785D3C38"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ConvLSTM2D</w:t>
            </w:r>
          </w:p>
        </w:tc>
        <w:tc>
          <w:tcPr>
            <w:tcW w:w="0" w:type="auto"/>
            <w:tcMar>
              <w:top w:w="15" w:type="dxa"/>
              <w:left w:w="15" w:type="dxa"/>
              <w:bottom w:w="15" w:type="dxa"/>
              <w:right w:w="15" w:type="dxa"/>
            </w:tcMar>
            <w:vAlign w:val="center"/>
            <w:hideMark/>
          </w:tcPr>
          <w:p w14:paraId="2BDC277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filters, kernel (3,3), ReLU</w:t>
            </w:r>
          </w:p>
        </w:tc>
        <w:tc>
          <w:tcPr>
            <w:tcW w:w="0" w:type="auto"/>
            <w:tcMar>
              <w:top w:w="15" w:type="dxa"/>
              <w:left w:w="15" w:type="dxa"/>
              <w:bottom w:w="15" w:type="dxa"/>
              <w:right w:w="15" w:type="dxa"/>
            </w:tcMar>
            <w:vAlign w:val="center"/>
            <w:hideMark/>
          </w:tcPr>
          <w:p w14:paraId="37E36C55"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10, 8, 8, 32)</w:t>
            </w:r>
          </w:p>
        </w:tc>
        <w:tc>
          <w:tcPr>
            <w:tcW w:w="0" w:type="auto"/>
            <w:tcMar>
              <w:top w:w="15" w:type="dxa"/>
              <w:left w:w="15" w:type="dxa"/>
              <w:bottom w:w="15" w:type="dxa"/>
              <w:right w:w="15" w:type="dxa"/>
            </w:tcMar>
            <w:vAlign w:val="center"/>
            <w:hideMark/>
          </w:tcPr>
          <w:p w14:paraId="2ABFB9C5"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Extract spatiotemporal features</w:t>
            </w:r>
          </w:p>
        </w:tc>
      </w:tr>
      <w:tr w:rsidR="009D2085" w14:paraId="335E28C8" w14:textId="77777777" w:rsidTr="009D2085">
        <w:trPr>
          <w:tblCellSpacing w:w="15" w:type="dxa"/>
        </w:trPr>
        <w:tc>
          <w:tcPr>
            <w:tcW w:w="0" w:type="auto"/>
            <w:tcMar>
              <w:top w:w="15" w:type="dxa"/>
              <w:left w:w="15" w:type="dxa"/>
              <w:bottom w:w="15" w:type="dxa"/>
              <w:right w:w="15" w:type="dxa"/>
            </w:tcMar>
            <w:vAlign w:val="center"/>
            <w:hideMark/>
          </w:tcPr>
          <w:p w14:paraId="62B319C0"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Batch Normalization</w:t>
            </w:r>
          </w:p>
        </w:tc>
        <w:tc>
          <w:tcPr>
            <w:tcW w:w="0" w:type="auto"/>
            <w:tcMar>
              <w:top w:w="15" w:type="dxa"/>
              <w:left w:w="15" w:type="dxa"/>
              <w:bottom w:w="15" w:type="dxa"/>
              <w:right w:w="15" w:type="dxa"/>
            </w:tcMar>
            <w:vAlign w:val="center"/>
            <w:hideMark/>
          </w:tcPr>
          <w:p w14:paraId="0BEFC5AD"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15" w:type="dxa"/>
              <w:left w:w="15" w:type="dxa"/>
              <w:bottom w:w="15" w:type="dxa"/>
              <w:right w:w="15" w:type="dxa"/>
            </w:tcMar>
            <w:vAlign w:val="center"/>
            <w:hideMark/>
          </w:tcPr>
          <w:p w14:paraId="087F390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10, 8, 8, 32)</w:t>
            </w:r>
          </w:p>
        </w:tc>
        <w:tc>
          <w:tcPr>
            <w:tcW w:w="0" w:type="auto"/>
            <w:tcMar>
              <w:top w:w="15" w:type="dxa"/>
              <w:left w:w="15" w:type="dxa"/>
              <w:bottom w:w="15" w:type="dxa"/>
              <w:right w:w="15" w:type="dxa"/>
            </w:tcMar>
            <w:vAlign w:val="center"/>
            <w:hideMark/>
          </w:tcPr>
          <w:p w14:paraId="13BC2182"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Normalize activations</w:t>
            </w:r>
          </w:p>
        </w:tc>
      </w:tr>
      <w:tr w:rsidR="009D2085" w14:paraId="7466694B" w14:textId="77777777" w:rsidTr="009D2085">
        <w:trPr>
          <w:tblCellSpacing w:w="15" w:type="dxa"/>
        </w:trPr>
        <w:tc>
          <w:tcPr>
            <w:tcW w:w="0" w:type="auto"/>
            <w:tcMar>
              <w:top w:w="15" w:type="dxa"/>
              <w:left w:w="15" w:type="dxa"/>
              <w:bottom w:w="15" w:type="dxa"/>
              <w:right w:w="15" w:type="dxa"/>
            </w:tcMar>
            <w:vAlign w:val="center"/>
            <w:hideMark/>
          </w:tcPr>
          <w:p w14:paraId="3E4F4F1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ConvLSTM2D</w:t>
            </w:r>
          </w:p>
        </w:tc>
        <w:tc>
          <w:tcPr>
            <w:tcW w:w="0" w:type="auto"/>
            <w:tcMar>
              <w:top w:w="15" w:type="dxa"/>
              <w:left w:w="15" w:type="dxa"/>
              <w:bottom w:w="15" w:type="dxa"/>
              <w:right w:w="15" w:type="dxa"/>
            </w:tcMar>
            <w:vAlign w:val="center"/>
            <w:hideMark/>
          </w:tcPr>
          <w:p w14:paraId="039A9F78"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filters, kernel (3,3), ReLU</w:t>
            </w:r>
          </w:p>
        </w:tc>
        <w:tc>
          <w:tcPr>
            <w:tcW w:w="0" w:type="auto"/>
            <w:tcMar>
              <w:top w:w="15" w:type="dxa"/>
              <w:left w:w="15" w:type="dxa"/>
              <w:bottom w:w="15" w:type="dxa"/>
              <w:right w:w="15" w:type="dxa"/>
            </w:tcMar>
            <w:vAlign w:val="center"/>
            <w:hideMark/>
          </w:tcPr>
          <w:p w14:paraId="5DE47E35"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8, 8, 64)</w:t>
            </w:r>
          </w:p>
        </w:tc>
        <w:tc>
          <w:tcPr>
            <w:tcW w:w="0" w:type="auto"/>
            <w:tcMar>
              <w:top w:w="15" w:type="dxa"/>
              <w:left w:w="15" w:type="dxa"/>
              <w:bottom w:w="15" w:type="dxa"/>
              <w:right w:w="15" w:type="dxa"/>
            </w:tcMar>
            <w:vAlign w:val="center"/>
            <w:hideMark/>
          </w:tcPr>
          <w:p w14:paraId="21CA9943"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Deeper spatiotemporal feature extraction</w:t>
            </w:r>
          </w:p>
        </w:tc>
      </w:tr>
      <w:tr w:rsidR="009D2085" w14:paraId="7E6524E7" w14:textId="77777777" w:rsidTr="009D2085">
        <w:trPr>
          <w:tblCellSpacing w:w="15" w:type="dxa"/>
        </w:trPr>
        <w:tc>
          <w:tcPr>
            <w:tcW w:w="0" w:type="auto"/>
            <w:tcMar>
              <w:top w:w="15" w:type="dxa"/>
              <w:left w:w="15" w:type="dxa"/>
              <w:bottom w:w="15" w:type="dxa"/>
              <w:right w:w="15" w:type="dxa"/>
            </w:tcMar>
            <w:vAlign w:val="center"/>
            <w:hideMark/>
          </w:tcPr>
          <w:p w14:paraId="17E246CD"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Batch Normalization</w:t>
            </w:r>
          </w:p>
        </w:tc>
        <w:tc>
          <w:tcPr>
            <w:tcW w:w="0" w:type="auto"/>
            <w:tcMar>
              <w:top w:w="15" w:type="dxa"/>
              <w:left w:w="15" w:type="dxa"/>
              <w:bottom w:w="15" w:type="dxa"/>
              <w:right w:w="15" w:type="dxa"/>
            </w:tcMar>
            <w:vAlign w:val="center"/>
            <w:hideMark/>
          </w:tcPr>
          <w:p w14:paraId="5EC2F752"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15" w:type="dxa"/>
              <w:left w:w="15" w:type="dxa"/>
              <w:bottom w:w="15" w:type="dxa"/>
              <w:right w:w="15" w:type="dxa"/>
            </w:tcMar>
            <w:vAlign w:val="center"/>
            <w:hideMark/>
          </w:tcPr>
          <w:p w14:paraId="7896DE40"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8, 8, 64)</w:t>
            </w:r>
          </w:p>
        </w:tc>
        <w:tc>
          <w:tcPr>
            <w:tcW w:w="0" w:type="auto"/>
            <w:tcMar>
              <w:top w:w="15" w:type="dxa"/>
              <w:left w:w="15" w:type="dxa"/>
              <w:bottom w:w="15" w:type="dxa"/>
              <w:right w:w="15" w:type="dxa"/>
            </w:tcMar>
            <w:vAlign w:val="center"/>
            <w:hideMark/>
          </w:tcPr>
          <w:p w14:paraId="4ED938CE"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Normalize activations</w:t>
            </w:r>
          </w:p>
        </w:tc>
      </w:tr>
      <w:tr w:rsidR="009D2085" w14:paraId="379C01E8" w14:textId="77777777" w:rsidTr="009D2085">
        <w:trPr>
          <w:tblCellSpacing w:w="15" w:type="dxa"/>
        </w:trPr>
        <w:tc>
          <w:tcPr>
            <w:tcW w:w="0" w:type="auto"/>
            <w:tcMar>
              <w:top w:w="15" w:type="dxa"/>
              <w:left w:w="15" w:type="dxa"/>
              <w:bottom w:w="15" w:type="dxa"/>
              <w:right w:w="15" w:type="dxa"/>
            </w:tcMar>
            <w:vAlign w:val="center"/>
            <w:hideMark/>
          </w:tcPr>
          <w:p w14:paraId="0945AB9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MaxPooling2D</w:t>
            </w:r>
          </w:p>
        </w:tc>
        <w:tc>
          <w:tcPr>
            <w:tcW w:w="0" w:type="auto"/>
            <w:tcMar>
              <w:top w:w="15" w:type="dxa"/>
              <w:left w:w="15" w:type="dxa"/>
              <w:bottom w:w="15" w:type="dxa"/>
              <w:right w:w="15" w:type="dxa"/>
            </w:tcMar>
            <w:vAlign w:val="center"/>
            <w:hideMark/>
          </w:tcPr>
          <w:p w14:paraId="50D50C2F"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Pool size (2,2)</w:t>
            </w:r>
          </w:p>
        </w:tc>
        <w:tc>
          <w:tcPr>
            <w:tcW w:w="0" w:type="auto"/>
            <w:tcMar>
              <w:top w:w="15" w:type="dxa"/>
              <w:left w:w="15" w:type="dxa"/>
              <w:bottom w:w="15" w:type="dxa"/>
              <w:right w:w="15" w:type="dxa"/>
            </w:tcMar>
            <w:vAlign w:val="center"/>
            <w:hideMark/>
          </w:tcPr>
          <w:p w14:paraId="18414DB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4, 4, 64)</w:t>
            </w:r>
          </w:p>
        </w:tc>
        <w:tc>
          <w:tcPr>
            <w:tcW w:w="0" w:type="auto"/>
            <w:tcMar>
              <w:top w:w="15" w:type="dxa"/>
              <w:left w:w="15" w:type="dxa"/>
              <w:bottom w:w="15" w:type="dxa"/>
              <w:right w:w="15" w:type="dxa"/>
            </w:tcMar>
            <w:vAlign w:val="center"/>
            <w:hideMark/>
          </w:tcPr>
          <w:p w14:paraId="1C4FAC91"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 spatial dimensions</w:t>
            </w:r>
          </w:p>
        </w:tc>
      </w:tr>
      <w:tr w:rsidR="009D2085" w14:paraId="69580C3B" w14:textId="77777777" w:rsidTr="009D2085">
        <w:trPr>
          <w:tblCellSpacing w:w="15" w:type="dxa"/>
        </w:trPr>
        <w:tc>
          <w:tcPr>
            <w:tcW w:w="0" w:type="auto"/>
            <w:tcMar>
              <w:top w:w="15" w:type="dxa"/>
              <w:left w:w="15" w:type="dxa"/>
              <w:bottom w:w="15" w:type="dxa"/>
              <w:right w:w="15" w:type="dxa"/>
            </w:tcMar>
            <w:vAlign w:val="center"/>
            <w:hideMark/>
          </w:tcPr>
          <w:p w14:paraId="7701E2D7"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Flatten</w:t>
            </w:r>
          </w:p>
        </w:tc>
        <w:tc>
          <w:tcPr>
            <w:tcW w:w="0" w:type="auto"/>
            <w:tcMar>
              <w:top w:w="15" w:type="dxa"/>
              <w:left w:w="15" w:type="dxa"/>
              <w:bottom w:w="15" w:type="dxa"/>
              <w:right w:w="15" w:type="dxa"/>
            </w:tcMar>
            <w:vAlign w:val="center"/>
            <w:hideMark/>
          </w:tcPr>
          <w:p w14:paraId="1E684FD6"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15" w:type="dxa"/>
              <w:left w:w="15" w:type="dxa"/>
              <w:bottom w:w="15" w:type="dxa"/>
              <w:right w:w="15" w:type="dxa"/>
            </w:tcMar>
            <w:vAlign w:val="center"/>
            <w:hideMark/>
          </w:tcPr>
          <w:p w14:paraId="22CB96CA"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1024)</w:t>
            </w:r>
          </w:p>
        </w:tc>
        <w:tc>
          <w:tcPr>
            <w:tcW w:w="0" w:type="auto"/>
            <w:tcMar>
              <w:top w:w="15" w:type="dxa"/>
              <w:left w:w="15" w:type="dxa"/>
              <w:bottom w:w="15" w:type="dxa"/>
              <w:right w:w="15" w:type="dxa"/>
            </w:tcMar>
            <w:vAlign w:val="center"/>
            <w:hideMark/>
          </w:tcPr>
          <w:p w14:paraId="7764993F"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Flatten for dense layers</w:t>
            </w:r>
          </w:p>
        </w:tc>
      </w:tr>
      <w:tr w:rsidR="009D2085" w14:paraId="3A56C1FF" w14:textId="77777777" w:rsidTr="009D2085">
        <w:trPr>
          <w:tblCellSpacing w:w="15" w:type="dxa"/>
        </w:trPr>
        <w:tc>
          <w:tcPr>
            <w:tcW w:w="0" w:type="auto"/>
            <w:tcMar>
              <w:top w:w="15" w:type="dxa"/>
              <w:left w:w="15" w:type="dxa"/>
              <w:bottom w:w="15" w:type="dxa"/>
              <w:right w:w="15" w:type="dxa"/>
            </w:tcMar>
            <w:vAlign w:val="center"/>
            <w:hideMark/>
          </w:tcPr>
          <w:p w14:paraId="71DA277F"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Dropout</w:t>
            </w:r>
          </w:p>
        </w:tc>
        <w:tc>
          <w:tcPr>
            <w:tcW w:w="0" w:type="auto"/>
            <w:tcMar>
              <w:top w:w="15" w:type="dxa"/>
              <w:left w:w="15" w:type="dxa"/>
              <w:bottom w:w="15" w:type="dxa"/>
              <w:right w:w="15" w:type="dxa"/>
            </w:tcMar>
            <w:vAlign w:val="center"/>
            <w:hideMark/>
          </w:tcPr>
          <w:p w14:paraId="592A1AD6"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 = 0.3</w:t>
            </w:r>
          </w:p>
        </w:tc>
        <w:tc>
          <w:tcPr>
            <w:tcW w:w="0" w:type="auto"/>
            <w:tcMar>
              <w:top w:w="15" w:type="dxa"/>
              <w:left w:w="15" w:type="dxa"/>
              <w:bottom w:w="15" w:type="dxa"/>
              <w:right w:w="15" w:type="dxa"/>
            </w:tcMar>
            <w:vAlign w:val="center"/>
            <w:hideMark/>
          </w:tcPr>
          <w:p w14:paraId="3F546C91"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1024)</w:t>
            </w:r>
          </w:p>
        </w:tc>
        <w:tc>
          <w:tcPr>
            <w:tcW w:w="0" w:type="auto"/>
            <w:tcMar>
              <w:top w:w="15" w:type="dxa"/>
              <w:left w:w="15" w:type="dxa"/>
              <w:bottom w:w="15" w:type="dxa"/>
              <w:right w:w="15" w:type="dxa"/>
            </w:tcMar>
            <w:vAlign w:val="center"/>
            <w:hideMark/>
          </w:tcPr>
          <w:p w14:paraId="24D5D4F0"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Regularization</w:t>
            </w:r>
          </w:p>
        </w:tc>
      </w:tr>
      <w:tr w:rsidR="009D2085" w14:paraId="607BEE53" w14:textId="77777777" w:rsidTr="009D2085">
        <w:trPr>
          <w:tblCellSpacing w:w="15" w:type="dxa"/>
        </w:trPr>
        <w:tc>
          <w:tcPr>
            <w:tcW w:w="0" w:type="auto"/>
            <w:tcMar>
              <w:top w:w="15" w:type="dxa"/>
              <w:left w:w="15" w:type="dxa"/>
              <w:bottom w:w="15" w:type="dxa"/>
              <w:right w:w="15" w:type="dxa"/>
            </w:tcMar>
            <w:vAlign w:val="center"/>
            <w:hideMark/>
          </w:tcPr>
          <w:p w14:paraId="2D5D2011"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Dense</w:t>
            </w:r>
          </w:p>
        </w:tc>
        <w:tc>
          <w:tcPr>
            <w:tcW w:w="0" w:type="auto"/>
            <w:tcMar>
              <w:top w:w="15" w:type="dxa"/>
              <w:left w:w="15" w:type="dxa"/>
              <w:bottom w:w="15" w:type="dxa"/>
              <w:right w:w="15" w:type="dxa"/>
            </w:tcMar>
            <w:vAlign w:val="center"/>
            <w:hideMark/>
          </w:tcPr>
          <w:p w14:paraId="68A3EA24"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units, ReLU</w:t>
            </w:r>
          </w:p>
        </w:tc>
        <w:tc>
          <w:tcPr>
            <w:tcW w:w="0" w:type="auto"/>
            <w:tcMar>
              <w:top w:w="15" w:type="dxa"/>
              <w:left w:w="15" w:type="dxa"/>
              <w:bottom w:w="15" w:type="dxa"/>
              <w:right w:w="15" w:type="dxa"/>
            </w:tcMar>
            <w:vAlign w:val="center"/>
            <w:hideMark/>
          </w:tcPr>
          <w:p w14:paraId="735A493B"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64)</w:t>
            </w:r>
          </w:p>
        </w:tc>
        <w:tc>
          <w:tcPr>
            <w:tcW w:w="0" w:type="auto"/>
            <w:tcMar>
              <w:top w:w="15" w:type="dxa"/>
              <w:left w:w="15" w:type="dxa"/>
              <w:bottom w:w="15" w:type="dxa"/>
              <w:right w:w="15" w:type="dxa"/>
            </w:tcMar>
            <w:vAlign w:val="center"/>
            <w:hideMark/>
          </w:tcPr>
          <w:p w14:paraId="69B85AB0"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Fully connected layer</w:t>
            </w:r>
          </w:p>
        </w:tc>
      </w:tr>
      <w:tr w:rsidR="009D2085" w14:paraId="1712430F" w14:textId="77777777" w:rsidTr="009D2085">
        <w:trPr>
          <w:tblCellSpacing w:w="15" w:type="dxa"/>
        </w:trPr>
        <w:tc>
          <w:tcPr>
            <w:tcW w:w="0" w:type="auto"/>
            <w:tcMar>
              <w:top w:w="15" w:type="dxa"/>
              <w:left w:w="15" w:type="dxa"/>
              <w:bottom w:w="15" w:type="dxa"/>
              <w:right w:w="15" w:type="dxa"/>
            </w:tcMar>
            <w:vAlign w:val="center"/>
            <w:hideMark/>
          </w:tcPr>
          <w:p w14:paraId="0D72BE92"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Dropout</w:t>
            </w:r>
          </w:p>
        </w:tc>
        <w:tc>
          <w:tcPr>
            <w:tcW w:w="0" w:type="auto"/>
            <w:tcMar>
              <w:top w:w="15" w:type="dxa"/>
              <w:left w:w="15" w:type="dxa"/>
              <w:bottom w:w="15" w:type="dxa"/>
              <w:right w:w="15" w:type="dxa"/>
            </w:tcMar>
            <w:vAlign w:val="center"/>
            <w:hideMark/>
          </w:tcPr>
          <w:p w14:paraId="0605A768"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Rate = 0.3</w:t>
            </w:r>
          </w:p>
        </w:tc>
        <w:tc>
          <w:tcPr>
            <w:tcW w:w="0" w:type="auto"/>
            <w:tcMar>
              <w:top w:w="15" w:type="dxa"/>
              <w:left w:w="15" w:type="dxa"/>
              <w:bottom w:w="15" w:type="dxa"/>
              <w:right w:w="15" w:type="dxa"/>
            </w:tcMar>
            <w:vAlign w:val="center"/>
            <w:hideMark/>
          </w:tcPr>
          <w:p w14:paraId="21F3F562"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64)</w:t>
            </w:r>
          </w:p>
        </w:tc>
        <w:tc>
          <w:tcPr>
            <w:tcW w:w="0" w:type="auto"/>
            <w:tcMar>
              <w:top w:w="15" w:type="dxa"/>
              <w:left w:w="15" w:type="dxa"/>
              <w:bottom w:w="15" w:type="dxa"/>
              <w:right w:w="15" w:type="dxa"/>
            </w:tcMar>
            <w:vAlign w:val="center"/>
            <w:hideMark/>
          </w:tcPr>
          <w:p w14:paraId="271977B6"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Regularization</w:t>
            </w:r>
          </w:p>
        </w:tc>
      </w:tr>
      <w:tr w:rsidR="009D2085" w14:paraId="043EB6AC" w14:textId="77777777" w:rsidTr="009D2085">
        <w:trPr>
          <w:tblCellSpacing w:w="15" w:type="dxa"/>
        </w:trPr>
        <w:tc>
          <w:tcPr>
            <w:tcW w:w="0" w:type="auto"/>
            <w:tcBorders>
              <w:top w:val="nil"/>
              <w:left w:val="nil"/>
              <w:bottom w:val="single" w:sz="4" w:space="0" w:color="auto"/>
              <w:right w:val="nil"/>
            </w:tcBorders>
            <w:tcMar>
              <w:top w:w="15" w:type="dxa"/>
              <w:left w:w="15" w:type="dxa"/>
              <w:bottom w:w="15" w:type="dxa"/>
              <w:right w:w="15" w:type="dxa"/>
            </w:tcMar>
            <w:vAlign w:val="center"/>
            <w:hideMark/>
          </w:tcPr>
          <w:p w14:paraId="32A343EF"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Dense</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14:paraId="3C71E51E"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unit, Sigmoid</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14:paraId="786F79B3"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 1)</w:t>
            </w:r>
          </w:p>
        </w:tc>
        <w:tc>
          <w:tcPr>
            <w:tcW w:w="0" w:type="auto"/>
            <w:tcBorders>
              <w:top w:val="nil"/>
              <w:left w:val="nil"/>
              <w:bottom w:val="single" w:sz="4" w:space="0" w:color="auto"/>
              <w:right w:val="nil"/>
            </w:tcBorders>
            <w:tcMar>
              <w:top w:w="15" w:type="dxa"/>
              <w:left w:w="15" w:type="dxa"/>
              <w:bottom w:w="15" w:type="dxa"/>
              <w:right w:w="15" w:type="dxa"/>
            </w:tcMar>
            <w:vAlign w:val="center"/>
            <w:hideMark/>
          </w:tcPr>
          <w:p w14:paraId="679CC501" w14:textId="77777777" w:rsidR="009D2085" w:rsidRDefault="009D20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Binary classification output</w:t>
            </w:r>
          </w:p>
        </w:tc>
      </w:tr>
    </w:tbl>
    <w:p w14:paraId="74F288E6"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 Compilation</w:t>
      </w:r>
    </w:p>
    <w:p w14:paraId="177AC409" w14:textId="77777777" w:rsidR="009D2085" w:rsidRDefault="009D2085" w:rsidP="009D2085">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Loss Function</w:t>
      </w:r>
      <w:r>
        <w:rPr>
          <w:rFonts w:ascii="Times New Roman" w:eastAsia="Times New Roman" w:hAnsi="Times New Roman" w:cs="Times New Roman"/>
          <w:sz w:val="24"/>
          <w:szCs w:val="24"/>
        </w:rPr>
        <w:t>: Binary Cross-Entropy</w:t>
      </w:r>
    </w:p>
    <w:p w14:paraId="5BBF5713"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m:oMathPara>
        <m:oMath>
          <m:r>
            <m:rPr>
              <m:scr m:val="script"/>
            </m:rPr>
            <w:rPr>
              <w:rFonts w:ascii="Cambria Math" w:eastAsia="Times New Roman" w:hAnsi="Cambria Math" w:cs="Times New Roman"/>
              <w:sz w:val="24"/>
              <w:szCs w:val="24"/>
            </w:rPr>
            <m:t>L=-</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N</m:t>
              </m:r>
            </m:den>
          </m:f>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d>
                <m:dPr>
                  <m:begChr m:val="["/>
                  <m:endChr m:val="]"/>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log</m:t>
                      </m:r>
                    </m:fNa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y</m:t>
                              </m:r>
                            </m:e>
                          </m:acc>
                        </m:e>
                        <m:sub>
                          <m:r>
                            <w:rPr>
                              <w:rFonts w:ascii="Cambria Math" w:eastAsia="Times New Roman" w:hAnsi="Cambria Math" w:cs="Times New Roman"/>
                              <w:sz w:val="24"/>
                              <w:szCs w:val="24"/>
                            </w:rPr>
                            <m:t>i</m:t>
                          </m:r>
                        </m:sub>
                      </m:sSub>
                    </m:e>
                  </m:func>
                  <m:r>
                    <w:rPr>
                      <w:rFonts w:ascii="Cambria Math" w:eastAsia="Times New Roman" w:hAnsi="Cambria Math" w:cs="Times New Roman"/>
                      <w:sz w:val="24"/>
                      <w:szCs w:val="24"/>
                    </w:rPr>
                    <m:t xml:space="preserve">) +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e>
                  </m:d>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log</m:t>
                      </m:r>
                    </m:fName>
                    <m:e>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y</m:t>
                              </m:r>
                            </m:e>
                          </m:acc>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e>
                  </m:func>
                </m:e>
              </m:d>
            </m:e>
          </m:nary>
        </m:oMath>
      </m:oMathPara>
    </w:p>
    <w:p w14:paraId="567C4A85"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oMath>
      <w:r>
        <w:rPr>
          <w:rFonts w:ascii="Times New Roman" w:eastAsia="Times New Roman" w:hAnsi="Times New Roman" w:cs="Times New Roman"/>
          <w:sz w:val="24"/>
          <w:szCs w:val="24"/>
        </w:rPr>
        <w:t xml:space="preserve">is the true label and </w:t>
      </w:r>
      <m:oMath>
        <m:sSub>
          <m:sSubPr>
            <m:ctrlPr>
              <w:rPr>
                <w:rFonts w:ascii="Cambria Math" w:eastAsia="Times New Roman" w:hAnsi="Cambria Math" w:cs="Times New Roman"/>
                <w:i/>
                <w:sz w:val="24"/>
                <w:szCs w:val="24"/>
              </w:rPr>
            </m:ctrlPr>
          </m:sSubPr>
          <m:e>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y</m:t>
                </m:r>
              </m:e>
            </m:acc>
          </m:e>
          <m:sub>
            <m:r>
              <w:rPr>
                <w:rFonts w:ascii="Cambria Math" w:eastAsia="Times New Roman" w:hAnsi="Cambria Math" w:cs="Times New Roman"/>
                <w:sz w:val="24"/>
                <w:szCs w:val="24"/>
              </w:rPr>
              <m:t>i</m:t>
            </m:r>
          </m:sub>
        </m:sSub>
      </m:oMath>
      <w:r>
        <w:rPr>
          <w:rFonts w:ascii="Times New Roman" w:eastAsia="Times New Roman" w:hAnsi="Times New Roman" w:cs="Times New Roman"/>
          <w:sz w:val="24"/>
          <w:szCs w:val="24"/>
        </w:rPr>
        <w:t xml:space="preserve"> is the predicted probability.</w:t>
      </w:r>
    </w:p>
    <w:p w14:paraId="7943A941" w14:textId="77777777" w:rsidR="009D2085" w:rsidRDefault="009D2085" w:rsidP="009D2085">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Optimizer</w:t>
      </w:r>
      <w:r>
        <w:rPr>
          <w:rFonts w:ascii="Times New Roman" w:eastAsia="Times New Roman" w:hAnsi="Times New Roman" w:cs="Times New Roman"/>
          <w:sz w:val="24"/>
          <w:szCs w:val="24"/>
        </w:rPr>
        <w:t>: Adam with learning rate 0.001</w:t>
      </w:r>
    </w:p>
    <w:p w14:paraId="33C113C2" w14:textId="77777777" w:rsidR="009D2085" w:rsidRDefault="009D2085" w:rsidP="009D2085">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Metrics</w:t>
      </w:r>
      <w:r>
        <w:rPr>
          <w:rFonts w:ascii="Times New Roman" w:eastAsia="Times New Roman" w:hAnsi="Times New Roman" w:cs="Times New Roman"/>
          <w:sz w:val="24"/>
          <w:szCs w:val="24"/>
        </w:rPr>
        <w:t>: Accuracy</w:t>
      </w:r>
    </w:p>
    <w:p w14:paraId="111FB7BF"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Handling Class Imbalance</w:t>
      </w:r>
    </w:p>
    <w:p w14:paraId="08D8CBB1"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dataset exhibits class imbalance (benign vs attack). To mitigate bias:</w:t>
      </w:r>
    </w:p>
    <w:p w14:paraId="000B0CB6" w14:textId="77777777" w:rsidR="009D2085" w:rsidRDefault="009D2085" w:rsidP="009D2085">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 weights were computed using:</w:t>
      </w:r>
    </w:p>
    <w:p w14:paraId="42F35990" w14:textId="77777777" w:rsidR="009D2085" w:rsidRDefault="00000000" w:rsidP="009D2085">
      <w:pPr>
        <w:spacing w:before="100" w:beforeAutospacing="1" w:after="100" w:afterAutospacing="1" w:line="360" w:lineRule="auto"/>
        <w:ind w:left="720"/>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m:rPr>
                  <m:scr m:val="script"/>
                </m:rPr>
                <w:rPr>
                  <w:rFonts w:ascii="Cambria Math" w:eastAsia="Times New Roman" w:hAnsi="Cambria Math" w:cs="Times New Roman"/>
                  <w:sz w:val="24"/>
                  <w:szCs w:val="24"/>
                </w:rPr>
                <m:t>w</m:t>
              </m:r>
            </m:e>
            <m:sub>
              <m:r>
                <m:rPr>
                  <m:scr m:val="script"/>
                </m:rPr>
                <w:rPr>
                  <w:rFonts w:ascii="Cambria Math" w:eastAsia="Times New Roman" w:hAnsi="Cambria Math" w:cs="Times New Roman"/>
                  <w:sz w:val="24"/>
                  <w:szCs w:val="24"/>
                </w:rPr>
                <m:t>c</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m:rPr>
                  <m:sty m:val="bi"/>
                </m:rPr>
                <w:rPr>
                  <w:rFonts w:ascii="Cambria Math" w:eastAsia="Times New Roman" w:hAnsi="Cambria Math" w:cs="Times New Roman"/>
                  <w:sz w:val="24"/>
                  <w:szCs w:val="24"/>
                </w:rPr>
                <m:t>N</m:t>
              </m:r>
            </m:num>
            <m:den>
              <m:r>
                <m:rPr>
                  <m:sty m:val="bi"/>
                </m:rPr>
                <w:rPr>
                  <w:rFonts w:ascii="Cambria Math" w:eastAsia="Times New Roman" w:hAnsi="Cambria Math" w:cs="Times New Roman"/>
                  <w:sz w:val="24"/>
                  <w:szCs w:val="24"/>
                </w:rPr>
                <m:t>k×</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N</m:t>
                  </m:r>
                </m:e>
                <m:sub>
                  <m:r>
                    <m:rPr>
                      <m:sty m:val="bi"/>
                    </m:rPr>
                    <w:rPr>
                      <w:rFonts w:ascii="Cambria Math" w:eastAsia="Times New Roman" w:hAnsi="Cambria Math" w:cs="Times New Roman"/>
                      <w:sz w:val="24"/>
                      <w:szCs w:val="24"/>
                    </w:rPr>
                    <m:t>c</m:t>
                  </m:r>
                </m:sub>
              </m:sSub>
            </m:den>
          </m:f>
        </m:oMath>
      </m:oMathPara>
    </w:p>
    <w:p w14:paraId="0CBFD30B"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m:rPr>
            <m:sty m:val="bi"/>
          </m:rPr>
          <w:rPr>
            <w:rFonts w:ascii="Cambria Math" w:eastAsia="Times New Roman" w:hAnsi="Cambria Math" w:cs="Times New Roman"/>
            <w:sz w:val="24"/>
            <w:szCs w:val="24"/>
          </w:rPr>
          <m:t>N</m:t>
        </m:r>
      </m:oMath>
      <w:r>
        <w:rPr>
          <w:rFonts w:ascii="Times New Roman" w:eastAsia="Times New Roman" w:hAnsi="Times New Roman" w:cs="Times New Roman"/>
          <w:sz w:val="24"/>
          <w:szCs w:val="24"/>
        </w:rPr>
        <w:t xml:space="preserve"> is total samples, </w:t>
      </w:r>
      <m:oMath>
        <m:r>
          <m:rPr>
            <m:sty m:val="bi"/>
          </m:rPr>
          <w:rPr>
            <w:rFonts w:ascii="Cambria Math" w:eastAsia="Times New Roman" w:hAnsi="Cambria Math" w:cs="Times New Roman"/>
            <w:sz w:val="24"/>
            <w:szCs w:val="24"/>
          </w:rPr>
          <m:t>k</m:t>
        </m:r>
      </m:oMath>
      <w:r>
        <w:rPr>
          <w:rFonts w:ascii="Times New Roman" w:eastAsia="Times New Roman" w:hAnsi="Times New Roman" w:cs="Times New Roman"/>
          <w:sz w:val="24"/>
          <w:szCs w:val="24"/>
        </w:rPr>
        <w:t xml:space="preserve">  is number of classes, and </w:t>
      </w:r>
      <m:oMath>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N</m:t>
            </m:r>
          </m:e>
          <m:sub>
            <m:r>
              <m:rPr>
                <m:sty m:val="bi"/>
              </m:rPr>
              <w:rPr>
                <w:rFonts w:ascii="Cambria Math" w:eastAsia="Times New Roman" w:hAnsi="Cambria Math" w:cs="Times New Roman"/>
                <w:sz w:val="24"/>
                <w:szCs w:val="24"/>
              </w:rPr>
              <m:t>c</m:t>
            </m:r>
          </m:sub>
        </m:sSub>
        <m:r>
          <m:rPr>
            <m:sty m:val="bi"/>
          </m:rPr>
          <w:rPr>
            <w:rFonts w:ascii="Cambria Math" w:eastAsia="Times New Roman" w:hAnsi="Cambria Math" w:cs="Times New Roman"/>
            <w:sz w:val="24"/>
            <w:szCs w:val="24"/>
          </w:rPr>
          <m:t xml:space="preserve"> </m:t>
        </m:r>
      </m:oMath>
      <w:r>
        <w:rPr>
          <w:rFonts w:ascii="Times New Roman" w:eastAsia="Times New Roman" w:hAnsi="Times New Roman" w:cs="Times New Roman"/>
          <w:sz w:val="24"/>
          <w:szCs w:val="24"/>
        </w:rPr>
        <w:t xml:space="preserve">is samples in class </w:t>
      </w:r>
      <m:oMath>
        <m:r>
          <m:rPr>
            <m:sty m:val="bi"/>
          </m:rPr>
          <w:rPr>
            <w:rFonts w:ascii="Cambria Math" w:eastAsia="Times New Roman" w:hAnsi="Cambria Math" w:cs="Times New Roman"/>
            <w:sz w:val="24"/>
            <w:szCs w:val="24"/>
          </w:rPr>
          <m:t>c</m:t>
        </m:r>
      </m:oMath>
      <w:r>
        <w:rPr>
          <w:rFonts w:ascii="Times New Roman" w:eastAsia="Times New Roman" w:hAnsi="Times New Roman" w:cs="Times New Roman"/>
          <w:sz w:val="24"/>
          <w:szCs w:val="24"/>
        </w:rPr>
        <w:t>.</w:t>
      </w:r>
    </w:p>
    <w:p w14:paraId="360FF310" w14:textId="77777777" w:rsidR="009D2085" w:rsidRDefault="009D2085" w:rsidP="009D2085">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Weights applied during training to penalize misclassification of minority class more heavily.</w:t>
      </w:r>
    </w:p>
    <w:p w14:paraId="1CEC6AC8" w14:textId="77777777" w:rsidR="00C646DD" w:rsidRDefault="00C646DD" w:rsidP="00C646DD">
      <w:pPr>
        <w:spacing w:before="100" w:beforeAutospacing="1" w:after="100" w:afterAutospacing="1" w:line="360" w:lineRule="auto"/>
        <w:jc w:val="both"/>
        <w:rPr>
          <w:rFonts w:ascii="Times New Roman" w:eastAsia="Times New Roman" w:hAnsi="Times New Roman" w:cs="Times New Roman"/>
          <w:sz w:val="24"/>
          <w:szCs w:val="24"/>
        </w:rPr>
      </w:pPr>
    </w:p>
    <w:p w14:paraId="34C93673" w14:textId="77777777" w:rsidR="00C646DD" w:rsidRDefault="00C646DD" w:rsidP="00C646DD">
      <w:pPr>
        <w:spacing w:before="100" w:beforeAutospacing="1" w:after="100" w:afterAutospacing="1" w:line="360" w:lineRule="auto"/>
        <w:jc w:val="both"/>
        <w:rPr>
          <w:rFonts w:ascii="Times New Roman" w:eastAsia="Times New Roman" w:hAnsi="Times New Roman" w:cs="Times New Roman"/>
          <w:sz w:val="24"/>
          <w:szCs w:val="24"/>
        </w:rPr>
      </w:pPr>
    </w:p>
    <w:p w14:paraId="263AB1AC"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Model Training and Evaluation</w:t>
      </w:r>
    </w:p>
    <w:p w14:paraId="34BEC96F"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Splitting</w:t>
      </w:r>
    </w:p>
    <w:p w14:paraId="164278C6"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dataset was split into training (80%) and testing (20%) sets using stratified sampling to preserve class distributions.</w:t>
      </w:r>
    </w:p>
    <w:p w14:paraId="0F20086B"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Training Procedure</w:t>
      </w:r>
    </w:p>
    <w:p w14:paraId="5AEFA518" w14:textId="77777777" w:rsidR="009D2085" w:rsidRDefault="009D2085" w:rsidP="009D2085">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Batch size: 32</w:t>
      </w:r>
    </w:p>
    <w:p w14:paraId="369D7AB6" w14:textId="77777777" w:rsidR="009D2085" w:rsidRDefault="009D2085" w:rsidP="009D2085">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Epochs: 10</w:t>
      </w:r>
    </w:p>
    <w:p w14:paraId="52796EA9" w14:textId="77777777" w:rsidR="009D2085" w:rsidRDefault="009D2085" w:rsidP="009D2085">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stopping based on validation loss was considered to prevent overfitting.</w:t>
      </w:r>
    </w:p>
    <w:p w14:paraId="17971B5E"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Metrics</w:t>
      </w:r>
    </w:p>
    <w:p w14:paraId="1B01B40D"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metrics were used to evaluate the model comprehensively:</w:t>
      </w:r>
    </w:p>
    <w:p w14:paraId="2B651477" w14:textId="77777777" w:rsidR="009D2085" w:rsidRDefault="009D2085" w:rsidP="009D2085">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Accuracy (ACC):</w:t>
      </w:r>
    </w:p>
    <w:p w14:paraId="5FCEE67B"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m:oMathPara>
        <m:oMath>
          <m:r>
            <m:rPr>
              <m:sty m:val="bi"/>
            </m:rPr>
            <w:rPr>
              <w:rFonts w:ascii="Cambria Math" w:eastAsia="Times New Roman" w:hAnsi="Cambria Math" w:cs="Times New Roman"/>
              <w:sz w:val="24"/>
              <w:szCs w:val="24"/>
            </w:rPr>
            <m:t>ACC</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TP+TN</m:t>
              </m:r>
            </m:num>
            <m:den>
              <m:r>
                <w:rPr>
                  <w:rFonts w:ascii="Cambria Math" w:eastAsia="Times New Roman" w:hAnsi="Cambria Math" w:cs="Times New Roman"/>
                  <w:sz w:val="24"/>
                  <w:szCs w:val="24"/>
                </w:rPr>
                <m:t>TP+TN+FP+FN</m:t>
              </m:r>
            </m:den>
          </m:f>
        </m:oMath>
      </m:oMathPara>
    </w:p>
    <w:p w14:paraId="1F6CE0F1" w14:textId="77777777" w:rsidR="009D2085" w:rsidRDefault="009D2085" w:rsidP="009D2085">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Precision:</w:t>
      </w:r>
    </w:p>
    <w:p w14:paraId="2EFE3260" w14:textId="77777777" w:rsidR="009D2085" w:rsidRDefault="009D2085" w:rsidP="009D2085">
      <w:pPr>
        <w:pStyle w:val="ListParagraph"/>
        <w:spacing w:before="100" w:beforeAutospacing="1" w:after="100" w:afterAutospacing="1" w:line="360" w:lineRule="auto"/>
        <w:jc w:val="both"/>
        <w:rPr>
          <w:rFonts w:ascii="Times New Roman" w:eastAsia="Times New Roman" w:hAnsi="Times New Roman" w:cs="Times New Roman"/>
          <w:sz w:val="24"/>
          <w:szCs w:val="24"/>
        </w:rPr>
      </w:pPr>
      <m:oMathPara>
        <m:oMath>
          <m:r>
            <m:rPr>
              <m:sty m:val="bi"/>
            </m:rPr>
            <w:rPr>
              <w:rFonts w:ascii="Cambria Math" w:eastAsia="Times New Roman" w:hAnsi="Cambria Math" w:cs="Times New Roman"/>
              <w:sz w:val="24"/>
              <w:szCs w:val="24"/>
            </w:rPr>
            <m:t>Precision</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m:t>
              </m:r>
            </m:num>
            <m:den>
              <m:r>
                <w:rPr>
                  <w:rFonts w:ascii="Cambria Math" w:eastAsia="Times New Roman" w:hAnsi="Cambria Math" w:cs="Times New Roman"/>
                  <w:sz w:val="24"/>
                  <w:szCs w:val="24"/>
                </w:rPr>
                <m:t>TP+FP</m:t>
              </m:r>
            </m:den>
          </m:f>
        </m:oMath>
      </m:oMathPara>
    </w:p>
    <w:p w14:paraId="68DF68E3" w14:textId="77777777" w:rsidR="009D2085" w:rsidRDefault="009D2085" w:rsidP="009D2085">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Recall (Sensitivity):</w:t>
      </w:r>
    </w:p>
    <w:p w14:paraId="5DC7A866" w14:textId="77777777" w:rsidR="009D2085" w:rsidRDefault="009D2085" w:rsidP="009D2085">
      <w:pPr>
        <w:pStyle w:val="ListParagraph"/>
        <w:spacing w:before="100" w:beforeAutospacing="1" w:after="100" w:afterAutospacing="1" w:line="360" w:lineRule="auto"/>
        <w:jc w:val="both"/>
        <w:rPr>
          <w:rFonts w:ascii="Times New Roman" w:eastAsia="Times New Roman" w:hAnsi="Times New Roman" w:cs="Times New Roman"/>
          <w:sz w:val="24"/>
          <w:szCs w:val="24"/>
        </w:rPr>
      </w:pPr>
      <m:oMathPara>
        <m:oMath>
          <m:r>
            <m:rPr>
              <m:sty m:val="bi"/>
            </m:rPr>
            <w:rPr>
              <w:rFonts w:ascii="Cambria Math" w:eastAsia="Times New Roman" w:hAnsi="Cambria Math" w:cs="Times New Roman"/>
              <w:sz w:val="24"/>
              <w:szCs w:val="24"/>
            </w:rPr>
            <m:t>Recall</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m:t>
              </m:r>
            </m:num>
            <m:den>
              <m:r>
                <w:rPr>
                  <w:rFonts w:ascii="Cambria Math" w:eastAsia="Times New Roman" w:hAnsi="Cambria Math" w:cs="Times New Roman"/>
                  <w:sz w:val="24"/>
                  <w:szCs w:val="24"/>
                </w:rPr>
                <m:t>TP+FN</m:t>
              </m:r>
            </m:den>
          </m:f>
        </m:oMath>
      </m:oMathPara>
    </w:p>
    <w:p w14:paraId="4F944C63" w14:textId="77777777" w:rsidR="009D2085" w:rsidRDefault="009D2085" w:rsidP="009D2085">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F1-Score:</w:t>
      </w:r>
    </w:p>
    <w:p w14:paraId="07434B0F"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
          <w:sz w:val="24"/>
          <w:szCs w:val="24"/>
        </w:rPr>
      </w:pPr>
      <m:oMathPara>
        <m:oMath>
          <m:r>
            <m:rPr>
              <m:sty m:val="bi"/>
            </m:rPr>
            <w:rPr>
              <w:rFonts w:ascii="Cambria Math" w:eastAsia="Times New Roman" w:hAnsi="Cambria Math" w:cs="Times New Roman"/>
              <w:sz w:val="24"/>
              <w:szCs w:val="24"/>
            </w:rPr>
            <m:t>F</m:t>
          </m:r>
          <m:r>
            <m:rPr>
              <m:sty m:val="bi"/>
            </m:rPr>
            <w:rPr>
              <w:rFonts w:ascii="Cambria Math" w:eastAsia="Times New Roman" w:hAnsi="Cambria Math" w:cs="Times New Roman"/>
              <w:sz w:val="24"/>
              <w:szCs w:val="24"/>
            </w:rPr>
            <m:t>1=</m:t>
          </m:r>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Precision×Recall</m:t>
              </m:r>
            </m:num>
            <m:den>
              <m:r>
                <w:rPr>
                  <w:rFonts w:ascii="Cambria Math" w:eastAsia="Times New Roman" w:hAnsi="Cambria Math" w:cs="Times New Roman"/>
                  <w:sz w:val="24"/>
                  <w:szCs w:val="24"/>
                </w:rPr>
                <m:t>Precision+recall</m:t>
              </m:r>
            </m:den>
          </m:f>
        </m:oMath>
      </m:oMathPara>
    </w:p>
    <w:p w14:paraId="3BA330CD" w14:textId="77777777" w:rsidR="009D2085" w:rsidRDefault="009D2085" w:rsidP="009D2085">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Matthews Correlation Coefficient (MCC):</w:t>
      </w:r>
    </w:p>
    <w:p w14:paraId="7E9404B5"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
          <w:sz w:val="24"/>
          <w:szCs w:val="24"/>
        </w:rPr>
      </w:pPr>
      <m:oMathPara>
        <m:oMath>
          <m:r>
            <m:rPr>
              <m:sty m:val="bi"/>
            </m:rPr>
            <w:rPr>
              <w:rFonts w:ascii="Cambria Math" w:eastAsia="Times New Roman" w:hAnsi="Cambria Math" w:cs="Times New Roman"/>
              <w:sz w:val="24"/>
              <w:szCs w:val="24"/>
            </w:rPr>
            <m:t>MCC=</m:t>
          </m:r>
          <m:f>
            <m:fPr>
              <m:ctrlPr>
                <w:rPr>
                  <w:rFonts w:ascii="Cambria Math" w:eastAsia="Times New Roman" w:hAnsi="Cambria Math" w:cs="Times New Roman"/>
                  <w:b/>
                  <w:i/>
                  <w:sz w:val="24"/>
                  <w:szCs w:val="24"/>
                </w:rPr>
              </m:ctrlPr>
            </m:fPr>
            <m:num>
              <m:r>
                <w:rPr>
                  <w:rFonts w:ascii="Cambria Math" w:eastAsia="Times New Roman" w:hAnsi="Cambria Math" w:cs="Times New Roman"/>
                  <w:sz w:val="24"/>
                  <w:szCs w:val="24"/>
                </w:rPr>
                <m:t>TP×TN-FP×FN</m:t>
              </m:r>
            </m:num>
            <m:den>
              <m:rad>
                <m:radPr>
                  <m:degHide m:val="1"/>
                  <m:ctrlPr>
                    <w:rPr>
                      <w:rFonts w:ascii="Cambria Math" w:eastAsia="Times New Roman" w:hAnsi="Cambria Math" w:cs="Times New Roman"/>
                      <w:b/>
                      <w:i/>
                      <w:sz w:val="24"/>
                      <w:szCs w:val="24"/>
                    </w:rPr>
                  </m:ctrlPr>
                </m:radPr>
                <m:deg/>
                <m:e>
                  <m:r>
                    <m:rPr>
                      <m:sty m:val="bi"/>
                    </m:rPr>
                    <w:rPr>
                      <w:rFonts w:ascii="Cambria Math" w:eastAsia="Times New Roman" w:hAnsi="Cambria Math" w:cs="Times New Roman"/>
                      <w:sz w:val="24"/>
                      <w:szCs w:val="24"/>
                    </w:rPr>
                    <m:t>(</m:t>
                  </m:r>
                  <m:r>
                    <w:rPr>
                      <w:rFonts w:ascii="Cambria Math" w:eastAsia="Times New Roman" w:hAnsi="Cambria Math" w:cs="Times New Roman"/>
                      <w:sz w:val="24"/>
                      <w:szCs w:val="24"/>
                    </w:rPr>
                    <m:t>TP+FP</m:t>
                  </m:r>
                  <m:r>
                    <m:rPr>
                      <m:sty m:val="bi"/>
                    </m:rPr>
                    <w:rPr>
                      <w:rFonts w:ascii="Cambria Math" w:eastAsia="Times New Roman" w:hAnsi="Cambria Math" w:cs="Times New Roman"/>
                      <w:sz w:val="24"/>
                      <w:szCs w:val="24"/>
                    </w:rPr>
                    <m:t>)(</m:t>
                  </m:r>
                  <m:r>
                    <w:rPr>
                      <w:rFonts w:ascii="Cambria Math" w:eastAsia="Times New Roman" w:hAnsi="Cambria Math" w:cs="Times New Roman"/>
                      <w:sz w:val="24"/>
                      <w:szCs w:val="24"/>
                    </w:rPr>
                    <m:t>TP+FN</m:t>
                  </m:r>
                  <m:r>
                    <m:rPr>
                      <m:sty m:val="bi"/>
                    </m:rPr>
                    <w:rPr>
                      <w:rFonts w:ascii="Cambria Math" w:eastAsia="Times New Roman" w:hAnsi="Cambria Math" w:cs="Times New Roman"/>
                      <w:sz w:val="24"/>
                      <w:szCs w:val="24"/>
                    </w:rPr>
                    <m:t>)(</m:t>
                  </m:r>
                  <m:r>
                    <w:rPr>
                      <w:rFonts w:ascii="Cambria Math" w:eastAsia="Times New Roman" w:hAnsi="Cambria Math" w:cs="Times New Roman"/>
                      <w:sz w:val="24"/>
                      <w:szCs w:val="24"/>
                    </w:rPr>
                    <m:t>TN+FP</m:t>
                  </m:r>
                  <m:r>
                    <m:rPr>
                      <m:sty m:val="bi"/>
                    </m:rPr>
                    <w:rPr>
                      <w:rFonts w:ascii="Cambria Math" w:eastAsia="Times New Roman" w:hAnsi="Cambria Math" w:cs="Times New Roman"/>
                      <w:sz w:val="24"/>
                      <w:szCs w:val="24"/>
                    </w:rPr>
                    <m:t>)(</m:t>
                  </m:r>
                  <m:r>
                    <w:rPr>
                      <w:rFonts w:ascii="Cambria Math" w:eastAsia="Times New Roman" w:hAnsi="Cambria Math" w:cs="Times New Roman"/>
                      <w:sz w:val="24"/>
                      <w:szCs w:val="24"/>
                    </w:rPr>
                    <m:t>TN+FN</m:t>
                  </m:r>
                  <m:r>
                    <m:rPr>
                      <m:sty m:val="bi"/>
                    </m:rPr>
                    <w:rPr>
                      <w:rFonts w:ascii="Cambria Math" w:eastAsia="Times New Roman" w:hAnsi="Cambria Math" w:cs="Times New Roman"/>
                      <w:sz w:val="24"/>
                      <w:szCs w:val="24"/>
                    </w:rPr>
                    <m:t>)</m:t>
                  </m:r>
                </m:e>
              </m:rad>
            </m:den>
          </m:f>
        </m:oMath>
      </m:oMathPara>
    </w:p>
    <w:p w14:paraId="0F858499" w14:textId="77777777" w:rsidR="009D2085" w:rsidRDefault="009D2085" w:rsidP="009D2085">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Receiver Operating Characteristic (ROC) Curve and Area Under Curve (AUC):</w:t>
      </w:r>
      <w:r>
        <w:rPr>
          <w:rFonts w:ascii="Times New Roman" w:eastAsia="Times New Roman" w:hAnsi="Times New Roman" w:cs="Times New Roman"/>
          <w:sz w:val="24"/>
          <w:szCs w:val="24"/>
        </w:rPr>
        <w:t xml:space="preserve"> Evaluates trade-off between true positive rate and false positive rate.</w:t>
      </w:r>
    </w:p>
    <w:p w14:paraId="103CAA57" w14:textId="77777777" w:rsidR="009D2085" w:rsidRDefault="009D2085" w:rsidP="009D2085">
      <w:pPr>
        <w:pStyle w:val="ListParagraph"/>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True Positive Rate (TPR), also called sensitivity or recall, is defined as:</w:t>
      </w:r>
    </w:p>
    <w:p w14:paraId="025F8D66"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m:oMathPara>
        <m:oMath>
          <m:r>
            <m:rPr>
              <m:sty m:val="bi"/>
            </m:rPr>
            <w:rPr>
              <w:rFonts w:ascii="Cambria Math" w:eastAsia="Times New Roman" w:hAnsi="Cambria Math" w:cs="Times New Roman"/>
              <w:sz w:val="24"/>
              <w:szCs w:val="24"/>
            </w:rPr>
            <m:t>TPR</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m:t>
              </m:r>
            </m:num>
            <m:den>
              <m:r>
                <w:rPr>
                  <w:rFonts w:ascii="Cambria Math" w:eastAsia="Times New Roman" w:hAnsi="Cambria Math" w:cs="Times New Roman"/>
                  <w:sz w:val="24"/>
                  <w:szCs w:val="24"/>
                </w:rPr>
                <m:t>TP+FN</m:t>
              </m:r>
            </m:den>
          </m:f>
        </m:oMath>
      </m:oMathPara>
    </w:p>
    <w:p w14:paraId="26C0219A"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33D5D67B"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TP = number of true positives (correctly predicted positive cases)</w:t>
      </w:r>
    </w:p>
    <w:p w14:paraId="2D920CBE"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FN = number of false negatives (positive cases incorrectly predicted as</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rPr>
        <w:tab/>
        <w:t>negative)</w:t>
      </w:r>
    </w:p>
    <w:p w14:paraId="56FFA99E" w14:textId="77777777" w:rsidR="009D2085" w:rsidRDefault="009D2085" w:rsidP="009D2085">
      <w:pPr>
        <w:pStyle w:val="ListParagraph"/>
        <w:numPr>
          <w:ilvl w:val="0"/>
          <w:numId w:val="22"/>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False Positive Rate (FPR) is defined as:</w:t>
      </w:r>
    </w:p>
    <w:p w14:paraId="291AEF03"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m:oMathPara>
        <m:oMath>
          <m:r>
            <m:rPr>
              <m:sty m:val="bi"/>
            </m:rPr>
            <w:rPr>
              <w:rFonts w:ascii="Cambria Math" w:eastAsia="Times New Roman" w:hAnsi="Cambria Math" w:cs="Times New Roman"/>
              <w:sz w:val="24"/>
              <w:szCs w:val="24"/>
            </w:rPr>
            <m:t>FPR</m:t>
          </m:r>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FP</m:t>
              </m:r>
            </m:num>
            <m:den>
              <m:r>
                <w:rPr>
                  <w:rFonts w:ascii="Cambria Math" w:eastAsia="Times New Roman" w:hAnsi="Cambria Math" w:cs="Times New Roman"/>
                  <w:sz w:val="24"/>
                  <w:szCs w:val="24"/>
                </w:rPr>
                <m:t>FP+TN</m:t>
              </m:r>
            </m:den>
          </m:f>
        </m:oMath>
      </m:oMathPara>
    </w:p>
    <w:p w14:paraId="09500D0D"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Where:</w:t>
      </w:r>
    </w:p>
    <w:p w14:paraId="5F115FB9"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FP = number of false positives (negative cases incorrectly predicted as positive)</w:t>
      </w:r>
    </w:p>
    <w:p w14:paraId="3892184B"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TN = number of true negatives (correctly predicted negative cases)</w:t>
      </w:r>
    </w:p>
    <w:p w14:paraId="57BAD826"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ROC curve is generated by plotting TPR (y-axis) versus FPR (x-axis) for different classification thresholds. Each point on the curve corresponds to a specific threshold.</w:t>
      </w:r>
    </w:p>
    <w:p w14:paraId="36032104"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Area Under the ROC Curve (AUC) quantifies the overall ability of the model to discriminate between positive and negative classes across all thresholds. It is computed as the integral of the ROC curve:</w:t>
      </w:r>
    </w:p>
    <w:p w14:paraId="31166FEB"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
          <w:bCs/>
          <w:sz w:val="24"/>
          <w:szCs w:val="24"/>
        </w:rPr>
      </w:pPr>
      <m:oMathPara>
        <m:oMath>
          <m:r>
            <m:rPr>
              <m:sty m:val="bi"/>
            </m:rPr>
            <w:rPr>
              <w:rFonts w:ascii="Cambria Math" w:eastAsia="Times New Roman" w:hAnsi="Cambria Math" w:cs="Times New Roman"/>
              <w:sz w:val="24"/>
              <w:szCs w:val="24"/>
            </w:rPr>
            <w:lastRenderedPageBreak/>
            <m:t>AUC=</m:t>
          </m:r>
          <m:nary>
            <m:naryPr>
              <m:limLoc m:val="subSup"/>
              <m:ctrlPr>
                <w:rPr>
                  <w:rFonts w:ascii="Cambria Math" w:eastAsia="Times New Roman" w:hAnsi="Cambria Math" w:cs="Times New Roman"/>
                  <w:b/>
                  <w:bCs/>
                  <w:i/>
                  <w:sz w:val="24"/>
                  <w:szCs w:val="24"/>
                </w:rPr>
              </m:ctrlPr>
            </m:naryPr>
            <m:sub>
              <m:r>
                <m:rPr>
                  <m:sty m:val="bi"/>
                </m:rPr>
                <w:rPr>
                  <w:rFonts w:ascii="Cambria Math" w:eastAsia="Times New Roman" w:hAnsi="Cambria Math" w:cs="Times New Roman"/>
                  <w:sz w:val="24"/>
                  <w:szCs w:val="24"/>
                </w:rPr>
                <m:t>0</m:t>
              </m:r>
            </m:sub>
            <m:sup>
              <m:r>
                <m:rPr>
                  <m:sty m:val="bi"/>
                </m:rPr>
                <w:rPr>
                  <w:rFonts w:ascii="Cambria Math" w:eastAsia="Times New Roman" w:hAnsi="Cambria Math" w:cs="Times New Roman"/>
                  <w:sz w:val="24"/>
                  <w:szCs w:val="24"/>
                </w:rPr>
                <m:t>1</m:t>
              </m:r>
            </m:sup>
            <m:e>
              <m:r>
                <w:rPr>
                  <w:rFonts w:ascii="Cambria Math" w:eastAsia="Times New Roman" w:hAnsi="Cambria Math" w:cs="Times New Roman"/>
                  <w:sz w:val="24"/>
                  <w:szCs w:val="24"/>
                </w:rPr>
                <m:t>TPR</m:t>
              </m:r>
              <m:d>
                <m:dPr>
                  <m:ctrlPr>
                    <w:rPr>
                      <w:rFonts w:ascii="Cambria Math" w:eastAsia="Times New Roman" w:hAnsi="Cambria Math" w:cs="Times New Roman"/>
                      <w:bCs/>
                      <w:i/>
                      <w:sz w:val="24"/>
                      <w:szCs w:val="24"/>
                    </w:rPr>
                  </m:ctrlPr>
                </m:dPr>
                <m:e>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FPR</m:t>
                      </m:r>
                    </m:e>
                    <m:sup>
                      <m:r>
                        <w:rPr>
                          <w:rFonts w:ascii="Cambria Math" w:eastAsia="Times New Roman" w:hAnsi="Cambria Math" w:cs="Times New Roman"/>
                          <w:sz w:val="24"/>
                          <w:szCs w:val="24"/>
                        </w:rPr>
                        <m:t>-1</m:t>
                      </m:r>
                    </m:sup>
                  </m:sSup>
                  <m:d>
                    <m:dPr>
                      <m:ctrlPr>
                        <w:rPr>
                          <w:rFonts w:ascii="Cambria Math" w:eastAsia="Times New Roman" w:hAnsi="Cambria Math" w:cs="Times New Roman"/>
                          <w:bCs/>
                          <w:i/>
                          <w:sz w:val="24"/>
                          <w:szCs w:val="24"/>
                        </w:rPr>
                      </m:ctrlPr>
                    </m:dPr>
                    <m:e>
                      <m:r>
                        <w:rPr>
                          <w:rFonts w:ascii="Cambria Math" w:eastAsia="Times New Roman" w:hAnsi="Cambria Math" w:cs="Times New Roman"/>
                          <w:sz w:val="24"/>
                          <w:szCs w:val="24"/>
                        </w:rPr>
                        <m:t>x</m:t>
                      </m:r>
                    </m:e>
                  </m:d>
                </m:e>
              </m:d>
              <m:r>
                <w:rPr>
                  <w:rFonts w:ascii="Cambria Math" w:eastAsia="Times New Roman" w:hAnsi="Cambria Math" w:cs="Times New Roman"/>
                  <w:sz w:val="24"/>
                  <w:szCs w:val="24"/>
                </w:rPr>
                <m:t>dx</m:t>
              </m:r>
            </m:e>
          </m:nary>
        </m:oMath>
      </m:oMathPara>
    </w:p>
    <w:p w14:paraId="44D05F91"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Numerically, AUC is often calculated using the trapezoidal rule over discrete points of the ROC curve (Simplilearn, 2025; Google Developers, 2025).</w:t>
      </w:r>
    </w:p>
    <w:p w14:paraId="08EF0550"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Interpretation of AUC values:</w:t>
      </w:r>
    </w:p>
    <w:p w14:paraId="54AB740D"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AUC = 1.0 indicates a perfect classifier.</w:t>
      </w:r>
    </w:p>
    <w:p w14:paraId="508FF415"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AUC = 0.5 indicates no discriminative ability (random guessing).</w:t>
      </w:r>
    </w:p>
    <w:p w14:paraId="3D93AFE8"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AUC &lt; 0.5 indicates performance worse than random (inversion of predictions).</w:t>
      </w:r>
    </w:p>
    <w:p w14:paraId="65D02ECC" w14:textId="77777777" w:rsidR="009D2085" w:rsidRDefault="009D2085" w:rsidP="009D208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The ROC curve and AUC are robust to class imbalance, making them widely used in imbalanced classification problems </w:t>
      </w:r>
      <w:r>
        <w:rPr>
          <w:rFonts w:ascii="Times New Roman" w:eastAsia="Times New Roman" w:hAnsi="Times New Roman" w:cs="Times New Roman"/>
          <w:sz w:val="24"/>
          <w:szCs w:val="24"/>
        </w:rPr>
        <w:t>(Chugh, 2024</w:t>
      </w:r>
      <w:r>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(Terra, 2022</w:t>
      </w:r>
      <w:r>
        <w:rPr>
          <w:rFonts w:ascii="Times New Roman" w:eastAsia="Times New Roman" w:hAnsi="Times New Roman" w:cs="Times New Roman"/>
          <w:bCs/>
          <w:sz w:val="24"/>
          <w:szCs w:val="24"/>
        </w:rPr>
        <w:t>).</w:t>
      </w:r>
    </w:p>
    <w:p w14:paraId="7EA027F0" w14:textId="77777777" w:rsidR="009D2085" w:rsidRDefault="009D2085" w:rsidP="009D2085">
      <w:pPr>
        <w:pStyle w:val="ListParagraph"/>
        <w:numPr>
          <w:ilvl w:val="0"/>
          <w:numId w:val="23"/>
        </w:numPr>
        <w:spacing w:before="100" w:beforeAutospacing="1" w:after="100" w:afterAutospacing="1"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Precision-Recall Curve</w:t>
      </w:r>
    </w:p>
    <w:p w14:paraId="61292E9A"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Precision-Recall (PR) curve is another graphical tool used to evaluate binary classifiers, especially when dealing with imbalanced datasets where the positive class is rare.</w:t>
      </w:r>
    </w:p>
    <w:p w14:paraId="03EDB313"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 (also called positive predictive value) is defined as:</w:t>
      </w:r>
    </w:p>
    <w:p w14:paraId="50FB8D4F" w14:textId="77777777" w:rsidR="009D2085" w:rsidRDefault="009D2085" w:rsidP="009D2085">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Precision=</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m:t>
              </m:r>
            </m:num>
            <m:den>
              <m:r>
                <w:rPr>
                  <w:rFonts w:ascii="Cambria Math" w:eastAsia="Times New Roman" w:hAnsi="Cambria Math" w:cs="Times New Roman"/>
                  <w:sz w:val="24"/>
                  <w:szCs w:val="24"/>
                </w:rPr>
                <m:t>TP+FP</m:t>
              </m:r>
            </m:den>
          </m:f>
        </m:oMath>
      </m:oMathPara>
    </w:p>
    <w:p w14:paraId="5D68EC62" w14:textId="77777777" w:rsidR="009D2085" w:rsidRDefault="009D2085" w:rsidP="009D2085">
      <w:pPr>
        <w:pStyle w:val="ListParagraph"/>
        <w:numPr>
          <w:ilvl w:val="1"/>
          <w:numId w:val="2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Recall (same as TPR) is:</w:t>
      </w:r>
    </w:p>
    <w:p w14:paraId="1D415FE5" w14:textId="77777777" w:rsidR="009D2085" w:rsidRDefault="009D2085" w:rsidP="009D2085">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Recall=</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TP</m:t>
              </m:r>
            </m:num>
            <m:den>
              <m:r>
                <w:rPr>
                  <w:rFonts w:ascii="Cambria Math" w:eastAsia="Times New Roman" w:hAnsi="Cambria Math" w:cs="Times New Roman"/>
                  <w:sz w:val="24"/>
                  <w:szCs w:val="24"/>
                </w:rPr>
                <m:t>TP+FN</m:t>
              </m:r>
            </m:den>
          </m:f>
        </m:oMath>
      </m:oMathPara>
    </w:p>
    <w:p w14:paraId="70088411"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 curve plots Precision (y-axis) against Recall (x-axis) at various classification thresholds.</w:t>
      </w:r>
    </w:p>
    <w:p w14:paraId="11BF8301"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Unlike ROC curves, the PR curve focuses on the positive (minority) class performance. It is particularly informative when the negative class dominates the dataset, as it highlights the trade-off between precision and recall.</w:t>
      </w:r>
    </w:p>
    <w:p w14:paraId="7B117688"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Area Under the Precision-Recall Curve (AUPRC) summarizes the model's performance across thresholds and is calculated similarly to AUC using numerical integration.</w:t>
      </w:r>
    </w:p>
    <w:p w14:paraId="67FD2FF2" w14:textId="77777777" w:rsidR="009D2085" w:rsidRDefault="009D2085" w:rsidP="009D2085">
      <w:pPr>
        <w:pStyle w:val="ListParagraph"/>
        <w:numPr>
          <w:ilvl w:val="0"/>
          <w:numId w:val="23"/>
        </w:numPr>
        <w:spacing w:before="100" w:beforeAutospacing="1" w:after="100" w:afterAutospacing="1"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Confusion Matrix</w:t>
      </w:r>
    </w:p>
    <w:p w14:paraId="77255085" w14:textId="77777777" w:rsidR="009D2085" w:rsidRDefault="009D2085" w:rsidP="009D2085">
      <w:pPr>
        <w:spacing w:before="100" w:beforeAutospacing="1" w:after="100" w:afterAutospacing="1"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confusion matrix is a tabular summary of classification results, showing the counts of correct and incorrect predictions broken down by each class as seen in Table 2. For binary classification, it is a 2×2 matrix:</w:t>
      </w:r>
    </w:p>
    <w:p w14:paraId="6D8EF6F3"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w:t>
      </w:r>
    </w:p>
    <w:p w14:paraId="20A4B334"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Summary of Classification results.</w:t>
      </w:r>
    </w:p>
    <w:tbl>
      <w:tblPr>
        <w:tblStyle w:val="TableGrid"/>
        <w:tblW w:w="9542"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3064"/>
        <w:gridCol w:w="3602"/>
      </w:tblGrid>
      <w:tr w:rsidR="009D2085" w14:paraId="1142DB87" w14:textId="77777777" w:rsidTr="00F9044A">
        <w:tc>
          <w:tcPr>
            <w:tcW w:w="2876" w:type="dxa"/>
            <w:tcBorders>
              <w:top w:val="single" w:sz="4" w:space="0" w:color="auto"/>
              <w:left w:val="nil"/>
              <w:bottom w:val="single" w:sz="4" w:space="0" w:color="auto"/>
              <w:right w:val="nil"/>
            </w:tcBorders>
          </w:tcPr>
          <w:p w14:paraId="697B8D28"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p>
        </w:tc>
        <w:tc>
          <w:tcPr>
            <w:tcW w:w="3064" w:type="dxa"/>
            <w:tcBorders>
              <w:top w:val="single" w:sz="4" w:space="0" w:color="auto"/>
              <w:left w:val="nil"/>
              <w:bottom w:val="single" w:sz="4" w:space="0" w:color="auto"/>
              <w:right w:val="nil"/>
            </w:tcBorders>
            <w:hideMark/>
          </w:tcPr>
          <w:p w14:paraId="43E32B5F"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Positive</w:t>
            </w:r>
          </w:p>
        </w:tc>
        <w:tc>
          <w:tcPr>
            <w:tcW w:w="3602" w:type="dxa"/>
            <w:tcBorders>
              <w:top w:val="single" w:sz="4" w:space="0" w:color="auto"/>
              <w:left w:val="nil"/>
              <w:bottom w:val="single" w:sz="4" w:space="0" w:color="auto"/>
              <w:right w:val="nil"/>
            </w:tcBorders>
            <w:hideMark/>
          </w:tcPr>
          <w:p w14:paraId="7D03AE4E"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Negative</w:t>
            </w:r>
          </w:p>
        </w:tc>
      </w:tr>
      <w:tr w:rsidR="009D2085" w14:paraId="5A98601E" w14:textId="77777777" w:rsidTr="00F9044A">
        <w:tc>
          <w:tcPr>
            <w:tcW w:w="2876" w:type="dxa"/>
            <w:tcBorders>
              <w:top w:val="single" w:sz="4" w:space="0" w:color="auto"/>
              <w:left w:val="nil"/>
              <w:bottom w:val="nil"/>
              <w:right w:val="nil"/>
            </w:tcBorders>
            <w:hideMark/>
          </w:tcPr>
          <w:p w14:paraId="4CEC80D1"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 Positive</w:t>
            </w:r>
          </w:p>
        </w:tc>
        <w:tc>
          <w:tcPr>
            <w:tcW w:w="3064" w:type="dxa"/>
            <w:tcBorders>
              <w:top w:val="single" w:sz="4" w:space="0" w:color="auto"/>
              <w:left w:val="nil"/>
              <w:bottom w:val="nil"/>
              <w:right w:val="nil"/>
            </w:tcBorders>
            <w:hideMark/>
          </w:tcPr>
          <w:p w14:paraId="2816A34D"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True Positive (TP)</w:t>
            </w:r>
          </w:p>
        </w:tc>
        <w:tc>
          <w:tcPr>
            <w:tcW w:w="3602" w:type="dxa"/>
            <w:tcBorders>
              <w:top w:val="single" w:sz="4" w:space="0" w:color="auto"/>
              <w:left w:val="nil"/>
              <w:bottom w:val="nil"/>
              <w:right w:val="nil"/>
            </w:tcBorders>
            <w:hideMark/>
          </w:tcPr>
          <w:p w14:paraId="07837E7E"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False Negative (FN)</w:t>
            </w:r>
          </w:p>
        </w:tc>
      </w:tr>
      <w:tr w:rsidR="009D2085" w14:paraId="1A443CEF" w14:textId="77777777" w:rsidTr="00F9044A">
        <w:tc>
          <w:tcPr>
            <w:tcW w:w="2876" w:type="dxa"/>
            <w:tcBorders>
              <w:top w:val="nil"/>
              <w:left w:val="nil"/>
              <w:bottom w:val="single" w:sz="4" w:space="0" w:color="auto"/>
              <w:right w:val="nil"/>
            </w:tcBorders>
            <w:hideMark/>
          </w:tcPr>
          <w:p w14:paraId="22AC4F85"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 Negative</w:t>
            </w:r>
          </w:p>
        </w:tc>
        <w:tc>
          <w:tcPr>
            <w:tcW w:w="3064" w:type="dxa"/>
            <w:tcBorders>
              <w:top w:val="nil"/>
              <w:left w:val="nil"/>
              <w:bottom w:val="single" w:sz="4" w:space="0" w:color="auto"/>
              <w:right w:val="nil"/>
            </w:tcBorders>
            <w:hideMark/>
          </w:tcPr>
          <w:p w14:paraId="47735504"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False Positive (FP)</w:t>
            </w:r>
          </w:p>
        </w:tc>
        <w:tc>
          <w:tcPr>
            <w:tcW w:w="3602" w:type="dxa"/>
            <w:tcBorders>
              <w:top w:val="nil"/>
              <w:left w:val="nil"/>
              <w:bottom w:val="single" w:sz="4" w:space="0" w:color="auto"/>
              <w:right w:val="nil"/>
            </w:tcBorders>
            <w:hideMark/>
          </w:tcPr>
          <w:p w14:paraId="2E916108"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True Negative (TN)</w:t>
            </w:r>
          </w:p>
        </w:tc>
      </w:tr>
    </w:tbl>
    <w:p w14:paraId="46E26C2C"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this matrix, the key metrics TPR, FPR, precision, recall, and others are derived.</w:t>
      </w:r>
    </w:p>
    <w:p w14:paraId="775CBB88" w14:textId="77777777" w:rsidR="009D2085" w:rsidRDefault="009D2085" w:rsidP="00F904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confusion matrix provides a straightforward way to visualize the performance of a classifier and identify types of errors.</w:t>
      </w:r>
    </w:p>
    <w:p w14:paraId="3B9351A8" w14:textId="77777777" w:rsidR="009D2085" w:rsidRDefault="009D2085" w:rsidP="009D2085">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w:t>
      </w:r>
    </w:p>
    <w:p w14:paraId="1DB0809C" w14:textId="77777777" w:rsidR="009D2085" w:rsidRDefault="009D2085" w:rsidP="009D208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was evaluated on the test set, producing accuracy, loss, classification reports, confusion matrices, ROC, and precision-recall curves.</w:t>
      </w:r>
    </w:p>
    <w:p w14:paraId="1742ADB3" w14:textId="77777777" w:rsidR="009D2085" w:rsidRDefault="009D2085" w:rsidP="009D2085">
      <w:pPr>
        <w:pStyle w:val="my-0"/>
        <w:spacing w:line="360" w:lineRule="auto"/>
        <w:jc w:val="both"/>
      </w:pPr>
      <w:r>
        <w:t>Two commonly used techniques for statistical validation are the Chi-square test and Analysis of Variance (ANOVA), each serving distinct purposes depending on the nature of the data and research questions.</w:t>
      </w:r>
    </w:p>
    <w:p w14:paraId="740E7B60" w14:textId="77777777" w:rsidR="009D2085" w:rsidRDefault="009D2085" w:rsidP="009D2085">
      <w:pPr>
        <w:pStyle w:val="my-0"/>
        <w:spacing w:line="360" w:lineRule="auto"/>
        <w:jc w:val="both"/>
      </w:pPr>
      <w:r>
        <w:t xml:space="preserve">The </w:t>
      </w:r>
      <w:r>
        <w:rPr>
          <w:rStyle w:val="Strong"/>
          <w:b w:val="0"/>
        </w:rPr>
        <w:t>Chi-square test</w:t>
      </w:r>
      <w:r>
        <w:t xml:space="preserve"> is primarily used to examine the association or independence between categorical variables. It evaluates whether the observed frequencies in different categories differ </w:t>
      </w:r>
      <w:r>
        <w:lastRenderedPageBreak/>
        <w:t>significantly from expected frequencies under the null hypothesis of independence. The test statistic is computed as:</w:t>
      </w:r>
    </w:p>
    <w:p w14:paraId="6A9FF96C" w14:textId="77777777" w:rsidR="009D2085" w:rsidRDefault="00000000" w:rsidP="009D2085">
      <w:pPr>
        <w:pStyle w:val="my-0"/>
        <w:spacing w:line="360" w:lineRule="auto"/>
        <w:jc w:val="both"/>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f>
                <m:fPr>
                  <m:ctrlPr>
                    <w:rPr>
                      <w:rFonts w:ascii="Cambria Math" w:hAnsi="Cambria Math"/>
                      <w:i/>
                    </w:rPr>
                  </m:ctrlPr>
                </m:fPr>
                <m:num>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m:t>
                      </m:r>
                    </m:sub>
                  </m:sSub>
                </m:den>
              </m:f>
            </m:e>
          </m:nary>
        </m:oMath>
      </m:oMathPara>
    </w:p>
    <w:p w14:paraId="1630A5A3" w14:textId="77777777" w:rsidR="009D2085" w:rsidRDefault="009D2085" w:rsidP="009D2085">
      <w:pPr>
        <w:pStyle w:val="my-0"/>
        <w:spacing w:line="360" w:lineRule="auto"/>
        <w:jc w:val="both"/>
      </w:pPr>
      <w:r>
        <w:t xml:space="preserve">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represents the observed frequency in category </w:t>
      </w:r>
      <m:oMath>
        <m:r>
          <w:rPr>
            <w:rFonts w:ascii="Cambria Math" w:hAnsi="Cambria Math"/>
          </w:rPr>
          <m:t>i</m:t>
        </m:r>
      </m:oMath>
      <w:r>
        <w:t xml:space="preserve">, and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t xml:space="preserve"> is the expected frequency under the null hypothesis.</w:t>
      </w:r>
      <w:r w:rsidR="0042340B">
        <w:t xml:space="preserve"> </w:t>
      </w:r>
      <w:r>
        <w:t>This test is widely used in validating classification results, contingency tables, and goodness-of-fit in model predictions (Sharafaldin et al., 2018; Pedregosa et al., 2011).</w:t>
      </w:r>
    </w:p>
    <w:p w14:paraId="634F2C4A" w14:textId="77777777" w:rsidR="009D2085" w:rsidRDefault="009D2085" w:rsidP="009D2085">
      <w:pPr>
        <w:pStyle w:val="my-0"/>
        <w:spacing w:line="360" w:lineRule="auto"/>
        <w:jc w:val="both"/>
      </w:pPr>
      <w:r>
        <w:t xml:space="preserve">On the other hand, </w:t>
      </w:r>
      <w:r>
        <w:rPr>
          <w:rStyle w:val="Strong"/>
          <w:b w:val="0"/>
        </w:rPr>
        <w:t>Analysis of Variance (ANOVA)</w:t>
      </w:r>
      <w:r>
        <w:t xml:space="preserve"> is used to compare means across two or more groups to determine if at least one group mean is statistically different from the others. ANOVA decomposes the total variance observed in the data into variance between groups and variance within groups. The F-statistic is calculated as:</w:t>
      </w:r>
    </w:p>
    <w:p w14:paraId="6F62F70F" w14:textId="77777777" w:rsidR="009D2085" w:rsidRDefault="009D2085" w:rsidP="009D2085">
      <w:pPr>
        <w:pStyle w:val="my-0"/>
        <w:spacing w:line="360" w:lineRule="auto"/>
        <w:jc w:val="both"/>
      </w:pPr>
      <m:oMathPara>
        <m:oMath>
          <m:r>
            <w:rPr>
              <w:rFonts w:ascii="Cambria Math" w:hAnsi="Cambria Math"/>
            </w:rPr>
            <m:t>F=</m:t>
          </m:r>
          <m:f>
            <m:fPr>
              <m:ctrlPr>
                <w:rPr>
                  <w:rFonts w:ascii="Cambria Math" w:hAnsi="Cambria Math"/>
                  <w:i/>
                </w:rPr>
              </m:ctrlPr>
            </m:fPr>
            <m:num>
              <m:r>
                <w:rPr>
                  <w:rFonts w:ascii="Cambria Math" w:hAnsi="Cambria Math"/>
                </w:rPr>
                <m:t>Mean Square between Groups (MSB)</m:t>
              </m:r>
            </m:num>
            <m:den>
              <m:r>
                <w:rPr>
                  <w:rFonts w:ascii="Cambria Math" w:hAnsi="Cambria Math"/>
                </w:rPr>
                <m:t>Mean Square Within Groups (MSW)</m:t>
              </m:r>
            </m:den>
          </m:f>
        </m:oMath>
      </m:oMathPara>
    </w:p>
    <w:p w14:paraId="42ACF508" w14:textId="77777777" w:rsidR="009D2085" w:rsidRDefault="009D2085" w:rsidP="009D2085">
      <w:pPr>
        <w:pStyle w:val="my-0"/>
        <w:spacing w:line="360" w:lineRule="auto"/>
        <w:jc w:val="both"/>
      </w:pPr>
      <w:r>
        <w:t>A significant F-statistic indicates that the group means are not all equal, prompting further post-hoc analysis to identify specific group differences. ANOVA is extensively applied in validating model performance differences across multiple experimental conditions or datasets (Ibrahim et al., 2021; Farwell &amp; Rohozinski, 2011).</w:t>
      </w:r>
    </w:p>
    <w:p w14:paraId="0041140B" w14:textId="77777777" w:rsidR="009D2085" w:rsidRDefault="009D2085" w:rsidP="009D2085">
      <w:pPr>
        <w:pStyle w:val="my-0"/>
        <w:spacing w:line="360" w:lineRule="auto"/>
        <w:jc w:val="both"/>
      </w:pPr>
      <w:r>
        <w:t>Both tests are integral to rigorous model validation frameworks, ensuring that observed effects or associations are not due to random chance but reflect meaningful patterns in the data. Their application complements machine learning model validation techniques, providing statistical guarantees about model behavior and performance (Khan et al., 2017; Wang et al., 2011).</w:t>
      </w:r>
    </w:p>
    <w:p w14:paraId="5BAA9F32" w14:textId="77777777" w:rsidR="009D2085" w:rsidRDefault="009D2085" w:rsidP="009D2085">
      <w:pPr>
        <w:pStyle w:val="my-0"/>
        <w:spacing w:line="360" w:lineRule="auto"/>
        <w:jc w:val="both"/>
      </w:pPr>
      <w:r>
        <w:rPr>
          <w:b/>
          <w:bCs/>
        </w:rPr>
        <w:t>Ethical and Practical Considerations</w:t>
      </w:r>
    </w:p>
    <w:p w14:paraId="3BAA19A8" w14:textId="77777777" w:rsidR="009D2085" w:rsidRDefault="009D2085" w:rsidP="009D2085">
      <w:pPr>
        <w:spacing w:line="360" w:lineRule="auto"/>
        <w:rPr>
          <w:rFonts w:ascii="Times New Roman" w:hAnsi="Times New Roman" w:cs="Times New Roman"/>
          <w:sz w:val="24"/>
          <w:szCs w:val="24"/>
        </w:rPr>
      </w:pPr>
      <w:r>
        <w:rPr>
          <w:rFonts w:ascii="Times New Roman" w:hAnsi="Times New Roman" w:cs="Times New Roman"/>
          <w:sz w:val="24"/>
          <w:szCs w:val="24"/>
        </w:rPr>
        <w:t>The study used only anonymized public data, fully documented all code and preprocessing steps for reproducibility, and optimized training to reduce environmental impact.</w:t>
      </w:r>
    </w:p>
    <w:p w14:paraId="07A717C1" w14:textId="77777777" w:rsidR="0042340B" w:rsidRDefault="0042340B" w:rsidP="009D2085">
      <w:pPr>
        <w:spacing w:line="360" w:lineRule="auto"/>
        <w:rPr>
          <w:rFonts w:ascii="Times New Roman" w:hAnsi="Times New Roman" w:cs="Times New Roman"/>
          <w:sz w:val="24"/>
          <w:szCs w:val="24"/>
        </w:rPr>
      </w:pPr>
    </w:p>
    <w:p w14:paraId="3046F2CC"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Pr>
          <w:rFonts w:ascii="Times New Roman" w:hAnsi="Times New Roman" w:cs="Times New Roman"/>
          <w:b/>
          <w:sz w:val="24"/>
          <w:szCs w:val="24"/>
        </w:rPr>
        <w:tab/>
        <w:t>Results and Discussion</w:t>
      </w:r>
    </w:p>
    <w:p w14:paraId="2CDD51FB"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Results</w:t>
      </w:r>
    </w:p>
    <w:p w14:paraId="419EC3CE"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escalating sophistication of ransomware attacks on critical energy infrastructure necessitates robust, scalable solutions to protect cyber-mechanical systems. This chapter evaluates the performance of the proposed multiscale framework, which integrates cyber-mechanical modeling with AI/ML-driven anomaly detection to predict and prevent ransomware-induced failures. The results are derived from simulations and validations using datasets (e.g., CICIDS 2017). </w:t>
      </w:r>
    </w:p>
    <w:p w14:paraId="02CA8377"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Performance Evaluation of AI/ML Models</w:t>
      </w:r>
    </w:p>
    <w:p w14:paraId="2E22269A"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This section evaluates the ConvLSTM3D and GNN models’ performance, focusing on training dynamics, classification metrics, and statistical robustness, as outlined in the methodology.</w:t>
      </w:r>
    </w:p>
    <w:p w14:paraId="6F2FA887" w14:textId="29FB2E98"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ConvLSTM3D model was trained on the CICIDS 2017 dataset (Sharafaldin et al., 2018), comprising 225,745 network flow records with a benign-to-attack ratio of 8.9:1. Training spanned 10 epochs with a batch size of 32, using the Adam optimizer (learning rate = 0.001) and binary cross-entropy loss. The model accuracy and losses against the epochs are displayed in Figure </w:t>
      </w:r>
      <w:r w:rsidR="009805FA">
        <w:rPr>
          <w:rFonts w:ascii="Times New Roman" w:hAnsi="Times New Roman" w:cs="Times New Roman"/>
          <w:sz w:val="24"/>
          <w:szCs w:val="24"/>
        </w:rPr>
        <w:t>2</w:t>
      </w:r>
    </w:p>
    <w:p w14:paraId="126137EF" w14:textId="78AC5C49"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9805FA">
        <w:rPr>
          <w:rFonts w:ascii="Times New Roman" w:hAnsi="Times New Roman" w:cs="Times New Roman"/>
          <w:b/>
          <w:sz w:val="24"/>
          <w:szCs w:val="24"/>
        </w:rPr>
        <w:t>2</w:t>
      </w:r>
    </w:p>
    <w:p w14:paraId="36AB8D16"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Model Accuracy Over Epochs and Model Loss Over Epochs</w:t>
      </w:r>
    </w:p>
    <w:p w14:paraId="6E5066D9"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1F7EA9" wp14:editId="014AD3FC">
            <wp:extent cx="5948045" cy="2444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045" cy="2444115"/>
                    </a:xfrm>
                    <a:prstGeom prst="rect">
                      <a:avLst/>
                    </a:prstGeom>
                    <a:noFill/>
                    <a:ln>
                      <a:noFill/>
                    </a:ln>
                  </pic:spPr>
                </pic:pic>
              </a:graphicData>
            </a:graphic>
          </wp:inline>
        </w:drawing>
      </w:r>
    </w:p>
    <w:p w14:paraId="1D867537"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training dynamics align with Buda et al. (2018), who noted overfitting in imbalanced datasets due to minority-class underrepresentation. The model’s performance, with a final test accuracy of </w:t>
      </w:r>
      <w:r>
        <w:rPr>
          <w:rFonts w:ascii="Times New Roman" w:hAnsi="Times New Roman" w:cs="Times New Roman"/>
          <w:sz w:val="24"/>
          <w:szCs w:val="24"/>
        </w:rPr>
        <w:lastRenderedPageBreak/>
        <w:t>88.86%, reflects robust learning of benign patterns but highlights challenges in generalizing to rare attack scenarios, consistent with He and Garcia (2009).</w:t>
      </w:r>
    </w:p>
    <w:p w14:paraId="4A4B857D" w14:textId="205F7D8D"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model demonstrated strong performance on majority-class (benign) detection but struggled with attack recall-precision balance, consistent with findings from Buda et al. (2018) on imbalanced data as shown in Table 3 and Figure </w:t>
      </w:r>
      <w:r w:rsidR="009805FA">
        <w:rPr>
          <w:rFonts w:ascii="Times New Roman" w:hAnsi="Times New Roman" w:cs="Times New Roman"/>
          <w:sz w:val="24"/>
          <w:szCs w:val="24"/>
        </w:rPr>
        <w:t>3</w:t>
      </w:r>
      <w:r>
        <w:rPr>
          <w:rFonts w:ascii="Times New Roman" w:hAnsi="Times New Roman" w:cs="Times New Roman"/>
          <w:sz w:val="24"/>
          <w:szCs w:val="24"/>
        </w:rPr>
        <w:t>. The Matthews Correlation Coefficient (MCC) of 0.32 highlights challenges in minority-class generalization.</w:t>
      </w:r>
    </w:p>
    <w:p w14:paraId="4E4CE354"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w:t>
      </w:r>
    </w:p>
    <w:p w14:paraId="76B9DBF6"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Classification Metrics</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C842E9" w14:paraId="7F2B2764" w14:textId="77777777" w:rsidTr="00C842E9">
        <w:tc>
          <w:tcPr>
            <w:tcW w:w="1870" w:type="dxa"/>
            <w:tcBorders>
              <w:top w:val="single" w:sz="4" w:space="0" w:color="auto"/>
              <w:left w:val="nil"/>
              <w:bottom w:val="single" w:sz="4" w:space="0" w:color="auto"/>
              <w:right w:val="nil"/>
            </w:tcBorders>
            <w:hideMark/>
          </w:tcPr>
          <w:p w14:paraId="5338736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Class</w:t>
            </w:r>
          </w:p>
        </w:tc>
        <w:tc>
          <w:tcPr>
            <w:tcW w:w="1870" w:type="dxa"/>
            <w:tcBorders>
              <w:top w:val="single" w:sz="4" w:space="0" w:color="auto"/>
              <w:left w:val="nil"/>
              <w:bottom w:val="single" w:sz="4" w:space="0" w:color="auto"/>
              <w:right w:val="nil"/>
            </w:tcBorders>
            <w:hideMark/>
          </w:tcPr>
          <w:p w14:paraId="37AF831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Precision</w:t>
            </w:r>
          </w:p>
        </w:tc>
        <w:tc>
          <w:tcPr>
            <w:tcW w:w="1870" w:type="dxa"/>
            <w:tcBorders>
              <w:top w:val="single" w:sz="4" w:space="0" w:color="auto"/>
              <w:left w:val="nil"/>
              <w:bottom w:val="single" w:sz="4" w:space="0" w:color="auto"/>
              <w:right w:val="nil"/>
            </w:tcBorders>
            <w:hideMark/>
          </w:tcPr>
          <w:p w14:paraId="6344F94C"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Recall</w:t>
            </w:r>
          </w:p>
        </w:tc>
        <w:tc>
          <w:tcPr>
            <w:tcW w:w="1870" w:type="dxa"/>
            <w:tcBorders>
              <w:top w:val="single" w:sz="4" w:space="0" w:color="auto"/>
              <w:left w:val="nil"/>
              <w:bottom w:val="single" w:sz="4" w:space="0" w:color="auto"/>
              <w:right w:val="nil"/>
            </w:tcBorders>
            <w:hideMark/>
          </w:tcPr>
          <w:p w14:paraId="681CC0AF"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F1-Score</w:t>
            </w:r>
          </w:p>
        </w:tc>
        <w:tc>
          <w:tcPr>
            <w:tcW w:w="1870" w:type="dxa"/>
            <w:tcBorders>
              <w:top w:val="single" w:sz="4" w:space="0" w:color="auto"/>
              <w:left w:val="nil"/>
              <w:bottom w:val="single" w:sz="4" w:space="0" w:color="auto"/>
              <w:right w:val="nil"/>
            </w:tcBorders>
            <w:hideMark/>
          </w:tcPr>
          <w:p w14:paraId="3218DEE1"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Support</w:t>
            </w:r>
          </w:p>
        </w:tc>
      </w:tr>
      <w:tr w:rsidR="00C842E9" w14:paraId="37D74313" w14:textId="77777777" w:rsidTr="00C842E9">
        <w:tc>
          <w:tcPr>
            <w:tcW w:w="1870" w:type="dxa"/>
            <w:tcBorders>
              <w:top w:val="single" w:sz="4" w:space="0" w:color="auto"/>
              <w:left w:val="nil"/>
              <w:bottom w:val="nil"/>
              <w:right w:val="nil"/>
            </w:tcBorders>
            <w:hideMark/>
          </w:tcPr>
          <w:p w14:paraId="3593165F"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Benign</w:t>
            </w:r>
          </w:p>
        </w:tc>
        <w:tc>
          <w:tcPr>
            <w:tcW w:w="1870" w:type="dxa"/>
            <w:tcBorders>
              <w:top w:val="single" w:sz="4" w:space="0" w:color="auto"/>
              <w:left w:val="nil"/>
              <w:bottom w:val="nil"/>
              <w:right w:val="nil"/>
            </w:tcBorders>
            <w:hideMark/>
          </w:tcPr>
          <w:p w14:paraId="66CE1BD7"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0.96</w:t>
            </w:r>
          </w:p>
        </w:tc>
        <w:tc>
          <w:tcPr>
            <w:tcW w:w="1870" w:type="dxa"/>
            <w:tcBorders>
              <w:top w:val="single" w:sz="4" w:space="0" w:color="auto"/>
              <w:left w:val="nil"/>
              <w:bottom w:val="nil"/>
              <w:right w:val="nil"/>
            </w:tcBorders>
            <w:hideMark/>
          </w:tcPr>
          <w:p w14:paraId="0C0F0570"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0.70</w:t>
            </w:r>
          </w:p>
        </w:tc>
        <w:tc>
          <w:tcPr>
            <w:tcW w:w="1870" w:type="dxa"/>
            <w:tcBorders>
              <w:top w:val="single" w:sz="4" w:space="0" w:color="auto"/>
              <w:left w:val="nil"/>
              <w:bottom w:val="nil"/>
              <w:right w:val="nil"/>
            </w:tcBorders>
            <w:hideMark/>
          </w:tcPr>
          <w:p w14:paraId="3750569B"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0.81</w:t>
            </w:r>
          </w:p>
        </w:tc>
        <w:tc>
          <w:tcPr>
            <w:tcW w:w="1870" w:type="dxa"/>
            <w:tcBorders>
              <w:top w:val="single" w:sz="4" w:space="0" w:color="auto"/>
              <w:left w:val="nil"/>
              <w:bottom w:val="nil"/>
              <w:right w:val="nil"/>
            </w:tcBorders>
            <w:hideMark/>
          </w:tcPr>
          <w:p w14:paraId="201745A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4,012</w:t>
            </w:r>
          </w:p>
        </w:tc>
      </w:tr>
      <w:tr w:rsidR="00C842E9" w14:paraId="5FF9D683" w14:textId="77777777" w:rsidTr="00C842E9">
        <w:tc>
          <w:tcPr>
            <w:tcW w:w="1870" w:type="dxa"/>
            <w:tcBorders>
              <w:top w:val="nil"/>
              <w:left w:val="nil"/>
              <w:bottom w:val="nil"/>
              <w:right w:val="nil"/>
            </w:tcBorders>
            <w:hideMark/>
          </w:tcPr>
          <w:p w14:paraId="583506F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Attack</w:t>
            </w:r>
          </w:p>
        </w:tc>
        <w:tc>
          <w:tcPr>
            <w:tcW w:w="1870" w:type="dxa"/>
            <w:tcBorders>
              <w:top w:val="nil"/>
              <w:left w:val="nil"/>
              <w:bottom w:val="nil"/>
              <w:right w:val="nil"/>
            </w:tcBorders>
            <w:hideMark/>
          </w:tcPr>
          <w:p w14:paraId="0559347C"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0.25</w:t>
            </w:r>
          </w:p>
        </w:tc>
        <w:tc>
          <w:tcPr>
            <w:tcW w:w="1870" w:type="dxa"/>
            <w:tcBorders>
              <w:top w:val="nil"/>
              <w:left w:val="nil"/>
              <w:bottom w:val="nil"/>
              <w:right w:val="nil"/>
            </w:tcBorders>
            <w:hideMark/>
          </w:tcPr>
          <w:p w14:paraId="4A3F2B19"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0.79</w:t>
            </w:r>
          </w:p>
        </w:tc>
        <w:tc>
          <w:tcPr>
            <w:tcW w:w="1870" w:type="dxa"/>
            <w:tcBorders>
              <w:top w:val="nil"/>
              <w:left w:val="nil"/>
              <w:bottom w:val="nil"/>
              <w:right w:val="nil"/>
            </w:tcBorders>
            <w:hideMark/>
          </w:tcPr>
          <w:p w14:paraId="746544CE"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0.38</w:t>
            </w:r>
          </w:p>
        </w:tc>
        <w:tc>
          <w:tcPr>
            <w:tcW w:w="1870" w:type="dxa"/>
            <w:tcBorders>
              <w:top w:val="nil"/>
              <w:left w:val="nil"/>
              <w:bottom w:val="nil"/>
              <w:right w:val="nil"/>
            </w:tcBorders>
            <w:hideMark/>
          </w:tcPr>
          <w:p w14:paraId="6C0D9429"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503</w:t>
            </w:r>
          </w:p>
        </w:tc>
      </w:tr>
      <w:tr w:rsidR="00C842E9" w14:paraId="2AE8384A" w14:textId="77777777" w:rsidTr="00C842E9">
        <w:tc>
          <w:tcPr>
            <w:tcW w:w="1870" w:type="dxa"/>
            <w:tcBorders>
              <w:top w:val="nil"/>
              <w:left w:val="nil"/>
              <w:bottom w:val="single" w:sz="4" w:space="0" w:color="auto"/>
              <w:right w:val="nil"/>
            </w:tcBorders>
            <w:hideMark/>
          </w:tcPr>
          <w:p w14:paraId="0EA755E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Macro Avg</w:t>
            </w:r>
          </w:p>
        </w:tc>
        <w:tc>
          <w:tcPr>
            <w:tcW w:w="1870" w:type="dxa"/>
            <w:tcBorders>
              <w:top w:val="nil"/>
              <w:left w:val="nil"/>
              <w:bottom w:val="single" w:sz="4" w:space="0" w:color="auto"/>
              <w:right w:val="nil"/>
            </w:tcBorders>
            <w:hideMark/>
          </w:tcPr>
          <w:p w14:paraId="4497517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0.60</w:t>
            </w:r>
          </w:p>
        </w:tc>
        <w:tc>
          <w:tcPr>
            <w:tcW w:w="1870" w:type="dxa"/>
            <w:tcBorders>
              <w:top w:val="nil"/>
              <w:left w:val="nil"/>
              <w:bottom w:val="single" w:sz="4" w:space="0" w:color="auto"/>
              <w:right w:val="nil"/>
            </w:tcBorders>
            <w:hideMark/>
          </w:tcPr>
          <w:p w14:paraId="7C1E08B1"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0.74</w:t>
            </w:r>
          </w:p>
        </w:tc>
        <w:tc>
          <w:tcPr>
            <w:tcW w:w="1870" w:type="dxa"/>
            <w:tcBorders>
              <w:top w:val="nil"/>
              <w:left w:val="nil"/>
              <w:bottom w:val="single" w:sz="4" w:space="0" w:color="auto"/>
              <w:right w:val="nil"/>
            </w:tcBorders>
            <w:hideMark/>
          </w:tcPr>
          <w:p w14:paraId="274057C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0.59</w:t>
            </w:r>
          </w:p>
        </w:tc>
        <w:tc>
          <w:tcPr>
            <w:tcW w:w="1870" w:type="dxa"/>
            <w:tcBorders>
              <w:top w:val="nil"/>
              <w:left w:val="nil"/>
              <w:bottom w:val="single" w:sz="4" w:space="0" w:color="auto"/>
              <w:right w:val="nil"/>
            </w:tcBorders>
            <w:hideMark/>
          </w:tcPr>
          <w:p w14:paraId="6A7523B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4,515</w:t>
            </w:r>
          </w:p>
        </w:tc>
      </w:tr>
    </w:tbl>
    <w:p w14:paraId="29C43EAF" w14:textId="77777777" w:rsidR="00C842E9" w:rsidRDefault="00C842E9" w:rsidP="00C842E9">
      <w:pPr>
        <w:spacing w:line="360" w:lineRule="auto"/>
        <w:jc w:val="both"/>
        <w:rPr>
          <w:rFonts w:ascii="Times New Roman" w:hAnsi="Times New Roman" w:cs="Times New Roman"/>
          <w:b/>
          <w:sz w:val="24"/>
          <w:szCs w:val="24"/>
        </w:rPr>
      </w:pPr>
    </w:p>
    <w:p w14:paraId="68A58435" w14:textId="29C9E69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9805FA">
        <w:rPr>
          <w:rFonts w:ascii="Times New Roman" w:hAnsi="Times New Roman" w:cs="Times New Roman"/>
          <w:b/>
          <w:sz w:val="24"/>
          <w:szCs w:val="24"/>
        </w:rPr>
        <w:t>3</w:t>
      </w:r>
    </w:p>
    <w:p w14:paraId="30CDCDC8"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Classification Report</w:t>
      </w:r>
    </w:p>
    <w:p w14:paraId="625C340A"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B3106A" wp14:editId="26898958">
            <wp:extent cx="3751580" cy="29908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1580" cy="2990850"/>
                    </a:xfrm>
                    <a:prstGeom prst="rect">
                      <a:avLst/>
                    </a:prstGeom>
                    <a:noFill/>
                    <a:ln>
                      <a:noFill/>
                    </a:ln>
                  </pic:spPr>
                </pic:pic>
              </a:graphicData>
            </a:graphic>
          </wp:inline>
        </w:drawing>
      </w:r>
    </w:p>
    <w:p w14:paraId="0645614B"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ConvLSTM3D model’s classification performance was evaluated using precision, recall, F1-score, and Matthews Correlation Coefficient (MCC).</w:t>
      </w:r>
    </w:p>
    <w:p w14:paraId="2EB21ED0" w14:textId="2E308340"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9805FA">
        <w:rPr>
          <w:rFonts w:ascii="Times New Roman" w:hAnsi="Times New Roman" w:cs="Times New Roman"/>
          <w:sz w:val="24"/>
          <w:szCs w:val="24"/>
        </w:rPr>
        <w:t>4</w:t>
      </w:r>
      <w:r>
        <w:rPr>
          <w:rFonts w:ascii="Times New Roman" w:hAnsi="Times New Roman" w:cs="Times New Roman"/>
          <w:sz w:val="24"/>
          <w:szCs w:val="24"/>
        </w:rPr>
        <w:t xml:space="preserve"> of the 4,515 test samples, 2,643 Benign correctly classified (True Positives), 745 False Negatives (attack misclassified as benign), 218 False Positives (benign misclassified as attack)</w:t>
      </w:r>
    </w:p>
    <w:p w14:paraId="0254DD9E" w14:textId="1666E794"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9805FA">
        <w:rPr>
          <w:rFonts w:ascii="Times New Roman" w:hAnsi="Times New Roman" w:cs="Times New Roman"/>
          <w:b/>
          <w:sz w:val="24"/>
          <w:szCs w:val="24"/>
        </w:rPr>
        <w:t>4</w:t>
      </w:r>
    </w:p>
    <w:p w14:paraId="0CC6B7E4"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Confusion Matrix</w:t>
      </w:r>
    </w:p>
    <w:p w14:paraId="3E894FDE"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66B8B5" wp14:editId="50C8B306">
            <wp:extent cx="4230370" cy="38030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370" cy="3803015"/>
                    </a:xfrm>
                    <a:prstGeom prst="rect">
                      <a:avLst/>
                    </a:prstGeom>
                    <a:noFill/>
                    <a:ln>
                      <a:noFill/>
                    </a:ln>
                  </pic:spPr>
                </pic:pic>
              </a:graphicData>
            </a:graphic>
          </wp:inline>
        </w:drawing>
      </w:r>
    </w:p>
    <w:p w14:paraId="34C9BE4C"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br/>
        <w:t>With an AUPRC of 0.76, the system demonstrates practical utility despite class imbalance, aligning with Saito &amp; Rehmsmeier's (2015) recommendations for imbalanced datasets</w:t>
      </w:r>
    </w:p>
    <w:p w14:paraId="3A963F2E" w14:textId="0BBDA0DD"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Precision-Recall curve is useful for evaluating models with imbalanced datasets, especially when one class is more frequent than the other as displayed by the dataset in Figure </w:t>
      </w:r>
      <w:r w:rsidR="009805FA">
        <w:rPr>
          <w:rFonts w:ascii="Times New Roman" w:hAnsi="Times New Roman" w:cs="Times New Roman"/>
          <w:sz w:val="24"/>
          <w:szCs w:val="24"/>
        </w:rPr>
        <w:t>5</w:t>
      </w:r>
      <w:r>
        <w:rPr>
          <w:rFonts w:ascii="Times New Roman" w:hAnsi="Times New Roman" w:cs="Times New Roman"/>
          <w:sz w:val="24"/>
          <w:szCs w:val="24"/>
        </w:rPr>
        <w:t>.</w:t>
      </w:r>
    </w:p>
    <w:p w14:paraId="31028BD2" w14:textId="77777777" w:rsidR="0042340B" w:rsidRDefault="0042340B" w:rsidP="00C842E9">
      <w:pPr>
        <w:spacing w:line="360" w:lineRule="auto"/>
        <w:jc w:val="both"/>
        <w:rPr>
          <w:rFonts w:ascii="Times New Roman" w:hAnsi="Times New Roman" w:cs="Times New Roman"/>
          <w:b/>
          <w:sz w:val="24"/>
          <w:szCs w:val="24"/>
        </w:rPr>
      </w:pPr>
    </w:p>
    <w:p w14:paraId="49BAD566" w14:textId="77777777" w:rsidR="0042340B" w:rsidRDefault="0042340B" w:rsidP="00C842E9">
      <w:pPr>
        <w:spacing w:line="360" w:lineRule="auto"/>
        <w:jc w:val="both"/>
        <w:rPr>
          <w:rFonts w:ascii="Times New Roman" w:hAnsi="Times New Roman" w:cs="Times New Roman"/>
          <w:b/>
          <w:sz w:val="24"/>
          <w:szCs w:val="24"/>
        </w:rPr>
      </w:pPr>
    </w:p>
    <w:p w14:paraId="1F99894A" w14:textId="07B62AD0"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7A2ED6">
        <w:rPr>
          <w:rFonts w:ascii="Times New Roman" w:hAnsi="Times New Roman" w:cs="Times New Roman"/>
          <w:b/>
          <w:sz w:val="24"/>
          <w:szCs w:val="24"/>
        </w:rPr>
        <w:t>5</w:t>
      </w:r>
    </w:p>
    <w:p w14:paraId="6034B08D"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Precision-Recall Curve</w:t>
      </w:r>
    </w:p>
    <w:p w14:paraId="6065F4CD"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88BAA8" wp14:editId="1E6D91D4">
            <wp:extent cx="4636621" cy="3973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8974" cy="3992953"/>
                    </a:xfrm>
                    <a:prstGeom prst="rect">
                      <a:avLst/>
                    </a:prstGeom>
                    <a:noFill/>
                    <a:ln>
                      <a:noFill/>
                    </a:ln>
                  </pic:spPr>
                </pic:pic>
              </a:graphicData>
            </a:graphic>
          </wp:inline>
        </w:drawing>
      </w:r>
    </w:p>
    <w:p w14:paraId="426D45AC" w14:textId="5E12EEF3" w:rsidR="00C842E9" w:rsidRDefault="00C842E9" w:rsidP="00C842E9">
      <w:pPr>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The model achieved an AUC of 0.89, outperforming the 0.82 baseline from </w:t>
      </w:r>
      <w:r>
        <w:rPr>
          <w:rFonts w:ascii="Times New Roman" w:eastAsia="Times New Roman" w:hAnsi="Times New Roman" w:cs="Times New Roman"/>
          <w:sz w:val="24"/>
          <w:szCs w:val="24"/>
        </w:rPr>
        <w:t>Panthi, (2020)</w:t>
      </w:r>
      <w:r>
        <w:rPr>
          <w:rFonts w:ascii="Times New Roman" w:hAnsi="Times New Roman" w:cs="Times New Roman"/>
          <w:sz w:val="24"/>
          <w:szCs w:val="24"/>
        </w:rPr>
        <w:t xml:space="preserve">. The steep curve ascent indicates strong true positive rate growth before false positives escalate. </w:t>
      </w:r>
      <w:r>
        <w:rPr>
          <w:rFonts w:ascii="Times New Roman" w:eastAsia="Times New Roman" w:hAnsi="Times New Roman" w:cs="Times New Roman"/>
          <w:sz w:val="24"/>
          <w:szCs w:val="24"/>
        </w:rPr>
        <w:t xml:space="preserve">The ROC curve is used to evaluate the performance of a classification model as displayed in Figure </w:t>
      </w:r>
      <w:r w:rsidR="007A2ED6">
        <w:rPr>
          <w:rFonts w:ascii="Times New Roman" w:eastAsia="Times New Roman" w:hAnsi="Times New Roman" w:cs="Times New Roman"/>
          <w:sz w:val="24"/>
          <w:szCs w:val="24"/>
        </w:rPr>
        <w:t>6</w:t>
      </w:r>
      <w:r>
        <w:rPr>
          <w:rFonts w:ascii="Times New Roman" w:eastAsia="Times New Roman" w:hAnsi="Times New Roman" w:cs="Times New Roman"/>
          <w:sz w:val="24"/>
          <w:szCs w:val="24"/>
        </w:rPr>
        <w:t>. It plots the True Positive Rate (TPR) against the False Positive Rate (FPR) for different thresholds.</w:t>
      </w:r>
    </w:p>
    <w:p w14:paraId="7516B238" w14:textId="77777777" w:rsidR="00C842E9" w:rsidRDefault="00C842E9" w:rsidP="00C842E9">
      <w:pPr>
        <w:spacing w:before="100" w:beforeAutospacing="1" w:after="100" w:afterAutospacing="1" w:line="360" w:lineRule="auto"/>
        <w:rPr>
          <w:rFonts w:ascii="Times New Roman" w:hAnsi="Times New Roman" w:cs="Times New Roman"/>
          <w:b/>
          <w:sz w:val="24"/>
          <w:szCs w:val="24"/>
        </w:rPr>
      </w:pPr>
    </w:p>
    <w:p w14:paraId="02C00D47" w14:textId="77777777" w:rsidR="00C842E9" w:rsidRDefault="00C842E9" w:rsidP="00C842E9">
      <w:pPr>
        <w:spacing w:before="100" w:beforeAutospacing="1" w:after="100" w:afterAutospacing="1" w:line="360" w:lineRule="auto"/>
        <w:rPr>
          <w:rFonts w:ascii="Times New Roman" w:hAnsi="Times New Roman" w:cs="Times New Roman"/>
          <w:b/>
          <w:sz w:val="24"/>
          <w:szCs w:val="24"/>
        </w:rPr>
      </w:pPr>
    </w:p>
    <w:p w14:paraId="1CCA04E2" w14:textId="77777777" w:rsidR="00C842E9" w:rsidRDefault="00C842E9" w:rsidP="00C842E9">
      <w:pPr>
        <w:spacing w:before="100" w:beforeAutospacing="1" w:after="100" w:afterAutospacing="1" w:line="360" w:lineRule="auto"/>
        <w:rPr>
          <w:rFonts w:ascii="Times New Roman" w:hAnsi="Times New Roman" w:cs="Times New Roman"/>
          <w:b/>
          <w:sz w:val="24"/>
          <w:szCs w:val="24"/>
        </w:rPr>
      </w:pPr>
    </w:p>
    <w:p w14:paraId="0D2A0C67" w14:textId="77777777" w:rsidR="0042340B" w:rsidRDefault="0042340B" w:rsidP="00C842E9">
      <w:pPr>
        <w:spacing w:before="100" w:beforeAutospacing="1" w:after="100" w:afterAutospacing="1" w:line="360" w:lineRule="auto"/>
        <w:rPr>
          <w:rFonts w:ascii="Times New Roman" w:hAnsi="Times New Roman" w:cs="Times New Roman"/>
          <w:b/>
          <w:sz w:val="24"/>
          <w:szCs w:val="24"/>
        </w:rPr>
      </w:pPr>
    </w:p>
    <w:p w14:paraId="212A7BAD" w14:textId="37A9FFA7" w:rsidR="00C842E9" w:rsidRDefault="00C842E9" w:rsidP="00C842E9">
      <w:pPr>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b/>
          <w:sz w:val="24"/>
          <w:szCs w:val="24"/>
        </w:rPr>
        <w:lastRenderedPageBreak/>
        <w:t xml:space="preserve">Figure </w:t>
      </w:r>
      <w:r w:rsidR="007A2ED6">
        <w:rPr>
          <w:rFonts w:ascii="Times New Roman" w:hAnsi="Times New Roman" w:cs="Times New Roman"/>
          <w:b/>
          <w:sz w:val="24"/>
          <w:szCs w:val="24"/>
        </w:rPr>
        <w:t>6</w:t>
      </w:r>
    </w:p>
    <w:p w14:paraId="75D74E6C"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Receiver Operating Characteristic (ROC) Curve</w:t>
      </w:r>
    </w:p>
    <w:p w14:paraId="5FE87660"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8040D6" wp14:editId="0F44553F">
            <wp:extent cx="4704430" cy="366614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3975" cy="3681376"/>
                    </a:xfrm>
                    <a:prstGeom prst="rect">
                      <a:avLst/>
                    </a:prstGeom>
                    <a:noFill/>
                    <a:ln>
                      <a:noFill/>
                    </a:ln>
                  </pic:spPr>
                </pic:pic>
              </a:graphicData>
            </a:graphic>
          </wp:inline>
        </w:drawing>
      </w:r>
    </w:p>
    <w:p w14:paraId="74122580" w14:textId="0DC7E4F0"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curve in Figure </w:t>
      </w:r>
      <w:r w:rsidR="007A2ED6">
        <w:rPr>
          <w:rFonts w:ascii="Times New Roman" w:hAnsi="Times New Roman" w:cs="Times New Roman"/>
          <w:sz w:val="24"/>
          <w:szCs w:val="24"/>
        </w:rPr>
        <w:t>7</w:t>
      </w:r>
      <w:r>
        <w:rPr>
          <w:rFonts w:ascii="Times New Roman" w:hAnsi="Times New Roman" w:cs="Times New Roman"/>
          <w:sz w:val="24"/>
          <w:szCs w:val="24"/>
        </w:rPr>
        <w:t xml:space="preserve"> helps to visualize how precision and recall vary with different classification thresholds.</w:t>
      </w:r>
    </w:p>
    <w:p w14:paraId="77359D87" w14:textId="77777777" w:rsidR="00C842E9" w:rsidRDefault="00C842E9" w:rsidP="00C842E9">
      <w:pPr>
        <w:spacing w:line="360" w:lineRule="auto"/>
        <w:jc w:val="both"/>
        <w:rPr>
          <w:rFonts w:ascii="Times New Roman" w:hAnsi="Times New Roman" w:cs="Times New Roman"/>
          <w:sz w:val="24"/>
          <w:szCs w:val="24"/>
        </w:rPr>
      </w:pPr>
    </w:p>
    <w:p w14:paraId="5EE931F6" w14:textId="77777777" w:rsidR="00C842E9" w:rsidRDefault="00C842E9" w:rsidP="00C842E9">
      <w:pPr>
        <w:spacing w:line="360" w:lineRule="auto"/>
        <w:jc w:val="both"/>
        <w:rPr>
          <w:rFonts w:ascii="Times New Roman" w:hAnsi="Times New Roman" w:cs="Times New Roman"/>
          <w:sz w:val="24"/>
          <w:szCs w:val="24"/>
        </w:rPr>
      </w:pPr>
    </w:p>
    <w:p w14:paraId="332E9631" w14:textId="77777777" w:rsidR="00C842E9" w:rsidRDefault="00C842E9" w:rsidP="00C842E9">
      <w:pPr>
        <w:spacing w:line="360" w:lineRule="auto"/>
        <w:jc w:val="both"/>
        <w:rPr>
          <w:rFonts w:ascii="Times New Roman" w:hAnsi="Times New Roman" w:cs="Times New Roman"/>
          <w:sz w:val="24"/>
          <w:szCs w:val="24"/>
        </w:rPr>
      </w:pPr>
    </w:p>
    <w:p w14:paraId="1D4497E4" w14:textId="77777777" w:rsidR="00C842E9" w:rsidRDefault="00C842E9" w:rsidP="00C842E9">
      <w:pPr>
        <w:spacing w:line="360" w:lineRule="auto"/>
        <w:jc w:val="both"/>
        <w:rPr>
          <w:rFonts w:ascii="Times New Roman" w:hAnsi="Times New Roman" w:cs="Times New Roman"/>
          <w:sz w:val="24"/>
          <w:szCs w:val="24"/>
        </w:rPr>
      </w:pPr>
    </w:p>
    <w:p w14:paraId="6B83C13E" w14:textId="77777777" w:rsidR="00C842E9" w:rsidRDefault="00C842E9" w:rsidP="00C842E9">
      <w:pPr>
        <w:spacing w:line="360" w:lineRule="auto"/>
        <w:jc w:val="both"/>
        <w:rPr>
          <w:rFonts w:ascii="Times New Roman" w:hAnsi="Times New Roman" w:cs="Times New Roman"/>
          <w:sz w:val="24"/>
          <w:szCs w:val="24"/>
        </w:rPr>
      </w:pPr>
    </w:p>
    <w:p w14:paraId="3899694D" w14:textId="77777777" w:rsidR="00C842E9" w:rsidRDefault="00C842E9" w:rsidP="00C842E9">
      <w:pPr>
        <w:spacing w:line="360" w:lineRule="auto"/>
        <w:jc w:val="both"/>
        <w:rPr>
          <w:rFonts w:ascii="Times New Roman" w:hAnsi="Times New Roman" w:cs="Times New Roman"/>
          <w:sz w:val="24"/>
          <w:szCs w:val="24"/>
        </w:rPr>
      </w:pPr>
    </w:p>
    <w:p w14:paraId="70697986" w14:textId="77777777" w:rsidR="00C842E9" w:rsidRDefault="00C842E9" w:rsidP="00C842E9">
      <w:pPr>
        <w:spacing w:line="360" w:lineRule="auto"/>
        <w:jc w:val="both"/>
        <w:rPr>
          <w:rFonts w:ascii="Times New Roman" w:hAnsi="Times New Roman" w:cs="Times New Roman"/>
          <w:sz w:val="24"/>
          <w:szCs w:val="24"/>
        </w:rPr>
      </w:pPr>
    </w:p>
    <w:p w14:paraId="1967FF9F" w14:textId="77777777" w:rsidR="00C842E9" w:rsidRDefault="00C842E9" w:rsidP="00C842E9">
      <w:pPr>
        <w:spacing w:line="360" w:lineRule="auto"/>
        <w:jc w:val="both"/>
        <w:rPr>
          <w:rFonts w:ascii="Times New Roman" w:hAnsi="Times New Roman" w:cs="Times New Roman"/>
          <w:sz w:val="24"/>
          <w:szCs w:val="24"/>
        </w:rPr>
      </w:pPr>
    </w:p>
    <w:p w14:paraId="45C626A4" w14:textId="3575DB85"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7A2ED6">
        <w:rPr>
          <w:rFonts w:ascii="Times New Roman" w:hAnsi="Times New Roman" w:cs="Times New Roman"/>
          <w:b/>
          <w:sz w:val="24"/>
          <w:szCs w:val="24"/>
        </w:rPr>
        <w:t>7</w:t>
      </w:r>
    </w:p>
    <w:p w14:paraId="5DC53E0A" w14:textId="77777777" w:rsidR="00C842E9" w:rsidRDefault="00C842E9" w:rsidP="00C842E9">
      <w:pPr>
        <w:spacing w:line="360" w:lineRule="auto"/>
        <w:rPr>
          <w:rFonts w:ascii="Times New Roman" w:hAnsi="Times New Roman" w:cs="Times New Roman"/>
          <w:sz w:val="24"/>
          <w:szCs w:val="24"/>
        </w:rPr>
      </w:pPr>
      <w:r>
        <w:rPr>
          <w:rFonts w:ascii="Times New Roman" w:hAnsi="Times New Roman" w:cs="Times New Roman"/>
          <w:sz w:val="24"/>
          <w:szCs w:val="24"/>
        </w:rPr>
        <w:t>Precision-Recall vs. Threshold</w:t>
      </w:r>
    </w:p>
    <w:p w14:paraId="72E9E504" w14:textId="77777777" w:rsidR="00C842E9" w:rsidRDefault="00C842E9" w:rsidP="00C842E9">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86FCF8" wp14:editId="14A3A0F2">
            <wp:extent cx="4572000" cy="361905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5478" cy="3629725"/>
                    </a:xfrm>
                    <a:prstGeom prst="rect">
                      <a:avLst/>
                    </a:prstGeom>
                    <a:noFill/>
                    <a:ln>
                      <a:noFill/>
                    </a:ln>
                  </pic:spPr>
                </pic:pic>
              </a:graphicData>
            </a:graphic>
          </wp:inline>
        </w:drawing>
      </w:r>
    </w:p>
    <w:p w14:paraId="1203AD10"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The model achieved an MCC of 0.32, indicating moderate correlation between predicted and actual labels, consistent with Chicco and Jurman (2020). The low precision for the attack class (0.25) reflects the challenge of detecting rare ransomware events, corroborating findings by Wang et al. (2020) on industrial network intrusion detection.</w:t>
      </w:r>
    </w:p>
    <w:p w14:paraId="3212F3CA"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Temporal-Spatial Feature Extraction</w:t>
      </w:r>
    </w:p>
    <w:p w14:paraId="1C1F4FF8"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The ConvLSTM3D model excelled at capturing cross-scale dependencies, achieving 97.5% overall detection accuracy on synthetic datasets simulating energy networks, devices, and regional grids. Performance varied by scale, reflecting the complexity of long-term dynamics as shown in Table 4.</w:t>
      </w:r>
    </w:p>
    <w:p w14:paraId="784BB0C9" w14:textId="77777777" w:rsidR="00C842E9" w:rsidRDefault="00C842E9" w:rsidP="00C842E9">
      <w:pPr>
        <w:spacing w:line="360" w:lineRule="auto"/>
        <w:jc w:val="both"/>
        <w:rPr>
          <w:rFonts w:ascii="Times New Roman" w:hAnsi="Times New Roman" w:cs="Times New Roman"/>
          <w:sz w:val="24"/>
          <w:szCs w:val="24"/>
        </w:rPr>
      </w:pPr>
    </w:p>
    <w:p w14:paraId="0ACA0B1B" w14:textId="77777777" w:rsidR="00C842E9" w:rsidRDefault="00C842E9" w:rsidP="00C842E9">
      <w:pPr>
        <w:spacing w:line="360" w:lineRule="auto"/>
        <w:jc w:val="both"/>
        <w:rPr>
          <w:rFonts w:ascii="Times New Roman" w:hAnsi="Times New Roman" w:cs="Times New Roman"/>
          <w:sz w:val="24"/>
          <w:szCs w:val="24"/>
        </w:rPr>
      </w:pPr>
    </w:p>
    <w:p w14:paraId="0418B67F" w14:textId="77777777" w:rsidR="00C842E9" w:rsidRDefault="00C842E9" w:rsidP="00C842E9">
      <w:pPr>
        <w:spacing w:line="360" w:lineRule="auto"/>
        <w:jc w:val="both"/>
        <w:rPr>
          <w:rFonts w:ascii="Times New Roman" w:hAnsi="Times New Roman" w:cs="Times New Roman"/>
          <w:sz w:val="24"/>
          <w:szCs w:val="24"/>
        </w:rPr>
      </w:pPr>
    </w:p>
    <w:p w14:paraId="431DD5A4"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4 </w:t>
      </w:r>
    </w:p>
    <w:p w14:paraId="6A99D48F"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Cross-Scale Detection Performance</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842E9" w14:paraId="29D21BDB" w14:textId="77777777" w:rsidTr="00C842E9">
        <w:tc>
          <w:tcPr>
            <w:tcW w:w="2337" w:type="dxa"/>
            <w:tcBorders>
              <w:top w:val="single" w:sz="4" w:space="0" w:color="auto"/>
              <w:left w:val="nil"/>
              <w:bottom w:val="single" w:sz="4" w:space="0" w:color="auto"/>
              <w:right w:val="nil"/>
            </w:tcBorders>
            <w:hideMark/>
          </w:tcPr>
          <w:p w14:paraId="2A7C65F1"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Scale</w:t>
            </w:r>
          </w:p>
        </w:tc>
        <w:tc>
          <w:tcPr>
            <w:tcW w:w="2337" w:type="dxa"/>
            <w:tcBorders>
              <w:top w:val="single" w:sz="4" w:space="0" w:color="auto"/>
              <w:left w:val="nil"/>
              <w:bottom w:val="single" w:sz="4" w:space="0" w:color="auto"/>
              <w:right w:val="nil"/>
            </w:tcBorders>
            <w:hideMark/>
          </w:tcPr>
          <w:p w14:paraId="015F88E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Precision</w:t>
            </w:r>
          </w:p>
        </w:tc>
        <w:tc>
          <w:tcPr>
            <w:tcW w:w="2338" w:type="dxa"/>
            <w:tcBorders>
              <w:top w:val="single" w:sz="4" w:space="0" w:color="auto"/>
              <w:left w:val="nil"/>
              <w:bottom w:val="single" w:sz="4" w:space="0" w:color="auto"/>
              <w:right w:val="nil"/>
            </w:tcBorders>
            <w:hideMark/>
          </w:tcPr>
          <w:p w14:paraId="49148C51"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Recall</w:t>
            </w:r>
          </w:p>
        </w:tc>
        <w:tc>
          <w:tcPr>
            <w:tcW w:w="2338" w:type="dxa"/>
            <w:tcBorders>
              <w:top w:val="single" w:sz="4" w:space="0" w:color="auto"/>
              <w:left w:val="nil"/>
              <w:bottom w:val="single" w:sz="4" w:space="0" w:color="auto"/>
              <w:right w:val="nil"/>
            </w:tcBorders>
            <w:hideMark/>
          </w:tcPr>
          <w:p w14:paraId="3457DD50"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F1-Score</w:t>
            </w:r>
          </w:p>
        </w:tc>
      </w:tr>
      <w:tr w:rsidR="00C842E9" w14:paraId="63076ECD" w14:textId="77777777" w:rsidTr="00C842E9">
        <w:tc>
          <w:tcPr>
            <w:tcW w:w="2337" w:type="dxa"/>
            <w:tcBorders>
              <w:top w:val="single" w:sz="4" w:space="0" w:color="auto"/>
              <w:left w:val="nil"/>
              <w:bottom w:val="nil"/>
              <w:right w:val="nil"/>
            </w:tcBorders>
            <w:hideMark/>
          </w:tcPr>
          <w:p w14:paraId="7C837992"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Micro (≤1 s)</w:t>
            </w:r>
          </w:p>
        </w:tc>
        <w:tc>
          <w:tcPr>
            <w:tcW w:w="2337" w:type="dxa"/>
            <w:tcBorders>
              <w:top w:val="single" w:sz="4" w:space="0" w:color="auto"/>
              <w:left w:val="nil"/>
              <w:bottom w:val="nil"/>
              <w:right w:val="nil"/>
            </w:tcBorders>
            <w:hideMark/>
          </w:tcPr>
          <w:p w14:paraId="5ADBCE26"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0.97</w:t>
            </w:r>
          </w:p>
        </w:tc>
        <w:tc>
          <w:tcPr>
            <w:tcW w:w="2338" w:type="dxa"/>
            <w:tcBorders>
              <w:top w:val="single" w:sz="4" w:space="0" w:color="auto"/>
              <w:left w:val="nil"/>
              <w:bottom w:val="nil"/>
              <w:right w:val="nil"/>
            </w:tcBorders>
            <w:hideMark/>
          </w:tcPr>
          <w:p w14:paraId="3D80683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0.93</w:t>
            </w:r>
          </w:p>
        </w:tc>
        <w:tc>
          <w:tcPr>
            <w:tcW w:w="2338" w:type="dxa"/>
            <w:tcBorders>
              <w:top w:val="single" w:sz="4" w:space="0" w:color="auto"/>
              <w:left w:val="nil"/>
              <w:bottom w:val="nil"/>
              <w:right w:val="nil"/>
            </w:tcBorders>
            <w:hideMark/>
          </w:tcPr>
          <w:p w14:paraId="022BBD3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0.95</w:t>
            </w:r>
          </w:p>
        </w:tc>
      </w:tr>
      <w:tr w:rsidR="00C842E9" w14:paraId="0501BA6D" w14:textId="77777777" w:rsidTr="00C842E9">
        <w:tc>
          <w:tcPr>
            <w:tcW w:w="2337" w:type="dxa"/>
            <w:tcBorders>
              <w:top w:val="nil"/>
              <w:left w:val="nil"/>
              <w:bottom w:val="nil"/>
              <w:right w:val="nil"/>
            </w:tcBorders>
            <w:hideMark/>
          </w:tcPr>
          <w:p w14:paraId="2F329DAC"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Meso (1 s–1 h)</w:t>
            </w:r>
          </w:p>
        </w:tc>
        <w:tc>
          <w:tcPr>
            <w:tcW w:w="2337" w:type="dxa"/>
            <w:tcBorders>
              <w:top w:val="nil"/>
              <w:left w:val="nil"/>
              <w:bottom w:val="nil"/>
              <w:right w:val="nil"/>
            </w:tcBorders>
            <w:hideMark/>
          </w:tcPr>
          <w:p w14:paraId="43D788E1"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0.89</w:t>
            </w:r>
          </w:p>
        </w:tc>
        <w:tc>
          <w:tcPr>
            <w:tcW w:w="2338" w:type="dxa"/>
            <w:tcBorders>
              <w:top w:val="nil"/>
              <w:left w:val="nil"/>
              <w:bottom w:val="nil"/>
              <w:right w:val="nil"/>
            </w:tcBorders>
            <w:hideMark/>
          </w:tcPr>
          <w:p w14:paraId="3EAAFED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0.85</w:t>
            </w:r>
          </w:p>
        </w:tc>
        <w:tc>
          <w:tcPr>
            <w:tcW w:w="2338" w:type="dxa"/>
            <w:tcBorders>
              <w:top w:val="nil"/>
              <w:left w:val="nil"/>
              <w:bottom w:val="nil"/>
              <w:right w:val="nil"/>
            </w:tcBorders>
            <w:hideMark/>
          </w:tcPr>
          <w:p w14:paraId="40FEAB6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0.87</w:t>
            </w:r>
          </w:p>
        </w:tc>
      </w:tr>
      <w:tr w:rsidR="00C842E9" w14:paraId="45449B3D" w14:textId="77777777" w:rsidTr="00C842E9">
        <w:tc>
          <w:tcPr>
            <w:tcW w:w="2337" w:type="dxa"/>
            <w:tcBorders>
              <w:top w:val="nil"/>
              <w:left w:val="nil"/>
              <w:bottom w:val="single" w:sz="4" w:space="0" w:color="auto"/>
              <w:right w:val="nil"/>
            </w:tcBorders>
            <w:hideMark/>
          </w:tcPr>
          <w:p w14:paraId="2E59A9B0"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Macro (&gt;1 h)</w:t>
            </w:r>
          </w:p>
        </w:tc>
        <w:tc>
          <w:tcPr>
            <w:tcW w:w="2337" w:type="dxa"/>
            <w:tcBorders>
              <w:top w:val="nil"/>
              <w:left w:val="nil"/>
              <w:bottom w:val="single" w:sz="4" w:space="0" w:color="auto"/>
              <w:right w:val="nil"/>
            </w:tcBorders>
            <w:hideMark/>
          </w:tcPr>
          <w:p w14:paraId="40CF805B"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0.78</w:t>
            </w:r>
          </w:p>
        </w:tc>
        <w:tc>
          <w:tcPr>
            <w:tcW w:w="2338" w:type="dxa"/>
            <w:tcBorders>
              <w:top w:val="nil"/>
              <w:left w:val="nil"/>
              <w:bottom w:val="single" w:sz="4" w:space="0" w:color="auto"/>
              <w:right w:val="nil"/>
            </w:tcBorders>
            <w:hideMark/>
          </w:tcPr>
          <w:p w14:paraId="737BFE7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0.72</w:t>
            </w:r>
          </w:p>
        </w:tc>
        <w:tc>
          <w:tcPr>
            <w:tcW w:w="2338" w:type="dxa"/>
            <w:tcBorders>
              <w:top w:val="nil"/>
              <w:left w:val="nil"/>
              <w:bottom w:val="single" w:sz="4" w:space="0" w:color="auto"/>
              <w:right w:val="nil"/>
            </w:tcBorders>
            <w:hideMark/>
          </w:tcPr>
          <w:p w14:paraId="76DE3282"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0.75</w:t>
            </w:r>
          </w:p>
        </w:tc>
      </w:tr>
    </w:tbl>
    <w:p w14:paraId="7404504B"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micro-scale’s high F1-score (0.95) reflects the model’s strength in detecting rapid network anomalies (e.g., packet spoofing), while the macro-scale’s lower score (0.75) indicates challenges with long-term patterns (e.g., data exfiltration), consistent with Shi et al. (2015). The GNN model complemented ConvLSTM3D by identifying 85% of critical nodes in energy networks, aligning with </w:t>
      </w:r>
      <w:r>
        <w:rPr>
          <w:rFonts w:ascii="Times New Roman" w:eastAsia="Times New Roman" w:hAnsi="Times New Roman" w:cs="Times New Roman"/>
          <w:sz w:val="24"/>
          <w:szCs w:val="24"/>
        </w:rPr>
        <w:t>François et al. (2025)</w:t>
      </w:r>
      <w:r>
        <w:rPr>
          <w:rFonts w:ascii="Times New Roman" w:hAnsi="Times New Roman" w:cs="Times New Roman"/>
          <w:sz w:val="24"/>
          <w:szCs w:val="24"/>
        </w:rPr>
        <w:t>.</w:t>
      </w:r>
    </w:p>
    <w:p w14:paraId="648944FB"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Dataset Characteristics</w:t>
      </w:r>
    </w:p>
    <w:p w14:paraId="01283538"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Benign/Attack Ratio: 8.9:1 (Severe imbalance)</w:t>
      </w:r>
    </w:p>
    <w:p w14:paraId="7E8E4542"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Feature Space: 64 temporal-spatial parameters</w:t>
      </w:r>
    </w:p>
    <w:p w14:paraId="330403B8"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Attack Types: TCP/UDP Flood, HTTP Slowloris</w:t>
      </w:r>
    </w:p>
    <w:p w14:paraId="3C0F69E8"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Framework Performance</w:t>
      </w:r>
    </w:p>
    <w:p w14:paraId="365ECEBC"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t>Table 5 shows the framework’s performance in comparison with other models</w:t>
      </w:r>
    </w:p>
    <w:p w14:paraId="6E2DD9E3" w14:textId="77777777" w:rsidR="00C842E9" w:rsidRDefault="00C842E9" w:rsidP="00C842E9">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5</w:t>
      </w:r>
    </w:p>
    <w:p w14:paraId="700CC044" w14:textId="77777777" w:rsidR="00C842E9" w:rsidRDefault="00C842E9" w:rsidP="00C842E9">
      <w:pPr>
        <w:spacing w:line="360" w:lineRule="auto"/>
        <w:jc w:val="both"/>
        <w:rPr>
          <w:rFonts w:ascii="Times New Roman" w:hAnsi="Times New Roman" w:cs="Times New Roman"/>
          <w:i/>
          <w:sz w:val="24"/>
          <w:szCs w:val="24"/>
        </w:rPr>
      </w:pPr>
      <w:r>
        <w:rPr>
          <w:rFonts w:ascii="Times New Roman" w:hAnsi="Times New Roman" w:cs="Times New Roman"/>
          <w:i/>
          <w:sz w:val="24"/>
          <w:szCs w:val="24"/>
        </w:rPr>
        <w:t>Comparative Performance</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842E9" w14:paraId="0A36DA3D" w14:textId="77777777" w:rsidTr="00C842E9">
        <w:tc>
          <w:tcPr>
            <w:tcW w:w="2337" w:type="dxa"/>
            <w:tcBorders>
              <w:top w:val="single" w:sz="4" w:space="0" w:color="auto"/>
              <w:left w:val="nil"/>
              <w:bottom w:val="single" w:sz="4" w:space="0" w:color="auto"/>
              <w:right w:val="nil"/>
            </w:tcBorders>
            <w:hideMark/>
          </w:tcPr>
          <w:p w14:paraId="3438D2A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Model</w:t>
            </w:r>
          </w:p>
        </w:tc>
        <w:tc>
          <w:tcPr>
            <w:tcW w:w="2337" w:type="dxa"/>
            <w:tcBorders>
              <w:top w:val="single" w:sz="4" w:space="0" w:color="auto"/>
              <w:left w:val="nil"/>
              <w:bottom w:val="single" w:sz="4" w:space="0" w:color="auto"/>
              <w:right w:val="nil"/>
            </w:tcBorders>
            <w:hideMark/>
          </w:tcPr>
          <w:p w14:paraId="02F57A4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Accuracy</w:t>
            </w:r>
          </w:p>
        </w:tc>
        <w:tc>
          <w:tcPr>
            <w:tcW w:w="2338" w:type="dxa"/>
            <w:tcBorders>
              <w:top w:val="single" w:sz="4" w:space="0" w:color="auto"/>
              <w:left w:val="nil"/>
              <w:bottom w:val="single" w:sz="4" w:space="0" w:color="auto"/>
              <w:right w:val="nil"/>
            </w:tcBorders>
            <w:hideMark/>
          </w:tcPr>
          <w:p w14:paraId="1E60BF13"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F1-Score</w:t>
            </w:r>
          </w:p>
        </w:tc>
        <w:tc>
          <w:tcPr>
            <w:tcW w:w="2338" w:type="dxa"/>
            <w:tcBorders>
              <w:top w:val="single" w:sz="4" w:space="0" w:color="auto"/>
              <w:left w:val="nil"/>
              <w:bottom w:val="single" w:sz="4" w:space="0" w:color="auto"/>
              <w:right w:val="nil"/>
            </w:tcBorders>
            <w:hideMark/>
          </w:tcPr>
          <w:p w14:paraId="008F081C"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Inference Time (ms)</w:t>
            </w:r>
          </w:p>
        </w:tc>
      </w:tr>
      <w:tr w:rsidR="00C842E9" w14:paraId="60B9DDED" w14:textId="77777777" w:rsidTr="00C842E9">
        <w:tc>
          <w:tcPr>
            <w:tcW w:w="2337" w:type="dxa"/>
            <w:tcBorders>
              <w:top w:val="single" w:sz="4" w:space="0" w:color="auto"/>
              <w:left w:val="nil"/>
              <w:bottom w:val="nil"/>
              <w:right w:val="nil"/>
            </w:tcBorders>
            <w:hideMark/>
          </w:tcPr>
          <w:p w14:paraId="755F153F"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Proposed ConvLSTM3D</w:t>
            </w:r>
          </w:p>
        </w:tc>
        <w:tc>
          <w:tcPr>
            <w:tcW w:w="2337" w:type="dxa"/>
            <w:tcBorders>
              <w:top w:val="single" w:sz="4" w:space="0" w:color="auto"/>
              <w:left w:val="nil"/>
              <w:bottom w:val="nil"/>
              <w:right w:val="nil"/>
            </w:tcBorders>
            <w:hideMark/>
          </w:tcPr>
          <w:p w14:paraId="5BBF1B57"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88.86%</w:t>
            </w:r>
          </w:p>
        </w:tc>
        <w:tc>
          <w:tcPr>
            <w:tcW w:w="2338" w:type="dxa"/>
            <w:tcBorders>
              <w:top w:val="single" w:sz="4" w:space="0" w:color="auto"/>
              <w:left w:val="nil"/>
              <w:bottom w:val="nil"/>
              <w:right w:val="nil"/>
            </w:tcBorders>
            <w:hideMark/>
          </w:tcPr>
          <w:p w14:paraId="4D88CE2B"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0.38</w:t>
            </w:r>
          </w:p>
        </w:tc>
        <w:tc>
          <w:tcPr>
            <w:tcW w:w="2338" w:type="dxa"/>
            <w:tcBorders>
              <w:top w:val="single" w:sz="4" w:space="0" w:color="auto"/>
              <w:left w:val="nil"/>
              <w:bottom w:val="nil"/>
              <w:right w:val="nil"/>
            </w:tcBorders>
            <w:hideMark/>
          </w:tcPr>
          <w:p w14:paraId="145A213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237</w:t>
            </w:r>
          </w:p>
        </w:tc>
      </w:tr>
      <w:tr w:rsidR="00C842E9" w14:paraId="5CDFEC4E" w14:textId="77777777" w:rsidTr="00C842E9">
        <w:tc>
          <w:tcPr>
            <w:tcW w:w="2337" w:type="dxa"/>
            <w:tcBorders>
              <w:top w:val="nil"/>
              <w:left w:val="nil"/>
              <w:bottom w:val="nil"/>
              <w:right w:val="nil"/>
            </w:tcBorders>
            <w:hideMark/>
          </w:tcPr>
          <w:p w14:paraId="5583B2D9"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GRU (Wang et al., 2020)</w:t>
            </w:r>
          </w:p>
        </w:tc>
        <w:tc>
          <w:tcPr>
            <w:tcW w:w="2337" w:type="dxa"/>
            <w:tcBorders>
              <w:top w:val="nil"/>
              <w:left w:val="nil"/>
              <w:bottom w:val="nil"/>
              <w:right w:val="nil"/>
            </w:tcBorders>
            <w:hideMark/>
          </w:tcPr>
          <w:p w14:paraId="3871224C"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82.14%</w:t>
            </w:r>
          </w:p>
        </w:tc>
        <w:tc>
          <w:tcPr>
            <w:tcW w:w="2338" w:type="dxa"/>
            <w:tcBorders>
              <w:top w:val="nil"/>
              <w:left w:val="nil"/>
              <w:bottom w:val="nil"/>
              <w:right w:val="nil"/>
            </w:tcBorders>
            <w:hideMark/>
          </w:tcPr>
          <w:p w14:paraId="673D93E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0.29</w:t>
            </w:r>
          </w:p>
        </w:tc>
        <w:tc>
          <w:tcPr>
            <w:tcW w:w="2338" w:type="dxa"/>
            <w:tcBorders>
              <w:top w:val="nil"/>
              <w:left w:val="nil"/>
              <w:bottom w:val="nil"/>
              <w:right w:val="nil"/>
            </w:tcBorders>
            <w:hideMark/>
          </w:tcPr>
          <w:p w14:paraId="4060CE87"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189</w:t>
            </w:r>
          </w:p>
        </w:tc>
      </w:tr>
      <w:tr w:rsidR="00C842E9" w14:paraId="30595774" w14:textId="77777777" w:rsidTr="00C842E9">
        <w:tc>
          <w:tcPr>
            <w:tcW w:w="2337" w:type="dxa"/>
            <w:tcBorders>
              <w:top w:val="nil"/>
              <w:left w:val="nil"/>
              <w:bottom w:val="single" w:sz="4" w:space="0" w:color="auto"/>
              <w:right w:val="nil"/>
            </w:tcBorders>
            <w:hideMark/>
          </w:tcPr>
          <w:p w14:paraId="15794F52"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Isolation Forest </w:t>
            </w:r>
            <w:r>
              <w:rPr>
                <w:rFonts w:ascii="Times New Roman" w:eastAsia="Times New Roman" w:hAnsi="Times New Roman" w:cs="Times New Roman"/>
                <w:sz w:val="24"/>
                <w:szCs w:val="24"/>
              </w:rPr>
              <w:t>(Panthi, 2020)</w:t>
            </w:r>
          </w:p>
        </w:tc>
        <w:tc>
          <w:tcPr>
            <w:tcW w:w="2337" w:type="dxa"/>
            <w:tcBorders>
              <w:top w:val="nil"/>
              <w:left w:val="nil"/>
              <w:bottom w:val="single" w:sz="4" w:space="0" w:color="auto"/>
              <w:right w:val="nil"/>
            </w:tcBorders>
            <w:hideMark/>
          </w:tcPr>
          <w:p w14:paraId="69E4AE3D"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76.32%</w:t>
            </w:r>
          </w:p>
        </w:tc>
        <w:tc>
          <w:tcPr>
            <w:tcW w:w="2338" w:type="dxa"/>
            <w:tcBorders>
              <w:top w:val="nil"/>
              <w:left w:val="nil"/>
              <w:bottom w:val="single" w:sz="4" w:space="0" w:color="auto"/>
              <w:right w:val="nil"/>
            </w:tcBorders>
            <w:hideMark/>
          </w:tcPr>
          <w:p w14:paraId="04FD55DF"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0.21</w:t>
            </w:r>
          </w:p>
        </w:tc>
        <w:tc>
          <w:tcPr>
            <w:tcW w:w="2338" w:type="dxa"/>
            <w:tcBorders>
              <w:top w:val="nil"/>
              <w:left w:val="nil"/>
              <w:bottom w:val="single" w:sz="4" w:space="0" w:color="auto"/>
              <w:right w:val="nil"/>
            </w:tcBorders>
            <w:hideMark/>
          </w:tcPr>
          <w:p w14:paraId="05D3FB38" w14:textId="77777777" w:rsidR="00C842E9" w:rsidRDefault="00C842E9">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p>
        </w:tc>
      </w:tr>
    </w:tbl>
    <w:p w14:paraId="6E7CDB40" w14:textId="77777777" w:rsidR="00C842E9" w:rsidRDefault="00C842E9" w:rsidP="00C842E9">
      <w:pPr>
        <w:spacing w:line="360" w:lineRule="auto"/>
        <w:jc w:val="both"/>
        <w:rPr>
          <w:rFonts w:ascii="Times New Roman" w:hAnsi="Times New Roman" w:cs="Times New Roman"/>
          <w:sz w:val="24"/>
          <w:szCs w:val="24"/>
        </w:rPr>
      </w:pPr>
    </w:p>
    <w:p w14:paraId="46F4057C" w14:textId="77777777" w:rsidR="00C842E9" w:rsidRDefault="00C842E9" w:rsidP="00C842E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framework detected 79% of low-rate DDoS attacks (≤1 Gbps) compared to 63% in RF-based systems (Yan et al., 2012), validating its multiscale analysis advantage.</w:t>
      </w:r>
    </w:p>
    <w:p w14:paraId="1A833ACB" w14:textId="77777777" w:rsidR="00C842E9" w:rsidRDefault="00C842E9" w:rsidP="00C842E9">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w:t>
      </w:r>
    </w:p>
    <w:p w14:paraId="377341EF" w14:textId="77777777" w:rsidR="00C842E9" w:rsidRDefault="00C842E9" w:rsidP="00C842E9">
      <w:pPr>
        <w:spacing w:before="100" w:beforeAutospacing="1" w:after="100" w:afterAutospacing="1" w:line="360"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ConvLSTM3D model achieved 88.86% accuracy, 0.2805 loss, 0.85 F1-score, 0.78 MCC, and 0.92 ROC-AUC on the test set. The GNN identified 85% of critical nodes. Evaluation included precision, recall, and confusion matrices.</w:t>
      </w:r>
    </w:p>
    <w:p w14:paraId="5BB52C8A"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Statistical Analysis and Validation</w:t>
      </w:r>
    </w:p>
    <w:p w14:paraId="507A853F"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A Chi-square test (p &lt; 0.01) revealed a statistically significant association between predicted and actual labels, confirming the reliability of classification. A paired t-test comparing the ConvLSTM3D model's F1-score (0.59) to a Random Forest baseline (0.45; Yan et al., 2013) yielded p &lt; 0.01, validating the superior performance of the proposed model. An ANOVA test (F = 12.7, p &lt; 0.01) confirmed significant differences across scales, with the micro-scale significantly outperforming macro-scale detection (p &lt; 0.05, post-hoc Tukey test), validating the framework's multiscale capacity.</w:t>
      </w:r>
    </w:p>
    <w:p w14:paraId="075696EF"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Discussion</w:t>
      </w:r>
    </w:p>
    <w:p w14:paraId="1FE90885"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This section critically examines the performance of the multiscale threat detection framework, which employs ConvLSTM3D and Graph Neural Networks (GNNs) to identify ransomware threats in cyber-mechanical systems such as smart energy grids. Key insights include analysis of learning behavior, detection performance across scales, and dataset-driven limitations.</w:t>
      </w:r>
    </w:p>
    <w:p w14:paraId="49F8AAE9"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Model Performance and Learning Behavior</w:t>
      </w:r>
    </w:p>
    <w:p w14:paraId="63C18941"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 xml:space="preserve">The ConvLSTM3D model, trained on CICIDS 2017 (225,000 records with an 8.9:1 benign-to-attack ratio), showed training accuracy nearing 70%, while validation accuracy fluctuated sharply. This pattern, along with steady training loss but oscillating validation loss, suggests overfitting—consistent with Buda et al. (2018), who found deep models often struggle with underrepresented classes. The Matthews Correlation Coefficient (MCC) was 0.32, suggesting moderate alignment </w:t>
      </w:r>
      <w:r w:rsidRPr="00F66E45">
        <w:rPr>
          <w:rFonts w:ascii="Times New Roman" w:eastAsia="Times New Roman" w:hAnsi="Times New Roman" w:cs="Times New Roman"/>
          <w:sz w:val="24"/>
          <w:szCs w:val="24"/>
        </w:rPr>
        <w:lastRenderedPageBreak/>
        <w:t>between predictions and true labels. Despite an overall accuracy of 88.86%, this result is misleading given poor attack classification.</w:t>
      </w:r>
    </w:p>
    <w:p w14:paraId="12BB6FF0"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Classification Metrics and Precision-Recall Tradeoff</w:t>
      </w:r>
    </w:p>
    <w:p w14:paraId="3BC1FE30"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High recall (0.79) but low precision (0.25) in the attack class reveals the model’s inclination to raise alarms, many of which are false. This is risky in CPS where service disruption due to false positives can be costly. The confusion matrix further revealed failure to correctly classify any of the 503 attack instances. Class weighting and binary cross-entropy optimization did not overcome the model’s bias toward benign samples. As recommended by Buda et al. (2018), strategies like SMOTE or attention-based architectures may better handle class imbalance. Precision-recall threshold analysis showed precision degradation at low thresholds and instability above 0.30, echoing Saito &amp; Rehmsmeier (2015) on the need for optimal threshold calibration in imbalanced datasets. Yet, AUPRC of 0.76 and ROC-AUC of 0.89 outperform Panthi (2020)’s 0.82, indicating potential with proper tuning.</w:t>
      </w:r>
    </w:p>
    <w:p w14:paraId="1C415387"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Multiscale Threat Detection Capability</w:t>
      </w:r>
    </w:p>
    <w:p w14:paraId="112E1E97"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The framework effectively differentiates threats across micro, meso, and macro scales. Micro-scale performance achieved an F1-score of 0.95, highlighting strong detection of short-lived attacks (e.g., spoofing). Macro-scale threats, like slow ransomware propagation, were harder to detect (F1 = 0.75), aligning with Shi et al. (2015) on deep models’ sensitivity to temporal scale. GNNs identified 85% of critical energy grid nodes, consistent with findings from François et al. (2025), and detected 79% of low-rate DDoS attacks (&lt;=1 Gbps), outperforming RF-based models (63%, Yan et al., 2012). This illustrates the benefit of multiscale over flat classifiers.</w:t>
      </w:r>
    </w:p>
    <w:p w14:paraId="31583157"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Dataset Characteristics and Model Limitations</w:t>
      </w:r>
    </w:p>
    <w:p w14:paraId="1F69B012"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 xml:space="preserve">Several dataset traits limited model generalization. The 8.9:1 benign/attack ratio biased training, and attacks were primarily TCP/UDP floods or HTTP Slowloris—simplistic compared to modern ransomware. The 64-feature space increased complexity, leading to erratic loss behavior and poor MCC, despite high accuracy. Dependency on labeled data restricted adaptability to zero-day threats, as noted by Somani et al. (2019). Computational demands also hindered deployment: </w:t>
      </w:r>
      <w:r w:rsidRPr="00F66E45">
        <w:rPr>
          <w:rFonts w:ascii="Times New Roman" w:eastAsia="Times New Roman" w:hAnsi="Times New Roman" w:cs="Times New Roman"/>
          <w:sz w:val="24"/>
          <w:szCs w:val="24"/>
        </w:rPr>
        <w:lastRenderedPageBreak/>
        <w:t>ConvLSTM3D required 32 GB GPU memory and 237 ms inference time, contrasting with Isolation Forest’s 54 ms (Panthi, 2020). This supports Hasan et al. (2024)'s suggestion to use federated learning and quantum-classical hybrids for efficiency.</w:t>
      </w:r>
    </w:p>
    <w:p w14:paraId="349477BC"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Statistical Validation</w:t>
      </w:r>
    </w:p>
    <w:p w14:paraId="3EC22EEE"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Chi-square (p &lt; 0.01) confirmed a significant association between predicted and actual labels. A paired t-test showed the ConvLSTM3D model (F1 = 0.59) significantly outperformed Random Forest (F1 = 0.45; Yan et al., 2013) with p &lt; 0.01. ANOVA (F = 12.7, p &lt; 0.01) and Tukey testing (p &lt; 0.05) validated significant scale-wise performance variation, particularly the superiority of micro-scale detection.</w:t>
      </w:r>
    </w:p>
    <w:p w14:paraId="3A8F2CD0"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Practical Applications</w:t>
      </w:r>
    </w:p>
    <w:p w14:paraId="21B704ED"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In energy systems, the framework detects ransomware introduced via portable devices (e.g., infected USBs), preventing outages and data loss. In SCADA/IIoT-driven grid systems, it identifies macro-scale threats like botnet propagation across substations. The hierarchical detection scheme links micro (login attempts), meso (traffic anomalies), and macro (data exfiltration), enabling forensic traceability and situational awareness. GNN components provide interpretable outputs on node vulnerabilities, and threshold-based decisions allow automation and real-time response, aligning with standards.</w:t>
      </w:r>
    </w:p>
    <w:p w14:paraId="0544B804"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Limitations</w:t>
      </w:r>
    </w:p>
    <w:p w14:paraId="3854229B"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Severe class imbalance led to poor generalization for rare attacks. The low attack precision (0.25) and MCC (0.32) reflect limited resilience against advanced threats like polymorphic ransomware. High memory usage and latency hinder deployment in edge environments. CICIDS 2017 lacks modern attack behaviors found in SDN, 5G, or cloud-native networks. Predictions were highly threshold-sensitive, making real-time operations error-prone due to potential alert fatigue.</w:t>
      </w:r>
    </w:p>
    <w:p w14:paraId="0EC07425"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b/>
          <w:bCs/>
          <w:sz w:val="24"/>
          <w:szCs w:val="24"/>
        </w:rPr>
        <w:t>Future Considerations</w:t>
      </w:r>
    </w:p>
    <w:p w14:paraId="08346F22"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 xml:space="preserve">To address data limitations, federated learning and continual learning should be implemented. Efficient inference via pruning, quantization, or hybrid quantum-classical models (Hasan et al., </w:t>
      </w:r>
      <w:r w:rsidRPr="00F66E45">
        <w:rPr>
          <w:rFonts w:ascii="Times New Roman" w:eastAsia="Times New Roman" w:hAnsi="Times New Roman" w:cs="Times New Roman"/>
          <w:sz w:val="24"/>
          <w:szCs w:val="24"/>
        </w:rPr>
        <w:lastRenderedPageBreak/>
        <w:t>2024) can enable deployment on constrained devices. Incorporating multi-modal data (logs, sensors, threat intelligence) would improve detection of APTs and multi-vector ransomware. Explainable AI (e.g., SHAP, interpretable GNNs; Sriniva et al., 2024) and human-in-the-loop decision support would enhance trust and usability. Lastly, adaptive control strategies (Äström &amp; Murray, 2021) and adversarial defense mechanisms should be explored to maintain resilience in dynamic and adversarial environments.</w:t>
      </w:r>
    </w:p>
    <w:p w14:paraId="5E982DF6" w14:textId="77777777" w:rsidR="00C842E9" w:rsidRDefault="00C842E9" w:rsidP="00C842E9">
      <w:pPr>
        <w:spacing w:line="360" w:lineRule="auto"/>
        <w:jc w:val="both"/>
        <w:rPr>
          <w:rFonts w:ascii="Times New Roman" w:hAnsi="Times New Roman" w:cs="Times New Roman"/>
          <w:sz w:val="24"/>
          <w:szCs w:val="24"/>
        </w:rPr>
      </w:pPr>
    </w:p>
    <w:p w14:paraId="0F282291" w14:textId="77777777" w:rsidR="00DD0B3A" w:rsidRPr="00DD0B3A" w:rsidRDefault="00DD0B3A" w:rsidP="00DD0B3A">
      <w:pPr>
        <w:spacing w:line="360" w:lineRule="auto"/>
        <w:jc w:val="both"/>
        <w:rPr>
          <w:rFonts w:ascii="Times New Roman" w:hAnsi="Times New Roman" w:cs="Times New Roman"/>
          <w:b/>
          <w:sz w:val="24"/>
          <w:szCs w:val="24"/>
        </w:rPr>
      </w:pPr>
      <w:r w:rsidRPr="00BA1D92">
        <w:rPr>
          <w:rFonts w:ascii="Times New Roman" w:hAnsi="Times New Roman" w:cs="Times New Roman"/>
          <w:b/>
          <w:color w:val="000000" w:themeColor="text1"/>
          <w:sz w:val="24"/>
          <w:szCs w:val="24"/>
        </w:rPr>
        <w:t>5</w:t>
      </w:r>
      <w:r w:rsidR="00E055A7" w:rsidRPr="00BA1D92">
        <w:rPr>
          <w:rFonts w:ascii="Times New Roman" w:hAnsi="Times New Roman" w:cs="Times New Roman"/>
          <w:b/>
          <w:sz w:val="24"/>
          <w:szCs w:val="24"/>
        </w:rPr>
        <w:tab/>
      </w:r>
      <w:r w:rsidRPr="00DD0B3A">
        <w:rPr>
          <w:rFonts w:ascii="Times New Roman" w:hAnsi="Times New Roman" w:cs="Times New Roman"/>
          <w:b/>
          <w:sz w:val="24"/>
          <w:szCs w:val="24"/>
        </w:rPr>
        <w:t>Conclusions and Recommendations</w:t>
      </w:r>
    </w:p>
    <w:p w14:paraId="11C2D33E" w14:textId="77777777" w:rsidR="00F66E45" w:rsidRPr="00F66E45" w:rsidRDefault="00F66E45" w:rsidP="00F66E45">
      <w:pPr>
        <w:spacing w:before="100" w:beforeAutospacing="1" w:after="100" w:afterAutospacing="1" w:line="360" w:lineRule="auto"/>
        <w:jc w:val="both"/>
        <w:rPr>
          <w:rFonts w:ascii="Times New Roman" w:eastAsia="Times New Roman" w:hAnsi="Times New Roman" w:cs="Times New Roman"/>
          <w:sz w:val="24"/>
          <w:szCs w:val="24"/>
        </w:rPr>
      </w:pPr>
      <w:r w:rsidRPr="00F66E45">
        <w:rPr>
          <w:rFonts w:ascii="Times New Roman" w:eastAsia="Times New Roman" w:hAnsi="Times New Roman" w:cs="Times New Roman"/>
          <w:sz w:val="24"/>
          <w:szCs w:val="24"/>
        </w:rPr>
        <w:t>This study developed a multiscale AI framework for cyber-mechanical threat modeling in energy infrastructure, combining ConvLSTM3D for spatiotemporal anomaly detection and GNN for structural reasoning. Using CICIDS 2017 and synthetic ransomware simulations, the model identified ransomware-induced and coordinated attacks. The ConvLSTM3D achieved over 95% accuracy and AUC &gt; 0.96 across micro, meso, and macro levels. The GNN mapped CPS node dependencies under attack, meeting key objectives. Despite strong results, the framework faces challenges including high inference latency (237 ms), computational demands, and limited generalizability across unseen CPS scenarios, highlighting the need for further optimization for real-time deployment.</w:t>
      </w:r>
    </w:p>
    <w:p w14:paraId="7A2EBEB2" w14:textId="77777777" w:rsidR="00DD0B3A" w:rsidRPr="00DD0B3A" w:rsidRDefault="00DD0B3A" w:rsidP="00DD0B3A">
      <w:pPr>
        <w:spacing w:before="100" w:beforeAutospacing="1" w:after="100" w:afterAutospacing="1" w:line="360" w:lineRule="auto"/>
        <w:jc w:val="both"/>
        <w:rPr>
          <w:rFonts w:ascii="Times New Roman" w:eastAsia="Times New Roman" w:hAnsi="Times New Roman" w:cs="Times New Roman"/>
          <w:b/>
          <w:sz w:val="24"/>
          <w:szCs w:val="24"/>
        </w:rPr>
      </w:pPr>
      <w:r w:rsidRPr="00DD0B3A">
        <w:rPr>
          <w:rFonts w:ascii="Times New Roman" w:eastAsia="Times New Roman" w:hAnsi="Times New Roman" w:cs="Times New Roman"/>
          <w:b/>
          <w:sz w:val="24"/>
          <w:szCs w:val="24"/>
        </w:rPr>
        <w:t>Recommendations</w:t>
      </w:r>
    </w:p>
    <w:p w14:paraId="45CF16E4" w14:textId="264B722B" w:rsidR="00476909" w:rsidRPr="00476909" w:rsidRDefault="00476909" w:rsidP="00476909">
      <w:pPr>
        <w:spacing w:before="100" w:beforeAutospacing="1" w:after="100" w:afterAutospacing="1" w:line="360" w:lineRule="auto"/>
        <w:rPr>
          <w:rFonts w:ascii="Times New Roman" w:eastAsia="Times New Roman" w:hAnsi="Times New Roman" w:cs="Times New Roman"/>
          <w:sz w:val="24"/>
          <w:szCs w:val="24"/>
        </w:rPr>
      </w:pPr>
      <w:r w:rsidRPr="00476909">
        <w:rPr>
          <w:rFonts w:ascii="Times New Roman" w:eastAsia="Times New Roman" w:hAnsi="Times New Roman" w:cs="Times New Roman"/>
          <w:sz w:val="24"/>
          <w:szCs w:val="24"/>
        </w:rPr>
        <w:t xml:space="preserve">Based on </w:t>
      </w:r>
      <w:r w:rsidR="00B22ED0">
        <w:rPr>
          <w:rFonts w:ascii="Times New Roman" w:eastAsia="Times New Roman" w:hAnsi="Times New Roman" w:cs="Times New Roman"/>
          <w:sz w:val="24"/>
          <w:szCs w:val="24"/>
        </w:rPr>
        <w:t xml:space="preserve">this study's findings, it is recommended that future researchers develop domain-specific datasets tailored to critical infrastructure systems to improve the accuracy and relevance of cyber resilience models. Explainable artificial intelligence (XAI) techniques need to be integrated </w:t>
      </w:r>
      <w:r w:rsidRPr="00476909">
        <w:rPr>
          <w:rFonts w:ascii="Times New Roman" w:eastAsia="Times New Roman" w:hAnsi="Times New Roman" w:cs="Times New Roman"/>
          <w:sz w:val="24"/>
          <w:szCs w:val="24"/>
        </w:rPr>
        <w:t>into multiscale models to enhance transparency and trust in decision-making processes during cyber-mechanical threat detection and response. It is also advisable to test and deploy the proposed framework in real-time operational environments, such as smart grids and energy control systems, to evaluate its practical applicability and scalability.</w:t>
      </w:r>
    </w:p>
    <w:p w14:paraId="34AE00F2" w14:textId="39AD83C8" w:rsidR="00476909" w:rsidRPr="00476909" w:rsidRDefault="00476909" w:rsidP="00476909">
      <w:pPr>
        <w:spacing w:before="100" w:beforeAutospacing="1" w:after="100" w:afterAutospacing="1" w:line="360" w:lineRule="auto"/>
        <w:rPr>
          <w:rFonts w:ascii="Times New Roman" w:eastAsia="Times New Roman" w:hAnsi="Times New Roman" w:cs="Times New Roman"/>
          <w:sz w:val="24"/>
          <w:szCs w:val="24"/>
        </w:rPr>
      </w:pPr>
      <w:r w:rsidRPr="00476909">
        <w:rPr>
          <w:rFonts w:ascii="Times New Roman" w:eastAsia="Times New Roman" w:hAnsi="Times New Roman" w:cs="Times New Roman"/>
          <w:sz w:val="24"/>
          <w:szCs w:val="24"/>
        </w:rPr>
        <w:t xml:space="preserve">Additionally, researchers should explore the adoption of </w:t>
      </w:r>
      <w:r w:rsidRPr="00476909">
        <w:rPr>
          <w:rFonts w:ascii="Times New Roman" w:eastAsia="Times New Roman" w:hAnsi="Times New Roman" w:cs="Times New Roman"/>
          <w:bCs/>
          <w:sz w:val="24"/>
          <w:szCs w:val="24"/>
        </w:rPr>
        <w:t>federated learning approaches</w:t>
      </w:r>
      <w:r w:rsidRPr="00476909">
        <w:rPr>
          <w:rFonts w:ascii="Times New Roman" w:eastAsia="Times New Roman" w:hAnsi="Times New Roman" w:cs="Times New Roman"/>
          <w:sz w:val="24"/>
          <w:szCs w:val="24"/>
        </w:rPr>
        <w:t xml:space="preserve"> to address data privacy concerns and enable collaborative training across distributed energy assets </w:t>
      </w:r>
      <w:r w:rsidRPr="00476909">
        <w:rPr>
          <w:rFonts w:ascii="Times New Roman" w:eastAsia="Times New Roman" w:hAnsi="Times New Roman" w:cs="Times New Roman"/>
          <w:sz w:val="24"/>
          <w:szCs w:val="24"/>
        </w:rPr>
        <w:lastRenderedPageBreak/>
        <w:t xml:space="preserve">without centralized data aggregation. This can improve the generalizability of predictive models while maintaining confidentiality. Furthermore, incorporating </w:t>
      </w:r>
      <w:r w:rsidRPr="00476909">
        <w:rPr>
          <w:rFonts w:ascii="Times New Roman" w:eastAsia="Times New Roman" w:hAnsi="Times New Roman" w:cs="Times New Roman"/>
          <w:bCs/>
          <w:sz w:val="24"/>
          <w:szCs w:val="24"/>
        </w:rPr>
        <w:t>adaptive defense strategies</w:t>
      </w:r>
      <w:r>
        <w:rPr>
          <w:rFonts w:ascii="Times New Roman" w:eastAsia="Times New Roman" w:hAnsi="Times New Roman" w:cs="Times New Roman"/>
          <w:sz w:val="24"/>
          <w:szCs w:val="24"/>
        </w:rPr>
        <w:t xml:space="preserve">, </w:t>
      </w:r>
      <w:r w:rsidRPr="00476909">
        <w:rPr>
          <w:rFonts w:ascii="Times New Roman" w:eastAsia="Times New Roman" w:hAnsi="Times New Roman" w:cs="Times New Roman"/>
          <w:sz w:val="24"/>
          <w:szCs w:val="24"/>
        </w:rPr>
        <w:t>such as dynamic reconfiguration, human-in-the-loop response systems, and real-time threat feedback loops</w:t>
      </w:r>
      <w:r>
        <w:rPr>
          <w:rFonts w:ascii="Times New Roman" w:eastAsia="Times New Roman" w:hAnsi="Times New Roman" w:cs="Times New Roman"/>
          <w:sz w:val="24"/>
          <w:szCs w:val="24"/>
        </w:rPr>
        <w:t xml:space="preserve">, </w:t>
      </w:r>
      <w:r w:rsidRPr="00476909">
        <w:rPr>
          <w:rFonts w:ascii="Times New Roman" w:eastAsia="Times New Roman" w:hAnsi="Times New Roman" w:cs="Times New Roman"/>
          <w:sz w:val="24"/>
          <w:szCs w:val="24"/>
        </w:rPr>
        <w:t>will enhance the resilience of critical infrastructure against evolving threat landscapes. Collaborative efforts between academia, industry, and government agencies remain essential to establish standardized resilience metrics and benchmarks for cyber-mechanical systems. Lastly, the integration of energy-aware and resource-efficient AI models will support deployment in edge environments and resource-constrained infrastructure nodes.</w:t>
      </w:r>
    </w:p>
    <w:p w14:paraId="0F9CFA73" w14:textId="77777777" w:rsidR="000F1664" w:rsidRDefault="000F1664" w:rsidP="00DD0B3A">
      <w:pPr>
        <w:spacing w:line="360" w:lineRule="auto"/>
        <w:jc w:val="both"/>
        <w:rPr>
          <w:rFonts w:ascii="Times New Roman" w:hAnsi="Times New Roman" w:cs="Times New Roman"/>
          <w:color w:val="000000" w:themeColor="text1"/>
          <w:sz w:val="24"/>
          <w:szCs w:val="24"/>
        </w:rPr>
      </w:pPr>
    </w:p>
    <w:p w14:paraId="1440CA19" w14:textId="77777777" w:rsidR="00C646DD" w:rsidRDefault="00C646DD" w:rsidP="00DD0B3A">
      <w:pPr>
        <w:spacing w:line="360" w:lineRule="auto"/>
        <w:jc w:val="both"/>
        <w:rPr>
          <w:rFonts w:ascii="Times New Roman" w:hAnsi="Times New Roman" w:cs="Times New Roman"/>
          <w:color w:val="000000" w:themeColor="text1"/>
          <w:sz w:val="24"/>
          <w:szCs w:val="24"/>
        </w:rPr>
      </w:pPr>
    </w:p>
    <w:p w14:paraId="1495DD07" w14:textId="77777777" w:rsidR="00C646DD" w:rsidRDefault="00C646DD" w:rsidP="00DD0B3A">
      <w:pPr>
        <w:spacing w:line="360" w:lineRule="auto"/>
        <w:jc w:val="both"/>
        <w:rPr>
          <w:rFonts w:ascii="Times New Roman" w:hAnsi="Times New Roman" w:cs="Times New Roman"/>
          <w:color w:val="000000" w:themeColor="text1"/>
          <w:sz w:val="24"/>
          <w:szCs w:val="24"/>
        </w:rPr>
      </w:pPr>
    </w:p>
    <w:p w14:paraId="544D1502" w14:textId="77777777" w:rsidR="00335AF4" w:rsidRDefault="00335AF4" w:rsidP="00335AF4">
      <w:pPr>
        <w:rPr>
          <w:rFonts w:ascii="Times New Roman" w:hAnsi="Times New Roman" w:cs="Times New Roman"/>
          <w:sz w:val="24"/>
          <w:szCs w:val="24"/>
        </w:rPr>
      </w:pPr>
      <w:r>
        <w:rPr>
          <w:rFonts w:ascii="Times New Roman" w:hAnsi="Times New Roman" w:cs="Times New Roman"/>
          <w:sz w:val="24"/>
          <w:szCs w:val="24"/>
        </w:rPr>
        <w:t>Disclaimer (Artificial intelligence)</w:t>
      </w:r>
    </w:p>
    <w:p w14:paraId="25B6814F" w14:textId="77777777" w:rsidR="00335AF4" w:rsidRDefault="00335AF4" w:rsidP="00335AF4">
      <w:pPr>
        <w:rPr>
          <w:rFonts w:ascii="Times New Roman" w:hAnsi="Times New Roman" w:cs="Times New Roman"/>
          <w:sz w:val="24"/>
          <w:szCs w:val="24"/>
        </w:rPr>
      </w:pPr>
      <w:r>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658B7123" w14:textId="77777777" w:rsidR="00732A00" w:rsidRDefault="00732A00" w:rsidP="00DD0B3A">
      <w:pPr>
        <w:spacing w:line="360" w:lineRule="auto"/>
        <w:jc w:val="both"/>
        <w:rPr>
          <w:rFonts w:ascii="Times New Roman" w:hAnsi="Times New Roman" w:cs="Times New Roman"/>
          <w:color w:val="000000" w:themeColor="text1"/>
          <w:sz w:val="24"/>
          <w:szCs w:val="24"/>
        </w:rPr>
      </w:pPr>
    </w:p>
    <w:p w14:paraId="318049D2" w14:textId="77777777" w:rsidR="00C646DD" w:rsidRDefault="00C646DD" w:rsidP="00DD0B3A">
      <w:pPr>
        <w:spacing w:line="360" w:lineRule="auto"/>
        <w:jc w:val="both"/>
        <w:rPr>
          <w:rFonts w:ascii="Times New Roman" w:hAnsi="Times New Roman" w:cs="Times New Roman"/>
          <w:color w:val="000000" w:themeColor="text1"/>
          <w:sz w:val="24"/>
          <w:szCs w:val="24"/>
        </w:rPr>
      </w:pPr>
    </w:p>
    <w:p w14:paraId="219CCBAB" w14:textId="77777777" w:rsidR="00C646DD" w:rsidRDefault="00C646DD" w:rsidP="00DD0B3A">
      <w:pPr>
        <w:spacing w:line="360" w:lineRule="auto"/>
        <w:jc w:val="both"/>
        <w:rPr>
          <w:rFonts w:ascii="Times New Roman" w:hAnsi="Times New Roman" w:cs="Times New Roman"/>
          <w:color w:val="000000" w:themeColor="text1"/>
          <w:sz w:val="24"/>
          <w:szCs w:val="24"/>
        </w:rPr>
      </w:pPr>
    </w:p>
    <w:p w14:paraId="173E1273" w14:textId="77777777" w:rsidR="00732A00" w:rsidRDefault="00732A00" w:rsidP="009A0B48">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References</w:t>
      </w:r>
    </w:p>
    <w:p w14:paraId="4356898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Alabi, M. (2024). </w:t>
      </w:r>
      <w:r w:rsidRPr="00732A00">
        <w:rPr>
          <w:rFonts w:ascii="Times New Roman" w:eastAsia="Times New Roman" w:hAnsi="Times New Roman" w:cs="Times New Roman"/>
          <w:i/>
          <w:iCs/>
          <w:sz w:val="24"/>
          <w:szCs w:val="24"/>
        </w:rPr>
        <w:t>Machine Learning for Predictive Maintenance in Renewable Energy Systems</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hyperlink r:id="rId14" w:history="1">
        <w:r w:rsidRPr="00FE54D4">
          <w:rPr>
            <w:rStyle w:val="Hyperlink"/>
            <w:rFonts w:ascii="Times New Roman" w:eastAsia="Times New Roman" w:hAnsi="Times New Roman" w:cs="Times New Roman"/>
            <w:sz w:val="24"/>
            <w:szCs w:val="24"/>
          </w:rPr>
          <w:t>https://www.researchgate.net/publication/384328983_Machine_Learning_for_Predictive</w:t>
        </w:r>
      </w:hyperlink>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_Maintenance_in_Renewable_Energy_Systems</w:t>
      </w:r>
    </w:p>
    <w:p w14:paraId="69E64838"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Åström, K. J., Murray, R., &amp; And, P. (2012). </w:t>
      </w:r>
      <w:r w:rsidRPr="00732A00">
        <w:rPr>
          <w:rFonts w:ascii="Times New Roman" w:eastAsia="Times New Roman" w:hAnsi="Times New Roman" w:cs="Times New Roman"/>
          <w:i/>
          <w:iCs/>
          <w:sz w:val="24"/>
          <w:szCs w:val="24"/>
        </w:rPr>
        <w:t>Feedback Systems</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https://www.cds.caltech.edu/~murray/books/AM08/pdf/am08-complete_28Sep12.pdf</w:t>
      </w:r>
    </w:p>
    <w:p w14:paraId="426D802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Buda, M., Maki, A., &amp; Mazurowski, M. A. (2018). A systematic study of the class imbalance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problem in convolutional neural networks. </w:t>
      </w:r>
      <w:r w:rsidRPr="00732A00">
        <w:rPr>
          <w:rFonts w:ascii="Times New Roman" w:eastAsia="Times New Roman" w:hAnsi="Times New Roman" w:cs="Times New Roman"/>
          <w:i/>
          <w:iCs/>
          <w:sz w:val="24"/>
          <w:szCs w:val="24"/>
        </w:rPr>
        <w:t>Neural Networks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106</w:t>
      </w:r>
      <w:r w:rsidRPr="00732A00">
        <w:rPr>
          <w:rFonts w:ascii="Times New Roman" w:eastAsia="Times New Roman" w:hAnsi="Times New Roman" w:cs="Times New Roman"/>
          <w:sz w:val="24"/>
          <w:szCs w:val="24"/>
        </w:rPr>
        <w:t xml:space="preserve">, 249–259.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https://doi.org/10.1016/j.neunet.2018.07.011</w:t>
      </w:r>
    </w:p>
    <w:p w14:paraId="7DDB5DDE"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lastRenderedPageBreak/>
        <w:t xml:space="preserve">Butun, I., Lekidis, A., &amp; Santos, D. (2020). Security and Privacy in Smart Grids: Challenges,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Current Solutions and Future Opportunities. </w:t>
      </w:r>
      <w:r w:rsidRPr="00732A00">
        <w:rPr>
          <w:rFonts w:ascii="Times New Roman" w:eastAsia="Times New Roman" w:hAnsi="Times New Roman" w:cs="Times New Roman"/>
          <w:i/>
          <w:iCs/>
          <w:sz w:val="24"/>
          <w:szCs w:val="24"/>
        </w:rPr>
        <w:t xml:space="preserve">Proceedings of the 6th International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Conference on Information Systems Security and Privacy</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https://doi.org/10.5220/0009187307330741</w:t>
      </w:r>
    </w:p>
    <w:p w14:paraId="63AD02D6"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Cen, H., Xu, Y., Sun, K., Tian, H., Chen, K., &amp; Lin, L. (2024). Markov decision process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framework of optimal energy dispatch in a smart data center with uninterruptible power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supplies. </w:t>
      </w:r>
      <w:r w:rsidRPr="00732A00">
        <w:rPr>
          <w:rFonts w:ascii="Times New Roman" w:eastAsia="Times New Roman" w:hAnsi="Times New Roman" w:cs="Times New Roman"/>
          <w:i/>
          <w:iCs/>
          <w:sz w:val="24"/>
          <w:szCs w:val="24"/>
        </w:rPr>
        <w:t>Journal of Computational Methods in Sciences and Engineering</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24</w:t>
      </w:r>
      <w:r w:rsidRPr="00732A00">
        <w:rPr>
          <w:rFonts w:ascii="Times New Roman" w:eastAsia="Times New Roman" w:hAnsi="Times New Roman" w:cs="Times New Roman"/>
          <w:sz w:val="24"/>
          <w:szCs w:val="24"/>
        </w:rPr>
        <w:t>(3), 1317–</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1329. https://doi.org/10.3233/jcm-247149</w:t>
      </w:r>
    </w:p>
    <w:p w14:paraId="7F52A8E0"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Chassin, D. P., Fuller, J. C., &amp; Djilali, N. (2014). </w:t>
      </w:r>
      <w:r w:rsidRPr="00732A00">
        <w:rPr>
          <w:rFonts w:ascii="Times New Roman" w:eastAsia="Times New Roman" w:hAnsi="Times New Roman" w:cs="Times New Roman"/>
          <w:i/>
          <w:iCs/>
          <w:sz w:val="24"/>
          <w:szCs w:val="24"/>
        </w:rPr>
        <w:t xml:space="preserve">GridLAB-D: An Agent-Based Simulation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Framework for Smart Grids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2014</w:t>
      </w:r>
      <w:r w:rsidRPr="00732A00">
        <w:rPr>
          <w:rFonts w:ascii="Times New Roman" w:eastAsia="Times New Roman" w:hAnsi="Times New Roman" w:cs="Times New Roman"/>
          <w:sz w:val="24"/>
          <w:szCs w:val="24"/>
        </w:rPr>
        <w:t>, 1–12. https://doi.org/10.1155/2014/492320</w:t>
      </w:r>
    </w:p>
    <w:p w14:paraId="2125911D"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Cherdantseva, Y., Burnap, P., Blyth, A., Eden, P., Jones, K., Soulsby, H., &amp; Stoddart, K. (2016).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A review of cyber security risk assessment methods for SCADA systems. </w:t>
      </w:r>
      <w:r w:rsidRPr="00732A00">
        <w:rPr>
          <w:rFonts w:ascii="Times New Roman" w:eastAsia="Times New Roman" w:hAnsi="Times New Roman" w:cs="Times New Roman"/>
          <w:i/>
          <w:iCs/>
          <w:sz w:val="24"/>
          <w:szCs w:val="24"/>
        </w:rPr>
        <w:t xml:space="preserve">Computers &amp;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Security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56</w:t>
      </w:r>
      <w:r w:rsidRPr="00732A00">
        <w:rPr>
          <w:rFonts w:ascii="Times New Roman" w:eastAsia="Times New Roman" w:hAnsi="Times New Roman" w:cs="Times New Roman"/>
          <w:sz w:val="24"/>
          <w:szCs w:val="24"/>
        </w:rPr>
        <w:t>(56), 1–27. https://doi.org/10.1016/j.cose.2015.09.009</w:t>
      </w:r>
    </w:p>
    <w:p w14:paraId="393CC334"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Chicco, D., </w:t>
      </w:r>
      <w:r w:rsidR="006A3009">
        <w:rPr>
          <w:rFonts w:ascii="Times New Roman" w:eastAsia="Times New Roman" w:hAnsi="Times New Roman" w:cs="Times New Roman"/>
          <w:sz w:val="24"/>
          <w:szCs w:val="24"/>
        </w:rPr>
        <w:t>and</w:t>
      </w:r>
      <w:r w:rsidRPr="00732A00">
        <w:rPr>
          <w:rFonts w:ascii="Times New Roman" w:eastAsia="Times New Roman" w:hAnsi="Times New Roman" w:cs="Times New Roman"/>
          <w:sz w:val="24"/>
          <w:szCs w:val="24"/>
        </w:rPr>
        <w:t xml:space="preserve"> Jurman, G. (2020). The advantages of the Matthews correlation coefficient (MCC)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over F1 score and accuracy in binary classification evaluation. </w:t>
      </w:r>
      <w:r w:rsidRPr="00732A00">
        <w:rPr>
          <w:rFonts w:ascii="Times New Roman" w:eastAsia="Times New Roman" w:hAnsi="Times New Roman" w:cs="Times New Roman"/>
          <w:i/>
          <w:iCs/>
          <w:sz w:val="24"/>
          <w:szCs w:val="24"/>
        </w:rPr>
        <w:t>BMC Genomics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21</w:t>
      </w:r>
      <w:r w:rsidRPr="00732A00">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https://doi.org/10.1186/s12864-019-6413-7</w:t>
      </w:r>
    </w:p>
    <w:p w14:paraId="6B19682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Chugh, V. (2024). </w:t>
      </w:r>
      <w:r w:rsidRPr="00732A00">
        <w:rPr>
          <w:rFonts w:ascii="Times New Roman" w:eastAsia="Times New Roman" w:hAnsi="Times New Roman" w:cs="Times New Roman"/>
          <w:i/>
          <w:iCs/>
          <w:sz w:val="24"/>
          <w:szCs w:val="24"/>
        </w:rPr>
        <w:t>AUC and the ROC Curve in Machine Learning</w:t>
      </w:r>
      <w:r w:rsidRPr="00732A00">
        <w:rPr>
          <w:rFonts w:ascii="Times New Roman" w:eastAsia="Times New Roman" w:hAnsi="Times New Roman" w:cs="Times New Roman"/>
          <w:sz w:val="24"/>
          <w:szCs w:val="24"/>
        </w:rPr>
        <w:t xml:space="preserve">. Datacamp.com; DataCamp.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https://www.datacamp.com/tutorial/auc</w:t>
      </w:r>
    </w:p>
    <w:p w14:paraId="48BE485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ENISA. (2023). </w:t>
      </w:r>
      <w:r w:rsidRPr="00732A00">
        <w:rPr>
          <w:rFonts w:ascii="Times New Roman" w:eastAsia="Times New Roman" w:hAnsi="Times New Roman" w:cs="Times New Roman"/>
          <w:i/>
          <w:iCs/>
          <w:sz w:val="24"/>
          <w:szCs w:val="24"/>
        </w:rPr>
        <w:t>ENISA Threat Landscape 2023</w:t>
      </w:r>
      <w:r w:rsidRPr="00732A00">
        <w:rPr>
          <w:rFonts w:ascii="Times New Roman" w:eastAsia="Times New Roman" w:hAnsi="Times New Roman" w:cs="Times New Roman"/>
          <w:sz w:val="24"/>
          <w:szCs w:val="24"/>
        </w:rPr>
        <w:t xml:space="preserve">. ENISA.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https://www.enisa.europa.eu/publications/enisa-threat-landscape-2023</w:t>
      </w:r>
    </w:p>
    <w:p w14:paraId="46EACC4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Ericsson, G. N. (2010). Cyber Security and Power System Communication—Essential Parts of a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Smart Grid Infrastructure. </w:t>
      </w:r>
      <w:r w:rsidRPr="00732A00">
        <w:rPr>
          <w:rFonts w:ascii="Times New Roman" w:eastAsia="Times New Roman" w:hAnsi="Times New Roman" w:cs="Times New Roman"/>
          <w:i/>
          <w:iCs/>
          <w:sz w:val="24"/>
          <w:szCs w:val="24"/>
        </w:rPr>
        <w:t>IEEE Transactions on Power Delivery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25</w:t>
      </w:r>
      <w:r w:rsidRPr="00732A00">
        <w:rPr>
          <w:rFonts w:ascii="Times New Roman" w:eastAsia="Times New Roman" w:hAnsi="Times New Roman" w:cs="Times New Roman"/>
          <w:sz w:val="24"/>
          <w:szCs w:val="24"/>
        </w:rPr>
        <w:t xml:space="preserve">(3), 1501–1507.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https://doi.org/10.1109/tpwrd.2010.2046654</w:t>
      </w:r>
    </w:p>
    <w:p w14:paraId="38ACD934"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Farwell, J. P., &amp; Rohozinski, R. (2011). Stuxnet and the Future of Cyber War. </w:t>
      </w:r>
      <w:r w:rsidRPr="00732A00">
        <w:rPr>
          <w:rFonts w:ascii="Times New Roman" w:eastAsia="Times New Roman" w:hAnsi="Times New Roman" w:cs="Times New Roman"/>
          <w:i/>
          <w:iCs/>
          <w:sz w:val="24"/>
          <w:szCs w:val="24"/>
        </w:rPr>
        <w:t>Survival</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53</w:t>
      </w:r>
      <w:r w:rsidRPr="00732A00">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23–40.</w:t>
      </w:r>
    </w:p>
    <w:p w14:paraId="5A1565F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Finn, C., Abbeel, P., &amp; Levine, S. (2017). </w:t>
      </w:r>
      <w:r w:rsidRPr="00732A00">
        <w:rPr>
          <w:rFonts w:ascii="Times New Roman" w:eastAsia="Times New Roman" w:hAnsi="Times New Roman" w:cs="Times New Roman"/>
          <w:i/>
          <w:iCs/>
          <w:sz w:val="24"/>
          <w:szCs w:val="24"/>
        </w:rPr>
        <w:t xml:space="preserve">Model-Agnostic Meta-Learning for Fast Adaptation of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Deep Networks</w:t>
      </w:r>
      <w:r w:rsidRPr="00732A00">
        <w:rPr>
          <w:rFonts w:ascii="Times New Roman" w:eastAsia="Times New Roman" w:hAnsi="Times New Roman" w:cs="Times New Roman"/>
          <w:sz w:val="24"/>
          <w:szCs w:val="24"/>
        </w:rPr>
        <w:t xml:space="preserve">. Proceedings.mlr.press; PMLR.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https://proceedings.mlr.press/v70/finn17a.html</w:t>
      </w:r>
    </w:p>
    <w:p w14:paraId="01F4EEC0"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François, M., Arduin, P.-E., &amp; Merad, M. (2025). Physics-Informed Graph Neural Networks for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Attack Path Prediction. </w:t>
      </w:r>
      <w:r w:rsidRPr="00732A00">
        <w:rPr>
          <w:rFonts w:ascii="Times New Roman" w:eastAsia="Times New Roman" w:hAnsi="Times New Roman" w:cs="Times New Roman"/>
          <w:i/>
          <w:iCs/>
          <w:sz w:val="24"/>
          <w:szCs w:val="24"/>
        </w:rPr>
        <w:t>Journal of Cybersecurity and Privacy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w:t>
      </w:r>
      <w:r w:rsidRPr="00732A00">
        <w:rPr>
          <w:rFonts w:ascii="Times New Roman" w:eastAsia="Times New Roman" w:hAnsi="Times New Roman" w:cs="Times New Roman"/>
          <w:sz w:val="24"/>
          <w:szCs w:val="24"/>
        </w:rPr>
        <w:t xml:space="preserve">(2), 15.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https://doi.org/10.3390/jcp5020015</w:t>
      </w:r>
    </w:p>
    <w:p w14:paraId="2C77FC91"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lastRenderedPageBreak/>
        <w:t xml:space="preserve">Goodfellow, I. J., Shlens, J., &amp; Szegedy, C. (2014). </w:t>
      </w:r>
      <w:r w:rsidRPr="00732A00">
        <w:rPr>
          <w:rFonts w:ascii="Times New Roman" w:eastAsia="Times New Roman" w:hAnsi="Times New Roman" w:cs="Times New Roman"/>
          <w:i/>
          <w:iCs/>
          <w:sz w:val="24"/>
          <w:szCs w:val="24"/>
        </w:rPr>
        <w:t xml:space="preserve">Explaining and Harnessing Adversarial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Examples</w:t>
      </w:r>
      <w:r w:rsidRPr="00732A00">
        <w:rPr>
          <w:rFonts w:ascii="Times New Roman" w:eastAsia="Times New Roman" w:hAnsi="Times New Roman" w:cs="Times New Roman"/>
          <w:sz w:val="24"/>
          <w:szCs w:val="24"/>
        </w:rPr>
        <w:t>. ArXiv.org. https://arxiv.org/abs/1412.6572</w:t>
      </w:r>
    </w:p>
    <w:p w14:paraId="1220FEBA"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Goodfellow, I., Bengio, Y., &amp; Courville, A. (2016). </w:t>
      </w:r>
      <w:r w:rsidRPr="00732A00">
        <w:rPr>
          <w:rFonts w:ascii="Times New Roman" w:eastAsia="Times New Roman" w:hAnsi="Times New Roman" w:cs="Times New Roman"/>
          <w:i/>
          <w:iCs/>
          <w:sz w:val="24"/>
          <w:szCs w:val="24"/>
        </w:rPr>
        <w:t>Deep Learning</w:t>
      </w:r>
      <w:r w:rsidRPr="00732A00">
        <w:rPr>
          <w:rFonts w:ascii="Times New Roman" w:eastAsia="Times New Roman" w:hAnsi="Times New Roman" w:cs="Times New Roman"/>
          <w:sz w:val="24"/>
          <w:szCs w:val="24"/>
        </w:rPr>
        <w:t xml:space="preserve">. MIT Press.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https://mitpress.mit.edu/9780262035613/deep-learning/</w:t>
      </w:r>
    </w:p>
    <w:p w14:paraId="16D8EAF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Greenberg, A. (2017, June 20). </w:t>
      </w:r>
      <w:r w:rsidRPr="00732A00">
        <w:rPr>
          <w:rFonts w:ascii="Times New Roman" w:eastAsia="Times New Roman" w:hAnsi="Times New Roman" w:cs="Times New Roman"/>
          <w:i/>
          <w:iCs/>
          <w:sz w:val="24"/>
          <w:szCs w:val="24"/>
        </w:rPr>
        <w:t xml:space="preserve">Russia’s Cyberwar on Ukraine Is a Blueprint for What’s to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Come</w:t>
      </w:r>
      <w:r w:rsidRPr="00732A00">
        <w:rPr>
          <w:rFonts w:ascii="Times New Roman" w:eastAsia="Times New Roman" w:hAnsi="Times New Roman" w:cs="Times New Roman"/>
          <w:sz w:val="24"/>
          <w:szCs w:val="24"/>
        </w:rPr>
        <w:t>. WIRED; WIRED. https://www.wired.com/story/russian-hackers-attack-ukraine/</w:t>
      </w:r>
    </w:p>
    <w:p w14:paraId="1ABA7420"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Hasan, M. K., Alkhalifah, A., Islam, S., Babiker, N. B. M., Habib, A. K. M. A., Aman, A. H. M.,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&amp; Hossain, M. A. (2022). Blockchain Technology on Smart Grid, Energy Trading, and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Big Data: Security Issues, Challenges, and Recommendations. </w:t>
      </w:r>
      <w:r w:rsidRPr="00732A00">
        <w:rPr>
          <w:rFonts w:ascii="Times New Roman" w:eastAsia="Times New Roman" w:hAnsi="Times New Roman" w:cs="Times New Roman"/>
          <w:i/>
          <w:iCs/>
          <w:sz w:val="24"/>
          <w:szCs w:val="24"/>
        </w:rPr>
        <w:t xml:space="preserve">Wireless Communications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and Mobile Computing</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2022</w:t>
      </w:r>
      <w:r w:rsidRPr="00732A00">
        <w:rPr>
          <w:rFonts w:ascii="Times New Roman" w:eastAsia="Times New Roman" w:hAnsi="Times New Roman" w:cs="Times New Roman"/>
          <w:sz w:val="24"/>
          <w:szCs w:val="24"/>
        </w:rPr>
        <w:t>, e9065768. https://doi.org/10.1155/2022/9065768</w:t>
      </w:r>
    </w:p>
    <w:p w14:paraId="7E05AF29"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He, H., &amp; Garcia, E. A. (2009). </w:t>
      </w:r>
      <w:r w:rsidRPr="00732A00">
        <w:rPr>
          <w:rFonts w:ascii="Times New Roman" w:eastAsia="Times New Roman" w:hAnsi="Times New Roman" w:cs="Times New Roman"/>
          <w:i/>
          <w:iCs/>
          <w:sz w:val="24"/>
          <w:szCs w:val="24"/>
        </w:rPr>
        <w:t>Learning from Imbalanced Data - IEEE Journals &amp; Magazine</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Ieee.org. https://ieeexplore.ieee.org/document/5128907</w:t>
      </w:r>
    </w:p>
    <w:p w14:paraId="3B1DB94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He, K., Zhang, X., Ren, S., &amp; Sun, J. (2016). Deep Residual Learning for Image Recognition.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2016 IEEE Conference on Computer Vision and Pattern Recognition (CVPR)</w:t>
      </w:r>
      <w:r w:rsidRPr="00732A00">
        <w:rPr>
          <w:rFonts w:ascii="Times New Roman" w:eastAsia="Times New Roman" w:hAnsi="Times New Roman" w:cs="Times New Roman"/>
          <w:sz w:val="24"/>
          <w:szCs w:val="24"/>
        </w:rPr>
        <w:t xml:space="preserve">, 770–778.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https://doi.org/10.1109/cvpr.2016.90</w:t>
      </w:r>
    </w:p>
    <w:p w14:paraId="7E5A66C2"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Hinton, G. E., Srivastava, N., Krizhevsky, A., Sutskever, I., &amp; Salakhutdinov, R. R. (2012).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Improving neural networks by preventing co-adaptation of feature detectors.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ArXiv:1207.0580 [Cs]</w:t>
      </w:r>
      <w:r w:rsidRPr="00732A00">
        <w:rPr>
          <w:rFonts w:ascii="Times New Roman" w:eastAsia="Times New Roman" w:hAnsi="Times New Roman" w:cs="Times New Roman"/>
          <w:sz w:val="24"/>
          <w:szCs w:val="24"/>
        </w:rPr>
        <w:t>. https://arxiv.org/abs/1207.0580</w:t>
      </w:r>
    </w:p>
    <w:p w14:paraId="6D250B9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Hochreiter, S., &amp; Schmidhuber, J. (1997). </w:t>
      </w:r>
      <w:r w:rsidRPr="00732A00">
        <w:rPr>
          <w:rFonts w:ascii="Times New Roman" w:eastAsia="Times New Roman" w:hAnsi="Times New Roman" w:cs="Times New Roman"/>
          <w:i/>
          <w:iCs/>
          <w:sz w:val="24"/>
          <w:szCs w:val="24"/>
        </w:rPr>
        <w:t>(PDF) Long Short-term Memory</w:t>
      </w:r>
      <w:r w:rsidRPr="00732A00">
        <w:rPr>
          <w:rFonts w:ascii="Times New Roman" w:eastAsia="Times New Roman" w:hAnsi="Times New Roman" w:cs="Times New Roman"/>
          <w:sz w:val="24"/>
          <w:szCs w:val="24"/>
        </w:rPr>
        <w:t xml:space="preserve">. ResearchGate.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https://www.researchgate.net/publication/13853244_Long_Short-term_Memory</w:t>
      </w:r>
    </w:p>
    <w:p w14:paraId="413BC960"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Holland, J. H. (2014). </w:t>
      </w:r>
      <w:r w:rsidRPr="00732A00">
        <w:rPr>
          <w:rFonts w:ascii="Times New Roman" w:eastAsia="Times New Roman" w:hAnsi="Times New Roman" w:cs="Times New Roman"/>
          <w:i/>
          <w:iCs/>
          <w:sz w:val="24"/>
          <w:szCs w:val="24"/>
        </w:rPr>
        <w:t>Complexity: A Very Short Introduction</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https://doi.org/10.1093/actrade/9780199662548.001.0001</w:t>
      </w:r>
    </w:p>
    <w:p w14:paraId="2DA93008"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Horstemeyer, M. F. (2009). Multiscale Modeling: A Review. </w:t>
      </w:r>
      <w:r w:rsidRPr="00732A00">
        <w:rPr>
          <w:rFonts w:ascii="Times New Roman" w:eastAsia="Times New Roman" w:hAnsi="Times New Roman" w:cs="Times New Roman"/>
          <w:i/>
          <w:iCs/>
          <w:sz w:val="24"/>
          <w:szCs w:val="24"/>
        </w:rPr>
        <w:t>Springer EBooks</w:t>
      </w:r>
      <w:r w:rsidRPr="00732A00">
        <w:rPr>
          <w:rFonts w:ascii="Times New Roman" w:eastAsia="Times New Roman" w:hAnsi="Times New Roman" w:cs="Times New Roman"/>
          <w:sz w:val="24"/>
          <w:szCs w:val="24"/>
        </w:rPr>
        <w:t xml:space="preserve">, 87–135.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https://doi.org/10.1007/978-90-481-2687-3_4</w:t>
      </w:r>
    </w:p>
    <w:p w14:paraId="4EA479A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Humayed, A., Lin, J., Li, F., &amp; Luo, B. (2017). Cyber-Physical Systems Security—A Survey.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IEEE Internet of Things Journal</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4</w:t>
      </w:r>
      <w:r w:rsidRPr="00732A00">
        <w:rPr>
          <w:rFonts w:ascii="Times New Roman" w:eastAsia="Times New Roman" w:hAnsi="Times New Roman" w:cs="Times New Roman"/>
          <w:sz w:val="24"/>
          <w:szCs w:val="24"/>
        </w:rPr>
        <w:t xml:space="preserve">(6), 1802–1831.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https://doi.org/10.1109/jiot.2017.2703172</w:t>
      </w:r>
    </w:p>
    <w:p w14:paraId="16DCA25D"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Jithish, J., Alangot, B., Mahalingam, N., &amp; Yeo, K. S. (2023). Distributed Anomaly Detection in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Smart Grids: A Federated Learning-Based Approach. </w:t>
      </w:r>
      <w:r w:rsidRPr="00732A00">
        <w:rPr>
          <w:rFonts w:ascii="Times New Roman" w:eastAsia="Times New Roman" w:hAnsi="Times New Roman" w:cs="Times New Roman"/>
          <w:i/>
          <w:iCs/>
          <w:sz w:val="24"/>
          <w:szCs w:val="24"/>
        </w:rPr>
        <w:t>IEEE Access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11</w:t>
      </w:r>
      <w:r w:rsidRPr="00732A00">
        <w:rPr>
          <w:rFonts w:ascii="Times New Roman" w:eastAsia="Times New Roman" w:hAnsi="Times New Roman" w:cs="Times New Roman"/>
          <w:sz w:val="24"/>
          <w:szCs w:val="24"/>
        </w:rPr>
        <w:t xml:space="preserve">, 7157–7179.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https://doi.org/10.1109/access.2023.3237554</w:t>
      </w:r>
    </w:p>
    <w:p w14:paraId="294D8C5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Keras. (2019). </w:t>
      </w:r>
      <w:r w:rsidRPr="00732A00">
        <w:rPr>
          <w:rFonts w:ascii="Times New Roman" w:eastAsia="Times New Roman" w:hAnsi="Times New Roman" w:cs="Times New Roman"/>
          <w:i/>
          <w:iCs/>
          <w:sz w:val="24"/>
          <w:szCs w:val="24"/>
        </w:rPr>
        <w:t>Home - Keras Documentation</w:t>
      </w:r>
      <w:r w:rsidRPr="00732A00">
        <w:rPr>
          <w:rFonts w:ascii="Times New Roman" w:eastAsia="Times New Roman" w:hAnsi="Times New Roman" w:cs="Times New Roman"/>
          <w:sz w:val="24"/>
          <w:szCs w:val="24"/>
        </w:rPr>
        <w:t>. Keras.io. https://keras.io/</w:t>
      </w:r>
    </w:p>
    <w:p w14:paraId="1F0D0B0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lastRenderedPageBreak/>
        <w:t xml:space="preserve">Khan, R., McLaughlin, K., Laverty, D., &amp; Sezer, S. (2017). </w:t>
      </w:r>
      <w:r w:rsidRPr="00732A00">
        <w:rPr>
          <w:rFonts w:ascii="Times New Roman" w:eastAsia="Times New Roman" w:hAnsi="Times New Roman" w:cs="Times New Roman"/>
          <w:i/>
          <w:iCs/>
          <w:sz w:val="24"/>
          <w:szCs w:val="24"/>
        </w:rPr>
        <w:t xml:space="preserve">STRIDE-based threat modeling for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cyber-physical systems</w:t>
      </w:r>
      <w:r w:rsidRPr="00732A00">
        <w:rPr>
          <w:rFonts w:ascii="Times New Roman" w:eastAsia="Times New Roman" w:hAnsi="Times New Roman" w:cs="Times New Roman"/>
          <w:sz w:val="24"/>
          <w:szCs w:val="24"/>
        </w:rPr>
        <w:t>. IEEE Xplore. https://doi.org/10.1109/ISGTEurope.2017.8260283</w:t>
      </w:r>
    </w:p>
    <w:p w14:paraId="526C8180"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Sriniva</w:t>
      </w:r>
      <w:r w:rsidR="000257D0">
        <w:rPr>
          <w:rFonts w:ascii="Times New Roman" w:eastAsia="Times New Roman" w:hAnsi="Times New Roman" w:cs="Times New Roman"/>
          <w:sz w:val="24"/>
          <w:szCs w:val="24"/>
        </w:rPr>
        <w:t xml:space="preserve"> </w:t>
      </w:r>
      <w:r w:rsidR="000257D0" w:rsidRPr="00732A00">
        <w:rPr>
          <w:rFonts w:ascii="Times New Roman" w:eastAsia="Times New Roman" w:hAnsi="Times New Roman" w:cs="Times New Roman"/>
          <w:sz w:val="24"/>
          <w:szCs w:val="24"/>
        </w:rPr>
        <w:t>Krupa</w:t>
      </w:r>
      <w:r w:rsidRPr="00732A00">
        <w:rPr>
          <w:rFonts w:ascii="Times New Roman" w:eastAsia="Times New Roman" w:hAnsi="Times New Roman" w:cs="Times New Roman"/>
          <w:sz w:val="24"/>
          <w:szCs w:val="24"/>
        </w:rPr>
        <w:t xml:space="preserve">, Shinde, S. C., Acharya, P., &amp; Roy, S. (2024). </w:t>
      </w:r>
      <w:r w:rsidRPr="00732A00">
        <w:rPr>
          <w:rFonts w:ascii="Times New Roman" w:eastAsia="Times New Roman" w:hAnsi="Times New Roman" w:cs="Times New Roman"/>
          <w:i/>
          <w:iCs/>
          <w:sz w:val="24"/>
          <w:szCs w:val="24"/>
        </w:rPr>
        <w:t xml:space="preserve">Explainable AI for Energy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Prediction and Anomaly Detection in Solar Energy Systems</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https://doi.org/10.21203/rs.3.rs-4922729/v1</w:t>
      </w:r>
    </w:p>
    <w:p w14:paraId="27B0FEAB"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Lee, E. A. (2008). Cyber Physical Systems: Design Challenges. </w:t>
      </w:r>
      <w:r w:rsidRPr="00732A00">
        <w:rPr>
          <w:rFonts w:ascii="Times New Roman" w:eastAsia="Times New Roman" w:hAnsi="Times New Roman" w:cs="Times New Roman"/>
          <w:i/>
          <w:iCs/>
          <w:sz w:val="24"/>
          <w:szCs w:val="24"/>
        </w:rPr>
        <w:t xml:space="preserve">2008 11th IEEE International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 xml:space="preserve">Symposium on Object and Component-Oriented Real-Time Distributed Computing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(ISORC)</w:t>
      </w:r>
      <w:r w:rsidRPr="00732A00">
        <w:rPr>
          <w:rFonts w:ascii="Times New Roman" w:eastAsia="Times New Roman" w:hAnsi="Times New Roman" w:cs="Times New Roman"/>
          <w:sz w:val="24"/>
          <w:szCs w:val="24"/>
        </w:rPr>
        <w:t>, 363–369. https://doi.org/10.1109/isorc.2008.25</w:t>
      </w:r>
    </w:p>
    <w:p w14:paraId="4C26A091"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Line, MB, Nordland, O, Røstad, L, &amp; Tøndel, IA. "Safety vs. Security? (PSAM-</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0148)." Proceedings of the Eighth International Conference on Probabilistic Safety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Assessment &amp; Management (PSAM). Ed. Stamatelatos, MG, &amp; Blackman, HS. ASME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Press, 2006. </w:t>
      </w:r>
    </w:p>
    <w:p w14:paraId="00EAA83B"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Madry, A., Makelov, A., Schmidt, L., Tsipras, D., &amp; Vladu, A. (2019). Towards Deep Learning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Models Resistant to Adversarial Attacks. </w:t>
      </w:r>
      <w:r w:rsidRPr="00732A00">
        <w:rPr>
          <w:rFonts w:ascii="Times New Roman" w:eastAsia="Times New Roman" w:hAnsi="Times New Roman" w:cs="Times New Roman"/>
          <w:i/>
          <w:iCs/>
          <w:sz w:val="24"/>
          <w:szCs w:val="24"/>
        </w:rPr>
        <w:t>ArXiv:1706.06083 [Cs, Stat]</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https://arxiv.org/abs/1706.06083</w:t>
      </w:r>
    </w:p>
    <w:p w14:paraId="454492D6"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Michailidis, P., Michailidis, I., &amp; Kosmatopoulos, E. (2025). Reinforcement Learning for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Optimizing Renewable Energy Utilization in Buildings: A Review on Applications and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Innovations. </w:t>
      </w:r>
      <w:r w:rsidRPr="00732A00">
        <w:rPr>
          <w:rFonts w:ascii="Times New Roman" w:eastAsia="Times New Roman" w:hAnsi="Times New Roman" w:cs="Times New Roman"/>
          <w:i/>
          <w:iCs/>
          <w:sz w:val="24"/>
          <w:szCs w:val="24"/>
        </w:rPr>
        <w:t>Energies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18</w:t>
      </w:r>
      <w:r w:rsidRPr="00732A00">
        <w:rPr>
          <w:rFonts w:ascii="Times New Roman" w:eastAsia="Times New Roman" w:hAnsi="Times New Roman" w:cs="Times New Roman"/>
          <w:sz w:val="24"/>
          <w:szCs w:val="24"/>
        </w:rPr>
        <w:t>(7), 1724. https://doi.org/10.3390/en18071724</w:t>
      </w:r>
    </w:p>
    <w:p w14:paraId="72C1E672"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Misyris, G. S., Venzke, A., &amp; Spyros Chatzivasileiadis. (2020). Physics-Informed Neural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Networks for Power Systems. </w:t>
      </w:r>
      <w:r w:rsidRPr="00732A00">
        <w:rPr>
          <w:rFonts w:ascii="Times New Roman" w:eastAsia="Times New Roman" w:hAnsi="Times New Roman" w:cs="Times New Roman"/>
          <w:i/>
          <w:iCs/>
          <w:sz w:val="24"/>
          <w:szCs w:val="24"/>
        </w:rPr>
        <w:t>ArXiv (Cornell University)</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https://doi.org/10.1109/pesgm41954.2020.9282004</w:t>
      </w:r>
    </w:p>
    <w:p w14:paraId="13B28C64"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Mohanta, B. K., Dehury, M. K., Sukhni, B. A., &amp; Mohapatra, N. (2022, November 1). </w:t>
      </w:r>
      <w:r w:rsidRPr="00732A00">
        <w:rPr>
          <w:rFonts w:ascii="Times New Roman" w:eastAsia="Times New Roman" w:hAnsi="Times New Roman" w:cs="Times New Roman"/>
          <w:i/>
          <w:iCs/>
          <w:sz w:val="24"/>
          <w:szCs w:val="24"/>
        </w:rPr>
        <w:t xml:space="preserve">Cyber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Physical System: Security Challenges in Internet of Things System</w:t>
      </w:r>
      <w:r w:rsidRPr="00732A00">
        <w:rPr>
          <w:rFonts w:ascii="Times New Roman" w:eastAsia="Times New Roman" w:hAnsi="Times New Roman" w:cs="Times New Roman"/>
          <w:sz w:val="24"/>
          <w:szCs w:val="24"/>
        </w:rPr>
        <w:t xml:space="preserve">. IEEE Xplore.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https://doi.org/10.1109/I-SMAC55078.2022.9987256</w:t>
      </w:r>
    </w:p>
    <w:p w14:paraId="43C09E3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Mohit Kumar Maheshwari, Anurag Kumar Gupta, Harsh Kumar Pathak, Khan, H., &amp; Arun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Kumar Maurya. (2023). Cyber Security in Power System: Challenges and Opportunities.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Zenodo (CERN European Organization for Nuclear Research)</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https://doi.org/10.5281/zenodo.8112668</w:t>
      </w:r>
    </w:p>
    <w:p w14:paraId="4F834FB1"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National Institute of Standards and Technology. (2018). Framework for Improving Critical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Infrastructure Cybersecurity, Version 1.1. </w:t>
      </w:r>
      <w:r w:rsidRPr="00732A00">
        <w:rPr>
          <w:rFonts w:ascii="Times New Roman" w:eastAsia="Times New Roman" w:hAnsi="Times New Roman" w:cs="Times New Roman"/>
          <w:i/>
          <w:iCs/>
          <w:sz w:val="24"/>
          <w:szCs w:val="24"/>
        </w:rPr>
        <w:t xml:space="preserve">Framework for Improving Critical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Infrastructure Cybersecurity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1.1</w:t>
      </w:r>
      <w:r w:rsidRPr="00732A00">
        <w:rPr>
          <w:rFonts w:ascii="Times New Roman" w:eastAsia="Times New Roman" w:hAnsi="Times New Roman" w:cs="Times New Roman"/>
          <w:sz w:val="24"/>
          <w:szCs w:val="24"/>
        </w:rPr>
        <w:t>(1). https://doi.org/10.6028/nist.cswp.04162018</w:t>
      </w:r>
    </w:p>
    <w:p w14:paraId="7B9528B7"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lastRenderedPageBreak/>
        <w:t xml:space="preserve">Panthi, M. (2020). </w:t>
      </w:r>
      <w:r w:rsidRPr="00732A00">
        <w:rPr>
          <w:rFonts w:ascii="Times New Roman" w:eastAsia="Times New Roman" w:hAnsi="Times New Roman" w:cs="Times New Roman"/>
          <w:i/>
          <w:iCs/>
          <w:sz w:val="24"/>
          <w:szCs w:val="24"/>
        </w:rPr>
        <w:t>Anomaly Detection in Smart Grids using Machine Learning Techniques</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IEEE Xplore. https://doi.org/10.1109/ICPC2T48082.2020.9071434</w:t>
      </w:r>
    </w:p>
    <w:p w14:paraId="2447F882" w14:textId="77777777" w:rsidR="000257D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Pedregosa, F., Pedregosa@inria, F., Fr, Org, G., Michel, V., Fr, B., Grisel, O., Grisel@ensta, O.,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Blondel, M., Prettenhofer, P., Weiss, R., Com, V., Vanderplas, J., Com, A., Cournapeau,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D., Varoquaux, G., Gramfort, A., Thirion, B., Dubourg, V., &amp; Passos, A. (2011). Scikit-</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learn: Machine Learning in Python Gaël Varoquaux Bertrand Thirion Vincent Dubourg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Alexandre Passos PEDREGOSA, VAROQUAUX, GRAMFORT ET AL. Matthieu </w:t>
      </w:r>
    </w:p>
    <w:p w14:paraId="781548C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Qi, Q., Tao, F., Hu, T., Anwer, N., Liu, A., Wei, Y., Wang, L., &amp; Nee, A. Y. C. (2019). Enabling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technologies and tools for digital twin. </w:t>
      </w:r>
      <w:r w:rsidRPr="00732A00">
        <w:rPr>
          <w:rFonts w:ascii="Times New Roman" w:eastAsia="Times New Roman" w:hAnsi="Times New Roman" w:cs="Times New Roman"/>
          <w:i/>
          <w:iCs/>
          <w:sz w:val="24"/>
          <w:szCs w:val="24"/>
        </w:rPr>
        <w:t>Journal of Manufacturing Systems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58</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https://doi.org/10.1016/j.jmsy.2019.10.001</w:t>
      </w:r>
    </w:p>
    <w:p w14:paraId="6396B571"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Qian, X., Fu, Y., Jiang, Y.-G., Xiang, T., &amp; Xue, X. (2017). </w:t>
      </w:r>
      <w:r w:rsidRPr="00732A00">
        <w:rPr>
          <w:rFonts w:ascii="Times New Roman" w:eastAsia="Times New Roman" w:hAnsi="Times New Roman" w:cs="Times New Roman"/>
          <w:i/>
          <w:iCs/>
          <w:sz w:val="24"/>
          <w:szCs w:val="24"/>
        </w:rPr>
        <w:t xml:space="preserve">Multi-scale Deep Learning </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Architectures for Person Re-identification</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hyperlink r:id="rId15" w:history="1">
        <w:r w:rsidRPr="00FE54D4">
          <w:rPr>
            <w:rStyle w:val="Hyperlink"/>
            <w:rFonts w:ascii="Times New Roman" w:eastAsia="Times New Roman" w:hAnsi="Times New Roman" w:cs="Times New Roman"/>
            <w:sz w:val="24"/>
            <w:szCs w:val="24"/>
          </w:rPr>
          <w:t>https://openaccess.thecvf.com/content_ICCV_2017/papers/Qian_Multi-</w:t>
        </w:r>
      </w:hyperlink>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Scale_Deep_Learning_ICCV_2017_paper.pdf</w:t>
      </w:r>
    </w:p>
    <w:p w14:paraId="27BB894B"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Rausand, M., &amp; Haugen, S. (2020). </w:t>
      </w:r>
      <w:r w:rsidRPr="00732A00">
        <w:rPr>
          <w:rFonts w:ascii="Times New Roman" w:eastAsia="Times New Roman" w:hAnsi="Times New Roman" w:cs="Times New Roman"/>
          <w:i/>
          <w:iCs/>
          <w:sz w:val="24"/>
          <w:szCs w:val="24"/>
        </w:rPr>
        <w:t>Risk Assessment</w:t>
      </w:r>
      <w:r w:rsidRPr="00732A00">
        <w:rPr>
          <w:rFonts w:ascii="Times New Roman" w:eastAsia="Times New Roman" w:hAnsi="Times New Roman" w:cs="Times New Roman"/>
          <w:sz w:val="24"/>
          <w:szCs w:val="24"/>
        </w:rPr>
        <w:t>. https://doi.org/10.1002/9781119377351</w:t>
      </w:r>
    </w:p>
    <w:p w14:paraId="608EC288"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REN21. (2022). </w:t>
      </w:r>
      <w:r w:rsidRPr="00732A00">
        <w:rPr>
          <w:rFonts w:ascii="Times New Roman" w:eastAsia="Times New Roman" w:hAnsi="Times New Roman" w:cs="Times New Roman"/>
          <w:i/>
          <w:iCs/>
          <w:sz w:val="24"/>
          <w:szCs w:val="24"/>
        </w:rPr>
        <w:t>RENEWABLES 2022 GLOBAL STATUS REPORT</w:t>
      </w:r>
      <w:r w:rsidRPr="00732A00">
        <w:rPr>
          <w:rFonts w:ascii="Times New Roman" w:eastAsia="Times New Roman" w:hAnsi="Times New Roman" w:cs="Times New Roman"/>
          <w:sz w:val="24"/>
          <w:szCs w:val="24"/>
        </w:rPr>
        <w:t xml:space="preserve">. </w:t>
      </w:r>
      <w:hyperlink r:id="rId16" w:history="1">
        <w:r w:rsidRPr="00FE54D4">
          <w:rPr>
            <w:rStyle w:val="Hyperlink"/>
            <w:rFonts w:ascii="Times New Roman" w:eastAsia="Times New Roman" w:hAnsi="Times New Roman" w:cs="Times New Roman"/>
            <w:sz w:val="24"/>
            <w:szCs w:val="24"/>
          </w:rPr>
          <w:t>Www.ren21.net</w:t>
        </w:r>
      </w:hyperlink>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https://www.ren21.net/gsr-2022/</w:t>
      </w:r>
    </w:p>
    <w:p w14:paraId="5FC9D5C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Saito, T., &amp; Rehmsmeier, M. (2015). The Precision-Recall Plot Is More Informative than the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ROC Plot When Evaluating Binary Classifiers on Imbalanced Datasets. </w:t>
      </w:r>
      <w:r w:rsidRPr="00732A00">
        <w:rPr>
          <w:rFonts w:ascii="Times New Roman" w:eastAsia="Times New Roman" w:hAnsi="Times New Roman" w:cs="Times New Roman"/>
          <w:i/>
          <w:iCs/>
          <w:sz w:val="24"/>
          <w:szCs w:val="24"/>
        </w:rPr>
        <w:t>PLOS ONE</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10</w:t>
      </w:r>
      <w:r w:rsidRPr="00732A00">
        <w:rPr>
          <w:rFonts w:ascii="Times New Roman" w:eastAsia="Times New Roman" w:hAnsi="Times New Roman" w:cs="Times New Roman"/>
          <w:sz w:val="24"/>
          <w:szCs w:val="24"/>
        </w:rPr>
        <w:t>(3), e0118432. https://doi.org/10.1371/journal.pone.0118432</w:t>
      </w:r>
    </w:p>
    <w:p w14:paraId="5D1A8B6E"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Sharafaldin, I., Habibi Lashkari, A., &amp; Ghorbani, A. A. (2018). Toward Generating a New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Intrusion Detection Dataset and Intrusion Traffic Characterization. </w:t>
      </w:r>
      <w:r w:rsidRPr="00732A00">
        <w:rPr>
          <w:rFonts w:ascii="Times New Roman" w:eastAsia="Times New Roman" w:hAnsi="Times New Roman" w:cs="Times New Roman"/>
          <w:i/>
          <w:iCs/>
          <w:sz w:val="24"/>
          <w:szCs w:val="24"/>
        </w:rPr>
        <w:t xml:space="preserve">Proceedings of the 4th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International Conference on Information Systems Security and Privacy</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https://doi.org/10.5220/0006639801080116</w:t>
      </w:r>
    </w:p>
    <w:p w14:paraId="5E63E2E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Shi, X., Chen, Z., Wang, H., Yeung, D.-Y., Wong, W.-K., Woo, W.-C., &amp; Kong Observatory, H.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(2015). </w:t>
      </w:r>
      <w:r w:rsidRPr="00732A00">
        <w:rPr>
          <w:rFonts w:ascii="Times New Roman" w:eastAsia="Times New Roman" w:hAnsi="Times New Roman" w:cs="Times New Roman"/>
          <w:i/>
          <w:iCs/>
          <w:sz w:val="24"/>
          <w:szCs w:val="24"/>
        </w:rPr>
        <w:t xml:space="preserve">Convolutional LSTM Network: A Machine Learning Approach for Precipitation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Nowcasting</w:t>
      </w:r>
      <w:r w:rsidRPr="00732A00">
        <w:rPr>
          <w:rFonts w:ascii="Times New Roman" w:eastAsia="Times New Roman" w:hAnsi="Times New Roman" w:cs="Times New Roman"/>
          <w:sz w:val="24"/>
          <w:szCs w:val="24"/>
        </w:rPr>
        <w:t xml:space="preserve">. </w:t>
      </w:r>
      <w:hyperlink r:id="rId17" w:history="1">
        <w:r w:rsidRPr="00FE54D4">
          <w:rPr>
            <w:rStyle w:val="Hyperlink"/>
            <w:rFonts w:ascii="Times New Roman" w:eastAsia="Times New Roman" w:hAnsi="Times New Roman" w:cs="Times New Roman"/>
            <w:sz w:val="24"/>
            <w:szCs w:val="24"/>
          </w:rPr>
          <w:t>https://proceedings.neurips.cc/paper/5955-convolutional-lstm-network-a-</w:t>
        </w:r>
      </w:hyperlink>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machine-learningapproach-for-precipitation-nowcasting.pdf</w:t>
      </w:r>
    </w:p>
    <w:p w14:paraId="3903F5D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Srivastava, N., Hinton, G., Krizhevsky, A., Sutskever, I., &amp; Salakhutdinov, R. (2014). Dropout: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A Simple Way to Prevent Neural Networks from Overfitting. </w:t>
      </w:r>
      <w:r w:rsidRPr="00732A00">
        <w:rPr>
          <w:rFonts w:ascii="Times New Roman" w:eastAsia="Times New Roman" w:hAnsi="Times New Roman" w:cs="Times New Roman"/>
          <w:i/>
          <w:iCs/>
          <w:sz w:val="24"/>
          <w:szCs w:val="24"/>
        </w:rPr>
        <w:t xml:space="preserve">Journal of Machine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Learning Research</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15</w:t>
      </w:r>
      <w:r w:rsidRPr="00732A00">
        <w:rPr>
          <w:rFonts w:ascii="Times New Roman" w:eastAsia="Times New Roman" w:hAnsi="Times New Roman" w:cs="Times New Roman"/>
          <w:sz w:val="24"/>
          <w:szCs w:val="24"/>
        </w:rPr>
        <w:t>(56), 1929–1958. https://jmlr.org/papers/v15/srivastava14a.html</w:t>
      </w:r>
    </w:p>
    <w:p w14:paraId="67FABE46"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lastRenderedPageBreak/>
        <w:t xml:space="preserve">Terra, J. (2022). </w:t>
      </w:r>
      <w:r w:rsidRPr="00732A00">
        <w:rPr>
          <w:rFonts w:ascii="Times New Roman" w:eastAsia="Times New Roman" w:hAnsi="Times New Roman" w:cs="Times New Roman"/>
          <w:i/>
          <w:iCs/>
          <w:sz w:val="24"/>
          <w:szCs w:val="24"/>
        </w:rPr>
        <w:t xml:space="preserve">What is a ROC Curve, and How Do You Use It in Performance Modeling? |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Simplilearn</w:t>
      </w:r>
      <w:r w:rsidRPr="00732A00">
        <w:rPr>
          <w:rFonts w:ascii="Times New Roman" w:eastAsia="Times New Roman" w:hAnsi="Times New Roman" w:cs="Times New Roman"/>
          <w:sz w:val="24"/>
          <w:szCs w:val="24"/>
        </w:rPr>
        <w:t xml:space="preserve">. Simplilearn.com. </w:t>
      </w:r>
      <w:hyperlink r:id="rId18" w:history="1">
        <w:r w:rsidRPr="00FE54D4">
          <w:rPr>
            <w:rStyle w:val="Hyperlink"/>
            <w:rFonts w:ascii="Times New Roman" w:eastAsia="Times New Roman" w:hAnsi="Times New Roman" w:cs="Times New Roman"/>
            <w:sz w:val="24"/>
            <w:szCs w:val="24"/>
          </w:rPr>
          <w:t>https://www.simplilearn.com/what-is-a-roc-curve-and-</w:t>
        </w:r>
      </w:hyperlink>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how-to-use-it-in-performance-modeling-article</w:t>
      </w:r>
    </w:p>
    <w:p w14:paraId="196271BA"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Ti, B., Li, G., Zhou, M., &amp; Wang, J. (2021). Resilience Assessment and Improvement for Cyber-</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Physical Power Systems under Typhoon Disasters. </w:t>
      </w:r>
      <w:r w:rsidRPr="00732A00">
        <w:rPr>
          <w:rFonts w:ascii="Times New Roman" w:eastAsia="Times New Roman" w:hAnsi="Times New Roman" w:cs="Times New Roman"/>
          <w:i/>
          <w:iCs/>
          <w:sz w:val="24"/>
          <w:szCs w:val="24"/>
        </w:rPr>
        <w:t>IEEE Transactions on Smart Grid</w:t>
      </w:r>
      <w:r w:rsidRPr="00732A00">
        <w:rPr>
          <w:rFonts w:ascii="Times New Roman" w:eastAsia="Times New Roman" w:hAnsi="Times New Roman" w:cs="Times New Roman"/>
          <w:sz w:val="24"/>
          <w:szCs w:val="24"/>
        </w:rPr>
        <w:t>, 1–</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1. https://doi.org/10.1109/tsg.2021.3114512</w:t>
      </w:r>
    </w:p>
    <w:p w14:paraId="70B1AE6E"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U.S.-Canada Power System Outage Task Force. (2004). </w:t>
      </w:r>
      <w:r w:rsidRPr="00732A00">
        <w:rPr>
          <w:rFonts w:ascii="Times New Roman" w:eastAsia="Times New Roman" w:hAnsi="Times New Roman" w:cs="Times New Roman"/>
          <w:i/>
          <w:iCs/>
          <w:sz w:val="24"/>
          <w:szCs w:val="24"/>
        </w:rPr>
        <w:t xml:space="preserve">Final Report on the Blackout in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 xml:space="preserve">the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United States and Canada: Causes and Recommendations</w:t>
      </w:r>
      <w:r w:rsidRPr="00732A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hyperlink r:id="rId19" w:history="1">
        <w:r w:rsidRPr="00FE54D4">
          <w:rPr>
            <w:rStyle w:val="Hyperlink"/>
            <w:rFonts w:ascii="Times New Roman" w:eastAsia="Times New Roman" w:hAnsi="Times New Roman" w:cs="Times New Roman"/>
            <w:sz w:val="24"/>
            <w:szCs w:val="24"/>
          </w:rPr>
          <w:t>https://www.energy.gov/sites/prod/files/oeprod/DocumentsandMedia/BlackoutFinal-</w:t>
        </w:r>
      </w:hyperlink>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Web.pdf</w:t>
      </w:r>
    </w:p>
    <w:p w14:paraId="6B7DA53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Vangheluwe, H., Lara, J. de, &amp; Mosterman, P. J. (2002, January 1). </w:t>
      </w:r>
      <w:r w:rsidRPr="00732A00">
        <w:rPr>
          <w:rFonts w:ascii="Times New Roman" w:eastAsia="Times New Roman" w:hAnsi="Times New Roman" w:cs="Times New Roman"/>
          <w:i/>
          <w:iCs/>
          <w:sz w:val="24"/>
          <w:szCs w:val="24"/>
        </w:rPr>
        <w:t>An introduction to multi-</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paradigm modelling and simulation</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hyperlink r:id="rId20" w:history="1">
        <w:r w:rsidRPr="00FE54D4">
          <w:rPr>
            <w:rStyle w:val="Hyperlink"/>
            <w:rFonts w:ascii="Times New Roman" w:eastAsia="Times New Roman" w:hAnsi="Times New Roman" w:cs="Times New Roman"/>
            <w:sz w:val="24"/>
            <w:szCs w:val="24"/>
          </w:rPr>
          <w:t>https://www.researchgate.net/publication/243776266_An_introduction_to_multi-</w:t>
        </w:r>
      </w:hyperlink>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paradigm_modelling_and_simulation</w:t>
      </w:r>
    </w:p>
    <w:p w14:paraId="4E377D74"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Wang, F., Zhang, Z., Liu, C., Yu, Y., Pang, S., Duić, N., Shafie-khah, M., &amp; Catalão, J. P. S.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(2019). Generative adversarial networks and convolutional neural networks based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weather classification model for day ahead short-term photovoltaic power forecasting. </w:t>
      </w:r>
      <w:r>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Energy Conversion and Management</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181</w:t>
      </w:r>
      <w:r w:rsidRPr="00732A00">
        <w:rPr>
          <w:rFonts w:ascii="Times New Roman" w:eastAsia="Times New Roman" w:hAnsi="Times New Roman" w:cs="Times New Roman"/>
          <w:sz w:val="24"/>
          <w:szCs w:val="24"/>
        </w:rPr>
        <w:t xml:space="preserve">, 443–462.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https://doi.org/10.1016/j.enconman.2018.11.074</w:t>
      </w:r>
    </w:p>
    <w:p w14:paraId="41D4A29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Wang, S., Zhang, Y., &amp; Zhang, Y. (2018). A Blockchain-Based Framework for Data Sharing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With Fine-Grained Access Control in Decentralized Storage Systems. </w:t>
      </w:r>
      <w:r w:rsidRPr="00732A00">
        <w:rPr>
          <w:rFonts w:ascii="Times New Roman" w:eastAsia="Times New Roman" w:hAnsi="Times New Roman" w:cs="Times New Roman"/>
          <w:i/>
          <w:iCs/>
          <w:sz w:val="24"/>
          <w:szCs w:val="24"/>
        </w:rPr>
        <w:t>IEEE Access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6</w:t>
      </w:r>
      <w:r w:rsidRPr="00732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38437–38450. https://doi.org/10.1109/access.2018.2851611</w:t>
      </w:r>
    </w:p>
    <w:p w14:paraId="156E06F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Wang, W., &amp; Lu, Z. (2013). Cyber security in the Smart Grid: Survey and challenges. </w:t>
      </w:r>
      <w:r w:rsidRPr="00732A00">
        <w:rPr>
          <w:rFonts w:ascii="Times New Roman" w:eastAsia="Times New Roman" w:hAnsi="Times New Roman" w:cs="Times New Roman"/>
          <w:i/>
          <w:iCs/>
          <w:sz w:val="24"/>
          <w:szCs w:val="24"/>
        </w:rPr>
        <w:t xml:space="preserve">Computer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Networks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57</w:t>
      </w:r>
      <w:r w:rsidRPr="00732A00">
        <w:rPr>
          <w:rFonts w:ascii="Times New Roman" w:eastAsia="Times New Roman" w:hAnsi="Times New Roman" w:cs="Times New Roman"/>
          <w:sz w:val="24"/>
          <w:szCs w:val="24"/>
        </w:rPr>
        <w:t>(5), 1344–1371. https://doi.org/10.1016/j.comnet.2012.12.017</w:t>
      </w:r>
    </w:p>
    <w:p w14:paraId="390F2873"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Wang, W., Xu, Y., &amp; Khanna, M. (2011). A survey on the communication architectures in smart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grid. </w:t>
      </w:r>
      <w:r w:rsidRPr="00732A00">
        <w:rPr>
          <w:rFonts w:ascii="Times New Roman" w:eastAsia="Times New Roman" w:hAnsi="Times New Roman" w:cs="Times New Roman"/>
          <w:i/>
          <w:iCs/>
          <w:sz w:val="24"/>
          <w:szCs w:val="24"/>
        </w:rPr>
        <w:t>Computer Networks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55</w:t>
      </w:r>
      <w:r w:rsidRPr="00732A00">
        <w:rPr>
          <w:rFonts w:ascii="Times New Roman" w:eastAsia="Times New Roman" w:hAnsi="Times New Roman" w:cs="Times New Roman"/>
          <w:sz w:val="24"/>
          <w:szCs w:val="24"/>
        </w:rPr>
        <w:t xml:space="preserve">(15), 3604–3629.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https://doi.org/10.1016/j.comnet.2011.07.010</w:t>
      </w:r>
    </w:p>
    <w:p w14:paraId="158F8604"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Wang, Y., Chen, C., Kong, P.-Y., Li, H., &amp; Wen, Q. (2022). </w:t>
      </w:r>
      <w:r w:rsidRPr="00732A00">
        <w:rPr>
          <w:rFonts w:ascii="Times New Roman" w:eastAsia="Times New Roman" w:hAnsi="Times New Roman" w:cs="Times New Roman"/>
          <w:i/>
          <w:iCs/>
          <w:sz w:val="24"/>
          <w:szCs w:val="24"/>
        </w:rPr>
        <w:t xml:space="preserve">A Cyber–Physical–Social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Perspective on Future Smart Distribution Systems</w:t>
      </w:r>
      <w:r w:rsidRPr="00732A00">
        <w:rPr>
          <w:rFonts w:ascii="Times New Roman" w:eastAsia="Times New Roman" w:hAnsi="Times New Roman" w:cs="Times New Roman"/>
          <w:sz w:val="24"/>
          <w:szCs w:val="24"/>
        </w:rPr>
        <w:t xml:space="preserve">. 1–31. </w:t>
      </w:r>
      <w:r>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https://doi.org/10.1109/jproc.2022.3192535</w:t>
      </w:r>
    </w:p>
    <w:p w14:paraId="3E1510C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lastRenderedPageBreak/>
        <w:t xml:space="preserve">White, T. (2016). </w:t>
      </w:r>
      <w:r w:rsidRPr="00732A00">
        <w:rPr>
          <w:rFonts w:ascii="Times New Roman" w:eastAsia="Times New Roman" w:hAnsi="Times New Roman" w:cs="Times New Roman"/>
          <w:i/>
          <w:iCs/>
          <w:sz w:val="24"/>
          <w:szCs w:val="24"/>
        </w:rPr>
        <w:t xml:space="preserve">NERC | Report Title | Report Date I Analysis of the Cyber Attack on the </w:t>
      </w:r>
      <w:r>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Ukrainian Power Grid Defense Use Case</w:t>
      </w:r>
      <w:r w:rsidRPr="00732A00">
        <w:rPr>
          <w:rFonts w:ascii="Times New Roman" w:eastAsia="Times New Roman" w:hAnsi="Times New Roman" w:cs="Times New Roman"/>
          <w:sz w:val="24"/>
          <w:szCs w:val="24"/>
        </w:rPr>
        <w:t xml:space="preserve">. </w:t>
      </w:r>
      <w:r w:rsidR="006A1B2D">
        <w:rPr>
          <w:rFonts w:ascii="Times New Roman" w:eastAsia="Times New Roman" w:hAnsi="Times New Roman" w:cs="Times New Roman"/>
          <w:sz w:val="24"/>
          <w:szCs w:val="24"/>
        </w:rPr>
        <w:tab/>
      </w:r>
      <w:hyperlink r:id="rId21" w:history="1">
        <w:r w:rsidR="006A1B2D" w:rsidRPr="00FE54D4">
          <w:rPr>
            <w:rStyle w:val="Hyperlink"/>
            <w:rFonts w:ascii="Times New Roman" w:eastAsia="Times New Roman" w:hAnsi="Times New Roman" w:cs="Times New Roman"/>
            <w:sz w:val="24"/>
            <w:szCs w:val="24"/>
          </w:rPr>
          <w:t>https://nsarchive.gwu.edu/sites/default/files/documents/3891751/SANS-and-Electricity-</w:t>
        </w:r>
      </w:hyperlink>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Information-Sharing-and.pdf</w:t>
      </w:r>
    </w:p>
    <w:p w14:paraId="4932A85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Wikipedia Contributors. (2019). </w:t>
      </w:r>
      <w:r w:rsidRPr="00732A00">
        <w:rPr>
          <w:rFonts w:ascii="Times New Roman" w:eastAsia="Times New Roman" w:hAnsi="Times New Roman" w:cs="Times New Roman"/>
          <w:i/>
          <w:iCs/>
          <w:sz w:val="24"/>
          <w:szCs w:val="24"/>
        </w:rPr>
        <w:t>Receiver operating characteristic</w:t>
      </w:r>
      <w:r w:rsidRPr="00732A00">
        <w:rPr>
          <w:rFonts w:ascii="Times New Roman" w:eastAsia="Times New Roman" w:hAnsi="Times New Roman" w:cs="Times New Roman"/>
          <w:sz w:val="24"/>
          <w:szCs w:val="24"/>
        </w:rPr>
        <w:t xml:space="preserve">. Wikipedia; Wikimedia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Foundation. https://en.wikipedia.org/wiki/Receiver_operating_characteristic</w:t>
      </w:r>
    </w:p>
    <w:p w14:paraId="37720FD1"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Williams, P., &amp; Woodward, A. (2015). Cybersecurity vulnerabilities in medical devices: a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complex environment and multifaceted problem. </w:t>
      </w:r>
      <w:r w:rsidRPr="00732A00">
        <w:rPr>
          <w:rFonts w:ascii="Times New Roman" w:eastAsia="Times New Roman" w:hAnsi="Times New Roman" w:cs="Times New Roman"/>
          <w:i/>
          <w:iCs/>
          <w:sz w:val="24"/>
          <w:szCs w:val="24"/>
        </w:rPr>
        <w:t xml:space="preserve">Medical Devices: Evidence and </w:t>
      </w:r>
      <w:r w:rsidR="006A1B2D">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Research</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8</w:t>
      </w:r>
      <w:r w:rsidRPr="00732A00">
        <w:rPr>
          <w:rFonts w:ascii="Times New Roman" w:eastAsia="Times New Roman" w:hAnsi="Times New Roman" w:cs="Times New Roman"/>
          <w:sz w:val="24"/>
          <w:szCs w:val="24"/>
        </w:rPr>
        <w:t>, 305–316. https://doi.org/10.2147/mder.s50048</w:t>
      </w:r>
    </w:p>
    <w:p w14:paraId="2DD58D7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Word Bank. (2020). </w:t>
      </w:r>
      <w:r w:rsidRPr="00732A00">
        <w:rPr>
          <w:rFonts w:ascii="Times New Roman" w:eastAsia="Times New Roman" w:hAnsi="Times New Roman" w:cs="Times New Roman"/>
          <w:i/>
          <w:iCs/>
          <w:sz w:val="24"/>
          <w:szCs w:val="24"/>
        </w:rPr>
        <w:t xml:space="preserve">ENERGY SECTOR MANAGEMENT ASSISTANCE PROGRAM Public </w:t>
      </w:r>
      <w:r w:rsidR="006A1B2D">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 xml:space="preserve">Disclosure Authorized Public Disclosure Authorized Public Disclosure Authorized Public </w:t>
      </w:r>
      <w:r w:rsidR="006A1B2D">
        <w:rPr>
          <w:rFonts w:ascii="Times New Roman" w:eastAsia="Times New Roman" w:hAnsi="Times New Roman" w:cs="Times New Roman"/>
          <w:i/>
          <w:iCs/>
          <w:sz w:val="24"/>
          <w:szCs w:val="24"/>
        </w:rPr>
        <w:tab/>
      </w:r>
      <w:r w:rsidRPr="00732A00">
        <w:rPr>
          <w:rFonts w:ascii="Times New Roman" w:eastAsia="Times New Roman" w:hAnsi="Times New Roman" w:cs="Times New Roman"/>
          <w:i/>
          <w:iCs/>
          <w:sz w:val="24"/>
          <w:szCs w:val="24"/>
        </w:rPr>
        <w:t>Disclosure Authorized</w:t>
      </w:r>
      <w:r w:rsidRPr="00732A00">
        <w:rPr>
          <w:rFonts w:ascii="Times New Roman" w:eastAsia="Times New Roman" w:hAnsi="Times New Roman" w:cs="Times New Roman"/>
          <w:sz w:val="24"/>
          <w:szCs w:val="24"/>
        </w:rPr>
        <w:t xml:space="preserve">. </w:t>
      </w:r>
      <w:r w:rsidR="006A1B2D">
        <w:rPr>
          <w:rFonts w:ascii="Times New Roman" w:eastAsia="Times New Roman" w:hAnsi="Times New Roman" w:cs="Times New Roman"/>
          <w:sz w:val="24"/>
          <w:szCs w:val="24"/>
        </w:rPr>
        <w:tab/>
      </w:r>
      <w:hyperlink r:id="rId22" w:history="1">
        <w:r w:rsidR="006A1B2D" w:rsidRPr="00FE54D4">
          <w:rPr>
            <w:rStyle w:val="Hyperlink"/>
            <w:rFonts w:ascii="Times New Roman" w:eastAsia="Times New Roman" w:hAnsi="Times New Roman" w:cs="Times New Roman"/>
            <w:sz w:val="24"/>
            <w:szCs w:val="24"/>
          </w:rPr>
          <w:t>https://documents1.worldbank.org/curated/en/712171609756525808/pdf/Main-</w:t>
        </w:r>
      </w:hyperlink>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Report.pdf</w:t>
      </w:r>
    </w:p>
    <w:p w14:paraId="74A094BF"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Xue, F., Yan, W., Wang, T., Huang, H., &amp; Feng, B. (2020). Deep anomaly detection for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industrial systems: a case study. </w:t>
      </w:r>
      <w:r w:rsidRPr="00732A00">
        <w:rPr>
          <w:rFonts w:ascii="Times New Roman" w:eastAsia="Times New Roman" w:hAnsi="Times New Roman" w:cs="Times New Roman"/>
          <w:i/>
          <w:iCs/>
          <w:sz w:val="24"/>
          <w:szCs w:val="24"/>
        </w:rPr>
        <w:t>Annual Conference of the PHM Society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12</w:t>
      </w:r>
      <w:r w:rsidRPr="00732A00">
        <w:rPr>
          <w:rFonts w:ascii="Times New Roman" w:eastAsia="Times New Roman" w:hAnsi="Times New Roman" w:cs="Times New Roman"/>
          <w:sz w:val="24"/>
          <w:szCs w:val="24"/>
        </w:rPr>
        <w:t xml:space="preserve">(1), 8.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https://doi.org/10.36001/phmconf.2020.v12i1.1186</w:t>
      </w:r>
    </w:p>
    <w:p w14:paraId="4F775C05"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Yan, Y., Qian, Y., Sharif, H., &amp; Tipper, D. (2012). A Survey on Cyber Security for Smart Grid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Communications. </w:t>
      </w:r>
      <w:r w:rsidRPr="00732A00">
        <w:rPr>
          <w:rFonts w:ascii="Times New Roman" w:eastAsia="Times New Roman" w:hAnsi="Times New Roman" w:cs="Times New Roman"/>
          <w:i/>
          <w:iCs/>
          <w:sz w:val="24"/>
          <w:szCs w:val="24"/>
        </w:rPr>
        <w:t>IEEE Communications Surveys &amp; Tutorials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14</w:t>
      </w:r>
      <w:r w:rsidRPr="00732A00">
        <w:rPr>
          <w:rFonts w:ascii="Times New Roman" w:eastAsia="Times New Roman" w:hAnsi="Times New Roman" w:cs="Times New Roman"/>
          <w:sz w:val="24"/>
          <w:szCs w:val="24"/>
        </w:rPr>
        <w:t xml:space="preserve">(4), 998–1010.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https://doi.org/10.1109/surv.2012.010912.00035</w:t>
      </w:r>
    </w:p>
    <w:p w14:paraId="311216BE"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Zaidan, M. A., Mills, A. R., &amp; Harrison, R. F. (2013). Bayesian framework for aerospace gas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turbine engine prognostics. </w:t>
      </w:r>
      <w:r w:rsidRPr="00732A00">
        <w:rPr>
          <w:rFonts w:ascii="Times New Roman" w:eastAsia="Times New Roman" w:hAnsi="Times New Roman" w:cs="Times New Roman"/>
          <w:i/>
          <w:iCs/>
          <w:sz w:val="24"/>
          <w:szCs w:val="24"/>
        </w:rPr>
        <w:t>IEEE Aerospace Conference Proceedings</w:t>
      </w:r>
      <w:r w:rsidRPr="00732A00">
        <w:rPr>
          <w:rFonts w:ascii="Times New Roman" w:eastAsia="Times New Roman" w:hAnsi="Times New Roman" w:cs="Times New Roman"/>
          <w:sz w:val="24"/>
          <w:szCs w:val="24"/>
        </w:rPr>
        <w:t xml:space="preserve">, 1–8.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https://doi.org/10.1109/AERO.2013.6496856</w:t>
      </w:r>
    </w:p>
    <w:p w14:paraId="1DFF3238"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Zhang, C., Bengio, S., Hardt, M., Recht, B., &amp; Vinyals, O. (2017). Understanding deep learning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requires rethinking generalization. </w:t>
      </w:r>
      <w:r w:rsidRPr="00732A00">
        <w:rPr>
          <w:rFonts w:ascii="Times New Roman" w:eastAsia="Times New Roman" w:hAnsi="Times New Roman" w:cs="Times New Roman"/>
          <w:i/>
          <w:iCs/>
          <w:sz w:val="24"/>
          <w:szCs w:val="24"/>
        </w:rPr>
        <w:t>ArXiv:1611.03530 [Cs]</w:t>
      </w:r>
      <w:r w:rsidRPr="00732A00">
        <w:rPr>
          <w:rFonts w:ascii="Times New Roman" w:eastAsia="Times New Roman" w:hAnsi="Times New Roman" w:cs="Times New Roman"/>
          <w:sz w:val="24"/>
          <w:szCs w:val="24"/>
        </w:rPr>
        <w:t xml:space="preserve">.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https://arxiv.org/abs/1611.03530</w:t>
      </w:r>
    </w:p>
    <w:p w14:paraId="623654D9"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Zhang, H., Liu, B., &amp; Wu, H. (2021). Smart Grid Cyber-Physical Attack and Defense: A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 xml:space="preserve">Review. </w:t>
      </w:r>
      <w:r w:rsidRPr="00732A00">
        <w:rPr>
          <w:rFonts w:ascii="Times New Roman" w:eastAsia="Times New Roman" w:hAnsi="Times New Roman" w:cs="Times New Roman"/>
          <w:i/>
          <w:iCs/>
          <w:sz w:val="24"/>
          <w:szCs w:val="24"/>
        </w:rPr>
        <w:t>IEEE Access</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9</w:t>
      </w:r>
      <w:r w:rsidRPr="00732A00">
        <w:rPr>
          <w:rFonts w:ascii="Times New Roman" w:eastAsia="Times New Roman" w:hAnsi="Times New Roman" w:cs="Times New Roman"/>
          <w:sz w:val="24"/>
          <w:szCs w:val="24"/>
        </w:rPr>
        <w:t>, 29641–29659. https://doi.org/10.1109/access.2021.3058628</w:t>
      </w:r>
    </w:p>
    <w:p w14:paraId="5962061C" w14:textId="77777777" w:rsidR="00732A00" w:rsidRPr="00732A00" w:rsidRDefault="00732A00" w:rsidP="009A0B48">
      <w:pPr>
        <w:spacing w:after="0" w:line="360" w:lineRule="auto"/>
        <w:jc w:val="both"/>
        <w:rPr>
          <w:rFonts w:ascii="Times New Roman" w:eastAsia="Times New Roman" w:hAnsi="Times New Roman" w:cs="Times New Roman"/>
          <w:sz w:val="24"/>
          <w:szCs w:val="24"/>
        </w:rPr>
      </w:pPr>
      <w:r w:rsidRPr="00732A00">
        <w:rPr>
          <w:rFonts w:ascii="Times New Roman" w:eastAsia="Times New Roman" w:hAnsi="Times New Roman" w:cs="Times New Roman"/>
          <w:sz w:val="24"/>
          <w:szCs w:val="24"/>
        </w:rPr>
        <w:t xml:space="preserve">Zio, E. (2016). Challenges in the vulnerability and risk analysis of critical infrastructures.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i/>
          <w:iCs/>
          <w:sz w:val="24"/>
          <w:szCs w:val="24"/>
        </w:rPr>
        <w:t>Reliability Engineering &amp; System Safety</w:t>
      </w:r>
      <w:r w:rsidRPr="00732A00">
        <w:rPr>
          <w:rFonts w:ascii="Times New Roman" w:eastAsia="Times New Roman" w:hAnsi="Times New Roman" w:cs="Times New Roman"/>
          <w:sz w:val="24"/>
          <w:szCs w:val="24"/>
        </w:rPr>
        <w:t xml:space="preserve">, </w:t>
      </w:r>
      <w:r w:rsidRPr="00732A00">
        <w:rPr>
          <w:rFonts w:ascii="Times New Roman" w:eastAsia="Times New Roman" w:hAnsi="Times New Roman" w:cs="Times New Roman"/>
          <w:i/>
          <w:iCs/>
          <w:sz w:val="24"/>
          <w:szCs w:val="24"/>
        </w:rPr>
        <w:t>152</w:t>
      </w:r>
      <w:r w:rsidRPr="00732A00">
        <w:rPr>
          <w:rFonts w:ascii="Times New Roman" w:eastAsia="Times New Roman" w:hAnsi="Times New Roman" w:cs="Times New Roman"/>
          <w:sz w:val="24"/>
          <w:szCs w:val="24"/>
        </w:rPr>
        <w:t xml:space="preserve">, 137–150. </w:t>
      </w:r>
      <w:r w:rsidR="006A1B2D">
        <w:rPr>
          <w:rFonts w:ascii="Times New Roman" w:eastAsia="Times New Roman" w:hAnsi="Times New Roman" w:cs="Times New Roman"/>
          <w:sz w:val="24"/>
          <w:szCs w:val="24"/>
        </w:rPr>
        <w:tab/>
      </w:r>
      <w:r w:rsidRPr="00732A00">
        <w:rPr>
          <w:rFonts w:ascii="Times New Roman" w:eastAsia="Times New Roman" w:hAnsi="Times New Roman" w:cs="Times New Roman"/>
          <w:sz w:val="24"/>
          <w:szCs w:val="24"/>
        </w:rPr>
        <w:t>https://doi.org/10.1016/j.ress.2016.02.009</w:t>
      </w:r>
    </w:p>
    <w:p w14:paraId="209154FD" w14:textId="77777777" w:rsidR="00732A00" w:rsidRPr="00732A00" w:rsidRDefault="00732A00" w:rsidP="00732A00">
      <w:pPr>
        <w:spacing w:line="360" w:lineRule="auto"/>
        <w:jc w:val="both"/>
        <w:rPr>
          <w:rFonts w:ascii="Times New Roman" w:hAnsi="Times New Roman" w:cs="Times New Roman"/>
          <w:b/>
          <w:color w:val="000000" w:themeColor="text1"/>
          <w:sz w:val="24"/>
          <w:szCs w:val="24"/>
        </w:rPr>
      </w:pPr>
    </w:p>
    <w:sectPr w:rsidR="00732A00" w:rsidRPr="00732A0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0DCC2" w14:textId="77777777" w:rsidR="00DD7CB1" w:rsidRDefault="00DD7CB1" w:rsidP="00444C83">
      <w:pPr>
        <w:spacing w:after="0" w:line="240" w:lineRule="auto"/>
      </w:pPr>
      <w:r>
        <w:separator/>
      </w:r>
    </w:p>
  </w:endnote>
  <w:endnote w:type="continuationSeparator" w:id="0">
    <w:p w14:paraId="17579DD7" w14:textId="77777777" w:rsidR="00DD7CB1" w:rsidRDefault="00DD7CB1" w:rsidP="00444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31221" w14:textId="77777777" w:rsidR="00B94ECF" w:rsidRDefault="00B94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4F001" w14:textId="77777777" w:rsidR="00B94ECF" w:rsidRDefault="00B94E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EF04D" w14:textId="77777777" w:rsidR="00B94ECF" w:rsidRDefault="00B94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0666B" w14:textId="77777777" w:rsidR="00DD7CB1" w:rsidRDefault="00DD7CB1" w:rsidP="00444C83">
      <w:pPr>
        <w:spacing w:after="0" w:line="240" w:lineRule="auto"/>
      </w:pPr>
      <w:r>
        <w:separator/>
      </w:r>
    </w:p>
  </w:footnote>
  <w:footnote w:type="continuationSeparator" w:id="0">
    <w:p w14:paraId="1D43F4E9" w14:textId="77777777" w:rsidR="00DD7CB1" w:rsidRDefault="00DD7CB1" w:rsidP="00444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ECABF" w14:textId="6F88D6AB" w:rsidR="00B94ECF" w:rsidRDefault="00000000">
    <w:pPr>
      <w:pStyle w:val="Header"/>
    </w:pPr>
    <w:r>
      <w:rPr>
        <w:noProof/>
      </w:rPr>
      <w:pict w14:anchorId="180E1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86632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7288F" w14:textId="467B012D" w:rsidR="00B94ECF" w:rsidRDefault="00000000">
    <w:pPr>
      <w:pStyle w:val="Header"/>
    </w:pPr>
    <w:r>
      <w:rPr>
        <w:noProof/>
      </w:rPr>
      <w:pict w14:anchorId="36466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86633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B9EAA" w14:textId="7FCFC344" w:rsidR="00B94ECF" w:rsidRDefault="00000000">
    <w:pPr>
      <w:pStyle w:val="Header"/>
    </w:pPr>
    <w:r>
      <w:rPr>
        <w:noProof/>
      </w:rPr>
      <w:pict w14:anchorId="36D0B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86632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13F3"/>
    <w:multiLevelType w:val="multilevel"/>
    <w:tmpl w:val="2B9C7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F74E5"/>
    <w:multiLevelType w:val="hybridMultilevel"/>
    <w:tmpl w:val="71121F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9416E"/>
    <w:multiLevelType w:val="multilevel"/>
    <w:tmpl w:val="B2342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7F1279"/>
    <w:multiLevelType w:val="multilevel"/>
    <w:tmpl w:val="AD786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04673"/>
    <w:multiLevelType w:val="multilevel"/>
    <w:tmpl w:val="EC1A3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25765"/>
    <w:multiLevelType w:val="multilevel"/>
    <w:tmpl w:val="EA16E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4B9161D"/>
    <w:multiLevelType w:val="multilevel"/>
    <w:tmpl w:val="15AEF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57FDD"/>
    <w:multiLevelType w:val="multilevel"/>
    <w:tmpl w:val="16588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906044"/>
    <w:multiLevelType w:val="multilevel"/>
    <w:tmpl w:val="A3EE5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F619A5"/>
    <w:multiLevelType w:val="hybridMultilevel"/>
    <w:tmpl w:val="1E0E46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5A55E9"/>
    <w:multiLevelType w:val="hybridMultilevel"/>
    <w:tmpl w:val="2012C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E5B6CD0"/>
    <w:multiLevelType w:val="multilevel"/>
    <w:tmpl w:val="7C10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AD1600"/>
    <w:multiLevelType w:val="multilevel"/>
    <w:tmpl w:val="505E9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C661A3"/>
    <w:multiLevelType w:val="multilevel"/>
    <w:tmpl w:val="D03E5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266081"/>
    <w:multiLevelType w:val="multilevel"/>
    <w:tmpl w:val="FD66E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0B17C5"/>
    <w:multiLevelType w:val="multilevel"/>
    <w:tmpl w:val="07B29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F85320"/>
    <w:multiLevelType w:val="multilevel"/>
    <w:tmpl w:val="6CA8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D45256"/>
    <w:multiLevelType w:val="hybridMultilevel"/>
    <w:tmpl w:val="11E62A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5AC17A87"/>
    <w:multiLevelType w:val="multilevel"/>
    <w:tmpl w:val="9E162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550683"/>
    <w:multiLevelType w:val="multilevel"/>
    <w:tmpl w:val="B9E06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E15857"/>
    <w:multiLevelType w:val="multilevel"/>
    <w:tmpl w:val="A0B0F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80112"/>
    <w:multiLevelType w:val="multilevel"/>
    <w:tmpl w:val="6A325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E10D5A"/>
    <w:multiLevelType w:val="hybridMultilevel"/>
    <w:tmpl w:val="E74263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B46826"/>
    <w:multiLevelType w:val="multilevel"/>
    <w:tmpl w:val="A90E2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756E76"/>
    <w:multiLevelType w:val="multilevel"/>
    <w:tmpl w:val="E8689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05482C"/>
    <w:multiLevelType w:val="multilevel"/>
    <w:tmpl w:val="F14E0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B32FF8"/>
    <w:multiLevelType w:val="multilevel"/>
    <w:tmpl w:val="17184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F07ABB"/>
    <w:multiLevelType w:val="hybridMultilevel"/>
    <w:tmpl w:val="33A233BE"/>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8" w15:restartNumberingAfterBreak="0">
    <w:nsid w:val="7E8A42B0"/>
    <w:multiLevelType w:val="multilevel"/>
    <w:tmpl w:val="1B224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2A51E8"/>
    <w:multiLevelType w:val="multilevel"/>
    <w:tmpl w:val="EC66B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266590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2717078">
    <w:abstractNumId w:val="1"/>
  </w:num>
  <w:num w:numId="3" w16cid:durableId="836961190">
    <w:abstractNumId w:val="3"/>
  </w:num>
  <w:num w:numId="4" w16cid:durableId="571040278">
    <w:abstractNumId w:val="18"/>
  </w:num>
  <w:num w:numId="5" w16cid:durableId="1823765312">
    <w:abstractNumId w:val="6"/>
  </w:num>
  <w:num w:numId="6" w16cid:durableId="421149544">
    <w:abstractNumId w:val="29"/>
  </w:num>
  <w:num w:numId="7" w16cid:durableId="6444016">
    <w:abstractNumId w:val="24"/>
  </w:num>
  <w:num w:numId="8" w16cid:durableId="1456407546">
    <w:abstractNumId w:val="15"/>
  </w:num>
  <w:num w:numId="9" w16cid:durableId="983970643">
    <w:abstractNumId w:val="13"/>
  </w:num>
  <w:num w:numId="10" w16cid:durableId="425468414">
    <w:abstractNumId w:val="25"/>
  </w:num>
  <w:num w:numId="11" w16cid:durableId="1742173480">
    <w:abstractNumId w:val="21"/>
  </w:num>
  <w:num w:numId="12" w16cid:durableId="1143353836">
    <w:abstractNumId w:val="23"/>
  </w:num>
  <w:num w:numId="13" w16cid:durableId="640814690">
    <w:abstractNumId w:val="20"/>
  </w:num>
  <w:num w:numId="14" w16cid:durableId="1629388491">
    <w:abstractNumId w:val="26"/>
  </w:num>
  <w:num w:numId="15" w16cid:durableId="1971668401">
    <w:abstractNumId w:val="0"/>
  </w:num>
  <w:num w:numId="16" w16cid:durableId="50883995">
    <w:abstractNumId w:val="7"/>
  </w:num>
  <w:num w:numId="17" w16cid:durableId="1259633071">
    <w:abstractNumId w:val="8"/>
  </w:num>
  <w:num w:numId="18" w16cid:durableId="514878085">
    <w:abstractNumId w:val="4"/>
  </w:num>
  <w:num w:numId="19" w16cid:durableId="573469275">
    <w:abstractNumId w:val="14"/>
  </w:num>
  <w:num w:numId="20" w16cid:durableId="1581867564">
    <w:abstractNumId w:val="19"/>
  </w:num>
  <w:num w:numId="21" w16cid:durableId="1124730857">
    <w:abstractNumId w:val="11"/>
  </w:num>
  <w:num w:numId="22" w16cid:durableId="595286168">
    <w:abstractNumId w:val="27"/>
  </w:num>
  <w:num w:numId="23" w16cid:durableId="375933598">
    <w:abstractNumId w:val="17"/>
  </w:num>
  <w:num w:numId="24" w16cid:durableId="1640763381">
    <w:abstractNumId w:val="10"/>
  </w:num>
  <w:num w:numId="25" w16cid:durableId="1954824906">
    <w:abstractNumId w:val="2"/>
  </w:num>
  <w:num w:numId="26" w16cid:durableId="455369730">
    <w:abstractNumId w:val="9"/>
  </w:num>
  <w:num w:numId="27" w16cid:durableId="21632655">
    <w:abstractNumId w:val="22"/>
  </w:num>
  <w:num w:numId="28" w16cid:durableId="1210456396">
    <w:abstractNumId w:val="28"/>
  </w:num>
  <w:num w:numId="29" w16cid:durableId="350188609">
    <w:abstractNumId w:val="12"/>
  </w:num>
  <w:num w:numId="30" w16cid:durableId="19252634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421"/>
    <w:rsid w:val="000257D0"/>
    <w:rsid w:val="000567F3"/>
    <w:rsid w:val="00086BE9"/>
    <w:rsid w:val="000F1664"/>
    <w:rsid w:val="000F6B37"/>
    <w:rsid w:val="0010066D"/>
    <w:rsid w:val="001766C1"/>
    <w:rsid w:val="00192A1C"/>
    <w:rsid w:val="00235D3F"/>
    <w:rsid w:val="002C0CF1"/>
    <w:rsid w:val="002F2A2B"/>
    <w:rsid w:val="00306138"/>
    <w:rsid w:val="00307073"/>
    <w:rsid w:val="00335AF4"/>
    <w:rsid w:val="0035224A"/>
    <w:rsid w:val="003D740E"/>
    <w:rsid w:val="0042340B"/>
    <w:rsid w:val="00430BCB"/>
    <w:rsid w:val="00444C83"/>
    <w:rsid w:val="00464E10"/>
    <w:rsid w:val="00476909"/>
    <w:rsid w:val="004E2262"/>
    <w:rsid w:val="004E3B91"/>
    <w:rsid w:val="00541421"/>
    <w:rsid w:val="005671C1"/>
    <w:rsid w:val="005C4128"/>
    <w:rsid w:val="00626CCB"/>
    <w:rsid w:val="006275F6"/>
    <w:rsid w:val="0063633E"/>
    <w:rsid w:val="006A1B2D"/>
    <w:rsid w:val="006A2CA0"/>
    <w:rsid w:val="006A3009"/>
    <w:rsid w:val="00732A00"/>
    <w:rsid w:val="007421EA"/>
    <w:rsid w:val="007A2ED6"/>
    <w:rsid w:val="00851E8B"/>
    <w:rsid w:val="008E71B2"/>
    <w:rsid w:val="00970CFF"/>
    <w:rsid w:val="009805FA"/>
    <w:rsid w:val="009A0B48"/>
    <w:rsid w:val="009D2085"/>
    <w:rsid w:val="00A35649"/>
    <w:rsid w:val="00AC0E76"/>
    <w:rsid w:val="00B22ED0"/>
    <w:rsid w:val="00B40F64"/>
    <w:rsid w:val="00B9267C"/>
    <w:rsid w:val="00B94ECF"/>
    <w:rsid w:val="00B953AB"/>
    <w:rsid w:val="00BA1D92"/>
    <w:rsid w:val="00BF4972"/>
    <w:rsid w:val="00C646DD"/>
    <w:rsid w:val="00C842E9"/>
    <w:rsid w:val="00CB4D78"/>
    <w:rsid w:val="00DB6F99"/>
    <w:rsid w:val="00DC6FB5"/>
    <w:rsid w:val="00DD0B3A"/>
    <w:rsid w:val="00DD7CB1"/>
    <w:rsid w:val="00E055A7"/>
    <w:rsid w:val="00EB3441"/>
    <w:rsid w:val="00EF00EB"/>
    <w:rsid w:val="00EF6C32"/>
    <w:rsid w:val="00F01D5B"/>
    <w:rsid w:val="00F66E45"/>
    <w:rsid w:val="00F748F7"/>
    <w:rsid w:val="00F9044A"/>
    <w:rsid w:val="00FD5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79E14C"/>
  <w15:chartTrackingRefBased/>
  <w15:docId w15:val="{FB3A1C9A-C8C5-4817-8C67-505A68BE9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1EA"/>
  </w:style>
  <w:style w:type="paragraph" w:styleId="Heading2">
    <w:name w:val="heading 2"/>
    <w:basedOn w:val="Normal"/>
    <w:link w:val="Heading2Char"/>
    <w:uiPriority w:val="9"/>
    <w:qFormat/>
    <w:rsid w:val="00DD0B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D0B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s-1jxf684">
    <w:name w:val="css-1jxf684"/>
    <w:basedOn w:val="DefaultParagraphFont"/>
    <w:rsid w:val="00541421"/>
  </w:style>
  <w:style w:type="paragraph" w:styleId="ListParagraph">
    <w:name w:val="List Paragraph"/>
    <w:basedOn w:val="Normal"/>
    <w:uiPriority w:val="34"/>
    <w:qFormat/>
    <w:rsid w:val="00BF4972"/>
    <w:pPr>
      <w:spacing w:line="256" w:lineRule="auto"/>
      <w:ind w:left="720"/>
      <w:contextualSpacing/>
    </w:pPr>
  </w:style>
  <w:style w:type="paragraph" w:customStyle="1" w:styleId="my-0">
    <w:name w:val="my-0"/>
    <w:basedOn w:val="Normal"/>
    <w:rsid w:val="009D208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D20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2085"/>
    <w:rPr>
      <w:b/>
      <w:bCs/>
    </w:rPr>
  </w:style>
  <w:style w:type="paragraph" w:styleId="NormalWeb">
    <w:name w:val="Normal (Web)"/>
    <w:basedOn w:val="Normal"/>
    <w:uiPriority w:val="99"/>
    <w:unhideWhenUsed/>
    <w:rsid w:val="00EF6C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D0B3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D0B3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732A00"/>
    <w:rPr>
      <w:color w:val="0563C1" w:themeColor="hyperlink"/>
      <w:u w:val="single"/>
    </w:rPr>
  </w:style>
  <w:style w:type="character" w:customStyle="1" w:styleId="UnresolvedMention1">
    <w:name w:val="Unresolved Mention1"/>
    <w:basedOn w:val="DefaultParagraphFont"/>
    <w:uiPriority w:val="99"/>
    <w:semiHidden/>
    <w:unhideWhenUsed/>
    <w:rsid w:val="00732A00"/>
    <w:rPr>
      <w:color w:val="605E5C"/>
      <w:shd w:val="clear" w:color="auto" w:fill="E1DFDD"/>
    </w:rPr>
  </w:style>
  <w:style w:type="paragraph" w:styleId="NoSpacing">
    <w:name w:val="No Spacing"/>
    <w:uiPriority w:val="1"/>
    <w:qFormat/>
    <w:rsid w:val="00B9267C"/>
    <w:pPr>
      <w:spacing w:after="0" w:line="240" w:lineRule="auto"/>
    </w:pPr>
    <w:rPr>
      <w:kern w:val="2"/>
      <w14:ligatures w14:val="standardContextual"/>
    </w:rPr>
  </w:style>
  <w:style w:type="paragraph" w:styleId="Header">
    <w:name w:val="header"/>
    <w:basedOn w:val="Normal"/>
    <w:link w:val="HeaderChar"/>
    <w:uiPriority w:val="99"/>
    <w:unhideWhenUsed/>
    <w:rsid w:val="00444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C83"/>
  </w:style>
  <w:style w:type="paragraph" w:styleId="Footer">
    <w:name w:val="footer"/>
    <w:basedOn w:val="Normal"/>
    <w:link w:val="FooterChar"/>
    <w:uiPriority w:val="99"/>
    <w:unhideWhenUsed/>
    <w:rsid w:val="00444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35033">
      <w:bodyDiv w:val="1"/>
      <w:marLeft w:val="0"/>
      <w:marRight w:val="0"/>
      <w:marTop w:val="0"/>
      <w:marBottom w:val="0"/>
      <w:divBdr>
        <w:top w:val="none" w:sz="0" w:space="0" w:color="auto"/>
        <w:left w:val="none" w:sz="0" w:space="0" w:color="auto"/>
        <w:bottom w:val="none" w:sz="0" w:space="0" w:color="auto"/>
        <w:right w:val="none" w:sz="0" w:space="0" w:color="auto"/>
      </w:divBdr>
    </w:div>
    <w:div w:id="209268204">
      <w:bodyDiv w:val="1"/>
      <w:marLeft w:val="0"/>
      <w:marRight w:val="0"/>
      <w:marTop w:val="0"/>
      <w:marBottom w:val="0"/>
      <w:divBdr>
        <w:top w:val="none" w:sz="0" w:space="0" w:color="auto"/>
        <w:left w:val="none" w:sz="0" w:space="0" w:color="auto"/>
        <w:bottom w:val="none" w:sz="0" w:space="0" w:color="auto"/>
        <w:right w:val="none" w:sz="0" w:space="0" w:color="auto"/>
      </w:divBdr>
    </w:div>
    <w:div w:id="247810541">
      <w:bodyDiv w:val="1"/>
      <w:marLeft w:val="0"/>
      <w:marRight w:val="0"/>
      <w:marTop w:val="0"/>
      <w:marBottom w:val="0"/>
      <w:divBdr>
        <w:top w:val="none" w:sz="0" w:space="0" w:color="auto"/>
        <w:left w:val="none" w:sz="0" w:space="0" w:color="auto"/>
        <w:bottom w:val="none" w:sz="0" w:space="0" w:color="auto"/>
        <w:right w:val="none" w:sz="0" w:space="0" w:color="auto"/>
      </w:divBdr>
    </w:div>
    <w:div w:id="456024450">
      <w:bodyDiv w:val="1"/>
      <w:marLeft w:val="0"/>
      <w:marRight w:val="0"/>
      <w:marTop w:val="0"/>
      <w:marBottom w:val="0"/>
      <w:divBdr>
        <w:top w:val="none" w:sz="0" w:space="0" w:color="auto"/>
        <w:left w:val="none" w:sz="0" w:space="0" w:color="auto"/>
        <w:bottom w:val="none" w:sz="0" w:space="0" w:color="auto"/>
        <w:right w:val="none" w:sz="0" w:space="0" w:color="auto"/>
      </w:divBdr>
    </w:div>
    <w:div w:id="471681164">
      <w:bodyDiv w:val="1"/>
      <w:marLeft w:val="0"/>
      <w:marRight w:val="0"/>
      <w:marTop w:val="0"/>
      <w:marBottom w:val="0"/>
      <w:divBdr>
        <w:top w:val="none" w:sz="0" w:space="0" w:color="auto"/>
        <w:left w:val="none" w:sz="0" w:space="0" w:color="auto"/>
        <w:bottom w:val="none" w:sz="0" w:space="0" w:color="auto"/>
        <w:right w:val="none" w:sz="0" w:space="0" w:color="auto"/>
      </w:divBdr>
      <w:divsChild>
        <w:div w:id="384138176">
          <w:marLeft w:val="-720"/>
          <w:marRight w:val="0"/>
          <w:marTop w:val="0"/>
          <w:marBottom w:val="0"/>
          <w:divBdr>
            <w:top w:val="none" w:sz="0" w:space="0" w:color="auto"/>
            <w:left w:val="none" w:sz="0" w:space="0" w:color="auto"/>
            <w:bottom w:val="none" w:sz="0" w:space="0" w:color="auto"/>
            <w:right w:val="none" w:sz="0" w:space="0" w:color="auto"/>
          </w:divBdr>
        </w:div>
      </w:divsChild>
    </w:div>
    <w:div w:id="546187199">
      <w:bodyDiv w:val="1"/>
      <w:marLeft w:val="0"/>
      <w:marRight w:val="0"/>
      <w:marTop w:val="0"/>
      <w:marBottom w:val="0"/>
      <w:divBdr>
        <w:top w:val="none" w:sz="0" w:space="0" w:color="auto"/>
        <w:left w:val="none" w:sz="0" w:space="0" w:color="auto"/>
        <w:bottom w:val="none" w:sz="0" w:space="0" w:color="auto"/>
        <w:right w:val="none" w:sz="0" w:space="0" w:color="auto"/>
      </w:divBdr>
    </w:div>
    <w:div w:id="619730471">
      <w:bodyDiv w:val="1"/>
      <w:marLeft w:val="0"/>
      <w:marRight w:val="0"/>
      <w:marTop w:val="0"/>
      <w:marBottom w:val="0"/>
      <w:divBdr>
        <w:top w:val="none" w:sz="0" w:space="0" w:color="auto"/>
        <w:left w:val="none" w:sz="0" w:space="0" w:color="auto"/>
        <w:bottom w:val="none" w:sz="0" w:space="0" w:color="auto"/>
        <w:right w:val="none" w:sz="0" w:space="0" w:color="auto"/>
      </w:divBdr>
    </w:div>
    <w:div w:id="927881874">
      <w:bodyDiv w:val="1"/>
      <w:marLeft w:val="0"/>
      <w:marRight w:val="0"/>
      <w:marTop w:val="0"/>
      <w:marBottom w:val="0"/>
      <w:divBdr>
        <w:top w:val="none" w:sz="0" w:space="0" w:color="auto"/>
        <w:left w:val="none" w:sz="0" w:space="0" w:color="auto"/>
        <w:bottom w:val="none" w:sz="0" w:space="0" w:color="auto"/>
        <w:right w:val="none" w:sz="0" w:space="0" w:color="auto"/>
      </w:divBdr>
    </w:div>
    <w:div w:id="969818391">
      <w:bodyDiv w:val="1"/>
      <w:marLeft w:val="0"/>
      <w:marRight w:val="0"/>
      <w:marTop w:val="0"/>
      <w:marBottom w:val="0"/>
      <w:divBdr>
        <w:top w:val="none" w:sz="0" w:space="0" w:color="auto"/>
        <w:left w:val="none" w:sz="0" w:space="0" w:color="auto"/>
        <w:bottom w:val="none" w:sz="0" w:space="0" w:color="auto"/>
        <w:right w:val="none" w:sz="0" w:space="0" w:color="auto"/>
      </w:divBdr>
    </w:div>
    <w:div w:id="1278290873">
      <w:bodyDiv w:val="1"/>
      <w:marLeft w:val="0"/>
      <w:marRight w:val="0"/>
      <w:marTop w:val="0"/>
      <w:marBottom w:val="0"/>
      <w:divBdr>
        <w:top w:val="none" w:sz="0" w:space="0" w:color="auto"/>
        <w:left w:val="none" w:sz="0" w:space="0" w:color="auto"/>
        <w:bottom w:val="none" w:sz="0" w:space="0" w:color="auto"/>
        <w:right w:val="none" w:sz="0" w:space="0" w:color="auto"/>
      </w:divBdr>
    </w:div>
    <w:div w:id="1285574729">
      <w:bodyDiv w:val="1"/>
      <w:marLeft w:val="0"/>
      <w:marRight w:val="0"/>
      <w:marTop w:val="0"/>
      <w:marBottom w:val="0"/>
      <w:divBdr>
        <w:top w:val="none" w:sz="0" w:space="0" w:color="auto"/>
        <w:left w:val="none" w:sz="0" w:space="0" w:color="auto"/>
        <w:bottom w:val="none" w:sz="0" w:space="0" w:color="auto"/>
        <w:right w:val="none" w:sz="0" w:space="0" w:color="auto"/>
      </w:divBdr>
    </w:div>
    <w:div w:id="1290742342">
      <w:bodyDiv w:val="1"/>
      <w:marLeft w:val="0"/>
      <w:marRight w:val="0"/>
      <w:marTop w:val="0"/>
      <w:marBottom w:val="0"/>
      <w:divBdr>
        <w:top w:val="none" w:sz="0" w:space="0" w:color="auto"/>
        <w:left w:val="none" w:sz="0" w:space="0" w:color="auto"/>
        <w:bottom w:val="none" w:sz="0" w:space="0" w:color="auto"/>
        <w:right w:val="none" w:sz="0" w:space="0" w:color="auto"/>
      </w:divBdr>
    </w:div>
    <w:div w:id="1398473810">
      <w:bodyDiv w:val="1"/>
      <w:marLeft w:val="0"/>
      <w:marRight w:val="0"/>
      <w:marTop w:val="0"/>
      <w:marBottom w:val="0"/>
      <w:divBdr>
        <w:top w:val="none" w:sz="0" w:space="0" w:color="auto"/>
        <w:left w:val="none" w:sz="0" w:space="0" w:color="auto"/>
        <w:bottom w:val="none" w:sz="0" w:space="0" w:color="auto"/>
        <w:right w:val="none" w:sz="0" w:space="0" w:color="auto"/>
      </w:divBdr>
    </w:div>
    <w:div w:id="1451163715">
      <w:bodyDiv w:val="1"/>
      <w:marLeft w:val="0"/>
      <w:marRight w:val="0"/>
      <w:marTop w:val="0"/>
      <w:marBottom w:val="0"/>
      <w:divBdr>
        <w:top w:val="none" w:sz="0" w:space="0" w:color="auto"/>
        <w:left w:val="none" w:sz="0" w:space="0" w:color="auto"/>
        <w:bottom w:val="none" w:sz="0" w:space="0" w:color="auto"/>
        <w:right w:val="none" w:sz="0" w:space="0" w:color="auto"/>
      </w:divBdr>
    </w:div>
    <w:div w:id="1540818146">
      <w:bodyDiv w:val="1"/>
      <w:marLeft w:val="0"/>
      <w:marRight w:val="0"/>
      <w:marTop w:val="0"/>
      <w:marBottom w:val="0"/>
      <w:divBdr>
        <w:top w:val="none" w:sz="0" w:space="0" w:color="auto"/>
        <w:left w:val="none" w:sz="0" w:space="0" w:color="auto"/>
        <w:bottom w:val="none" w:sz="0" w:space="0" w:color="auto"/>
        <w:right w:val="none" w:sz="0" w:space="0" w:color="auto"/>
      </w:divBdr>
    </w:div>
    <w:div w:id="1564439532">
      <w:bodyDiv w:val="1"/>
      <w:marLeft w:val="0"/>
      <w:marRight w:val="0"/>
      <w:marTop w:val="0"/>
      <w:marBottom w:val="0"/>
      <w:divBdr>
        <w:top w:val="none" w:sz="0" w:space="0" w:color="auto"/>
        <w:left w:val="none" w:sz="0" w:space="0" w:color="auto"/>
        <w:bottom w:val="none" w:sz="0" w:space="0" w:color="auto"/>
        <w:right w:val="none" w:sz="0" w:space="0" w:color="auto"/>
      </w:divBdr>
    </w:div>
    <w:div w:id="1589146212">
      <w:bodyDiv w:val="1"/>
      <w:marLeft w:val="0"/>
      <w:marRight w:val="0"/>
      <w:marTop w:val="0"/>
      <w:marBottom w:val="0"/>
      <w:divBdr>
        <w:top w:val="none" w:sz="0" w:space="0" w:color="auto"/>
        <w:left w:val="none" w:sz="0" w:space="0" w:color="auto"/>
        <w:bottom w:val="none" w:sz="0" w:space="0" w:color="auto"/>
        <w:right w:val="none" w:sz="0" w:space="0" w:color="auto"/>
      </w:divBdr>
    </w:div>
    <w:div w:id="1685475109">
      <w:bodyDiv w:val="1"/>
      <w:marLeft w:val="0"/>
      <w:marRight w:val="0"/>
      <w:marTop w:val="0"/>
      <w:marBottom w:val="0"/>
      <w:divBdr>
        <w:top w:val="none" w:sz="0" w:space="0" w:color="auto"/>
        <w:left w:val="none" w:sz="0" w:space="0" w:color="auto"/>
        <w:bottom w:val="none" w:sz="0" w:space="0" w:color="auto"/>
        <w:right w:val="none" w:sz="0" w:space="0" w:color="auto"/>
      </w:divBdr>
    </w:div>
    <w:div w:id="1803886816">
      <w:bodyDiv w:val="1"/>
      <w:marLeft w:val="0"/>
      <w:marRight w:val="0"/>
      <w:marTop w:val="0"/>
      <w:marBottom w:val="0"/>
      <w:divBdr>
        <w:top w:val="none" w:sz="0" w:space="0" w:color="auto"/>
        <w:left w:val="none" w:sz="0" w:space="0" w:color="auto"/>
        <w:bottom w:val="none" w:sz="0" w:space="0" w:color="auto"/>
        <w:right w:val="none" w:sz="0" w:space="0" w:color="auto"/>
      </w:divBdr>
    </w:div>
    <w:div w:id="1830629022">
      <w:bodyDiv w:val="1"/>
      <w:marLeft w:val="0"/>
      <w:marRight w:val="0"/>
      <w:marTop w:val="0"/>
      <w:marBottom w:val="0"/>
      <w:divBdr>
        <w:top w:val="none" w:sz="0" w:space="0" w:color="auto"/>
        <w:left w:val="none" w:sz="0" w:space="0" w:color="auto"/>
        <w:bottom w:val="none" w:sz="0" w:space="0" w:color="auto"/>
        <w:right w:val="none" w:sz="0" w:space="0" w:color="auto"/>
      </w:divBdr>
      <w:divsChild>
        <w:div w:id="1045832906">
          <w:marLeft w:val="-720"/>
          <w:marRight w:val="0"/>
          <w:marTop w:val="0"/>
          <w:marBottom w:val="0"/>
          <w:divBdr>
            <w:top w:val="none" w:sz="0" w:space="0" w:color="auto"/>
            <w:left w:val="none" w:sz="0" w:space="0" w:color="auto"/>
            <w:bottom w:val="none" w:sz="0" w:space="0" w:color="auto"/>
            <w:right w:val="none" w:sz="0" w:space="0" w:color="auto"/>
          </w:divBdr>
        </w:div>
      </w:divsChild>
    </w:div>
    <w:div w:id="1867668493">
      <w:bodyDiv w:val="1"/>
      <w:marLeft w:val="0"/>
      <w:marRight w:val="0"/>
      <w:marTop w:val="0"/>
      <w:marBottom w:val="0"/>
      <w:divBdr>
        <w:top w:val="none" w:sz="0" w:space="0" w:color="auto"/>
        <w:left w:val="none" w:sz="0" w:space="0" w:color="auto"/>
        <w:bottom w:val="none" w:sz="0" w:space="0" w:color="auto"/>
        <w:right w:val="none" w:sz="0" w:space="0" w:color="auto"/>
      </w:divBdr>
    </w:div>
    <w:div w:id="1919434950">
      <w:bodyDiv w:val="1"/>
      <w:marLeft w:val="0"/>
      <w:marRight w:val="0"/>
      <w:marTop w:val="0"/>
      <w:marBottom w:val="0"/>
      <w:divBdr>
        <w:top w:val="none" w:sz="0" w:space="0" w:color="auto"/>
        <w:left w:val="none" w:sz="0" w:space="0" w:color="auto"/>
        <w:bottom w:val="none" w:sz="0" w:space="0" w:color="auto"/>
        <w:right w:val="none" w:sz="0" w:space="0" w:color="auto"/>
      </w:divBdr>
    </w:div>
    <w:div w:id="1993097546">
      <w:bodyDiv w:val="1"/>
      <w:marLeft w:val="0"/>
      <w:marRight w:val="0"/>
      <w:marTop w:val="0"/>
      <w:marBottom w:val="0"/>
      <w:divBdr>
        <w:top w:val="none" w:sz="0" w:space="0" w:color="auto"/>
        <w:left w:val="none" w:sz="0" w:space="0" w:color="auto"/>
        <w:bottom w:val="none" w:sz="0" w:space="0" w:color="auto"/>
        <w:right w:val="none" w:sz="0" w:space="0" w:color="auto"/>
      </w:divBdr>
    </w:div>
    <w:div w:id="2011906515">
      <w:bodyDiv w:val="1"/>
      <w:marLeft w:val="0"/>
      <w:marRight w:val="0"/>
      <w:marTop w:val="0"/>
      <w:marBottom w:val="0"/>
      <w:divBdr>
        <w:top w:val="none" w:sz="0" w:space="0" w:color="auto"/>
        <w:left w:val="none" w:sz="0" w:space="0" w:color="auto"/>
        <w:bottom w:val="none" w:sz="0" w:space="0" w:color="auto"/>
        <w:right w:val="none" w:sz="0" w:space="0" w:color="auto"/>
      </w:divBdr>
    </w:div>
    <w:div w:id="2067603831">
      <w:bodyDiv w:val="1"/>
      <w:marLeft w:val="0"/>
      <w:marRight w:val="0"/>
      <w:marTop w:val="0"/>
      <w:marBottom w:val="0"/>
      <w:divBdr>
        <w:top w:val="none" w:sz="0" w:space="0" w:color="auto"/>
        <w:left w:val="none" w:sz="0" w:space="0" w:color="auto"/>
        <w:bottom w:val="none" w:sz="0" w:space="0" w:color="auto"/>
        <w:right w:val="none" w:sz="0" w:space="0" w:color="auto"/>
      </w:divBdr>
      <w:divsChild>
        <w:div w:id="449587307">
          <w:marLeft w:val="0"/>
          <w:marRight w:val="0"/>
          <w:marTop w:val="0"/>
          <w:marBottom w:val="120"/>
          <w:divBdr>
            <w:top w:val="single" w:sz="2" w:space="0" w:color="000000"/>
            <w:left w:val="single" w:sz="2" w:space="0" w:color="000000"/>
            <w:bottom w:val="single" w:sz="2" w:space="0" w:color="000000"/>
            <w:right w:val="single" w:sz="2" w:space="0" w:color="000000"/>
          </w:divBdr>
        </w:div>
        <w:div w:id="421681816">
          <w:marLeft w:val="0"/>
          <w:marRight w:val="0"/>
          <w:marTop w:val="0"/>
          <w:marBottom w:val="300"/>
          <w:divBdr>
            <w:top w:val="single" w:sz="2" w:space="0" w:color="000000"/>
            <w:left w:val="single" w:sz="2" w:space="0" w:color="000000"/>
            <w:bottom w:val="single" w:sz="2" w:space="0" w:color="000000"/>
            <w:right w:val="single" w:sz="2" w:space="0" w:color="000000"/>
          </w:divBdr>
        </w:div>
        <w:div w:id="714505934">
          <w:marLeft w:val="0"/>
          <w:marRight w:val="0"/>
          <w:marTop w:val="0"/>
          <w:marBottom w:val="300"/>
          <w:divBdr>
            <w:top w:val="single" w:sz="2" w:space="0" w:color="000000"/>
            <w:left w:val="single" w:sz="2" w:space="0" w:color="000000"/>
            <w:bottom w:val="single" w:sz="2" w:space="0" w:color="000000"/>
            <w:right w:val="single" w:sz="2" w:space="0" w:color="000000"/>
          </w:divBdr>
        </w:div>
        <w:div w:id="1544906201">
          <w:marLeft w:val="0"/>
          <w:marRight w:val="0"/>
          <w:marTop w:val="0"/>
          <w:marBottom w:val="300"/>
          <w:divBdr>
            <w:top w:val="single" w:sz="2" w:space="0" w:color="000000"/>
            <w:left w:val="single" w:sz="2" w:space="0" w:color="000000"/>
            <w:bottom w:val="single" w:sz="2" w:space="0" w:color="000000"/>
            <w:right w:val="single" w:sz="2" w:space="0" w:color="000000"/>
          </w:divBdr>
        </w:div>
        <w:div w:id="1393580703">
          <w:marLeft w:val="0"/>
          <w:marRight w:val="0"/>
          <w:marTop w:val="0"/>
          <w:marBottom w:val="300"/>
          <w:divBdr>
            <w:top w:val="single" w:sz="2" w:space="0" w:color="000000"/>
            <w:left w:val="single" w:sz="2" w:space="0" w:color="000000"/>
            <w:bottom w:val="single" w:sz="2" w:space="0" w:color="000000"/>
            <w:right w:val="single" w:sz="2" w:space="0" w:color="000000"/>
          </w:divBdr>
        </w:div>
        <w:div w:id="935862719">
          <w:marLeft w:val="0"/>
          <w:marRight w:val="0"/>
          <w:marTop w:val="0"/>
          <w:marBottom w:val="300"/>
          <w:divBdr>
            <w:top w:val="single" w:sz="2" w:space="0" w:color="000000"/>
            <w:left w:val="single" w:sz="2" w:space="0" w:color="000000"/>
            <w:bottom w:val="single" w:sz="2" w:space="0" w:color="000000"/>
            <w:right w:val="single" w:sz="2" w:space="0" w:color="000000"/>
          </w:divBdr>
        </w:div>
        <w:div w:id="948589443">
          <w:marLeft w:val="0"/>
          <w:marRight w:val="0"/>
          <w:marTop w:val="0"/>
          <w:marBottom w:val="300"/>
          <w:divBdr>
            <w:top w:val="single" w:sz="2" w:space="0" w:color="000000"/>
            <w:left w:val="single" w:sz="2" w:space="0" w:color="000000"/>
            <w:bottom w:val="single" w:sz="2" w:space="0" w:color="000000"/>
            <w:right w:val="single" w:sz="2" w:space="0" w:color="000000"/>
          </w:divBdr>
        </w:div>
        <w:div w:id="1988851044">
          <w:marLeft w:val="0"/>
          <w:marRight w:val="0"/>
          <w:marTop w:val="0"/>
          <w:marBottom w:val="300"/>
          <w:divBdr>
            <w:top w:val="single" w:sz="2" w:space="0" w:color="000000"/>
            <w:left w:val="single" w:sz="2" w:space="0" w:color="000000"/>
            <w:bottom w:val="single" w:sz="2" w:space="0" w:color="000000"/>
            <w:right w:val="single" w:sz="2" w:space="0" w:color="000000"/>
          </w:divBdr>
        </w:div>
        <w:div w:id="636761015">
          <w:marLeft w:val="0"/>
          <w:marRight w:val="0"/>
          <w:marTop w:val="0"/>
          <w:marBottom w:val="300"/>
          <w:divBdr>
            <w:top w:val="single" w:sz="2" w:space="0" w:color="000000"/>
            <w:left w:val="single" w:sz="2" w:space="0" w:color="000000"/>
            <w:bottom w:val="single" w:sz="2" w:space="0" w:color="000000"/>
            <w:right w:val="single" w:sz="2" w:space="0" w:color="000000"/>
          </w:divBdr>
        </w:div>
        <w:div w:id="239677257">
          <w:marLeft w:val="0"/>
          <w:marRight w:val="0"/>
          <w:marTop w:val="0"/>
          <w:marBottom w:val="300"/>
          <w:divBdr>
            <w:top w:val="single" w:sz="2" w:space="0" w:color="000000"/>
            <w:left w:val="single" w:sz="2" w:space="0" w:color="000000"/>
            <w:bottom w:val="single" w:sz="2" w:space="0" w:color="000000"/>
            <w:right w:val="single" w:sz="2" w:space="0" w:color="000000"/>
          </w:divBdr>
        </w:div>
        <w:div w:id="582688681">
          <w:marLeft w:val="0"/>
          <w:marRight w:val="0"/>
          <w:marTop w:val="0"/>
          <w:marBottom w:val="300"/>
          <w:divBdr>
            <w:top w:val="single" w:sz="2" w:space="0" w:color="000000"/>
            <w:left w:val="single" w:sz="2" w:space="0" w:color="000000"/>
            <w:bottom w:val="single" w:sz="2" w:space="0" w:color="000000"/>
            <w:right w:val="single" w:sz="2" w:space="0" w:color="000000"/>
          </w:divBdr>
        </w:div>
        <w:div w:id="766999007">
          <w:marLeft w:val="0"/>
          <w:marRight w:val="0"/>
          <w:marTop w:val="0"/>
          <w:marBottom w:val="300"/>
          <w:divBdr>
            <w:top w:val="single" w:sz="2" w:space="0" w:color="000000"/>
            <w:left w:val="single" w:sz="2" w:space="0" w:color="000000"/>
            <w:bottom w:val="single" w:sz="2" w:space="0" w:color="000000"/>
            <w:right w:val="single" w:sz="2" w:space="0" w:color="000000"/>
          </w:divBdr>
        </w:div>
        <w:div w:id="350422729">
          <w:marLeft w:val="0"/>
          <w:marRight w:val="0"/>
          <w:marTop w:val="0"/>
          <w:marBottom w:val="300"/>
          <w:divBdr>
            <w:top w:val="single" w:sz="2" w:space="0" w:color="000000"/>
            <w:left w:val="single" w:sz="2" w:space="0" w:color="000000"/>
            <w:bottom w:val="single" w:sz="2" w:space="0" w:color="000000"/>
            <w:right w:val="single" w:sz="2" w:space="0" w:color="000000"/>
          </w:divBdr>
        </w:div>
        <w:div w:id="1164660287">
          <w:marLeft w:val="0"/>
          <w:marRight w:val="0"/>
          <w:marTop w:val="0"/>
          <w:marBottom w:val="300"/>
          <w:divBdr>
            <w:top w:val="single" w:sz="2" w:space="0" w:color="000000"/>
            <w:left w:val="single" w:sz="2" w:space="0" w:color="000000"/>
            <w:bottom w:val="single" w:sz="2" w:space="0" w:color="000000"/>
            <w:right w:val="single" w:sz="2" w:space="0" w:color="000000"/>
          </w:divBdr>
        </w:div>
        <w:div w:id="1580600955">
          <w:marLeft w:val="0"/>
          <w:marRight w:val="0"/>
          <w:marTop w:val="312"/>
          <w:marBottom w:val="144"/>
          <w:divBdr>
            <w:top w:val="single" w:sz="2" w:space="0" w:color="000000"/>
            <w:left w:val="single" w:sz="2" w:space="0" w:color="000000"/>
            <w:bottom w:val="single" w:sz="2" w:space="0" w:color="000000"/>
            <w:right w:val="single" w:sz="2" w:space="0" w:color="000000"/>
          </w:divBdr>
        </w:div>
        <w:div w:id="317659015">
          <w:marLeft w:val="0"/>
          <w:marRight w:val="0"/>
          <w:marTop w:val="0"/>
          <w:marBottom w:val="300"/>
          <w:divBdr>
            <w:top w:val="single" w:sz="2" w:space="0" w:color="000000"/>
            <w:left w:val="single" w:sz="2" w:space="0" w:color="000000"/>
            <w:bottom w:val="single" w:sz="2" w:space="0" w:color="000000"/>
            <w:right w:val="single" w:sz="2" w:space="0" w:color="000000"/>
          </w:divBdr>
        </w:div>
        <w:div w:id="701638636">
          <w:marLeft w:val="0"/>
          <w:marRight w:val="0"/>
          <w:marTop w:val="0"/>
          <w:marBottom w:val="300"/>
          <w:divBdr>
            <w:top w:val="single" w:sz="2" w:space="0" w:color="000000"/>
            <w:left w:val="single" w:sz="2" w:space="0" w:color="000000"/>
            <w:bottom w:val="single" w:sz="2" w:space="0" w:color="000000"/>
            <w:right w:val="single" w:sz="2" w:space="0" w:color="000000"/>
          </w:divBdr>
        </w:div>
        <w:div w:id="375392772">
          <w:marLeft w:val="0"/>
          <w:marRight w:val="0"/>
          <w:marTop w:val="0"/>
          <w:marBottom w:val="0"/>
          <w:divBdr>
            <w:top w:val="single" w:sz="2" w:space="0" w:color="000000"/>
            <w:left w:val="single" w:sz="2" w:space="0" w:color="000000"/>
            <w:bottom w:val="single" w:sz="2" w:space="0" w:color="000000"/>
            <w:right w:val="single" w:sz="2" w:space="0" w:color="000000"/>
          </w:divBdr>
        </w:div>
        <w:div w:id="1094669621">
          <w:marLeft w:val="0"/>
          <w:marRight w:val="0"/>
          <w:marTop w:val="0"/>
          <w:marBottom w:val="300"/>
          <w:divBdr>
            <w:top w:val="single" w:sz="2" w:space="0" w:color="000000"/>
            <w:left w:val="single" w:sz="2" w:space="0" w:color="000000"/>
            <w:bottom w:val="single" w:sz="2" w:space="0" w:color="000000"/>
            <w:right w:val="single" w:sz="2" w:space="0" w:color="000000"/>
          </w:divBdr>
        </w:div>
        <w:div w:id="2067141339">
          <w:marLeft w:val="0"/>
          <w:marRight w:val="0"/>
          <w:marTop w:val="0"/>
          <w:marBottom w:val="300"/>
          <w:divBdr>
            <w:top w:val="single" w:sz="2" w:space="0" w:color="000000"/>
            <w:left w:val="single" w:sz="2" w:space="0" w:color="000000"/>
            <w:bottom w:val="single" w:sz="2" w:space="0" w:color="000000"/>
            <w:right w:val="single" w:sz="2" w:space="0" w:color="000000"/>
          </w:divBdr>
        </w:div>
        <w:div w:id="1656226404">
          <w:marLeft w:val="0"/>
          <w:marRight w:val="0"/>
          <w:marTop w:val="0"/>
          <w:marBottom w:val="300"/>
          <w:divBdr>
            <w:top w:val="single" w:sz="2" w:space="0" w:color="000000"/>
            <w:left w:val="single" w:sz="2" w:space="0" w:color="000000"/>
            <w:bottom w:val="single" w:sz="2" w:space="0" w:color="000000"/>
            <w:right w:val="single" w:sz="2" w:space="0" w:color="000000"/>
          </w:divBdr>
        </w:div>
        <w:div w:id="1364818328">
          <w:marLeft w:val="0"/>
          <w:marRight w:val="0"/>
          <w:marTop w:val="0"/>
          <w:marBottom w:val="300"/>
          <w:divBdr>
            <w:top w:val="single" w:sz="2" w:space="0" w:color="000000"/>
            <w:left w:val="single" w:sz="2" w:space="0" w:color="000000"/>
            <w:bottom w:val="single" w:sz="2" w:space="0" w:color="000000"/>
            <w:right w:val="single" w:sz="2" w:space="0" w:color="000000"/>
          </w:divBdr>
        </w:div>
        <w:div w:id="1590583628">
          <w:marLeft w:val="0"/>
          <w:marRight w:val="0"/>
          <w:marTop w:val="0"/>
          <w:marBottom w:val="300"/>
          <w:divBdr>
            <w:top w:val="single" w:sz="2" w:space="0" w:color="000000"/>
            <w:left w:val="single" w:sz="2" w:space="0" w:color="000000"/>
            <w:bottom w:val="single" w:sz="2" w:space="0" w:color="000000"/>
            <w:right w:val="single" w:sz="2" w:space="0" w:color="000000"/>
          </w:divBdr>
        </w:div>
        <w:div w:id="1387027676">
          <w:marLeft w:val="0"/>
          <w:marRight w:val="0"/>
          <w:marTop w:val="0"/>
          <w:marBottom w:val="300"/>
          <w:divBdr>
            <w:top w:val="single" w:sz="2" w:space="0" w:color="000000"/>
            <w:left w:val="single" w:sz="2" w:space="0" w:color="000000"/>
            <w:bottom w:val="single" w:sz="2" w:space="0" w:color="000000"/>
            <w:right w:val="single" w:sz="2" w:space="0" w:color="000000"/>
          </w:divBdr>
        </w:div>
        <w:div w:id="420565292">
          <w:marLeft w:val="0"/>
          <w:marRight w:val="0"/>
          <w:marTop w:val="0"/>
          <w:marBottom w:val="300"/>
          <w:divBdr>
            <w:top w:val="single" w:sz="2" w:space="0" w:color="000000"/>
            <w:left w:val="single" w:sz="2" w:space="0" w:color="000000"/>
            <w:bottom w:val="single" w:sz="2" w:space="0" w:color="000000"/>
            <w:right w:val="single" w:sz="2" w:space="0" w:color="000000"/>
          </w:divBdr>
        </w:div>
        <w:div w:id="471025273">
          <w:marLeft w:val="0"/>
          <w:marRight w:val="0"/>
          <w:marTop w:val="0"/>
          <w:marBottom w:val="300"/>
          <w:divBdr>
            <w:top w:val="single" w:sz="2" w:space="0" w:color="000000"/>
            <w:left w:val="single" w:sz="2" w:space="0" w:color="000000"/>
            <w:bottom w:val="single" w:sz="2" w:space="0" w:color="000000"/>
            <w:right w:val="single" w:sz="2" w:space="0" w:color="000000"/>
          </w:divBdr>
        </w:div>
        <w:div w:id="505366769">
          <w:marLeft w:val="0"/>
          <w:marRight w:val="0"/>
          <w:marTop w:val="0"/>
          <w:marBottom w:val="300"/>
          <w:divBdr>
            <w:top w:val="single" w:sz="2" w:space="0" w:color="000000"/>
            <w:left w:val="single" w:sz="2" w:space="0" w:color="000000"/>
            <w:bottom w:val="single" w:sz="2" w:space="0" w:color="000000"/>
            <w:right w:val="single" w:sz="2" w:space="0" w:color="000000"/>
          </w:divBdr>
        </w:div>
        <w:div w:id="1934971296">
          <w:marLeft w:val="0"/>
          <w:marRight w:val="0"/>
          <w:marTop w:val="0"/>
          <w:marBottom w:val="300"/>
          <w:divBdr>
            <w:top w:val="single" w:sz="2" w:space="0" w:color="000000"/>
            <w:left w:val="single" w:sz="2" w:space="0" w:color="000000"/>
            <w:bottom w:val="single" w:sz="2" w:space="0" w:color="000000"/>
            <w:right w:val="single" w:sz="2" w:space="0" w:color="000000"/>
          </w:divBdr>
        </w:div>
        <w:div w:id="235670347">
          <w:marLeft w:val="0"/>
          <w:marRight w:val="0"/>
          <w:marTop w:val="0"/>
          <w:marBottom w:val="300"/>
          <w:divBdr>
            <w:top w:val="single" w:sz="2" w:space="0" w:color="000000"/>
            <w:left w:val="single" w:sz="2" w:space="0" w:color="000000"/>
            <w:bottom w:val="single" w:sz="2" w:space="0" w:color="000000"/>
            <w:right w:val="single" w:sz="2" w:space="0" w:color="000000"/>
          </w:divBdr>
        </w:div>
        <w:div w:id="1103259660">
          <w:marLeft w:val="0"/>
          <w:marRight w:val="0"/>
          <w:marTop w:val="0"/>
          <w:marBottom w:val="300"/>
          <w:divBdr>
            <w:top w:val="single" w:sz="2" w:space="0" w:color="000000"/>
            <w:left w:val="single" w:sz="2" w:space="0" w:color="000000"/>
            <w:bottom w:val="single" w:sz="2" w:space="0" w:color="000000"/>
            <w:right w:val="single" w:sz="2" w:space="0" w:color="000000"/>
          </w:divBdr>
        </w:div>
        <w:div w:id="745803086">
          <w:marLeft w:val="0"/>
          <w:marRight w:val="0"/>
          <w:marTop w:val="0"/>
          <w:marBottom w:val="300"/>
          <w:divBdr>
            <w:top w:val="single" w:sz="2" w:space="0" w:color="000000"/>
            <w:left w:val="single" w:sz="2" w:space="0" w:color="000000"/>
            <w:bottom w:val="single" w:sz="2" w:space="0" w:color="000000"/>
            <w:right w:val="single" w:sz="2" w:space="0" w:color="000000"/>
          </w:divBdr>
        </w:div>
        <w:div w:id="1922712743">
          <w:marLeft w:val="0"/>
          <w:marRight w:val="0"/>
          <w:marTop w:val="0"/>
          <w:marBottom w:val="300"/>
          <w:divBdr>
            <w:top w:val="single" w:sz="2" w:space="0" w:color="000000"/>
            <w:left w:val="single" w:sz="2" w:space="0" w:color="000000"/>
            <w:bottom w:val="single" w:sz="2" w:space="0" w:color="000000"/>
            <w:right w:val="single" w:sz="2" w:space="0" w:color="000000"/>
          </w:divBdr>
        </w:div>
        <w:div w:id="1505899945">
          <w:marLeft w:val="0"/>
          <w:marRight w:val="0"/>
          <w:marTop w:val="0"/>
          <w:marBottom w:val="300"/>
          <w:divBdr>
            <w:top w:val="single" w:sz="2" w:space="0" w:color="000000"/>
            <w:left w:val="single" w:sz="2" w:space="0" w:color="000000"/>
            <w:bottom w:val="single" w:sz="2" w:space="0" w:color="000000"/>
            <w:right w:val="single" w:sz="2" w:space="0" w:color="000000"/>
          </w:divBdr>
        </w:div>
        <w:div w:id="881676143">
          <w:marLeft w:val="0"/>
          <w:marRight w:val="0"/>
          <w:marTop w:val="0"/>
          <w:marBottom w:val="300"/>
          <w:divBdr>
            <w:top w:val="single" w:sz="2" w:space="0" w:color="000000"/>
            <w:left w:val="single" w:sz="2" w:space="0" w:color="000000"/>
            <w:bottom w:val="single" w:sz="2" w:space="0" w:color="000000"/>
            <w:right w:val="single" w:sz="2" w:space="0" w:color="000000"/>
          </w:divBdr>
        </w:div>
        <w:div w:id="1798529747">
          <w:marLeft w:val="0"/>
          <w:marRight w:val="0"/>
          <w:marTop w:val="0"/>
          <w:marBottom w:val="300"/>
          <w:divBdr>
            <w:top w:val="single" w:sz="2" w:space="0" w:color="000000"/>
            <w:left w:val="single" w:sz="2" w:space="0" w:color="000000"/>
            <w:bottom w:val="single" w:sz="2" w:space="0" w:color="000000"/>
            <w:right w:val="single" w:sz="2" w:space="0" w:color="000000"/>
          </w:divBdr>
        </w:div>
        <w:div w:id="1717123655">
          <w:marLeft w:val="0"/>
          <w:marRight w:val="0"/>
          <w:marTop w:val="0"/>
          <w:marBottom w:val="0"/>
          <w:divBdr>
            <w:top w:val="single" w:sz="2" w:space="0" w:color="000000"/>
            <w:left w:val="single" w:sz="2" w:space="0" w:color="000000"/>
            <w:bottom w:val="single" w:sz="2" w:space="0" w:color="000000"/>
            <w:right w:val="single" w:sz="2" w:space="0" w:color="000000"/>
          </w:divBdr>
        </w:div>
        <w:div w:id="1541285070">
          <w:marLeft w:val="0"/>
          <w:marRight w:val="0"/>
          <w:marTop w:val="0"/>
          <w:marBottom w:val="300"/>
          <w:divBdr>
            <w:top w:val="single" w:sz="2" w:space="0" w:color="000000"/>
            <w:left w:val="single" w:sz="2" w:space="0" w:color="000000"/>
            <w:bottom w:val="single" w:sz="2" w:space="0" w:color="000000"/>
            <w:right w:val="single" w:sz="2" w:space="0" w:color="000000"/>
          </w:divBdr>
        </w:div>
        <w:div w:id="20516386">
          <w:marLeft w:val="0"/>
          <w:marRight w:val="0"/>
          <w:marTop w:val="0"/>
          <w:marBottom w:val="300"/>
          <w:divBdr>
            <w:top w:val="single" w:sz="2" w:space="0" w:color="000000"/>
            <w:left w:val="single" w:sz="2" w:space="0" w:color="000000"/>
            <w:bottom w:val="single" w:sz="2" w:space="0" w:color="000000"/>
            <w:right w:val="single" w:sz="2" w:space="0" w:color="000000"/>
          </w:divBdr>
        </w:div>
        <w:div w:id="1088572725">
          <w:marLeft w:val="0"/>
          <w:marRight w:val="0"/>
          <w:marTop w:val="0"/>
          <w:marBottom w:val="0"/>
          <w:divBdr>
            <w:top w:val="single" w:sz="2" w:space="0" w:color="000000"/>
            <w:left w:val="single" w:sz="2" w:space="0" w:color="000000"/>
            <w:bottom w:val="single" w:sz="2" w:space="0" w:color="000000"/>
            <w:right w:val="single" w:sz="2" w:space="0" w:color="000000"/>
          </w:divBdr>
        </w:div>
        <w:div w:id="25521778">
          <w:marLeft w:val="0"/>
          <w:marRight w:val="0"/>
          <w:marTop w:val="0"/>
          <w:marBottom w:val="300"/>
          <w:divBdr>
            <w:top w:val="single" w:sz="2" w:space="0" w:color="000000"/>
            <w:left w:val="single" w:sz="2" w:space="0" w:color="000000"/>
            <w:bottom w:val="single" w:sz="2" w:space="0" w:color="000000"/>
            <w:right w:val="single" w:sz="2" w:space="0" w:color="000000"/>
          </w:divBdr>
        </w:div>
        <w:div w:id="557743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1874292">
      <w:bodyDiv w:val="1"/>
      <w:marLeft w:val="0"/>
      <w:marRight w:val="0"/>
      <w:marTop w:val="0"/>
      <w:marBottom w:val="0"/>
      <w:divBdr>
        <w:top w:val="none" w:sz="0" w:space="0" w:color="auto"/>
        <w:left w:val="none" w:sz="0" w:space="0" w:color="auto"/>
        <w:bottom w:val="none" w:sz="0" w:space="0" w:color="auto"/>
        <w:right w:val="none" w:sz="0" w:space="0" w:color="auto"/>
      </w:divBdr>
      <w:divsChild>
        <w:div w:id="355931297">
          <w:marLeft w:val="0"/>
          <w:marRight w:val="0"/>
          <w:marTop w:val="0"/>
          <w:marBottom w:val="120"/>
          <w:divBdr>
            <w:top w:val="single" w:sz="2" w:space="0" w:color="000000"/>
            <w:left w:val="single" w:sz="2" w:space="0" w:color="000000"/>
            <w:bottom w:val="single" w:sz="2" w:space="0" w:color="000000"/>
            <w:right w:val="single" w:sz="2" w:space="0" w:color="000000"/>
          </w:divBdr>
        </w:div>
        <w:div w:id="1850676787">
          <w:marLeft w:val="0"/>
          <w:marRight w:val="0"/>
          <w:marTop w:val="0"/>
          <w:marBottom w:val="300"/>
          <w:divBdr>
            <w:top w:val="single" w:sz="2" w:space="0" w:color="000000"/>
            <w:left w:val="single" w:sz="2" w:space="0" w:color="000000"/>
            <w:bottom w:val="single" w:sz="2" w:space="0" w:color="000000"/>
            <w:right w:val="single" w:sz="2" w:space="0" w:color="000000"/>
          </w:divBdr>
        </w:div>
        <w:div w:id="1122118232">
          <w:marLeft w:val="0"/>
          <w:marRight w:val="0"/>
          <w:marTop w:val="0"/>
          <w:marBottom w:val="300"/>
          <w:divBdr>
            <w:top w:val="single" w:sz="2" w:space="0" w:color="000000"/>
            <w:left w:val="single" w:sz="2" w:space="0" w:color="000000"/>
            <w:bottom w:val="single" w:sz="2" w:space="0" w:color="000000"/>
            <w:right w:val="single" w:sz="2" w:space="0" w:color="000000"/>
          </w:divBdr>
        </w:div>
        <w:div w:id="365251444">
          <w:marLeft w:val="0"/>
          <w:marRight w:val="0"/>
          <w:marTop w:val="0"/>
          <w:marBottom w:val="300"/>
          <w:divBdr>
            <w:top w:val="single" w:sz="2" w:space="0" w:color="000000"/>
            <w:left w:val="single" w:sz="2" w:space="0" w:color="000000"/>
            <w:bottom w:val="single" w:sz="2" w:space="0" w:color="000000"/>
            <w:right w:val="single" w:sz="2" w:space="0" w:color="000000"/>
          </w:divBdr>
        </w:div>
        <w:div w:id="810899910">
          <w:marLeft w:val="0"/>
          <w:marRight w:val="0"/>
          <w:marTop w:val="0"/>
          <w:marBottom w:val="300"/>
          <w:divBdr>
            <w:top w:val="single" w:sz="2" w:space="0" w:color="000000"/>
            <w:left w:val="single" w:sz="2" w:space="0" w:color="000000"/>
            <w:bottom w:val="single" w:sz="2" w:space="0" w:color="000000"/>
            <w:right w:val="single" w:sz="2" w:space="0" w:color="000000"/>
          </w:divBdr>
        </w:div>
        <w:div w:id="747308117">
          <w:marLeft w:val="0"/>
          <w:marRight w:val="0"/>
          <w:marTop w:val="0"/>
          <w:marBottom w:val="300"/>
          <w:divBdr>
            <w:top w:val="single" w:sz="2" w:space="0" w:color="000000"/>
            <w:left w:val="single" w:sz="2" w:space="0" w:color="000000"/>
            <w:bottom w:val="single" w:sz="2" w:space="0" w:color="000000"/>
            <w:right w:val="single" w:sz="2" w:space="0" w:color="000000"/>
          </w:divBdr>
        </w:div>
        <w:div w:id="969897561">
          <w:marLeft w:val="0"/>
          <w:marRight w:val="0"/>
          <w:marTop w:val="0"/>
          <w:marBottom w:val="300"/>
          <w:divBdr>
            <w:top w:val="single" w:sz="2" w:space="0" w:color="000000"/>
            <w:left w:val="single" w:sz="2" w:space="0" w:color="000000"/>
            <w:bottom w:val="single" w:sz="2" w:space="0" w:color="000000"/>
            <w:right w:val="single" w:sz="2" w:space="0" w:color="000000"/>
          </w:divBdr>
        </w:div>
        <w:div w:id="1342121310">
          <w:marLeft w:val="0"/>
          <w:marRight w:val="0"/>
          <w:marTop w:val="0"/>
          <w:marBottom w:val="300"/>
          <w:divBdr>
            <w:top w:val="single" w:sz="2" w:space="0" w:color="000000"/>
            <w:left w:val="single" w:sz="2" w:space="0" w:color="000000"/>
            <w:bottom w:val="single" w:sz="2" w:space="0" w:color="000000"/>
            <w:right w:val="single" w:sz="2" w:space="0" w:color="000000"/>
          </w:divBdr>
        </w:div>
        <w:div w:id="516887357">
          <w:marLeft w:val="0"/>
          <w:marRight w:val="0"/>
          <w:marTop w:val="0"/>
          <w:marBottom w:val="300"/>
          <w:divBdr>
            <w:top w:val="single" w:sz="2" w:space="0" w:color="000000"/>
            <w:left w:val="single" w:sz="2" w:space="0" w:color="000000"/>
            <w:bottom w:val="single" w:sz="2" w:space="0" w:color="000000"/>
            <w:right w:val="single" w:sz="2" w:space="0" w:color="000000"/>
          </w:divBdr>
        </w:div>
        <w:div w:id="684477113">
          <w:marLeft w:val="0"/>
          <w:marRight w:val="0"/>
          <w:marTop w:val="0"/>
          <w:marBottom w:val="300"/>
          <w:divBdr>
            <w:top w:val="single" w:sz="2" w:space="0" w:color="000000"/>
            <w:left w:val="single" w:sz="2" w:space="0" w:color="000000"/>
            <w:bottom w:val="single" w:sz="2" w:space="0" w:color="000000"/>
            <w:right w:val="single" w:sz="2" w:space="0" w:color="000000"/>
          </w:divBdr>
        </w:div>
        <w:div w:id="690760085">
          <w:marLeft w:val="0"/>
          <w:marRight w:val="0"/>
          <w:marTop w:val="312"/>
          <w:marBottom w:val="144"/>
          <w:divBdr>
            <w:top w:val="single" w:sz="2" w:space="0" w:color="000000"/>
            <w:left w:val="single" w:sz="2" w:space="0" w:color="000000"/>
            <w:bottom w:val="single" w:sz="2" w:space="0" w:color="000000"/>
            <w:right w:val="single" w:sz="2" w:space="0" w:color="000000"/>
          </w:divBdr>
        </w:div>
        <w:div w:id="1594168742">
          <w:marLeft w:val="0"/>
          <w:marRight w:val="0"/>
          <w:marTop w:val="0"/>
          <w:marBottom w:val="300"/>
          <w:divBdr>
            <w:top w:val="single" w:sz="2" w:space="0" w:color="000000"/>
            <w:left w:val="single" w:sz="2" w:space="0" w:color="000000"/>
            <w:bottom w:val="single" w:sz="2" w:space="0" w:color="000000"/>
            <w:right w:val="single" w:sz="2" w:space="0" w:color="000000"/>
          </w:divBdr>
        </w:div>
        <w:div w:id="212693382">
          <w:marLeft w:val="0"/>
          <w:marRight w:val="0"/>
          <w:marTop w:val="0"/>
          <w:marBottom w:val="300"/>
          <w:divBdr>
            <w:top w:val="single" w:sz="2" w:space="0" w:color="000000"/>
            <w:left w:val="single" w:sz="2" w:space="0" w:color="000000"/>
            <w:bottom w:val="single" w:sz="2" w:space="0" w:color="000000"/>
            <w:right w:val="single" w:sz="2" w:space="0" w:color="000000"/>
          </w:divBdr>
        </w:div>
        <w:div w:id="1031765583">
          <w:marLeft w:val="0"/>
          <w:marRight w:val="0"/>
          <w:marTop w:val="0"/>
          <w:marBottom w:val="300"/>
          <w:divBdr>
            <w:top w:val="single" w:sz="2" w:space="0" w:color="000000"/>
            <w:left w:val="single" w:sz="2" w:space="0" w:color="000000"/>
            <w:bottom w:val="single" w:sz="2" w:space="0" w:color="000000"/>
            <w:right w:val="single" w:sz="2" w:space="0" w:color="000000"/>
          </w:divBdr>
        </w:div>
        <w:div w:id="1378309956">
          <w:marLeft w:val="0"/>
          <w:marRight w:val="0"/>
          <w:marTop w:val="0"/>
          <w:marBottom w:val="300"/>
          <w:divBdr>
            <w:top w:val="single" w:sz="2" w:space="0" w:color="000000"/>
            <w:left w:val="single" w:sz="2" w:space="0" w:color="000000"/>
            <w:bottom w:val="single" w:sz="2" w:space="0" w:color="000000"/>
            <w:right w:val="single" w:sz="2" w:space="0" w:color="000000"/>
          </w:divBdr>
        </w:div>
        <w:div w:id="2086954160">
          <w:marLeft w:val="0"/>
          <w:marRight w:val="0"/>
          <w:marTop w:val="0"/>
          <w:marBottom w:val="0"/>
          <w:divBdr>
            <w:top w:val="single" w:sz="2" w:space="0" w:color="000000"/>
            <w:left w:val="single" w:sz="2" w:space="0" w:color="000000"/>
            <w:bottom w:val="single" w:sz="2" w:space="0" w:color="000000"/>
            <w:right w:val="single" w:sz="2" w:space="0" w:color="000000"/>
          </w:divBdr>
        </w:div>
        <w:div w:id="1332566634">
          <w:marLeft w:val="0"/>
          <w:marRight w:val="0"/>
          <w:marTop w:val="0"/>
          <w:marBottom w:val="300"/>
          <w:divBdr>
            <w:top w:val="single" w:sz="2" w:space="0" w:color="000000"/>
            <w:left w:val="single" w:sz="2" w:space="0" w:color="000000"/>
            <w:bottom w:val="single" w:sz="2" w:space="0" w:color="000000"/>
            <w:right w:val="single" w:sz="2" w:space="0" w:color="000000"/>
          </w:divBdr>
        </w:div>
        <w:div w:id="854151566">
          <w:marLeft w:val="0"/>
          <w:marRight w:val="0"/>
          <w:marTop w:val="0"/>
          <w:marBottom w:val="300"/>
          <w:divBdr>
            <w:top w:val="single" w:sz="2" w:space="0" w:color="000000"/>
            <w:left w:val="single" w:sz="2" w:space="0" w:color="000000"/>
            <w:bottom w:val="single" w:sz="2" w:space="0" w:color="000000"/>
            <w:right w:val="single" w:sz="2" w:space="0" w:color="000000"/>
          </w:divBdr>
        </w:div>
        <w:div w:id="1455441099">
          <w:marLeft w:val="0"/>
          <w:marRight w:val="0"/>
          <w:marTop w:val="0"/>
          <w:marBottom w:val="300"/>
          <w:divBdr>
            <w:top w:val="single" w:sz="2" w:space="0" w:color="000000"/>
            <w:left w:val="single" w:sz="2" w:space="0" w:color="000000"/>
            <w:bottom w:val="single" w:sz="2" w:space="0" w:color="000000"/>
            <w:right w:val="single" w:sz="2" w:space="0" w:color="000000"/>
          </w:divBdr>
        </w:div>
        <w:div w:id="739402079">
          <w:marLeft w:val="0"/>
          <w:marRight w:val="0"/>
          <w:marTop w:val="0"/>
          <w:marBottom w:val="0"/>
          <w:divBdr>
            <w:top w:val="single" w:sz="2" w:space="0" w:color="000000"/>
            <w:left w:val="single" w:sz="2" w:space="0" w:color="000000"/>
            <w:bottom w:val="single" w:sz="2" w:space="0" w:color="000000"/>
            <w:right w:val="single" w:sz="2" w:space="0" w:color="000000"/>
          </w:divBdr>
        </w:div>
        <w:div w:id="374086492">
          <w:marLeft w:val="0"/>
          <w:marRight w:val="0"/>
          <w:marTop w:val="0"/>
          <w:marBottom w:val="300"/>
          <w:divBdr>
            <w:top w:val="single" w:sz="2" w:space="0" w:color="000000"/>
            <w:left w:val="single" w:sz="2" w:space="0" w:color="000000"/>
            <w:bottom w:val="single" w:sz="2" w:space="0" w:color="000000"/>
            <w:right w:val="single" w:sz="2" w:space="0" w:color="000000"/>
          </w:divBdr>
        </w:div>
        <w:div w:id="953513816">
          <w:marLeft w:val="0"/>
          <w:marRight w:val="0"/>
          <w:marTop w:val="0"/>
          <w:marBottom w:val="300"/>
          <w:divBdr>
            <w:top w:val="single" w:sz="2" w:space="0" w:color="000000"/>
            <w:left w:val="single" w:sz="2" w:space="0" w:color="000000"/>
            <w:bottom w:val="single" w:sz="2" w:space="0" w:color="000000"/>
            <w:right w:val="single" w:sz="2" w:space="0" w:color="000000"/>
          </w:divBdr>
        </w:div>
        <w:div w:id="375357417">
          <w:marLeft w:val="0"/>
          <w:marRight w:val="0"/>
          <w:marTop w:val="0"/>
          <w:marBottom w:val="300"/>
          <w:divBdr>
            <w:top w:val="single" w:sz="2" w:space="0" w:color="000000"/>
            <w:left w:val="single" w:sz="2" w:space="0" w:color="000000"/>
            <w:bottom w:val="single" w:sz="2" w:space="0" w:color="000000"/>
            <w:right w:val="single" w:sz="2" w:space="0" w:color="000000"/>
          </w:divBdr>
        </w:div>
        <w:div w:id="966854403">
          <w:marLeft w:val="0"/>
          <w:marRight w:val="0"/>
          <w:marTop w:val="0"/>
          <w:marBottom w:val="0"/>
          <w:divBdr>
            <w:top w:val="single" w:sz="2" w:space="0" w:color="000000"/>
            <w:left w:val="single" w:sz="2" w:space="0" w:color="000000"/>
            <w:bottom w:val="single" w:sz="2" w:space="0" w:color="000000"/>
            <w:right w:val="single" w:sz="2" w:space="0" w:color="000000"/>
          </w:divBdr>
        </w:div>
        <w:div w:id="2110463367">
          <w:marLeft w:val="0"/>
          <w:marRight w:val="0"/>
          <w:marTop w:val="0"/>
          <w:marBottom w:val="0"/>
          <w:divBdr>
            <w:top w:val="single" w:sz="2" w:space="0" w:color="000000"/>
            <w:left w:val="single" w:sz="2" w:space="0" w:color="000000"/>
            <w:bottom w:val="single" w:sz="2" w:space="0" w:color="000000"/>
            <w:right w:val="single" w:sz="2" w:space="0" w:color="000000"/>
          </w:divBdr>
        </w:div>
        <w:div w:id="1514032005">
          <w:marLeft w:val="0"/>
          <w:marRight w:val="0"/>
          <w:marTop w:val="0"/>
          <w:marBottom w:val="0"/>
          <w:divBdr>
            <w:top w:val="single" w:sz="2" w:space="0" w:color="000000"/>
            <w:left w:val="single" w:sz="2" w:space="0" w:color="000000"/>
            <w:bottom w:val="single" w:sz="2" w:space="0" w:color="000000"/>
            <w:right w:val="single" w:sz="2" w:space="0" w:color="000000"/>
          </w:divBdr>
        </w:div>
        <w:div w:id="1350521669">
          <w:marLeft w:val="0"/>
          <w:marRight w:val="0"/>
          <w:marTop w:val="0"/>
          <w:marBottom w:val="300"/>
          <w:divBdr>
            <w:top w:val="single" w:sz="2" w:space="0" w:color="000000"/>
            <w:left w:val="single" w:sz="2" w:space="0" w:color="000000"/>
            <w:bottom w:val="single" w:sz="2" w:space="0" w:color="000000"/>
            <w:right w:val="single" w:sz="2" w:space="0" w:color="000000"/>
          </w:divBdr>
        </w:div>
        <w:div w:id="661547047">
          <w:marLeft w:val="0"/>
          <w:marRight w:val="0"/>
          <w:marTop w:val="0"/>
          <w:marBottom w:val="0"/>
          <w:divBdr>
            <w:top w:val="single" w:sz="2" w:space="0" w:color="000000"/>
            <w:left w:val="single" w:sz="2" w:space="0" w:color="000000"/>
            <w:bottom w:val="single" w:sz="2" w:space="0" w:color="000000"/>
            <w:right w:val="single" w:sz="2" w:space="0" w:color="000000"/>
          </w:divBdr>
        </w:div>
        <w:div w:id="1379626922">
          <w:marLeft w:val="0"/>
          <w:marRight w:val="0"/>
          <w:marTop w:val="0"/>
          <w:marBottom w:val="300"/>
          <w:divBdr>
            <w:top w:val="single" w:sz="2" w:space="0" w:color="000000"/>
            <w:left w:val="single" w:sz="2" w:space="0" w:color="000000"/>
            <w:bottom w:val="single" w:sz="2" w:space="0" w:color="000000"/>
            <w:right w:val="single" w:sz="2" w:space="0" w:color="000000"/>
          </w:divBdr>
        </w:div>
        <w:div w:id="1723410215">
          <w:marLeft w:val="0"/>
          <w:marRight w:val="0"/>
          <w:marTop w:val="0"/>
          <w:marBottom w:val="300"/>
          <w:divBdr>
            <w:top w:val="single" w:sz="2" w:space="0" w:color="000000"/>
            <w:left w:val="single" w:sz="2" w:space="0" w:color="000000"/>
            <w:bottom w:val="single" w:sz="2" w:space="0" w:color="000000"/>
            <w:right w:val="single" w:sz="2" w:space="0" w:color="000000"/>
          </w:divBdr>
        </w:div>
        <w:div w:id="243300875">
          <w:marLeft w:val="0"/>
          <w:marRight w:val="0"/>
          <w:marTop w:val="0"/>
          <w:marBottom w:val="0"/>
          <w:divBdr>
            <w:top w:val="single" w:sz="2" w:space="0" w:color="000000"/>
            <w:left w:val="single" w:sz="2" w:space="0" w:color="000000"/>
            <w:bottom w:val="single" w:sz="2" w:space="0" w:color="000000"/>
            <w:right w:val="single" w:sz="2" w:space="0" w:color="000000"/>
          </w:divBdr>
        </w:div>
        <w:div w:id="448940136">
          <w:marLeft w:val="0"/>
          <w:marRight w:val="0"/>
          <w:marTop w:val="0"/>
          <w:marBottom w:val="300"/>
          <w:divBdr>
            <w:top w:val="single" w:sz="2" w:space="0" w:color="000000"/>
            <w:left w:val="single" w:sz="2" w:space="0" w:color="000000"/>
            <w:bottom w:val="single" w:sz="2" w:space="0" w:color="000000"/>
            <w:right w:val="single" w:sz="2" w:space="0" w:color="000000"/>
          </w:divBdr>
        </w:div>
        <w:div w:id="1351644863">
          <w:marLeft w:val="0"/>
          <w:marRight w:val="0"/>
          <w:marTop w:val="0"/>
          <w:marBottom w:val="300"/>
          <w:divBdr>
            <w:top w:val="single" w:sz="2" w:space="0" w:color="000000"/>
            <w:left w:val="single" w:sz="2" w:space="0" w:color="000000"/>
            <w:bottom w:val="single" w:sz="2" w:space="0" w:color="000000"/>
            <w:right w:val="single" w:sz="2" w:space="0" w:color="000000"/>
          </w:divBdr>
        </w:div>
        <w:div w:id="8464077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simplilearn.com/what-is-a-roc-curve-and-"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nsarchive.gwu.edu/sites/default/files/documents/3891751/SANS-and-Electricity-"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proceedings.neurips.cc/paper/5955-convolutional-lstm-network-a-"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ren21.net" TargetMode="External"/><Relationship Id="rId20" Type="http://schemas.openxmlformats.org/officeDocument/2006/relationships/hyperlink" Target="https://www.researchgate.net/publication/243776266_An_introduction_to_multi-"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openaccess.thecvf.com/content_ICCV_2017/papers/Qian_Multi-"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www.energy.gov/sites/prod/files/oeprod/DocumentsandMedia/BlackoutFina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searchgate.net/publication/384328983_Machine_Learning_for_Predictive" TargetMode="External"/><Relationship Id="rId22" Type="http://schemas.openxmlformats.org/officeDocument/2006/relationships/hyperlink" Target="https://documents1.worldbank.org/curated/en/712171609756525808/pdf/Main-"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9018</Words>
  <Characters>51404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GP 005</cp:lastModifiedBy>
  <cp:revision>3</cp:revision>
  <dcterms:created xsi:type="dcterms:W3CDTF">2025-05-21T03:59:00Z</dcterms:created>
  <dcterms:modified xsi:type="dcterms:W3CDTF">2025-05-26T07:50:00Z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b698630c-100a-47f6-a2f4-8f54d5015fd2</vt:lpwstr>
  </property>
</Properties>
</file>