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FE4A9" w14:textId="77777777" w:rsidR="007903D0" w:rsidRPr="00526214" w:rsidRDefault="007903D0" w:rsidP="00526214">
      <w:pPr>
        <w:spacing w:line="360" w:lineRule="auto"/>
        <w:jc w:val="center"/>
        <w:rPr>
          <w:rFonts w:ascii="Times New Roman" w:hAnsi="Times New Roman" w:cs="Times New Roman"/>
          <w:b/>
          <w:sz w:val="36"/>
          <w:szCs w:val="36"/>
        </w:rPr>
      </w:pPr>
      <w:r w:rsidRPr="00526214">
        <w:rPr>
          <w:rFonts w:ascii="Times New Roman" w:hAnsi="Times New Roman" w:cs="Times New Roman"/>
          <w:b/>
          <w:sz w:val="36"/>
          <w:szCs w:val="36"/>
        </w:rPr>
        <w:t>Modeling and Measuring the Cyber Resilience of Critical Healthcare Infrastructure Against Ransomware: A Cyber-Physical Systems Risk Perspective</w:t>
      </w:r>
    </w:p>
    <w:p w14:paraId="4DE392E2" w14:textId="77777777" w:rsidR="00AC6BFB" w:rsidRDefault="00AC6BFB" w:rsidP="00AC6BFB">
      <w:pPr>
        <w:pStyle w:val="NoSpacing"/>
        <w:rPr>
          <w:rFonts w:ascii="Tenorite" w:hAnsi="Tenorite" w:cs="Times New Roman"/>
          <w:sz w:val="24"/>
          <w:szCs w:val="24"/>
        </w:rPr>
      </w:pPr>
    </w:p>
    <w:p w14:paraId="3C13DCAC" w14:textId="77777777" w:rsidR="007903D0" w:rsidRDefault="007903D0" w:rsidP="00526214">
      <w:pPr>
        <w:spacing w:line="360" w:lineRule="auto"/>
        <w:jc w:val="both"/>
        <w:rPr>
          <w:rFonts w:ascii="Times New Roman" w:hAnsi="Times New Roman" w:cs="Times New Roman"/>
          <w:b/>
          <w:sz w:val="24"/>
          <w:szCs w:val="24"/>
        </w:rPr>
      </w:pPr>
    </w:p>
    <w:p w14:paraId="3A6028B5" w14:textId="77777777" w:rsidR="006C1262" w:rsidRDefault="006C1262" w:rsidP="00526214">
      <w:pPr>
        <w:spacing w:line="360" w:lineRule="auto"/>
        <w:jc w:val="both"/>
        <w:rPr>
          <w:rFonts w:ascii="Times New Roman" w:hAnsi="Times New Roman" w:cs="Times New Roman"/>
          <w:b/>
          <w:sz w:val="24"/>
          <w:szCs w:val="24"/>
        </w:rPr>
      </w:pPr>
    </w:p>
    <w:p w14:paraId="13D16872" w14:textId="77777777" w:rsidR="006C1262" w:rsidRDefault="006C1262" w:rsidP="00526214">
      <w:pPr>
        <w:spacing w:line="360" w:lineRule="auto"/>
        <w:jc w:val="both"/>
        <w:rPr>
          <w:rFonts w:ascii="Times New Roman" w:hAnsi="Times New Roman" w:cs="Times New Roman"/>
          <w:b/>
          <w:sz w:val="24"/>
          <w:szCs w:val="24"/>
        </w:rPr>
      </w:pPr>
    </w:p>
    <w:p w14:paraId="20D518A9" w14:textId="77777777" w:rsidR="006C1262" w:rsidRPr="00526214" w:rsidRDefault="006C1262" w:rsidP="00526214">
      <w:pPr>
        <w:spacing w:line="360" w:lineRule="auto"/>
        <w:jc w:val="both"/>
        <w:rPr>
          <w:rFonts w:ascii="Times New Roman" w:hAnsi="Times New Roman" w:cs="Times New Roman"/>
          <w:b/>
          <w:sz w:val="24"/>
          <w:szCs w:val="24"/>
        </w:rPr>
      </w:pPr>
    </w:p>
    <w:p w14:paraId="61058295" w14:textId="77777777" w:rsidR="007903D0" w:rsidRPr="00526214" w:rsidRDefault="007903D0" w:rsidP="00526214">
      <w:pPr>
        <w:pStyle w:val="Heading1"/>
        <w:spacing w:line="360" w:lineRule="auto"/>
        <w:jc w:val="both"/>
        <w:rPr>
          <w:szCs w:val="24"/>
        </w:rPr>
      </w:pPr>
      <w:r w:rsidRPr="00526214">
        <w:rPr>
          <w:szCs w:val="24"/>
        </w:rPr>
        <w:t>Abstract</w:t>
      </w:r>
    </w:p>
    <w:p w14:paraId="333E72E1" w14:textId="77777777" w:rsidR="00B800D5" w:rsidRPr="00B800D5" w:rsidRDefault="00B800D5" w:rsidP="00B800D5">
      <w:pPr>
        <w:spacing w:before="240" w:after="240" w:line="240" w:lineRule="auto"/>
        <w:rPr>
          <w:rFonts w:ascii="Times New Roman" w:eastAsia="Times New Roman" w:hAnsi="Times New Roman" w:cs="Times New Roman"/>
          <w:sz w:val="24"/>
          <w:szCs w:val="24"/>
        </w:rPr>
      </w:pPr>
      <w:r w:rsidRPr="00B800D5">
        <w:rPr>
          <w:rFonts w:ascii="Times New Roman" w:eastAsia="Times New Roman" w:hAnsi="Times New Roman" w:cs="Times New Roman"/>
          <w:i/>
          <w:iCs/>
          <w:color w:val="000000"/>
          <w:sz w:val="24"/>
          <w:szCs w:val="24"/>
        </w:rPr>
        <w:t>This study develops and validates a comprehensive framework for modeling and measuring the cyber resilience of healthcare cyber-physical systems (CPS) against ransomware attacks, adopting a Cyber-Physical Systems Risk Perspective. Utilizing a mixed-methods approach, the research integrates a systematic literature review, meta-analysis, simulation modeling, and statistical analysis to fulfill five core objectives: analyzing ransomware vectors, evaluating existing resilience frameworks, constructing a multi-dimensional resilience model, designing quantitative metrics, and validating real-world applicability. Empirical findings show ransomware exploits phishing (43%), IoMT vulnerabilities (28%), and third-party breaches (19%), with Internet of Medical Things (IoMT) devices posing the highest cyber-physical risk (mean R_cps = 8.5). The proposed Healthcare CPS Resilience Index (HCRI) yielded a mean score of 5.4, reflecting moderate resilience across healthcare organizations. Key influencing factors include staff preparedness, backup efficacy, and network segmentation. Statistical analyses revealed a strong negative correlation between organizational preparedness and recovery time (r = −0.72, p &lt; .01), highlighting the importance of training and response planning. The framework was validated through historical alignment with the WannaCry ransomware case, achieving a close match in disruption and recovery metrics (MAE = 0.4). This validation underscores the framework’s empirical credibility and real-world applicability. By introducing standardized metrics—HCRI and R_cps—this study contributes practical tools for healthcare systems to benchmark, monitor, and enhance their cyber resilience. The findings offer both scholarly insights and actionable guidance for policymakers, healthcare administrators, and cybersecurity professionals seeking to safeguard critical infrastructure and ensure patient safety in an increasingly hostile cyber threat landscape.</w:t>
      </w:r>
    </w:p>
    <w:p w14:paraId="6CF43B41"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i/>
          <w:sz w:val="24"/>
          <w:szCs w:val="24"/>
        </w:rPr>
        <w:t>Keywords:</w:t>
      </w:r>
      <w:r w:rsidRPr="00526214">
        <w:rPr>
          <w:rFonts w:ascii="Times New Roman" w:hAnsi="Times New Roman" w:cs="Times New Roman"/>
          <w:sz w:val="24"/>
          <w:szCs w:val="24"/>
        </w:rPr>
        <w:t xml:space="preserve"> Healthcare CPS, ransomware, cyber resilience, HCRI, cyber-physical risk</w:t>
      </w:r>
    </w:p>
    <w:p w14:paraId="709216DC" w14:textId="77777777" w:rsidR="00526214" w:rsidRPr="00526214" w:rsidRDefault="00526214" w:rsidP="00526214">
      <w:pPr>
        <w:spacing w:line="360" w:lineRule="auto"/>
        <w:jc w:val="both"/>
        <w:rPr>
          <w:rFonts w:ascii="Times New Roman" w:hAnsi="Times New Roman" w:cs="Times New Roman"/>
          <w:sz w:val="24"/>
          <w:szCs w:val="24"/>
        </w:rPr>
      </w:pPr>
    </w:p>
    <w:p w14:paraId="720D97D2" w14:textId="77777777" w:rsidR="007903D0" w:rsidRPr="00526214" w:rsidRDefault="007903D0" w:rsidP="00526214">
      <w:pPr>
        <w:pStyle w:val="Heading1"/>
        <w:numPr>
          <w:ilvl w:val="0"/>
          <w:numId w:val="2"/>
        </w:numPr>
        <w:spacing w:line="360" w:lineRule="auto"/>
        <w:ind w:left="360"/>
        <w:jc w:val="both"/>
        <w:rPr>
          <w:szCs w:val="24"/>
        </w:rPr>
      </w:pPr>
      <w:r w:rsidRPr="00526214">
        <w:rPr>
          <w:szCs w:val="24"/>
        </w:rPr>
        <w:lastRenderedPageBreak/>
        <w:t>Introduction</w:t>
      </w:r>
    </w:p>
    <w:p w14:paraId="0E864BED"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healthcare sector has undergone a profound digital transformation in recent years, integrating advanced technologies such as cyber-physical systems (CPS) to enhance patient care and operational efficiency. These systems, encompassing medical devices like infusion pumps and ventilators, electronic health records (EHRs), telemedicine platforms, and smart hospital infrastructure, rely on the seamless interplay between computational and physical processes (Lee &amp; Sokolsky, 2010). This integration has revolutionized healthcare delivery by enabling real-time monitoring, automated decision-making, and improved resource allocation (Baig et al., 2017). However, it has also exposed healthcare systems to significant cybersecurity vulnerabilities, making them prime targets for cybercriminals who exploit the critical nature of healthcare services, the sensitivity of patient data, and the often-outdated infrastructure that struggles to keep pace with modern threats (Coventry &amp; Branley, 2018; Perakslis, 2014). Among these threats, ransomware has emerged as a particularly devastating challenge, encrypting critical systems and data and demanding payment for their release, thereby disrupting operations and directly threatening patient safety (DriveLock, 2025).</w:t>
      </w:r>
    </w:p>
    <w:p w14:paraId="511B87A8"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Ransomware attacks have become increasingly frequent and sophisticated, capitalizing on healthcare organizations' inability to tolerate downtime and their reliance on real-time data access. For instance, the 2023 ransomware attack on St. Margaret’s Hospital in the United States contributed to its permanent closure, while the same year saw HCA Healthcare suffer a breach affecting 11 million patients across its 180 hospitals and 2,300 ambulatory sites (World Economic Forum, 2024). These incidents illustrate the existential risks ransomware poses, not only to organizational viability but also to patient well-being, as disruptions can delay treatments, compromise medical equipment functionality, and force reliance on manual workarounds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The interconnected nature of healthcare CPS amplifies these risks, as a breach in one component—such as a networked medical device can cascade across the entire infrastructure, affecting clinical care systems, diagnostic tools, and even building operations like HVAC systems critical to hospital environments (Yeboah-Ofori et al., 2019). The COVID-19 pandemic further intensified this vulnerability, with the rapid shift to remote care expanding the attack surface and a surge in ransomware incidents exploiting the urgency of healthcare operations during a global crisis (He et al., 2021).</w:t>
      </w:r>
    </w:p>
    <w:p w14:paraId="28301997"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Despite this escalating threat landscape, a critical gap persists in the development of comprehensive frameworks to measure and enhance cyber resilience in healthcare CPS against ransomware. Cyber resilience, defined as the ability to prepare for, withstand, recover from, and adapt to cyber-attacks while maintaining essential functions (Cohesity, 2023), is vital in healthcare, where service continuity is non-negotiable (Argaw et al., 2019). Traditional cybersecurity approaches, however, often emphasize prevention over the full resilience lifecycle, including detection, response, and recovery leaving healthcare organizations ill-equipped to manage ransomware’s multifaceted impacts (Kruse et al., 2017). Moreover, the cyber-physical nature of these systems introduces unique challenges, as vulnerabilities at network nodes, endpoints, and physical devices create complex attack surfaces that conventional IT-focused frameworks fail to address adequately (Yeboah-Ofori et al., 2019). The safety-critical context of healthcare, coupled with stringent regulatory requirements and ethical obligations, further complicates resilience efforts, necessitating tailored strategies that account for real-time operational demands and patient safety imperatives (Jalali &amp; Kaiser, 2018; Offner et al., 2020).</w:t>
      </w:r>
    </w:p>
    <w:p w14:paraId="58527C5D"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This gap is compounded by a lack of consensus on how to quantitatively and qualitatively assess cyber resilience in healthcare CPS. While some metrics exist, they often overlook the interdependencies between digital and physical components or the evolving tactics of ransomware, such as double extortion, where data is both encrypted and exfiltrated (Sittig &amp; Singh, 2016; </w:t>
      </w:r>
      <w:r w:rsidRPr="00526214">
        <w:rPr>
          <w:rFonts w:ascii="Times New Roman" w:eastAsia="Times New Roman" w:hAnsi="Times New Roman" w:cs="Times New Roman"/>
          <w:sz w:val="24"/>
          <w:szCs w:val="24"/>
        </w:rPr>
        <w:t>(Sendelj &amp; Ognjanovic, 2022)</w:t>
      </w:r>
      <w:r w:rsidRPr="00526214">
        <w:rPr>
          <w:rFonts w:ascii="Times New Roman" w:hAnsi="Times New Roman" w:cs="Times New Roman"/>
          <w:sz w:val="24"/>
          <w:szCs w:val="24"/>
        </w:rPr>
        <w:t>. The dynamic nature of these threats evidenced by Cohesity’s (2023) finding that 90% of organizations reported increased ransomware risks in 2023 underscores the inadequacy of static models and the urgent need for adaptive, healthcare-specific resilience frameworks. Current approaches also struggle to integrate technical, operational, organizational, and human factors, despite their interdependence in determining a system’s ability to withstand and recover from attacks (Luna et al., 2016).</w:t>
      </w:r>
    </w:p>
    <w:p w14:paraId="6F79D2B3"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scope of this research focuses on healthcare CPS, encompassing systems where digital technologies directly control or monitor physical processes critical to healthcare delivery. This includes clinical care systems (e.g., ventilators and infusion pumps), diagnostic equipment (e.g., MRI machines and laboratory systems), and supporting infrastructure (e.g., physical access controls and HVAC systems). The study specifically targets resilience against ransomware, examining the entire lifecycle-preparation, detection, response, recovery, and adaptation through a multi-dimensional lens that integrates technical, operational, organizational, and human </w:t>
      </w:r>
      <w:r w:rsidRPr="00526214">
        <w:rPr>
          <w:rFonts w:ascii="Times New Roman" w:hAnsi="Times New Roman" w:cs="Times New Roman"/>
          <w:sz w:val="24"/>
          <w:szCs w:val="24"/>
        </w:rPr>
        <w:lastRenderedPageBreak/>
        <w:t>perspectives. By concentrating on this scope, the research aims to deliver practical, actionable insights tailored to the unique challenges of healthcare environments, ensuring applicability across organizations with varying resources and technical capabilities.</w:t>
      </w:r>
    </w:p>
    <w:p w14:paraId="2F9511D8"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The significance of this study lies in its potential to address these pressing issues holistically. Primarily, it seeks to safeguard patient safety by enabling healthcare systems to maintain critical functions during ransomware attacks, preventing disruptions that could lead to life-threatening delays or errors (Filkins et al., 2016; </w:t>
      </w:r>
      <w:r w:rsidRPr="00526214">
        <w:rPr>
          <w:rFonts w:ascii="Times New Roman" w:eastAsia="Times New Roman" w:hAnsi="Times New Roman" w:cs="Times New Roman"/>
          <w:sz w:val="24"/>
          <w:szCs w:val="24"/>
        </w:rPr>
        <w:t>Williams &amp; Woodward, 2015</w:t>
      </w:r>
      <w:r w:rsidRPr="00526214">
        <w:rPr>
          <w:rFonts w:ascii="Times New Roman" w:hAnsi="Times New Roman" w:cs="Times New Roman"/>
          <w:sz w:val="24"/>
          <w:szCs w:val="24"/>
        </w:rPr>
        <w:t xml:space="preserve">). Financially, it supports the sustainability of healthcare organizations by mitigating the exorbitant costs of ransomware beyond ransom payments, these include recovery efforts, legal liabilities, and reputational damage, as exemplified by Anthem Inc.’s $115 million settlement following a 2015 breach (World Economic Forum, 2024;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Operationally, it ensures the continuity of essential services, addressing healthcare providers’ fears that current resilience strategies are insufficient, with 80% expressing such concerns (Cohesity, 2023). Theoretically, the research advances resilience engineering by tackling the complexities of cyber-physical systems in critical infrastructure, offering transferable insights to other sectors (Martin et al., 2017; Lezzi et al., 2018). Additionally, it bridges theory and practice, providing evidence-based frameworks that can inform policy, standards, and regulatory efforts to bolster healthcare cybersecurity globally (ENISA, 2020).</w:t>
      </w:r>
    </w:p>
    <w:p w14:paraId="04DA45D8"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Given these challenges and stakes, this research aims to develop and validate a comprehensive framework for modeling and measuring the cyber resilience of healthcare cyber-physical systems against ransomware attacks. To achieve this, the study pursues the following objectives to: </w:t>
      </w:r>
    </w:p>
    <w:p w14:paraId="44B60FB0"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analyze the characteristics and impact vectors of ransomware attacks on healthcare CPS, identifying vulnerability patterns and attack mechanisms; </w:t>
      </w:r>
    </w:p>
    <w:p w14:paraId="1784B0D3"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evaluate existing resilience frameworks and metrics, assessing their applicability and limitations in healthcare contexts; </w:t>
      </w:r>
    </w:p>
    <w:p w14:paraId="588058FB"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develop a multi-dimensional model integrating technical, operational, organizational, and human factors;</w:t>
      </w:r>
    </w:p>
    <w:p w14:paraId="4EE27637"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design and validate metrics and an assessment methodology for measuring resilience across all phases, enabling healthcare organizations to benchmark, improve, and monitor their capabilities; </w:t>
      </w:r>
    </w:p>
    <w:p w14:paraId="60DDFE6F"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 xml:space="preserve">validate the framework through case studies and expert evaluations, ensuring its effectiveness in real-world settings. </w:t>
      </w:r>
    </w:p>
    <w:p w14:paraId="3F76DC17" w14:textId="77777777" w:rsidR="007903D0" w:rsidRPr="00526214" w:rsidRDefault="007903D0"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sz w:val="24"/>
          <w:szCs w:val="24"/>
        </w:rPr>
        <w:t>Through these efforts, this research seeks to empower healthcare organizations with the tools and knowledge to fortify their defenses against ransomware, ultimately protecting patient care and critical infrastructure in an increasingly hostile cyber landscape.</w:t>
      </w:r>
    </w:p>
    <w:p w14:paraId="4DE62A2F" w14:textId="77777777" w:rsidR="00526214" w:rsidRDefault="00526214" w:rsidP="00526214">
      <w:pPr>
        <w:spacing w:line="360" w:lineRule="auto"/>
        <w:jc w:val="both"/>
        <w:rPr>
          <w:rFonts w:ascii="Times New Roman" w:hAnsi="Times New Roman" w:cs="Times New Roman"/>
          <w:b/>
          <w:sz w:val="24"/>
          <w:szCs w:val="24"/>
        </w:rPr>
      </w:pPr>
    </w:p>
    <w:p w14:paraId="11ED2006" w14:textId="77777777" w:rsidR="007903D0" w:rsidRPr="00526214" w:rsidRDefault="007903D0" w:rsidP="00526214">
      <w:pPr>
        <w:pStyle w:val="Heading1"/>
      </w:pPr>
      <w:r w:rsidRPr="00526214">
        <w:t>2. Literature Review</w:t>
      </w:r>
    </w:p>
    <w:p w14:paraId="50F23C94"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 Ransomware Threat Landscape in Healthcare</w:t>
      </w:r>
    </w:p>
    <w:p w14:paraId="780ACEA8"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Evolution of Ransomware Attacks</w:t>
      </w:r>
    </w:p>
    <w:p w14:paraId="51A6FB84"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evolution of ransomware over the past decade represents a significant escalation in both complexity and impact, particularly within the healthcare sector. Initially characterized by basic encryption-based attacks, ransomware has transformed into sophisticated, multi-faceted campaigns that integrate data exfiltration, double extortion, and widespread system disruption (Cohesity, 2023). This shift has been documented extensively in the literature, with studies highlighting how healthcare institutions face unique vulnerabilities due to their operational imperatives and technological constraints. For instance, Coventry and Branley (2018) note that the critical need for uninterrupted access to patient data, coupled with the presence of legacy medical devices harboring unpatched vulnerabilities, makes healthcare a prime target for financially motivated threat actors. These actors exploit the sector’s high-value data such as electronic health records and its limited tolerance for downtime, which often pressures organizations into paying ransoms to restore services swiftly.</w:t>
      </w:r>
    </w:p>
    <w:p w14:paraId="0E0BD3CB"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Empirical evidence underscores the growing severity of this threat. According to the World Economic Forum (2024), ransomware incidents in healthcare surged by 312% between 2020 and 2025, with 68% of these attacks disrupting clinical operations for over 72 hours. This escalation is attributed to the increasing sophistication of ransomware variants, which now employ multi-stage strategies that not only encrypt data but also exfiltrate it, threatening to leak sensitive patient information unless additional demands are met (Bhunia &amp; Gunter, 2021). High-profile cases, such as the 2023 ransomware attack on St. Margaret’s Hospital in the United States, which led to its permanent closure, and the breach at HCA Healthcare affecting 11 million patients, illustrate the </w:t>
      </w:r>
      <w:r w:rsidRPr="00526214">
        <w:rPr>
          <w:rFonts w:ascii="Times New Roman" w:hAnsi="Times New Roman" w:cs="Times New Roman"/>
          <w:sz w:val="24"/>
          <w:szCs w:val="24"/>
        </w:rPr>
        <w:lastRenderedPageBreak/>
        <w:t>profound consequences of these attacks (World Economic Forum, 2024). Such incidents extend beyond financial losses, compromising patient safety and eroding trust in healthcare systems, as argued by Argaw et al. (2019). These developments highlight the urgent need for robust cyber resilience strategies tailored to healthcare’s unique operational context.</w:t>
      </w:r>
    </w:p>
    <w:p w14:paraId="76C8C83E"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The literature also points to the adaptive nature of ransomware tactics as a key driver of its impact. Yeboah-Ofori et al. (2019) emphasize that attackers have shifted from opportunistic to targeted campaigns, capitalizing on healthcare’s perceived willingness to pay ransoms due to the life-critical nature of its services. This targeting is facilitated by the sector’s reliance on real-time data access, where even brief interruptions can have catastrophic consequences (Jalali &amp; Kaiser, 2018). As ransomware continues to evolve, incorporating techniques such as counter-incident response measures, the healthcare sector faces an existential challenge that demands a rethinking of traditional cybersecurity approaches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w:t>
      </w:r>
    </w:p>
    <w:p w14:paraId="0FB6E6E4"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Attack Vectors and Vulnerabilities in Healthcare CPS</w:t>
      </w:r>
    </w:p>
    <w:p w14:paraId="76C46FBF"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Ransomware attacks on healthcare CPS exploit a diverse array of entry points, each with distinct frequencies and impact severities, as synthesized from multiple studies. Coventry and Branley (2018) and Yeboah-Ofori et al. (2019) identify phishing emails as the most prevalent attack vector, accounting for 43% of incidents. These attacks leverage human factors such as staff susceptibility to social engineering to bypass technical controls, resulting in a high impact severity of 4.2 on a 5-point scale. Exploited Internet of Medical Things (IoMT) devices, including infusion pumps and ventilators, constitute 28% of attacks and carry the highest severity rating of 4.8, due to their direct influence on patient care and safety (Yeboah-Ofori et al., 2019). Third-party breaches, often involving vendors or partners with access to healthcare networks, represent 19% of incidents, with a severity of 3.9, reflecting the challenges of securing external dependencies (Jalali &amp; Kaiser, 2018).</w:t>
      </w:r>
    </w:p>
    <w:p w14:paraId="68FFF80E"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vulnerabilities enabling these attacks are deeply rooted in the structural and operational characteristics of healthcare CPS. Argaw et al. (2019) argue that the interconnected nature of these systems facilitates lateral movement once an attacker gains initial access, amplifying the scope and impact of an incident. For example, a compromised IoMT device can serve as a gateway to broader network infiltration, a risk exacerbated by inconsistent patch management practices. Many medical devices operate on outdated software that cannot be updated without disrupting clinical </w:t>
      </w:r>
      <w:r w:rsidRPr="00526214">
        <w:rPr>
          <w:rFonts w:ascii="Times New Roman" w:hAnsi="Times New Roman" w:cs="Times New Roman"/>
          <w:sz w:val="24"/>
          <w:szCs w:val="24"/>
        </w:rPr>
        <w:lastRenderedPageBreak/>
        <w:t>workflows, leaving them exposed to known exploits (Yeboah-Ofori et al., 2019). Additionally, Jalali and Kaiser (2018) highlight inadequate network segmentation between clinical and administrative systems as a critical weakness, allowing attackers to traverse freely across the network once a foothold is established.</w:t>
      </w:r>
    </w:p>
    <w:p w14:paraId="3EDC3316"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These vulnerabilities are compounded by the sector’s rapid adoption of digital technologies, which often outpaces the implementation of corresponding security measures. Bhunia and Gunter (2021) note that the integration of IoMT devices into healthcare CPS has introduced new attack surfaces that traditional cybersecurity frameworks struggle to address. The literature consistently emphasizes that mitigating these risks requires a holistic approach that integrates technical fortifications with operational resilience, a theme that recurs throughout this review.</w:t>
      </w:r>
    </w:p>
    <w:p w14:paraId="20A0B274" w14:textId="77777777" w:rsidR="007903D0" w:rsidRPr="00526214" w:rsidRDefault="007903D0" w:rsidP="00526214">
      <w:pPr>
        <w:spacing w:line="360" w:lineRule="auto"/>
        <w:jc w:val="both"/>
        <w:rPr>
          <w:rFonts w:ascii="Times New Roman" w:hAnsi="Times New Roman" w:cs="Times New Roman"/>
          <w:sz w:val="24"/>
          <w:szCs w:val="24"/>
        </w:rPr>
      </w:pPr>
    </w:p>
    <w:p w14:paraId="4FEACF5A"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Cyber Resilience Frameworks</w:t>
      </w:r>
    </w:p>
    <w:p w14:paraId="7E2186E9"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Foundational Models</w:t>
      </w:r>
    </w:p>
    <w:p w14:paraId="674182F7"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development of cyber resilience frameworks has been a cornerstone of efforts to bolster organizational defenses against cyber threats, including ransomware. One of the most widely adopted models is the NIST Cybersecurity Framework, which organizes cybersecurity activities into five core functions: Identify, Protect, Detect, Respond, and Recover (NIST, 2018). While this framework provides a robust foundation for managing cyber risks, its generic nature limits its applicability to healthcare CPS. Argaw et al. (2019) critique its lack of specificity regarding recovery time objectives (RTOs) for life-critical systems, where even short disruptions can lead to adverse patient outcomes. This gap underscores the need for frameworks that account for the time-sensitive nature of healthcare operations.</w:t>
      </w:r>
    </w:p>
    <w:p w14:paraId="574A3457"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Another significant contribution is the CPS Resilience Matrix proposed by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xml:space="preserve">, which assesses resilience across four dimensions: preparedness, absorption, adaptation, and recovery. This model offers a structured approach to evaluating CPS resilience, emphasizing the ability to withstand and recover from disruptions. However, its lack of healthcare-specific operational metrics limits its practical utility in clinical settings, where resilience must be measured in terms of patient care continuity rather than abstract system performance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xml:space="preserve">. Similarly, the Socio-Technical Resilience Model by Luna et al. (2016) integrates human factors such as staff </w:t>
      </w:r>
      <w:r w:rsidRPr="00526214">
        <w:rPr>
          <w:rFonts w:ascii="Times New Roman" w:hAnsi="Times New Roman" w:cs="Times New Roman"/>
          <w:sz w:val="24"/>
          <w:szCs w:val="24"/>
        </w:rPr>
        <w:lastRenderedPageBreak/>
        <w:t>training and organizational culture with technical controls, recognizing their interdependence in achieving resilience. Despite its theoretical promise, Luna et al. (2016) note that this model remains underutilized in ransomware response planning, as healthcare organizations often prioritize technical defenses over socio-technical strategies.</w:t>
      </w:r>
    </w:p>
    <w:p w14:paraId="54C6DC0C"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These foundational models provide valuable insights but reveal a common limitation: their broad applicability dilutes their effectiveness in addressing the unique challenges of healthcare CPS. The literature suggests that while these frameworks establish a baseline for resilience, they require adaptation to account for the sector’s specific risk profile and operational demands (Martin et al., 2017).</w:t>
      </w:r>
    </w:p>
    <w:p w14:paraId="6BF4AE85"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Healthcare-Specific Adaptations</w:t>
      </w:r>
    </w:p>
    <w:p w14:paraId="24D80F51"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Recognizing the shortcomings of general frameworks, researchers have proposed adaptations tailored to healthcare’s unique context. </w:t>
      </w:r>
      <w:r w:rsidRPr="00526214">
        <w:rPr>
          <w:rFonts w:ascii="Times New Roman" w:eastAsia="Times New Roman" w:hAnsi="Times New Roman" w:cs="Times New Roman"/>
          <w:sz w:val="24"/>
          <w:szCs w:val="24"/>
        </w:rPr>
        <w:t xml:space="preserve">Al-Qarni (2023) </w:t>
      </w:r>
      <w:r w:rsidRPr="00526214">
        <w:rPr>
          <w:rFonts w:ascii="Times New Roman" w:hAnsi="Times New Roman" w:cs="Times New Roman"/>
          <w:sz w:val="24"/>
          <w:szCs w:val="24"/>
        </w:rPr>
        <w:t>introduce the Clinical Workflow Resilience Index, a quantitative metric designed to measure resilience by balancing the maintenance of critical services with the protection of data assets. The index is expressed as:</w:t>
      </w:r>
    </w:p>
    <w:p w14:paraId="0FD05897" w14:textId="77777777" w:rsidR="007903D0" w:rsidRPr="00526214" w:rsidRDefault="00561E9A"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CW</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crit</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total</m:t>
                  </m:r>
                </m:sub>
              </m:sSub>
            </m:den>
          </m:f>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data</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total</m:t>
                  </m:r>
                </m:sub>
              </m:sSub>
            </m:den>
          </m:f>
          <m:r>
            <w:rPr>
              <w:rFonts w:ascii="Cambria Math" w:eastAsiaTheme="minorEastAsia" w:hAnsi="Cambria Math" w:cs="Times New Roman"/>
              <w:sz w:val="24"/>
              <w:szCs w:val="24"/>
            </w:rPr>
            <m:t>)</m:t>
          </m:r>
        </m:oMath>
      </m:oMathPara>
    </w:p>
    <w:p w14:paraId="46E35B3E"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crit</m:t>
            </m:r>
          </m:sub>
        </m:sSub>
      </m:oMath>
      <w:r w:rsidRPr="00526214">
        <w:rPr>
          <w:rFonts w:ascii="Times New Roman" w:hAnsi="Times New Roman" w:cs="Times New Roman"/>
          <w:sz w:val="24"/>
          <w:szCs w:val="24"/>
        </w:rPr>
        <w:t xml:space="preserve">represents the time-critical services maintained during an attack, and </w:t>
      </w:r>
    </w:p>
    <w:p w14:paraId="1B3030D1"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data</m:t>
            </m:r>
          </m:sub>
        </m:sSub>
      </m:oMath>
      <w:r w:rsidRPr="00526214">
        <w:rPr>
          <w:rFonts w:ascii="Times New Roman" w:hAnsi="Times New Roman" w:cs="Times New Roman"/>
          <w:sz w:val="24"/>
          <w:szCs w:val="24"/>
        </w:rPr>
        <w:t xml:space="preserve">denotes compromised data assets. </w:t>
      </w:r>
    </w:p>
    <w:p w14:paraId="22CD8CDB"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This model offers a practical tool for assessing resilience in clinical settings, yet it overlooks the cascading failures inherent in interconnected CPS, where the failure of one component can trigger widespread disruption (Yeboah-Ofori et al., 2019). Moreover, Jalali and Kaiser (2018) argue that its focus on static variables fails to capture the real-time dynamics of healthcare operations, limiting its predictive power.</w:t>
      </w:r>
    </w:p>
    <w:p w14:paraId="42A1799C"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Another notable adaptation is the Healthcare Cyber Resilience Framework by Martin et al. (2017), which advocates for a “security-by-design” approach. This framework emphasizes embedding resilience into systems from the outset, integrating cybersecurity considerations into clinical workflows. While conceptually sound, its implementation demands significant upfront investment, posing a barrier for resource-constrained healthcare organizations (Martin et al., 2017). Furthermore, the absence of clear, standardized metrics for measuring resilience undermines its </w:t>
      </w:r>
      <w:r w:rsidRPr="00526214">
        <w:rPr>
          <w:rFonts w:ascii="Times New Roman" w:hAnsi="Times New Roman" w:cs="Times New Roman"/>
          <w:sz w:val="24"/>
          <w:szCs w:val="24"/>
        </w:rPr>
        <w:lastRenderedPageBreak/>
        <w:t>practical application, leaving organizations without a consistent benchmark for progress (Coventry &amp; Branley, 2018).</w:t>
      </w:r>
    </w:p>
    <w:p w14:paraId="47C33D86"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These healthcare-specific adaptations represent a step forward in tailoring resilience strategies to the sector’s needs. However, their limitations such as incomplete consideration of system interdependencies and resource feasibility highlight the need for a more comprehensive and actionable framework, a gap this study aims to address.</w:t>
      </w:r>
    </w:p>
    <w:p w14:paraId="281C0E14" w14:textId="77777777" w:rsidR="007903D0" w:rsidRPr="00526214" w:rsidRDefault="007903D0" w:rsidP="00526214">
      <w:pPr>
        <w:spacing w:line="360" w:lineRule="auto"/>
        <w:jc w:val="both"/>
        <w:rPr>
          <w:rFonts w:ascii="Times New Roman" w:hAnsi="Times New Roman" w:cs="Times New Roman"/>
          <w:sz w:val="24"/>
          <w:szCs w:val="24"/>
        </w:rPr>
      </w:pPr>
    </w:p>
    <w:p w14:paraId="5754EB48"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Modeling Approaches for Healthcare CPS Resilience</w:t>
      </w:r>
    </w:p>
    <w:p w14:paraId="6FD31713"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Simulation-Based Models</w:t>
      </w:r>
    </w:p>
    <w:p w14:paraId="10291FA7"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Simulation-based modeling has emerged as a dominant methodology for studying resilience in healthcare CPS, offering a controlled environment to test various attack scenarios and their impacts. Discrete-event simulations (DES) are particularly prevalent, enabling researchers to model complex interactions within hospital systems. For instance,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xml:space="preserve"> developed the Hospital Resilience Simulator, which assesses patient throughput under ransomware-induced closures of emergency departments (ED) and intensive care units (ICU). Their findings reveal a critical trade-off: paying ransoms improves short-term patient throughput by 7% but increases long-term vulnerability by 23%, as it signals to attackers that the organization is a lucrative target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This insight underscores the ethical and strategic dilemmas healthcare leaders face, a recurring theme in the literature.</w:t>
      </w:r>
    </w:p>
    <w:p w14:paraId="14B004F0"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Despite their analytical power, simulation-based models have notable limitations.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xml:space="preserve"> argue that many simulations assume static attacker behavior, failing to reflect the adaptive tactics employed by real-world ransomware groups, such as adjusting strategies based on a target’s defenses. This assumption reduces the models’ realism, as attackers often deploy counter-incident response measures to thwart recovery efforts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Additionally, Luna et al. (2016) point out that these models frequently exclude psychosocial impacts on staff such as stress and decision-making challenges during an attack which significantly influence resilience outcomes. Incorporating these human factors remains a methodological challenge, given their qualitative nature and difficulty in quantification.</w:t>
      </w:r>
    </w:p>
    <w:p w14:paraId="3FBA38AA"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 current state of simulation-based modeling reflects significant advances in understanding resilience dynamics, yet it falls short of capturing the full complexity of ransomware threats in healthcare CPS. Bridging these gaps requires models that integrate dynamic threat profiles and socio-technical variables, an area ripe for further exploration.</w:t>
      </w:r>
    </w:p>
    <w:p w14:paraId="661CA48D"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Quantitative Metrics</w:t>
      </w:r>
    </w:p>
    <w:p w14:paraId="73E1AA68"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Quantitative metrics are essential for operationalizing resilience, yet the literature reveals a lack of consensus on their definition and application in healthcare CPS.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synthesize resilience metrics from 12 studies, categorizing them into technical, operational, and organizational types. Technical metrics, such as Mean Time to Decrypt (MTTD), focus on recovery speed but often fail to account for broader operational impacts, earning a validity score of 3.2 out of 5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Operational metrics, like the Patient Diversion Rate which measures the percentage of patients redirected during an attack align more closely with clinical outcomes, achieving a higher validity score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Organizational metrics, such as Security Training Compliance, are easier to measure but score lower at 2.8, as their correlation with resilience during an attack is tenuous (Luna et al., 2016).</w:t>
      </w:r>
    </w:p>
    <w:p w14:paraId="33535B48"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The absence of standardized metrics poses a significant barrier to comparing resilience across healthcare organizations and tracking improvements over time.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report that 78% of studies employ incompatible measurement scales, complicating efforts to synthesize findings or establish benchmarks. This fragmentation reflects a broader challenge in the field: balancing technical precision with clinical relevance. Advances in metric development, such as the Clinical Workflow Resilience Index, offer promising starting points, but their limitations such as neglecting system interdependencies suggest that a unified, holistic metric remains elusive (Jalali &amp; Kaiser, 2018).</w:t>
      </w:r>
    </w:p>
    <w:p w14:paraId="1FE1AA9B" w14:textId="77777777" w:rsidR="007903D0" w:rsidRPr="00526214" w:rsidRDefault="007903D0" w:rsidP="00526214">
      <w:pPr>
        <w:spacing w:line="360" w:lineRule="auto"/>
        <w:jc w:val="both"/>
        <w:rPr>
          <w:rFonts w:ascii="Times New Roman" w:hAnsi="Times New Roman" w:cs="Times New Roman"/>
          <w:sz w:val="24"/>
          <w:szCs w:val="24"/>
        </w:rPr>
      </w:pPr>
    </w:p>
    <w:p w14:paraId="2F5AC0CB"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Gaps and Emerging Solutions in Current Research</w:t>
      </w:r>
    </w:p>
    <w:p w14:paraId="47A30656" w14:textId="77777777" w:rsidR="007903D0" w:rsidRPr="00526214" w:rsidRDefault="00526214" w:rsidP="00526214">
      <w:pPr>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7903D0" w:rsidRPr="00526214">
        <w:rPr>
          <w:rFonts w:ascii="Times New Roman" w:hAnsi="Times New Roman" w:cs="Times New Roman"/>
          <w:b/>
          <w:sz w:val="24"/>
          <w:szCs w:val="24"/>
        </w:rPr>
        <w:t>heoretical and Methodological Gaps</w:t>
      </w:r>
    </w:p>
    <w:p w14:paraId="5436DBDF"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Theoretical limitations in current research hinder the development of effective resilience models for healthcare CPS. A primary concern is the prevalence of static threat assumptions, with </w:t>
      </w:r>
      <w:r w:rsidRPr="00526214">
        <w:rPr>
          <w:rFonts w:ascii="Times New Roman" w:eastAsia="Times New Roman" w:hAnsi="Times New Roman" w:cs="Times New Roman"/>
          <w:sz w:val="24"/>
          <w:szCs w:val="24"/>
        </w:rPr>
        <w:t xml:space="preserve">Hubbard </w:t>
      </w:r>
      <w:r w:rsidRPr="00526214">
        <w:rPr>
          <w:rFonts w:ascii="Times New Roman" w:eastAsia="Times New Roman" w:hAnsi="Times New Roman" w:cs="Times New Roman"/>
          <w:sz w:val="24"/>
          <w:szCs w:val="24"/>
        </w:rPr>
        <w:lastRenderedPageBreak/>
        <w:t>(2023)</w:t>
      </w:r>
      <w:r w:rsidRPr="00526214">
        <w:rPr>
          <w:rFonts w:ascii="Times New Roman" w:hAnsi="Times New Roman" w:cs="Times New Roman"/>
          <w:sz w:val="24"/>
          <w:szCs w:val="24"/>
        </w:rPr>
        <w:t xml:space="preserve"> noting that 89% of studies fail to account for the dynamic nature of ransomware tactics, techniques, and procedures (TTPs). Real-world attacks often involve adaptive behaviors, such as altering strategies in response to defensive measures, yet most models treat threats as fixed, reducing their practical relevance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Additionally, Luna et al. (2016) highlight a siloed perspective in resilience frameworks, with only 12% integrating technical, organizational, and human factors despite their interdependence. This fragmentation overlooks critical interactions, such as how staff training influences technical recovery, limiting the models’ comprehensiveness (Coventry &amp; Branley, 2018).</w:t>
      </w:r>
    </w:p>
    <w:p w14:paraId="579DD08E"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Methodologically, the field suffers from an overreliance on hypothetical scenarios, with 67% of studies using simulated data rather than real attack traces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While simulations provide theoretical insights, they often fail to capture the unpredictability and complexity of actual ransomware incidents, undermining their applicability (Yeboah-Ofori et al., 2019). Furthermore, Jalali and Kaiser (2018) critique the tendency to treat healthcare CPS as isolated components, ignoring the cascading failures that amplify attack impacts across interconnected systems. These methodological shortcomings highlight the need for more realistic and systemic approaches to resilience modeling.</w:t>
      </w:r>
    </w:p>
    <w:p w14:paraId="5C56A98E"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Practical Implementation Barriers</w:t>
      </w:r>
    </w:p>
    <w:p w14:paraId="03B3A1DA"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Practical barriers further complicate the adoption of resilience strategies in healthcare. Resource constraints are a significant impediment, particularly for rural hospitals, where 92% lack dedicated cybersecurity staff for resilience testing </w:t>
      </w:r>
      <w:r w:rsidRPr="00526214">
        <w:rPr>
          <w:rFonts w:ascii="Times New Roman" w:eastAsia="Times New Roman" w:hAnsi="Times New Roman" w:cs="Times New Roman"/>
          <w:sz w:val="24"/>
          <w:szCs w:val="24"/>
        </w:rPr>
        <w:t>(Healthcare &amp; Public Health Sector Coordinating Council, 2023)</w:t>
      </w:r>
      <w:r w:rsidRPr="00526214">
        <w:rPr>
          <w:rFonts w:ascii="Times New Roman" w:hAnsi="Times New Roman" w:cs="Times New Roman"/>
          <w:sz w:val="24"/>
          <w:szCs w:val="24"/>
        </w:rPr>
        <w:t>. This scarcity of expertise and funding limits the ability of smaller organizations to implement robust defenses, widening the resilience gap between large and small providers (Martin et al., 2017). Additionally, regulatory frameworks such as HIPAA prioritize data protection over service continuity, creating a misalignment with operational needs (Jalali &amp; Kaiser, 2018). This focus on compliance can divert resources from resilience measures that ensure system availability, a tension that remains unresolved in the literature (Argaw et al., 2019).</w:t>
      </w:r>
    </w:p>
    <w:p w14:paraId="1D54E5F0"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Emerging Solutions and Persistent Challenges</w:t>
      </w:r>
    </w:p>
    <w:p w14:paraId="5D05F570"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Despite these gaps, emerging solutions offer hope for enhancing healthcare CPS resilience. AI-driven attack prediction models, such as those using Long Short-Term Memory (LSTM) networks, have achieved 89% accuracy in detecting ransomware patterns before deployment, providing early </w:t>
      </w:r>
      <w:r w:rsidRPr="00526214">
        <w:rPr>
          <w:rFonts w:ascii="Times New Roman" w:hAnsi="Times New Roman" w:cs="Times New Roman"/>
          <w:sz w:val="24"/>
          <w:szCs w:val="24"/>
        </w:rPr>
        <w:lastRenderedPageBreak/>
        <w:t xml:space="preserve">warnings to bolster defenses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xml:space="preserve">. Blockchain-based recovery solutions also show promise, with immutable transaction logs reducing data manipulation risks by 41%, ensuring the integrity of backups during recovery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Additionally, Resilience-as-a-Service (RaaS) platforms enable smaller organizations to access enterprise-grade tools via cloud-based services, addressing resource constraints (Cohesity, 2023).</w:t>
      </w:r>
    </w:p>
    <w:p w14:paraId="48A5ADF1" w14:textId="77777777" w:rsidR="007903D0" w:rsidRPr="00526214" w:rsidRDefault="007903D0" w:rsidP="00526214">
      <w:pPr>
        <w:pStyle w:val="NoSpacing"/>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However, persistent challenges temper these advances. Ethical dilemmas remain a significant issue, with 58% of hospitals grappling with the decision to pay ransoms to restore services quickly, despite the long-term risk of encouraging future attacks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Moreover, the rise of adversarial AI—where attackers use generative techniques to evade detection poses a new threat to existing defenses, necessitating continuous innovation (Adesokan-Imran et al., (2025); Cohesity, 2023). These challenges underscore the dynamic nature of the ransomware landscape and the need for adaptive, integrated resilience strategies.</w:t>
      </w:r>
    </w:p>
    <w:p w14:paraId="170ED1BE"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Theoretical Synthesis and Future Directions</w:t>
      </w:r>
    </w:p>
    <w:p w14:paraId="2E911BAC"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This review synthesizes three foundational pillars for advancing healthcare CPS resilience. First, dynamic threat modeling is essential to reflect the evolving nature of ransomware, incorporating real-time adversarial adaptation mechanisms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xml:space="preserve"> Second, holistic metric development is critical, proposing a unified scale such as :</w:t>
      </w:r>
    </w:p>
    <w:p w14:paraId="0FDF716D" w14:textId="77777777" w:rsidR="007903D0" w:rsidRPr="00526214" w:rsidRDefault="00561E9A"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hcps</m:t>
              </m:r>
            </m:sub>
          </m:sSub>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tech</m:t>
              </m:r>
            </m:sub>
          </m:sSub>
          <m:r>
            <w:rPr>
              <w:rFonts w:ascii="Cambria Math" w:hAnsi="Cambria Math" w:cs="Times New Roman"/>
              <w:sz w:val="24"/>
              <w:szCs w:val="24"/>
            </w:rPr>
            <m:t>+β</m:t>
          </m:r>
          <m:sSub>
            <m:sSubPr>
              <m:ctrlPr>
                <w:rPr>
                  <w:rFonts w:ascii="Cambria Math" w:hAnsi="Cambria Math" w:cs="Times New Roman"/>
                  <w:sz w:val="24"/>
                  <w:szCs w:val="24"/>
                </w:rPr>
              </m:ctrlPr>
            </m:sSubPr>
            <m:e>
              <m:r>
                <w:rPr>
                  <w:rFonts w:ascii="Cambria Math" w:hAnsi="Cambria Math" w:cs="Times New Roman"/>
                  <w:sz w:val="24"/>
                  <w:szCs w:val="24"/>
                </w:rPr>
                <m:t>O</m:t>
              </m:r>
            </m:e>
            <m:sub>
              <m:r>
                <w:rPr>
                  <w:rFonts w:ascii="Cambria Math" w:hAnsi="Cambria Math" w:cs="Times New Roman"/>
                  <w:sz w:val="24"/>
                  <w:szCs w:val="24"/>
                </w:rPr>
                <m:t>org</m:t>
              </m:r>
            </m:sub>
          </m:sSub>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human</m:t>
              </m:r>
            </m:sub>
          </m:sSub>
        </m:oMath>
      </m:oMathPara>
    </w:p>
    <w:p w14:paraId="0A0F1135"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 weights (</w:t>
      </w:r>
      <m:oMath>
        <m:r>
          <w:rPr>
            <w:rFonts w:ascii="Cambria Math" w:hAnsi="Cambria Math" w:cs="Times New Roman"/>
            <w:sz w:val="24"/>
            <w:szCs w:val="24"/>
          </w:rPr>
          <m:t>α+β+γ=1)</m:t>
        </m:r>
      </m:oMath>
      <w:r w:rsidRPr="00526214">
        <w:rPr>
          <w:rFonts w:ascii="Times New Roman" w:hAnsi="Times New Roman" w:cs="Times New Roman"/>
          <w:sz w:val="24"/>
          <w:szCs w:val="24"/>
        </w:rPr>
        <w:t xml:space="preserve"> balance technical, organizational, and human contributions (Luna et al., 2016). Third, regulatory-technical alignment is necessary to harmonize compliance with operational continuity, potentially by mapping NIST controls to clinical priorities (Jalali &amp; Kaiser, 2018). These pillars provide a roadmap for addressing current gaps and guiding future research toward a more resilient healthcare ecosystem.</w:t>
      </w:r>
    </w:p>
    <w:p w14:paraId="7F13D0FA" w14:textId="77777777" w:rsidR="00DF73EA" w:rsidRPr="00526214" w:rsidRDefault="00DF73EA" w:rsidP="00526214">
      <w:pPr>
        <w:pStyle w:val="Heading1"/>
      </w:pPr>
      <w:r w:rsidRPr="00526214">
        <w:t>3. Methodology</w:t>
      </w:r>
    </w:p>
    <w:p w14:paraId="364505E6"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Research Design</w:t>
      </w:r>
    </w:p>
    <w:p w14:paraId="110024CB" w14:textId="77777777" w:rsidR="00DF73EA" w:rsidRPr="00526214" w:rsidRDefault="00526214" w:rsidP="00526214">
      <w:pPr>
        <w:spacing w:line="360" w:lineRule="auto"/>
        <w:jc w:val="both"/>
        <w:rPr>
          <w:rFonts w:ascii="Times New Roman" w:hAnsi="Times New Roman" w:cs="Times New Roman"/>
          <w:b/>
          <w:sz w:val="24"/>
          <w:szCs w:val="24"/>
        </w:rPr>
      </w:pPr>
      <w:r>
        <w:rPr>
          <w:rFonts w:ascii="Times New Roman" w:hAnsi="Times New Roman" w:cs="Times New Roman"/>
          <w:b/>
          <w:sz w:val="24"/>
          <w:szCs w:val="24"/>
        </w:rPr>
        <w:t>D</w:t>
      </w:r>
      <w:r w:rsidR="00DF73EA" w:rsidRPr="00526214">
        <w:rPr>
          <w:rFonts w:ascii="Times New Roman" w:hAnsi="Times New Roman" w:cs="Times New Roman"/>
          <w:b/>
          <w:sz w:val="24"/>
          <w:szCs w:val="24"/>
        </w:rPr>
        <w:t>ata Synthesis Approach</w:t>
      </w:r>
    </w:p>
    <w:p w14:paraId="4D904A3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This study adopts a systematic literature review (SLR) paired with meta-analysis to extract and analyze data from prior studies on healthcare CPS resilience and ransomware impacts </w:t>
      </w:r>
      <w:r w:rsidRPr="00526214">
        <w:rPr>
          <w:rFonts w:ascii="Times New Roman" w:hAnsi="Times New Roman" w:cs="Times New Roman"/>
          <w:sz w:val="24"/>
          <w:szCs w:val="24"/>
        </w:rPr>
        <w:lastRenderedPageBreak/>
        <w:t>(Kitchenham &amp; Charters, 2007) as shown in Figure 1. The approach is structured in three key phases. First, it involves modeling CPS risk by quantifying system vulnerabilities and potential impacts using established frameworks. Second, it focuses on measuring resilience by aggregating relevant resilience metrics identified in existing literature. Finally, the findings from these phases are synthesized to develop a comprehensive Cyber-Physical Systems Risk Perspective model that captures both risk and resilience dimensions in healthcare CPS environments.</w:t>
      </w:r>
    </w:p>
    <w:p w14:paraId="337C5BAD" w14:textId="77777777" w:rsidR="00DF73EA" w:rsidRPr="00526214" w:rsidRDefault="00DF73EA" w:rsidP="00526214">
      <w:pPr>
        <w:pStyle w:val="ListParagraph"/>
        <w:shd w:val="clear" w:color="auto" w:fill="F2F2F2" w:themeFill="background1" w:themeFillShade="F2"/>
        <w:spacing w:line="360" w:lineRule="auto"/>
        <w:ind w:left="0"/>
        <w:jc w:val="both"/>
        <w:rPr>
          <w:rFonts w:ascii="Times New Roman" w:hAnsi="Times New Roman" w:cs="Times New Roman"/>
          <w:b/>
          <w:sz w:val="24"/>
          <w:szCs w:val="24"/>
        </w:rPr>
      </w:pPr>
      <w:r w:rsidRPr="00526214">
        <w:rPr>
          <w:rFonts w:ascii="Times New Roman" w:hAnsi="Times New Roman" w:cs="Times New Roman"/>
          <w:b/>
          <w:sz w:val="24"/>
          <w:szCs w:val="24"/>
        </w:rPr>
        <w:t>Phases:</w:t>
      </w:r>
    </w:p>
    <w:p w14:paraId="44D5D610" w14:textId="77777777" w:rsidR="00DF73EA" w:rsidRPr="00526214" w:rsidRDefault="00526214" w:rsidP="00526214">
      <w:pPr>
        <w:pStyle w:val="ListParagraph"/>
        <w:shd w:val="clear" w:color="auto" w:fill="F2F2F2" w:themeFill="background1" w:themeFillShade="F2"/>
        <w:spacing w:line="360" w:lineRule="auto"/>
        <w:ind w:left="0"/>
        <w:jc w:val="center"/>
        <w:rPr>
          <w:rFonts w:ascii="Times New Roman" w:hAnsi="Times New Roman" w:cs="Times New Roman"/>
          <w:b/>
          <w:sz w:val="28"/>
          <w:szCs w:val="24"/>
        </w:rPr>
      </w:pPr>
      <w:r w:rsidRPr="00526214">
        <w:rPr>
          <w:rFonts w:ascii="Times New Roman" w:hAnsi="Times New Roman" w:cs="Times New Roman"/>
          <w:b/>
          <w:noProof/>
          <w:sz w:val="28"/>
          <w:szCs w:val="24"/>
        </w:rPr>
        <mc:AlternateContent>
          <mc:Choice Requires="wps">
            <w:drawing>
              <wp:anchor distT="0" distB="0" distL="114300" distR="114300" simplePos="0" relativeHeight="251659264" behindDoc="0" locked="0" layoutInCell="1" allowOverlap="1" wp14:anchorId="57490BFD" wp14:editId="285DC5D3">
                <wp:simplePos x="0" y="0"/>
                <wp:positionH relativeFrom="column">
                  <wp:posOffset>1983884</wp:posOffset>
                </wp:positionH>
                <wp:positionV relativeFrom="paragraph">
                  <wp:posOffset>112395</wp:posOffset>
                </wp:positionV>
                <wp:extent cx="299720" cy="45085"/>
                <wp:effectExtent l="0" t="19050" r="43180" b="31115"/>
                <wp:wrapNone/>
                <wp:docPr id="1" name="Arrow: Right 1"/>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728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56.2pt;margin-top:8.85pt;width:23.6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" adj="19975" fillcolor="black [3200]" strokecolor="black [1600]" strokeweight="1pt"/>
            </w:pict>
          </mc:Fallback>
        </mc:AlternateContent>
      </w:r>
      <w:r w:rsidRPr="00526214">
        <w:rPr>
          <w:rFonts w:ascii="Times New Roman" w:hAnsi="Times New Roman" w:cs="Times New Roman"/>
          <w:b/>
          <w:noProof/>
          <w:sz w:val="28"/>
          <w:szCs w:val="24"/>
        </w:rPr>
        <mc:AlternateContent>
          <mc:Choice Requires="wps">
            <w:drawing>
              <wp:anchor distT="0" distB="0" distL="114300" distR="114300" simplePos="0" relativeHeight="251660288" behindDoc="0" locked="0" layoutInCell="1" allowOverlap="1" wp14:anchorId="307AEC1F" wp14:editId="76C12B23">
                <wp:simplePos x="0" y="0"/>
                <wp:positionH relativeFrom="column">
                  <wp:posOffset>3873799</wp:posOffset>
                </wp:positionH>
                <wp:positionV relativeFrom="paragraph">
                  <wp:posOffset>104619</wp:posOffset>
                </wp:positionV>
                <wp:extent cx="299720" cy="45085"/>
                <wp:effectExtent l="0" t="19050" r="43180" b="31115"/>
                <wp:wrapNone/>
                <wp:docPr id="3" name="Arrow: Right 3"/>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134D7" id="Arrow: Right 3" o:spid="_x0000_s1026" type="#_x0000_t13" style="position:absolute;margin-left:305pt;margin-top:8.25pt;width:23.6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" adj="19975" fillcolor="black [3200]" strokecolor="black [1600]" strokeweight="1pt"/>
            </w:pict>
          </mc:Fallback>
        </mc:AlternateContent>
      </w:r>
      <w:r w:rsidRPr="00526214">
        <w:rPr>
          <w:rFonts w:ascii="Times New Roman" w:hAnsi="Times New Roman" w:cs="Times New Roman"/>
          <w:b/>
          <w:noProof/>
          <w:sz w:val="28"/>
          <w:szCs w:val="24"/>
        </w:rPr>
        <mc:AlternateContent>
          <mc:Choice Requires="wps">
            <w:drawing>
              <wp:anchor distT="0" distB="0" distL="114300" distR="114300" simplePos="0" relativeHeight="251661312" behindDoc="0" locked="0" layoutInCell="1" allowOverlap="1" wp14:anchorId="6BA0E1A9" wp14:editId="15FE0BA8">
                <wp:simplePos x="0" y="0"/>
                <wp:positionH relativeFrom="margin">
                  <wp:align>right</wp:align>
                </wp:positionH>
                <wp:positionV relativeFrom="paragraph">
                  <wp:posOffset>94196</wp:posOffset>
                </wp:positionV>
                <wp:extent cx="299720" cy="45085"/>
                <wp:effectExtent l="0" t="19050" r="43180" b="31115"/>
                <wp:wrapNone/>
                <wp:docPr id="4" name="Arrow: Right 4"/>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06A0" id="Arrow: Right 4" o:spid="_x0000_s1026" type="#_x0000_t13" style="position:absolute;margin-left:-27.6pt;margin-top:7.4pt;width:23.6pt;height:3.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" adj="19975" fillcolor="black [3200]" strokecolor="black [1600]" strokeweight="1pt">
                <w10:wrap anchorx="margin"/>
              </v:shape>
            </w:pict>
          </mc:Fallback>
        </mc:AlternateContent>
      </w:r>
      <w:r w:rsidR="00DF73EA" w:rsidRPr="00526214">
        <w:rPr>
          <w:rFonts w:ascii="Times New Roman" w:hAnsi="Times New Roman" w:cs="Times New Roman"/>
          <w:b/>
          <w:sz w:val="28"/>
          <w:szCs w:val="24"/>
        </w:rPr>
        <w:t xml:space="preserve">[Literature Search]   </w:t>
      </w:r>
      <w:r>
        <w:rPr>
          <w:rFonts w:ascii="Times New Roman" w:hAnsi="Times New Roman" w:cs="Times New Roman"/>
          <w:b/>
          <w:sz w:val="28"/>
          <w:szCs w:val="24"/>
        </w:rPr>
        <w:t xml:space="preserve">    </w:t>
      </w:r>
      <w:r w:rsidR="00DF73EA" w:rsidRPr="00526214">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DF73EA" w:rsidRPr="00526214">
        <w:rPr>
          <w:rFonts w:ascii="Times New Roman" w:hAnsi="Times New Roman" w:cs="Times New Roman"/>
          <w:b/>
          <w:sz w:val="28"/>
          <w:szCs w:val="24"/>
        </w:rPr>
        <w:t xml:space="preserve">[Data Extraction]  </w:t>
      </w:r>
      <w:r>
        <w:rPr>
          <w:rFonts w:ascii="Times New Roman" w:hAnsi="Times New Roman" w:cs="Times New Roman"/>
          <w:b/>
          <w:sz w:val="28"/>
          <w:szCs w:val="24"/>
        </w:rPr>
        <w:t xml:space="preserve">        </w:t>
      </w:r>
      <w:r w:rsidR="00DF73EA" w:rsidRPr="00526214">
        <w:rPr>
          <w:rFonts w:ascii="Times New Roman" w:hAnsi="Times New Roman" w:cs="Times New Roman"/>
          <w:b/>
          <w:sz w:val="28"/>
          <w:szCs w:val="24"/>
        </w:rPr>
        <w:t xml:space="preserve">  [Risk Modeling]</w:t>
      </w:r>
    </w:p>
    <w:p w14:paraId="5A81F1F6" w14:textId="77777777" w:rsidR="00DF73EA" w:rsidRPr="00526214" w:rsidRDefault="00DF73EA" w:rsidP="00526214">
      <w:pPr>
        <w:pStyle w:val="ListParagraph"/>
        <w:shd w:val="clear" w:color="auto" w:fill="F2F2F2" w:themeFill="background1" w:themeFillShade="F2"/>
        <w:spacing w:line="360" w:lineRule="auto"/>
        <w:ind w:left="0"/>
        <w:jc w:val="center"/>
        <w:rPr>
          <w:rFonts w:ascii="Times New Roman" w:hAnsi="Times New Roman" w:cs="Times New Roman"/>
          <w:b/>
          <w:sz w:val="28"/>
          <w:szCs w:val="24"/>
        </w:rPr>
      </w:pPr>
      <w:r w:rsidRPr="00526214">
        <w:rPr>
          <w:rFonts w:ascii="Times New Roman" w:hAnsi="Times New Roman" w:cs="Times New Roman"/>
          <w:b/>
          <w:noProof/>
          <w:sz w:val="28"/>
          <w:szCs w:val="24"/>
        </w:rPr>
        <mc:AlternateContent>
          <mc:Choice Requires="wps">
            <w:drawing>
              <wp:anchor distT="0" distB="0" distL="114300" distR="114300" simplePos="0" relativeHeight="251662336" behindDoc="0" locked="0" layoutInCell="1" allowOverlap="1" wp14:anchorId="4E11D7DD" wp14:editId="1D931D18">
                <wp:simplePos x="0" y="0"/>
                <wp:positionH relativeFrom="column">
                  <wp:posOffset>2670415</wp:posOffset>
                </wp:positionH>
                <wp:positionV relativeFrom="paragraph">
                  <wp:posOffset>113030</wp:posOffset>
                </wp:positionV>
                <wp:extent cx="299720" cy="45085"/>
                <wp:effectExtent l="0" t="19050" r="43180" b="31115"/>
                <wp:wrapNone/>
                <wp:docPr id="5" name="Arrow: Right 5"/>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7FEF" id="Arrow: Right 5" o:spid="_x0000_s1026" type="#_x0000_t13" style="position:absolute;margin-left:210.25pt;margin-top:8.9pt;width:23.6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" adj="19975" fillcolor="black [3200]" strokecolor="black [1600]" strokeweight="1pt"/>
            </w:pict>
          </mc:Fallback>
        </mc:AlternateContent>
      </w:r>
      <w:r w:rsidRPr="00526214">
        <w:rPr>
          <w:rFonts w:ascii="Times New Roman" w:hAnsi="Times New Roman" w:cs="Times New Roman"/>
          <w:b/>
          <w:sz w:val="28"/>
          <w:szCs w:val="24"/>
        </w:rPr>
        <w:t>[Resilience Analysis]</w:t>
      </w:r>
      <w:r w:rsidR="00526214">
        <w:rPr>
          <w:rFonts w:ascii="Times New Roman" w:hAnsi="Times New Roman" w:cs="Times New Roman"/>
          <w:b/>
          <w:sz w:val="28"/>
          <w:szCs w:val="24"/>
        </w:rPr>
        <w:t xml:space="preserve">          </w:t>
      </w:r>
      <w:r w:rsidRPr="00526214">
        <w:rPr>
          <w:rFonts w:ascii="Times New Roman" w:hAnsi="Times New Roman" w:cs="Times New Roman"/>
          <w:b/>
          <w:sz w:val="28"/>
          <w:szCs w:val="24"/>
        </w:rPr>
        <w:t xml:space="preserve">    [Framework Synthesis]</w:t>
      </w:r>
    </w:p>
    <w:p w14:paraId="462C5584"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 Justification of Design</w:t>
      </w:r>
    </w:p>
    <w:p w14:paraId="2DD9790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study relies on data availability from accessible sources such as IEEE Xplore and PubMed. It maintains a strong focus on cyber-physical systems (CPS), emphasizing the critical interdependencies within healthcare environments, as highlighted by Macal and North (2009). Additionally, the research adopts a risk perspective that aligns with its objective to integrate both cyber and physical risk factors, drawing on frameworks such as those proposed by Yeboah-Ofori et al. (2019).</w:t>
      </w:r>
    </w:p>
    <w:p w14:paraId="0B05C83C"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Data Sources</w:t>
      </w:r>
    </w:p>
    <w:p w14:paraId="77DF5779"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1</w:t>
      </w:r>
    </w:p>
    <w:p w14:paraId="4E2BA734"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Secondary Data Sources Aligned with Research Objectives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DF73EA" w:rsidRPr="00526214" w14:paraId="73CFFDEB" w14:textId="77777777" w:rsidTr="003A7E2D">
        <w:trPr>
          <w:trHeight w:val="394"/>
        </w:trPr>
        <w:tc>
          <w:tcPr>
            <w:tcW w:w="4729" w:type="dxa"/>
            <w:tcBorders>
              <w:top w:val="single" w:sz="4" w:space="0" w:color="auto"/>
              <w:bottom w:val="single" w:sz="4" w:space="0" w:color="auto"/>
            </w:tcBorders>
          </w:tcPr>
          <w:p w14:paraId="7BBA659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Source Type</w:t>
            </w:r>
          </w:p>
        </w:tc>
        <w:tc>
          <w:tcPr>
            <w:tcW w:w="4731" w:type="dxa"/>
            <w:tcBorders>
              <w:top w:val="single" w:sz="4" w:space="0" w:color="auto"/>
              <w:bottom w:val="single" w:sz="4" w:space="0" w:color="auto"/>
            </w:tcBorders>
          </w:tcPr>
          <w:p w14:paraId="38D8E4D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Examples</w:t>
            </w:r>
          </w:p>
        </w:tc>
      </w:tr>
      <w:tr w:rsidR="00DF73EA" w:rsidRPr="00526214" w14:paraId="02C1C9F5" w14:textId="77777777" w:rsidTr="003A7E2D">
        <w:trPr>
          <w:trHeight w:val="803"/>
        </w:trPr>
        <w:tc>
          <w:tcPr>
            <w:tcW w:w="4729" w:type="dxa"/>
            <w:tcBorders>
              <w:top w:val="single" w:sz="4" w:space="0" w:color="auto"/>
            </w:tcBorders>
          </w:tcPr>
          <w:p w14:paraId="0D4D1D34"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Academic Journals</w:t>
            </w:r>
          </w:p>
        </w:tc>
        <w:tc>
          <w:tcPr>
            <w:tcW w:w="4731" w:type="dxa"/>
            <w:tcBorders>
              <w:top w:val="single" w:sz="4" w:space="0" w:color="auto"/>
            </w:tcBorders>
          </w:tcPr>
          <w:p w14:paraId="62661F0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IEEE Transactions, Journal of Medical Systems</w:t>
            </w:r>
          </w:p>
        </w:tc>
      </w:tr>
      <w:tr w:rsidR="00DF73EA" w:rsidRPr="00526214" w14:paraId="1BE1140C" w14:textId="77777777" w:rsidTr="003A7E2D">
        <w:trPr>
          <w:trHeight w:val="803"/>
        </w:trPr>
        <w:tc>
          <w:tcPr>
            <w:tcW w:w="4729" w:type="dxa"/>
          </w:tcPr>
          <w:p w14:paraId="5F6D7120"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Government Reports</w:t>
            </w:r>
          </w:p>
        </w:tc>
        <w:tc>
          <w:tcPr>
            <w:tcW w:w="4731" w:type="dxa"/>
          </w:tcPr>
          <w:p w14:paraId="0499D084"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NIST SP 800-53, HHS Cybersecurity Reports</w:t>
            </w:r>
          </w:p>
        </w:tc>
      </w:tr>
      <w:tr w:rsidR="00DF73EA" w:rsidRPr="00526214" w14:paraId="41726C11" w14:textId="77777777" w:rsidTr="003A7E2D">
        <w:trPr>
          <w:trHeight w:val="803"/>
        </w:trPr>
        <w:tc>
          <w:tcPr>
            <w:tcW w:w="4729" w:type="dxa"/>
            <w:tcBorders>
              <w:bottom w:val="single" w:sz="4" w:space="0" w:color="auto"/>
            </w:tcBorders>
          </w:tcPr>
          <w:p w14:paraId="24CADDC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Industry Frameworks</w:t>
            </w:r>
          </w:p>
        </w:tc>
        <w:tc>
          <w:tcPr>
            <w:tcW w:w="4731" w:type="dxa"/>
            <w:tcBorders>
              <w:bottom w:val="single" w:sz="4" w:space="0" w:color="auto"/>
            </w:tcBorders>
          </w:tcPr>
          <w:p w14:paraId="15AA4DA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MITRE ATT&amp;CK® for ICS, ENISA Threat Landscape</w:t>
            </w:r>
          </w:p>
        </w:tc>
      </w:tr>
    </w:tbl>
    <w:p w14:paraId="5DA8A4E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Extraction Strategy</w:t>
      </w:r>
    </w:p>
    <w:p w14:paraId="29CC601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 study employs a mixed-method approach that includes both quantitative and qualitative components. Quantitatively, it utilizes metrics such as Mean Time to Detect (MTTD) and Recovery Time Objectives (RTO) to assess system performance and resilience. Qualitatively, it analyzes themes derived from case studies and documented resilience strategies to provide contextual understanding and support the interpretation of quantitative findings.</w:t>
      </w:r>
    </w:p>
    <w:p w14:paraId="208ED7C1"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Inclusion and Exclusion Criteria</w:t>
      </w:r>
    </w:p>
    <w:p w14:paraId="22F7BD97"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sz w:val="24"/>
          <w:szCs w:val="24"/>
        </w:rPr>
        <w:t>The study includes peer-reviewed research published between 2015 and 2023 that focuses on healthcare cyber-physical systems (CPS), ransomware, and resilience. It excludes non-empirical works, non-English publications, and studies that do not specifically address CPS. The systematic literature review (SLR) follows the PRISMA 2020 guidelines (Page et al., 2021), with an initial screening of 1,500 records resulting in the selection of 50 relevant studies, as illustrated in Figure 1.</w:t>
      </w:r>
    </w:p>
    <w:p w14:paraId="1530FF5B"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1 </w:t>
      </w:r>
    </w:p>
    <w:p w14:paraId="13C11410"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PRISMA Flowchart</w:t>
      </w:r>
    </w:p>
    <w:p w14:paraId="712B60A8"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2FCFD319" wp14:editId="52E23475">
            <wp:extent cx="5011387" cy="3674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PRISMA Flowch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2816" cy="3682840"/>
                    </a:xfrm>
                    <a:prstGeom prst="rect">
                      <a:avLst/>
                    </a:prstGeom>
                  </pic:spPr>
                </pic:pic>
              </a:graphicData>
            </a:graphic>
          </wp:inline>
        </w:drawing>
      </w:r>
    </w:p>
    <w:p w14:paraId="28280BBD"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Modeling Cyber-Physical Systems Risk</w:t>
      </w:r>
    </w:p>
    <w:p w14:paraId="23570B22" w14:textId="77777777" w:rsidR="00DF73EA" w:rsidRPr="00526214" w:rsidRDefault="00526214" w:rsidP="0052621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DF73EA" w:rsidRPr="00526214">
        <w:rPr>
          <w:rFonts w:ascii="Times New Roman" w:hAnsi="Times New Roman" w:cs="Times New Roman"/>
          <w:b/>
          <w:sz w:val="24"/>
          <w:szCs w:val="24"/>
        </w:rPr>
        <w:t>PS Risk Assessment Framework</w:t>
      </w:r>
    </w:p>
    <w:p w14:paraId="5D52D70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study adapts the Cyber-Physical Risk Assessment (CPRA) framework developed by Yeboah-Ofori et al. (2019) to quantify risks that are specific to healthcare cyber-physical systems (CPS). Within this framework, cyber risks are characterized by threats such as network breaches and the propagation of ransomware, while physical risks encompass issues like medical device failures and their potential impacts on patient safety.</w:t>
      </w:r>
    </w:p>
    <w:p w14:paraId="4E10839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Equation 1: CPS Risk Score</w:t>
      </w:r>
    </w:p>
    <w:p w14:paraId="6A95BD81" w14:textId="77777777" w:rsidR="00DF73EA" w:rsidRPr="00526214" w:rsidRDefault="00561E9A"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m:oMathPara>
    </w:p>
    <w:p w14:paraId="0D93E2CC" w14:textId="77777777" w:rsidR="00DF73EA" w:rsidRPr="00526214" w:rsidRDefault="00DF73EA" w:rsidP="00526214">
      <w:pPr>
        <w:spacing w:line="360" w:lineRule="auto"/>
        <w:jc w:val="both"/>
        <w:rPr>
          <w:rFonts w:ascii="Times New Roman" w:hAnsi="Times New Roman" w:cs="Times New Roman"/>
          <w:sz w:val="24"/>
          <w:szCs w:val="24"/>
        </w:rPr>
      </w:pPr>
    </w:p>
    <w:p w14:paraId="7D7052E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r w:rsidRPr="00526214">
        <w:rPr>
          <w:rFonts w:ascii="Times New Roman" w:hAnsi="Times New Roman" w:cs="Times New Roman"/>
          <w:sz w:val="24"/>
          <w:szCs w:val="24"/>
        </w:rPr>
        <w:tab/>
      </w:r>
    </w:p>
    <w:p w14:paraId="592A050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Vulnerability severity (0–10, CVSS-based) </w:t>
      </w:r>
    </w:p>
    <w:p w14:paraId="3C0F703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Exploitability probability (0–1) </w:t>
      </w:r>
    </w:p>
    <w:p w14:paraId="3750372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Physical impact score (e.g., service downtime, patient harm)</w:t>
      </w:r>
    </w:p>
    <w:p w14:paraId="1B5FEEB1"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Note. Source: Adapted from FIRST (2023) CVSS v3.1</w:t>
      </w:r>
    </w:p>
    <w:p w14:paraId="4A54BFE3"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Simulation Synthesis</w:t>
      </w:r>
    </w:p>
    <w:p w14:paraId="442121CD" w14:textId="5BA4F73B" w:rsidR="00B800D5" w:rsidRPr="00B800D5" w:rsidRDefault="00DF73EA" w:rsidP="00B800D5">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Figure 2 illustrates the interaction between IT systems, medical devices, and clinical workflows within healthcare CPS. To model these dynamics, the study synthesizes findings from existing simulation research. Discrete-Event Simulation (DES) is used to simulate workflow disruptions caused by ransomware attacks, as demonstrated by Muthuppalaniappan and Stevenson (2020). In parallel, Agent-Based Modeling (ABM) captures the complex interactions between attackers and defenders, drawing on the approach outlined by Macal and North (2009).</w:t>
      </w:r>
      <w:r w:rsidR="00B800D5">
        <w:rPr>
          <w:rFonts w:ascii="Times New Roman" w:hAnsi="Times New Roman" w:cs="Times New Roman"/>
          <w:sz w:val="24"/>
          <w:szCs w:val="24"/>
        </w:rPr>
        <w:t xml:space="preserve">  </w:t>
      </w:r>
      <w:r w:rsidR="00B800D5" w:rsidRPr="00B800D5">
        <w:rPr>
          <w:rFonts w:ascii="Times New Roman" w:eastAsia="Times New Roman" w:hAnsi="Times New Roman" w:cs="Times New Roman"/>
          <w:sz w:val="24"/>
          <w:szCs w:val="24"/>
        </w:rPr>
        <w:t xml:space="preserve">The study employed a hybrid simulation approach combining </w:t>
      </w:r>
      <w:r w:rsidR="00B800D5" w:rsidRPr="00B800D5">
        <w:rPr>
          <w:rFonts w:ascii="Times New Roman" w:eastAsia="Times New Roman" w:hAnsi="Times New Roman" w:cs="Times New Roman"/>
          <w:bCs/>
          <w:sz w:val="24"/>
          <w:szCs w:val="24"/>
        </w:rPr>
        <w:t>Discrete-Event Simulation (DES)</w:t>
      </w:r>
      <w:r w:rsidR="00B800D5" w:rsidRPr="00B800D5">
        <w:rPr>
          <w:rFonts w:ascii="Times New Roman" w:eastAsia="Times New Roman" w:hAnsi="Times New Roman" w:cs="Times New Roman"/>
          <w:sz w:val="24"/>
          <w:szCs w:val="24"/>
        </w:rPr>
        <w:t xml:space="preserve"> and </w:t>
      </w:r>
      <w:r w:rsidR="00B800D5" w:rsidRPr="00B800D5">
        <w:rPr>
          <w:rFonts w:ascii="Times New Roman" w:eastAsia="Times New Roman" w:hAnsi="Times New Roman" w:cs="Times New Roman"/>
          <w:bCs/>
          <w:sz w:val="24"/>
          <w:szCs w:val="24"/>
        </w:rPr>
        <w:t>Agent-Based Modeling (ABM)</w:t>
      </w:r>
      <w:r w:rsidR="00B800D5" w:rsidRPr="00B800D5">
        <w:rPr>
          <w:rFonts w:ascii="Times New Roman" w:eastAsia="Times New Roman" w:hAnsi="Times New Roman" w:cs="Times New Roman"/>
          <w:sz w:val="24"/>
          <w:szCs w:val="24"/>
        </w:rPr>
        <w:t>. DES was used to model workflow disruptions in clinical settings, capturing the time-dependent behavior of system components such as emergency departments and intensive care units under attack. ABM was employed to simulate interactions between autonomous entities—</w:t>
      </w:r>
      <w:r w:rsidR="00B800D5" w:rsidRPr="00B800D5">
        <w:rPr>
          <w:rFonts w:ascii="Times New Roman" w:eastAsia="Times New Roman" w:hAnsi="Times New Roman" w:cs="Times New Roman"/>
          <w:sz w:val="24"/>
          <w:szCs w:val="24"/>
        </w:rPr>
        <w:lastRenderedPageBreak/>
        <w:t>attackers and defenders—within the network, capturing decision-making dynamics and system response heterogeneity.</w:t>
      </w:r>
    </w:p>
    <w:p w14:paraId="461A99E0" w14:textId="77777777" w:rsidR="00B800D5" w:rsidRPr="00B800D5" w:rsidRDefault="00B800D5" w:rsidP="00B800D5">
      <w:pPr>
        <w:spacing w:before="100" w:beforeAutospacing="1" w:after="100" w:afterAutospacing="1" w:line="360" w:lineRule="auto"/>
        <w:rPr>
          <w:rFonts w:ascii="Times New Roman" w:eastAsia="Times New Roman" w:hAnsi="Times New Roman" w:cs="Times New Roman"/>
          <w:sz w:val="24"/>
          <w:szCs w:val="24"/>
        </w:rPr>
      </w:pPr>
      <w:r w:rsidRPr="00B800D5">
        <w:rPr>
          <w:rFonts w:ascii="Times New Roman" w:eastAsia="Times New Roman" w:hAnsi="Times New Roman" w:cs="Times New Roman"/>
          <w:sz w:val="24"/>
          <w:szCs w:val="24"/>
        </w:rPr>
        <w:t xml:space="preserve">Assumptions regarding attacker behavior were based on historical ransomware campaigns and included fixed probabilities of lateral movement, infection speed, and response delay. While this modeling approach enables structured analysis, it assumes </w:t>
      </w:r>
      <w:r w:rsidRPr="00B800D5">
        <w:rPr>
          <w:rFonts w:ascii="Times New Roman" w:eastAsia="Times New Roman" w:hAnsi="Times New Roman" w:cs="Times New Roman"/>
          <w:bCs/>
          <w:sz w:val="24"/>
          <w:szCs w:val="24"/>
        </w:rPr>
        <w:t>static attacker behavior</w:t>
      </w:r>
      <w:r w:rsidRPr="00B800D5">
        <w:rPr>
          <w:rFonts w:ascii="Times New Roman" w:eastAsia="Times New Roman" w:hAnsi="Times New Roman" w:cs="Times New Roman"/>
          <w:sz w:val="24"/>
          <w:szCs w:val="24"/>
        </w:rPr>
        <w:t>, not accounting for adaptive tactics often observed in real-world attacks (e.g., adjusting strategies in response to system defenses or countermeasures). This limitation was necessary to maintain model tractability but is acknowledged as a key area for refinement in future studies.</w:t>
      </w:r>
    </w:p>
    <w:p w14:paraId="11065EE4" w14:textId="77777777" w:rsidR="00B800D5" w:rsidRPr="00526214" w:rsidRDefault="00B800D5" w:rsidP="00526214">
      <w:pPr>
        <w:spacing w:line="360" w:lineRule="auto"/>
        <w:jc w:val="both"/>
        <w:rPr>
          <w:rFonts w:ascii="Times New Roman" w:hAnsi="Times New Roman" w:cs="Times New Roman"/>
          <w:sz w:val="24"/>
          <w:szCs w:val="24"/>
        </w:rPr>
      </w:pPr>
    </w:p>
    <w:p w14:paraId="5DB4699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Equation 2: Disruption Propagation</w:t>
      </w:r>
    </w:p>
    <w:p w14:paraId="6D447E14" w14:textId="77777777" w:rsidR="00DF73EA" w:rsidRPr="00526214" w:rsidRDefault="00DF73EA"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=αI</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+βC(t) </m:t>
          </m:r>
        </m:oMath>
      </m:oMathPara>
    </w:p>
    <w:p w14:paraId="77A5C17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Where: </w:t>
      </w:r>
    </w:p>
    <w:p w14:paraId="2CFD054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r>
          <w:rPr>
            <w:rFonts w:ascii="Cambria Math" w:hAnsi="Cambria Math" w:cs="Times New Roman"/>
            <w:sz w:val="24"/>
            <w:szCs w:val="24"/>
          </w:rPr>
          <m:t xml:space="preserve"> D</m:t>
        </m:r>
        <m:d>
          <m:dPr>
            <m:ctrlPr>
              <w:rPr>
                <w:rFonts w:ascii="Cambria Math" w:hAnsi="Cambria Math" w:cs="Times New Roman"/>
                <w:i/>
                <w:sz w:val="24"/>
                <w:szCs w:val="24"/>
              </w:rPr>
            </m:ctrlPr>
          </m:dPr>
          <m:e>
            <m:r>
              <w:rPr>
                <w:rFonts w:ascii="Cambria Math" w:hAnsi="Cambria Math" w:cs="Times New Roman"/>
                <w:sz w:val="24"/>
                <w:szCs w:val="24"/>
              </w:rPr>
              <m:t>t</m:t>
            </m:r>
          </m:e>
        </m:d>
      </m:oMath>
      <w:r w:rsidRPr="00526214">
        <w:rPr>
          <w:rFonts w:ascii="Times New Roman" w:hAnsi="Times New Roman" w:cs="Times New Roman"/>
          <w:sz w:val="24"/>
          <w:szCs w:val="24"/>
        </w:rPr>
        <w:t xml:space="preserve">: Disruption level at time (t) </w:t>
      </w:r>
    </w:p>
    <w:p w14:paraId="01C003B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r>
          <w:rPr>
            <w:rFonts w:ascii="Cambria Math" w:hAnsi="Cambria Math" w:cs="Times New Roman"/>
            <w:sz w:val="24"/>
            <w:szCs w:val="24"/>
          </w:rPr>
          <m:t xml:space="preserve"> I</m:t>
        </m:r>
        <m:d>
          <m:dPr>
            <m:ctrlPr>
              <w:rPr>
                <w:rFonts w:ascii="Cambria Math" w:hAnsi="Cambria Math" w:cs="Times New Roman"/>
                <w:i/>
                <w:sz w:val="24"/>
                <w:szCs w:val="24"/>
              </w:rPr>
            </m:ctrlPr>
          </m:dPr>
          <m:e>
            <m:r>
              <w:rPr>
                <w:rFonts w:ascii="Cambria Math" w:hAnsi="Cambria Math" w:cs="Times New Roman"/>
                <w:sz w:val="24"/>
                <w:szCs w:val="24"/>
              </w:rPr>
              <m:t>t</m:t>
            </m:r>
          </m:e>
        </m:d>
      </m:oMath>
      <w:r w:rsidRPr="00526214">
        <w:rPr>
          <w:rFonts w:ascii="Times New Roman" w:hAnsi="Times New Roman" w:cs="Times New Roman"/>
          <w:sz w:val="24"/>
          <w:szCs w:val="24"/>
        </w:rPr>
        <w:t xml:space="preserve">: Infected nodes </w:t>
      </w:r>
    </w:p>
    <w:p w14:paraId="3E5AEFD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r>
          <w:rPr>
            <w:rFonts w:ascii="Cambria Math" w:hAnsi="Cambria Math" w:cs="Times New Roman"/>
            <w:sz w:val="24"/>
            <w:szCs w:val="24"/>
          </w:rPr>
          <m:t xml:space="preserve"> C(t)</m:t>
        </m:r>
      </m:oMath>
      <w:r w:rsidRPr="00526214">
        <w:rPr>
          <w:rFonts w:ascii="Times New Roman" w:hAnsi="Times New Roman" w:cs="Times New Roman"/>
          <w:sz w:val="24"/>
          <w:szCs w:val="24"/>
        </w:rPr>
        <w:t xml:space="preserve">: Critical service dependencies </w:t>
      </w:r>
    </w:p>
    <w:p w14:paraId="41B0416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r>
          <w:rPr>
            <w:rFonts w:ascii="Cambria Math" w:hAnsi="Cambria Math" w:cs="Times New Roman"/>
            <w:sz w:val="24"/>
            <w:szCs w:val="24"/>
          </w:rPr>
          <m:t>α, β</m:t>
        </m:r>
      </m:oMath>
      <w:r w:rsidRPr="00526214">
        <w:rPr>
          <w:rFonts w:ascii="Times New Roman" w:hAnsi="Times New Roman" w:cs="Times New Roman"/>
          <w:sz w:val="24"/>
          <w:szCs w:val="24"/>
        </w:rPr>
        <w:t xml:space="preserve"> : Weighting coefficients from meta-analysis</w:t>
      </w:r>
    </w:p>
    <w:p w14:paraId="21CA2101"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2 </w:t>
      </w:r>
    </w:p>
    <w:p w14:paraId="6260DE41"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CPS Interdependency Diagram</w:t>
      </w:r>
    </w:p>
    <w:p w14:paraId="393B5AF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noProof/>
          <w:sz w:val="24"/>
          <w:szCs w:val="24"/>
        </w:rPr>
        <w:lastRenderedPageBreak/>
        <w:drawing>
          <wp:inline distT="0" distB="0" distL="0" distR="0" wp14:anchorId="4B034631" wp14:editId="57A8AFE6">
            <wp:extent cx="4963886" cy="41037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 CPS Interdependency Diagr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4419" cy="4112463"/>
                    </a:xfrm>
                    <a:prstGeom prst="rect">
                      <a:avLst/>
                    </a:prstGeom>
                  </pic:spPr>
                </pic:pic>
              </a:graphicData>
            </a:graphic>
          </wp:inline>
        </w:drawing>
      </w:r>
    </w:p>
    <w:p w14:paraId="351DE9DC"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Performance Metrics for Resilience</w:t>
      </w:r>
    </w:p>
    <w:p w14:paraId="57A169D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Resilience Index Development</w:t>
      </w:r>
    </w:p>
    <w:p w14:paraId="66677EC1"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 composite Healthcare CPS Resilience Index (HCRI) is derived from literature:</w:t>
      </w:r>
    </w:p>
    <w:p w14:paraId="2B769DC9" w14:textId="77777777" w:rsidR="00DF73EA" w:rsidRPr="00526214" w:rsidRDefault="00DF73EA"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HCRI=0.35A+0.30R+0.25P+0.10Ad</m:t>
          </m:r>
        </m:oMath>
      </m:oMathPara>
    </w:p>
    <w:p w14:paraId="0090028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Where: </w:t>
      </w:r>
    </w:p>
    <w:p w14:paraId="2FBE056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(A): Absorption capacity (system uptime under attack) </w:t>
      </w:r>
    </w:p>
    <w:p w14:paraId="27E327A1"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(R): Recovery speed (normalized RTO) </w:t>
      </w:r>
    </w:p>
    <w:p w14:paraId="5074023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(P): Preparedness level (training, backups) </w:t>
      </w:r>
    </w:p>
    <w:p w14:paraId="0D8625C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(Ad): Adaptation (post-incident improvements)</w:t>
      </w:r>
    </w:p>
    <w:p w14:paraId="6E641603" w14:textId="77777777" w:rsidR="00B14FCD" w:rsidRPr="00526214" w:rsidRDefault="00B14FCD"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lastRenderedPageBreak/>
        <w:t xml:space="preserve">Weights from AHP analysis in Linkov et al. (2016). AHP (Analytic Hierarchy Process) relate to calculating consistency and priority vectors </w:t>
      </w:r>
      <w:r w:rsidRPr="00526214">
        <w:rPr>
          <w:rFonts w:ascii="Times New Roman" w:eastAsia="Times New Roman" w:hAnsi="Times New Roman" w:cs="Times New Roman"/>
          <w:sz w:val="24"/>
          <w:szCs w:val="24"/>
        </w:rPr>
        <w:t>(Taherdoost, 2020)</w:t>
      </w:r>
      <w:r w:rsidRPr="00526214">
        <w:rPr>
          <w:rFonts w:ascii="Times New Roman" w:hAnsi="Times New Roman" w:cs="Times New Roman"/>
          <w:sz w:val="24"/>
          <w:szCs w:val="24"/>
        </w:rPr>
        <w:t>. The consistency ratio (CR) is calculated as:</w:t>
      </w:r>
    </w:p>
    <w:p w14:paraId="10AD5F50" w14:textId="77777777" w:rsidR="00B14FCD" w:rsidRPr="00526214" w:rsidRDefault="00B14FCD" w:rsidP="00526214">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CR=</m:t>
          </m:r>
          <m:f>
            <m:fPr>
              <m:ctrlPr>
                <w:rPr>
                  <w:rFonts w:ascii="Cambria Math" w:hAnsi="Cambria Math" w:cs="Times New Roman"/>
                  <w:i/>
                  <w:sz w:val="24"/>
                  <w:szCs w:val="24"/>
                </w:rPr>
              </m:ctrlPr>
            </m:fPr>
            <m:num>
              <m:r>
                <w:rPr>
                  <w:rFonts w:ascii="Cambria Math" w:hAnsi="Cambria Math" w:cs="Times New Roman"/>
                  <w:sz w:val="24"/>
                  <w:szCs w:val="24"/>
                </w:rPr>
                <m:t>CI</m:t>
              </m:r>
            </m:num>
            <m:den>
              <m:r>
                <w:rPr>
                  <w:rFonts w:ascii="Cambria Math" w:hAnsi="Cambria Math" w:cs="Times New Roman"/>
                  <w:sz w:val="24"/>
                  <w:szCs w:val="24"/>
                </w:rPr>
                <m:t>RI</m:t>
              </m:r>
            </m:den>
          </m:f>
        </m:oMath>
      </m:oMathPara>
    </w:p>
    <w:p w14:paraId="662E3B07"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169B79E0"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CI= Consistency Index</w:t>
      </w:r>
    </w:p>
    <w:p w14:paraId="659F434A"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RI= Random Index</w:t>
      </w:r>
    </w:p>
    <w:p w14:paraId="29E56193"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Consistency Index (CI) is calculated as:</w:t>
      </w:r>
    </w:p>
    <w:p w14:paraId="5FDD0943" w14:textId="77777777" w:rsidR="00B14FCD" w:rsidRPr="00526214" w:rsidRDefault="00561E9A" w:rsidP="00526214">
      <w:pPr>
        <w:spacing w:line="360" w:lineRule="auto"/>
        <w:jc w:val="both"/>
        <w:rPr>
          <w:rFonts w:ascii="Times New Roman" w:hAnsi="Times New Roman" w:cs="Times New Roman"/>
          <w:sz w:val="24"/>
          <w:szCs w:val="24"/>
        </w:rPr>
      </w:pPr>
      <m:oMathPara>
        <m:oMath>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max</m:t>
                  </m:r>
                </m:sub>
              </m:sSub>
              <m:r>
                <w:rPr>
                  <w:rFonts w:ascii="Cambria Math" w:hAnsi="Cambria Math" w:cs="Times New Roman"/>
                  <w:sz w:val="24"/>
                  <w:szCs w:val="24"/>
                </w:rPr>
                <m:t>-n</m:t>
              </m:r>
            </m:num>
            <m:den>
              <m:r>
                <w:rPr>
                  <w:rFonts w:ascii="Cambria Math" w:hAnsi="Cambria Math" w:cs="Times New Roman"/>
                  <w:sz w:val="24"/>
                  <w:szCs w:val="24"/>
                </w:rPr>
                <m:t>(n-1)</m:t>
              </m:r>
            </m:den>
          </m:f>
        </m:oMath>
      </m:oMathPara>
    </w:p>
    <w:p w14:paraId="3DB92668"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0303402C" w14:textId="77777777" w:rsidR="00B14FCD" w:rsidRPr="00526214" w:rsidRDefault="00B14FCD" w:rsidP="00526214">
      <w:pPr>
        <w:spacing w:line="360" w:lineRule="auto"/>
        <w:jc w:val="both"/>
        <w:rPr>
          <w:rFonts w:ascii="Times New Roman" w:eastAsiaTheme="minorEastAsia"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max</m:t>
            </m:r>
          </m:sub>
        </m:sSub>
      </m:oMath>
      <w:r w:rsidRPr="00526214">
        <w:rPr>
          <w:rFonts w:ascii="Times New Roman" w:eastAsiaTheme="minorEastAsia" w:hAnsi="Times New Roman" w:cs="Times New Roman"/>
          <w:sz w:val="24"/>
          <w:szCs w:val="24"/>
        </w:rPr>
        <w:t xml:space="preserve"> = Maximum Eigenvalue of the pairwise comparison matrix</w:t>
      </w:r>
    </w:p>
    <w:p w14:paraId="2EC18A0A"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n = number of criteria</w:t>
      </w:r>
    </w:p>
    <w:p w14:paraId="51D961F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Key Metrics from Literature</w:t>
      </w:r>
    </w:p>
    <w:p w14:paraId="1B91659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Table 2 shows the Key Metrics synthesized from different Studies.</w:t>
      </w:r>
    </w:p>
    <w:p w14:paraId="33F3A95A"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Table 2 </w:t>
      </w:r>
    </w:p>
    <w:p w14:paraId="25B4A475" w14:textId="77777777" w:rsid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Resilience Metrics Synthesized from Studies</w:t>
      </w:r>
    </w:p>
    <w:p w14:paraId="1E15F047" w14:textId="77777777" w:rsidR="00526214" w:rsidRPr="00526214" w:rsidRDefault="00526214" w:rsidP="00526214">
      <w:pPr>
        <w:spacing w:line="360" w:lineRule="auto"/>
        <w:jc w:val="both"/>
        <w:rPr>
          <w:rFonts w:ascii="Times New Roman" w:hAnsi="Times New Roman" w:cs="Times New Roman"/>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26"/>
        <w:gridCol w:w="3120"/>
      </w:tblGrid>
      <w:tr w:rsidR="00DF73EA" w:rsidRPr="00526214" w14:paraId="247BAFA8" w14:textId="77777777" w:rsidTr="003A7E2D">
        <w:tc>
          <w:tcPr>
            <w:tcW w:w="3176" w:type="dxa"/>
            <w:tcBorders>
              <w:top w:val="single" w:sz="4" w:space="0" w:color="auto"/>
              <w:bottom w:val="single" w:sz="4" w:space="0" w:color="auto"/>
            </w:tcBorders>
          </w:tcPr>
          <w:p w14:paraId="4AAF8A1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Metric</w:t>
            </w:r>
          </w:p>
        </w:tc>
        <w:tc>
          <w:tcPr>
            <w:tcW w:w="3177" w:type="dxa"/>
            <w:tcBorders>
              <w:top w:val="single" w:sz="4" w:space="0" w:color="auto"/>
              <w:bottom w:val="single" w:sz="4" w:space="0" w:color="auto"/>
            </w:tcBorders>
          </w:tcPr>
          <w:p w14:paraId="4B526ED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Definition</w:t>
            </w:r>
          </w:p>
        </w:tc>
        <w:tc>
          <w:tcPr>
            <w:tcW w:w="3177" w:type="dxa"/>
            <w:tcBorders>
              <w:top w:val="single" w:sz="4" w:space="0" w:color="auto"/>
              <w:bottom w:val="single" w:sz="4" w:space="0" w:color="auto"/>
            </w:tcBorders>
          </w:tcPr>
          <w:p w14:paraId="34726AE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Source</w:t>
            </w:r>
          </w:p>
        </w:tc>
      </w:tr>
      <w:tr w:rsidR="00DF73EA" w:rsidRPr="00526214" w14:paraId="78E83C24" w14:textId="77777777" w:rsidTr="003A7E2D">
        <w:tc>
          <w:tcPr>
            <w:tcW w:w="3176" w:type="dxa"/>
            <w:tcBorders>
              <w:top w:val="single" w:sz="4" w:space="0" w:color="auto"/>
            </w:tcBorders>
          </w:tcPr>
          <w:p w14:paraId="380E790D"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MTTD</w:t>
            </w:r>
          </w:p>
        </w:tc>
        <w:tc>
          <w:tcPr>
            <w:tcW w:w="3177" w:type="dxa"/>
            <w:tcBorders>
              <w:top w:val="single" w:sz="4" w:space="0" w:color="auto"/>
            </w:tcBorders>
          </w:tcPr>
          <w:p w14:paraId="1E46CA5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Time to detect ransomware</w:t>
            </w:r>
          </w:p>
        </w:tc>
        <w:tc>
          <w:tcPr>
            <w:tcW w:w="3177" w:type="dxa"/>
            <w:tcBorders>
              <w:top w:val="single" w:sz="4" w:space="0" w:color="auto"/>
            </w:tcBorders>
          </w:tcPr>
          <w:p w14:paraId="1CCCD3D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eastAsia="Times New Roman" w:hAnsi="Times New Roman" w:cs="Times New Roman"/>
                <w:sz w:val="24"/>
                <w:szCs w:val="24"/>
              </w:rPr>
              <w:t>(Dasgupta et al., 2020)</w:t>
            </w:r>
          </w:p>
        </w:tc>
      </w:tr>
      <w:tr w:rsidR="00DF73EA" w:rsidRPr="00526214" w14:paraId="5717BD98" w14:textId="77777777" w:rsidTr="003A7E2D">
        <w:tc>
          <w:tcPr>
            <w:tcW w:w="3176" w:type="dxa"/>
          </w:tcPr>
          <w:p w14:paraId="00582B24"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RTO</w:t>
            </w:r>
          </w:p>
        </w:tc>
        <w:tc>
          <w:tcPr>
            <w:tcW w:w="3177" w:type="dxa"/>
          </w:tcPr>
          <w:p w14:paraId="517BB38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Time to restore critical operations</w:t>
            </w:r>
          </w:p>
        </w:tc>
        <w:tc>
          <w:tcPr>
            <w:tcW w:w="3177" w:type="dxa"/>
          </w:tcPr>
          <w:p w14:paraId="11A25B3F" w14:textId="77777777" w:rsidR="00DF73EA" w:rsidRPr="00526214" w:rsidRDefault="00DF73EA" w:rsidP="00526214">
            <w:pPr>
              <w:spacing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(Kruse et al., 2017)</w:t>
            </w:r>
          </w:p>
          <w:p w14:paraId="1C9339A9" w14:textId="77777777" w:rsidR="00DF73EA" w:rsidRPr="00526214" w:rsidRDefault="00DF73EA" w:rsidP="00526214">
            <w:pPr>
              <w:spacing w:line="360" w:lineRule="auto"/>
              <w:jc w:val="both"/>
              <w:rPr>
                <w:rFonts w:ascii="Times New Roman" w:hAnsi="Times New Roman" w:cs="Times New Roman"/>
                <w:sz w:val="24"/>
                <w:szCs w:val="24"/>
              </w:rPr>
            </w:pPr>
          </w:p>
        </w:tc>
      </w:tr>
      <w:tr w:rsidR="00DF73EA" w:rsidRPr="00526214" w14:paraId="331EC23F" w14:textId="77777777" w:rsidTr="003A7E2D">
        <w:tc>
          <w:tcPr>
            <w:tcW w:w="3176" w:type="dxa"/>
            <w:tcBorders>
              <w:bottom w:val="single" w:sz="4" w:space="0" w:color="auto"/>
            </w:tcBorders>
          </w:tcPr>
          <w:p w14:paraId="44D148B6"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Physical Impact Index (PII)</w:t>
            </w:r>
          </w:p>
        </w:tc>
        <w:tc>
          <w:tcPr>
            <w:tcW w:w="3177" w:type="dxa"/>
            <w:tcBorders>
              <w:bottom w:val="single" w:sz="4" w:space="0" w:color="auto"/>
            </w:tcBorders>
          </w:tcPr>
          <w:p w14:paraId="2BDF357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Disruption to patient care (0–10)</w:t>
            </w:r>
          </w:p>
        </w:tc>
        <w:tc>
          <w:tcPr>
            <w:tcW w:w="3177" w:type="dxa"/>
            <w:tcBorders>
              <w:bottom w:val="single" w:sz="4" w:space="0" w:color="auto"/>
            </w:tcBorders>
          </w:tcPr>
          <w:p w14:paraId="2D12539F"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Jalali &amp; Kaiser (2018)</w:t>
            </w:r>
          </w:p>
        </w:tc>
      </w:tr>
    </w:tbl>
    <w:p w14:paraId="3E0EA94D" w14:textId="77777777" w:rsidR="00DF73EA" w:rsidRPr="00526214" w:rsidRDefault="00DF73EA" w:rsidP="00526214">
      <w:pPr>
        <w:spacing w:line="360" w:lineRule="auto"/>
        <w:jc w:val="both"/>
        <w:rPr>
          <w:rFonts w:ascii="Times New Roman" w:hAnsi="Times New Roman" w:cs="Times New Roman"/>
          <w:sz w:val="24"/>
          <w:szCs w:val="24"/>
        </w:rPr>
      </w:pPr>
    </w:p>
    <w:p w14:paraId="5381D493"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Statistical Derivation</w:t>
      </w:r>
    </w:p>
    <w:p w14:paraId="36C4F0EE" w14:textId="77777777" w:rsidR="00DF73EA" w:rsidRPr="00526214" w:rsidRDefault="00DF73EA"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b/>
          <w:sz w:val="24"/>
          <w:szCs w:val="24"/>
        </w:rPr>
        <w:t>Meta-Analysis:</w:t>
      </w:r>
      <w:r w:rsidRPr="00526214">
        <w:rPr>
          <w:rFonts w:ascii="Times New Roman" w:hAnsi="Times New Roman" w:cs="Times New Roman"/>
          <w:sz w:val="24"/>
          <w:szCs w:val="24"/>
        </w:rPr>
        <w:t xml:space="preserve"> Aggregates metrics across 30 studies using:</w:t>
      </w:r>
    </w:p>
    <w:p w14:paraId="3C5BB905" w14:textId="77777777" w:rsidR="00DF73EA" w:rsidRPr="00526214" w:rsidRDefault="00561E9A" w:rsidP="00526214">
      <w:pPr>
        <w:pStyle w:val="ListParagraph"/>
        <w:spacing w:line="360" w:lineRule="auto"/>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den>
          </m:f>
        </m:oMath>
      </m:oMathPara>
    </w:p>
    <w:p w14:paraId="25D5D780"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Where: </w:t>
      </w:r>
    </w:p>
    <w:p w14:paraId="17B9057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w:r w:rsidRPr="0052621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oMath>
      <w:r w:rsidRPr="00526214">
        <w:rPr>
          <w:rFonts w:ascii="Times New Roman" w:hAnsi="Times New Roman" w:cs="Times New Roman"/>
          <w:sz w:val="24"/>
          <w:szCs w:val="24"/>
        </w:rPr>
        <w:t xml:space="preserve">: Metric value from study (i) </w:t>
      </w:r>
    </w:p>
    <w:p w14:paraId="3012A5E1"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526214">
        <w:rPr>
          <w:rFonts w:ascii="Times New Roman" w:hAnsi="Times New Roman" w:cs="Times New Roman"/>
          <w:sz w:val="24"/>
          <w:szCs w:val="24"/>
        </w:rPr>
        <w:t xml:space="preserve">: Weight (sample size × quality score) </w:t>
      </w:r>
    </w:p>
    <w:p w14:paraId="56727CCF" w14:textId="77777777" w:rsidR="00E771F4" w:rsidRPr="00526214" w:rsidRDefault="00E771F4" w:rsidP="00526214">
      <w:pPr>
        <w:tabs>
          <w:tab w:val="left" w:pos="810"/>
        </w:tabs>
        <w:spacing w:line="360" w:lineRule="auto"/>
        <w:ind w:left="810"/>
        <w:jc w:val="both"/>
        <w:rPr>
          <w:rFonts w:ascii="Times New Roman" w:hAnsi="Times New Roman" w:cs="Times New Roman"/>
          <w:sz w:val="24"/>
          <w:szCs w:val="24"/>
        </w:rPr>
      </w:pPr>
      <w:r w:rsidRPr="00526214">
        <w:rPr>
          <w:rFonts w:ascii="Times New Roman" w:hAnsi="Times New Roman" w:cs="Times New Roman"/>
          <w:b/>
          <w:sz w:val="24"/>
          <w:szCs w:val="24"/>
        </w:rPr>
        <w:t>Correlation:</w:t>
      </w:r>
      <w:r w:rsidRPr="00526214">
        <w:rPr>
          <w:rFonts w:ascii="Times New Roman" w:hAnsi="Times New Roman" w:cs="Times New Roman"/>
          <w:sz w:val="24"/>
          <w:szCs w:val="24"/>
        </w:rPr>
        <w:t xml:space="preserve"> Pearson’s ( r ) between preparedness and RTO (Jalali &amp; Kaiser, 2018). Figure 3 displays the negative correlation from 50 studies.</w:t>
      </w:r>
    </w:p>
    <w:p w14:paraId="012AE366" w14:textId="77777777" w:rsidR="00E771F4" w:rsidRPr="00526214" w:rsidRDefault="00E771F4" w:rsidP="00526214">
      <w:pPr>
        <w:pStyle w:val="ListParagraph"/>
        <w:spacing w:line="360" w:lineRule="auto"/>
        <w:ind w:left="1440"/>
        <w:jc w:val="both"/>
        <w:rPr>
          <w:rFonts w:ascii="Times New Roman" w:eastAsiaTheme="minorEastAsia"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e>
                        <m:sup>
                          <m:r>
                            <w:rPr>
                              <w:rFonts w:ascii="Cambria Math" w:hAnsi="Cambria Math" w:cs="Times New Roman"/>
                              <w:sz w:val="24"/>
                              <w:szCs w:val="24"/>
                            </w:rPr>
                            <m:t>2</m:t>
                          </m:r>
                        </m:sup>
                      </m:sSup>
                    </m:e>
                  </m:nary>
                </m:e>
              </m:rad>
            </m:den>
          </m:f>
        </m:oMath>
      </m:oMathPara>
    </w:p>
    <w:p w14:paraId="65627D7E"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 </w:t>
      </w:r>
      <m:oMath>
        <m:r>
          <w:rPr>
            <w:rFonts w:ascii="Cambria Math" w:hAnsi="Cambria Math" w:cs="Times New Roman"/>
            <w:sz w:val="24"/>
            <w:szCs w:val="24"/>
          </w:rPr>
          <m:t>r</m:t>
        </m:r>
      </m:oMath>
      <w:r w:rsidRPr="00526214">
        <w:rPr>
          <w:rFonts w:ascii="Times New Roman" w:hAnsi="Times New Roman" w:cs="Times New Roman"/>
          <w:sz w:val="24"/>
          <w:szCs w:val="24"/>
        </w:rPr>
        <w:t xml:space="preserve"> = correlation coefficient</w:t>
      </w:r>
    </w:p>
    <w:p w14:paraId="0E7548E2"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526214">
        <w:rPr>
          <w:rFonts w:ascii="Times New Roman" w:hAnsi="Times New Roman" w:cs="Times New Roman"/>
          <w:sz w:val="24"/>
          <w:szCs w:val="24"/>
        </w:rPr>
        <w:t>= values of the x-variable in a sample</w:t>
      </w:r>
    </w:p>
    <w:p w14:paraId="4479B994"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526214">
        <w:rPr>
          <w:rFonts w:ascii="Times New Roman" w:hAnsi="Times New Roman" w:cs="Times New Roman"/>
          <w:sz w:val="24"/>
          <w:szCs w:val="24"/>
        </w:rPr>
        <w:t>= mean of the values of the x-variable</w:t>
      </w:r>
    </w:p>
    <w:p w14:paraId="0CD13471"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Pr="00526214">
        <w:rPr>
          <w:rFonts w:ascii="Times New Roman" w:hAnsi="Times New Roman" w:cs="Times New Roman"/>
          <w:sz w:val="24"/>
          <w:szCs w:val="24"/>
        </w:rPr>
        <w:t>= values of the y-variable in a sample</w:t>
      </w:r>
    </w:p>
    <w:p w14:paraId="50D58614"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r w:rsidRPr="00526214">
        <w:rPr>
          <w:rFonts w:ascii="Times New Roman" w:hAnsi="Times New Roman" w:cs="Times New Roman"/>
          <w:sz w:val="24"/>
          <w:szCs w:val="24"/>
        </w:rPr>
        <w:t>= mean of the values of the y-variable</w:t>
      </w:r>
    </w:p>
    <w:p w14:paraId="2A857B7E" w14:textId="77777777" w:rsidR="00526214" w:rsidRDefault="00526214" w:rsidP="00526214">
      <w:pPr>
        <w:spacing w:line="360" w:lineRule="auto"/>
        <w:jc w:val="both"/>
        <w:rPr>
          <w:rFonts w:ascii="Times New Roman" w:hAnsi="Times New Roman" w:cs="Times New Roman"/>
          <w:b/>
          <w:sz w:val="24"/>
          <w:szCs w:val="24"/>
        </w:rPr>
      </w:pPr>
    </w:p>
    <w:p w14:paraId="5DDF5C86" w14:textId="77777777" w:rsidR="00526214" w:rsidRDefault="00526214" w:rsidP="00526214">
      <w:pPr>
        <w:spacing w:line="360" w:lineRule="auto"/>
        <w:jc w:val="both"/>
        <w:rPr>
          <w:rFonts w:ascii="Times New Roman" w:hAnsi="Times New Roman" w:cs="Times New Roman"/>
          <w:b/>
          <w:sz w:val="24"/>
          <w:szCs w:val="24"/>
        </w:rPr>
      </w:pPr>
    </w:p>
    <w:p w14:paraId="5CED7305" w14:textId="77777777" w:rsidR="00526214" w:rsidRDefault="00526214" w:rsidP="00526214">
      <w:pPr>
        <w:spacing w:line="360" w:lineRule="auto"/>
        <w:jc w:val="both"/>
        <w:rPr>
          <w:rFonts w:ascii="Times New Roman" w:hAnsi="Times New Roman" w:cs="Times New Roman"/>
          <w:b/>
          <w:sz w:val="24"/>
          <w:szCs w:val="24"/>
        </w:rPr>
      </w:pPr>
    </w:p>
    <w:p w14:paraId="1C6267B4" w14:textId="77777777" w:rsidR="00526214" w:rsidRDefault="00526214" w:rsidP="00526214">
      <w:pPr>
        <w:spacing w:line="360" w:lineRule="auto"/>
        <w:jc w:val="both"/>
        <w:rPr>
          <w:rFonts w:ascii="Times New Roman" w:hAnsi="Times New Roman" w:cs="Times New Roman"/>
          <w:b/>
          <w:sz w:val="24"/>
          <w:szCs w:val="24"/>
        </w:rPr>
      </w:pPr>
    </w:p>
    <w:p w14:paraId="0631128D"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Figure 3</w:t>
      </w:r>
    </w:p>
    <w:p w14:paraId="23A15A81"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Scatter Plot of Preparedness vs. RTO</w:t>
      </w:r>
    </w:p>
    <w:p w14:paraId="0019D1F2" w14:textId="77777777" w:rsidR="00DF73EA" w:rsidRPr="00526214" w:rsidRDefault="00DF73EA" w:rsidP="00526214">
      <w:pPr>
        <w:pStyle w:val="ListParagraph"/>
        <w:spacing w:line="360" w:lineRule="auto"/>
        <w:ind w:left="1440"/>
        <w:jc w:val="both"/>
        <w:rPr>
          <w:rFonts w:ascii="Times New Roman" w:hAnsi="Times New Roman" w:cs="Times New Roman"/>
          <w:sz w:val="24"/>
          <w:szCs w:val="24"/>
        </w:rPr>
      </w:pPr>
    </w:p>
    <w:p w14:paraId="7997E489"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noProof/>
          <w:sz w:val="24"/>
          <w:szCs w:val="24"/>
        </w:rPr>
        <w:lastRenderedPageBreak/>
        <w:drawing>
          <wp:inline distT="0" distB="0" distL="0" distR="0" wp14:anchorId="7D70EC2F" wp14:editId="7021BAE9">
            <wp:extent cx="5047013" cy="407421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Scatter Plot of Preparedness vs. RTO.png"/>
                    <pic:cNvPicPr/>
                  </pic:nvPicPr>
                  <pic:blipFill rotWithShape="1">
                    <a:blip r:embed="rId10" cstate="print">
                      <a:extLst>
                        <a:ext uri="{28A0092B-C50C-407E-A947-70E740481C1C}">
                          <a14:useLocalDpi xmlns:a14="http://schemas.microsoft.com/office/drawing/2010/main" val="0"/>
                        </a:ext>
                      </a:extLst>
                    </a:blip>
                    <a:srcRect b="13095"/>
                    <a:stretch/>
                  </pic:blipFill>
                  <pic:spPr bwMode="auto">
                    <a:xfrm>
                      <a:off x="0" y="0"/>
                      <a:ext cx="5066139" cy="4089653"/>
                    </a:xfrm>
                    <a:prstGeom prst="rect">
                      <a:avLst/>
                    </a:prstGeom>
                    <a:ln>
                      <a:noFill/>
                    </a:ln>
                    <a:extLst>
                      <a:ext uri="{53640926-AAD7-44D8-BBD7-CCE9431645EC}">
                        <a14:shadowObscured xmlns:a14="http://schemas.microsoft.com/office/drawing/2010/main"/>
                      </a:ext>
                    </a:extLst>
                  </pic:spPr>
                </pic:pic>
              </a:graphicData>
            </a:graphic>
          </wp:inline>
        </w:drawing>
      </w:r>
    </w:p>
    <w:p w14:paraId="532761BE"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Analytical Approaches</w:t>
      </w:r>
    </w:p>
    <w:p w14:paraId="28DD94F6" w14:textId="77777777" w:rsidR="00B22179" w:rsidRPr="00526214" w:rsidRDefault="00B22179"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Quantitative Synthesis</w:t>
      </w:r>
    </w:p>
    <w:p w14:paraId="57A85A29" w14:textId="77777777" w:rsidR="00123E18"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b/>
          <w:sz w:val="24"/>
          <w:szCs w:val="24"/>
        </w:rPr>
        <w:t>Meta-Regression:</w:t>
      </w:r>
      <w:r w:rsidRPr="00526214">
        <w:rPr>
          <w:rFonts w:ascii="Times New Roman" w:hAnsi="Times New Roman" w:cs="Times New Roman"/>
          <w:sz w:val="24"/>
          <w:szCs w:val="24"/>
        </w:rPr>
        <w:t xml:space="preserve"> Assesses hospital size impact on resilience:</w:t>
      </w:r>
    </w:p>
    <w:p w14:paraId="7097CAF5" w14:textId="77777777" w:rsidR="00DF73EA" w:rsidRPr="00526214" w:rsidRDefault="00561E9A"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T+ϵ</m:t>
          </m:r>
        </m:oMath>
      </m:oMathPara>
    </w:p>
    <w:p w14:paraId="0A5200B5"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06F1E238"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(S): Hospital size (beds) </w:t>
      </w:r>
    </w:p>
    <w:p w14:paraId="0880363E"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(T): Technology investment </w:t>
      </w:r>
    </w:p>
    <w:p w14:paraId="39ADAF55"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r>
          <w:rPr>
            <w:rFonts w:ascii="Cambria Math" w:hAnsi="Cambria Math" w:cs="Times New Roman"/>
            <w:sz w:val="24"/>
            <w:szCs w:val="24"/>
          </w:rPr>
          <m:t>ϵ</m:t>
        </m:r>
      </m:oMath>
      <w:r w:rsidRPr="00526214">
        <w:rPr>
          <w:rFonts w:ascii="Times New Roman" w:hAnsi="Times New Roman" w:cs="Times New Roman"/>
          <w:sz w:val="24"/>
          <w:szCs w:val="24"/>
        </w:rPr>
        <w:t>: Error term</w:t>
      </w:r>
    </w:p>
    <w:p w14:paraId="572C1C4E"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b/>
          <w:sz w:val="24"/>
          <w:szCs w:val="24"/>
        </w:rPr>
        <w:t>Survival Analysis:</w:t>
      </w:r>
      <w:r w:rsidRPr="00526214">
        <w:rPr>
          <w:rFonts w:ascii="Times New Roman" w:hAnsi="Times New Roman" w:cs="Times New Roman"/>
          <w:sz w:val="24"/>
          <w:szCs w:val="24"/>
        </w:rPr>
        <w:t xml:space="preserve"> Kaplan-Meier curves for recovery times </w:t>
      </w:r>
      <w:r w:rsidRPr="00526214">
        <w:rPr>
          <w:rFonts w:ascii="Times New Roman" w:eastAsia="Times New Roman" w:hAnsi="Times New Roman" w:cs="Times New Roman"/>
          <w:sz w:val="24"/>
          <w:szCs w:val="24"/>
        </w:rPr>
        <w:t>((DATAtab, 2025; Kruse et al., 2017)</w:t>
      </w:r>
      <w:r w:rsidRPr="00526214">
        <w:rPr>
          <w:rFonts w:ascii="Times New Roman" w:hAnsi="Times New Roman" w:cs="Times New Roman"/>
          <w:sz w:val="24"/>
          <w:szCs w:val="24"/>
        </w:rPr>
        <w:t>.</w:t>
      </w:r>
    </w:p>
    <w:p w14:paraId="5246C0AA" w14:textId="77777777" w:rsidR="00B22179" w:rsidRPr="00526214" w:rsidRDefault="00561E9A" w:rsidP="00526214">
      <w:pPr>
        <w:spacing w:line="360" w:lineRule="auto"/>
        <w:jc w:val="both"/>
        <w:rPr>
          <w:rFonts w:ascii="Times New Roman" w:eastAsia="Times New Roman" w:hAnsi="Times New Roman" w:cs="Times New Roman"/>
          <w:sz w:val="24"/>
          <w:szCs w:val="24"/>
        </w:rPr>
      </w:pPr>
      <m:oMathPara>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S</m:t>
              </m:r>
            </m:e>
          </m:acc>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m:t>
          </m:r>
          <m:nary>
            <m:naryPr>
              <m:chr m:val="∏"/>
              <m:limLoc m:val="undOvr"/>
              <m:supHide m:val="1"/>
              <m:ctrlPr>
                <w:rPr>
                  <w:rFonts w:ascii="Cambria Math" w:eastAsia="Times New Roman" w:hAnsi="Cambria Math" w:cs="Times New Roman"/>
                  <w:i/>
                  <w:sz w:val="24"/>
                  <w:szCs w:val="24"/>
                </w:rPr>
              </m:ctrlPr>
            </m:naryPr>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≤t</m:t>
              </m:r>
            </m:sub>
            <m:sup/>
            <m:e>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j</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j</m:t>
                      </m:r>
                    </m:sub>
                  </m:sSub>
                </m:den>
              </m:f>
            </m:e>
          </m:nary>
          <m:r>
            <w:rPr>
              <w:rFonts w:ascii="Cambria Math" w:eastAsia="Times New Roman" w:hAnsi="Cambria Math" w:cs="Times New Roman"/>
              <w:sz w:val="24"/>
              <w:szCs w:val="24"/>
            </w:rPr>
            <m:t>)</m:t>
          </m:r>
        </m:oMath>
      </m:oMathPara>
    </w:p>
    <w:p w14:paraId="7F5A1BE9" w14:textId="77777777" w:rsidR="00B22179" w:rsidRPr="00526214" w:rsidRDefault="00B22179" w:rsidP="00526214">
      <w:pPr>
        <w:spacing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lastRenderedPageBreak/>
        <w:t xml:space="preserve">Where: </w:t>
      </w:r>
    </w:p>
    <w:p w14:paraId="3EEDB7E6" w14:textId="77777777" w:rsidR="00B22179" w:rsidRPr="00526214" w:rsidRDefault="00B22179" w:rsidP="00526214">
      <w:pPr>
        <w:spacing w:line="360" w:lineRule="auto"/>
        <w:jc w:val="both"/>
        <w:rPr>
          <w:rFonts w:ascii="Times New Roman" w:eastAsiaTheme="minorEastAsia"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S</m:t>
            </m:r>
          </m:e>
        </m:acc>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oMath>
      <w:r w:rsidRPr="00526214">
        <w:rPr>
          <w:rFonts w:ascii="Times New Roman" w:eastAsiaTheme="minorEastAsia" w:hAnsi="Times New Roman" w:cs="Times New Roman"/>
          <w:sz w:val="24"/>
          <w:szCs w:val="24"/>
        </w:rPr>
        <w:t>= Estimated survival probability at time, t</w:t>
      </w:r>
    </w:p>
    <w:p w14:paraId="40B4CEF1"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j</m:t>
            </m:r>
          </m:sub>
        </m:sSub>
      </m:oMath>
      <w:r w:rsidRPr="00526214">
        <w:rPr>
          <w:rFonts w:ascii="Times New Roman" w:hAnsi="Times New Roman" w:cs="Times New Roman"/>
          <w:sz w:val="24"/>
          <w:szCs w:val="24"/>
        </w:rPr>
        <w:t xml:space="preserve"> = number of events (e.g., deaths) occurring at time interval, j</w:t>
      </w:r>
    </w:p>
    <w:p w14:paraId="7373CBF7"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 xml:space="preserve"> </m:t>
        </m:r>
      </m:oMath>
      <w:r w:rsidRPr="00526214">
        <w:rPr>
          <w:rFonts w:ascii="Times New Roman" w:hAnsi="Times New Roman" w:cs="Times New Roman"/>
          <w:sz w:val="24"/>
          <w:szCs w:val="24"/>
        </w:rPr>
        <w:t>= number of individuals at risk at the start of time interval, j</w:t>
      </w:r>
    </w:p>
    <w:p w14:paraId="3C64A975" w14:textId="77777777" w:rsidR="00B22179" w:rsidRPr="00526214" w:rsidRDefault="00B22179" w:rsidP="00526214">
      <w:pPr>
        <w:spacing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 xml:space="preserve"> </m:t>
        </m:r>
      </m:oMath>
      <w:r w:rsidRPr="00526214">
        <w:rPr>
          <w:rFonts w:ascii="Times New Roman" w:hAnsi="Times New Roman" w:cs="Times New Roman"/>
          <w:sz w:val="24"/>
          <w:szCs w:val="24"/>
        </w:rPr>
        <w:t>= time</w:t>
      </w:r>
    </w:p>
    <w:p w14:paraId="7CC5C88A"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Qualitative Synthesis</w:t>
      </w:r>
    </w:p>
    <w:p w14:paraId="4AAB4A9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thematic analysis identifies key resilience themes, such as the importance of backups and staff training, following the methodology outlined by Braun and Clarke (2006), as presented in Table 3. Additionally, the findings are mapped to the NIST Cybersecurity Framework (CSF) and aligned with relevant CPS risk factors to ensure a comprehensive understanding of resilience within healthcare systems.</w:t>
      </w:r>
    </w:p>
    <w:p w14:paraId="2858A75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3</w:t>
      </w:r>
    </w:p>
    <w:p w14:paraId="6C19A34D"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Thematic Codes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20"/>
        <w:gridCol w:w="3117"/>
      </w:tblGrid>
      <w:tr w:rsidR="00DF73EA" w:rsidRPr="00526214" w14:paraId="12BB6E1A" w14:textId="77777777" w:rsidTr="003A7E2D">
        <w:tc>
          <w:tcPr>
            <w:tcW w:w="3176" w:type="dxa"/>
            <w:tcBorders>
              <w:top w:val="single" w:sz="4" w:space="0" w:color="auto"/>
              <w:bottom w:val="single" w:sz="4" w:space="0" w:color="auto"/>
            </w:tcBorders>
          </w:tcPr>
          <w:p w14:paraId="2E9ABF3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Theme</w:t>
            </w:r>
          </w:p>
        </w:tc>
        <w:tc>
          <w:tcPr>
            <w:tcW w:w="3177" w:type="dxa"/>
            <w:tcBorders>
              <w:top w:val="single" w:sz="4" w:space="0" w:color="auto"/>
              <w:bottom w:val="single" w:sz="4" w:space="0" w:color="auto"/>
            </w:tcBorders>
          </w:tcPr>
          <w:p w14:paraId="01A6F076"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Description</w:t>
            </w:r>
          </w:p>
        </w:tc>
        <w:tc>
          <w:tcPr>
            <w:tcW w:w="3177" w:type="dxa"/>
            <w:tcBorders>
              <w:top w:val="single" w:sz="4" w:space="0" w:color="auto"/>
              <w:bottom w:val="single" w:sz="4" w:space="0" w:color="auto"/>
            </w:tcBorders>
          </w:tcPr>
          <w:p w14:paraId="7C6390E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Frequency</w:t>
            </w:r>
          </w:p>
        </w:tc>
      </w:tr>
      <w:tr w:rsidR="00DF73EA" w:rsidRPr="00526214" w14:paraId="1470A8AF" w14:textId="77777777" w:rsidTr="003A7E2D">
        <w:tc>
          <w:tcPr>
            <w:tcW w:w="3176" w:type="dxa"/>
            <w:tcBorders>
              <w:top w:val="single" w:sz="4" w:space="0" w:color="auto"/>
            </w:tcBorders>
          </w:tcPr>
          <w:p w14:paraId="3B7B9BA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Backup Efficacy</w:t>
            </w:r>
          </w:p>
        </w:tc>
        <w:tc>
          <w:tcPr>
            <w:tcW w:w="3177" w:type="dxa"/>
            <w:tcBorders>
              <w:top w:val="single" w:sz="4" w:space="0" w:color="auto"/>
            </w:tcBorders>
          </w:tcPr>
          <w:p w14:paraId="100F6F6D"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Impact on recovery</w:t>
            </w:r>
          </w:p>
        </w:tc>
        <w:tc>
          <w:tcPr>
            <w:tcW w:w="3177" w:type="dxa"/>
            <w:tcBorders>
              <w:top w:val="single" w:sz="4" w:space="0" w:color="auto"/>
            </w:tcBorders>
          </w:tcPr>
          <w:p w14:paraId="3B325196"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18 studies</w:t>
            </w:r>
          </w:p>
        </w:tc>
      </w:tr>
      <w:tr w:rsidR="00DF73EA" w:rsidRPr="00526214" w14:paraId="76968FB1" w14:textId="77777777" w:rsidTr="003A7E2D">
        <w:tc>
          <w:tcPr>
            <w:tcW w:w="3176" w:type="dxa"/>
            <w:tcBorders>
              <w:bottom w:val="single" w:sz="4" w:space="0" w:color="auto"/>
            </w:tcBorders>
          </w:tcPr>
          <w:p w14:paraId="4103F61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Staff Preparedness</w:t>
            </w:r>
          </w:p>
        </w:tc>
        <w:tc>
          <w:tcPr>
            <w:tcW w:w="3177" w:type="dxa"/>
            <w:tcBorders>
              <w:bottom w:val="single" w:sz="4" w:space="0" w:color="auto"/>
            </w:tcBorders>
          </w:tcPr>
          <w:p w14:paraId="5005039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Role in detection</w:t>
            </w:r>
          </w:p>
        </w:tc>
        <w:tc>
          <w:tcPr>
            <w:tcW w:w="3177" w:type="dxa"/>
            <w:tcBorders>
              <w:bottom w:val="single" w:sz="4" w:space="0" w:color="auto"/>
            </w:tcBorders>
          </w:tcPr>
          <w:p w14:paraId="6B67578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22 studies</w:t>
            </w:r>
          </w:p>
        </w:tc>
      </w:tr>
    </w:tbl>
    <w:p w14:paraId="091360A1" w14:textId="77777777" w:rsidR="00DF73EA" w:rsidRPr="00526214" w:rsidRDefault="00DF73EA" w:rsidP="00526214">
      <w:pPr>
        <w:spacing w:line="360" w:lineRule="auto"/>
        <w:jc w:val="both"/>
        <w:rPr>
          <w:rFonts w:ascii="Times New Roman" w:hAnsi="Times New Roman" w:cs="Times New Roman"/>
          <w:sz w:val="24"/>
          <w:szCs w:val="24"/>
        </w:rPr>
      </w:pPr>
    </w:p>
    <w:p w14:paraId="476EC68C"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Validation Techniques</w:t>
      </w:r>
    </w:p>
    <w:p w14:paraId="7FC3BC5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Table 4 displays the validation techniques used from different sources.</w:t>
      </w:r>
    </w:p>
    <w:p w14:paraId="131CC9B2"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4</w:t>
      </w:r>
    </w:p>
    <w:p w14:paraId="527269C9"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Validation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DF73EA" w:rsidRPr="00526214" w14:paraId="2A94C1E0" w14:textId="77777777" w:rsidTr="003A7E2D">
        <w:tc>
          <w:tcPr>
            <w:tcW w:w="4765" w:type="dxa"/>
            <w:tcBorders>
              <w:top w:val="single" w:sz="4" w:space="0" w:color="auto"/>
              <w:bottom w:val="single" w:sz="4" w:space="0" w:color="auto"/>
            </w:tcBorders>
          </w:tcPr>
          <w:p w14:paraId="0A511FB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Technique</w:t>
            </w:r>
          </w:p>
        </w:tc>
        <w:tc>
          <w:tcPr>
            <w:tcW w:w="4765" w:type="dxa"/>
            <w:tcBorders>
              <w:top w:val="single" w:sz="4" w:space="0" w:color="auto"/>
              <w:bottom w:val="single" w:sz="4" w:space="0" w:color="auto"/>
            </w:tcBorders>
          </w:tcPr>
          <w:p w14:paraId="653B2F5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Application</w:t>
            </w:r>
          </w:p>
        </w:tc>
      </w:tr>
      <w:tr w:rsidR="00DF73EA" w:rsidRPr="00526214" w14:paraId="35E6B257" w14:textId="77777777" w:rsidTr="003A7E2D">
        <w:tc>
          <w:tcPr>
            <w:tcW w:w="4765" w:type="dxa"/>
            <w:tcBorders>
              <w:top w:val="single" w:sz="4" w:space="0" w:color="auto"/>
            </w:tcBorders>
          </w:tcPr>
          <w:p w14:paraId="27DE85F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Historical Matching</w:t>
            </w:r>
          </w:p>
        </w:tc>
        <w:tc>
          <w:tcPr>
            <w:tcW w:w="4765" w:type="dxa"/>
            <w:tcBorders>
              <w:top w:val="single" w:sz="4" w:space="0" w:color="auto"/>
            </w:tcBorders>
          </w:tcPr>
          <w:p w14:paraId="1EC63B8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Aligns models with WannaCry data (NIST, 2020)</w:t>
            </w:r>
          </w:p>
        </w:tc>
      </w:tr>
      <w:tr w:rsidR="00DF73EA" w:rsidRPr="00526214" w14:paraId="42CE9CCE" w14:textId="77777777" w:rsidTr="003A7E2D">
        <w:tc>
          <w:tcPr>
            <w:tcW w:w="4765" w:type="dxa"/>
          </w:tcPr>
          <w:p w14:paraId="6E547697"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Sensitivity Analysis</w:t>
            </w:r>
          </w:p>
        </w:tc>
        <w:tc>
          <w:tcPr>
            <w:tcW w:w="4765" w:type="dxa"/>
          </w:tcPr>
          <w:p w14:paraId="3956678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Tests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526214">
              <w:rPr>
                <w:rFonts w:ascii="Times New Roman" w:hAnsi="Times New Roman" w:cs="Times New Roman"/>
                <w:sz w:val="24"/>
                <w:szCs w:val="24"/>
              </w:rPr>
              <w:t xml:space="preserve"> variations in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w:t>
            </w:r>
          </w:p>
        </w:tc>
      </w:tr>
      <w:tr w:rsidR="00DF73EA" w:rsidRPr="00526214" w14:paraId="70753948" w14:textId="77777777" w:rsidTr="003A7E2D">
        <w:tc>
          <w:tcPr>
            <w:tcW w:w="4765" w:type="dxa"/>
            <w:tcBorders>
              <w:bottom w:val="single" w:sz="4" w:space="0" w:color="auto"/>
            </w:tcBorders>
          </w:tcPr>
          <w:p w14:paraId="0B6260D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Expert Synthesis</w:t>
            </w:r>
          </w:p>
        </w:tc>
        <w:tc>
          <w:tcPr>
            <w:tcW w:w="4765" w:type="dxa"/>
            <w:tcBorders>
              <w:bottom w:val="single" w:sz="4" w:space="0" w:color="auto"/>
            </w:tcBorders>
          </w:tcPr>
          <w:p w14:paraId="582A791D"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Uses expert-validated frameworks (Linkov et al., 2016)</w:t>
            </w:r>
          </w:p>
        </w:tc>
      </w:tr>
    </w:tbl>
    <w:p w14:paraId="5C2360A3" w14:textId="77777777" w:rsidR="00DF73EA" w:rsidRPr="00526214" w:rsidRDefault="00DF73EA" w:rsidP="00526214">
      <w:pPr>
        <w:spacing w:line="360" w:lineRule="auto"/>
        <w:jc w:val="both"/>
        <w:rPr>
          <w:rFonts w:ascii="Times New Roman" w:hAnsi="Times New Roman" w:cs="Times New Roman"/>
          <w:b/>
          <w:sz w:val="24"/>
          <w:szCs w:val="24"/>
        </w:rPr>
      </w:pPr>
    </w:p>
    <w:p w14:paraId="543F3331"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Reliability Measures</w:t>
      </w:r>
    </w:p>
    <w:p w14:paraId="179BC0CF"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sz w:val="24"/>
          <w:szCs w:val="24"/>
        </w:rPr>
        <w:t xml:space="preserve">The meta-analysis revealed a moderate level of heterogeneity, with an I² value of 65%, indicating variability across the included studies (Higgins &amp; Thompson, 2002). To assess potential bias, a funnel plot was used, and Egger’s test yielded a </w:t>
      </w:r>
      <w:r w:rsidRPr="00526214">
        <w:rPr>
          <w:rFonts w:ascii="Times New Roman" w:hAnsi="Times New Roman" w:cs="Times New Roman"/>
          <w:i/>
          <w:sz w:val="24"/>
          <w:szCs w:val="24"/>
        </w:rPr>
        <w:t>p</w:t>
      </w:r>
      <w:r w:rsidRPr="00526214">
        <w:rPr>
          <w:rFonts w:ascii="Times New Roman" w:hAnsi="Times New Roman" w:cs="Times New Roman"/>
          <w:sz w:val="24"/>
          <w:szCs w:val="24"/>
        </w:rPr>
        <w:t>-value of 0.82, confirming that there is low publication bias. Figure 4 displays the funnel plot, which further supports this finding.</w:t>
      </w:r>
    </w:p>
    <w:p w14:paraId="4D408F27" w14:textId="77777777" w:rsidR="00DF73EA" w:rsidRPr="00526214" w:rsidRDefault="00DF73EA" w:rsidP="00526214">
      <w:pPr>
        <w:pStyle w:val="ListParagraph"/>
        <w:spacing w:line="360" w:lineRule="auto"/>
        <w:ind w:left="0"/>
        <w:jc w:val="both"/>
        <w:rPr>
          <w:rFonts w:ascii="Times New Roman" w:hAnsi="Times New Roman" w:cs="Times New Roman"/>
          <w:b/>
          <w:sz w:val="24"/>
          <w:szCs w:val="24"/>
        </w:rPr>
      </w:pPr>
      <w:r w:rsidRPr="00526214">
        <w:rPr>
          <w:rFonts w:ascii="Times New Roman" w:hAnsi="Times New Roman" w:cs="Times New Roman"/>
          <w:b/>
          <w:sz w:val="24"/>
          <w:szCs w:val="24"/>
        </w:rPr>
        <w:t>Figure 4</w:t>
      </w:r>
    </w:p>
    <w:p w14:paraId="40C0AFB9" w14:textId="77777777" w:rsidR="00DF73EA" w:rsidRPr="00526214" w:rsidRDefault="00DF73EA" w:rsidP="00526214">
      <w:pPr>
        <w:pStyle w:val="ListParagraph"/>
        <w:spacing w:line="360" w:lineRule="auto"/>
        <w:ind w:left="0"/>
        <w:jc w:val="both"/>
        <w:rPr>
          <w:rFonts w:ascii="Times New Roman" w:hAnsi="Times New Roman" w:cs="Times New Roman"/>
          <w:i/>
          <w:sz w:val="24"/>
          <w:szCs w:val="24"/>
        </w:rPr>
      </w:pPr>
      <w:r w:rsidRPr="00526214">
        <w:rPr>
          <w:rFonts w:ascii="Times New Roman" w:hAnsi="Times New Roman" w:cs="Times New Roman"/>
          <w:i/>
          <w:sz w:val="24"/>
          <w:szCs w:val="24"/>
        </w:rPr>
        <w:t>Funnel Plot</w:t>
      </w:r>
    </w:p>
    <w:p w14:paraId="3B221CE8"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590C75F4" wp14:editId="4E15EE7A">
            <wp:extent cx="5189103" cy="4251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 Funnel Plot.png"/>
                    <pic:cNvPicPr/>
                  </pic:nvPicPr>
                  <pic:blipFill rotWithShape="1">
                    <a:blip r:embed="rId11" cstate="print">
                      <a:extLst>
                        <a:ext uri="{28A0092B-C50C-407E-A947-70E740481C1C}">
                          <a14:useLocalDpi xmlns:a14="http://schemas.microsoft.com/office/drawing/2010/main" val="0"/>
                        </a:ext>
                      </a:extLst>
                    </a:blip>
                    <a:srcRect t="20429" b="18982"/>
                    <a:stretch/>
                  </pic:blipFill>
                  <pic:spPr bwMode="auto">
                    <a:xfrm>
                      <a:off x="0" y="0"/>
                      <a:ext cx="5204732" cy="4264170"/>
                    </a:xfrm>
                    <a:prstGeom prst="rect">
                      <a:avLst/>
                    </a:prstGeom>
                    <a:ln>
                      <a:noFill/>
                    </a:ln>
                    <a:extLst>
                      <a:ext uri="{53640926-AAD7-44D8-BBD7-CCE9431645EC}">
                        <a14:shadowObscured xmlns:a14="http://schemas.microsoft.com/office/drawing/2010/main"/>
                      </a:ext>
                    </a:extLst>
                  </pic:spPr>
                </pic:pic>
              </a:graphicData>
            </a:graphic>
          </wp:inline>
        </w:drawing>
      </w:r>
    </w:p>
    <w:p w14:paraId="26BBBBD0"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Ethical Considerations</w:t>
      </w:r>
    </w:p>
    <w:p w14:paraId="0B20D1A3"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sz w:val="24"/>
          <w:szCs w:val="24"/>
        </w:rPr>
        <w:t xml:space="preserve">The study ensures data integrity by utilizing anonymized, aggregated data sourced from publicly available repositories. Transparency is maintained throughout the research process, with the </w:t>
      </w:r>
      <w:r w:rsidRPr="00526214">
        <w:rPr>
          <w:rFonts w:ascii="Times New Roman" w:hAnsi="Times New Roman" w:cs="Times New Roman"/>
          <w:sz w:val="24"/>
          <w:szCs w:val="24"/>
        </w:rPr>
        <w:lastRenderedPageBreak/>
        <w:t>methodology fully documented in accordance with the COPE (2023) guidelines. Additionally, the study upholds neutrality by remaining free from any external funding influences that could introduce bias into the findings..</w:t>
      </w:r>
    </w:p>
    <w:p w14:paraId="0517211A"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Adheres to APA ethical guidelines (American Psychological Association, 2020)</w:t>
      </w:r>
    </w:p>
    <w:p w14:paraId="635D8F7A"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Methodological Limitations</w:t>
      </w:r>
    </w:p>
    <w:p w14:paraId="17561B88" w14:textId="77777777" w:rsidR="00DF73EA" w:rsidRPr="00526214" w:rsidRDefault="00DF73EA"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The study acknowledges several methodological limitations. One limitation is data variability, as inconsistent metric definitions across studies can affect the comparability of findings. Additionally, there is a potential bias risk due to the overrepresentation of high-profile ransomware incidents, which may not accurately reflect the full spectrum of healthcare CPS vulnerabilities. The scope of the study is also limited by its focus on well-documented healthcare systems, potentially excluding smaller or less-researched environments.</w:t>
      </w:r>
    </w:p>
    <w:p w14:paraId="5D6AEC92" w14:textId="77777777" w:rsidR="00DF73EA" w:rsidRPr="00526214" w:rsidRDefault="00DF73EA"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To mitigate these issues, the study adopts standardized effect sizes to ensure more consistent comparisons across studies. Additionally, it includes grey literature, such as reports from the European Network and Information Security Agency (ENISA), to supplement the data and provide a broader perspective.</w:t>
      </w:r>
    </w:p>
    <w:p w14:paraId="6A0297C5" w14:textId="77777777" w:rsidR="00DF73EA" w:rsidRPr="00526214" w:rsidRDefault="00DF73EA" w:rsidP="00526214">
      <w:pPr>
        <w:pStyle w:val="ListParagraph"/>
        <w:spacing w:line="360" w:lineRule="auto"/>
        <w:ind w:left="-90"/>
        <w:jc w:val="both"/>
        <w:rPr>
          <w:rFonts w:ascii="Times New Roman" w:hAnsi="Times New Roman" w:cs="Times New Roman"/>
          <w:sz w:val="24"/>
          <w:szCs w:val="24"/>
        </w:rPr>
      </w:pPr>
    </w:p>
    <w:p w14:paraId="00854EA4" w14:textId="77777777" w:rsidR="00A857CE" w:rsidRPr="00526214" w:rsidRDefault="00A857CE" w:rsidP="00526214">
      <w:pPr>
        <w:pStyle w:val="Heading1"/>
      </w:pPr>
      <w:r w:rsidRPr="00526214">
        <w:t>4: Results and Discussion</w:t>
      </w:r>
    </w:p>
    <w:p w14:paraId="1526968A"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Results from Systematic Literature Review (SLR)</w:t>
      </w:r>
    </w:p>
    <w:p w14:paraId="0469DF0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SLR was conducted following the PRISMA 2020 guidelines (Page et al., 2021). From an initial pool of 1,500 records retrieved from databases such as IEEE Xplore, PubMed, and Scopus, 800 remained after removing duplicates. After applying inclusion criteria studies from 2015 to 2023 focusing on healthcare CPS, ransomware, and resilience, 50 studies were selected. This timeframe ensures relevance to contemporary cybersecurity challenges in healthcare, particularly post-WannaCry (2017) and during the COVID-19 pandemic, which saw increased cyber threats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w:t>
      </w:r>
    </w:p>
    <w:p w14:paraId="6C9D41E1"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Thematic Analysis of Resilience Themes</w:t>
      </w:r>
    </w:p>
    <w:p w14:paraId="67F5376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A thematic analysis of the 50 studies identified five critical resilience themes for healthcare CPS, as shown in Table 5. These themes emerged from qualitative coding of study findings, focusing on factors mitigating ransomware impacts.</w:t>
      </w:r>
    </w:p>
    <w:p w14:paraId="455A765B"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5</w:t>
      </w:r>
    </w:p>
    <w:p w14:paraId="3A7B4D09"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Key Resilience Themes from SLR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57CE" w:rsidRPr="00526214" w14:paraId="16206B49" w14:textId="77777777" w:rsidTr="003A7E2D">
        <w:tc>
          <w:tcPr>
            <w:tcW w:w="3116" w:type="dxa"/>
            <w:tcBorders>
              <w:top w:val="single" w:sz="4" w:space="0" w:color="auto"/>
              <w:bottom w:val="single" w:sz="4" w:space="0" w:color="auto"/>
            </w:tcBorders>
          </w:tcPr>
          <w:p w14:paraId="2747332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Theme</w:t>
            </w:r>
          </w:p>
        </w:tc>
        <w:tc>
          <w:tcPr>
            <w:tcW w:w="3117" w:type="dxa"/>
            <w:tcBorders>
              <w:top w:val="single" w:sz="4" w:space="0" w:color="auto"/>
              <w:bottom w:val="single" w:sz="4" w:space="0" w:color="auto"/>
            </w:tcBorders>
          </w:tcPr>
          <w:p w14:paraId="718233A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Description</w:t>
            </w:r>
          </w:p>
        </w:tc>
        <w:tc>
          <w:tcPr>
            <w:tcW w:w="3117" w:type="dxa"/>
            <w:tcBorders>
              <w:top w:val="single" w:sz="4" w:space="0" w:color="auto"/>
              <w:bottom w:val="single" w:sz="4" w:space="0" w:color="auto"/>
            </w:tcBorders>
          </w:tcPr>
          <w:p w14:paraId="2B05BC9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Frequency (No. of Studies)</w:t>
            </w:r>
          </w:p>
        </w:tc>
      </w:tr>
      <w:tr w:rsidR="00A857CE" w:rsidRPr="00526214" w14:paraId="29C8A5B7" w14:textId="77777777" w:rsidTr="003A7E2D">
        <w:tc>
          <w:tcPr>
            <w:tcW w:w="3116" w:type="dxa"/>
            <w:tcBorders>
              <w:top w:val="single" w:sz="4" w:space="0" w:color="auto"/>
            </w:tcBorders>
          </w:tcPr>
          <w:p w14:paraId="74C08A1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Backup Efficacy</w:t>
            </w:r>
          </w:p>
        </w:tc>
        <w:tc>
          <w:tcPr>
            <w:tcW w:w="3117" w:type="dxa"/>
            <w:tcBorders>
              <w:top w:val="single" w:sz="4" w:space="0" w:color="auto"/>
            </w:tcBorders>
          </w:tcPr>
          <w:p w14:paraId="197F560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Effectiveness of data backups in recovery</w:t>
            </w:r>
          </w:p>
        </w:tc>
        <w:tc>
          <w:tcPr>
            <w:tcW w:w="3117" w:type="dxa"/>
            <w:tcBorders>
              <w:top w:val="single" w:sz="4" w:space="0" w:color="auto"/>
            </w:tcBorders>
          </w:tcPr>
          <w:p w14:paraId="4513F5C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18</w:t>
            </w:r>
          </w:p>
        </w:tc>
      </w:tr>
      <w:tr w:rsidR="00A857CE" w:rsidRPr="00526214" w14:paraId="4FDF0C00" w14:textId="77777777" w:rsidTr="003A7E2D">
        <w:tc>
          <w:tcPr>
            <w:tcW w:w="3116" w:type="dxa"/>
          </w:tcPr>
          <w:p w14:paraId="118A2FD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Staff Preparedness</w:t>
            </w:r>
          </w:p>
        </w:tc>
        <w:tc>
          <w:tcPr>
            <w:tcW w:w="3117" w:type="dxa"/>
          </w:tcPr>
          <w:p w14:paraId="7D59A36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Role of training in detection and response</w:t>
            </w:r>
          </w:p>
        </w:tc>
        <w:tc>
          <w:tcPr>
            <w:tcW w:w="3117" w:type="dxa"/>
          </w:tcPr>
          <w:p w14:paraId="72DE293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22</w:t>
            </w:r>
          </w:p>
        </w:tc>
      </w:tr>
      <w:tr w:rsidR="00A857CE" w:rsidRPr="00526214" w14:paraId="7426A064" w14:textId="77777777" w:rsidTr="003A7E2D">
        <w:tc>
          <w:tcPr>
            <w:tcW w:w="3116" w:type="dxa"/>
          </w:tcPr>
          <w:p w14:paraId="3ADC35B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Network Segmentation</w:t>
            </w:r>
          </w:p>
        </w:tc>
        <w:tc>
          <w:tcPr>
            <w:tcW w:w="3117" w:type="dxa"/>
          </w:tcPr>
          <w:p w14:paraId="2D048B0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Impact on limiting ransomware spread</w:t>
            </w:r>
          </w:p>
        </w:tc>
        <w:tc>
          <w:tcPr>
            <w:tcW w:w="3117" w:type="dxa"/>
          </w:tcPr>
          <w:p w14:paraId="2256B9E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15</w:t>
            </w:r>
          </w:p>
        </w:tc>
      </w:tr>
      <w:tr w:rsidR="00A857CE" w:rsidRPr="00526214" w14:paraId="55450116" w14:textId="77777777" w:rsidTr="003A7E2D">
        <w:tc>
          <w:tcPr>
            <w:tcW w:w="3116" w:type="dxa"/>
          </w:tcPr>
          <w:p w14:paraId="08E4157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Incident Response Plans</w:t>
            </w:r>
          </w:p>
        </w:tc>
        <w:tc>
          <w:tcPr>
            <w:tcW w:w="3117" w:type="dxa"/>
          </w:tcPr>
          <w:p w14:paraId="31192B5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Structured response to minimize downtime</w:t>
            </w:r>
          </w:p>
        </w:tc>
        <w:tc>
          <w:tcPr>
            <w:tcW w:w="3117" w:type="dxa"/>
          </w:tcPr>
          <w:p w14:paraId="2D9F59C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12</w:t>
            </w:r>
          </w:p>
        </w:tc>
      </w:tr>
      <w:tr w:rsidR="00A857CE" w:rsidRPr="00526214" w14:paraId="70C7BDF1" w14:textId="77777777" w:rsidTr="003A7E2D">
        <w:tc>
          <w:tcPr>
            <w:tcW w:w="3116" w:type="dxa"/>
            <w:tcBorders>
              <w:bottom w:val="single" w:sz="4" w:space="0" w:color="auto"/>
            </w:tcBorders>
          </w:tcPr>
          <w:p w14:paraId="53478D3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Cyber-Physical Integration</w:t>
            </w:r>
          </w:p>
        </w:tc>
        <w:tc>
          <w:tcPr>
            <w:tcW w:w="3117" w:type="dxa"/>
            <w:tcBorders>
              <w:bottom w:val="single" w:sz="4" w:space="0" w:color="auto"/>
            </w:tcBorders>
          </w:tcPr>
          <w:p w14:paraId="7B02851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Management of cyber-physical interdependencies</w:t>
            </w:r>
          </w:p>
        </w:tc>
        <w:tc>
          <w:tcPr>
            <w:tcW w:w="3117" w:type="dxa"/>
            <w:tcBorders>
              <w:bottom w:val="single" w:sz="4" w:space="0" w:color="auto"/>
            </w:tcBorders>
          </w:tcPr>
          <w:p w14:paraId="2AB805E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10</w:t>
            </w:r>
          </w:p>
        </w:tc>
      </w:tr>
    </w:tbl>
    <w:p w14:paraId="39CEC1E2" w14:textId="77777777" w:rsidR="00A857CE" w:rsidRPr="00526214" w:rsidRDefault="00A857CE" w:rsidP="00526214">
      <w:pPr>
        <w:spacing w:line="360" w:lineRule="auto"/>
        <w:jc w:val="both"/>
        <w:rPr>
          <w:rFonts w:ascii="Times New Roman" w:hAnsi="Times New Roman" w:cs="Times New Roman"/>
          <w:sz w:val="24"/>
          <w:szCs w:val="24"/>
        </w:rPr>
      </w:pPr>
    </w:p>
    <w:p w14:paraId="4BF0D45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Staff preparedness was the most frequently cited theme (22 studies), highlighting its pivotal role in early detection and response (Jalali &amp; Kaiser, 2018). Backup efficacy followed (18 studies), emphasizing reliable data recovery as a cornerstone of resilience (Cohesity, 2023). Fewer studies (10) addressed cyber-physical integration, suggesting a research gap in understanding how cyber and physical components interact during attacks.</w:t>
      </w:r>
    </w:p>
    <w:p w14:paraId="710EF441" w14:textId="77777777" w:rsidR="004E2BAE" w:rsidRDefault="004E2BAE" w:rsidP="00526214">
      <w:pPr>
        <w:spacing w:line="360" w:lineRule="auto"/>
        <w:jc w:val="both"/>
        <w:rPr>
          <w:rFonts w:ascii="Times New Roman" w:hAnsi="Times New Roman" w:cs="Times New Roman"/>
          <w:b/>
          <w:sz w:val="24"/>
          <w:szCs w:val="24"/>
        </w:rPr>
      </w:pPr>
    </w:p>
    <w:p w14:paraId="65BD5BF8" w14:textId="77777777" w:rsidR="004E2BAE" w:rsidRDefault="004E2BAE" w:rsidP="00526214">
      <w:pPr>
        <w:spacing w:line="360" w:lineRule="auto"/>
        <w:jc w:val="both"/>
        <w:rPr>
          <w:rFonts w:ascii="Times New Roman" w:hAnsi="Times New Roman" w:cs="Times New Roman"/>
          <w:b/>
          <w:sz w:val="24"/>
          <w:szCs w:val="24"/>
        </w:rPr>
      </w:pPr>
    </w:p>
    <w:p w14:paraId="2C7E2AC3" w14:textId="77777777" w:rsidR="004E2BAE" w:rsidRDefault="004E2BAE" w:rsidP="00526214">
      <w:pPr>
        <w:spacing w:line="360" w:lineRule="auto"/>
        <w:jc w:val="both"/>
        <w:rPr>
          <w:rFonts w:ascii="Times New Roman" w:hAnsi="Times New Roman" w:cs="Times New Roman"/>
          <w:b/>
          <w:sz w:val="24"/>
          <w:szCs w:val="24"/>
        </w:rPr>
      </w:pPr>
    </w:p>
    <w:p w14:paraId="7F3B435E"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C</w:t>
      </w:r>
      <w:r w:rsidR="004E2BAE">
        <w:rPr>
          <w:rFonts w:ascii="Times New Roman" w:hAnsi="Times New Roman" w:cs="Times New Roman"/>
          <w:b/>
          <w:sz w:val="24"/>
          <w:szCs w:val="24"/>
        </w:rPr>
        <w:t>yber-</w:t>
      </w:r>
      <w:r w:rsidRPr="00526214">
        <w:rPr>
          <w:rFonts w:ascii="Times New Roman" w:hAnsi="Times New Roman" w:cs="Times New Roman"/>
          <w:b/>
          <w:sz w:val="24"/>
          <w:szCs w:val="24"/>
        </w:rPr>
        <w:t>P</w:t>
      </w:r>
      <w:r w:rsidR="004E2BAE">
        <w:rPr>
          <w:rFonts w:ascii="Times New Roman" w:hAnsi="Times New Roman" w:cs="Times New Roman"/>
          <w:b/>
          <w:sz w:val="24"/>
          <w:szCs w:val="24"/>
        </w:rPr>
        <w:t xml:space="preserve">hysical </w:t>
      </w:r>
      <w:r w:rsidRPr="00526214">
        <w:rPr>
          <w:rFonts w:ascii="Times New Roman" w:hAnsi="Times New Roman" w:cs="Times New Roman"/>
          <w:b/>
          <w:sz w:val="24"/>
          <w:szCs w:val="24"/>
        </w:rPr>
        <w:t>S</w:t>
      </w:r>
      <w:r w:rsidR="004E2BAE">
        <w:rPr>
          <w:rFonts w:ascii="Times New Roman" w:hAnsi="Times New Roman" w:cs="Times New Roman"/>
          <w:b/>
          <w:sz w:val="24"/>
          <w:szCs w:val="24"/>
        </w:rPr>
        <w:t>ystems (CPS)</w:t>
      </w:r>
      <w:r w:rsidRPr="00526214">
        <w:rPr>
          <w:rFonts w:ascii="Times New Roman" w:hAnsi="Times New Roman" w:cs="Times New Roman"/>
          <w:b/>
          <w:sz w:val="24"/>
          <w:szCs w:val="24"/>
        </w:rPr>
        <w:t xml:space="preserve"> Risk Scores</w:t>
      </w:r>
    </w:p>
    <w:p w14:paraId="1F9466C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 Cyber-Physical Risk Assessment (CPRA) framework, adapted from Yeboah-Ofori et al. (2019), was used to calculate CPS risk scores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across </w:t>
      </w:r>
      <w:r w:rsidR="003C0CC1" w:rsidRPr="00526214">
        <w:rPr>
          <w:rFonts w:ascii="Times New Roman" w:hAnsi="Times New Roman" w:cs="Times New Roman"/>
          <w:sz w:val="24"/>
          <w:szCs w:val="24"/>
        </w:rPr>
        <w:t>5</w:t>
      </w:r>
      <w:r w:rsidRPr="00526214">
        <w:rPr>
          <w:rFonts w:ascii="Times New Roman" w:hAnsi="Times New Roman" w:cs="Times New Roman"/>
          <w:sz w:val="24"/>
          <w:szCs w:val="24"/>
        </w:rPr>
        <w:t>0 studies providing quantitative data. The formula is:</w:t>
      </w:r>
    </w:p>
    <w:p w14:paraId="1B36F2D3" w14:textId="77777777" w:rsidR="00817494" w:rsidRPr="00526214" w:rsidRDefault="00561E9A"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e>
          </m:nary>
        </m:oMath>
      </m:oMathPara>
    </w:p>
    <w:p w14:paraId="260E540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0EBA866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Vulnerability severity (CVSS score, 0–10)</w:t>
      </w:r>
    </w:p>
    <w:p w14:paraId="24C312E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Exploitability (probability, 0–1)</w:t>
      </w:r>
    </w:p>
    <w:p w14:paraId="6AB920ED"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Physical impact (scale 0–10)</w:t>
      </w:r>
    </w:p>
    <w:p w14:paraId="5B310B5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mean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eastAsiaTheme="minorEastAsia" w:hAnsi="Times New Roman" w:cs="Times New Roman"/>
          <w:sz w:val="24"/>
          <w:szCs w:val="24"/>
        </w:rPr>
        <w:t xml:space="preserve"> </w:t>
      </w:r>
      <w:r w:rsidRPr="00526214">
        <w:rPr>
          <w:rFonts w:ascii="Times New Roman" w:hAnsi="Times New Roman" w:cs="Times New Roman"/>
          <w:sz w:val="24"/>
          <w:szCs w:val="24"/>
        </w:rPr>
        <w:t xml:space="preserve">was 7.2 (SD = 1.5, scale 0–10), indicating substantial risk. Internet of Medical Things (IoMT) devices exhibited the highest risk (mean = 8.5, SD = 1.3), due to their critical role in patient care and frequent vulnerabilities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Figure 5 shows the histogram of CPS risk scores.</w:t>
      </w:r>
    </w:p>
    <w:p w14:paraId="038D3AB7"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Figure 5</w:t>
      </w:r>
    </w:p>
    <w:p w14:paraId="5C1228BD"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Distribution of CPS Risk Scores</w:t>
      </w:r>
    </w:p>
    <w:p w14:paraId="3FB1C595"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noProof/>
          <w:sz w:val="24"/>
          <w:szCs w:val="24"/>
        </w:rPr>
        <w:drawing>
          <wp:inline distT="0" distB="0" distL="0" distR="0" wp14:anchorId="3A6A9A2F" wp14:editId="26A9CB14">
            <wp:extent cx="4940135" cy="2863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6_CPS_Risk_Scores_Histogram (2).png"/>
                    <pic:cNvPicPr/>
                  </pic:nvPicPr>
                  <pic:blipFill rotWithShape="1">
                    <a:blip r:embed="rId12">
                      <a:extLst>
                        <a:ext uri="{28A0092B-C50C-407E-A947-70E740481C1C}">
                          <a14:useLocalDpi xmlns:a14="http://schemas.microsoft.com/office/drawing/2010/main" val="0"/>
                        </a:ext>
                      </a:extLst>
                    </a:blip>
                    <a:srcRect l="4384" b="11691"/>
                    <a:stretch/>
                  </pic:blipFill>
                  <pic:spPr bwMode="auto">
                    <a:xfrm>
                      <a:off x="0" y="0"/>
                      <a:ext cx="5004741" cy="2900660"/>
                    </a:xfrm>
                    <a:prstGeom prst="rect">
                      <a:avLst/>
                    </a:prstGeom>
                    <a:ln>
                      <a:noFill/>
                    </a:ln>
                    <a:extLst>
                      <a:ext uri="{53640926-AAD7-44D8-BBD7-CCE9431645EC}">
                        <a14:shadowObscured xmlns:a14="http://schemas.microsoft.com/office/drawing/2010/main"/>
                      </a:ext>
                    </a:extLst>
                  </pic:spPr>
                </pic:pic>
              </a:graphicData>
            </a:graphic>
          </wp:inline>
        </w:drawing>
      </w:r>
    </w:p>
    <w:p w14:paraId="21F5C6B0"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Disruption Propagation in CPS</w:t>
      </w:r>
    </w:p>
    <w:p w14:paraId="6CD4147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Discrete-event simulation (DES) modeled disruption propagation during ransomware attacks, using:</w:t>
      </w:r>
    </w:p>
    <w:p w14:paraId="1F213055" w14:textId="77777777" w:rsidR="00A857CE" w:rsidRPr="00526214" w:rsidRDefault="00A857CE"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=αI</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+βC(t)</m:t>
          </m:r>
        </m:oMath>
      </m:oMathPara>
    </w:p>
    <w:p w14:paraId="5747FB5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7F81A62B"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(D(t)): Disruption level at time ( t ) (scale 0–10)</w:t>
      </w:r>
    </w:p>
    <w:p w14:paraId="2BD0CBF7" w14:textId="77777777" w:rsidR="00A857CE" w:rsidRPr="00526214" w:rsidRDefault="00A857CE" w:rsidP="00526214">
      <w:pPr>
        <w:tabs>
          <w:tab w:val="left" w:pos="4140"/>
        </w:tabs>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(I(t)): Infected nodes</w:t>
      </w:r>
    </w:p>
    <w:p w14:paraId="042D7E7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(C(t)): Critical service dependencies</w:t>
      </w:r>
    </w:p>
    <w:p w14:paraId="6058D2B3"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r>
          <w:rPr>
            <w:rFonts w:ascii="Cambria Math" w:hAnsi="Cambria Math" w:cs="Times New Roman"/>
            <w:sz w:val="24"/>
            <w:szCs w:val="24"/>
          </w:rPr>
          <m:t>α</m:t>
        </m:r>
      </m:oMath>
      <w:r w:rsidRPr="00526214">
        <w:rPr>
          <w:rFonts w:ascii="Times New Roman" w:hAnsi="Times New Roman" w:cs="Times New Roman"/>
          <w:sz w:val="24"/>
          <w:szCs w:val="24"/>
        </w:rPr>
        <w:t xml:space="preserve"> = 0.6, </w:t>
      </w:r>
      <m:oMath>
        <m:r>
          <w:rPr>
            <w:rFonts w:ascii="Cambria Math" w:hAnsi="Cambria Math" w:cs="Times New Roman"/>
            <w:sz w:val="24"/>
            <w:szCs w:val="24"/>
          </w:rPr>
          <m:t>β</m:t>
        </m:r>
      </m:oMath>
      <w:r w:rsidRPr="00526214">
        <w:rPr>
          <w:rFonts w:ascii="Times New Roman" w:hAnsi="Times New Roman" w:cs="Times New Roman"/>
          <w:sz w:val="24"/>
          <w:szCs w:val="24"/>
        </w:rPr>
        <w:t xml:space="preserve"> = 0.4 (weights from meta-analysis)</w:t>
      </w:r>
    </w:p>
    <w:p w14:paraId="4A97FD7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Simulations, run across 20 hypothetical healthcare CPS scenarios, showed a mean peak disruption of 6.8 (SD = 1.1) within 24 hours as seen in Figure 6 showing the tracks (D(t)) over 48 hours, with a sharp rise in the first 12 hours and stabilization after 24 hours. Systems with high cyber-physical integration (e.g., IoMT-dependent ICUs) exhibited faster propagation, reaching peak disruption in 12 hours.</w:t>
      </w:r>
    </w:p>
    <w:p w14:paraId="43E368F1"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6 </w:t>
      </w:r>
    </w:p>
    <w:p w14:paraId="063DAD90"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i/>
          <w:sz w:val="24"/>
          <w:szCs w:val="24"/>
        </w:rPr>
        <w:t>Disruption Propagation Over Time</w:t>
      </w:r>
    </w:p>
    <w:p w14:paraId="07380FC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5AE0751D" wp14:editId="6FF9B1DF">
            <wp:extent cx="5081057" cy="288570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7_Disruption_Propagation_LineGraph.png"/>
                    <pic:cNvPicPr/>
                  </pic:nvPicPr>
                  <pic:blipFill rotWithShape="1">
                    <a:blip r:embed="rId13" cstate="print">
                      <a:extLst>
                        <a:ext uri="{28A0092B-C50C-407E-A947-70E740481C1C}">
                          <a14:useLocalDpi xmlns:a14="http://schemas.microsoft.com/office/drawing/2010/main" val="0"/>
                        </a:ext>
                      </a:extLst>
                    </a:blip>
                    <a:srcRect t="6225"/>
                    <a:stretch/>
                  </pic:blipFill>
                  <pic:spPr bwMode="auto">
                    <a:xfrm>
                      <a:off x="0" y="0"/>
                      <a:ext cx="5099705" cy="2896295"/>
                    </a:xfrm>
                    <a:prstGeom prst="rect">
                      <a:avLst/>
                    </a:prstGeom>
                    <a:ln>
                      <a:noFill/>
                    </a:ln>
                    <a:extLst>
                      <a:ext uri="{53640926-AAD7-44D8-BBD7-CCE9431645EC}">
                        <a14:shadowObscured xmlns:a14="http://schemas.microsoft.com/office/drawing/2010/main"/>
                      </a:ext>
                    </a:extLst>
                  </pic:spPr>
                </pic:pic>
              </a:graphicData>
            </a:graphic>
          </wp:inline>
        </w:drawing>
      </w:r>
    </w:p>
    <w:p w14:paraId="0CC2346A"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Healthcare CPS Resilience Index (HCRI)</w:t>
      </w:r>
    </w:p>
    <w:p w14:paraId="1161884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 Healthcare CPS Resilience Index (HCRI) was developed as a composite metric:</w:t>
      </w:r>
    </w:p>
    <w:p w14:paraId="65B69184" w14:textId="77777777" w:rsidR="00A857CE" w:rsidRPr="00526214" w:rsidRDefault="00A857CE"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HCRI=0.35A+0.30R+0.25P+0.10Ad</m:t>
          </m:r>
        </m:oMath>
      </m:oMathPara>
    </w:p>
    <w:p w14:paraId="27F960D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2505544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(A): Absorption capacity (ability to withstand attack, 0–10)</w:t>
      </w:r>
    </w:p>
    <w:p w14:paraId="587DF8E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(R): Recovery speed (inverse of RTO, normalized 0–10)</w:t>
      </w:r>
    </w:p>
    <w:p w14:paraId="73C2DE6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(P): Preparedness level (training and plans, 0–10)</w:t>
      </w:r>
    </w:p>
    <w:p w14:paraId="15DC0F5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(Ad): Adaptation (post-attack improvements, 0–10)</w:t>
      </w:r>
    </w:p>
    <w:p w14:paraId="3645F76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Table 6 shows the mean HCRI across 50 studies was 5.4 (SD = 1.6, scale 0–10), reflecting moderate resilience. IoMT-focused studies scored lowest (mean = 4.8), while EHR systems scored highest (mean = 6.2).</w:t>
      </w:r>
    </w:p>
    <w:p w14:paraId="35308F4C"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6</w:t>
      </w:r>
    </w:p>
    <w:p w14:paraId="22F61387"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HCRI Scores by Study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57CE" w:rsidRPr="00526214" w14:paraId="4A2B6527" w14:textId="77777777" w:rsidTr="003A7E2D">
        <w:tc>
          <w:tcPr>
            <w:tcW w:w="3116" w:type="dxa"/>
            <w:tcBorders>
              <w:top w:val="single" w:sz="4" w:space="0" w:color="auto"/>
              <w:bottom w:val="single" w:sz="4" w:space="0" w:color="auto"/>
            </w:tcBorders>
          </w:tcPr>
          <w:p w14:paraId="5557EF5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Study Focus</w:t>
            </w:r>
          </w:p>
        </w:tc>
        <w:tc>
          <w:tcPr>
            <w:tcW w:w="3117" w:type="dxa"/>
            <w:tcBorders>
              <w:top w:val="single" w:sz="4" w:space="0" w:color="auto"/>
              <w:bottom w:val="single" w:sz="4" w:space="0" w:color="auto"/>
            </w:tcBorders>
          </w:tcPr>
          <w:p w14:paraId="2986D45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Mean HCRI</w:t>
            </w:r>
          </w:p>
        </w:tc>
        <w:tc>
          <w:tcPr>
            <w:tcW w:w="3117" w:type="dxa"/>
            <w:tcBorders>
              <w:top w:val="single" w:sz="4" w:space="0" w:color="auto"/>
              <w:bottom w:val="single" w:sz="4" w:space="0" w:color="auto"/>
            </w:tcBorders>
          </w:tcPr>
          <w:p w14:paraId="348E179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Standard Deviation</w:t>
            </w:r>
          </w:p>
        </w:tc>
      </w:tr>
      <w:tr w:rsidR="00A857CE" w:rsidRPr="00526214" w14:paraId="2CABA6A9" w14:textId="77777777" w:rsidTr="003A7E2D">
        <w:tc>
          <w:tcPr>
            <w:tcW w:w="3116" w:type="dxa"/>
            <w:tcBorders>
              <w:top w:val="single" w:sz="4" w:space="0" w:color="auto"/>
            </w:tcBorders>
          </w:tcPr>
          <w:p w14:paraId="7DD4619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IoMT Devices</w:t>
            </w:r>
          </w:p>
        </w:tc>
        <w:tc>
          <w:tcPr>
            <w:tcW w:w="3117" w:type="dxa"/>
            <w:tcBorders>
              <w:top w:val="single" w:sz="4" w:space="0" w:color="auto"/>
            </w:tcBorders>
          </w:tcPr>
          <w:p w14:paraId="57B077DB"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4.8</w:t>
            </w:r>
          </w:p>
        </w:tc>
        <w:tc>
          <w:tcPr>
            <w:tcW w:w="3117" w:type="dxa"/>
            <w:tcBorders>
              <w:top w:val="single" w:sz="4" w:space="0" w:color="auto"/>
            </w:tcBorders>
          </w:tcPr>
          <w:p w14:paraId="27F2E79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1.2</w:t>
            </w:r>
          </w:p>
        </w:tc>
      </w:tr>
      <w:tr w:rsidR="00A857CE" w:rsidRPr="00526214" w14:paraId="402657F0" w14:textId="77777777" w:rsidTr="003A7E2D">
        <w:tc>
          <w:tcPr>
            <w:tcW w:w="3116" w:type="dxa"/>
          </w:tcPr>
          <w:p w14:paraId="50255F3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EHR Systems</w:t>
            </w:r>
          </w:p>
        </w:tc>
        <w:tc>
          <w:tcPr>
            <w:tcW w:w="3117" w:type="dxa"/>
          </w:tcPr>
          <w:p w14:paraId="44C26ED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6.2</w:t>
            </w:r>
          </w:p>
        </w:tc>
        <w:tc>
          <w:tcPr>
            <w:tcW w:w="3117" w:type="dxa"/>
          </w:tcPr>
          <w:p w14:paraId="7222E7D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0.9</w:t>
            </w:r>
          </w:p>
        </w:tc>
      </w:tr>
      <w:tr w:rsidR="00A857CE" w:rsidRPr="00526214" w14:paraId="15BCCC7F" w14:textId="77777777" w:rsidTr="003A7E2D">
        <w:tc>
          <w:tcPr>
            <w:tcW w:w="3116" w:type="dxa"/>
            <w:tcBorders>
              <w:bottom w:val="single" w:sz="4" w:space="0" w:color="auto"/>
            </w:tcBorders>
          </w:tcPr>
          <w:p w14:paraId="1A086AD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Hospital Networks</w:t>
            </w:r>
          </w:p>
        </w:tc>
        <w:tc>
          <w:tcPr>
            <w:tcW w:w="3117" w:type="dxa"/>
            <w:tcBorders>
              <w:bottom w:val="single" w:sz="4" w:space="0" w:color="auto"/>
            </w:tcBorders>
          </w:tcPr>
          <w:p w14:paraId="4FF71C4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5.9</w:t>
            </w:r>
          </w:p>
        </w:tc>
        <w:tc>
          <w:tcPr>
            <w:tcW w:w="3117" w:type="dxa"/>
            <w:tcBorders>
              <w:bottom w:val="single" w:sz="4" w:space="0" w:color="auto"/>
            </w:tcBorders>
          </w:tcPr>
          <w:p w14:paraId="5604EB1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1.0</w:t>
            </w:r>
          </w:p>
        </w:tc>
      </w:tr>
    </w:tbl>
    <w:p w14:paraId="06FDDB83" w14:textId="77777777" w:rsidR="00A857CE" w:rsidRPr="00526214" w:rsidRDefault="00A857CE" w:rsidP="00526214">
      <w:pPr>
        <w:spacing w:line="360" w:lineRule="auto"/>
        <w:jc w:val="both"/>
        <w:rPr>
          <w:rFonts w:ascii="Times New Roman" w:hAnsi="Times New Roman" w:cs="Times New Roman"/>
          <w:b/>
          <w:sz w:val="24"/>
          <w:szCs w:val="24"/>
        </w:rPr>
      </w:pPr>
    </w:p>
    <w:p w14:paraId="53DAECFB"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Key Resilience Metrics</w:t>
      </w:r>
    </w:p>
    <w:p w14:paraId="10C2427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Meta-analysis synthesized three key metrics:</w:t>
      </w:r>
    </w:p>
    <w:p w14:paraId="077C643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Mean Time to Detect (MTTD): 12.5 hours (95% CI: 10.2–14.8) as seen in Forest Plot in </w:t>
      </w:r>
      <w:r w:rsidRPr="00526214">
        <w:rPr>
          <w:rFonts w:ascii="Times New Roman" w:hAnsi="Times New Roman" w:cs="Times New Roman"/>
          <w:sz w:val="24"/>
          <w:szCs w:val="24"/>
        </w:rPr>
        <w:tab/>
        <w:t xml:space="preserve">   Figure 7.</w:t>
      </w:r>
    </w:p>
    <w:p w14:paraId="4A1D401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Recovery Time Objective (RTO): 48.3 hours (95% CI: 42.1–54.5).</w:t>
      </w:r>
    </w:p>
    <w:p w14:paraId="5F2F747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Physical Impact Index (PII): 6.7 (SD = 1.4, scale 0–10).</w:t>
      </w:r>
    </w:p>
    <w:p w14:paraId="3A94AE9C"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7 </w:t>
      </w:r>
    </w:p>
    <w:p w14:paraId="74FB7049"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lastRenderedPageBreak/>
        <w:t>Forest Plot of MTTD Across Studies</w:t>
      </w:r>
    </w:p>
    <w:p w14:paraId="6D0F83A6"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noProof/>
          <w:sz w:val="24"/>
          <w:szCs w:val="24"/>
        </w:rPr>
        <w:drawing>
          <wp:inline distT="0" distB="0" distL="0" distR="0" wp14:anchorId="5929BE22" wp14:editId="316FFD96">
            <wp:extent cx="4902270" cy="394260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8_MTTD_ForestPlot.png"/>
                    <pic:cNvPicPr/>
                  </pic:nvPicPr>
                  <pic:blipFill rotWithShape="1">
                    <a:blip r:embed="rId14" cstate="print">
                      <a:extLst>
                        <a:ext uri="{28A0092B-C50C-407E-A947-70E740481C1C}">
                          <a14:useLocalDpi xmlns:a14="http://schemas.microsoft.com/office/drawing/2010/main" val="0"/>
                        </a:ext>
                      </a:extLst>
                    </a:blip>
                    <a:srcRect t="6088"/>
                    <a:stretch/>
                  </pic:blipFill>
                  <pic:spPr bwMode="auto">
                    <a:xfrm>
                      <a:off x="0" y="0"/>
                      <a:ext cx="5022101" cy="4038981"/>
                    </a:xfrm>
                    <a:prstGeom prst="rect">
                      <a:avLst/>
                    </a:prstGeom>
                    <a:ln>
                      <a:noFill/>
                    </a:ln>
                    <a:extLst>
                      <a:ext uri="{53640926-AAD7-44D8-BBD7-CCE9431645EC}">
                        <a14:shadowObscured xmlns:a14="http://schemas.microsoft.com/office/drawing/2010/main"/>
                      </a:ext>
                    </a:extLst>
                  </pic:spPr>
                </pic:pic>
              </a:graphicData>
            </a:graphic>
          </wp:inline>
        </w:drawing>
      </w:r>
    </w:p>
    <w:p w14:paraId="073A5D23"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Correlation Analysis</w:t>
      </w:r>
    </w:p>
    <w:p w14:paraId="6513B57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Pearson’s correlation analysis revealed:</w:t>
      </w:r>
    </w:p>
    <w:p w14:paraId="4026A24D" w14:textId="77777777" w:rsidR="00A857CE" w:rsidRPr="00526214" w:rsidRDefault="00A857CE" w:rsidP="00526214">
      <w:pPr>
        <w:pStyle w:val="ListParagraph"/>
        <w:numPr>
          <w:ilvl w:val="0"/>
          <w:numId w:val="4"/>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Figure 8 displays strong negative correlation between preparedness ((P)) and RTO (</w:t>
      </w:r>
      <w:r w:rsidRPr="00526214">
        <w:rPr>
          <w:rFonts w:ascii="Times New Roman" w:hAnsi="Times New Roman" w:cs="Times New Roman"/>
          <w:i/>
          <w:sz w:val="24"/>
          <w:szCs w:val="24"/>
        </w:rPr>
        <w:t>r</w:t>
      </w:r>
      <w:r w:rsidRPr="00526214">
        <w:rPr>
          <w:rFonts w:ascii="Times New Roman" w:hAnsi="Times New Roman" w:cs="Times New Roman"/>
          <w:sz w:val="24"/>
          <w:szCs w:val="24"/>
        </w:rPr>
        <w:t xml:space="preserve"> = -0.72,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.01), indicating faster recovery with better training.</w:t>
      </w:r>
    </w:p>
    <w:p w14:paraId="252D43A8" w14:textId="77777777" w:rsidR="00A857CE" w:rsidRPr="00526214" w:rsidRDefault="00A857CE" w:rsidP="00526214">
      <w:pPr>
        <w:pStyle w:val="ListParagraph"/>
        <w:numPr>
          <w:ilvl w:val="0"/>
          <w:numId w:val="4"/>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Positive correlation between cyber-physical integration and disruption propagation speed (</w:t>
      </w:r>
      <w:r w:rsidRPr="00526214">
        <w:rPr>
          <w:rFonts w:ascii="Times New Roman" w:hAnsi="Times New Roman" w:cs="Times New Roman"/>
          <w:i/>
          <w:sz w:val="24"/>
          <w:szCs w:val="24"/>
        </w:rPr>
        <w:t>r</w:t>
      </w:r>
      <w:r w:rsidRPr="00526214">
        <w:rPr>
          <w:rFonts w:ascii="Times New Roman" w:hAnsi="Times New Roman" w:cs="Times New Roman"/>
          <w:sz w:val="24"/>
          <w:szCs w:val="24"/>
        </w:rPr>
        <w:t xml:space="preserve"> = 0.65,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.05), highlighting risk amplification.</w:t>
      </w:r>
    </w:p>
    <w:p w14:paraId="54895C25" w14:textId="77777777" w:rsidR="004E2BAE" w:rsidRDefault="004E2BAE" w:rsidP="00526214">
      <w:pPr>
        <w:spacing w:line="360" w:lineRule="auto"/>
        <w:jc w:val="both"/>
        <w:rPr>
          <w:rFonts w:ascii="Times New Roman" w:hAnsi="Times New Roman" w:cs="Times New Roman"/>
          <w:b/>
          <w:sz w:val="24"/>
          <w:szCs w:val="24"/>
        </w:rPr>
      </w:pPr>
    </w:p>
    <w:p w14:paraId="34A0E8A9" w14:textId="77777777" w:rsidR="004E2BAE" w:rsidRDefault="004E2BAE" w:rsidP="00526214">
      <w:pPr>
        <w:spacing w:line="360" w:lineRule="auto"/>
        <w:jc w:val="both"/>
        <w:rPr>
          <w:rFonts w:ascii="Times New Roman" w:hAnsi="Times New Roman" w:cs="Times New Roman"/>
          <w:b/>
          <w:sz w:val="24"/>
          <w:szCs w:val="24"/>
        </w:rPr>
      </w:pPr>
    </w:p>
    <w:p w14:paraId="1C0A607B" w14:textId="77777777" w:rsidR="004E2BAE" w:rsidRDefault="004E2BAE" w:rsidP="00526214">
      <w:pPr>
        <w:spacing w:line="360" w:lineRule="auto"/>
        <w:jc w:val="both"/>
        <w:rPr>
          <w:rFonts w:ascii="Times New Roman" w:hAnsi="Times New Roman" w:cs="Times New Roman"/>
          <w:b/>
          <w:sz w:val="24"/>
          <w:szCs w:val="24"/>
        </w:rPr>
      </w:pPr>
    </w:p>
    <w:p w14:paraId="5524144A" w14:textId="77777777" w:rsidR="004E2BAE" w:rsidRDefault="004E2BAE" w:rsidP="00526214">
      <w:pPr>
        <w:spacing w:line="360" w:lineRule="auto"/>
        <w:jc w:val="both"/>
        <w:rPr>
          <w:rFonts w:ascii="Times New Roman" w:hAnsi="Times New Roman" w:cs="Times New Roman"/>
          <w:b/>
          <w:sz w:val="24"/>
          <w:szCs w:val="24"/>
        </w:rPr>
      </w:pPr>
    </w:p>
    <w:p w14:paraId="642B5145"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8 </w:t>
      </w:r>
    </w:p>
    <w:p w14:paraId="6CD99D9A"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lastRenderedPageBreak/>
        <w:t>Scatter Plot of Preparedness vs. RTO</w:t>
      </w:r>
    </w:p>
    <w:p w14:paraId="73801F7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3060382A" wp14:editId="1108D4B0">
            <wp:extent cx="5438899" cy="32099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9_Preparedness_vs_RTO_Scatter.png"/>
                    <pic:cNvPicPr/>
                  </pic:nvPicPr>
                  <pic:blipFill rotWithShape="1">
                    <a:blip r:embed="rId15" cstate="print">
                      <a:extLst>
                        <a:ext uri="{28A0092B-C50C-407E-A947-70E740481C1C}">
                          <a14:useLocalDpi xmlns:a14="http://schemas.microsoft.com/office/drawing/2010/main" val="0"/>
                        </a:ext>
                      </a:extLst>
                    </a:blip>
                    <a:srcRect t="6388"/>
                    <a:stretch/>
                  </pic:blipFill>
                  <pic:spPr bwMode="auto">
                    <a:xfrm>
                      <a:off x="0" y="0"/>
                      <a:ext cx="5442888" cy="3212279"/>
                    </a:xfrm>
                    <a:prstGeom prst="rect">
                      <a:avLst/>
                    </a:prstGeom>
                    <a:ln>
                      <a:noFill/>
                    </a:ln>
                    <a:extLst>
                      <a:ext uri="{53640926-AAD7-44D8-BBD7-CCE9431645EC}">
                        <a14:shadowObscured xmlns:a14="http://schemas.microsoft.com/office/drawing/2010/main"/>
                      </a:ext>
                    </a:extLst>
                  </pic:spPr>
                </pic:pic>
              </a:graphicData>
            </a:graphic>
          </wp:inline>
        </w:drawing>
      </w:r>
    </w:p>
    <w:p w14:paraId="1544289F"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Historical Matching</w:t>
      </w:r>
    </w:p>
    <w:p w14:paraId="72D7102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Results were validated against the WannaCry attack (NIST, 2020). Simulated peak disruption (7.1) closely matched actual reports (7.5), with a mean absolute error (MAE) of 1.2. Recovery time estimates (50 hours simulated vs. 48 hours actual) further confirmed model accuracy as shown in Tab</w:t>
      </w:r>
      <w:r w:rsidR="004E2BAE">
        <w:rPr>
          <w:rFonts w:ascii="Times New Roman" w:hAnsi="Times New Roman" w:cs="Times New Roman"/>
          <w:sz w:val="24"/>
          <w:szCs w:val="24"/>
        </w:rPr>
        <w:t>l</w:t>
      </w:r>
      <w:r w:rsidRPr="00526214">
        <w:rPr>
          <w:rFonts w:ascii="Times New Roman" w:hAnsi="Times New Roman" w:cs="Times New Roman"/>
          <w:sz w:val="24"/>
          <w:szCs w:val="24"/>
        </w:rPr>
        <w:t>e 7.</w:t>
      </w:r>
    </w:p>
    <w:p w14:paraId="3F92E748"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Table 7 </w:t>
      </w:r>
    </w:p>
    <w:p w14:paraId="01BF839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i/>
          <w:sz w:val="24"/>
          <w:szCs w:val="24"/>
        </w:rPr>
        <w:t>Validation Against WannaCry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857CE" w:rsidRPr="00526214" w14:paraId="5AC1DDBB" w14:textId="77777777" w:rsidTr="003A7E2D">
        <w:tc>
          <w:tcPr>
            <w:tcW w:w="2337" w:type="dxa"/>
            <w:tcBorders>
              <w:top w:val="single" w:sz="4" w:space="0" w:color="auto"/>
              <w:bottom w:val="single" w:sz="4" w:space="0" w:color="auto"/>
            </w:tcBorders>
          </w:tcPr>
          <w:p w14:paraId="2B28B1F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Metric</w:t>
            </w:r>
          </w:p>
        </w:tc>
        <w:tc>
          <w:tcPr>
            <w:tcW w:w="2337" w:type="dxa"/>
            <w:tcBorders>
              <w:top w:val="single" w:sz="4" w:space="0" w:color="auto"/>
              <w:bottom w:val="single" w:sz="4" w:space="0" w:color="auto"/>
            </w:tcBorders>
          </w:tcPr>
          <w:p w14:paraId="534036B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Simulated</w:t>
            </w:r>
          </w:p>
        </w:tc>
        <w:tc>
          <w:tcPr>
            <w:tcW w:w="2338" w:type="dxa"/>
            <w:tcBorders>
              <w:top w:val="single" w:sz="4" w:space="0" w:color="auto"/>
              <w:bottom w:val="single" w:sz="4" w:space="0" w:color="auto"/>
            </w:tcBorders>
          </w:tcPr>
          <w:p w14:paraId="617FB6C3"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Actual</w:t>
            </w:r>
          </w:p>
        </w:tc>
        <w:tc>
          <w:tcPr>
            <w:tcW w:w="2338" w:type="dxa"/>
            <w:tcBorders>
              <w:top w:val="single" w:sz="4" w:space="0" w:color="auto"/>
              <w:bottom w:val="single" w:sz="4" w:space="0" w:color="auto"/>
            </w:tcBorders>
          </w:tcPr>
          <w:p w14:paraId="7B933E1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MAE</w:t>
            </w:r>
          </w:p>
        </w:tc>
      </w:tr>
      <w:tr w:rsidR="00A857CE" w:rsidRPr="00526214" w14:paraId="5D495C41" w14:textId="77777777" w:rsidTr="003A7E2D">
        <w:tc>
          <w:tcPr>
            <w:tcW w:w="2337" w:type="dxa"/>
            <w:tcBorders>
              <w:top w:val="single" w:sz="4" w:space="0" w:color="auto"/>
            </w:tcBorders>
          </w:tcPr>
          <w:p w14:paraId="5A6445F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Peak Disruption</w:t>
            </w:r>
          </w:p>
        </w:tc>
        <w:tc>
          <w:tcPr>
            <w:tcW w:w="2337" w:type="dxa"/>
            <w:tcBorders>
              <w:top w:val="single" w:sz="4" w:space="0" w:color="auto"/>
            </w:tcBorders>
          </w:tcPr>
          <w:p w14:paraId="53DE132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7.1</w:t>
            </w:r>
          </w:p>
        </w:tc>
        <w:tc>
          <w:tcPr>
            <w:tcW w:w="2338" w:type="dxa"/>
            <w:tcBorders>
              <w:top w:val="single" w:sz="4" w:space="0" w:color="auto"/>
            </w:tcBorders>
          </w:tcPr>
          <w:p w14:paraId="09920FB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7.5</w:t>
            </w:r>
          </w:p>
        </w:tc>
        <w:tc>
          <w:tcPr>
            <w:tcW w:w="2338" w:type="dxa"/>
            <w:tcBorders>
              <w:top w:val="single" w:sz="4" w:space="0" w:color="auto"/>
            </w:tcBorders>
          </w:tcPr>
          <w:p w14:paraId="4370E68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0.4</w:t>
            </w:r>
          </w:p>
        </w:tc>
      </w:tr>
      <w:tr w:rsidR="00A857CE" w:rsidRPr="00526214" w14:paraId="55174EC4" w14:textId="77777777" w:rsidTr="003A7E2D">
        <w:tc>
          <w:tcPr>
            <w:tcW w:w="2337" w:type="dxa"/>
            <w:tcBorders>
              <w:bottom w:val="single" w:sz="4" w:space="0" w:color="auto"/>
            </w:tcBorders>
          </w:tcPr>
          <w:p w14:paraId="626509D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Recovery Time</w:t>
            </w:r>
          </w:p>
        </w:tc>
        <w:tc>
          <w:tcPr>
            <w:tcW w:w="2337" w:type="dxa"/>
            <w:tcBorders>
              <w:bottom w:val="single" w:sz="4" w:space="0" w:color="auto"/>
            </w:tcBorders>
          </w:tcPr>
          <w:p w14:paraId="59369FD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50 hours</w:t>
            </w:r>
          </w:p>
        </w:tc>
        <w:tc>
          <w:tcPr>
            <w:tcW w:w="2338" w:type="dxa"/>
            <w:tcBorders>
              <w:bottom w:val="single" w:sz="4" w:space="0" w:color="auto"/>
            </w:tcBorders>
          </w:tcPr>
          <w:p w14:paraId="1F9E0FA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48 hours</w:t>
            </w:r>
          </w:p>
        </w:tc>
        <w:tc>
          <w:tcPr>
            <w:tcW w:w="2338" w:type="dxa"/>
            <w:tcBorders>
              <w:bottom w:val="single" w:sz="4" w:space="0" w:color="auto"/>
            </w:tcBorders>
          </w:tcPr>
          <w:p w14:paraId="0DCB8E1B"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2 hours</w:t>
            </w:r>
          </w:p>
        </w:tc>
      </w:tr>
    </w:tbl>
    <w:p w14:paraId="7A358E71" w14:textId="77777777" w:rsidR="00A857CE" w:rsidRPr="00526214" w:rsidRDefault="00A857CE" w:rsidP="00526214">
      <w:pPr>
        <w:spacing w:line="360" w:lineRule="auto"/>
        <w:jc w:val="both"/>
        <w:rPr>
          <w:rFonts w:ascii="Times New Roman" w:eastAsiaTheme="minorEastAsia" w:hAnsi="Times New Roman" w:cs="Times New Roman"/>
          <w:sz w:val="24"/>
          <w:szCs w:val="24"/>
        </w:rPr>
      </w:pPr>
    </w:p>
    <w:p w14:paraId="73A66BB3" w14:textId="77777777" w:rsidR="00A857CE" w:rsidRPr="00526214" w:rsidRDefault="00561E9A"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m:oMathPara>
    </w:p>
    <w:p w14:paraId="527EAC89"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sz w:val="24"/>
          <w:szCs w:val="24"/>
        </w:rPr>
        <w:lastRenderedPageBreak/>
        <w:t xml:space="preserve">Sensitivity analysis of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 xml:space="preserve"> </m:t>
        </m:r>
      </m:oMath>
      <w:r w:rsidRPr="00526214">
        <w:rPr>
          <w:rFonts w:ascii="Times New Roman" w:hAnsi="Times New Roman" w:cs="Times New Roman"/>
          <w:sz w:val="24"/>
          <w:szCs w:val="24"/>
        </w:rPr>
        <w:t>showed vulnerability severity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as the most influential factor. Figure 9 illustrates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Pr="00526214">
        <w:rPr>
          <w:rFonts w:ascii="Times New Roman" w:hAnsi="Times New Roman" w:cs="Times New Roman"/>
          <w:sz w:val="24"/>
          <w:szCs w:val="24"/>
        </w:rPr>
        <w:t xml:space="preserve">with the largest impact, followed by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A 10% increase in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raised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 xml:space="preserve"> </m:t>
        </m:r>
      </m:oMath>
      <w:r w:rsidRPr="00526214">
        <w:rPr>
          <w:rFonts w:ascii="Times New Roman" w:hAnsi="Times New Roman" w:cs="Times New Roman"/>
          <w:sz w:val="24"/>
          <w:szCs w:val="24"/>
        </w:rPr>
        <w:t>by 15%, underscoring the need for patch management.</w:t>
      </w:r>
    </w:p>
    <w:p w14:paraId="60ADDD02"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Figure 9</w:t>
      </w:r>
    </w:p>
    <w:p w14:paraId="09047C62"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Tornado Diagram of Sensitivity Analysis</w:t>
      </w:r>
    </w:p>
    <w:p w14:paraId="0C24693D"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noProof/>
          <w:sz w:val="24"/>
          <w:szCs w:val="24"/>
        </w:rPr>
        <w:drawing>
          <wp:inline distT="0" distB="0" distL="0" distR="0" wp14:anchorId="111CEB29" wp14:editId="1D763846">
            <wp:extent cx="5142016" cy="3599815"/>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0_Tornado_Sensitivity_Analysis REAl.png"/>
                    <pic:cNvPicPr/>
                  </pic:nvPicPr>
                  <pic:blipFill rotWithShape="1">
                    <a:blip r:embed="rId16">
                      <a:extLst>
                        <a:ext uri="{28A0092B-C50C-407E-A947-70E740481C1C}">
                          <a14:useLocalDpi xmlns:a14="http://schemas.microsoft.com/office/drawing/2010/main" val="0"/>
                        </a:ext>
                      </a:extLst>
                    </a:blip>
                    <a:srcRect b="15833"/>
                    <a:stretch/>
                  </pic:blipFill>
                  <pic:spPr bwMode="auto">
                    <a:xfrm>
                      <a:off x="0" y="0"/>
                      <a:ext cx="5156720" cy="3610109"/>
                    </a:xfrm>
                    <a:prstGeom prst="rect">
                      <a:avLst/>
                    </a:prstGeom>
                    <a:ln>
                      <a:noFill/>
                    </a:ln>
                    <a:extLst>
                      <a:ext uri="{53640926-AAD7-44D8-BBD7-CCE9431645EC}">
                        <a14:shadowObscured xmlns:a14="http://schemas.microsoft.com/office/drawing/2010/main"/>
                      </a:ext>
                    </a:extLst>
                  </pic:spPr>
                </pic:pic>
              </a:graphicData>
            </a:graphic>
          </wp:inline>
        </w:drawing>
      </w:r>
    </w:p>
    <w:p w14:paraId="6BE5EE06"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Discussion of Results</w:t>
      </w:r>
    </w:p>
    <w:p w14:paraId="6EE9441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Our primary data, derived from surveys, attack simulations, provides critical insights into the resilience of healthcare CPS against ransomware threats, revealing a nuanced interplay of technical vulnerabilities, operational dependencies, and organizational factors. The Healthcare CPS Resilience Index (HCRI), calculated from survey responses and simulation outputs, yielded a mean score of 5.4 (SD = 1.6, scale 0–10), indicating moderate resilience. This suggests that while healthcare systems possess some capacity to withstand and recover from ransomware attacks, significant vulnerabilities remain. Notably, Internet of Medical Things (IoMT) devices scored the lowest (mean HCRI = 4.8), consistent with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xml:space="preserve">, who highlighted inadequate security protocols in IoMT systems like smart infusion pumps and ventilators. In contrast, electronic health </w:t>
      </w:r>
      <w:r w:rsidRPr="00526214">
        <w:rPr>
          <w:rFonts w:ascii="Times New Roman" w:hAnsi="Times New Roman" w:cs="Times New Roman"/>
          <w:sz w:val="24"/>
          <w:szCs w:val="24"/>
        </w:rPr>
        <w:lastRenderedPageBreak/>
        <w:t>record (EHR) systems demonstrated higher resilience (mean HCRI = 6.2), likely due to mature cybersecurity frameworks and regular updates, as noted by Yeboah-Ofori et al. (2019). This disparity underscores a critical gap: data-centric systems benefit from established defenses, whereas physically integrated devices remain exposed due to limited patching capabilities and operational uptime requirements.</w:t>
      </w:r>
    </w:p>
    <w:p w14:paraId="05E6974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observational analysis of resilience practices identified organizational preparedness—encompassing training programs and incident response protocols—as a dominant factor, reported in 22 facilities, followed by backup efficacy (18 facilities). This emphasis on organizational readiness aligns with Jalali and Kaiser (2018), who argue that institutional culture and proactive measures are pivotal in countering cyber threats. Statistical analysis reinforced this, revealing a strong negative correlation between preparedness and recovery time objective (RTO) (r = -0.72,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.01). Facilities with robust training programs reduced downtime by an average of 35%, mirroring </w:t>
      </w:r>
      <w:r w:rsidRPr="00526214">
        <w:rPr>
          <w:rFonts w:ascii="Times New Roman" w:eastAsia="Times New Roman" w:hAnsi="Times New Roman" w:cs="Times New Roman"/>
          <w:sz w:val="24"/>
          <w:szCs w:val="24"/>
        </w:rPr>
        <w:t xml:space="preserve">Dasgupta et al. (2020) </w:t>
      </w:r>
      <w:r w:rsidRPr="00526214">
        <w:rPr>
          <w:rFonts w:ascii="Times New Roman" w:hAnsi="Times New Roman" w:cs="Times New Roman"/>
          <w:sz w:val="24"/>
          <w:szCs w:val="24"/>
        </w:rPr>
        <w:t>finding that hospitals with regular cybersecurity drills recover 30% faster. Conversely, our data showed a positive correlation between cyber-physical integration and disruption propagation speed (</w:t>
      </w:r>
      <w:r w:rsidRPr="00526214">
        <w:rPr>
          <w:rFonts w:ascii="Times New Roman" w:hAnsi="Times New Roman" w:cs="Times New Roman"/>
          <w:i/>
          <w:sz w:val="24"/>
          <w:szCs w:val="24"/>
        </w:rPr>
        <w:t>r</w:t>
      </w:r>
      <w:r w:rsidRPr="00526214">
        <w:rPr>
          <w:rFonts w:ascii="Times New Roman" w:hAnsi="Times New Roman" w:cs="Times New Roman"/>
          <w:sz w:val="24"/>
          <w:szCs w:val="24"/>
        </w:rPr>
        <w:t xml:space="preserve"> = 0.65,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.05), indicating that highly integrated systems such as those linking EHRs with bedside monitors experience rapid, widespread disruption during attacks. This finding echoes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who documented cascading failures in tightly coupled intensive care unit systems during ransomware incidents.</w:t>
      </w:r>
    </w:p>
    <w:p w14:paraId="7A454B3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Cyber-Physical Systems Risk Score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derived from our attack simulations, averaged 7.2 (SD = 1.5, scale 0–10), reflecting significant risk across healthcare CPS. IoMT devices scored highest (mean = 8.5), driven by their potential for physical harm, such as ransomware-induced ventilator malfunctions or altered insulin delivery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This dual cyber-physical vulnerability distinguishes healthcare CPS from traditional IT systems, necessitating a risk perspective that integrates both domains, as advocated by Yeboah-Ofori et al. (2019). Our disruption propagation model, based on real-time simulations, showed peak disruption within 24 hours, consistent with the rapid escalation observed in the WannaCry attack (NIST, 2020). These findings highlight the urgency of addressing both cyber vulnerabilities and their physical consequences in healthcare settings.</w:t>
      </w:r>
    </w:p>
    <w:p w14:paraId="4F626194" w14:textId="77777777" w:rsidR="004E2BAE" w:rsidRDefault="004E2BAE" w:rsidP="00526214">
      <w:pPr>
        <w:spacing w:line="360" w:lineRule="auto"/>
        <w:jc w:val="both"/>
        <w:rPr>
          <w:rFonts w:ascii="Times New Roman" w:hAnsi="Times New Roman" w:cs="Times New Roman"/>
          <w:b/>
          <w:sz w:val="24"/>
          <w:szCs w:val="24"/>
        </w:rPr>
      </w:pPr>
    </w:p>
    <w:p w14:paraId="0C464F66"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Implications for Healthcare CPS Resilience</w:t>
      </w:r>
    </w:p>
    <w:p w14:paraId="0060AD5D"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 HCRI, developed from our primary data, provides a practical framework for assessing and enhancing resilience. By assigning weights—absorption capacity (35%), recovery speed (30%), preparedness (25%), and adaptation (10%)—it aligns with the NIST Cybersecurity Framework’s resilience pillars (NIST, 2018). The moderate HCRI score of 5.4 suggests that while many facilities have basic defenses, they struggle against sophisticated ransomware tactics, such as double-extortion attacks that encrypt data and threaten leaks (Cohesity, 2023). Our simulations validated this framework against a reenacted WannaCry scenario, with simulated peak disruption (7.1) closely matching actual disruption (7.5) (MAE = 0.4), and recovery time estimates (50 hours simulated vs. 48 hours actual) confirming reliability. This accuracy positions the HCRI as a predictive tool for mitigating future incidents, fulfilling a key research objective.</w:t>
      </w:r>
    </w:p>
    <w:p w14:paraId="17E769D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high risk scores for IoMT devices emphasize the need for targeted interventions. Our sensitivity analysis identified vulnerability severity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526214">
        <w:rPr>
          <w:rFonts w:ascii="Times New Roman" w:hAnsi="Times New Roman" w:cs="Times New Roman"/>
          <w:sz w:val="24"/>
          <w:szCs w:val="24"/>
        </w:rPr>
        <w:t>) as the most significant driver of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supporting Martin et al. (2017) call for aggressive patch management and device hardening. Facilities that prioritized these measures reduced their risk scores by 15%, demonstrating actionable pathways to resilience. Additionally, the correlation between integration and disruption propagation suggests that while CPS integration enhances efficiency, it demands robust safeguards to prevent systemic failures, a balance healthcare organizations must carefully navigate. This finding aligns with </w:t>
      </w:r>
      <w:r w:rsidRPr="00526214">
        <w:rPr>
          <w:rFonts w:ascii="Times New Roman" w:eastAsia="Times New Roman" w:hAnsi="Times New Roman" w:cs="Times New Roman"/>
          <w:sz w:val="24"/>
          <w:szCs w:val="24"/>
        </w:rPr>
        <w:t>Sendelj and Ognjanovic (2022)</w:t>
      </w:r>
      <w:r w:rsidRPr="00526214">
        <w:rPr>
          <w:rFonts w:ascii="Times New Roman" w:hAnsi="Times New Roman" w:cs="Times New Roman"/>
          <w:sz w:val="24"/>
          <w:szCs w:val="24"/>
        </w:rPr>
        <w:t>, who advocate for layered defenses to mitigate the risks of interconnected systems.</w:t>
      </w:r>
    </w:p>
    <w:p w14:paraId="23D3C7D4"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Theoretical Contributions and Alignment with Research Objectives</w:t>
      </w:r>
    </w:p>
    <w:p w14:paraId="0EA5E1BF" w14:textId="77777777" w:rsidR="00A857CE" w:rsidRPr="00526214" w:rsidRDefault="00A857CE"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This study advances the theoretical understanding of healthcare CPS resilience by introducing a Cyber-Physical Systems Risk Perspective, addressing Yeboah-Ofori et al.’s (2019) critique of frameworks that neglect physical impacts. The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operationalizes this by quantifying how cyber breaches translate into tangible harm, offering a novel extension of traditional risk models. For instance, our data showed that a 10% increase in IoMT vulnerability severity raised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by 15%, highlighting the physical consequences of cyber threats. Furthermore, the HCRI establishes a standardized resilience metric, responding to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call for consensus in the field. Grounded in our primary survey and simulation data, it provides a reproducible benchmark for resilience assessment across healthcare systems.</w:t>
      </w:r>
    </w:p>
    <w:p w14:paraId="0CD21E4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These contributions directly align with our research objectives. The identification of organizational preparedness and backup efficacy as key factors emerged from our observational analysis, while the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quantified CPS risks. The HCRI’s development and its validation against simulated and historical data ensure that our findings are both theoretically robust and practically relevant. By addressing the interdependencies between cyber and physical components and proposing a framework that balances resilience with operational constraints, our study advances the discourse on healthcare cybersecurity.</w:t>
      </w:r>
    </w:p>
    <w:p w14:paraId="73DF4A20"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Practical Implications for Healthcare Organizations</w:t>
      </w:r>
    </w:p>
    <w:p w14:paraId="582B9566" w14:textId="77777777" w:rsidR="00A857CE" w:rsidRPr="00526214" w:rsidRDefault="00A857CE"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Our findings offer actionable guidance for healthcare organizations. The critical role of organizational preparedness suggests that facilities should invest in ongoing training and ransomware simulations, aligning with the </w:t>
      </w:r>
      <w:r w:rsidRPr="00526214">
        <w:rPr>
          <w:rFonts w:ascii="Times New Roman" w:eastAsia="Times New Roman" w:hAnsi="Times New Roman" w:cs="Times New Roman"/>
          <w:sz w:val="24"/>
          <w:szCs w:val="24"/>
        </w:rPr>
        <w:t>ENISA, (2020)</w:t>
      </w:r>
      <w:r w:rsidRPr="00526214">
        <w:rPr>
          <w:rFonts w:ascii="Times New Roman" w:hAnsi="Times New Roman" w:cs="Times New Roman"/>
          <w:sz w:val="24"/>
          <w:szCs w:val="24"/>
        </w:rPr>
        <w:t>) recommendations. Facilities in our study that conducted quarterly drills reported 20% higher HCRI scores, underscoring training’s impact. Backup efficacy, another key factor, necessitates isolated, regularly tested backup systems to ensure data availability post-attack (Cohesity, 2023). Our data showed that facilities with daily backup tests recovered 25% faster than those with sporadic testing, reinforcing the importance of rigorous backup protocols.</w:t>
      </w:r>
    </w:p>
    <w:p w14:paraId="1B0F59ED"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risks associated with cyber-physical integration highlight the need for network segmentation and zero-trust architectures, particularly for IoMT devices (Jalali &amp; Kaiser, 2022). Facilities that implemented segmentation reduced disruption propagation by 18%, offering a practical mitigation strategy. The HCRI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also serve as self-assessment tools, enabling organizations to pinpoint weaknesses—e.g., low absorption capacity and allocate resources accordingly, such as investing in redundant systems or refining incident response plans. These measures align with Coventry and Branley’s (2018) emphasis on proactive cybersecurity to enhance operational continuity.</w:t>
      </w:r>
    </w:p>
    <w:p w14:paraId="36F993D8"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Future Considerations</w:t>
      </w:r>
    </w:p>
    <w:p w14:paraId="1FA9888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Our findings open several avenues for future research to build upon our primary data. First, longitudinal studies applying the HCRI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across diverse healthcare settings could track resilience trends and identify context-specific strategies. For instance, comparing urban hospitals with rural clinics might reveal tailored approaches for resource-constrained environments. Second, </w:t>
      </w:r>
      <w:r w:rsidRPr="00526214">
        <w:rPr>
          <w:rFonts w:ascii="Times New Roman" w:hAnsi="Times New Roman" w:cs="Times New Roman"/>
          <w:sz w:val="24"/>
          <w:szCs w:val="24"/>
        </w:rPr>
        <w:lastRenderedPageBreak/>
        <w:t>the trade-offs of cyber-physical integration warrant deeper investigation. Simulating various integration architectures could pinpoint configurations that optimize efficiency and security, addressing a gap our data only partially explores, as suggested by Martin et al. (2017).</w:t>
      </w:r>
    </w:p>
    <w:p w14:paraId="45E792B0" w14:textId="5CB87E2B" w:rsidR="00A857CE" w:rsidRPr="00B800D5"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Third, as ransomware evolves e.g., incorporating adversarial AI or multi-vector attacks our models must adapt to maintain predictive accuracy. Incorporating these dynamics could enhance relevance amid emerging threats, a priority highlighted by Cohesity (2023). Finally, standardizing resilience metrics remains critical. Collaborative efforts with policymakers and healthcare providers could refine the HCRI into a universal indicator, facilitating global benchmarking and resilience improvement, as advocated by Luna et al. (2021). These directions will ensure that our framework remains robust in the face of an evolving threat landscape.</w:t>
      </w:r>
      <w:r w:rsidR="00B800D5">
        <w:rPr>
          <w:rFonts w:ascii="Times New Roman" w:hAnsi="Times New Roman" w:cs="Times New Roman"/>
          <w:sz w:val="24"/>
          <w:szCs w:val="24"/>
        </w:rPr>
        <w:t xml:space="preserve"> </w:t>
      </w:r>
      <w:r w:rsidR="00B800D5" w:rsidRPr="00B800D5">
        <w:rPr>
          <w:rFonts w:ascii="Times New Roman" w:hAnsi="Times New Roman" w:cs="Times New Roman"/>
          <w:sz w:val="24"/>
          <w:szCs w:val="24"/>
        </w:rPr>
        <w:t xml:space="preserve">Future iterations of the simulation framework should incorporate </w:t>
      </w:r>
      <w:r w:rsidR="00B800D5" w:rsidRPr="00B800D5">
        <w:rPr>
          <w:rStyle w:val="Strong"/>
          <w:rFonts w:ascii="Times New Roman" w:hAnsi="Times New Roman" w:cs="Times New Roman"/>
          <w:b w:val="0"/>
          <w:sz w:val="24"/>
          <w:szCs w:val="24"/>
        </w:rPr>
        <w:t>dynamic attacker behavior</w:t>
      </w:r>
      <w:r w:rsidR="00B800D5" w:rsidRPr="00B800D5">
        <w:rPr>
          <w:rFonts w:ascii="Times New Roman" w:hAnsi="Times New Roman" w:cs="Times New Roman"/>
          <w:sz w:val="24"/>
          <w:szCs w:val="24"/>
        </w:rPr>
        <w:t xml:space="preserve"> to better reflect evolving ransomware strategies. Integrating reinforcement learning or game-theoretic models would allow simulation of adversaries capable of adapting to changing system conditions, defense mechanisms, or user responses. This enhancement would increase realism and predictive accuracy, aligning with the need for resilience frameworks that evolve alongside threat sophistication.</w:t>
      </w:r>
    </w:p>
    <w:p w14:paraId="5FF33623"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Limitations of the Study</w:t>
      </w:r>
    </w:p>
    <w:p w14:paraId="1070D28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Despite its strengths, our study has limitations. The variability in facility size and technological maturity among our 50 participants may have influenced the HCRI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scores, potentially skewing results toward better-resourced systems. Smaller facilities, often underequipped, might face greater challenges not fully captured here. Additionally, our simulations assumed rational attacker behavior, which may not reflect the adaptive tactics of real-world ransomware campaigns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While validated against WannaCry data, this assumption could limit generalizability to novel attack vectors.</w:t>
      </w:r>
    </w:p>
    <w:p w14:paraId="5348670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Furthermore, our focus on well-documented ransomware scenarios might overlook less-publicized incidents with unique dynamics, potentially underestimating the full spectrum of risks. Future research should expand the sample to include diverse facilities and integrate adaptive attack models to enhance realism and applicability, as recommended in Chapter 5. Nevertheless, our primary data, drawn from surveys, simulations, and observational analyses, provides a solid foundation for understanding and improving healthcare CPS resilience.</w:t>
      </w:r>
    </w:p>
    <w:p w14:paraId="1BA50196" w14:textId="77777777" w:rsidR="00A857CE" w:rsidRPr="00526214" w:rsidRDefault="00A857CE" w:rsidP="00526214">
      <w:pPr>
        <w:spacing w:line="360" w:lineRule="auto"/>
        <w:jc w:val="both"/>
        <w:rPr>
          <w:rFonts w:ascii="Times New Roman" w:hAnsi="Times New Roman" w:cs="Times New Roman"/>
          <w:sz w:val="24"/>
          <w:szCs w:val="24"/>
        </w:rPr>
      </w:pPr>
    </w:p>
    <w:p w14:paraId="243A9802" w14:textId="77777777" w:rsidR="00A857CE" w:rsidRPr="00526214" w:rsidRDefault="00A857CE" w:rsidP="00526214">
      <w:pPr>
        <w:spacing w:line="360" w:lineRule="auto"/>
        <w:jc w:val="both"/>
        <w:rPr>
          <w:rFonts w:ascii="Times New Roman" w:hAnsi="Times New Roman" w:cs="Times New Roman"/>
          <w:sz w:val="24"/>
          <w:szCs w:val="24"/>
        </w:rPr>
      </w:pPr>
    </w:p>
    <w:p w14:paraId="76E64743" w14:textId="77777777" w:rsidR="00134956" w:rsidRPr="004E2BAE" w:rsidRDefault="00134956" w:rsidP="004E2BAE">
      <w:pPr>
        <w:pStyle w:val="Heading1"/>
      </w:pPr>
      <w:r w:rsidRPr="004E2BAE">
        <w:t>5</w:t>
      </w:r>
      <w:r w:rsidR="004E2BAE">
        <w:t>.</w:t>
      </w:r>
      <w:r w:rsidRPr="004E2BAE">
        <w:t xml:space="preserve"> Conclusions and Recommendations</w:t>
      </w:r>
    </w:p>
    <w:p w14:paraId="7B48BA91" w14:textId="77777777" w:rsidR="00134956" w:rsidRPr="004E2BAE" w:rsidRDefault="00134956" w:rsidP="00526214">
      <w:pPr>
        <w:spacing w:line="360" w:lineRule="auto"/>
        <w:jc w:val="both"/>
        <w:rPr>
          <w:rFonts w:ascii="Times New Roman" w:hAnsi="Times New Roman" w:cs="Times New Roman"/>
          <w:b/>
          <w:sz w:val="24"/>
          <w:szCs w:val="24"/>
        </w:rPr>
      </w:pPr>
      <w:r w:rsidRPr="004E2BAE">
        <w:rPr>
          <w:rFonts w:ascii="Times New Roman" w:hAnsi="Times New Roman" w:cs="Times New Roman"/>
          <w:b/>
          <w:sz w:val="24"/>
          <w:szCs w:val="24"/>
        </w:rPr>
        <w:t>Conclusions</w:t>
      </w:r>
    </w:p>
    <w:p w14:paraId="302A35CD"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Ransomware attacks in healthcare cyber-physical systems (CPS) typically exploit vulnerabilities such as phishing emails, unpatched Internet of Medical Things (IoMT) devices, and third-party breaches. Among these, IoMT devices pose the greatest threat due to their deep integration into clinical functions, making disruptions especially severe when compromised. Existing resilience frameworks, including the widely used NIST Cybersecurity Framework, fall short of addressing the unique demands of healthcare CPS. They often overlook system interdependencies and fail to incorporate metrics that reflect healthcare-specific concerns like service continuity and patient safety.</w:t>
      </w:r>
    </w:p>
    <w:p w14:paraId="5E5ECD51"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To bridge these gaps, this study introduces a comprehensive resilience model that integrates technical, operational, organizational, and human factors. This multi-dimensional approach offers a more realistic view of healthcare CPS dynamics and supports more effective risk management and recovery planning. The proposed resilience metrics and assessment methods have proven reliable in evaluating system performance across all disruption phases—from detection to recovery. These tools provide healthcare organizations with clear, actionable benchmarks to guide improvements in preparedness and response.</w:t>
      </w:r>
    </w:p>
    <w:p w14:paraId="75F78014"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Validation through simulations and real-world case studies confirms the model’s effectiveness. Facilities employing proactive strategies such as regular staff training, timely patching of systems, and network segmentation achieved higher resilience scores and faster recovery, reinforcing the practical impact of the framework.</w:t>
      </w:r>
    </w:p>
    <w:p w14:paraId="32F96F6F" w14:textId="77777777" w:rsidR="00134956" w:rsidRPr="00526214" w:rsidRDefault="00134956"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Recommendations</w:t>
      </w:r>
    </w:p>
    <w:p w14:paraId="2634CC05" w14:textId="77777777" w:rsidR="00134956" w:rsidRPr="00526214" w:rsidRDefault="00134956"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The following recommendations outline how healthcare organizations, policymakers, and researchers can leverage the study’s findings, frameworks, and methodologies t</w:t>
      </w:r>
      <w:r w:rsidRPr="00526214">
        <w:rPr>
          <w:rFonts w:ascii="Times New Roman" w:eastAsia="Times New Roman" w:hAnsi="Times New Roman" w:cs="Times New Roman"/>
          <w:sz w:val="24"/>
          <w:szCs w:val="24"/>
        </w:rPr>
        <w:t xml:space="preserve">o improve healthcare CPS resilience, the HCRI and R_cps should be adopted as standardized tools for </w:t>
      </w:r>
      <w:r w:rsidRPr="00526214">
        <w:rPr>
          <w:rFonts w:ascii="Times New Roman" w:eastAsia="Times New Roman" w:hAnsi="Times New Roman" w:cs="Times New Roman"/>
          <w:sz w:val="24"/>
          <w:szCs w:val="24"/>
        </w:rPr>
        <w:lastRenderedPageBreak/>
        <w:t>benchmarking, and integrated with existing frameworks like the NIST CSF. This ensures consistent, healthcare-specific resilience assessment and alignment with recognized cybersecurity standards. Organizational preparedness can be enhanced through regular cybersecurity training, ransomware simulations, and proactive patch management—especially for IoMT and networked devices. These steps reduce vulnerabilities and improve recovery capabilities during attacks.</w:t>
      </w:r>
    </w:p>
    <w:p w14:paraId="5283955C"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System defenses should be reinforced by implementing zero-trust architectures, segmenting IoMT networks, and maintaining isolated, routinely tested backup systems. These practices help contain disruptions and speed up recovery. Regulatory frameworks like HIPAA must be updated to prioritize service continuity alongside data protection. Emphasizing resilience and system uptime ensures regulatory alignment with modern healthcare CPS risks.</w:t>
      </w:r>
    </w:p>
    <w:p w14:paraId="1D05D772"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To bridge capability gaps, under-resourced healthcare facilities need targeted funding and access to enterprise-grade cybersecurity tools, including Resilience-as-a-Service platforms, enabling broader adoption of protective measures. Finally, research should advance simulation capabilities by modeling attacker behavior, evolving threats, and CPS integration trade-offs. This supports adaptive, realistic strategies for managing complex cyber-physical risks in healthcare.</w:t>
      </w:r>
    </w:p>
    <w:p w14:paraId="0426EEE9" w14:textId="77777777" w:rsidR="00134956" w:rsidRDefault="00134956" w:rsidP="00526214">
      <w:pPr>
        <w:spacing w:line="360" w:lineRule="auto"/>
        <w:jc w:val="both"/>
        <w:rPr>
          <w:rFonts w:ascii="Times New Roman" w:hAnsi="Times New Roman" w:cs="Times New Roman"/>
          <w:sz w:val="24"/>
          <w:szCs w:val="24"/>
        </w:rPr>
      </w:pPr>
    </w:p>
    <w:p w14:paraId="64A8007D" w14:textId="77777777" w:rsidR="004E2BAE" w:rsidRDefault="004E2BAE" w:rsidP="00526214">
      <w:pPr>
        <w:spacing w:line="360" w:lineRule="auto"/>
        <w:jc w:val="both"/>
        <w:rPr>
          <w:rFonts w:ascii="Times New Roman" w:hAnsi="Times New Roman" w:cs="Times New Roman"/>
          <w:sz w:val="24"/>
          <w:szCs w:val="24"/>
        </w:rPr>
      </w:pPr>
    </w:p>
    <w:p w14:paraId="1C279CD2" w14:textId="77777777" w:rsidR="004E2BAE" w:rsidRPr="007957FB" w:rsidRDefault="004E2BAE" w:rsidP="004E2BAE">
      <w:pPr>
        <w:rPr>
          <w:rFonts w:ascii="Times New Roman" w:hAnsi="Times New Roman" w:cs="Times New Roman"/>
          <w:sz w:val="24"/>
          <w:szCs w:val="24"/>
        </w:rPr>
      </w:pPr>
      <w:r w:rsidRPr="007957FB">
        <w:rPr>
          <w:rFonts w:ascii="Times New Roman" w:hAnsi="Times New Roman" w:cs="Times New Roman"/>
          <w:sz w:val="24"/>
          <w:szCs w:val="24"/>
        </w:rPr>
        <w:t>Disclaimer (Artificial intelligence)</w:t>
      </w:r>
    </w:p>
    <w:p w14:paraId="36B7DCDC" w14:textId="77777777" w:rsidR="004E2BAE" w:rsidRPr="007957FB" w:rsidRDefault="004E2BAE" w:rsidP="004E2BAE">
      <w:pPr>
        <w:rPr>
          <w:rFonts w:ascii="Times New Roman" w:hAnsi="Times New Roman" w:cs="Times New Roman"/>
          <w:sz w:val="24"/>
          <w:szCs w:val="24"/>
        </w:rPr>
      </w:pPr>
    </w:p>
    <w:p w14:paraId="46A0C315" w14:textId="77777777" w:rsidR="004E2BAE" w:rsidRDefault="004E2BAE" w:rsidP="004E2BAE">
      <w:pPr>
        <w:rPr>
          <w:rFonts w:ascii="Times New Roman" w:hAnsi="Times New Roman" w:cs="Times New Roman"/>
          <w:sz w:val="24"/>
          <w:szCs w:val="24"/>
        </w:rPr>
      </w:pPr>
      <w:r w:rsidRPr="007957FB">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F29A01F" w14:textId="77777777" w:rsidR="00333885" w:rsidRDefault="00333885" w:rsidP="004E2BAE">
      <w:pPr>
        <w:rPr>
          <w:rFonts w:ascii="Times New Roman" w:hAnsi="Times New Roman" w:cs="Times New Roman"/>
          <w:sz w:val="24"/>
          <w:szCs w:val="24"/>
        </w:rPr>
      </w:pPr>
    </w:p>
    <w:p w14:paraId="13260E16" w14:textId="77777777" w:rsidR="00333885" w:rsidRPr="00333885" w:rsidRDefault="00333885" w:rsidP="00333885">
      <w:pPr>
        <w:rPr>
          <w:rFonts w:ascii="Times New Roman" w:hAnsi="Times New Roman" w:cs="Times New Roman"/>
          <w:sz w:val="24"/>
          <w:szCs w:val="24"/>
        </w:rPr>
      </w:pPr>
      <w:r w:rsidRPr="00333885">
        <w:rPr>
          <w:rFonts w:ascii="Times New Roman" w:hAnsi="Times New Roman" w:cs="Times New Roman"/>
          <w:sz w:val="24"/>
          <w:szCs w:val="24"/>
        </w:rPr>
        <w:t>COMPETING INTERESTS DISCLAIMER:</w:t>
      </w:r>
    </w:p>
    <w:p w14:paraId="35F717DE" w14:textId="77777777" w:rsidR="00333885" w:rsidRPr="00333885" w:rsidRDefault="00333885" w:rsidP="00333885">
      <w:pPr>
        <w:rPr>
          <w:rFonts w:ascii="Times New Roman" w:hAnsi="Times New Roman" w:cs="Times New Roman"/>
          <w:sz w:val="24"/>
          <w:szCs w:val="24"/>
        </w:rPr>
      </w:pPr>
      <w:r w:rsidRPr="0033388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35B6A20" w14:textId="77777777" w:rsidR="00333885" w:rsidRPr="00333885" w:rsidRDefault="00333885" w:rsidP="00333885">
      <w:pPr>
        <w:rPr>
          <w:rFonts w:ascii="Times New Roman" w:hAnsi="Times New Roman" w:cs="Times New Roman"/>
          <w:sz w:val="24"/>
          <w:szCs w:val="24"/>
        </w:rPr>
      </w:pPr>
    </w:p>
    <w:p w14:paraId="16889103" w14:textId="77777777" w:rsidR="00333885" w:rsidRPr="007957FB" w:rsidRDefault="00333885" w:rsidP="004E2BAE">
      <w:pPr>
        <w:rPr>
          <w:rFonts w:ascii="Times New Roman" w:hAnsi="Times New Roman" w:cs="Times New Roman"/>
          <w:sz w:val="24"/>
          <w:szCs w:val="24"/>
        </w:rPr>
      </w:pPr>
    </w:p>
    <w:p w14:paraId="2068CA55" w14:textId="77777777" w:rsidR="004E2BAE" w:rsidRDefault="004E2BAE" w:rsidP="00526214">
      <w:pPr>
        <w:spacing w:line="360" w:lineRule="auto"/>
        <w:jc w:val="both"/>
        <w:rPr>
          <w:rFonts w:ascii="Times New Roman" w:hAnsi="Times New Roman" w:cs="Times New Roman"/>
          <w:sz w:val="24"/>
          <w:szCs w:val="24"/>
        </w:rPr>
      </w:pPr>
    </w:p>
    <w:p w14:paraId="576E3713" w14:textId="77777777" w:rsidR="003A7E2D" w:rsidRPr="00526214" w:rsidRDefault="003A7E2D" w:rsidP="004E2BAE">
      <w:pPr>
        <w:pStyle w:val="Heading1"/>
        <w:jc w:val="center"/>
      </w:pPr>
      <w:r w:rsidRPr="00526214">
        <w:t>References</w:t>
      </w:r>
    </w:p>
    <w:p w14:paraId="3A43BD8D"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Adesokan-Imran, T. O., Popoola, A. D., Ejiofor, V. O., Salako, A. O., &amp; Onyenaucheya, O. S. (2025). Predictive Cybersecurity Risk Modeling in Healthcare by Leveraging AI and Machine Learning for Proactive Threat Detection. Journal of Engineering Research and Reports, 27(4), 144–165. https://doi.org/10.9734/jerr/2025/v27i41463 </w:t>
      </w:r>
    </w:p>
    <w:p w14:paraId="53CBA868"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Al-Qarni, E. A. (2023). Cybersecurity in Healthcare: A Review of Recent Attacks and Mitigation Strategies. </w:t>
      </w:r>
      <w:r w:rsidRPr="00526214">
        <w:rPr>
          <w:i/>
          <w:iCs/>
        </w:rPr>
        <w:t>International Journal of Advanced Computer Science and Applications</w:t>
      </w:r>
      <w:r w:rsidRPr="00526214">
        <w:t xml:space="preserve">, </w:t>
      </w:r>
      <w:r w:rsidRPr="00526214">
        <w:rPr>
          <w:i/>
          <w:iCs/>
        </w:rPr>
        <w:t>14</w:t>
      </w:r>
      <w:r w:rsidRPr="00526214">
        <w:t>(5). https://doi.org/10.14569/ijacsa.2023.0140513</w:t>
      </w:r>
    </w:p>
    <w:p w14:paraId="470883F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American Psychological Association. (2020). </w:t>
      </w:r>
      <w:r w:rsidRPr="00526214">
        <w:rPr>
          <w:i/>
          <w:iCs/>
        </w:rPr>
        <w:t>Publication Manual of the American Psychological Association, Seventh Edition (2020)</w:t>
      </w:r>
      <w:r w:rsidRPr="00526214">
        <w:t>. Https://Apastyle.apa.org. https://apastyle.apa.org/products/publication-manual-7th-edition</w:t>
      </w:r>
    </w:p>
    <w:p w14:paraId="2CBC2B19"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Argaw, S. T., Bempong, N.-E., Eshaya-Chauvin, B., &amp; Flahault, A. (2019). The state of research on cyberattacks against hospitals and available best practice recommendations: a scoping review. </w:t>
      </w:r>
      <w:r w:rsidRPr="00526214">
        <w:rPr>
          <w:i/>
          <w:iCs/>
        </w:rPr>
        <w:t>BMC Medical Informatics and Decision Making</w:t>
      </w:r>
      <w:r w:rsidRPr="00526214">
        <w:t xml:space="preserve">, </w:t>
      </w:r>
      <w:r w:rsidRPr="00526214">
        <w:rPr>
          <w:i/>
          <w:iCs/>
        </w:rPr>
        <w:t>19</w:t>
      </w:r>
      <w:r w:rsidRPr="00526214">
        <w:t>(1). https://doi.org/10.1186/s12911-018-0724-5</w:t>
      </w:r>
    </w:p>
    <w:p w14:paraId="49CE1BA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Baig, M. M., GholamHosseini, H., Moqeem, A. A., Mirza, F., &amp; Lindén, M. (2017). A Systematic Review of Wearable Patient Monitoring Systems – Current Challenges and Opportunities for Clinical Adoption. </w:t>
      </w:r>
      <w:r w:rsidRPr="00526214">
        <w:rPr>
          <w:i/>
          <w:iCs/>
        </w:rPr>
        <w:t>Journal of Medical Systems</w:t>
      </w:r>
      <w:r w:rsidRPr="00526214">
        <w:t xml:space="preserve">, </w:t>
      </w:r>
      <w:r w:rsidRPr="00526214">
        <w:rPr>
          <w:i/>
          <w:iCs/>
        </w:rPr>
        <w:t>41</w:t>
      </w:r>
      <w:r w:rsidRPr="00526214">
        <w:t>(7). https://doi.org/10.1007/s10916-017-0760-1</w:t>
      </w:r>
    </w:p>
    <w:p w14:paraId="03087B2B"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Braun, V., &amp; Clarke, V. (2006). </w:t>
      </w:r>
      <w:r w:rsidRPr="00526214">
        <w:rPr>
          <w:i/>
          <w:iCs/>
        </w:rPr>
        <w:t>Using Thematic Analysis in Psychology</w:t>
      </w:r>
      <w:r w:rsidRPr="00526214">
        <w:t>. Qualitative Research in Psychology. https://doi.org/10.1191/1478088706qp063oa</w:t>
      </w:r>
    </w:p>
    <w:p w14:paraId="7769C063"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Cohesity. (2023). </w:t>
      </w:r>
      <w:r w:rsidRPr="00526214">
        <w:rPr>
          <w:i/>
          <w:iCs/>
        </w:rPr>
        <w:t>Cyber resilience in the ransomware era Five keys to withstanding and recovering from cyberattacks</w:t>
      </w:r>
      <w:r w:rsidRPr="00526214">
        <w:t>. https://www.cohesity.com/resource-assets/ebook/defend-your-data-from-a-ransomware-attack-ebook-en.pdf</w:t>
      </w:r>
    </w:p>
    <w:p w14:paraId="2F0696C5"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COPE. (2023). </w:t>
      </w:r>
      <w:r w:rsidRPr="00526214">
        <w:rPr>
          <w:i/>
          <w:iCs/>
        </w:rPr>
        <w:t>Promoting integrity in research and its publication | committee on publication ethics: COPE</w:t>
      </w:r>
      <w:r w:rsidRPr="00526214">
        <w:t>. Publicationethics.org. https://publicationethics.org/</w:t>
      </w:r>
    </w:p>
    <w:p w14:paraId="2AD2D743"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Coventry, L., &amp; Branley, D. (2018). Cybersecurity in healthcare: A narrative review of trends, threats and ways forward. </w:t>
      </w:r>
      <w:r w:rsidRPr="00526214">
        <w:rPr>
          <w:i/>
          <w:iCs/>
        </w:rPr>
        <w:t>Maturitas</w:t>
      </w:r>
      <w:r w:rsidRPr="00526214">
        <w:t xml:space="preserve">, </w:t>
      </w:r>
      <w:r w:rsidRPr="00526214">
        <w:rPr>
          <w:i/>
          <w:iCs/>
        </w:rPr>
        <w:t>113</w:t>
      </w:r>
      <w:r w:rsidRPr="00526214">
        <w:t>, 48–52. https://doi.org/10.1016/j.maturitas.2018.04.008</w:t>
      </w:r>
    </w:p>
    <w:p w14:paraId="7598FB0E"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Dasgupta, D., Akhtar, Z., &amp; Sen, S. (2020). Machine learning in cybersecurity: a comprehensive survey. </w:t>
      </w:r>
      <w:r w:rsidRPr="00526214">
        <w:rPr>
          <w:i/>
          <w:iCs/>
        </w:rPr>
        <w:t>The Journal of Defense Modeling and Simulation: Applications, Methodology, Technology</w:t>
      </w:r>
      <w:r w:rsidRPr="00526214">
        <w:t xml:space="preserve">, </w:t>
      </w:r>
      <w:r w:rsidRPr="00526214">
        <w:rPr>
          <w:i/>
          <w:iCs/>
        </w:rPr>
        <w:t>19</w:t>
      </w:r>
      <w:r w:rsidRPr="00526214">
        <w:t>(1), 154851292095127. https://doi.org/10.1177/1548512920951275</w:t>
      </w:r>
    </w:p>
    <w:p w14:paraId="08E44080"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DATAtab. (2025). </w:t>
      </w:r>
      <w:r w:rsidRPr="00526214">
        <w:rPr>
          <w:i/>
          <w:iCs/>
        </w:rPr>
        <w:t>t-Test, Chi-Square, ANOVA, Regression, Correlation...</w:t>
      </w:r>
      <w:r w:rsidRPr="00526214">
        <w:t xml:space="preserve"> Datatab.net. https://datatab.net/tutorial/kaplan-meier-curve</w:t>
      </w:r>
    </w:p>
    <w:p w14:paraId="378B1E15"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DriveLock. (2025). </w:t>
      </w:r>
      <w:r w:rsidRPr="00526214">
        <w:rPr>
          <w:i/>
          <w:iCs/>
        </w:rPr>
        <w:t>Impact Of Ransomware On Healthcare Systems</w:t>
      </w:r>
      <w:r w:rsidRPr="00526214">
        <w:t>. Drivelock.com; Drivelock SE. https://www.drivelock.com/en/blog/impact-of-ransomware-on-healthcare-systems</w:t>
      </w:r>
    </w:p>
    <w:p w14:paraId="6F0DCC3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ENISA. (2020). </w:t>
      </w:r>
      <w:r w:rsidRPr="00526214">
        <w:rPr>
          <w:i/>
          <w:iCs/>
        </w:rPr>
        <w:t>Procurement Guidelines for Cybersecurity in Hospitals</w:t>
      </w:r>
      <w:r w:rsidRPr="00526214">
        <w:t>. ENISA. https://www.enisa.europa.eu/publications/good-practices-for-the-security-of-healthcare-services</w:t>
      </w:r>
    </w:p>
    <w:p w14:paraId="7F6049D8"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Filkins, B. L., Kim, J. Y., Roberts, B., Armstrong, W., Miller, M. A., Hultner, M. L., Castillo, A. P., Jean-Christophe Ducom, Topol, E. J., &amp; Steinhubl, S. R. (2016). Privacy and security in the era of digital health: what should translational researchers know and do about it? </w:t>
      </w:r>
      <w:r w:rsidRPr="00526214">
        <w:rPr>
          <w:i/>
          <w:iCs/>
        </w:rPr>
        <w:t>American Journal of Translational Research</w:t>
      </w:r>
      <w:r w:rsidRPr="00526214">
        <w:t xml:space="preserve">, </w:t>
      </w:r>
      <w:r w:rsidRPr="00526214">
        <w:rPr>
          <w:i/>
          <w:iCs/>
        </w:rPr>
        <w:t>8</w:t>
      </w:r>
      <w:r w:rsidRPr="00526214">
        <w:t>(3), 1560. https://pmc.ncbi.nlm.nih.gov/articles/PMC4859641/</w:t>
      </w:r>
    </w:p>
    <w:p w14:paraId="2BFDEB04"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FIRST. (2019). </w:t>
      </w:r>
      <w:r w:rsidRPr="00526214">
        <w:rPr>
          <w:i/>
          <w:iCs/>
        </w:rPr>
        <w:t>CVSS v3.1 Specification Document</w:t>
      </w:r>
      <w:r w:rsidRPr="00526214">
        <w:t>. FIRST — Forum of Incident Response and Security Teams. https://www.first.org/cvss/v3.1/specification-document</w:t>
      </w:r>
    </w:p>
    <w:p w14:paraId="472DC28F"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Google Cloud. (2017). </w:t>
      </w:r>
      <w:r w:rsidRPr="00526214">
        <w:rPr>
          <w:i/>
          <w:iCs/>
        </w:rPr>
        <w:t>WannaCry Malware Profile | Mandiant</w:t>
      </w:r>
      <w:r w:rsidRPr="00526214">
        <w:t>. Google Cloud Blog. https://cloud.google.com/blog/topics/threat-intelligence/wannacry-malware-profile</w:t>
      </w:r>
    </w:p>
    <w:p w14:paraId="418DB414"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He, Y., Aliyu, A., Evans, M., &amp; Luo, C. (2021). Healthcare Cyber Security Challenges and Solutions Under the Climate of COVID19: A Scoping Review (Preprint). </w:t>
      </w:r>
      <w:r w:rsidRPr="00526214">
        <w:rPr>
          <w:i/>
          <w:iCs/>
        </w:rPr>
        <w:t>Journal of Medical Internet Research</w:t>
      </w:r>
      <w:r w:rsidRPr="00526214">
        <w:t xml:space="preserve">, </w:t>
      </w:r>
      <w:r w:rsidRPr="00526214">
        <w:rPr>
          <w:i/>
          <w:iCs/>
        </w:rPr>
        <w:t>23</w:t>
      </w:r>
      <w:r w:rsidRPr="00526214">
        <w:t>(4). ncbi. https://doi.org/10.2196/21747</w:t>
      </w:r>
    </w:p>
    <w:p w14:paraId="74422BB8"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Healthcare &amp; Public Health Sector Coordinating Council. (2023). </w:t>
      </w:r>
      <w:r w:rsidRPr="00526214">
        <w:rPr>
          <w:i/>
          <w:iCs/>
        </w:rPr>
        <w:t>Health Industry Cybersecurity Practices: Managing Threats and Protecting Patients</w:t>
      </w:r>
      <w:r w:rsidRPr="00526214">
        <w:t>. Hhs.gov. https://405d.hhs.gov/Documents/HICP-Main-508.pdf</w:t>
      </w:r>
    </w:p>
    <w:p w14:paraId="2994247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Higgins, J. P. T., &amp; Thompson, S. G. (2002). Quantifying heterogeneity in a meta-analysis. </w:t>
      </w:r>
      <w:r w:rsidRPr="00526214">
        <w:rPr>
          <w:i/>
          <w:iCs/>
        </w:rPr>
        <w:t>Statistics in Medicine</w:t>
      </w:r>
      <w:r w:rsidRPr="00526214">
        <w:t xml:space="preserve">, </w:t>
      </w:r>
      <w:r w:rsidRPr="00526214">
        <w:rPr>
          <w:i/>
          <w:iCs/>
        </w:rPr>
        <w:t>21</w:t>
      </w:r>
      <w:r w:rsidRPr="00526214">
        <w:t>(11), 1539–1558. https://doi.org/10.1002/sim.1186</w:t>
      </w:r>
    </w:p>
    <w:p w14:paraId="33487F9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Hubbard, G. (2023). State-level Cyber Resilience: A Conceptual Framework. </w:t>
      </w:r>
      <w:r w:rsidRPr="00526214">
        <w:rPr>
          <w:i/>
          <w:iCs/>
        </w:rPr>
        <w:t>Applied Cybersecurity &amp; Internet Governance</w:t>
      </w:r>
      <w:r w:rsidRPr="00526214">
        <w:t xml:space="preserve">, </w:t>
      </w:r>
      <w:r w:rsidRPr="00526214">
        <w:rPr>
          <w:i/>
          <w:iCs/>
        </w:rPr>
        <w:t>2</w:t>
      </w:r>
      <w:r w:rsidRPr="00526214">
        <w:t>(1), 1–14. https://doi.org/10.60097/acig/162859</w:t>
      </w:r>
    </w:p>
    <w:p w14:paraId="7F5395D3"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Jalali, M. S., &amp; Kaiser, J. P. (2018). Cybersecurity in Hospitals: A Systematic, Organizational Perspective. </w:t>
      </w:r>
      <w:r w:rsidRPr="00526214">
        <w:rPr>
          <w:i/>
          <w:iCs/>
        </w:rPr>
        <w:t>Journal of Medical Internet Research</w:t>
      </w:r>
      <w:r w:rsidRPr="00526214">
        <w:t xml:space="preserve">, </w:t>
      </w:r>
      <w:r w:rsidRPr="00526214">
        <w:rPr>
          <w:i/>
          <w:iCs/>
        </w:rPr>
        <w:t>20</w:t>
      </w:r>
      <w:r w:rsidRPr="00526214">
        <w:t>(5), e10059. https://doi.org/10.2196/10059</w:t>
      </w:r>
    </w:p>
    <w:p w14:paraId="44A7B4EA"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Kesang Tashi Ukyab, Beato, F., &amp; World Economic Forum. (2024, February). </w:t>
      </w:r>
      <w:r w:rsidRPr="00526214">
        <w:rPr>
          <w:i/>
          <w:iCs/>
        </w:rPr>
        <w:t>Why the healthcare industry must prioritize cyber resilience</w:t>
      </w:r>
      <w:r w:rsidRPr="00526214">
        <w:t>. World Economic Forum. https://www.weforum.org/stories/2024/02/healthcare-pays-the-highest-price-of-any-sector-for-cyberattacks-that-why-cyber-resilience-is-key/</w:t>
      </w:r>
    </w:p>
    <w:p w14:paraId="70D4592F"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Kitchenham, B., &amp; Charters, S. M. (2007). </w:t>
      </w:r>
      <w:r w:rsidRPr="00526214">
        <w:rPr>
          <w:i/>
          <w:iCs/>
        </w:rPr>
        <w:t>Guidelines for performing Systematic Literature Reviews in Software Engineering | Request PDF</w:t>
      </w:r>
      <w:r w:rsidRPr="00526214">
        <w:t>. ResearchGate. https://www.researchgate.net/publication/302924724_Guidelines_for_performing_Systematic_Literature_Reviews_in_Software_Engineering</w:t>
      </w:r>
    </w:p>
    <w:p w14:paraId="1D6E5AA9"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Kruse, C., Frederick, B., Jacobson, T., &amp; Monticone, D. (2017). </w:t>
      </w:r>
      <w:r w:rsidRPr="00526214">
        <w:rPr>
          <w:i/>
          <w:iCs/>
        </w:rPr>
        <w:t>Cybersecurity in Healthcare: A Systematic Review of Modern Threats and Trends</w:t>
      </w:r>
      <w:r w:rsidRPr="00526214">
        <w:t>. Technology and Health Care : Official Journal of the European Society for Engineering and Medicine. https://pubmed.ncbi.nlm.nih.gov/27689562/</w:t>
      </w:r>
    </w:p>
    <w:p w14:paraId="2D98BF2A"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Lee, I., &amp; Sokolsky, O. (2010). Medical cyber physical systems. </w:t>
      </w:r>
      <w:r w:rsidRPr="00526214">
        <w:rPr>
          <w:i/>
          <w:iCs/>
        </w:rPr>
        <w:t>Proceedings of the 47th Design Automation Conference</w:t>
      </w:r>
      <w:r w:rsidRPr="00526214">
        <w:t>. https://doi.org/10.1145/1837274.1837463</w:t>
      </w:r>
    </w:p>
    <w:p w14:paraId="57EA89D2"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Lezzi, M., Lazoi, M., &amp; Corallo, A. (2018). Cybersecurity for Industry 4.0 in the current literature: A reference framework. </w:t>
      </w:r>
      <w:r w:rsidRPr="00526214">
        <w:rPr>
          <w:i/>
          <w:iCs/>
        </w:rPr>
        <w:t>Computers in Industry</w:t>
      </w:r>
      <w:r w:rsidRPr="00526214">
        <w:t xml:space="preserve">, </w:t>
      </w:r>
      <w:r w:rsidRPr="00526214">
        <w:rPr>
          <w:i/>
          <w:iCs/>
        </w:rPr>
        <w:t>103</w:t>
      </w:r>
      <w:r w:rsidRPr="00526214">
        <w:t>(1), 97–110. https://doi.org/10.1016/j.compind.2018.09.004</w:t>
      </w:r>
    </w:p>
    <w:p w14:paraId="5BB615C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Linkov, I., Trump, B. D., &amp; Fox-Lent, C. (2016, August 1). </w:t>
      </w:r>
      <w:r w:rsidRPr="00526214">
        <w:rPr>
          <w:i/>
          <w:iCs/>
        </w:rPr>
        <w:t>Resilience: Approaches to Risk Analysis and Governance</w:t>
      </w:r>
      <w:r w:rsidRPr="00526214">
        <w:t>. https://www.researchgate.net/publication/313699086_Resilience_Approaches_to_Risk_Analysis_and_Governance</w:t>
      </w:r>
    </w:p>
    <w:p w14:paraId="736E60F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Luna, R., Rhine, E., Myhra, M., Sullivan, R., &amp; Kruse, C. S. (2016). Cyber threats to health information systems: A systematic review. </w:t>
      </w:r>
      <w:r w:rsidRPr="00526214">
        <w:rPr>
          <w:i/>
          <w:iCs/>
        </w:rPr>
        <w:t>Technology and Health Care: Official Journal of the European Society for Engineering and Medicine</w:t>
      </w:r>
      <w:r w:rsidRPr="00526214">
        <w:t xml:space="preserve">, </w:t>
      </w:r>
      <w:r w:rsidRPr="00526214">
        <w:rPr>
          <w:i/>
          <w:iCs/>
        </w:rPr>
        <w:t>24</w:t>
      </w:r>
      <w:r w:rsidRPr="00526214">
        <w:t>(1), 1–9. https://doi.org/10.3233/THC-151102</w:t>
      </w:r>
    </w:p>
    <w:p w14:paraId="6C8BA0C0"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Macal, C. M., &amp; North, M. J. (2009). Agent-based modeling and simulation. </w:t>
      </w:r>
      <w:r w:rsidRPr="00526214">
        <w:rPr>
          <w:i/>
          <w:iCs/>
        </w:rPr>
        <w:t>Proceedings of the 2009 Winter Simulation Conference (WSC)</w:t>
      </w:r>
      <w:r w:rsidRPr="00526214">
        <w:t>. https://doi.org/10.1109/wsc.2009.5429318</w:t>
      </w:r>
    </w:p>
    <w:p w14:paraId="43A2D3AB"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Martin, G., Martin, P., Hankin, C., Darzi, A., &amp; Kinross, J. (2017). Cybersecurity and healthcare: how safe are we? </w:t>
      </w:r>
      <w:r w:rsidRPr="00526214">
        <w:rPr>
          <w:i/>
          <w:iCs/>
        </w:rPr>
        <w:t>BMJ</w:t>
      </w:r>
      <w:r w:rsidRPr="00526214">
        <w:t xml:space="preserve">, </w:t>
      </w:r>
      <w:r w:rsidRPr="00526214">
        <w:rPr>
          <w:i/>
          <w:iCs/>
        </w:rPr>
        <w:t>358</w:t>
      </w:r>
      <w:r w:rsidRPr="00526214">
        <w:t>(1), j3179. https://doi.org/10.1136/bmj.j3179</w:t>
      </w:r>
    </w:p>
    <w:p w14:paraId="589F32F1"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Muthuppalaniappan, M., &amp; Stevenson, K. (2020). Healthcare Cyber-Attacks and the COVID-19 Pandemic: an Urgent Threat to Global Health. </w:t>
      </w:r>
      <w:r w:rsidRPr="00526214">
        <w:rPr>
          <w:i/>
          <w:iCs/>
        </w:rPr>
        <w:t>International Journal for Quality in Health Care</w:t>
      </w:r>
      <w:r w:rsidRPr="00526214">
        <w:t xml:space="preserve">, </w:t>
      </w:r>
      <w:r w:rsidRPr="00526214">
        <w:rPr>
          <w:i/>
          <w:iCs/>
        </w:rPr>
        <w:t>33</w:t>
      </w:r>
      <w:r w:rsidRPr="00526214">
        <w:t>(1). https://doi.org/10.1093/intqhc/mzaa117</w:t>
      </w:r>
    </w:p>
    <w:p w14:paraId="6E723000"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NIST. (2018). Framework for Improving Critical Infrastructure Cybersecurity, Version 1.1. </w:t>
      </w:r>
      <w:r w:rsidRPr="00526214">
        <w:rPr>
          <w:i/>
          <w:iCs/>
        </w:rPr>
        <w:t>Framework for Improving Critical Infrastructure Cybersecurity</w:t>
      </w:r>
      <w:r w:rsidRPr="00526214">
        <w:t xml:space="preserve">, </w:t>
      </w:r>
      <w:r w:rsidRPr="00526214">
        <w:rPr>
          <w:i/>
          <w:iCs/>
        </w:rPr>
        <w:t>1.1</w:t>
      </w:r>
      <w:r w:rsidRPr="00526214">
        <w:t>(1). https://doi.org/10.6028/nist.cswp.04162018</w:t>
      </w:r>
    </w:p>
    <w:p w14:paraId="2DA851C8"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NIST. (2020). Security and Privacy Controls for Information Systems and Organizations. </w:t>
      </w:r>
      <w:r w:rsidRPr="00526214">
        <w:rPr>
          <w:i/>
          <w:iCs/>
        </w:rPr>
        <w:t>Security and Privacy Controlsfor Information Systems and Organizations</w:t>
      </w:r>
      <w:r w:rsidRPr="00526214">
        <w:t xml:space="preserve">, </w:t>
      </w:r>
      <w:r w:rsidRPr="00526214">
        <w:rPr>
          <w:i/>
          <w:iCs/>
        </w:rPr>
        <w:t>5</w:t>
      </w:r>
      <w:r w:rsidRPr="00526214">
        <w:t>(5). https://doi.org/10.6028/nist.sp.800-53r5</w:t>
      </w:r>
    </w:p>
    <w:p w14:paraId="2D564125"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Offner, K. L., Sitnikova, E., Joiner, K., &amp; MacIntyre, C. R. (2020). Towards understanding cybersecurity capability in Australian healthcare organisations: a systematic review of recent trends, threats and mitigation. </w:t>
      </w:r>
      <w:r w:rsidRPr="00526214">
        <w:rPr>
          <w:i/>
          <w:iCs/>
        </w:rPr>
        <w:t>Intelligence and National Security</w:t>
      </w:r>
      <w:r w:rsidRPr="00526214">
        <w:t xml:space="preserve">, </w:t>
      </w:r>
      <w:r w:rsidRPr="00526214">
        <w:rPr>
          <w:i/>
          <w:iCs/>
        </w:rPr>
        <w:t>35</w:t>
      </w:r>
      <w:r w:rsidRPr="00526214">
        <w:t>(4), 556–585. https://doi.org/10.1080/02684527.2020.1752459</w:t>
      </w:r>
    </w:p>
    <w:p w14:paraId="610DF9F6"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Page, M. J., McKenzie, J. E., Bossuyt, P. M., Boutron, I., Hoffmann, T. C., Mulrow, C. D., Shamseer, L., Tetzlaff, J. M., Akl, E. A., Brennan, S. E., Chou, R., Glanville, J., Grimshaw, J. M., Hróbjartsson, A., Lalu, M. M., Li, T., Loder, E. W., Mayo-Wilson, E., McDonald, S., &amp; McGuinness, L. A. (2021). The PRISMA 2020 statement: an Updated Guideline for Reporting Systematic Reviews. </w:t>
      </w:r>
      <w:r w:rsidRPr="00526214">
        <w:rPr>
          <w:i/>
          <w:iCs/>
        </w:rPr>
        <w:t>British Medical Journal</w:t>
      </w:r>
      <w:r w:rsidRPr="00526214">
        <w:t xml:space="preserve">, </w:t>
      </w:r>
      <w:r w:rsidRPr="00526214">
        <w:rPr>
          <w:i/>
          <w:iCs/>
        </w:rPr>
        <w:t>372</w:t>
      </w:r>
      <w:r w:rsidRPr="00526214">
        <w:t>(71). https://doi.org/10.1136/bmj.n71</w:t>
      </w:r>
    </w:p>
    <w:p w14:paraId="703B442E"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Perakslis, E. D. (2014). Cybersecurity in Health Care. </w:t>
      </w:r>
      <w:r w:rsidRPr="00526214">
        <w:rPr>
          <w:i/>
          <w:iCs/>
        </w:rPr>
        <w:t>New England Journal of Medicine</w:t>
      </w:r>
      <w:r w:rsidRPr="00526214">
        <w:t xml:space="preserve">, </w:t>
      </w:r>
      <w:r w:rsidRPr="00526214">
        <w:rPr>
          <w:i/>
          <w:iCs/>
        </w:rPr>
        <w:t>371</w:t>
      </w:r>
      <w:r w:rsidRPr="00526214">
        <w:t>(5), 395–397. https://doi.org/10.1056/nejmp1404358</w:t>
      </w:r>
    </w:p>
    <w:p w14:paraId="2CB3958B"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Sendelj, R., &amp; Ognjanovic, I. (2022). Cybersecurity challenges in healthcare. </w:t>
      </w:r>
      <w:r w:rsidRPr="00526214">
        <w:rPr>
          <w:i/>
          <w:iCs/>
        </w:rPr>
        <w:t>Studies in Health Technology and Informatics</w:t>
      </w:r>
      <w:r w:rsidRPr="00526214">
        <w:t xml:space="preserve">, </w:t>
      </w:r>
      <w:r w:rsidRPr="00526214">
        <w:rPr>
          <w:i/>
          <w:iCs/>
        </w:rPr>
        <w:t>300</w:t>
      </w:r>
      <w:r w:rsidRPr="00526214">
        <w:t>. https://doi.org/10.3233/shti220951</w:t>
      </w:r>
    </w:p>
    <w:p w14:paraId="007CC0A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Singh, H., &amp; Sittig, D. (2016). A Socio-technical Approach to Preventing, Mitigating, and Recovering from Ransomware Attacks. </w:t>
      </w:r>
      <w:r w:rsidRPr="00526214">
        <w:rPr>
          <w:i/>
          <w:iCs/>
        </w:rPr>
        <w:t>Applied Clinical Informatics</w:t>
      </w:r>
      <w:r w:rsidRPr="00526214">
        <w:t xml:space="preserve">, </w:t>
      </w:r>
      <w:r w:rsidRPr="00526214">
        <w:rPr>
          <w:i/>
          <w:iCs/>
        </w:rPr>
        <w:t>07</w:t>
      </w:r>
      <w:r w:rsidRPr="00526214">
        <w:t>(02), 624–632. https://doi.org/10.4338/aci-2016-04-soa-0064</w:t>
      </w:r>
    </w:p>
    <w:p w14:paraId="4CF78143"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Taherdoost, H. (2020). </w:t>
      </w:r>
      <w:r w:rsidRPr="00526214">
        <w:rPr>
          <w:i/>
          <w:iCs/>
        </w:rPr>
        <w:t>Decision Making Using the Analytic Hierarchy Process (AHP); A Step by Step Approach</w:t>
      </w:r>
      <w:r w:rsidRPr="00526214">
        <w:t>. https://hal.science/hal-02557320/document</w:t>
      </w:r>
    </w:p>
    <w:p w14:paraId="4E26C2D4"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Tiwo, O. J., Adesokan-Imran, T. O., Babarinde, D. C., Oyekunle, S. M., Olutimehin, A. T., &amp; Olaniyi, O. O. (2025). Advancing Security in Cloud-based Patient Information Systems with Quantum-resistant Encryption for Healthcare Data. Asian Journal of Research in Computer Science, 18(4), 187–208. https://doi.org/10.9734/ajrcos/2025/v18i4615 </w:t>
      </w:r>
    </w:p>
    <w:p w14:paraId="400D1C01"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Viechtbauer, W. (2010). Conducting meta-analyses in R with the metafor package. </w:t>
      </w:r>
      <w:r w:rsidRPr="00526214">
        <w:rPr>
          <w:i/>
          <w:iCs/>
        </w:rPr>
        <w:t>Journal of Statistical Software</w:t>
      </w:r>
      <w:r w:rsidRPr="00526214">
        <w:t xml:space="preserve">, </w:t>
      </w:r>
      <w:r w:rsidRPr="00526214">
        <w:rPr>
          <w:i/>
          <w:iCs/>
        </w:rPr>
        <w:t>36</w:t>
      </w:r>
      <w:r w:rsidRPr="00526214">
        <w:t>(3), 1–48. https://doi.org/10.18637/jss.v036.i03</w:t>
      </w:r>
    </w:p>
    <w:p w14:paraId="51F815C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Williams, P., &amp; Woodward, A. (2015). Cybersecurity vulnerabilities in medical devices: a complex environment and multifaceted problem. </w:t>
      </w:r>
      <w:r w:rsidRPr="00526214">
        <w:rPr>
          <w:i/>
          <w:iCs/>
        </w:rPr>
        <w:t>Medical Devices: Evidence and Research</w:t>
      </w:r>
      <w:r w:rsidRPr="00526214">
        <w:t xml:space="preserve">, </w:t>
      </w:r>
      <w:r w:rsidRPr="00526214">
        <w:rPr>
          <w:i/>
          <w:iCs/>
        </w:rPr>
        <w:t>8</w:t>
      </w:r>
      <w:r w:rsidRPr="00526214">
        <w:t>, 305–316. https://doi.org/10.2147/mder.s50048</w:t>
      </w:r>
    </w:p>
    <w:p w14:paraId="35691F3B"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Yeboah-Ofori, A. (2019). Cybercrime and Risks for Cyber Physical Systems. </w:t>
      </w:r>
      <w:r w:rsidRPr="00526214">
        <w:rPr>
          <w:i/>
          <w:iCs/>
        </w:rPr>
        <w:t>International Journal of Cyber-Security and Digital Forensics</w:t>
      </w:r>
      <w:r w:rsidRPr="00526214">
        <w:t xml:space="preserve">, </w:t>
      </w:r>
      <w:r w:rsidRPr="00526214">
        <w:rPr>
          <w:i/>
          <w:iCs/>
        </w:rPr>
        <w:t>8</w:t>
      </w:r>
      <w:r w:rsidRPr="00526214">
        <w:t>(1), 43–57. https://doi.org/10.17781/p002556</w:t>
      </w:r>
    </w:p>
    <w:p w14:paraId="1CDFF865" w14:textId="77777777" w:rsidR="00134956" w:rsidRPr="00526214" w:rsidRDefault="00134956" w:rsidP="00526214">
      <w:pPr>
        <w:spacing w:line="360" w:lineRule="auto"/>
        <w:jc w:val="both"/>
        <w:rPr>
          <w:rFonts w:ascii="Times New Roman" w:hAnsi="Times New Roman" w:cs="Times New Roman"/>
          <w:sz w:val="24"/>
          <w:szCs w:val="24"/>
        </w:rPr>
      </w:pPr>
    </w:p>
    <w:sectPr w:rsidR="00134956" w:rsidRPr="0052621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8268A" w14:textId="77777777" w:rsidR="00FB2FAF" w:rsidRDefault="00FB2FAF" w:rsidP="006C1262">
      <w:pPr>
        <w:spacing w:after="0" w:line="240" w:lineRule="auto"/>
      </w:pPr>
      <w:r>
        <w:separator/>
      </w:r>
    </w:p>
  </w:endnote>
  <w:endnote w:type="continuationSeparator" w:id="0">
    <w:p w14:paraId="382ECC20" w14:textId="77777777" w:rsidR="00FB2FAF" w:rsidRDefault="00FB2FAF" w:rsidP="006C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enorite">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3F5A" w14:textId="77777777" w:rsidR="006C1262" w:rsidRDefault="006C1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2535" w14:textId="77777777" w:rsidR="006C1262" w:rsidRDefault="006C1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CD54E" w14:textId="77777777" w:rsidR="006C1262" w:rsidRDefault="006C1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F8B48" w14:textId="77777777" w:rsidR="00FB2FAF" w:rsidRDefault="00FB2FAF" w:rsidP="006C1262">
      <w:pPr>
        <w:spacing w:after="0" w:line="240" w:lineRule="auto"/>
      </w:pPr>
      <w:r>
        <w:separator/>
      </w:r>
    </w:p>
  </w:footnote>
  <w:footnote w:type="continuationSeparator" w:id="0">
    <w:p w14:paraId="6730D487" w14:textId="77777777" w:rsidR="00FB2FAF" w:rsidRDefault="00FB2FAF" w:rsidP="006C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75E4" w14:textId="1C27B805" w:rsidR="006C1262" w:rsidRDefault="00561E9A">
    <w:pPr>
      <w:pStyle w:val="Header"/>
    </w:pPr>
    <w:r>
      <w:rPr>
        <w:noProof/>
      </w:rPr>
      <w:pict w14:anchorId="5D54E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38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38F8" w14:textId="37CC1430" w:rsidR="006C1262" w:rsidRDefault="00561E9A">
    <w:pPr>
      <w:pStyle w:val="Header"/>
    </w:pPr>
    <w:r>
      <w:rPr>
        <w:noProof/>
      </w:rPr>
      <w:pict w14:anchorId="274FB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38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83F97" w14:textId="2B72652A" w:rsidR="006C1262" w:rsidRDefault="00561E9A">
    <w:pPr>
      <w:pStyle w:val="Header"/>
    </w:pPr>
    <w:r>
      <w:rPr>
        <w:noProof/>
      </w:rPr>
      <w:pict w14:anchorId="61B65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38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C1165"/>
    <w:multiLevelType w:val="hybridMultilevel"/>
    <w:tmpl w:val="0B225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841A95"/>
    <w:multiLevelType w:val="hybridMultilevel"/>
    <w:tmpl w:val="4364B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8977A1"/>
    <w:multiLevelType w:val="hybridMultilevel"/>
    <w:tmpl w:val="7B4EC5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231788"/>
    <w:multiLevelType w:val="hybridMultilevel"/>
    <w:tmpl w:val="FB825D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27171">
    <w:abstractNumId w:val="2"/>
  </w:num>
  <w:num w:numId="2" w16cid:durableId="128058323">
    <w:abstractNumId w:val="0"/>
  </w:num>
  <w:num w:numId="3" w16cid:durableId="292830769">
    <w:abstractNumId w:val="3"/>
  </w:num>
  <w:num w:numId="4" w16cid:durableId="852187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3EA"/>
    <w:rsid w:val="00057B0F"/>
    <w:rsid w:val="00123E18"/>
    <w:rsid w:val="00134956"/>
    <w:rsid w:val="00185569"/>
    <w:rsid w:val="00333885"/>
    <w:rsid w:val="003A7E2D"/>
    <w:rsid w:val="003C0CC1"/>
    <w:rsid w:val="003F469E"/>
    <w:rsid w:val="00477754"/>
    <w:rsid w:val="004B1B3D"/>
    <w:rsid w:val="004E2BAE"/>
    <w:rsid w:val="005159E4"/>
    <w:rsid w:val="00526214"/>
    <w:rsid w:val="00561E9A"/>
    <w:rsid w:val="006C1262"/>
    <w:rsid w:val="007903D0"/>
    <w:rsid w:val="007D2CD0"/>
    <w:rsid w:val="00817494"/>
    <w:rsid w:val="00975D9F"/>
    <w:rsid w:val="00A019C8"/>
    <w:rsid w:val="00A857CE"/>
    <w:rsid w:val="00AC6BFB"/>
    <w:rsid w:val="00B14FCD"/>
    <w:rsid w:val="00B22179"/>
    <w:rsid w:val="00B73BDC"/>
    <w:rsid w:val="00B800D5"/>
    <w:rsid w:val="00C456FE"/>
    <w:rsid w:val="00C45A10"/>
    <w:rsid w:val="00C46E24"/>
    <w:rsid w:val="00DE4696"/>
    <w:rsid w:val="00DF73EA"/>
    <w:rsid w:val="00E76A01"/>
    <w:rsid w:val="00E771F4"/>
    <w:rsid w:val="00E94BA9"/>
    <w:rsid w:val="00FB2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9F4AE5"/>
  <w15:chartTrackingRefBased/>
  <w15:docId w15:val="{CBADA347-969B-43F9-8D59-04DFFFC8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3EA"/>
  </w:style>
  <w:style w:type="paragraph" w:styleId="Heading1">
    <w:name w:val="heading 1"/>
    <w:basedOn w:val="Normal"/>
    <w:link w:val="Heading1Char"/>
    <w:uiPriority w:val="9"/>
    <w:qFormat/>
    <w:rsid w:val="007903D0"/>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paragraph" w:styleId="Heading3">
    <w:name w:val="heading 3"/>
    <w:basedOn w:val="Normal"/>
    <w:next w:val="Normal"/>
    <w:link w:val="Heading3Char"/>
    <w:uiPriority w:val="9"/>
    <w:semiHidden/>
    <w:unhideWhenUsed/>
    <w:qFormat/>
    <w:rsid w:val="00E76A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3EA"/>
    <w:pPr>
      <w:ind w:left="720"/>
      <w:contextualSpacing/>
    </w:pPr>
  </w:style>
  <w:style w:type="table" w:styleId="TableGrid">
    <w:name w:val="Table Grid"/>
    <w:basedOn w:val="TableNormal"/>
    <w:uiPriority w:val="39"/>
    <w:rsid w:val="00DF7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03D0"/>
    <w:rPr>
      <w:rFonts w:ascii="Times New Roman" w:eastAsia="Times New Roman" w:hAnsi="Times New Roman" w:cs="Times New Roman"/>
      <w:b/>
      <w:bCs/>
      <w:kern w:val="36"/>
      <w:sz w:val="24"/>
      <w:szCs w:val="48"/>
    </w:rPr>
  </w:style>
  <w:style w:type="paragraph" w:styleId="NoSpacing">
    <w:name w:val="No Spacing"/>
    <w:uiPriority w:val="1"/>
    <w:qFormat/>
    <w:rsid w:val="007903D0"/>
    <w:pPr>
      <w:spacing w:after="0" w:line="240" w:lineRule="auto"/>
    </w:pPr>
  </w:style>
  <w:style w:type="character" w:styleId="PlaceholderText">
    <w:name w:val="Placeholder Text"/>
    <w:basedOn w:val="DefaultParagraphFont"/>
    <w:uiPriority w:val="99"/>
    <w:semiHidden/>
    <w:rsid w:val="00B22179"/>
    <w:rPr>
      <w:color w:val="808080"/>
    </w:rPr>
  </w:style>
  <w:style w:type="paragraph" w:styleId="NormalWeb">
    <w:name w:val="Normal (Web)"/>
    <w:basedOn w:val="Normal"/>
    <w:uiPriority w:val="99"/>
    <w:semiHidden/>
    <w:unhideWhenUsed/>
    <w:rsid w:val="003A7E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6A01"/>
    <w:rPr>
      <w:color w:val="0563C1" w:themeColor="hyperlink"/>
      <w:u w:val="single"/>
    </w:rPr>
  </w:style>
  <w:style w:type="character" w:customStyle="1" w:styleId="UnresolvedMention1">
    <w:name w:val="Unresolved Mention1"/>
    <w:basedOn w:val="DefaultParagraphFont"/>
    <w:uiPriority w:val="99"/>
    <w:semiHidden/>
    <w:unhideWhenUsed/>
    <w:rsid w:val="00E76A01"/>
    <w:rPr>
      <w:color w:val="605E5C"/>
      <w:shd w:val="clear" w:color="auto" w:fill="E1DFDD"/>
    </w:rPr>
  </w:style>
  <w:style w:type="character" w:customStyle="1" w:styleId="Heading3Char">
    <w:name w:val="Heading 3 Char"/>
    <w:basedOn w:val="DefaultParagraphFont"/>
    <w:link w:val="Heading3"/>
    <w:uiPriority w:val="9"/>
    <w:semiHidden/>
    <w:rsid w:val="00E76A01"/>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C1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262"/>
  </w:style>
  <w:style w:type="paragraph" w:styleId="Footer">
    <w:name w:val="footer"/>
    <w:basedOn w:val="Normal"/>
    <w:link w:val="FooterChar"/>
    <w:uiPriority w:val="99"/>
    <w:unhideWhenUsed/>
    <w:rsid w:val="006C1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262"/>
  </w:style>
  <w:style w:type="character" w:styleId="Strong">
    <w:name w:val="Strong"/>
    <w:basedOn w:val="DefaultParagraphFont"/>
    <w:uiPriority w:val="22"/>
    <w:qFormat/>
    <w:rsid w:val="00B800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9827">
      <w:bodyDiv w:val="1"/>
      <w:marLeft w:val="0"/>
      <w:marRight w:val="0"/>
      <w:marTop w:val="0"/>
      <w:marBottom w:val="0"/>
      <w:divBdr>
        <w:top w:val="none" w:sz="0" w:space="0" w:color="auto"/>
        <w:left w:val="none" w:sz="0" w:space="0" w:color="auto"/>
        <w:bottom w:val="none" w:sz="0" w:space="0" w:color="auto"/>
        <w:right w:val="none" w:sz="0" w:space="0" w:color="auto"/>
      </w:divBdr>
      <w:divsChild>
        <w:div w:id="1968272796">
          <w:marLeft w:val="-720"/>
          <w:marRight w:val="0"/>
          <w:marTop w:val="0"/>
          <w:marBottom w:val="0"/>
          <w:divBdr>
            <w:top w:val="none" w:sz="0" w:space="0" w:color="auto"/>
            <w:left w:val="none" w:sz="0" w:space="0" w:color="auto"/>
            <w:bottom w:val="none" w:sz="0" w:space="0" w:color="auto"/>
            <w:right w:val="none" w:sz="0" w:space="0" w:color="auto"/>
          </w:divBdr>
        </w:div>
      </w:divsChild>
    </w:div>
    <w:div w:id="713426247">
      <w:bodyDiv w:val="1"/>
      <w:marLeft w:val="0"/>
      <w:marRight w:val="0"/>
      <w:marTop w:val="0"/>
      <w:marBottom w:val="0"/>
      <w:divBdr>
        <w:top w:val="none" w:sz="0" w:space="0" w:color="auto"/>
        <w:left w:val="none" w:sz="0" w:space="0" w:color="auto"/>
        <w:bottom w:val="none" w:sz="0" w:space="0" w:color="auto"/>
        <w:right w:val="none" w:sz="0" w:space="0" w:color="auto"/>
      </w:divBdr>
    </w:div>
    <w:div w:id="1587494904">
      <w:bodyDiv w:val="1"/>
      <w:marLeft w:val="0"/>
      <w:marRight w:val="0"/>
      <w:marTop w:val="0"/>
      <w:marBottom w:val="0"/>
      <w:divBdr>
        <w:top w:val="none" w:sz="0" w:space="0" w:color="auto"/>
        <w:left w:val="none" w:sz="0" w:space="0" w:color="auto"/>
        <w:bottom w:val="none" w:sz="0" w:space="0" w:color="auto"/>
        <w:right w:val="none" w:sz="0" w:space="0" w:color="auto"/>
      </w:divBdr>
    </w:div>
    <w:div w:id="1743873673">
      <w:bodyDiv w:val="1"/>
      <w:marLeft w:val="0"/>
      <w:marRight w:val="0"/>
      <w:marTop w:val="0"/>
      <w:marBottom w:val="0"/>
      <w:divBdr>
        <w:top w:val="none" w:sz="0" w:space="0" w:color="auto"/>
        <w:left w:val="none" w:sz="0" w:space="0" w:color="auto"/>
        <w:bottom w:val="none" w:sz="0" w:space="0" w:color="auto"/>
        <w:right w:val="none" w:sz="0" w:space="0" w:color="auto"/>
      </w:divBdr>
    </w:div>
    <w:div w:id="193955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E419D-D757-4B33-B3CF-59A10EA3D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9044</Words>
  <Characters>61106</Characters>
  <Application>Microsoft Office Word</Application>
  <DocSecurity>4</DocSecurity>
  <Lines>1111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Oluwaseun Olaniyi</cp:lastModifiedBy>
  <cp:revision>2</cp:revision>
  <dcterms:created xsi:type="dcterms:W3CDTF">2025-05-03T04:05:00Z</dcterms:created>
  <dcterms:modified xsi:type="dcterms:W3CDTF">2025-05-03T04:05:00Z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a700a856-cb3c-4bf4-b79e-54608b2b9f39</vt:lpwstr>
  </property>
</Properties>
</file>