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4E31" w14:textId="77777777" w:rsidR="009C3C35" w:rsidRPr="007957FB" w:rsidRDefault="009177DC" w:rsidP="009177DC">
      <w:pPr>
        <w:spacing w:line="360" w:lineRule="auto"/>
        <w:jc w:val="center"/>
        <w:rPr>
          <w:rFonts w:ascii="Times New Roman" w:hAnsi="Times New Roman" w:cs="Times New Roman"/>
          <w:b/>
          <w:color w:val="000000" w:themeColor="text1"/>
          <w:sz w:val="40"/>
          <w:szCs w:val="40"/>
        </w:rPr>
      </w:pPr>
      <w:r w:rsidRPr="007957FB">
        <w:rPr>
          <w:rFonts w:ascii="Times New Roman" w:hAnsi="Times New Roman" w:cs="Times New Roman"/>
          <w:b/>
          <w:color w:val="000000" w:themeColor="text1"/>
          <w:sz w:val="40"/>
          <w:szCs w:val="40"/>
        </w:rPr>
        <w:t>Enhancing Data Security in Artificial Intelligence Systems: A Cybersecurity and Information Governance Approach</w:t>
      </w:r>
    </w:p>
    <w:p w14:paraId="3D2B91C1" w14:textId="77777777" w:rsidR="009177DC" w:rsidRPr="007957FB" w:rsidRDefault="009177DC" w:rsidP="00DD4C89">
      <w:pPr>
        <w:spacing w:line="360" w:lineRule="auto"/>
        <w:rPr>
          <w:rFonts w:ascii="Times New Roman" w:hAnsi="Times New Roman" w:cs="Times New Roman"/>
          <w:b/>
          <w:color w:val="000000" w:themeColor="text1"/>
          <w:sz w:val="24"/>
          <w:szCs w:val="24"/>
        </w:rPr>
      </w:pPr>
    </w:p>
    <w:p w14:paraId="4B837ECA"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Abstract</w:t>
      </w:r>
    </w:p>
    <w:p w14:paraId="0EA3F7E2" w14:textId="77777777" w:rsidR="00184A60" w:rsidRPr="007957FB" w:rsidRDefault="00184A60" w:rsidP="009177DC">
      <w:pPr>
        <w:spacing w:line="360" w:lineRule="auto"/>
        <w:jc w:val="both"/>
        <w:rPr>
          <w:rFonts w:ascii="Times New Roman" w:hAnsi="Times New Roman" w:cs="Times New Roman"/>
          <w:i/>
          <w:iCs/>
          <w:color w:val="000000"/>
          <w:sz w:val="24"/>
          <w:szCs w:val="24"/>
        </w:rPr>
      </w:pPr>
      <w:r w:rsidRPr="007957FB">
        <w:rPr>
          <w:rFonts w:ascii="Times New Roman" w:hAnsi="Times New Roman" w:cs="Times New Roman"/>
          <w:i/>
          <w:iCs/>
          <w:color w:val="000000"/>
          <w:sz w:val="24"/>
          <w:szCs w:val="24"/>
        </w:rPr>
        <w:t>This study presents a comprehensive framework designed to enhance data security in artificial intelligence (AI) systems by integrating robust cybersecurity measures with information governance principles. Employing a convergent parallel mixed-methods design, the research combines a quantitative meta-analysis of 11,245 AI deployments, a qualitative synthesis of 89 governance studies, and technical validations across three open-source AI models (BERT, YOLOv7, and federated learning). Critical threats, including data poisoning (42% success rate), adversarial examples (23% higher vulnerability in vision models), and model inversion (31% more frequent in generative AI), were identified. The proposed framework demonstrated a Composite Security Score (CSS) of 0.87, outperforming existing models (CSS range: 0.78–0.82), and achieved 84–89% attack mitigation and 90–95% regulatory compliance under standards like GDPR and NIST RMF. The framework’s practical contribution lies in offering sector-specific, scalable solutions for strengthening AI system security, thereby enabling healthcare, finance, and public sector organizations to align innovation with ethical and legal obligations. Theoretically, the study advances knowledge by bridging cybersecurity engineering with governance structures, addressing a critical gap in AI risk management. Preliminary evaluations into quantum-ready encryption strategies were explored, though more extensive testing is suggested for future research. Key limitations include reliance on secondary datasets, potential model generalizability constraints, and emerging threats like quantum attacks that require ongoing adaptation. Recommendations advocate sector-specific adoption, quantum-ready encryption, and research into adaptive security and third-party risks to ensure scalable, ethical AI security.</w:t>
      </w:r>
    </w:p>
    <w:p w14:paraId="43694D2D" w14:textId="77777777" w:rsidR="009177DC" w:rsidRPr="007957FB" w:rsidRDefault="00184A60" w:rsidP="009177DC">
      <w:pPr>
        <w:spacing w:line="360" w:lineRule="auto"/>
        <w:jc w:val="both"/>
        <w:rPr>
          <w:rFonts w:ascii="Times New Roman" w:hAnsi="Times New Roman" w:cs="Times New Roman"/>
          <w:iCs/>
          <w:color w:val="000000"/>
          <w:sz w:val="24"/>
          <w:szCs w:val="24"/>
        </w:rPr>
      </w:pPr>
      <w:r w:rsidRPr="007957FB">
        <w:rPr>
          <w:rFonts w:ascii="Times New Roman" w:hAnsi="Times New Roman" w:cs="Times New Roman"/>
          <w:b/>
          <w:bCs/>
          <w:iCs/>
          <w:color w:val="000000"/>
          <w:sz w:val="24"/>
          <w:szCs w:val="24"/>
        </w:rPr>
        <w:t>Keywords</w:t>
      </w:r>
      <w:r w:rsidRPr="007957FB">
        <w:rPr>
          <w:rFonts w:ascii="Times New Roman" w:hAnsi="Times New Roman" w:cs="Times New Roman"/>
          <w:iCs/>
          <w:color w:val="000000"/>
          <w:sz w:val="24"/>
          <w:szCs w:val="24"/>
        </w:rPr>
        <w:t xml:space="preserve">: </w:t>
      </w:r>
      <w:r w:rsidRPr="007957FB">
        <w:rPr>
          <w:rFonts w:ascii="Times New Roman" w:hAnsi="Times New Roman" w:cs="Times New Roman"/>
          <w:b/>
          <w:iCs/>
          <w:color w:val="000000"/>
          <w:sz w:val="24"/>
          <w:szCs w:val="24"/>
        </w:rPr>
        <w:t>AI security, cybersecurity, information governance, Composite Security Score (CSS), adaptive intelligence, quantum-ready encryption, compliance</w:t>
      </w:r>
    </w:p>
    <w:p w14:paraId="39C29A67" w14:textId="77777777" w:rsidR="00184A60" w:rsidRPr="007957FB" w:rsidRDefault="00184A60" w:rsidP="009177DC">
      <w:pPr>
        <w:spacing w:line="360" w:lineRule="auto"/>
        <w:jc w:val="both"/>
        <w:rPr>
          <w:rFonts w:ascii="Times New Roman" w:hAnsi="Times New Roman" w:cs="Times New Roman"/>
          <w:i/>
          <w:iCs/>
          <w:color w:val="000000"/>
          <w:sz w:val="24"/>
          <w:szCs w:val="24"/>
        </w:rPr>
      </w:pPr>
    </w:p>
    <w:p w14:paraId="79AA4033" w14:textId="77777777" w:rsidR="00184A60" w:rsidRPr="007957FB" w:rsidRDefault="00184A60" w:rsidP="009177DC">
      <w:pPr>
        <w:spacing w:line="360" w:lineRule="auto"/>
        <w:jc w:val="both"/>
        <w:rPr>
          <w:rFonts w:ascii="Times New Roman" w:hAnsi="Times New Roman" w:cs="Times New Roman"/>
          <w:i/>
          <w:iCs/>
          <w:color w:val="000000"/>
          <w:sz w:val="24"/>
          <w:szCs w:val="24"/>
        </w:rPr>
      </w:pPr>
    </w:p>
    <w:p w14:paraId="136DDC1E" w14:textId="77777777" w:rsidR="00184A60" w:rsidRPr="007957FB" w:rsidRDefault="00184A60" w:rsidP="009177DC">
      <w:pPr>
        <w:spacing w:line="360" w:lineRule="auto"/>
        <w:jc w:val="both"/>
        <w:rPr>
          <w:rFonts w:ascii="Times New Roman" w:hAnsi="Times New Roman" w:cs="Times New Roman"/>
          <w:color w:val="000000" w:themeColor="text1"/>
          <w:sz w:val="24"/>
          <w:szCs w:val="24"/>
        </w:rPr>
      </w:pPr>
    </w:p>
    <w:p w14:paraId="78A21A7A" w14:textId="77777777" w:rsidR="009C3C35" w:rsidRPr="007957FB" w:rsidRDefault="009C3C35"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Introduction</w:t>
      </w:r>
    </w:p>
    <w:p w14:paraId="7DDEA145" w14:textId="77777777" w:rsidR="009C3C35" w:rsidRPr="007957FB" w:rsidRDefault="009C3C35" w:rsidP="009177DC">
      <w:pPr>
        <w:spacing w:line="360" w:lineRule="auto"/>
        <w:jc w:val="both"/>
        <w:rPr>
          <w:rFonts w:ascii="Times New Roman" w:eastAsia="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The advent of artificial intelligence (AI) has catalyzed a transformative shift across industries, from healthcare and finance to education and cybersecurity, redefining how organizations leverage data for innovation and efficiency. AI systems, powered by machine learning, natural language processing, and predictive analytics, process unprecedented volumes of data to automate complex tasks and deliver actionable insights. This technological revolution, however, introduces significant data security and privacy challenges, as AI systems increasingly handle sensitive information critical to organizational and societal functions (AIIM, 2025). The global market for AI-based cybersecurity solutions is projected to expand from $24.8 billion in 2024 to $102 billion by 2032, reflecting both the growing reliance on AI for defending against cyber threats and the escalating vulnerabilities inherent in AI systems themselves (Perception Point, 2024). These vulnerabilities encompass traditional cybersecurity threats, such as data breaches and malware, as well as AI-specific risks, including data poisoning, model inversion attacks, and adversarial examples designed to manipulate AI outputs </w:t>
      </w:r>
      <w:r w:rsidR="00866B1F" w:rsidRPr="007957FB">
        <w:rPr>
          <w:rFonts w:ascii="Times New Roman" w:hAnsi="Times New Roman" w:cs="Times New Roman"/>
          <w:color w:val="000000" w:themeColor="text1"/>
          <w:sz w:val="24"/>
          <w:szCs w:val="24"/>
        </w:rPr>
        <w:t>(</w:t>
      </w:r>
      <w:r w:rsidR="00E4600E" w:rsidRPr="007957FB">
        <w:rPr>
          <w:rFonts w:ascii="Times New Roman" w:eastAsia="Times New Roman" w:hAnsi="Times New Roman" w:cs="Times New Roman"/>
          <w:color w:val="000000" w:themeColor="text1"/>
          <w:sz w:val="24"/>
          <w:szCs w:val="24"/>
        </w:rPr>
        <w:t>Zhou et al.</w:t>
      </w:r>
      <w:r w:rsidR="009D64B7" w:rsidRPr="007957FB">
        <w:rPr>
          <w:rFonts w:ascii="Times New Roman" w:eastAsia="Times New Roman" w:hAnsi="Times New Roman" w:cs="Times New Roman"/>
          <w:color w:val="000000" w:themeColor="text1"/>
          <w:sz w:val="24"/>
          <w:szCs w:val="24"/>
        </w:rPr>
        <w:t>,</w:t>
      </w:r>
      <w:r w:rsidR="00E4600E" w:rsidRPr="007957FB">
        <w:rPr>
          <w:rFonts w:ascii="Times New Roman" w:eastAsia="Times New Roman" w:hAnsi="Times New Roman" w:cs="Times New Roman"/>
          <w:color w:val="000000" w:themeColor="text1"/>
          <w:sz w:val="24"/>
          <w:szCs w:val="24"/>
        </w:rPr>
        <w:t xml:space="preserve"> 2022)</w:t>
      </w:r>
      <w:r w:rsidRPr="007957FB">
        <w:rPr>
          <w:rFonts w:ascii="Times New Roman" w:hAnsi="Times New Roman" w:cs="Times New Roman"/>
          <w:color w:val="000000" w:themeColor="text1"/>
          <w:sz w:val="24"/>
          <w:szCs w:val="24"/>
        </w:rPr>
        <w:t>. The multifaceted nature of these threats underscores the urgent need for a comprehensive approach to securing AI systems, one that integrates technical cybersecurity measures with robust information governance frameworks to ensure resilience, trustworthiness, and ethical deployment.</w:t>
      </w:r>
    </w:p>
    <w:p w14:paraId="60DDC415" w14:textId="77777777" w:rsidR="009C3C35" w:rsidRPr="007957FB" w:rsidRDefault="009C3C35"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AI systems are uniquely susceptible to a range of security threats due to their dependence on large-scale datasets and complex models. Unlike traditional software, AI models can be compromised through adversarial attacks that exploit their interpretability limitations or through privacy attacks that extract sensitive training data</w:t>
      </w:r>
      <w:r w:rsidR="00E87A10" w:rsidRPr="007957FB">
        <w:rPr>
          <w:rFonts w:ascii="Times New Roman" w:hAnsi="Times New Roman" w:cs="Times New Roman"/>
          <w:color w:val="000000" w:themeColor="text1"/>
          <w:sz w:val="24"/>
          <w:szCs w:val="24"/>
        </w:rPr>
        <w:t xml:space="preserve"> </w:t>
      </w:r>
      <w:r w:rsidR="00E87A10" w:rsidRPr="007957FB">
        <w:rPr>
          <w:rFonts w:ascii="Times New Roman" w:eastAsia="Times New Roman" w:hAnsi="Times New Roman" w:cs="Times New Roman"/>
          <w:color w:val="000000" w:themeColor="text1"/>
          <w:sz w:val="24"/>
          <w:szCs w:val="24"/>
        </w:rPr>
        <w:t>(Hamon et al., 2024)</w:t>
      </w:r>
      <w:r w:rsidRPr="007957FB">
        <w:rPr>
          <w:rFonts w:ascii="Times New Roman" w:hAnsi="Times New Roman" w:cs="Times New Roman"/>
          <w:color w:val="000000" w:themeColor="text1"/>
          <w:sz w:val="24"/>
          <w:szCs w:val="24"/>
        </w:rPr>
        <w:t>. For example, adversarial examples; subtly altered inputs can deceive AI models into producing incorrect outputs, posing risks in applications like autonomous vehicles or medical diagnostics (Goodfellow et al., 201</w:t>
      </w:r>
      <w:r w:rsidR="00866B1F" w:rsidRPr="007957FB">
        <w:rPr>
          <w:rFonts w:ascii="Times New Roman" w:hAnsi="Times New Roman" w:cs="Times New Roman"/>
          <w:color w:val="000000" w:themeColor="text1"/>
          <w:sz w:val="24"/>
          <w:szCs w:val="24"/>
        </w:rPr>
        <w:t>4</w:t>
      </w:r>
      <w:r w:rsidRPr="007957FB">
        <w:rPr>
          <w:rFonts w:ascii="Times New Roman" w:hAnsi="Times New Roman" w:cs="Times New Roman"/>
          <w:color w:val="000000" w:themeColor="text1"/>
          <w:sz w:val="24"/>
          <w:szCs w:val="24"/>
        </w:rPr>
        <w:t xml:space="preserve">). Similarly, data poisoning attacks, where malicious data is injected into training datasets, can degrade model performance or introduce biases, amplifying errors across millions of automated decisions (Biggio </w:t>
      </w:r>
      <w:r w:rsidR="009D64B7" w:rsidRPr="007957FB">
        <w:rPr>
          <w:rFonts w:ascii="Times New Roman" w:hAnsi="Times New Roman" w:cs="Times New Roman"/>
          <w:color w:val="000000" w:themeColor="text1"/>
          <w:sz w:val="24"/>
          <w:szCs w:val="24"/>
        </w:rPr>
        <w:t>and</w:t>
      </w:r>
      <w:r w:rsidRPr="007957FB">
        <w:rPr>
          <w:rFonts w:ascii="Times New Roman" w:hAnsi="Times New Roman" w:cs="Times New Roman"/>
          <w:color w:val="000000" w:themeColor="text1"/>
          <w:sz w:val="24"/>
          <w:szCs w:val="24"/>
        </w:rPr>
        <w:t xml:space="preserve"> Roli, 2018). This “amplification effect” of AI transforms data security from a technical issue </w:t>
      </w:r>
      <w:r w:rsidRPr="007957FB">
        <w:rPr>
          <w:rFonts w:ascii="Times New Roman" w:hAnsi="Times New Roman" w:cs="Times New Roman"/>
          <w:color w:val="000000" w:themeColor="text1"/>
          <w:sz w:val="24"/>
          <w:szCs w:val="24"/>
        </w:rPr>
        <w:lastRenderedPageBreak/>
        <w:t xml:space="preserve">into a strategic concern with far-reaching organizational and societal implications (AIIM, 2025). Traditional cybersecurity measures, such as encryption and access controls, are often inadequate for addressing these AI-specific vulnerabilities, necessitating specialized defenses that account for the dynamic and data-driven nature of AI systems </w:t>
      </w:r>
      <w:r w:rsidR="006B32F4" w:rsidRPr="007957FB">
        <w:rPr>
          <w:rFonts w:ascii="Times New Roman" w:hAnsi="Times New Roman" w:cs="Times New Roman"/>
          <w:color w:val="000000" w:themeColor="text1"/>
          <w:sz w:val="24"/>
          <w:szCs w:val="24"/>
        </w:rPr>
        <w:t>(Chirag Gajiwala, 2024)</w:t>
      </w:r>
      <w:r w:rsidRPr="007957FB">
        <w:rPr>
          <w:rFonts w:ascii="Times New Roman" w:hAnsi="Times New Roman" w:cs="Times New Roman"/>
          <w:color w:val="000000" w:themeColor="text1"/>
          <w:sz w:val="24"/>
          <w:szCs w:val="24"/>
        </w:rPr>
        <w:t>.</w:t>
      </w:r>
    </w:p>
    <w:p w14:paraId="36B848C0" w14:textId="77777777" w:rsidR="009C3C35" w:rsidRPr="007957FB" w:rsidRDefault="009C3C35" w:rsidP="009177DC">
      <w:pPr>
        <w:spacing w:line="360" w:lineRule="auto"/>
        <w:jc w:val="both"/>
        <w:rPr>
          <w:rFonts w:ascii="Times New Roman" w:eastAsia="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Compounding these challenges is the disconnect between cybersecurity practices and information governance frameworks in the context of AI. Cybersecurity focuses on protecting data from external threats, employing tools like firewalls and intrusion detection systems, while information governance ensures data quality, integrity, and ethical management throughout its lifecycle</w:t>
      </w:r>
      <w:r w:rsidR="00064DDD" w:rsidRPr="007957FB">
        <w:rPr>
          <w:rFonts w:ascii="Times New Roman" w:hAnsi="Times New Roman" w:cs="Times New Roman"/>
          <w:color w:val="000000" w:themeColor="text1"/>
          <w:sz w:val="24"/>
          <w:szCs w:val="24"/>
        </w:rPr>
        <w:t xml:space="preserve"> </w:t>
      </w:r>
      <w:r w:rsidR="00064DDD" w:rsidRPr="007957FB">
        <w:rPr>
          <w:rFonts w:ascii="Times New Roman" w:eastAsia="Times New Roman" w:hAnsi="Times New Roman" w:cs="Times New Roman"/>
          <w:color w:val="000000" w:themeColor="text1"/>
          <w:sz w:val="24"/>
          <w:szCs w:val="24"/>
        </w:rPr>
        <w:t>(Alowaidi et al., 2023)</w:t>
      </w:r>
      <w:r w:rsidRPr="007957FB">
        <w:rPr>
          <w:rFonts w:ascii="Times New Roman" w:hAnsi="Times New Roman" w:cs="Times New Roman"/>
          <w:color w:val="000000" w:themeColor="text1"/>
          <w:sz w:val="24"/>
          <w:szCs w:val="24"/>
        </w:rPr>
        <w:t xml:space="preserve">. Effective governance establishes policies for data collection, storage, and usage, ensuring compliance with regulations like the General Data Protection Regulation (GDPR) or the California Consumer Privacy Act (CCPA) </w:t>
      </w:r>
      <w:r w:rsidR="00866B1F" w:rsidRPr="007957FB">
        <w:rPr>
          <w:rFonts w:ascii="Times New Roman" w:hAnsi="Times New Roman" w:cs="Times New Roman"/>
          <w:color w:val="000000" w:themeColor="text1"/>
          <w:sz w:val="24"/>
          <w:szCs w:val="24"/>
        </w:rPr>
        <w:t>(</w:t>
      </w:r>
      <w:r w:rsidR="00866B1F" w:rsidRPr="007957FB">
        <w:rPr>
          <w:rFonts w:ascii="Times New Roman" w:eastAsia="Times New Roman" w:hAnsi="Times New Roman" w:cs="Times New Roman"/>
          <w:color w:val="000000" w:themeColor="text1"/>
          <w:sz w:val="24"/>
          <w:szCs w:val="24"/>
        </w:rPr>
        <w:t>Roha</w:t>
      </w:r>
      <w:r w:rsidR="009D64B7" w:rsidRPr="007957FB">
        <w:rPr>
          <w:rFonts w:ascii="Times New Roman" w:eastAsia="Times New Roman" w:hAnsi="Times New Roman" w:cs="Times New Roman"/>
          <w:color w:val="000000" w:themeColor="text1"/>
          <w:sz w:val="24"/>
          <w:szCs w:val="24"/>
        </w:rPr>
        <w:t>n</w:t>
      </w:r>
      <w:r w:rsidR="00866B1F" w:rsidRPr="007957FB">
        <w:rPr>
          <w:rFonts w:ascii="Times New Roman" w:eastAsia="Times New Roman" w:hAnsi="Times New Roman" w:cs="Times New Roman"/>
          <w:color w:val="000000" w:themeColor="text1"/>
          <w:sz w:val="24"/>
          <w:szCs w:val="24"/>
        </w:rPr>
        <w:t xml:space="preserve"> and Singh</w:t>
      </w:r>
      <w:r w:rsidR="009D64B7" w:rsidRPr="007957FB">
        <w:rPr>
          <w:rFonts w:ascii="Times New Roman" w:eastAsia="Times New Roman" w:hAnsi="Times New Roman" w:cs="Times New Roman"/>
          <w:color w:val="000000" w:themeColor="text1"/>
          <w:sz w:val="24"/>
          <w:szCs w:val="24"/>
        </w:rPr>
        <w:t>,</w:t>
      </w:r>
      <w:r w:rsidR="00866B1F" w:rsidRPr="007957FB">
        <w:rPr>
          <w:rFonts w:ascii="Times New Roman" w:eastAsia="Times New Roman" w:hAnsi="Times New Roman" w:cs="Times New Roman"/>
          <w:color w:val="000000" w:themeColor="text1"/>
          <w:sz w:val="24"/>
          <w:szCs w:val="24"/>
        </w:rPr>
        <w:t xml:space="preserve"> 2024)</w:t>
      </w:r>
      <w:r w:rsidRPr="007957FB">
        <w:rPr>
          <w:rFonts w:ascii="Times New Roman" w:hAnsi="Times New Roman" w:cs="Times New Roman"/>
          <w:color w:val="000000" w:themeColor="text1"/>
          <w:sz w:val="24"/>
          <w:szCs w:val="24"/>
        </w:rPr>
        <w:t xml:space="preserve">. However, these domains often operate in isolation, creating security blind spots where governance principles fail to inform cybersecurity strategies and vice versa. For instance, poor data quality management, a governance issue can exacerbate vulnerabilities to data poisoning, while inadequate cybersecurity measures can undermine governance efforts to protect sensitive data </w:t>
      </w:r>
      <w:r w:rsidR="007D74AD" w:rsidRPr="007957FB">
        <w:rPr>
          <w:rFonts w:ascii="Times New Roman" w:eastAsia="Times New Roman" w:hAnsi="Times New Roman" w:cs="Times New Roman"/>
          <w:color w:val="000000" w:themeColor="text1"/>
          <w:sz w:val="24"/>
          <w:szCs w:val="24"/>
        </w:rPr>
        <w:t>(Talati, 2024)</w:t>
      </w:r>
      <w:r w:rsidRPr="007957FB">
        <w:rPr>
          <w:rFonts w:ascii="Times New Roman" w:hAnsi="Times New Roman" w:cs="Times New Roman"/>
          <w:color w:val="000000" w:themeColor="text1"/>
          <w:sz w:val="24"/>
          <w:szCs w:val="24"/>
        </w:rPr>
        <w:t>. This gap highlights the need for an integrated approach that aligns technical safeguards with organizational policies to address the unique security challenges of AI systems.</w:t>
      </w:r>
    </w:p>
    <w:p w14:paraId="56CBAF89" w14:textId="77777777" w:rsidR="009C3C35" w:rsidRPr="007957FB" w:rsidRDefault="009C3C35"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The scope of this research centers on developing a holistic framework to enhance data security in AI systems by combining cybersecurity principles with information governance strategies. The study examines the technical, organizational, and ethical dimensions of AI security, addressing both the vulnerabilities inherent in AI models and the governance structures required to manage data responsibly. This research is particularly relevant in an era of increasing AI adoption in critical infrastructure, such as smart grids and healthcare systems, where security failures can have catastrophic consequences </w:t>
      </w:r>
      <w:r w:rsidR="00E87A10" w:rsidRPr="007957FB">
        <w:rPr>
          <w:rFonts w:ascii="Times New Roman" w:hAnsi="Times New Roman" w:cs="Times New Roman"/>
          <w:color w:val="000000" w:themeColor="text1"/>
          <w:sz w:val="24"/>
          <w:szCs w:val="24"/>
        </w:rPr>
        <w:t xml:space="preserve">(Akwetey et al., 2022). </w:t>
      </w:r>
      <w:r w:rsidRPr="007957FB">
        <w:rPr>
          <w:rFonts w:ascii="Times New Roman" w:hAnsi="Times New Roman" w:cs="Times New Roman"/>
          <w:color w:val="000000" w:themeColor="text1"/>
          <w:sz w:val="24"/>
          <w:szCs w:val="24"/>
        </w:rPr>
        <w:t>Moreover, the growing regulatory emphasis on AI ethics and data privacy, evidenced by frameworks like the European Union’s AI Act, underscores the need for robust security measures that align with legal and ethical standards (European Commission, 202</w:t>
      </w:r>
      <w:r w:rsidR="00866B1F" w:rsidRPr="007957FB">
        <w:rPr>
          <w:rFonts w:ascii="Times New Roman" w:hAnsi="Times New Roman" w:cs="Times New Roman"/>
          <w:color w:val="000000" w:themeColor="text1"/>
          <w:sz w:val="24"/>
          <w:szCs w:val="24"/>
        </w:rPr>
        <w:t>1</w:t>
      </w:r>
      <w:r w:rsidRPr="007957FB">
        <w:rPr>
          <w:rFonts w:ascii="Times New Roman" w:hAnsi="Times New Roman" w:cs="Times New Roman"/>
          <w:color w:val="000000" w:themeColor="text1"/>
          <w:sz w:val="24"/>
          <w:szCs w:val="24"/>
        </w:rPr>
        <w:t>). By synthesizing insights from cybersecurity, information governance, and AI development, this study aims to provide actionable solutions for securing AI systems across diverse applications.</w:t>
      </w:r>
    </w:p>
    <w:p w14:paraId="5F1A070A" w14:textId="77777777" w:rsidR="009C3C35" w:rsidRPr="007957FB" w:rsidRDefault="009C3C35" w:rsidP="009177DC">
      <w:pPr>
        <w:spacing w:line="360" w:lineRule="auto"/>
        <w:jc w:val="both"/>
        <w:rPr>
          <w:rFonts w:ascii="Times New Roman" w:eastAsia="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lastRenderedPageBreak/>
        <w:t xml:space="preserve">The significance of this research extends to multiple stakeholders within the AI ecosystem, offering practical and theoretical contributions to address critical security gaps. For AI developers and organizations, the study provides guidance on embedding security considerations throughout the AI lifecycle, from data collection and preprocessing to model training, deployment, and retirement enabling them to maximize AI’s benefits while minimizing risks </w:t>
      </w:r>
      <w:r w:rsidR="006B32F4" w:rsidRPr="007957FB">
        <w:rPr>
          <w:rFonts w:ascii="Times New Roman" w:eastAsia="Times New Roman" w:hAnsi="Times New Roman" w:cs="Times New Roman"/>
          <w:color w:val="000000" w:themeColor="text1"/>
          <w:sz w:val="24"/>
          <w:szCs w:val="24"/>
        </w:rPr>
        <w:t>(CSA, 2024)</w:t>
      </w:r>
      <w:r w:rsidRPr="007957FB">
        <w:rPr>
          <w:rFonts w:ascii="Times New Roman" w:hAnsi="Times New Roman" w:cs="Times New Roman"/>
          <w:color w:val="000000" w:themeColor="text1"/>
          <w:sz w:val="24"/>
          <w:szCs w:val="24"/>
        </w:rPr>
        <w:t>. Cybersecurity professionals will benefit from specialized strategies that extend traditional security measures to address AI-specific threats, such as adversarial attacks and model theft, enhancing the protection of AI-dependent infrastructures (Balaban, 2024). Information governance specialists will find frameworks that operationalize governance principles, such as data quality management and compliance monitoring, to strengthen AI security, reinforcing governance as the “scaffolding” of responsible AI systems (AIIM, 2025</w:t>
      </w:r>
      <w:r w:rsidR="00156A7F" w:rsidRPr="007957FB">
        <w:rPr>
          <w:rFonts w:ascii="Times New Roman" w:hAnsi="Times New Roman" w:cs="Times New Roman"/>
          <w:color w:val="000000" w:themeColor="text1"/>
          <w:sz w:val="24"/>
          <w:szCs w:val="24"/>
        </w:rPr>
        <w:t>; Joseph et al., 2024</w:t>
      </w:r>
      <w:r w:rsidRPr="007957FB">
        <w:rPr>
          <w:rFonts w:ascii="Times New Roman" w:hAnsi="Times New Roman" w:cs="Times New Roman"/>
          <w:color w:val="000000" w:themeColor="text1"/>
          <w:sz w:val="24"/>
          <w:szCs w:val="24"/>
        </w:rPr>
        <w:t xml:space="preserve">). Academic researchers will gain theoretical insights into the interplay between cybersecurity and governance in AI, particularly in data-intensive environments like universities, which manage vast repositories of sensitive information </w:t>
      </w:r>
      <w:r w:rsidR="00866B1F" w:rsidRPr="007957FB">
        <w:rPr>
          <w:rFonts w:ascii="Times New Roman" w:eastAsia="Times New Roman" w:hAnsi="Times New Roman" w:cs="Times New Roman"/>
          <w:color w:val="000000" w:themeColor="text1"/>
          <w:sz w:val="24"/>
          <w:szCs w:val="24"/>
        </w:rPr>
        <w:t>(Owoc et al., 2021)</w:t>
      </w:r>
      <w:r w:rsidRPr="007957FB">
        <w:rPr>
          <w:rFonts w:ascii="Times New Roman" w:hAnsi="Times New Roman" w:cs="Times New Roman"/>
          <w:color w:val="000000" w:themeColor="text1"/>
          <w:sz w:val="24"/>
          <w:szCs w:val="24"/>
        </w:rPr>
        <w:t>.</w:t>
      </w:r>
    </w:p>
    <w:p w14:paraId="048CF689" w14:textId="77777777" w:rsidR="009C3C35" w:rsidRPr="007957FB" w:rsidRDefault="009C3C35" w:rsidP="009177DC">
      <w:pPr>
        <w:spacing w:line="360" w:lineRule="auto"/>
        <w:jc w:val="both"/>
        <w:rPr>
          <w:rFonts w:ascii="Times New Roman" w:eastAsia="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For policymakers and regulators, this research offers evidence-based recommendations to inform the development of AI security standards and regulations</w:t>
      </w:r>
      <w:r w:rsidR="00156A7F" w:rsidRPr="007957FB">
        <w:rPr>
          <w:rFonts w:ascii="Times New Roman" w:hAnsi="Times New Roman" w:cs="Times New Roman"/>
          <w:color w:val="000000" w:themeColor="text1"/>
          <w:sz w:val="24"/>
          <w:szCs w:val="24"/>
        </w:rPr>
        <w:t xml:space="preserve"> (Ajayi et al., 2025)</w:t>
      </w:r>
      <w:r w:rsidRPr="007957FB">
        <w:rPr>
          <w:rFonts w:ascii="Times New Roman" w:hAnsi="Times New Roman" w:cs="Times New Roman"/>
          <w:color w:val="000000" w:themeColor="text1"/>
          <w:sz w:val="24"/>
          <w:szCs w:val="24"/>
        </w:rPr>
        <w:t xml:space="preserve">. As governments worldwide grapple with balancing innovation and risk, the study provides a foundation for targeted frameworks that address AI-specific risks while promoting accountability (CISA, </w:t>
      </w:r>
      <w:r w:rsidR="00866B1F" w:rsidRPr="007957FB">
        <w:rPr>
          <w:rFonts w:ascii="Times New Roman" w:hAnsi="Times New Roman" w:cs="Times New Roman"/>
          <w:color w:val="000000" w:themeColor="text1"/>
          <w:sz w:val="24"/>
          <w:szCs w:val="24"/>
        </w:rPr>
        <w:t>2023</w:t>
      </w:r>
      <w:r w:rsidRPr="007957FB">
        <w:rPr>
          <w:rFonts w:ascii="Times New Roman" w:hAnsi="Times New Roman" w:cs="Times New Roman"/>
          <w:color w:val="000000" w:themeColor="text1"/>
          <w:sz w:val="24"/>
          <w:szCs w:val="24"/>
        </w:rPr>
        <w:t>). At a societal level, the research contributes to the development of secure, trustworthy, and ethical AI systems, mitigating risks such as data breaches, privacy violations, and algorithmic bias. These risks, if unaddressed, can erode public trust in AI and hinder its potential to deliver societal benefits, such as improved healthcare outcomes or equitable access to services</w:t>
      </w:r>
      <w:r w:rsidR="006B32F4" w:rsidRPr="007957FB">
        <w:rPr>
          <w:rFonts w:ascii="Times New Roman" w:hAnsi="Times New Roman" w:cs="Times New Roman"/>
          <w:color w:val="000000" w:themeColor="text1"/>
          <w:sz w:val="24"/>
          <w:szCs w:val="24"/>
        </w:rPr>
        <w:t xml:space="preserve"> </w:t>
      </w:r>
      <w:r w:rsidR="006B32F4" w:rsidRPr="007957FB">
        <w:rPr>
          <w:rFonts w:ascii="Times New Roman" w:eastAsia="Times New Roman" w:hAnsi="Times New Roman" w:cs="Times New Roman"/>
          <w:color w:val="000000" w:themeColor="text1"/>
          <w:sz w:val="24"/>
          <w:szCs w:val="24"/>
        </w:rPr>
        <w:t xml:space="preserve">(Bankins </w:t>
      </w:r>
      <w:r w:rsidR="009D64B7" w:rsidRPr="007957FB">
        <w:rPr>
          <w:rFonts w:ascii="Times New Roman" w:eastAsia="Times New Roman" w:hAnsi="Times New Roman" w:cs="Times New Roman"/>
          <w:color w:val="000000" w:themeColor="text1"/>
          <w:sz w:val="24"/>
          <w:szCs w:val="24"/>
        </w:rPr>
        <w:t>and</w:t>
      </w:r>
      <w:r w:rsidR="006B32F4" w:rsidRPr="007957FB">
        <w:rPr>
          <w:rFonts w:ascii="Times New Roman" w:eastAsia="Times New Roman" w:hAnsi="Times New Roman" w:cs="Times New Roman"/>
          <w:color w:val="000000" w:themeColor="text1"/>
          <w:sz w:val="24"/>
          <w:szCs w:val="24"/>
        </w:rPr>
        <w:t xml:space="preserve"> Formosa, 2023)</w:t>
      </w:r>
      <w:r w:rsidRPr="007957FB">
        <w:rPr>
          <w:rFonts w:ascii="Times New Roman" w:hAnsi="Times New Roman" w:cs="Times New Roman"/>
          <w:color w:val="000000" w:themeColor="text1"/>
          <w:sz w:val="24"/>
          <w:szCs w:val="24"/>
        </w:rPr>
        <w:t>. By addressing these challenges, the study aligns with broader efforts to ensure AI serves the public interest while minimizing harm.</w:t>
      </w:r>
    </w:p>
    <w:p w14:paraId="2EDA8876" w14:textId="77777777" w:rsidR="009C3C35" w:rsidRPr="007957FB" w:rsidRDefault="009C3C35"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 primary aim of this research is to develop a comprehensive framework for enhancing data security in AI systems through the integration of cybersecurity principles and information governance approaches. To achieve this, the study pursues several objectives to:</w:t>
      </w:r>
    </w:p>
    <w:p w14:paraId="10B1F488" w14:textId="77777777" w:rsidR="005F33CB" w:rsidRPr="007957FB" w:rsidRDefault="005F33CB" w:rsidP="009177DC">
      <w:pPr>
        <w:pStyle w:val="ListParagraph"/>
        <w:numPr>
          <w:ilvl w:val="0"/>
          <w:numId w:val="6"/>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I</w:t>
      </w:r>
      <w:r w:rsidR="009C3C35" w:rsidRPr="007957FB">
        <w:rPr>
          <w:rFonts w:ascii="Times New Roman" w:hAnsi="Times New Roman" w:cs="Times New Roman"/>
          <w:color w:val="000000" w:themeColor="text1"/>
          <w:sz w:val="24"/>
          <w:szCs w:val="24"/>
        </w:rPr>
        <w:t>dentify and classify AI-specific security vulnerabilities across the AI lifecycle, including data collection, preprocessing, training, validation, deployment, and retirement, distinguishing them from traditional data security challenges</w:t>
      </w:r>
      <w:r w:rsidRPr="007957FB">
        <w:rPr>
          <w:rFonts w:ascii="Times New Roman" w:hAnsi="Times New Roman" w:cs="Times New Roman"/>
          <w:color w:val="000000" w:themeColor="text1"/>
          <w:sz w:val="24"/>
          <w:szCs w:val="24"/>
        </w:rPr>
        <w:t>,</w:t>
      </w:r>
    </w:p>
    <w:p w14:paraId="15FEBAD5" w14:textId="77777777" w:rsidR="005F33CB" w:rsidRPr="007957FB" w:rsidRDefault="005F33CB" w:rsidP="009177DC">
      <w:pPr>
        <w:pStyle w:val="ListParagraph"/>
        <w:numPr>
          <w:ilvl w:val="0"/>
          <w:numId w:val="6"/>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lastRenderedPageBreak/>
        <w:t>E</w:t>
      </w:r>
      <w:r w:rsidR="009C3C35" w:rsidRPr="007957FB">
        <w:rPr>
          <w:rFonts w:ascii="Times New Roman" w:hAnsi="Times New Roman" w:cs="Times New Roman"/>
          <w:color w:val="000000" w:themeColor="text1"/>
          <w:sz w:val="24"/>
          <w:szCs w:val="24"/>
        </w:rPr>
        <w:t>valuate the effectiveness of existing cybersecurity measures, such as encryption and anomaly detection, in addressing these vulnerabilities and propose necessary adaptations</w:t>
      </w:r>
      <w:r w:rsidRPr="007957FB">
        <w:rPr>
          <w:rFonts w:ascii="Times New Roman" w:hAnsi="Times New Roman" w:cs="Times New Roman"/>
          <w:color w:val="000000" w:themeColor="text1"/>
          <w:sz w:val="24"/>
          <w:szCs w:val="24"/>
        </w:rPr>
        <w:t>,</w:t>
      </w:r>
    </w:p>
    <w:p w14:paraId="68524469" w14:textId="77777777" w:rsidR="005F33CB" w:rsidRPr="007957FB" w:rsidRDefault="005F33CB" w:rsidP="009177DC">
      <w:pPr>
        <w:pStyle w:val="ListParagraph"/>
        <w:numPr>
          <w:ilvl w:val="0"/>
          <w:numId w:val="6"/>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A</w:t>
      </w:r>
      <w:r w:rsidR="009C3C35" w:rsidRPr="007957FB">
        <w:rPr>
          <w:rFonts w:ascii="Times New Roman" w:hAnsi="Times New Roman" w:cs="Times New Roman"/>
          <w:color w:val="000000" w:themeColor="text1"/>
          <w:sz w:val="24"/>
          <w:szCs w:val="24"/>
        </w:rPr>
        <w:t>nalyze the role of information governance frameworks in strengthening AI security through principles like data quality, compliance, and ethical oversight</w:t>
      </w:r>
      <w:r w:rsidRPr="007957FB">
        <w:rPr>
          <w:rFonts w:ascii="Times New Roman" w:hAnsi="Times New Roman" w:cs="Times New Roman"/>
          <w:color w:val="000000" w:themeColor="text1"/>
          <w:sz w:val="24"/>
          <w:szCs w:val="24"/>
        </w:rPr>
        <w:t>,</w:t>
      </w:r>
    </w:p>
    <w:p w14:paraId="3717517A" w14:textId="77777777" w:rsidR="005F33CB" w:rsidRPr="007957FB" w:rsidRDefault="005F33CB" w:rsidP="009177DC">
      <w:pPr>
        <w:pStyle w:val="ListParagraph"/>
        <w:numPr>
          <w:ilvl w:val="0"/>
          <w:numId w:val="6"/>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D</w:t>
      </w:r>
      <w:r w:rsidR="009C3C35" w:rsidRPr="007957FB">
        <w:rPr>
          <w:rFonts w:ascii="Times New Roman" w:hAnsi="Times New Roman" w:cs="Times New Roman"/>
          <w:color w:val="000000" w:themeColor="text1"/>
          <w:sz w:val="24"/>
          <w:szCs w:val="24"/>
        </w:rPr>
        <w:t xml:space="preserve">evelop an integrated framework that combines cybersecurity and governance strategies tailored to AI systems, addressing the gap between technical and organizational measures; </w:t>
      </w:r>
    </w:p>
    <w:p w14:paraId="149D8D4A" w14:textId="77777777" w:rsidR="009C3C35" w:rsidRPr="007957FB" w:rsidRDefault="005F33CB" w:rsidP="009177DC">
      <w:pPr>
        <w:pStyle w:val="ListParagraph"/>
        <w:numPr>
          <w:ilvl w:val="0"/>
          <w:numId w:val="6"/>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V</w:t>
      </w:r>
      <w:r w:rsidR="009C3C35" w:rsidRPr="007957FB">
        <w:rPr>
          <w:rFonts w:ascii="Times New Roman" w:hAnsi="Times New Roman" w:cs="Times New Roman"/>
          <w:color w:val="000000" w:themeColor="text1"/>
          <w:sz w:val="24"/>
          <w:szCs w:val="24"/>
        </w:rPr>
        <w:t xml:space="preserve">alidate this framework through expert evaluation and case studies across domains like healthcare, finance, and education. </w:t>
      </w:r>
    </w:p>
    <w:p w14:paraId="7B420CCC" w14:textId="77777777" w:rsidR="009C3C35" w:rsidRPr="007957FB" w:rsidRDefault="009C3C35"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By addressing these objectives, this research seeks to advance both the theoretical understanding and practical implementation of AI security measures. The study responds to the observation that “effective AI security requires both technical protective measures and robust governance structures to ensure system integrity and data protection” (Cerebra, 2024).</w:t>
      </w:r>
    </w:p>
    <w:p w14:paraId="2FF1E1CD"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p>
    <w:p w14:paraId="6D703A54" w14:textId="77777777" w:rsidR="005F33CB" w:rsidRPr="007957FB" w:rsidRDefault="005E3BA4"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Literature Review</w:t>
      </w:r>
    </w:p>
    <w:p w14:paraId="057AA5F3"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 rapid integration of artificial intelligence (AI) into critical sectors such as healthcare, finance, education, and cybersecurity has transformed data processing and decision-making, but it has also amplified data security challenges. AI systems, which process vast datasets and execute automated decisions, introduce unique vulnerabilities that traditional cybersecurity measures often fail to address adequately. This literature review synthesizes peer-reviewed studies, industry reports, and regulatory frameworks to provide a comprehensive analysis of AI data security. Drawing from cybersecurity, information governance, and adaptive systems theory, the review establishes a theoretical foundation, categorizes vulnerabilities, evaluates mitigation strategies, and identifies critical research gaps. By doing so, it lays the groundwork for an integrated framework that combines technical safeguards with governance principles to enhance the security of AI systems.</w:t>
      </w:r>
    </w:p>
    <w:p w14:paraId="4D3D1173" w14:textId="77777777" w:rsidR="005E3BA4" w:rsidRPr="007957FB" w:rsidRDefault="005E3BA4"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Theoretical Foundations of AI Data Security</w:t>
      </w:r>
    </w:p>
    <w:p w14:paraId="3AD34F21" w14:textId="77777777" w:rsidR="005E3BA4" w:rsidRPr="007957FB" w:rsidRDefault="005E3BA4" w:rsidP="009177DC">
      <w:pPr>
        <w:spacing w:line="360" w:lineRule="auto"/>
        <w:jc w:val="both"/>
        <w:rPr>
          <w:rFonts w:ascii="Times New Roman" w:eastAsia="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The security of AI systems is grounded in a multidisciplinary theoretical foundation that integrates cybersecurity, information governance, and adaptive systems theory to address the complex interplay of data, models, and regulatory requirements. Cybersecurity provides the technical mechanisms to protect AI systems from threats such as malware, and adversarial attacks, </w:t>
      </w:r>
      <w:r w:rsidRPr="007957FB">
        <w:rPr>
          <w:rFonts w:ascii="Times New Roman" w:hAnsi="Times New Roman" w:cs="Times New Roman"/>
          <w:color w:val="000000" w:themeColor="text1"/>
          <w:sz w:val="24"/>
          <w:szCs w:val="24"/>
        </w:rPr>
        <w:lastRenderedPageBreak/>
        <w:t>emphasizing principles like confidentiality, integrity, and availability (</w:t>
      </w:r>
      <w:r w:rsidR="0064255C" w:rsidRPr="007957FB">
        <w:rPr>
          <w:rFonts w:ascii="Times New Roman" w:hAnsi="Times New Roman" w:cs="Times New Roman"/>
          <w:color w:val="000000" w:themeColor="text1"/>
          <w:sz w:val="24"/>
          <w:szCs w:val="24"/>
        </w:rPr>
        <w:t xml:space="preserve">Kolade et al., 2024; </w:t>
      </w:r>
      <w:r w:rsidRPr="007957FB">
        <w:rPr>
          <w:rFonts w:ascii="Times New Roman" w:hAnsi="Times New Roman" w:cs="Times New Roman"/>
          <w:color w:val="000000" w:themeColor="text1"/>
          <w:sz w:val="24"/>
          <w:szCs w:val="24"/>
        </w:rPr>
        <w:t xml:space="preserve">Chen et al., 2023). These principles ensure that AI systems remain secure against unauthorized access and maintain the accuracy of their outputs. Information governance focuses on organizational policies that ensure data quality, ethical usage, and compliance with regulations such as the General Data Protection Regulation (GDPR) and the European Union’s AI Act (AIIM, 2025; European Commission, 2024). Governance frameworks establish protocols for data collection, storage, and usage, mitigating risks associated with biased or compromised datasets. Adaptive systems theory underscores the need for AI security frameworks to evolve dynamically in response to emerging threats, such as quantum computing vulnerabilities or concept drift in continuously learning models </w:t>
      </w:r>
      <w:r w:rsidRPr="007957FB">
        <w:rPr>
          <w:rFonts w:ascii="Times New Roman" w:eastAsia="Times New Roman" w:hAnsi="Times New Roman" w:cs="Times New Roman"/>
          <w:color w:val="000000" w:themeColor="text1"/>
          <w:sz w:val="24"/>
          <w:szCs w:val="24"/>
        </w:rPr>
        <w:t>(Gupta et al., 2024)</w:t>
      </w:r>
      <w:r w:rsidRPr="007957FB">
        <w:rPr>
          <w:rFonts w:ascii="Times New Roman" w:hAnsi="Times New Roman" w:cs="Times New Roman"/>
          <w:color w:val="000000" w:themeColor="text1"/>
          <w:sz w:val="24"/>
          <w:szCs w:val="24"/>
        </w:rPr>
        <w:t>. Together, these domains form a robust paradigm for AI security, where technical safeguards and governance policies operate synergistically to mitigate risks across the AI lifecycle.</w:t>
      </w:r>
    </w:p>
    <w:p w14:paraId="578F8379" w14:textId="77777777" w:rsidR="005E3BA4" w:rsidRPr="007957FB" w:rsidRDefault="005E3BA4" w:rsidP="009177DC">
      <w:pPr>
        <w:spacing w:line="360" w:lineRule="auto"/>
        <w:jc w:val="both"/>
        <w:rPr>
          <w:rFonts w:ascii="Times New Roman" w:eastAsia="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A critical theoretical synergy exists between cybersecurity’s principle of least privilege (POLP) and information governance’s data minimization tenet. POLP restricts AI systems to accessing only the data required for their specific functions, reducing the attack surface for potential breaches (Rohan and Singh 2024). Similarly, data minimization ensures that only essential data is collected and processed, aligning with privacy regulations and limiting exposure to security incidents (HPE, 2025). This synergy is vital, as studies reveal that 68% of AI security breaches originate from excessive data permissions or poorly governed training datasets (Perception Point, 2024). Systems thinking further enhances this paradigm by viewing AI security as an interconnected ecosystem, necessitating continuous feedback loops between technical measures and governance policies to address evolving threats </w:t>
      </w:r>
      <w:r w:rsidRPr="007957FB">
        <w:rPr>
          <w:rFonts w:ascii="Times New Roman" w:eastAsia="Times New Roman" w:hAnsi="Times New Roman" w:cs="Times New Roman"/>
          <w:color w:val="000000" w:themeColor="text1"/>
          <w:sz w:val="24"/>
          <w:szCs w:val="24"/>
        </w:rPr>
        <w:t>(Alowaidi et al., 2023)</w:t>
      </w:r>
      <w:r w:rsidRPr="007957FB">
        <w:rPr>
          <w:rFonts w:ascii="Times New Roman" w:hAnsi="Times New Roman" w:cs="Times New Roman"/>
          <w:color w:val="000000" w:themeColor="text1"/>
          <w:sz w:val="24"/>
          <w:szCs w:val="24"/>
        </w:rPr>
        <w:t xml:space="preserve">. Emerging theoretical models, such as the cognitive cybersecurity framework, leverage neural plasticity concepts to develop self-healing AI models, reducing recovery time from attacks by 63% </w:t>
      </w:r>
      <w:r w:rsidRPr="007957FB">
        <w:rPr>
          <w:rFonts w:ascii="Times New Roman" w:eastAsia="Times New Roman" w:hAnsi="Times New Roman" w:cs="Times New Roman"/>
          <w:color w:val="000000" w:themeColor="text1"/>
          <w:sz w:val="24"/>
          <w:szCs w:val="24"/>
        </w:rPr>
        <w:t>(Gajiwala, 2024)</w:t>
      </w:r>
      <w:r w:rsidRPr="007957FB">
        <w:rPr>
          <w:rFonts w:ascii="Times New Roman" w:hAnsi="Times New Roman" w:cs="Times New Roman"/>
          <w:color w:val="000000" w:themeColor="text1"/>
          <w:sz w:val="24"/>
          <w:szCs w:val="24"/>
        </w:rPr>
        <w:t xml:space="preserve">. Game-theoretic governance models, which apply Nash equilibrium principles to optimize security investments across AI supply chains, have demonstrated cost reductions of 27% in enterprise deployments </w:t>
      </w:r>
      <w:r w:rsidRPr="007957FB">
        <w:rPr>
          <w:rFonts w:ascii="Times New Roman" w:eastAsia="Times New Roman" w:hAnsi="Times New Roman" w:cs="Times New Roman"/>
          <w:color w:val="000000" w:themeColor="text1"/>
          <w:sz w:val="24"/>
          <w:szCs w:val="24"/>
        </w:rPr>
        <w:t>(Culot et al., 2024)</w:t>
      </w:r>
      <w:r w:rsidRPr="007957FB">
        <w:rPr>
          <w:rFonts w:ascii="Times New Roman" w:hAnsi="Times New Roman" w:cs="Times New Roman"/>
          <w:color w:val="000000" w:themeColor="text1"/>
          <w:sz w:val="24"/>
          <w:szCs w:val="24"/>
        </w:rPr>
        <w:t>. These advancements highlight the need for adaptive, integrated approaches that balance technical rigor with organizational accountability, providing a foundation for addressing AI-specific security challenges.</w:t>
      </w:r>
    </w:p>
    <w:p w14:paraId="37B394AC" w14:textId="77777777" w:rsidR="005E3BA4" w:rsidRPr="007957FB" w:rsidRDefault="005E3BA4"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AI Security Vulnerabilities and Mitigation Strategies</w:t>
      </w:r>
    </w:p>
    <w:p w14:paraId="7F5B4A8B"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lastRenderedPageBreak/>
        <w:t xml:space="preserve">AI systems are susceptible to a diverse array of vulnerabilities, which can be systematically categorized into data-centric, model-centric, and infrastructure-centric threats. Data-centric vulnerabilities primarily manifest during the data collection and training phases, with data poisoning attacks posing a significant risk. These attacks involve injecting malicious samples into training datasets to manipulate model outputs, with reinforcement learning systems exhibiting attack success rates exceeding 42% in unsupervised environments </w:t>
      </w:r>
      <w:r w:rsidRPr="007957FB">
        <w:rPr>
          <w:rFonts w:ascii="Times New Roman" w:eastAsia="Times New Roman" w:hAnsi="Times New Roman" w:cs="Times New Roman"/>
          <w:color w:val="000000" w:themeColor="text1"/>
          <w:sz w:val="24"/>
          <w:szCs w:val="24"/>
        </w:rPr>
        <w:t>(Hamon et al., 2024)</w:t>
      </w:r>
      <w:r w:rsidRPr="007957FB">
        <w:rPr>
          <w:rFonts w:ascii="Times New Roman" w:hAnsi="Times New Roman" w:cs="Times New Roman"/>
          <w:color w:val="000000" w:themeColor="text1"/>
          <w:sz w:val="24"/>
          <w:szCs w:val="24"/>
        </w:rPr>
        <w:t xml:space="preserve">. Model inversion attacks, which reconstruct sensitive training data from model outputs, are particularly concerning for generative AI models, which show 31% higher vulnerability compared to traditional machine learning systems </w:t>
      </w:r>
      <w:r w:rsidRPr="007957FB">
        <w:rPr>
          <w:rFonts w:ascii="Times New Roman" w:eastAsia="Times New Roman" w:hAnsi="Times New Roman" w:cs="Times New Roman"/>
          <w:color w:val="000000" w:themeColor="text1"/>
          <w:sz w:val="24"/>
          <w:szCs w:val="24"/>
        </w:rPr>
        <w:t xml:space="preserve">(Bankins </w:t>
      </w:r>
      <w:r w:rsidR="009D64B7" w:rsidRPr="007957FB">
        <w:rPr>
          <w:rFonts w:ascii="Times New Roman" w:eastAsia="Times New Roman" w:hAnsi="Times New Roman" w:cs="Times New Roman"/>
          <w:color w:val="000000" w:themeColor="text1"/>
          <w:sz w:val="24"/>
          <w:szCs w:val="24"/>
        </w:rPr>
        <w:t>and</w:t>
      </w:r>
      <w:r w:rsidRPr="007957FB">
        <w:rPr>
          <w:rFonts w:ascii="Times New Roman" w:eastAsia="Times New Roman" w:hAnsi="Times New Roman" w:cs="Times New Roman"/>
          <w:color w:val="000000" w:themeColor="text1"/>
          <w:sz w:val="24"/>
          <w:szCs w:val="24"/>
        </w:rPr>
        <w:t xml:space="preserve"> Formosa, 2023)</w:t>
      </w:r>
      <w:r w:rsidRPr="007957FB">
        <w:rPr>
          <w:rFonts w:ascii="Times New Roman" w:hAnsi="Times New Roman" w:cs="Times New Roman"/>
          <w:color w:val="000000" w:themeColor="text1"/>
          <w:sz w:val="24"/>
          <w:szCs w:val="24"/>
        </w:rPr>
        <w:t xml:space="preserve">. Mitigation strategies such as differential privacy and data sanitization have proven effective, achieving protection rates of 78–92%, though they increase training times by up to 40% </w:t>
      </w:r>
      <w:r w:rsidRPr="007957FB">
        <w:rPr>
          <w:rFonts w:ascii="Times New Roman" w:eastAsia="Times New Roman" w:hAnsi="Times New Roman" w:cs="Times New Roman"/>
          <w:color w:val="000000" w:themeColor="text1"/>
          <w:sz w:val="24"/>
          <w:szCs w:val="24"/>
        </w:rPr>
        <w:t>(CSA, 2024)</w:t>
      </w:r>
      <w:r w:rsidRPr="007957FB">
        <w:rPr>
          <w:rFonts w:ascii="Times New Roman" w:hAnsi="Times New Roman" w:cs="Times New Roman"/>
          <w:color w:val="000000" w:themeColor="text1"/>
          <w:sz w:val="24"/>
          <w:szCs w:val="24"/>
        </w:rPr>
        <w:t>. These trade-offs highlight the challenge of balancing security with computational efficiency in AI systems.</w:t>
      </w:r>
    </w:p>
    <w:p w14:paraId="6C47C24F"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Model-centric vulnerabilities target the integrity and confidentiality of AI models themselves. Adversarial examples</w:t>
      </w:r>
      <w:r w:rsidR="009D64B7" w:rsidRPr="007957FB">
        <w:rPr>
          <w:rFonts w:ascii="Times New Roman" w:hAnsi="Times New Roman" w:cs="Times New Roman"/>
          <w:color w:val="000000" w:themeColor="text1"/>
          <w:sz w:val="24"/>
          <w:szCs w:val="24"/>
        </w:rPr>
        <w:t xml:space="preserve">; </w:t>
      </w:r>
      <w:r w:rsidRPr="007957FB">
        <w:rPr>
          <w:rFonts w:ascii="Times New Roman" w:hAnsi="Times New Roman" w:cs="Times New Roman"/>
          <w:color w:val="000000" w:themeColor="text1"/>
          <w:sz w:val="24"/>
          <w:szCs w:val="24"/>
        </w:rPr>
        <w:t>subtly altered inputs designed to deceive models</w:t>
      </w:r>
      <w:r w:rsidR="009D64B7" w:rsidRPr="007957FB">
        <w:rPr>
          <w:rFonts w:ascii="Times New Roman" w:hAnsi="Times New Roman" w:cs="Times New Roman"/>
          <w:color w:val="000000" w:themeColor="text1"/>
          <w:sz w:val="24"/>
          <w:szCs w:val="24"/>
        </w:rPr>
        <w:t xml:space="preserve"> </w:t>
      </w:r>
      <w:r w:rsidRPr="007957FB">
        <w:rPr>
          <w:rFonts w:ascii="Times New Roman" w:hAnsi="Times New Roman" w:cs="Times New Roman"/>
          <w:color w:val="000000" w:themeColor="text1"/>
          <w:sz w:val="24"/>
          <w:szCs w:val="24"/>
        </w:rPr>
        <w:t xml:space="preserve">are a prominent threat, with computer vision systems demonstrating 23% higher susceptibility than natural language processing models </w:t>
      </w:r>
      <w:r w:rsidRPr="007957FB">
        <w:rPr>
          <w:rFonts w:ascii="Times New Roman" w:eastAsia="Times New Roman" w:hAnsi="Times New Roman" w:cs="Times New Roman"/>
          <w:color w:val="000000" w:themeColor="text1"/>
          <w:sz w:val="24"/>
          <w:szCs w:val="24"/>
        </w:rPr>
        <w:t>(Gajiwala, 2024)</w:t>
      </w:r>
      <w:r w:rsidRPr="007957FB">
        <w:rPr>
          <w:rFonts w:ascii="Times New Roman" w:hAnsi="Times New Roman" w:cs="Times New Roman"/>
          <w:color w:val="000000" w:themeColor="text1"/>
          <w:sz w:val="24"/>
          <w:szCs w:val="24"/>
        </w:rPr>
        <w:t xml:space="preserve">. Model stealing, where attackers replicate proprietary models through API queries, remains a persistent challenge, with current watermarking techniques achieving only 54–67% effectiveness </w:t>
      </w:r>
      <w:r w:rsidRPr="007957FB">
        <w:rPr>
          <w:rFonts w:ascii="Times New Roman" w:eastAsia="Times New Roman" w:hAnsi="Times New Roman" w:cs="Times New Roman"/>
          <w:color w:val="000000" w:themeColor="text1"/>
          <w:sz w:val="24"/>
          <w:szCs w:val="24"/>
        </w:rPr>
        <w:t>(Owoc et al., 2021)</w:t>
      </w:r>
      <w:r w:rsidRPr="007957FB">
        <w:rPr>
          <w:rFonts w:ascii="Times New Roman" w:hAnsi="Times New Roman" w:cs="Times New Roman"/>
          <w:color w:val="000000" w:themeColor="text1"/>
          <w:sz w:val="24"/>
          <w:szCs w:val="24"/>
        </w:rPr>
        <w:t xml:space="preserve">. Defensive strategies like adversarial training and defensive distillation reduce attack success rates by 65–81%, but they often compromise model accuracy by 5–15% (Wilson et al., 2024). Infrastructure-centric vulnerabilities arise from the deployment environment, particularly in continuous integration/continuous deployment (CI/CD) pipelines and edge computing architectures. Reports indicate that 57% of organizations face vulnerabilities in CI/CD pipelines, while distributed AI systems at the edge exhibit 3.2 times higher attack surfaces than centralized systems (CISA, 2023; </w:t>
      </w:r>
      <w:r w:rsidRPr="007957FB">
        <w:rPr>
          <w:rFonts w:ascii="Times New Roman" w:eastAsia="Times New Roman" w:hAnsi="Times New Roman" w:cs="Times New Roman"/>
          <w:color w:val="000000" w:themeColor="text1"/>
          <w:sz w:val="24"/>
          <w:szCs w:val="24"/>
        </w:rPr>
        <w:t>Akwetey et al., 2022</w:t>
      </w:r>
      <w:r w:rsidRPr="007957FB">
        <w:rPr>
          <w:rFonts w:ascii="Times New Roman" w:hAnsi="Times New Roman" w:cs="Times New Roman"/>
          <w:color w:val="000000" w:themeColor="text1"/>
          <w:sz w:val="24"/>
          <w:szCs w:val="24"/>
        </w:rPr>
        <w:t>). These vulnerabilities underscore the need for robust architectural safeguards to protect AI systems in production environments.</w:t>
      </w:r>
    </w:p>
    <w:p w14:paraId="17F64ECE" w14:textId="77777777" w:rsidR="007957FB" w:rsidRDefault="005E3BA4" w:rsidP="007957FB">
      <w:pPr>
        <w:spacing w:line="276" w:lineRule="auto"/>
        <w:ind w:left="720" w:hanging="720"/>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Mitigation strategies for these vulnerabilities encompass both technical and architectural </w:t>
      </w:r>
    </w:p>
    <w:p w14:paraId="5F3A0349" w14:textId="77777777" w:rsidR="007957FB" w:rsidRDefault="007957FB" w:rsidP="007957FB">
      <w:pPr>
        <w:spacing w:line="276"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5E3BA4" w:rsidRPr="007957FB">
        <w:rPr>
          <w:rFonts w:ascii="Times New Roman" w:hAnsi="Times New Roman" w:cs="Times New Roman"/>
          <w:color w:val="000000" w:themeColor="text1"/>
          <w:sz w:val="24"/>
          <w:szCs w:val="24"/>
        </w:rPr>
        <w:t xml:space="preserve">pproaches. Homomorphic encryption enables computation on encrypted data, reducing exposure </w:t>
      </w:r>
    </w:p>
    <w:p w14:paraId="4F9CE82D" w14:textId="77777777" w:rsidR="007957FB" w:rsidRDefault="005E3BA4" w:rsidP="007957FB">
      <w:pPr>
        <w:spacing w:line="276" w:lineRule="auto"/>
        <w:ind w:left="720" w:hanging="720"/>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in federated learning environments by 37% in processing time </w:t>
      </w:r>
      <w:r w:rsidRPr="007957FB">
        <w:rPr>
          <w:rFonts w:ascii="Times New Roman" w:eastAsia="Times New Roman" w:hAnsi="Times New Roman" w:cs="Times New Roman"/>
          <w:color w:val="000000" w:themeColor="text1"/>
          <w:sz w:val="24"/>
          <w:szCs w:val="24"/>
        </w:rPr>
        <w:t>(CSA, 2024)</w:t>
      </w:r>
      <w:r w:rsidRPr="007957FB">
        <w:rPr>
          <w:rFonts w:ascii="Times New Roman" w:hAnsi="Times New Roman" w:cs="Times New Roman"/>
          <w:color w:val="000000" w:themeColor="text1"/>
          <w:sz w:val="24"/>
          <w:szCs w:val="24"/>
        </w:rPr>
        <w:t xml:space="preserve">. Runtime monitoring, </w:t>
      </w:r>
    </w:p>
    <w:p w14:paraId="5183EC53" w14:textId="77777777" w:rsidR="007957FB" w:rsidRDefault="005E3BA4" w:rsidP="007957FB">
      <w:pPr>
        <w:spacing w:line="276" w:lineRule="auto"/>
        <w:ind w:left="720" w:hanging="720"/>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enhanced by AI-powered intrusion detection systems, achieves 94% accuracy in identifying </w:t>
      </w:r>
    </w:p>
    <w:p w14:paraId="4D0E0E28" w14:textId="77777777" w:rsidR="007957FB" w:rsidRDefault="005E3BA4" w:rsidP="007957FB">
      <w:pPr>
        <w:spacing w:line="276" w:lineRule="auto"/>
        <w:ind w:left="720" w:hanging="720"/>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lastRenderedPageBreak/>
        <w:t xml:space="preserve">adversarial attacks when combined with behavioral analytics (Perception Point, 2024). Secure </w:t>
      </w:r>
    </w:p>
    <w:p w14:paraId="2F4204DA" w14:textId="77777777" w:rsidR="007957FB" w:rsidRDefault="005E3BA4" w:rsidP="007957FB">
      <w:pPr>
        <w:spacing w:line="276" w:lineRule="auto"/>
        <w:ind w:left="720" w:hanging="720"/>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multi-party computation (SMPC) facilitates collaborative model training without data sharing, </w:t>
      </w:r>
    </w:p>
    <w:p w14:paraId="12C0DD64" w14:textId="77777777" w:rsidR="007957FB" w:rsidRDefault="005E3BA4" w:rsidP="007957FB">
      <w:pPr>
        <w:spacing w:line="276" w:lineRule="auto"/>
        <w:ind w:left="720" w:hanging="720"/>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reducing data breach incidents by 83% in healthcare AI trials </w:t>
      </w:r>
      <w:r w:rsidRPr="007957FB">
        <w:rPr>
          <w:rFonts w:ascii="Times New Roman" w:eastAsia="Times New Roman" w:hAnsi="Times New Roman" w:cs="Times New Roman"/>
          <w:color w:val="000000" w:themeColor="text1"/>
          <w:sz w:val="24"/>
          <w:szCs w:val="24"/>
        </w:rPr>
        <w:t>(Talati, 2024)</w:t>
      </w:r>
      <w:r w:rsidRPr="007957FB">
        <w:rPr>
          <w:rFonts w:ascii="Times New Roman" w:hAnsi="Times New Roman" w:cs="Times New Roman"/>
          <w:color w:val="000000" w:themeColor="text1"/>
          <w:sz w:val="24"/>
          <w:szCs w:val="24"/>
        </w:rPr>
        <w:t xml:space="preserve">. Zero-trust AI </w:t>
      </w:r>
    </w:p>
    <w:p w14:paraId="0BF9EFAB" w14:textId="77777777" w:rsidR="007957FB" w:rsidRDefault="005E3BA4" w:rsidP="007957FB">
      <w:pPr>
        <w:spacing w:line="276"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architectures, which enforce continuous authentication across all model access points, have </w:t>
      </w:r>
    </w:p>
    <w:p w14:paraId="0E6C184A" w14:textId="77777777" w:rsidR="007957FB" w:rsidRDefault="005E3BA4" w:rsidP="007957FB">
      <w:pPr>
        <w:spacing w:line="276" w:lineRule="auto"/>
        <w:ind w:left="720" w:hanging="720"/>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lowered unauthorized access attempts by 67% in financial institutions </w:t>
      </w:r>
      <w:r w:rsidRPr="007957FB">
        <w:rPr>
          <w:rFonts w:ascii="Times New Roman" w:eastAsia="Times New Roman" w:hAnsi="Times New Roman" w:cs="Times New Roman"/>
          <w:color w:val="000000" w:themeColor="text1"/>
          <w:sz w:val="24"/>
          <w:szCs w:val="24"/>
        </w:rPr>
        <w:t>(Alowaidi et al., 2023)</w:t>
      </w:r>
      <w:r w:rsidRPr="007957FB">
        <w:rPr>
          <w:rFonts w:ascii="Times New Roman" w:hAnsi="Times New Roman" w:cs="Times New Roman"/>
          <w:color w:val="000000" w:themeColor="text1"/>
          <w:sz w:val="24"/>
          <w:szCs w:val="24"/>
        </w:rPr>
        <w:t xml:space="preserve">. </w:t>
      </w:r>
    </w:p>
    <w:p w14:paraId="63EC85F4" w14:textId="77777777" w:rsidR="007957FB" w:rsidRDefault="005E3BA4" w:rsidP="007957FB">
      <w:pPr>
        <w:spacing w:line="276" w:lineRule="auto"/>
        <w:ind w:left="720" w:hanging="720"/>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However, these strategies often introduce computational overhead or require hardware-level </w:t>
      </w:r>
    </w:p>
    <w:p w14:paraId="03DBCEE4" w14:textId="77777777" w:rsidR="007957FB" w:rsidRDefault="005E3BA4" w:rsidP="007957FB">
      <w:pPr>
        <w:spacing w:line="276" w:lineRule="auto"/>
        <w:ind w:left="720" w:hanging="720"/>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support, necessitating a careful balance between security and operational efficiency (Biggio </w:t>
      </w:r>
      <w:r w:rsidR="009D64B7" w:rsidRPr="007957FB">
        <w:rPr>
          <w:rFonts w:ascii="Times New Roman" w:hAnsi="Times New Roman" w:cs="Times New Roman"/>
          <w:color w:val="000000" w:themeColor="text1"/>
          <w:sz w:val="24"/>
          <w:szCs w:val="24"/>
        </w:rPr>
        <w:t>and</w:t>
      </w:r>
      <w:r w:rsidRPr="007957FB">
        <w:rPr>
          <w:rFonts w:ascii="Times New Roman" w:hAnsi="Times New Roman" w:cs="Times New Roman"/>
          <w:color w:val="000000" w:themeColor="text1"/>
          <w:sz w:val="24"/>
          <w:szCs w:val="24"/>
        </w:rPr>
        <w:t xml:space="preserve"> </w:t>
      </w:r>
    </w:p>
    <w:p w14:paraId="229CADDD" w14:textId="77777777" w:rsidR="007957FB" w:rsidRDefault="005E3BA4" w:rsidP="007957FB">
      <w:pPr>
        <w:spacing w:line="276" w:lineRule="auto"/>
        <w:ind w:left="720" w:hanging="720"/>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Roli, 2018). The diversity of vulnerabilities and the limitations of current mitigations highlight the </w:t>
      </w:r>
    </w:p>
    <w:p w14:paraId="6FC6B121" w14:textId="77777777" w:rsidR="007957FB" w:rsidRDefault="005E3BA4" w:rsidP="007957FB">
      <w:pPr>
        <w:spacing w:line="276" w:lineRule="auto"/>
        <w:ind w:left="720" w:hanging="720"/>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need for integrated approaches that address the full spectrum of AI security threats</w:t>
      </w:r>
      <w:r w:rsidR="009D64B7" w:rsidRPr="007957FB">
        <w:rPr>
          <w:rFonts w:ascii="Times New Roman" w:hAnsi="Times New Roman" w:cs="Times New Roman"/>
          <w:color w:val="000000" w:themeColor="text1"/>
          <w:sz w:val="24"/>
          <w:szCs w:val="24"/>
        </w:rPr>
        <w:t xml:space="preserve"> as seen in </w:t>
      </w:r>
      <w:r w:rsidR="004D0455" w:rsidRPr="007957FB">
        <w:rPr>
          <w:rFonts w:ascii="Times New Roman" w:hAnsi="Times New Roman" w:cs="Times New Roman"/>
          <w:color w:val="000000" w:themeColor="text1"/>
          <w:sz w:val="24"/>
          <w:szCs w:val="24"/>
        </w:rPr>
        <w:t>T</w:t>
      </w:r>
      <w:r w:rsidR="009D64B7" w:rsidRPr="007957FB">
        <w:rPr>
          <w:rFonts w:ascii="Times New Roman" w:hAnsi="Times New Roman" w:cs="Times New Roman"/>
          <w:color w:val="000000" w:themeColor="text1"/>
          <w:sz w:val="24"/>
          <w:szCs w:val="24"/>
        </w:rPr>
        <w:t xml:space="preserve">able </w:t>
      </w:r>
    </w:p>
    <w:p w14:paraId="34862185" w14:textId="77777777" w:rsidR="005E3BA4" w:rsidRPr="007957FB" w:rsidRDefault="009D64B7" w:rsidP="007957FB">
      <w:pPr>
        <w:spacing w:line="276" w:lineRule="auto"/>
        <w:ind w:left="720" w:hanging="720"/>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1</w:t>
      </w:r>
      <w:r w:rsidR="005E3BA4" w:rsidRPr="007957FB">
        <w:rPr>
          <w:rFonts w:ascii="Times New Roman" w:hAnsi="Times New Roman" w:cs="Times New Roman"/>
          <w:color w:val="000000" w:themeColor="text1"/>
          <w:sz w:val="24"/>
          <w:szCs w:val="24"/>
        </w:rPr>
        <w:t>.</w:t>
      </w:r>
    </w:p>
    <w:p w14:paraId="18C0BFC3" w14:textId="77777777" w:rsidR="005E3BA4" w:rsidRPr="007957FB" w:rsidRDefault="005E3BA4" w:rsidP="007957FB">
      <w:pPr>
        <w:spacing w:line="360" w:lineRule="auto"/>
        <w:jc w:val="center"/>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Table 1: Comparative Analysis of AI Vulnerability Mitigation Strategies</w:t>
      </w:r>
      <w:r w:rsidR="009177DC" w:rsidRPr="007957FB">
        <w:rPr>
          <w:rFonts w:ascii="Times New Roman" w:hAnsi="Times New Roman" w:cs="Times New Roman"/>
          <w:b/>
          <w:color w:val="000000" w:themeColor="text1"/>
          <w:sz w:val="24"/>
          <w:szCs w:val="24"/>
        </w:rPr>
        <w:t>.</w:t>
      </w:r>
    </w:p>
    <w:tbl>
      <w:tblPr>
        <w:tblStyle w:val="TableGrid"/>
        <w:tblW w:w="0" w:type="auto"/>
        <w:tblInd w:w="0" w:type="dxa"/>
        <w:tblLook w:val="04A0" w:firstRow="1" w:lastRow="0" w:firstColumn="1" w:lastColumn="0" w:noHBand="0" w:noVBand="1"/>
      </w:tblPr>
      <w:tblGrid>
        <w:gridCol w:w="2337"/>
        <w:gridCol w:w="2337"/>
        <w:gridCol w:w="2338"/>
        <w:gridCol w:w="2338"/>
      </w:tblGrid>
      <w:tr w:rsidR="009177DC" w:rsidRPr="00226E8F" w14:paraId="250909C6" w14:textId="77777777" w:rsidTr="005E3BA4">
        <w:tc>
          <w:tcPr>
            <w:tcW w:w="2337" w:type="dxa"/>
            <w:tcBorders>
              <w:top w:val="single" w:sz="4" w:space="0" w:color="auto"/>
              <w:left w:val="single" w:sz="4" w:space="0" w:color="auto"/>
              <w:bottom w:val="single" w:sz="4" w:space="0" w:color="auto"/>
              <w:right w:val="single" w:sz="4" w:space="0" w:color="auto"/>
            </w:tcBorders>
            <w:hideMark/>
          </w:tcPr>
          <w:p w14:paraId="35896A84" w14:textId="77777777" w:rsidR="005E3BA4" w:rsidRPr="00226E8F" w:rsidRDefault="005E3BA4" w:rsidP="009177DC">
            <w:pPr>
              <w:spacing w:line="360" w:lineRule="auto"/>
              <w:jc w:val="both"/>
              <w:rPr>
                <w:rFonts w:ascii="Times New Roman" w:hAnsi="Times New Roman" w:cs="Times New Roman"/>
                <w:color w:val="000000" w:themeColor="text1"/>
                <w:sz w:val="24"/>
                <w:szCs w:val="24"/>
              </w:rPr>
            </w:pPr>
            <w:r w:rsidRPr="00226E8F">
              <w:rPr>
                <w:rFonts w:ascii="Times New Roman" w:hAnsi="Times New Roman" w:cs="Times New Roman"/>
                <w:color w:val="000000" w:themeColor="text1"/>
                <w:sz w:val="24"/>
                <w:szCs w:val="24"/>
              </w:rPr>
              <w:t>Vulnerability Type</w:t>
            </w:r>
          </w:p>
        </w:tc>
        <w:tc>
          <w:tcPr>
            <w:tcW w:w="2337" w:type="dxa"/>
            <w:tcBorders>
              <w:top w:val="single" w:sz="4" w:space="0" w:color="auto"/>
              <w:left w:val="single" w:sz="4" w:space="0" w:color="auto"/>
              <w:bottom w:val="single" w:sz="4" w:space="0" w:color="auto"/>
              <w:right w:val="single" w:sz="4" w:space="0" w:color="auto"/>
            </w:tcBorders>
            <w:hideMark/>
          </w:tcPr>
          <w:p w14:paraId="73C81926" w14:textId="77777777" w:rsidR="005E3BA4" w:rsidRPr="00226E8F" w:rsidRDefault="005E3BA4" w:rsidP="009177DC">
            <w:pPr>
              <w:spacing w:line="360" w:lineRule="auto"/>
              <w:jc w:val="both"/>
              <w:rPr>
                <w:rFonts w:ascii="Times New Roman" w:hAnsi="Times New Roman" w:cs="Times New Roman"/>
                <w:color w:val="000000" w:themeColor="text1"/>
                <w:sz w:val="24"/>
                <w:szCs w:val="24"/>
              </w:rPr>
            </w:pPr>
            <w:r w:rsidRPr="00226E8F">
              <w:rPr>
                <w:rFonts w:ascii="Times New Roman" w:hAnsi="Times New Roman" w:cs="Times New Roman"/>
                <w:color w:val="000000" w:themeColor="text1"/>
                <w:sz w:val="24"/>
                <w:szCs w:val="24"/>
              </w:rPr>
              <w:t>Common Mitigations</w:t>
            </w:r>
          </w:p>
        </w:tc>
        <w:tc>
          <w:tcPr>
            <w:tcW w:w="2338" w:type="dxa"/>
            <w:tcBorders>
              <w:top w:val="single" w:sz="4" w:space="0" w:color="auto"/>
              <w:left w:val="single" w:sz="4" w:space="0" w:color="auto"/>
              <w:bottom w:val="single" w:sz="4" w:space="0" w:color="auto"/>
              <w:right w:val="single" w:sz="4" w:space="0" w:color="auto"/>
            </w:tcBorders>
            <w:hideMark/>
          </w:tcPr>
          <w:p w14:paraId="5E79C6C8" w14:textId="77777777" w:rsidR="005E3BA4" w:rsidRPr="00226E8F" w:rsidRDefault="005E3BA4" w:rsidP="009177DC">
            <w:pPr>
              <w:spacing w:line="360" w:lineRule="auto"/>
              <w:jc w:val="both"/>
              <w:rPr>
                <w:rFonts w:ascii="Times New Roman" w:hAnsi="Times New Roman" w:cs="Times New Roman"/>
                <w:color w:val="000000" w:themeColor="text1"/>
                <w:sz w:val="24"/>
                <w:szCs w:val="24"/>
              </w:rPr>
            </w:pPr>
            <w:r w:rsidRPr="00226E8F">
              <w:rPr>
                <w:rFonts w:ascii="Times New Roman" w:hAnsi="Times New Roman" w:cs="Times New Roman"/>
                <w:color w:val="000000" w:themeColor="text1"/>
                <w:sz w:val="24"/>
                <w:szCs w:val="24"/>
              </w:rPr>
              <w:t>Effectiveness (%)</w:t>
            </w:r>
          </w:p>
        </w:tc>
        <w:tc>
          <w:tcPr>
            <w:tcW w:w="2338" w:type="dxa"/>
            <w:tcBorders>
              <w:top w:val="single" w:sz="4" w:space="0" w:color="auto"/>
              <w:left w:val="single" w:sz="4" w:space="0" w:color="auto"/>
              <w:bottom w:val="single" w:sz="4" w:space="0" w:color="auto"/>
              <w:right w:val="single" w:sz="4" w:space="0" w:color="auto"/>
            </w:tcBorders>
            <w:hideMark/>
          </w:tcPr>
          <w:p w14:paraId="00CBC9CA" w14:textId="77777777" w:rsidR="005E3BA4" w:rsidRPr="00226E8F" w:rsidRDefault="005E3BA4" w:rsidP="009177DC">
            <w:pPr>
              <w:spacing w:line="360" w:lineRule="auto"/>
              <w:jc w:val="both"/>
              <w:rPr>
                <w:rFonts w:ascii="Times New Roman" w:hAnsi="Times New Roman" w:cs="Times New Roman"/>
                <w:color w:val="000000" w:themeColor="text1"/>
                <w:sz w:val="24"/>
                <w:szCs w:val="24"/>
              </w:rPr>
            </w:pPr>
            <w:r w:rsidRPr="00226E8F">
              <w:rPr>
                <w:rFonts w:ascii="Times New Roman" w:hAnsi="Times New Roman" w:cs="Times New Roman"/>
                <w:color w:val="000000" w:themeColor="text1"/>
                <w:sz w:val="24"/>
                <w:szCs w:val="24"/>
              </w:rPr>
              <w:t>Limitations</w:t>
            </w:r>
          </w:p>
        </w:tc>
      </w:tr>
      <w:tr w:rsidR="009177DC" w:rsidRPr="00226E8F" w14:paraId="2346F9FB" w14:textId="77777777" w:rsidTr="005E3BA4">
        <w:tc>
          <w:tcPr>
            <w:tcW w:w="2337" w:type="dxa"/>
            <w:tcBorders>
              <w:top w:val="single" w:sz="4" w:space="0" w:color="auto"/>
              <w:left w:val="single" w:sz="4" w:space="0" w:color="auto"/>
              <w:bottom w:val="single" w:sz="4" w:space="0" w:color="auto"/>
              <w:right w:val="single" w:sz="4" w:space="0" w:color="auto"/>
            </w:tcBorders>
            <w:hideMark/>
          </w:tcPr>
          <w:p w14:paraId="66C8BE08" w14:textId="77777777" w:rsidR="005E3BA4" w:rsidRPr="00226E8F" w:rsidRDefault="005E3BA4" w:rsidP="009177DC">
            <w:pPr>
              <w:spacing w:line="360" w:lineRule="auto"/>
              <w:jc w:val="both"/>
              <w:rPr>
                <w:rFonts w:ascii="Times New Roman" w:hAnsi="Times New Roman" w:cs="Times New Roman"/>
                <w:color w:val="000000" w:themeColor="text1"/>
                <w:sz w:val="24"/>
                <w:szCs w:val="24"/>
              </w:rPr>
            </w:pPr>
            <w:r w:rsidRPr="00226E8F">
              <w:rPr>
                <w:rFonts w:ascii="Times New Roman" w:hAnsi="Times New Roman" w:cs="Times New Roman"/>
                <w:color w:val="000000" w:themeColor="text1"/>
                <w:sz w:val="24"/>
                <w:szCs w:val="24"/>
              </w:rPr>
              <w:t>Data Poisoning</w:t>
            </w:r>
          </w:p>
        </w:tc>
        <w:tc>
          <w:tcPr>
            <w:tcW w:w="2337" w:type="dxa"/>
            <w:tcBorders>
              <w:top w:val="single" w:sz="4" w:space="0" w:color="auto"/>
              <w:left w:val="single" w:sz="4" w:space="0" w:color="auto"/>
              <w:bottom w:val="single" w:sz="4" w:space="0" w:color="auto"/>
              <w:right w:val="single" w:sz="4" w:space="0" w:color="auto"/>
            </w:tcBorders>
            <w:hideMark/>
          </w:tcPr>
          <w:p w14:paraId="3E2F1ABA" w14:textId="77777777" w:rsidR="005E3BA4" w:rsidRPr="00226E8F" w:rsidRDefault="005E3BA4" w:rsidP="009177DC">
            <w:pPr>
              <w:spacing w:line="360" w:lineRule="auto"/>
              <w:jc w:val="both"/>
              <w:rPr>
                <w:rFonts w:ascii="Times New Roman" w:hAnsi="Times New Roman" w:cs="Times New Roman"/>
                <w:color w:val="000000" w:themeColor="text1"/>
                <w:sz w:val="24"/>
                <w:szCs w:val="24"/>
              </w:rPr>
            </w:pPr>
            <w:r w:rsidRPr="00226E8F">
              <w:rPr>
                <w:rFonts w:ascii="Times New Roman" w:hAnsi="Times New Roman" w:cs="Times New Roman"/>
                <w:color w:val="000000" w:themeColor="text1"/>
                <w:sz w:val="24"/>
                <w:szCs w:val="24"/>
              </w:rPr>
              <w:t>Differential Privacy, Data Sanitization</w:t>
            </w:r>
          </w:p>
        </w:tc>
        <w:tc>
          <w:tcPr>
            <w:tcW w:w="2338" w:type="dxa"/>
            <w:tcBorders>
              <w:top w:val="single" w:sz="4" w:space="0" w:color="auto"/>
              <w:left w:val="single" w:sz="4" w:space="0" w:color="auto"/>
              <w:bottom w:val="single" w:sz="4" w:space="0" w:color="auto"/>
              <w:right w:val="single" w:sz="4" w:space="0" w:color="auto"/>
            </w:tcBorders>
            <w:hideMark/>
          </w:tcPr>
          <w:p w14:paraId="30211D40" w14:textId="77777777" w:rsidR="005E3BA4" w:rsidRPr="00226E8F" w:rsidRDefault="005E3BA4" w:rsidP="009177DC">
            <w:pPr>
              <w:spacing w:line="360" w:lineRule="auto"/>
              <w:jc w:val="both"/>
              <w:rPr>
                <w:rFonts w:ascii="Times New Roman" w:hAnsi="Times New Roman" w:cs="Times New Roman"/>
                <w:color w:val="000000" w:themeColor="text1"/>
                <w:sz w:val="24"/>
                <w:szCs w:val="24"/>
              </w:rPr>
            </w:pPr>
            <w:r w:rsidRPr="00226E8F">
              <w:rPr>
                <w:rFonts w:ascii="Times New Roman" w:hAnsi="Times New Roman" w:cs="Times New Roman"/>
                <w:color w:val="000000" w:themeColor="text1"/>
                <w:sz w:val="24"/>
                <w:szCs w:val="24"/>
              </w:rPr>
              <w:t>78–92</w:t>
            </w:r>
          </w:p>
        </w:tc>
        <w:tc>
          <w:tcPr>
            <w:tcW w:w="2338" w:type="dxa"/>
            <w:tcBorders>
              <w:top w:val="single" w:sz="4" w:space="0" w:color="auto"/>
              <w:left w:val="single" w:sz="4" w:space="0" w:color="auto"/>
              <w:bottom w:val="single" w:sz="4" w:space="0" w:color="auto"/>
              <w:right w:val="single" w:sz="4" w:space="0" w:color="auto"/>
            </w:tcBorders>
            <w:hideMark/>
          </w:tcPr>
          <w:p w14:paraId="016BE543" w14:textId="77777777" w:rsidR="005E3BA4" w:rsidRPr="00226E8F" w:rsidRDefault="005E3BA4" w:rsidP="009177DC">
            <w:pPr>
              <w:spacing w:line="360" w:lineRule="auto"/>
              <w:jc w:val="both"/>
              <w:rPr>
                <w:rFonts w:ascii="Times New Roman" w:hAnsi="Times New Roman" w:cs="Times New Roman"/>
                <w:color w:val="000000" w:themeColor="text1"/>
                <w:sz w:val="24"/>
                <w:szCs w:val="24"/>
              </w:rPr>
            </w:pPr>
            <w:r w:rsidRPr="00226E8F">
              <w:rPr>
                <w:rFonts w:ascii="Times New Roman" w:hAnsi="Times New Roman" w:cs="Times New Roman"/>
                <w:color w:val="000000" w:themeColor="text1"/>
                <w:sz w:val="24"/>
                <w:szCs w:val="24"/>
              </w:rPr>
              <w:t>Increases training time by 40%</w:t>
            </w:r>
          </w:p>
        </w:tc>
      </w:tr>
      <w:tr w:rsidR="009177DC" w:rsidRPr="00226E8F" w14:paraId="1560C5A0" w14:textId="77777777" w:rsidTr="005E3BA4">
        <w:tc>
          <w:tcPr>
            <w:tcW w:w="2337" w:type="dxa"/>
            <w:tcBorders>
              <w:top w:val="single" w:sz="4" w:space="0" w:color="auto"/>
              <w:left w:val="single" w:sz="4" w:space="0" w:color="auto"/>
              <w:bottom w:val="single" w:sz="4" w:space="0" w:color="auto"/>
              <w:right w:val="single" w:sz="4" w:space="0" w:color="auto"/>
            </w:tcBorders>
            <w:hideMark/>
          </w:tcPr>
          <w:p w14:paraId="74F0E654" w14:textId="77777777" w:rsidR="005E3BA4" w:rsidRPr="00226E8F" w:rsidRDefault="005E3BA4" w:rsidP="009177DC">
            <w:pPr>
              <w:spacing w:line="360" w:lineRule="auto"/>
              <w:jc w:val="both"/>
              <w:rPr>
                <w:rFonts w:ascii="Times New Roman" w:hAnsi="Times New Roman" w:cs="Times New Roman"/>
                <w:color w:val="000000" w:themeColor="text1"/>
                <w:sz w:val="24"/>
                <w:szCs w:val="24"/>
              </w:rPr>
            </w:pPr>
            <w:r w:rsidRPr="00226E8F">
              <w:rPr>
                <w:rFonts w:ascii="Times New Roman" w:hAnsi="Times New Roman" w:cs="Times New Roman"/>
                <w:color w:val="000000" w:themeColor="text1"/>
                <w:sz w:val="24"/>
                <w:szCs w:val="24"/>
              </w:rPr>
              <w:t>Adversarial Examples</w:t>
            </w:r>
          </w:p>
        </w:tc>
        <w:tc>
          <w:tcPr>
            <w:tcW w:w="2337" w:type="dxa"/>
            <w:tcBorders>
              <w:top w:val="single" w:sz="4" w:space="0" w:color="auto"/>
              <w:left w:val="single" w:sz="4" w:space="0" w:color="auto"/>
              <w:bottom w:val="single" w:sz="4" w:space="0" w:color="auto"/>
              <w:right w:val="single" w:sz="4" w:space="0" w:color="auto"/>
            </w:tcBorders>
            <w:hideMark/>
          </w:tcPr>
          <w:p w14:paraId="58C1092E" w14:textId="77777777" w:rsidR="005E3BA4" w:rsidRPr="00226E8F" w:rsidRDefault="005E3BA4" w:rsidP="009177DC">
            <w:pPr>
              <w:spacing w:line="360" w:lineRule="auto"/>
              <w:jc w:val="both"/>
              <w:rPr>
                <w:rFonts w:ascii="Times New Roman" w:hAnsi="Times New Roman" w:cs="Times New Roman"/>
                <w:color w:val="000000" w:themeColor="text1"/>
                <w:sz w:val="24"/>
                <w:szCs w:val="24"/>
              </w:rPr>
            </w:pPr>
            <w:r w:rsidRPr="00226E8F">
              <w:rPr>
                <w:rFonts w:ascii="Times New Roman" w:hAnsi="Times New Roman" w:cs="Times New Roman"/>
                <w:color w:val="000000" w:themeColor="text1"/>
                <w:sz w:val="24"/>
                <w:szCs w:val="24"/>
              </w:rPr>
              <w:t>Adversarial Training, Defensive Distillation</w:t>
            </w:r>
          </w:p>
        </w:tc>
        <w:tc>
          <w:tcPr>
            <w:tcW w:w="2338" w:type="dxa"/>
            <w:tcBorders>
              <w:top w:val="single" w:sz="4" w:space="0" w:color="auto"/>
              <w:left w:val="single" w:sz="4" w:space="0" w:color="auto"/>
              <w:bottom w:val="single" w:sz="4" w:space="0" w:color="auto"/>
              <w:right w:val="single" w:sz="4" w:space="0" w:color="auto"/>
            </w:tcBorders>
            <w:hideMark/>
          </w:tcPr>
          <w:p w14:paraId="008A1816" w14:textId="77777777" w:rsidR="005E3BA4" w:rsidRPr="00226E8F" w:rsidRDefault="005E3BA4" w:rsidP="009177DC">
            <w:pPr>
              <w:spacing w:line="360" w:lineRule="auto"/>
              <w:jc w:val="both"/>
              <w:rPr>
                <w:rFonts w:ascii="Times New Roman" w:hAnsi="Times New Roman" w:cs="Times New Roman"/>
                <w:color w:val="000000" w:themeColor="text1"/>
                <w:sz w:val="24"/>
                <w:szCs w:val="24"/>
              </w:rPr>
            </w:pPr>
            <w:r w:rsidRPr="00226E8F">
              <w:rPr>
                <w:rFonts w:ascii="Times New Roman" w:hAnsi="Times New Roman" w:cs="Times New Roman"/>
                <w:color w:val="000000" w:themeColor="text1"/>
                <w:sz w:val="24"/>
                <w:szCs w:val="24"/>
              </w:rPr>
              <w:t>65–81</w:t>
            </w:r>
          </w:p>
        </w:tc>
        <w:tc>
          <w:tcPr>
            <w:tcW w:w="2338" w:type="dxa"/>
            <w:tcBorders>
              <w:top w:val="single" w:sz="4" w:space="0" w:color="auto"/>
              <w:left w:val="single" w:sz="4" w:space="0" w:color="auto"/>
              <w:bottom w:val="single" w:sz="4" w:space="0" w:color="auto"/>
              <w:right w:val="single" w:sz="4" w:space="0" w:color="auto"/>
            </w:tcBorders>
            <w:hideMark/>
          </w:tcPr>
          <w:p w14:paraId="4CCAA675" w14:textId="77777777" w:rsidR="005E3BA4" w:rsidRPr="00226E8F" w:rsidRDefault="005E3BA4" w:rsidP="009177DC">
            <w:pPr>
              <w:spacing w:line="360" w:lineRule="auto"/>
              <w:jc w:val="both"/>
              <w:rPr>
                <w:rFonts w:ascii="Times New Roman" w:hAnsi="Times New Roman" w:cs="Times New Roman"/>
                <w:color w:val="000000" w:themeColor="text1"/>
                <w:sz w:val="24"/>
                <w:szCs w:val="24"/>
              </w:rPr>
            </w:pPr>
            <w:r w:rsidRPr="00226E8F">
              <w:rPr>
                <w:rFonts w:ascii="Times New Roman" w:hAnsi="Times New Roman" w:cs="Times New Roman"/>
                <w:color w:val="000000" w:themeColor="text1"/>
                <w:sz w:val="24"/>
                <w:szCs w:val="24"/>
              </w:rPr>
              <w:t>Reduces model accuracy by 5–15%</w:t>
            </w:r>
          </w:p>
        </w:tc>
      </w:tr>
      <w:tr w:rsidR="009177DC" w:rsidRPr="00226E8F" w14:paraId="24C2C75C" w14:textId="77777777" w:rsidTr="005E3BA4">
        <w:tc>
          <w:tcPr>
            <w:tcW w:w="2337" w:type="dxa"/>
            <w:tcBorders>
              <w:top w:val="single" w:sz="4" w:space="0" w:color="auto"/>
              <w:left w:val="single" w:sz="4" w:space="0" w:color="auto"/>
              <w:bottom w:val="single" w:sz="4" w:space="0" w:color="auto"/>
              <w:right w:val="single" w:sz="4" w:space="0" w:color="auto"/>
            </w:tcBorders>
            <w:hideMark/>
          </w:tcPr>
          <w:p w14:paraId="3C8A5860" w14:textId="77777777" w:rsidR="005E3BA4" w:rsidRPr="00226E8F" w:rsidRDefault="005E3BA4" w:rsidP="009177DC">
            <w:pPr>
              <w:spacing w:line="360" w:lineRule="auto"/>
              <w:jc w:val="both"/>
              <w:rPr>
                <w:rFonts w:ascii="Times New Roman" w:hAnsi="Times New Roman" w:cs="Times New Roman"/>
                <w:color w:val="000000" w:themeColor="text1"/>
                <w:sz w:val="24"/>
                <w:szCs w:val="24"/>
              </w:rPr>
            </w:pPr>
            <w:r w:rsidRPr="00226E8F">
              <w:rPr>
                <w:rFonts w:ascii="Times New Roman" w:hAnsi="Times New Roman" w:cs="Times New Roman"/>
                <w:color w:val="000000" w:themeColor="text1"/>
                <w:sz w:val="24"/>
                <w:szCs w:val="24"/>
              </w:rPr>
              <w:t>Model Stealing</w:t>
            </w:r>
          </w:p>
        </w:tc>
        <w:tc>
          <w:tcPr>
            <w:tcW w:w="2337" w:type="dxa"/>
            <w:tcBorders>
              <w:top w:val="single" w:sz="4" w:space="0" w:color="auto"/>
              <w:left w:val="single" w:sz="4" w:space="0" w:color="auto"/>
              <w:bottom w:val="single" w:sz="4" w:space="0" w:color="auto"/>
              <w:right w:val="single" w:sz="4" w:space="0" w:color="auto"/>
            </w:tcBorders>
            <w:hideMark/>
          </w:tcPr>
          <w:p w14:paraId="226D3F22" w14:textId="77777777" w:rsidR="005E3BA4" w:rsidRPr="00226E8F" w:rsidRDefault="005E3BA4" w:rsidP="009177DC">
            <w:pPr>
              <w:spacing w:line="360" w:lineRule="auto"/>
              <w:jc w:val="both"/>
              <w:rPr>
                <w:rFonts w:ascii="Times New Roman" w:hAnsi="Times New Roman" w:cs="Times New Roman"/>
                <w:color w:val="000000" w:themeColor="text1"/>
                <w:sz w:val="24"/>
                <w:szCs w:val="24"/>
              </w:rPr>
            </w:pPr>
            <w:r w:rsidRPr="00226E8F">
              <w:rPr>
                <w:rFonts w:ascii="Times New Roman" w:hAnsi="Times New Roman" w:cs="Times New Roman"/>
                <w:color w:val="000000" w:themeColor="text1"/>
                <w:sz w:val="24"/>
                <w:szCs w:val="24"/>
              </w:rPr>
              <w:t>API Rate Limiting, Watermarking</w:t>
            </w:r>
          </w:p>
        </w:tc>
        <w:tc>
          <w:tcPr>
            <w:tcW w:w="2338" w:type="dxa"/>
            <w:tcBorders>
              <w:top w:val="single" w:sz="4" w:space="0" w:color="auto"/>
              <w:left w:val="single" w:sz="4" w:space="0" w:color="auto"/>
              <w:bottom w:val="single" w:sz="4" w:space="0" w:color="auto"/>
              <w:right w:val="single" w:sz="4" w:space="0" w:color="auto"/>
            </w:tcBorders>
            <w:hideMark/>
          </w:tcPr>
          <w:p w14:paraId="541BB02D" w14:textId="77777777" w:rsidR="005E3BA4" w:rsidRPr="00226E8F" w:rsidRDefault="005E3BA4" w:rsidP="009177DC">
            <w:pPr>
              <w:spacing w:line="360" w:lineRule="auto"/>
              <w:jc w:val="both"/>
              <w:rPr>
                <w:rFonts w:ascii="Times New Roman" w:hAnsi="Times New Roman" w:cs="Times New Roman"/>
                <w:color w:val="000000" w:themeColor="text1"/>
                <w:sz w:val="24"/>
                <w:szCs w:val="24"/>
              </w:rPr>
            </w:pPr>
            <w:r w:rsidRPr="00226E8F">
              <w:rPr>
                <w:rFonts w:ascii="Times New Roman" w:hAnsi="Times New Roman" w:cs="Times New Roman"/>
                <w:color w:val="000000" w:themeColor="text1"/>
                <w:sz w:val="24"/>
                <w:szCs w:val="24"/>
              </w:rPr>
              <w:t>54–67</w:t>
            </w:r>
          </w:p>
        </w:tc>
        <w:tc>
          <w:tcPr>
            <w:tcW w:w="2338" w:type="dxa"/>
            <w:tcBorders>
              <w:top w:val="single" w:sz="4" w:space="0" w:color="auto"/>
              <w:left w:val="single" w:sz="4" w:space="0" w:color="auto"/>
              <w:bottom w:val="single" w:sz="4" w:space="0" w:color="auto"/>
              <w:right w:val="single" w:sz="4" w:space="0" w:color="auto"/>
            </w:tcBorders>
            <w:hideMark/>
          </w:tcPr>
          <w:p w14:paraId="45428A5C" w14:textId="77777777" w:rsidR="005E3BA4" w:rsidRPr="00226E8F" w:rsidRDefault="005E3BA4" w:rsidP="009177DC">
            <w:pPr>
              <w:spacing w:line="360" w:lineRule="auto"/>
              <w:jc w:val="both"/>
              <w:rPr>
                <w:rFonts w:ascii="Times New Roman" w:hAnsi="Times New Roman" w:cs="Times New Roman"/>
                <w:color w:val="000000" w:themeColor="text1"/>
                <w:sz w:val="24"/>
                <w:szCs w:val="24"/>
              </w:rPr>
            </w:pPr>
            <w:r w:rsidRPr="00226E8F">
              <w:rPr>
                <w:rFonts w:ascii="Times New Roman" w:hAnsi="Times New Roman" w:cs="Times New Roman"/>
                <w:color w:val="000000" w:themeColor="text1"/>
                <w:sz w:val="24"/>
                <w:szCs w:val="24"/>
              </w:rPr>
              <w:t>Requires hardware-level support</w:t>
            </w:r>
          </w:p>
        </w:tc>
      </w:tr>
    </w:tbl>
    <w:p w14:paraId="5F66E964"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p>
    <w:p w14:paraId="0A147A6C" w14:textId="77777777" w:rsidR="005E3BA4" w:rsidRPr="007957FB" w:rsidRDefault="005E3BA4"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Information Governance Frameworks for AI Security</w:t>
      </w:r>
    </w:p>
    <w:p w14:paraId="4EA93396"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Information governance is a cornerstone of AI security, providing the organizational framework for ethical data management, compliance, and accountability. Core components of AI governance include data provenance tracking, ethical oversight, and regulatory alignment. Data provenance tracking, often implemented through blockchain-based systems, creates immutable audit trails that ensure compliance with regulations like GDPR’s Article 22, which governs automated decision-making (Cerebra, 2024</w:t>
      </w:r>
      <w:r w:rsidR="0064255C" w:rsidRPr="007957FB">
        <w:rPr>
          <w:rFonts w:ascii="Times New Roman" w:hAnsi="Times New Roman" w:cs="Times New Roman"/>
          <w:color w:val="000000" w:themeColor="text1"/>
          <w:sz w:val="24"/>
          <w:szCs w:val="24"/>
        </w:rPr>
        <w:t>; Olaniyi, 2024</w:t>
      </w:r>
      <w:r w:rsidRPr="007957FB">
        <w:rPr>
          <w:rFonts w:ascii="Times New Roman" w:hAnsi="Times New Roman" w:cs="Times New Roman"/>
          <w:color w:val="000000" w:themeColor="text1"/>
          <w:sz w:val="24"/>
          <w:szCs w:val="24"/>
        </w:rPr>
        <w:t xml:space="preserve">). This transparency is critical for verifying the integrity of training datasets and detecting unauthorized modifications. Ethical review boards have become increasingly prevalent, with 89% of Fortune 500 companies mandating AI ethics committees to </w:t>
      </w:r>
      <w:r w:rsidRPr="007957FB">
        <w:rPr>
          <w:rFonts w:ascii="Times New Roman" w:hAnsi="Times New Roman" w:cs="Times New Roman"/>
          <w:color w:val="000000" w:themeColor="text1"/>
          <w:sz w:val="24"/>
          <w:szCs w:val="24"/>
        </w:rPr>
        <w:lastRenderedPageBreak/>
        <w:t xml:space="preserve">oversee high-risk deployments (AIIM, 2025). These boards address critical issues such as algorithmic bias, privacy violations, and the societal impact of AI systems, which can erode public trust if left unaddressed </w:t>
      </w:r>
      <w:r w:rsidRPr="007957FB">
        <w:rPr>
          <w:rFonts w:ascii="Times New Roman" w:eastAsia="Times New Roman" w:hAnsi="Times New Roman" w:cs="Times New Roman"/>
          <w:color w:val="000000" w:themeColor="text1"/>
          <w:sz w:val="24"/>
          <w:szCs w:val="24"/>
        </w:rPr>
        <w:t>(Bankins &amp; Formosa, 2023</w:t>
      </w:r>
      <w:r w:rsidR="009D64B7" w:rsidRPr="007957FB">
        <w:rPr>
          <w:rFonts w:ascii="Times New Roman" w:eastAsia="Times New Roman" w:hAnsi="Times New Roman" w:cs="Times New Roman"/>
          <w:color w:val="000000" w:themeColor="text1"/>
          <w:sz w:val="24"/>
          <w:szCs w:val="24"/>
        </w:rPr>
        <w:t xml:space="preserve">; </w:t>
      </w:r>
      <w:r w:rsidRPr="007957FB">
        <w:rPr>
          <w:rFonts w:ascii="Times New Roman" w:hAnsi="Times New Roman" w:cs="Times New Roman"/>
          <w:color w:val="000000" w:themeColor="text1"/>
          <w:sz w:val="24"/>
          <w:szCs w:val="24"/>
        </w:rPr>
        <w:t>World Economic Forum, 2025).</w:t>
      </w:r>
    </w:p>
    <w:p w14:paraId="4C2CDDBA"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Regulatory frameworks provide structured guidance for AI governance, aligning organizational practices with legal and ethical standards. The NIST AI Risk Management Framework, adopted by 43% of U.S. federal agencies, emphasizes risk-based audits to identify and mitigate AI vulnerabilities, offering a scalable approach to governance (Devineni, 2024). The EU AI Act, a landmark regulation, mandates conformity assessments for high-risk AI systems, impacting 68% of European AI startups and driving the adoption of governance practices that prioritize transparency and accountability (Rohan and Singh 2024). These frameworks underscore the importance of a lifecycle approach to governance, encompassing policy development, risk assessment, control implementation, monitoring, auditing, and policy revision. This continuous process ensures that governance remains responsive to technological advancements and regulatory changes, maintaining the integrity and trustworthiness of AI systems (Balaban, 2024; IBM, 2024). For instance, governance policies that integrate real-time bias detection have reduced discriminatory outcomes in AI-driven hiring systems by 62% (Crowe, 2023).</w:t>
      </w:r>
    </w:p>
    <w:p w14:paraId="70431969" w14:textId="77777777" w:rsidR="005E3BA4" w:rsidRPr="007957FB" w:rsidRDefault="005E3BA4"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Research Gaps and Emerging Models</w:t>
      </w:r>
    </w:p>
    <w:p w14:paraId="5932C01D"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Despite significant progress in AI security, several critical gaps persist in current research and practice, limiting the effectiveness of existing frameworks. One prominent gap is the lack of adaptive security controls to address concept drift in continuously learning systems. Only 12% of surveyed AI models implement automated retraining safeguards, leaving them vulnerable to performance degradation as data distributions shift over time (Balaban, 2024). This gap is particularly concerning for applications like autonomous vehicles, where real-time adaptability is critical </w:t>
      </w:r>
      <w:r w:rsidRPr="007957FB">
        <w:rPr>
          <w:rFonts w:ascii="Times New Roman" w:eastAsia="Times New Roman" w:hAnsi="Times New Roman" w:cs="Times New Roman"/>
          <w:color w:val="000000" w:themeColor="text1"/>
          <w:sz w:val="24"/>
          <w:szCs w:val="24"/>
        </w:rPr>
        <w:t>(Akwetey et al., 2022)</w:t>
      </w:r>
      <w:r w:rsidRPr="007957FB">
        <w:rPr>
          <w:rFonts w:ascii="Times New Roman" w:hAnsi="Times New Roman" w:cs="Times New Roman"/>
          <w:color w:val="000000" w:themeColor="text1"/>
          <w:sz w:val="24"/>
          <w:szCs w:val="24"/>
        </w:rPr>
        <w:t xml:space="preserve">. Another significant gap lies in the integration of cybersecurity and governance functions, with 78% of organizations managing these domains separately, resulting in policy enforcement inconsistencies and security blind spots (AIIM, 2025). This siloed approach undermines the ability to address AI-specific threats that require coordinated technical and organizational responses </w:t>
      </w:r>
      <w:r w:rsidRPr="007957FB">
        <w:rPr>
          <w:rFonts w:ascii="Times New Roman" w:eastAsia="Times New Roman" w:hAnsi="Times New Roman" w:cs="Times New Roman"/>
          <w:color w:val="000000" w:themeColor="text1"/>
          <w:sz w:val="24"/>
          <w:szCs w:val="24"/>
        </w:rPr>
        <w:t>(Alowaidi et al., 2023)</w:t>
      </w:r>
      <w:r w:rsidRPr="007957FB">
        <w:rPr>
          <w:rFonts w:ascii="Times New Roman" w:hAnsi="Times New Roman" w:cs="Times New Roman"/>
          <w:color w:val="000000" w:themeColor="text1"/>
          <w:sz w:val="24"/>
          <w:szCs w:val="24"/>
        </w:rPr>
        <w:t>.</w:t>
      </w:r>
    </w:p>
    <w:p w14:paraId="0B00F2D4"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Third-party risk management is another underexplored area, with 61% of enterprises unaware of the provenance of pre-trained models, exposing them to supply chain vulnerabilities </w:t>
      </w:r>
      <w:r w:rsidRPr="007957FB">
        <w:rPr>
          <w:rFonts w:ascii="Times New Roman" w:eastAsia="Times New Roman" w:hAnsi="Times New Roman" w:cs="Times New Roman"/>
          <w:color w:val="000000" w:themeColor="text1"/>
          <w:sz w:val="24"/>
          <w:szCs w:val="24"/>
        </w:rPr>
        <w:t xml:space="preserve">(Culot et al., </w:t>
      </w:r>
      <w:r w:rsidRPr="007957FB">
        <w:rPr>
          <w:rFonts w:ascii="Times New Roman" w:eastAsia="Times New Roman" w:hAnsi="Times New Roman" w:cs="Times New Roman"/>
          <w:color w:val="000000" w:themeColor="text1"/>
          <w:sz w:val="24"/>
          <w:szCs w:val="24"/>
        </w:rPr>
        <w:lastRenderedPageBreak/>
        <w:t>2024)</w:t>
      </w:r>
      <w:r w:rsidRPr="007957FB">
        <w:rPr>
          <w:rFonts w:ascii="Times New Roman" w:hAnsi="Times New Roman" w:cs="Times New Roman"/>
          <w:color w:val="000000" w:themeColor="text1"/>
          <w:sz w:val="24"/>
          <w:szCs w:val="24"/>
        </w:rPr>
        <w:t>. These risks are amplified in cloud-based AI deployments, where third-party providers often control critical infrastructure (Wiz,</w:t>
      </w:r>
      <w:r w:rsidR="009D64B7" w:rsidRPr="007957FB">
        <w:rPr>
          <w:rFonts w:ascii="Times New Roman" w:hAnsi="Times New Roman" w:cs="Times New Roman"/>
          <w:color w:val="000000" w:themeColor="text1"/>
          <w:sz w:val="24"/>
          <w:szCs w:val="24"/>
        </w:rPr>
        <w:t xml:space="preserve"> </w:t>
      </w:r>
      <w:r w:rsidRPr="007957FB">
        <w:rPr>
          <w:rFonts w:ascii="Times New Roman" w:hAnsi="Times New Roman" w:cs="Times New Roman"/>
          <w:color w:val="000000" w:themeColor="text1"/>
          <w:sz w:val="24"/>
          <w:szCs w:val="24"/>
        </w:rPr>
        <w:t>2024</w:t>
      </w:r>
      <w:r w:rsidR="0064255C" w:rsidRPr="007957FB">
        <w:rPr>
          <w:rFonts w:ascii="Times New Roman" w:hAnsi="Times New Roman" w:cs="Times New Roman"/>
          <w:color w:val="000000" w:themeColor="text1"/>
          <w:sz w:val="24"/>
          <w:szCs w:val="24"/>
        </w:rPr>
        <w:t>; Salako et al., 2024</w:t>
      </w:r>
      <w:r w:rsidRPr="007957FB">
        <w:rPr>
          <w:rFonts w:ascii="Times New Roman" w:hAnsi="Times New Roman" w:cs="Times New Roman"/>
          <w:color w:val="000000" w:themeColor="text1"/>
          <w:sz w:val="24"/>
          <w:szCs w:val="24"/>
        </w:rPr>
        <w:t>). Additionally, the emerging threat of quantum computing poses a significant challenge, as 89% of current encryption methods for AI models are vulnerable to quantum attacks, yet only 4% of frameworks incorporate post-quantum cryptography (Gupta et al., 2024)</w:t>
      </w:r>
      <w:r w:rsidR="004D0455" w:rsidRPr="007957FB">
        <w:rPr>
          <w:rFonts w:ascii="Times New Roman" w:hAnsi="Times New Roman" w:cs="Times New Roman"/>
          <w:color w:val="000000" w:themeColor="text1"/>
          <w:sz w:val="24"/>
          <w:szCs w:val="24"/>
        </w:rPr>
        <w:t xml:space="preserve"> as summarized in Table 2</w:t>
      </w:r>
      <w:r w:rsidRPr="007957FB">
        <w:rPr>
          <w:rFonts w:ascii="Times New Roman" w:hAnsi="Times New Roman" w:cs="Times New Roman"/>
          <w:color w:val="000000" w:themeColor="text1"/>
          <w:sz w:val="24"/>
          <w:szCs w:val="24"/>
        </w:rPr>
        <w:t xml:space="preserve">. This gap is particularly urgent given the rapid advancements in quantum computing, which could render existing security measures obsolete within the next decade </w:t>
      </w:r>
      <w:r w:rsidRPr="007957FB">
        <w:rPr>
          <w:rFonts w:ascii="Times New Roman" w:eastAsia="Times New Roman" w:hAnsi="Times New Roman" w:cs="Times New Roman"/>
          <w:color w:val="000000" w:themeColor="text1"/>
          <w:sz w:val="24"/>
          <w:szCs w:val="24"/>
        </w:rPr>
        <w:t>(Comiter, 2019)</w:t>
      </w:r>
      <w:r w:rsidRPr="007957FB">
        <w:rPr>
          <w:rFonts w:ascii="Times New Roman" w:hAnsi="Times New Roman" w:cs="Times New Roman"/>
          <w:color w:val="000000" w:themeColor="text1"/>
          <w:sz w:val="24"/>
          <w:szCs w:val="24"/>
        </w:rPr>
        <w:t>.</w:t>
      </w:r>
    </w:p>
    <w:p w14:paraId="3E705DC5" w14:textId="77777777" w:rsidR="005E3BA4" w:rsidRPr="007957FB" w:rsidRDefault="005E3BA4" w:rsidP="009177DC">
      <w:pPr>
        <w:spacing w:line="360" w:lineRule="auto"/>
        <w:jc w:val="both"/>
        <w:rPr>
          <w:rFonts w:ascii="Times New Roman" w:eastAsia="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Emerging models offer promising directions to address these gaps. Google’s Secure AI Framework (SAIF) integrates threat modeling, red teaming, and secure deployment pipelines, achieving 52% faster vulnerability detection compared to traditional methods (Google, 2023). The FATE (Fairness, Accountability, Transparency, Ethics) framework, applied in clinical AI trials, combines differential privacy, model explainability, and real-time bias detection, reducing algorithmic bias incidents by 79% (</w:t>
      </w:r>
      <w:r w:rsidRPr="007957FB">
        <w:rPr>
          <w:rFonts w:ascii="Times New Roman" w:eastAsia="Times New Roman" w:hAnsi="Times New Roman" w:cs="Times New Roman"/>
          <w:color w:val="000000" w:themeColor="text1"/>
          <w:sz w:val="24"/>
          <w:szCs w:val="24"/>
        </w:rPr>
        <w:t>Owoc et al., 2021)</w:t>
      </w:r>
      <w:r w:rsidRPr="007957FB">
        <w:rPr>
          <w:rFonts w:ascii="Times New Roman" w:hAnsi="Times New Roman" w:cs="Times New Roman"/>
          <w:color w:val="000000" w:themeColor="text1"/>
          <w:sz w:val="24"/>
          <w:szCs w:val="24"/>
        </w:rPr>
        <w:t xml:space="preserve">. These hybrid frameworks demonstrate the potential of integrating technical and governance strategies to create resilient AI systems. However, their scalability across diverse domains, such as small-scale enterprises or resource-constrained environments, remains understudied </w:t>
      </w:r>
      <w:r w:rsidRPr="007957FB">
        <w:rPr>
          <w:rFonts w:ascii="Times New Roman" w:eastAsia="Times New Roman" w:hAnsi="Times New Roman" w:cs="Times New Roman"/>
          <w:color w:val="000000" w:themeColor="text1"/>
          <w:sz w:val="24"/>
          <w:szCs w:val="24"/>
        </w:rPr>
        <w:t>(Upadhyay, 2024)</w:t>
      </w:r>
      <w:r w:rsidRPr="007957FB">
        <w:rPr>
          <w:rFonts w:ascii="Times New Roman" w:hAnsi="Times New Roman" w:cs="Times New Roman"/>
          <w:color w:val="000000" w:themeColor="text1"/>
          <w:sz w:val="24"/>
          <w:szCs w:val="24"/>
        </w:rPr>
        <w:t xml:space="preserve">. Other emerging approaches, such as federated learning governance, leverage decentralized architectures to enhance data privacy, but they face challenges in standardizing protocols across heterogeneous systems </w:t>
      </w:r>
      <w:r w:rsidRPr="007957FB">
        <w:rPr>
          <w:rFonts w:ascii="Times New Roman" w:eastAsia="Times New Roman" w:hAnsi="Times New Roman" w:cs="Times New Roman"/>
          <w:color w:val="000000" w:themeColor="text1"/>
          <w:sz w:val="24"/>
          <w:szCs w:val="24"/>
        </w:rPr>
        <w:t>(Scherlis, 2024)</w:t>
      </w:r>
      <w:r w:rsidRPr="007957FB">
        <w:rPr>
          <w:rFonts w:ascii="Times New Roman" w:hAnsi="Times New Roman" w:cs="Times New Roman"/>
          <w:color w:val="000000" w:themeColor="text1"/>
          <w:sz w:val="24"/>
          <w:szCs w:val="24"/>
        </w:rPr>
        <w:t>. These gaps highlight the need for standardized, adaptive security models that can be universally applied while addressing domain-specific requirements.</w:t>
      </w:r>
    </w:p>
    <w:p w14:paraId="77CA3597" w14:textId="77777777" w:rsidR="005E3BA4" w:rsidRPr="007957FB" w:rsidRDefault="005E3BA4" w:rsidP="007957FB">
      <w:pPr>
        <w:spacing w:line="360" w:lineRule="auto"/>
        <w:jc w:val="center"/>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Table 2: Priority Research Gaps and Impact Levels</w:t>
      </w:r>
      <w:r w:rsidR="009177DC" w:rsidRPr="007957FB">
        <w:rPr>
          <w:rFonts w:ascii="Times New Roman" w:hAnsi="Times New Roman" w:cs="Times New Roman"/>
          <w:b/>
          <w:color w:val="000000" w:themeColor="text1"/>
          <w:sz w:val="24"/>
          <w:szCs w:val="24"/>
        </w:rPr>
        <w:t>.</w:t>
      </w:r>
    </w:p>
    <w:tbl>
      <w:tblPr>
        <w:tblStyle w:val="TableGrid"/>
        <w:tblW w:w="0" w:type="auto"/>
        <w:tblInd w:w="0" w:type="dxa"/>
        <w:tblLook w:val="04A0" w:firstRow="1" w:lastRow="0" w:firstColumn="1" w:lastColumn="0" w:noHBand="0" w:noVBand="1"/>
      </w:tblPr>
      <w:tblGrid>
        <w:gridCol w:w="3116"/>
        <w:gridCol w:w="3117"/>
        <w:gridCol w:w="3117"/>
      </w:tblGrid>
      <w:tr w:rsidR="009177DC" w:rsidRPr="007957FB" w14:paraId="2EC20854" w14:textId="77777777" w:rsidTr="005E3BA4">
        <w:tc>
          <w:tcPr>
            <w:tcW w:w="3116" w:type="dxa"/>
            <w:tcBorders>
              <w:top w:val="single" w:sz="4" w:space="0" w:color="auto"/>
              <w:left w:val="single" w:sz="4" w:space="0" w:color="auto"/>
              <w:bottom w:val="single" w:sz="4" w:space="0" w:color="auto"/>
              <w:right w:val="single" w:sz="4" w:space="0" w:color="auto"/>
            </w:tcBorders>
            <w:hideMark/>
          </w:tcPr>
          <w:p w14:paraId="2376D8B2"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Gap Category</w:t>
            </w:r>
          </w:p>
        </w:tc>
        <w:tc>
          <w:tcPr>
            <w:tcW w:w="3117" w:type="dxa"/>
            <w:tcBorders>
              <w:top w:val="single" w:sz="4" w:space="0" w:color="auto"/>
              <w:left w:val="single" w:sz="4" w:space="0" w:color="auto"/>
              <w:bottom w:val="single" w:sz="4" w:space="0" w:color="auto"/>
              <w:right w:val="single" w:sz="4" w:space="0" w:color="auto"/>
            </w:tcBorders>
            <w:hideMark/>
          </w:tcPr>
          <w:p w14:paraId="2163DB70"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Impact Severity (1–5)</w:t>
            </w:r>
          </w:p>
        </w:tc>
        <w:tc>
          <w:tcPr>
            <w:tcW w:w="3117" w:type="dxa"/>
            <w:tcBorders>
              <w:top w:val="single" w:sz="4" w:space="0" w:color="auto"/>
              <w:left w:val="single" w:sz="4" w:space="0" w:color="auto"/>
              <w:bottom w:val="single" w:sz="4" w:space="0" w:color="auto"/>
              <w:right w:val="single" w:sz="4" w:space="0" w:color="auto"/>
            </w:tcBorders>
            <w:hideMark/>
          </w:tcPr>
          <w:p w14:paraId="0EE62910"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Affected Stakeholders</w:t>
            </w:r>
          </w:p>
        </w:tc>
      </w:tr>
      <w:tr w:rsidR="009177DC" w:rsidRPr="007957FB" w14:paraId="30756A8F" w14:textId="77777777" w:rsidTr="005E3BA4">
        <w:tc>
          <w:tcPr>
            <w:tcW w:w="3116" w:type="dxa"/>
            <w:tcBorders>
              <w:top w:val="single" w:sz="4" w:space="0" w:color="auto"/>
              <w:left w:val="single" w:sz="4" w:space="0" w:color="auto"/>
              <w:bottom w:val="single" w:sz="4" w:space="0" w:color="auto"/>
              <w:right w:val="single" w:sz="4" w:space="0" w:color="auto"/>
            </w:tcBorders>
            <w:hideMark/>
          </w:tcPr>
          <w:p w14:paraId="64C65D39"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Adaptive Security Controls</w:t>
            </w:r>
          </w:p>
        </w:tc>
        <w:tc>
          <w:tcPr>
            <w:tcW w:w="3117" w:type="dxa"/>
            <w:tcBorders>
              <w:top w:val="single" w:sz="4" w:space="0" w:color="auto"/>
              <w:left w:val="single" w:sz="4" w:space="0" w:color="auto"/>
              <w:bottom w:val="single" w:sz="4" w:space="0" w:color="auto"/>
              <w:right w:val="single" w:sz="4" w:space="0" w:color="auto"/>
            </w:tcBorders>
            <w:hideMark/>
          </w:tcPr>
          <w:p w14:paraId="28F34453"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4.7</w:t>
            </w:r>
          </w:p>
        </w:tc>
        <w:tc>
          <w:tcPr>
            <w:tcW w:w="3117" w:type="dxa"/>
            <w:tcBorders>
              <w:top w:val="single" w:sz="4" w:space="0" w:color="auto"/>
              <w:left w:val="single" w:sz="4" w:space="0" w:color="auto"/>
              <w:bottom w:val="single" w:sz="4" w:space="0" w:color="auto"/>
              <w:right w:val="single" w:sz="4" w:space="0" w:color="auto"/>
            </w:tcBorders>
            <w:hideMark/>
          </w:tcPr>
          <w:p w14:paraId="1790FE38"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Cloud AI Providers, Regulators</w:t>
            </w:r>
          </w:p>
        </w:tc>
      </w:tr>
      <w:tr w:rsidR="009177DC" w:rsidRPr="007957FB" w14:paraId="22F469E0" w14:textId="77777777" w:rsidTr="005E3BA4">
        <w:tc>
          <w:tcPr>
            <w:tcW w:w="3116" w:type="dxa"/>
            <w:tcBorders>
              <w:top w:val="single" w:sz="4" w:space="0" w:color="auto"/>
              <w:left w:val="single" w:sz="4" w:space="0" w:color="auto"/>
              <w:bottom w:val="single" w:sz="4" w:space="0" w:color="auto"/>
              <w:right w:val="single" w:sz="4" w:space="0" w:color="auto"/>
            </w:tcBorders>
            <w:hideMark/>
          </w:tcPr>
          <w:p w14:paraId="2385BCFA"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Cross-Functional Alignment</w:t>
            </w:r>
          </w:p>
        </w:tc>
        <w:tc>
          <w:tcPr>
            <w:tcW w:w="3117" w:type="dxa"/>
            <w:tcBorders>
              <w:top w:val="single" w:sz="4" w:space="0" w:color="auto"/>
              <w:left w:val="single" w:sz="4" w:space="0" w:color="auto"/>
              <w:bottom w:val="single" w:sz="4" w:space="0" w:color="auto"/>
              <w:right w:val="single" w:sz="4" w:space="0" w:color="auto"/>
            </w:tcBorders>
            <w:hideMark/>
          </w:tcPr>
          <w:p w14:paraId="5CAF922B"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4.2</w:t>
            </w:r>
          </w:p>
        </w:tc>
        <w:tc>
          <w:tcPr>
            <w:tcW w:w="3117" w:type="dxa"/>
            <w:tcBorders>
              <w:top w:val="single" w:sz="4" w:space="0" w:color="auto"/>
              <w:left w:val="single" w:sz="4" w:space="0" w:color="auto"/>
              <w:bottom w:val="single" w:sz="4" w:space="0" w:color="auto"/>
              <w:right w:val="single" w:sz="4" w:space="0" w:color="auto"/>
            </w:tcBorders>
            <w:hideMark/>
          </w:tcPr>
          <w:p w14:paraId="5687632C"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Enterprise Users, Governance Boards</w:t>
            </w:r>
          </w:p>
        </w:tc>
      </w:tr>
      <w:tr w:rsidR="009177DC" w:rsidRPr="007957FB" w14:paraId="28B68F21" w14:textId="77777777" w:rsidTr="005E3BA4">
        <w:tc>
          <w:tcPr>
            <w:tcW w:w="3116" w:type="dxa"/>
            <w:tcBorders>
              <w:top w:val="single" w:sz="4" w:space="0" w:color="auto"/>
              <w:left w:val="single" w:sz="4" w:space="0" w:color="auto"/>
              <w:bottom w:val="single" w:sz="4" w:space="0" w:color="auto"/>
              <w:right w:val="single" w:sz="4" w:space="0" w:color="auto"/>
            </w:tcBorders>
            <w:hideMark/>
          </w:tcPr>
          <w:p w14:paraId="158E7684"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Third-Party Risk Management</w:t>
            </w:r>
          </w:p>
        </w:tc>
        <w:tc>
          <w:tcPr>
            <w:tcW w:w="3117" w:type="dxa"/>
            <w:tcBorders>
              <w:top w:val="single" w:sz="4" w:space="0" w:color="auto"/>
              <w:left w:val="single" w:sz="4" w:space="0" w:color="auto"/>
              <w:bottom w:val="single" w:sz="4" w:space="0" w:color="auto"/>
              <w:right w:val="single" w:sz="4" w:space="0" w:color="auto"/>
            </w:tcBorders>
            <w:hideMark/>
          </w:tcPr>
          <w:p w14:paraId="15656C04"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4.0</w:t>
            </w:r>
          </w:p>
        </w:tc>
        <w:tc>
          <w:tcPr>
            <w:tcW w:w="3117" w:type="dxa"/>
            <w:tcBorders>
              <w:top w:val="single" w:sz="4" w:space="0" w:color="auto"/>
              <w:left w:val="single" w:sz="4" w:space="0" w:color="auto"/>
              <w:bottom w:val="single" w:sz="4" w:space="0" w:color="auto"/>
              <w:right w:val="single" w:sz="4" w:space="0" w:color="auto"/>
            </w:tcBorders>
            <w:hideMark/>
          </w:tcPr>
          <w:p w14:paraId="6EED828F"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Developers, Supply Chain Partners</w:t>
            </w:r>
          </w:p>
        </w:tc>
      </w:tr>
      <w:tr w:rsidR="009177DC" w:rsidRPr="007957FB" w14:paraId="78EE9A91" w14:textId="77777777" w:rsidTr="005E3BA4">
        <w:tc>
          <w:tcPr>
            <w:tcW w:w="3116" w:type="dxa"/>
            <w:tcBorders>
              <w:top w:val="single" w:sz="4" w:space="0" w:color="auto"/>
              <w:left w:val="single" w:sz="4" w:space="0" w:color="auto"/>
              <w:bottom w:val="single" w:sz="4" w:space="0" w:color="auto"/>
              <w:right w:val="single" w:sz="4" w:space="0" w:color="auto"/>
            </w:tcBorders>
            <w:hideMark/>
          </w:tcPr>
          <w:p w14:paraId="7E9D9D1B"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Quantum Computing Threats</w:t>
            </w:r>
          </w:p>
        </w:tc>
        <w:tc>
          <w:tcPr>
            <w:tcW w:w="3117" w:type="dxa"/>
            <w:tcBorders>
              <w:top w:val="single" w:sz="4" w:space="0" w:color="auto"/>
              <w:left w:val="single" w:sz="4" w:space="0" w:color="auto"/>
              <w:bottom w:val="single" w:sz="4" w:space="0" w:color="auto"/>
              <w:right w:val="single" w:sz="4" w:space="0" w:color="auto"/>
            </w:tcBorders>
            <w:hideMark/>
          </w:tcPr>
          <w:p w14:paraId="7FA116E1"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3.9</w:t>
            </w:r>
          </w:p>
        </w:tc>
        <w:tc>
          <w:tcPr>
            <w:tcW w:w="3117" w:type="dxa"/>
            <w:tcBorders>
              <w:top w:val="single" w:sz="4" w:space="0" w:color="auto"/>
              <w:left w:val="single" w:sz="4" w:space="0" w:color="auto"/>
              <w:bottom w:val="single" w:sz="4" w:space="0" w:color="auto"/>
              <w:right w:val="single" w:sz="4" w:space="0" w:color="auto"/>
            </w:tcBorders>
            <w:hideMark/>
          </w:tcPr>
          <w:p w14:paraId="61F7C287"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Cryptographic Researchers, Enterprises</w:t>
            </w:r>
          </w:p>
        </w:tc>
      </w:tr>
    </w:tbl>
    <w:p w14:paraId="74ACB198"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lastRenderedPageBreak/>
        <w:t>The synthesis of existing literature yields three critical insights: first, AI security requires continuous adaptation to address dynamic threats like concept drift and quantum computing; second, effective governance must operationalize cybersecurity principles across all stages of the AI lifecycle, from data collection to model retirement; and third, current standards fall short in addressing emergent risks, particularly in third-party supply chains and post-quantum environments. These findings establish the imperative for an integrated framework that combines technical safeguards, governance policies, and adaptive mechanisms to enhance data security in AI systems. By addressing these gaps, this research aims to contribute to the development of secure, trustworthy, and resilient AI technologies that can withstand the evolving threat landscape while supporting ethical and innovative applications.</w:t>
      </w:r>
    </w:p>
    <w:p w14:paraId="20261D6A" w14:textId="77777777" w:rsidR="005E3BA4" w:rsidRPr="007957FB" w:rsidRDefault="005E3BA4" w:rsidP="009177DC">
      <w:pPr>
        <w:spacing w:line="360" w:lineRule="auto"/>
        <w:jc w:val="both"/>
        <w:rPr>
          <w:rFonts w:ascii="Times New Roman" w:hAnsi="Times New Roman" w:cs="Times New Roman"/>
          <w:color w:val="000000" w:themeColor="text1"/>
          <w:sz w:val="24"/>
          <w:szCs w:val="24"/>
        </w:rPr>
      </w:pPr>
    </w:p>
    <w:p w14:paraId="71433576"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bookmarkStart w:id="0" w:name="_Hlk195869962"/>
      <w:bookmarkStart w:id="1" w:name="_Hlk195870007"/>
      <w:r w:rsidRPr="007957FB">
        <w:rPr>
          <w:rFonts w:ascii="Times New Roman" w:hAnsi="Times New Roman" w:cs="Times New Roman"/>
          <w:b/>
          <w:color w:val="000000" w:themeColor="text1"/>
          <w:sz w:val="24"/>
          <w:szCs w:val="24"/>
        </w:rPr>
        <w:t>Methodology</w:t>
      </w:r>
    </w:p>
    <w:p w14:paraId="3A66D46C"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 development of an integrated framework for securing AI systems demands a robust methodological approach that synthesizes existing knowledge, evaluates empirical evidence, and validates practical solutions. This study adopts a convergent parallel mixed-methods design to address the multidimensional nature of AI security challenges, relying exclusively on secondary data from peer-reviewed studies, industry reports, and technical validations to avoid primary data collection. By systematically analyzing prior research, the methodology ensures a comprehensive understanding of AI security vulnerabilities, mitigation strategies, governance practices, and adaptive mechanisms. This chapter outlines the research design, data collection framework, analytical approaches, ethical considerations, validation methodology, and limitations, explicitly aligning with the research objectives to develop an integrated framework combining cybersecurity measures with information governance principles.</w:t>
      </w:r>
    </w:p>
    <w:p w14:paraId="15F00416"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Research Design</w:t>
      </w:r>
    </w:p>
    <w:p w14:paraId="33D97318"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This study employs a convergent parallel mixed-methods design, as described by Creswell and Clark (2009), to integrate quantitative and qualitative data from sources with technical validations. The design comprises three streams which are a;</w:t>
      </w:r>
    </w:p>
    <w:p w14:paraId="382134EA" w14:textId="77777777" w:rsidR="009177DC" w:rsidRPr="007957FB" w:rsidRDefault="009177DC" w:rsidP="009177DC">
      <w:pPr>
        <w:pStyle w:val="ListParagraph"/>
        <w:numPr>
          <w:ilvl w:val="0"/>
          <w:numId w:val="15"/>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quantitative stream conducting a meta-analysis of security metrics from existing AI security studies, </w:t>
      </w:r>
    </w:p>
    <w:p w14:paraId="6CF7BCA3" w14:textId="77777777" w:rsidR="009177DC" w:rsidRPr="007957FB" w:rsidRDefault="009177DC" w:rsidP="009177DC">
      <w:pPr>
        <w:pStyle w:val="ListParagraph"/>
        <w:numPr>
          <w:ilvl w:val="0"/>
          <w:numId w:val="15"/>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lastRenderedPageBreak/>
        <w:t xml:space="preserve">qualitative stream synthesizing thematic insights from peer-reviewed literature and industry reports, </w:t>
      </w:r>
    </w:p>
    <w:p w14:paraId="770CABED" w14:textId="77777777" w:rsidR="009177DC" w:rsidRPr="007957FB" w:rsidRDefault="009177DC" w:rsidP="009177DC">
      <w:pPr>
        <w:pStyle w:val="ListParagraph"/>
        <w:numPr>
          <w:ilvl w:val="0"/>
          <w:numId w:val="15"/>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technical validation stream performing penetration testing on open-source AI models using adversarial machine learning techniques.</w:t>
      </w:r>
    </w:p>
    <w:p w14:paraId="3C2CA6E6" w14:textId="77777777" w:rsidR="009177DC" w:rsidRPr="007957FB" w:rsidRDefault="009177DC" w:rsidP="009177DC">
      <w:pPr>
        <w:pStyle w:val="ListParagraph"/>
        <w:spacing w:line="360" w:lineRule="auto"/>
        <w:ind w:left="0"/>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This tripartite approach enables triangulation between empirical security performance (quantitative), organizational and governance practices (qualitative), and technical vulnerability assessments (experimental), ensuring a holistic evaluation of AI security challenges (Creswell </w:t>
      </w:r>
      <w:r w:rsidR="009D64B7" w:rsidRPr="007957FB">
        <w:rPr>
          <w:rFonts w:ascii="Times New Roman" w:hAnsi="Times New Roman" w:cs="Times New Roman"/>
          <w:color w:val="000000" w:themeColor="text1"/>
          <w:sz w:val="24"/>
          <w:szCs w:val="24"/>
        </w:rPr>
        <w:t>and</w:t>
      </w:r>
      <w:r w:rsidRPr="007957FB">
        <w:rPr>
          <w:rFonts w:ascii="Times New Roman" w:hAnsi="Times New Roman" w:cs="Times New Roman"/>
          <w:color w:val="000000" w:themeColor="text1"/>
          <w:sz w:val="24"/>
          <w:szCs w:val="24"/>
        </w:rPr>
        <w:t xml:space="preserve"> Clark, 2009)</w:t>
      </w:r>
      <w:r w:rsidR="00AB3EBC" w:rsidRPr="007957FB">
        <w:rPr>
          <w:rFonts w:ascii="Times New Roman" w:hAnsi="Times New Roman" w:cs="Times New Roman"/>
          <w:color w:val="000000" w:themeColor="text1"/>
          <w:sz w:val="24"/>
          <w:szCs w:val="24"/>
        </w:rPr>
        <w:t xml:space="preserve"> as shown in Figure 1</w:t>
      </w:r>
      <w:r w:rsidRPr="007957FB">
        <w:rPr>
          <w:rFonts w:ascii="Times New Roman" w:hAnsi="Times New Roman" w:cs="Times New Roman"/>
          <w:color w:val="000000" w:themeColor="text1"/>
          <w:sz w:val="24"/>
          <w:szCs w:val="24"/>
        </w:rPr>
        <w:t>.</w:t>
      </w:r>
    </w:p>
    <w:p w14:paraId="180B8C84" w14:textId="77777777" w:rsidR="00AB3EBC" w:rsidRPr="007957FB" w:rsidRDefault="00AB3EBC" w:rsidP="00AB3EBC">
      <w:pPr>
        <w:spacing w:line="360" w:lineRule="auto"/>
        <w:jc w:val="center"/>
        <w:rPr>
          <w:rFonts w:ascii="Times New Roman" w:hAnsi="Times New Roman" w:cs="Times New Roman"/>
          <w:color w:val="000000" w:themeColor="text1"/>
          <w:sz w:val="24"/>
          <w:szCs w:val="24"/>
        </w:rPr>
      </w:pPr>
      <w:r w:rsidRPr="007957FB">
        <w:rPr>
          <w:rFonts w:ascii="Times New Roman" w:hAnsi="Times New Roman" w:cs="Times New Roman"/>
          <w:noProof/>
          <w:color w:val="000000" w:themeColor="text1"/>
          <w:sz w:val="24"/>
          <w:szCs w:val="24"/>
        </w:rPr>
        <w:drawing>
          <wp:inline distT="0" distB="0" distL="0" distR="0" wp14:anchorId="2BBC53F2" wp14:editId="72ED2F65">
            <wp:extent cx="5151789" cy="27325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6746" cy="2735196"/>
                    </a:xfrm>
                    <a:prstGeom prst="rect">
                      <a:avLst/>
                    </a:prstGeom>
                    <a:noFill/>
                    <a:ln>
                      <a:noFill/>
                    </a:ln>
                  </pic:spPr>
                </pic:pic>
              </a:graphicData>
            </a:graphic>
          </wp:inline>
        </w:drawing>
      </w:r>
    </w:p>
    <w:p w14:paraId="0E1A57F5" w14:textId="77777777" w:rsidR="00AB3EBC" w:rsidRPr="007957FB" w:rsidRDefault="00AB3EBC" w:rsidP="00AB3EBC">
      <w:pPr>
        <w:spacing w:line="360" w:lineRule="auto"/>
        <w:jc w:val="center"/>
        <w:rPr>
          <w:rFonts w:ascii="Times New Roman" w:hAnsi="Times New Roman" w:cs="Times New Roman"/>
          <w:color w:val="000000" w:themeColor="text1"/>
          <w:sz w:val="24"/>
          <w:szCs w:val="24"/>
        </w:rPr>
      </w:pPr>
      <w:r w:rsidRPr="007957FB">
        <w:rPr>
          <w:rFonts w:ascii="Times New Roman" w:hAnsi="Times New Roman" w:cs="Times New Roman"/>
          <w:b/>
          <w:color w:val="000000" w:themeColor="text1"/>
          <w:sz w:val="24"/>
          <w:szCs w:val="24"/>
        </w:rPr>
        <w:t xml:space="preserve">Figure 1: </w:t>
      </w:r>
      <w:r w:rsidRPr="007957FB">
        <w:rPr>
          <w:rFonts w:ascii="Times New Roman" w:hAnsi="Times New Roman" w:cs="Times New Roman"/>
          <w:color w:val="000000" w:themeColor="text1"/>
          <w:sz w:val="24"/>
          <w:szCs w:val="24"/>
        </w:rPr>
        <w:t>Data Convergence Model.</w:t>
      </w:r>
    </w:p>
    <w:p w14:paraId="23AD07BB"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 quantitative stream addresses identifying and categorizing AI security vulnerabilities and mitigation strategies and evaluating framework effectiveness by aggregating security metrics to assess the performance of cybersecurity measures. The qualitative stream supports synthesizing insights from cybersecurity, governance, and adaptive systems theory by extracting governance principles and organizational strategies. The technical validation stream contributes to developing the integrated framework and validating applicability by testing the framework’s controls against real-world vulnerabilities. Feedback loops between streams, ensure iterative refinement of findings, aligning with the research objectives (Popper, 2005).</w:t>
      </w:r>
    </w:p>
    <w:p w14:paraId="400E4D7A"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Data Collection Framework</w:t>
      </w:r>
    </w:p>
    <w:p w14:paraId="7FBF122A"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lastRenderedPageBreak/>
        <w:t>The data collection framework is designed to extract comprehensive insights from sources, ensuring rigor and replicability. It is structured into quantitative, qualitative, and technical validation components, each tailored to specific research objectives.</w:t>
      </w:r>
    </w:p>
    <w:p w14:paraId="6028D515"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Quantitative Data Collection</w:t>
      </w:r>
    </w:p>
    <w:p w14:paraId="19838257"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 quantitative stream focuses on a meta-analysis of security metrics from prior AI security studies to address vulnerability categorization and framework evaluation. A systematic search was conducted across databases including IEEE Xplore, ACM Digital Library, Scopus, SpringerLink, and Google Scholar, using keywords such as “AI security metrics,” “machine learning vulnerabilities,” “cybersecurity performance,” and “AI threat detection.” Inclusion criteria required studies to:</w:t>
      </w:r>
    </w:p>
    <w:p w14:paraId="652BF2CF" w14:textId="77777777" w:rsidR="009177DC" w:rsidRPr="007957FB" w:rsidRDefault="009177DC" w:rsidP="009177DC">
      <w:pPr>
        <w:pStyle w:val="ListParagraph"/>
        <w:numPr>
          <w:ilvl w:val="0"/>
          <w:numId w:val="16"/>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report empirical security metrics (e.g., detection times, response rates), </w:t>
      </w:r>
    </w:p>
    <w:p w14:paraId="620ED9AC" w14:textId="77777777" w:rsidR="009177DC" w:rsidRPr="007957FB" w:rsidRDefault="009177DC" w:rsidP="009177DC">
      <w:pPr>
        <w:pStyle w:val="ListParagraph"/>
        <w:numPr>
          <w:ilvl w:val="0"/>
          <w:numId w:val="16"/>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focus on AI systems in healthcare, finance, or public sectors, and </w:t>
      </w:r>
    </w:p>
    <w:p w14:paraId="6EC17997" w14:textId="77777777" w:rsidR="009177DC" w:rsidRPr="007957FB" w:rsidRDefault="009177DC" w:rsidP="009177DC">
      <w:pPr>
        <w:pStyle w:val="ListParagraph"/>
        <w:numPr>
          <w:ilvl w:val="0"/>
          <w:numId w:val="16"/>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be published between 2019 and 2025. This process identified 78 studies, covering 11,245 AI deployment instances across healthcare (34%), finance (27%), and public sector (39%) (Moher et al., 2009).</w:t>
      </w:r>
    </w:p>
    <w:p w14:paraId="0F629B75"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Key metrics extracted include:</w:t>
      </w:r>
    </w:p>
    <w:p w14:paraId="54F285E2" w14:textId="77777777" w:rsidR="009177DC" w:rsidRPr="007957FB" w:rsidRDefault="009177DC" w:rsidP="009177DC">
      <w:pPr>
        <w:pStyle w:val="ListParagraph"/>
        <w:numPr>
          <w:ilvl w:val="0"/>
          <w:numId w:val="17"/>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Mean Time to Detect AI-specific Threats (MTTD</w:t>
      </w:r>
      <w:r w:rsidRPr="007957FB">
        <w:rPr>
          <w:rFonts w:ascii="Times New Roman" w:hAnsi="Times New Roman" w:cs="Times New Roman"/>
          <w:color w:val="000000" w:themeColor="text1"/>
          <w:sz w:val="24"/>
          <w:szCs w:val="24"/>
          <w:vertAlign w:val="subscript"/>
        </w:rPr>
        <w:t>AI</w:t>
      </w:r>
      <w:r w:rsidRPr="007957FB">
        <w:rPr>
          <w:rFonts w:ascii="Times New Roman" w:hAnsi="Times New Roman" w:cs="Times New Roman"/>
          <w:color w:val="000000" w:themeColor="text1"/>
          <w:sz w:val="24"/>
          <w:szCs w:val="24"/>
        </w:rPr>
        <w:t>): Measures the average time to identify attacks like adversarial examples or data poisoning, critical for assessing mitigation effectiveness.</w:t>
      </w:r>
    </w:p>
    <w:p w14:paraId="770719A6" w14:textId="77777777" w:rsidR="009177DC" w:rsidRPr="007957FB" w:rsidRDefault="009177DC" w:rsidP="009177DC">
      <w:pPr>
        <w:pStyle w:val="ListParagraph"/>
        <w:numPr>
          <w:ilvl w:val="0"/>
          <w:numId w:val="17"/>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Incident Response Rate (IRR): Calculated as;</w:t>
      </w:r>
    </w:p>
    <w:p w14:paraId="666FDA62" w14:textId="77777777" w:rsidR="009177DC" w:rsidRPr="007957FB" w:rsidRDefault="009177DC" w:rsidP="009177DC">
      <w:pPr>
        <w:pStyle w:val="ListParagraph"/>
        <w:spacing w:line="360" w:lineRule="auto"/>
        <w:jc w:val="both"/>
        <w:rPr>
          <w:rFonts w:ascii="Times New Roman" w:hAnsi="Times New Roman" w:cs="Times New Roman"/>
          <w:color w:val="000000" w:themeColor="text1"/>
          <w:sz w:val="24"/>
          <w:szCs w:val="24"/>
        </w:rPr>
      </w:pPr>
    </w:p>
    <w:p w14:paraId="6C19BCC9" w14:textId="77777777" w:rsidR="009177DC" w:rsidRPr="007957FB" w:rsidRDefault="009177DC" w:rsidP="009177DC">
      <w:pPr>
        <w:pStyle w:val="ListParagraph"/>
        <w:spacing w:line="36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IRR=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Successful Incident Response</m:t>
              </m:r>
            </m:num>
            <m:den>
              <m:r>
                <w:rPr>
                  <w:rFonts w:ascii="Cambria Math" w:hAnsi="Cambria Math" w:cs="Times New Roman"/>
                  <w:color w:val="000000" w:themeColor="text1"/>
                  <w:sz w:val="24"/>
                  <w:szCs w:val="24"/>
                </w:rPr>
                <m:t>Total Security Events</m:t>
              </m:r>
            </m:den>
          </m:f>
          <m:r>
            <w:rPr>
              <w:rFonts w:ascii="Cambria Math" w:hAnsi="Cambria Math" w:cs="Times New Roman"/>
              <w:color w:val="000000" w:themeColor="text1"/>
              <w:sz w:val="24"/>
              <w:szCs w:val="24"/>
            </w:rPr>
            <m:t xml:space="preserve"> ×100</m:t>
          </m:r>
        </m:oMath>
      </m:oMathPara>
    </w:p>
    <w:p w14:paraId="326C6D65" w14:textId="77777777" w:rsidR="009177DC" w:rsidRPr="007957FB" w:rsidRDefault="009177DC" w:rsidP="009177DC">
      <w:pPr>
        <w:pStyle w:val="ListParagraph"/>
        <w:spacing w:line="360" w:lineRule="auto"/>
        <w:jc w:val="both"/>
        <w:rPr>
          <w:rFonts w:ascii="Times New Roman" w:eastAsiaTheme="minorEastAsia" w:hAnsi="Times New Roman" w:cs="Times New Roman"/>
          <w:color w:val="000000" w:themeColor="text1"/>
          <w:sz w:val="24"/>
          <w:szCs w:val="24"/>
        </w:rPr>
      </w:pPr>
      <w:r w:rsidRPr="007957FB">
        <w:rPr>
          <w:rFonts w:ascii="Times New Roman" w:hAnsi="Times New Roman" w:cs="Times New Roman"/>
          <w:color w:val="000000" w:themeColor="text1"/>
          <w:sz w:val="24"/>
          <w:szCs w:val="24"/>
        </w:rPr>
        <w:tab/>
        <w:t>evaluating the response mechanisms.</w:t>
      </w:r>
    </w:p>
    <w:p w14:paraId="04AD97A2" w14:textId="77777777" w:rsidR="009177DC" w:rsidRPr="007957FB" w:rsidRDefault="009177DC" w:rsidP="009177DC">
      <w:pPr>
        <w:pStyle w:val="ListParagraph"/>
        <w:numPr>
          <w:ilvl w:val="0"/>
          <w:numId w:val="17"/>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Encryption Coverage Ratio (ECR): Defined as;</w:t>
      </w:r>
    </w:p>
    <w:p w14:paraId="129ED076" w14:textId="77777777" w:rsidR="009177DC" w:rsidRPr="007957FB" w:rsidRDefault="009177DC" w:rsidP="009177DC">
      <w:pPr>
        <w:pStyle w:val="ListParagraph"/>
        <w:spacing w:line="360" w:lineRule="auto"/>
        <w:jc w:val="both"/>
        <w:rPr>
          <w:rFonts w:ascii="Times New Roman" w:hAnsi="Times New Roman" w:cs="Times New Roman"/>
          <w:color w:val="000000" w:themeColor="text1"/>
          <w:sz w:val="24"/>
          <w:szCs w:val="24"/>
        </w:rPr>
      </w:pPr>
      <m:oMathPara>
        <m:oMath>
          <m:r>
            <w:rPr>
              <w:rFonts w:ascii="Cambria Math" w:eastAsiaTheme="minorEastAsia" w:hAnsi="Cambria Math" w:cs="Times New Roman"/>
              <w:color w:val="000000" w:themeColor="text1"/>
              <w:sz w:val="24"/>
              <w:szCs w:val="24"/>
            </w:rPr>
            <m:t xml:space="preserve">ECR </m:t>
          </m:r>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Encrypted Data Channels</m:t>
              </m:r>
            </m:num>
            <m:den>
              <m:r>
                <w:rPr>
                  <w:rFonts w:ascii="Cambria Math" w:hAnsi="Cambria Math" w:cs="Times New Roman"/>
                  <w:color w:val="000000" w:themeColor="text1"/>
                  <w:sz w:val="24"/>
                  <w:szCs w:val="24"/>
                </w:rPr>
                <m:t>Total Data Interfaces</m:t>
              </m:r>
            </m:den>
          </m:f>
        </m:oMath>
      </m:oMathPara>
    </w:p>
    <w:p w14:paraId="71AFF197"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ab/>
      </w:r>
      <w:r w:rsidRPr="007957FB">
        <w:rPr>
          <w:rFonts w:ascii="Times New Roman" w:hAnsi="Times New Roman" w:cs="Times New Roman"/>
          <w:color w:val="000000" w:themeColor="text1"/>
          <w:sz w:val="24"/>
          <w:szCs w:val="24"/>
        </w:rPr>
        <w:tab/>
        <w:t>assessing the security of data pathways.</w:t>
      </w:r>
    </w:p>
    <w:p w14:paraId="05D42CF0"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lastRenderedPageBreak/>
        <w:t>These metrics were standardized using the AI Security Maturity Index (ASMI), a validated instrument with 132 Likert-scale items (Cronbach’s α = .93, p &lt; .001; CFI = .95, RMSEA = .05) (Hair et al., 2019). The ASMI ensures cross-study comparability, enabling robust meta-analytic synthesis (Borenstein et al., 2024). Data were extracted using a standardized template, capturing study design, sample size, and sector-specific contexts to support sectoral applicability.</w:t>
      </w:r>
    </w:p>
    <w:p w14:paraId="37CCA910"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Qualitative Data Collection</w:t>
      </w:r>
    </w:p>
    <w:p w14:paraId="417E954B"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 qualitative stream involves a systematic literature review to synthesize governance practices, ethical considerations, and organizational strategies, addressing synthesizing theoretical insights and framework development. The search strategy paralleled the quantitative stream, using keywords like “AI governance frameworks,” “information governance in AI,” “ethical AI security,” and “regulatory compliance.” Inclusion criteria required studies to;</w:t>
      </w:r>
    </w:p>
    <w:p w14:paraId="303226DA" w14:textId="77777777" w:rsidR="009177DC" w:rsidRPr="007957FB" w:rsidRDefault="009177DC" w:rsidP="009177DC">
      <w:pPr>
        <w:pStyle w:val="ListParagraph"/>
        <w:numPr>
          <w:ilvl w:val="0"/>
          <w:numId w:val="18"/>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discuss governance, ethical, or policy aspects of AI security,</w:t>
      </w:r>
    </w:p>
    <w:p w14:paraId="0F09536A" w14:textId="77777777" w:rsidR="009177DC" w:rsidRPr="007957FB" w:rsidRDefault="009177DC" w:rsidP="009177DC">
      <w:pPr>
        <w:pStyle w:val="ListParagraph"/>
        <w:numPr>
          <w:ilvl w:val="0"/>
          <w:numId w:val="18"/>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include theoretical frameworks, case studies, or regulatory analyses,</w:t>
      </w:r>
    </w:p>
    <w:p w14:paraId="73D1B14B" w14:textId="77777777" w:rsidR="009177DC" w:rsidRPr="007957FB" w:rsidRDefault="009177DC" w:rsidP="009177DC">
      <w:pPr>
        <w:pStyle w:val="ListParagraph"/>
        <w:numPr>
          <w:ilvl w:val="0"/>
          <w:numId w:val="18"/>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be published between 2019 and 2025. This yielded 89 studies, including peer-reviewed articles, industry reports (e.g., NIST, ENISA), and regulatory guidelines (e.g., GDPR, EU AI Act) (Liberati et al., 2009).</w:t>
      </w:r>
    </w:p>
    <w:p w14:paraId="4E8B7565"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Data extraction focused on themes such as data provenance tracking, compliance with regulations (e.g., GDPR Article 22, HIPAA), ethical oversight mechanisms, and adaptive governance models. Studies spanned healthcare (e.g., clinical AI ethics), finance (e.g., PSD2 compliance), and public services (e.g., FedRAMP standards), supporting sectoral applicability. A data extraction protocol categorized findings into governance structures, policy implementation, stakeholder perspectives, and theoretical synergies (e.g., cybersecurity-governance integration) (Saldana, 2021). This qualitative synthesis informs the governance layer of the framework, ensuring alignment with real-world practices and theoretical foundations (AIIM, 2025; Rohan and Singh 2024).</w:t>
      </w:r>
    </w:p>
    <w:p w14:paraId="572373F0"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Technical Validation Setup</w:t>
      </w:r>
    </w:p>
    <w:p w14:paraId="0623ACA3"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 technical validation stream tests the resilience of open-source AI models against simulated attacks, contributing to vulnerability identification, framework development, and validation. Three models were selected to represent diverse AI applications:</w:t>
      </w:r>
    </w:p>
    <w:p w14:paraId="21A292A7" w14:textId="77777777" w:rsidR="009177DC" w:rsidRPr="007957FB" w:rsidRDefault="009177DC" w:rsidP="009177DC">
      <w:pPr>
        <w:pStyle w:val="ListParagraph"/>
        <w:numPr>
          <w:ilvl w:val="0"/>
          <w:numId w:val="19"/>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lastRenderedPageBreak/>
        <w:t>BERT-based NLP Classifier: Used for healthcare diagnostics, vulnerable to adversarial text perturbations.</w:t>
      </w:r>
    </w:p>
    <w:p w14:paraId="74E0D54D" w14:textId="77777777" w:rsidR="009177DC" w:rsidRPr="007957FB" w:rsidRDefault="009177DC" w:rsidP="009177DC">
      <w:pPr>
        <w:pStyle w:val="ListParagraph"/>
        <w:numPr>
          <w:ilvl w:val="0"/>
          <w:numId w:val="19"/>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YOLOv7 Object Detection: Applied in autonomous vehicles, susceptible to image-based adversarial examples.</w:t>
      </w:r>
    </w:p>
    <w:p w14:paraId="7063D37F" w14:textId="77777777" w:rsidR="009177DC" w:rsidRPr="007957FB" w:rsidRDefault="009177DC" w:rsidP="009177DC">
      <w:pPr>
        <w:pStyle w:val="ListParagraph"/>
        <w:numPr>
          <w:ilvl w:val="0"/>
          <w:numId w:val="19"/>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Federated Learning Model: Employed for financial fraud detection, prone to model inversion and poisoning attacks.</w:t>
      </w:r>
    </w:p>
    <w:p w14:paraId="40B597F6" w14:textId="77777777" w:rsidR="009177DC" w:rsidRPr="007957FB" w:rsidRDefault="009177DC" w:rsidP="009177DC">
      <w:pPr>
        <w:spacing w:line="360" w:lineRule="auto"/>
        <w:jc w:val="both"/>
        <w:rPr>
          <w:rFonts w:ascii="Times New Roman" w:eastAsia="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Attack simulations were conducted using the CleverHans library to generate 15,000 adversarial examples and TensorFlow Privacy to perform model inversion attempts </w:t>
      </w:r>
      <w:r w:rsidRPr="007957FB">
        <w:rPr>
          <w:rFonts w:ascii="Times New Roman" w:eastAsia="Times New Roman" w:hAnsi="Times New Roman" w:cs="Times New Roman"/>
          <w:color w:val="000000" w:themeColor="text1"/>
          <w:sz w:val="24"/>
          <w:szCs w:val="24"/>
        </w:rPr>
        <w:t>(Kurakin et al., 2016</w:t>
      </w:r>
      <w:r w:rsidRPr="007957FB">
        <w:rPr>
          <w:rFonts w:ascii="Times New Roman" w:hAnsi="Times New Roman" w:cs="Times New Roman"/>
          <w:color w:val="000000" w:themeColor="text1"/>
          <w:sz w:val="24"/>
          <w:szCs w:val="24"/>
        </w:rPr>
        <w:t xml:space="preserve">; Abadi et al., 2025). The test environment utilized a secure cloud platform with GPU acceleration, ensuring scalability and reproducibility. Simulations targeted vulnerabilities identified in Chapter 2, such as data poisoning, adversarial examples, and model stealing, providing empirical evidence to validate the framework’s technical controls (Kairouz et al., 2019). The setup was informed by prior studies to ensure alignment with industry-standard attack vectors </w:t>
      </w:r>
      <w:r w:rsidRPr="007957FB">
        <w:rPr>
          <w:rFonts w:ascii="Times New Roman" w:eastAsia="Times New Roman" w:hAnsi="Times New Roman" w:cs="Times New Roman"/>
          <w:color w:val="000000" w:themeColor="text1"/>
          <w:sz w:val="24"/>
          <w:szCs w:val="24"/>
        </w:rPr>
        <w:t>(Hamon et al., 2024)</w:t>
      </w:r>
      <w:r w:rsidRPr="007957FB">
        <w:rPr>
          <w:rFonts w:ascii="Times New Roman" w:hAnsi="Times New Roman" w:cs="Times New Roman"/>
          <w:color w:val="000000" w:themeColor="text1"/>
          <w:sz w:val="24"/>
          <w:szCs w:val="24"/>
        </w:rPr>
        <w:t>.</w:t>
      </w:r>
    </w:p>
    <w:p w14:paraId="119396B4"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Analytical Approaches</w:t>
      </w:r>
    </w:p>
    <w:p w14:paraId="6609452A"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 analytical approaches integrate quantitative, qualitative, and technical data to derive actionable insights, addressing all research objectives through specialized techniques.</w:t>
      </w:r>
    </w:p>
    <w:p w14:paraId="0CAF4AEE"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Quantitative Analysis</w:t>
      </w:r>
    </w:p>
    <w:p w14:paraId="3BDA4ACD"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 quantitative analysis aggregates security metrics to compute a Security Posture Score (SPS), addressing vulnerability mitigation and framework evaluation:</w:t>
      </w:r>
    </w:p>
    <w:p w14:paraId="4074791B"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SPS=0.3</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ECR</m:t>
              </m:r>
            </m:e>
          </m:d>
          <m:r>
            <w:rPr>
              <w:rFonts w:ascii="Cambria Math" w:hAnsi="Cambria Math" w:cs="Times New Roman"/>
              <w:color w:val="000000" w:themeColor="text1"/>
              <w:sz w:val="24"/>
              <w:szCs w:val="24"/>
            </w:rPr>
            <m:t>+0.4</m:t>
          </m:r>
          <m:d>
            <m:dPr>
              <m:ctrlPr>
                <w:rPr>
                  <w:rFonts w:ascii="Cambria Math" w:hAnsi="Cambria Math" w:cs="Times New Roman"/>
                  <w:i/>
                  <w:color w:val="000000" w:themeColor="text1"/>
                  <w:sz w:val="24"/>
                  <w:szCs w:val="24"/>
                </w:rPr>
              </m:ctrlPr>
            </m:dPr>
            <m:e>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log</m:t>
                  </m:r>
                  <m:ctrlPr>
                    <w:rPr>
                      <w:rFonts w:ascii="Cambria Math" w:hAnsi="Cambria Math" w:cs="Times New Roman"/>
                      <w:i/>
                      <w:color w:val="000000" w:themeColor="text1"/>
                      <w:sz w:val="24"/>
                      <w:szCs w:val="24"/>
                    </w:rPr>
                  </m:ctrlPr>
                </m:fName>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MTTD</m:t>
                          </m:r>
                        </m:e>
                        <m:sub>
                          <m:r>
                            <w:rPr>
                              <w:rFonts w:ascii="Cambria Math" w:hAnsi="Cambria Math" w:cs="Times New Roman"/>
                              <w:color w:val="000000" w:themeColor="text1"/>
                              <w:sz w:val="24"/>
                              <w:szCs w:val="24"/>
                            </w:rPr>
                            <m:t>AI</m:t>
                          </m:r>
                        </m:sub>
                      </m:sSub>
                    </m:e>
                  </m:d>
                </m:e>
              </m:func>
            </m:e>
          </m:d>
          <m:r>
            <w:rPr>
              <w:rFonts w:ascii="Cambria Math" w:hAnsi="Cambria Math" w:cs="Times New Roman"/>
              <w:color w:val="000000" w:themeColor="text1"/>
              <w:sz w:val="24"/>
              <w:szCs w:val="24"/>
            </w:rPr>
            <m:t>+0.3(IRR)</m:t>
          </m:r>
        </m:oMath>
      </m:oMathPara>
    </w:p>
    <w:p w14:paraId="4F56EA75"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This formula weights encryption coverage (ECR), detection speed (MTTD</w:t>
      </w:r>
      <w:r w:rsidRPr="007957FB">
        <w:rPr>
          <w:rFonts w:ascii="Times New Roman" w:hAnsi="Times New Roman" w:cs="Times New Roman"/>
          <w:color w:val="000000" w:themeColor="text1"/>
          <w:sz w:val="24"/>
          <w:szCs w:val="24"/>
          <w:vertAlign w:val="subscript"/>
        </w:rPr>
        <w:t>AI</w:t>
      </w:r>
      <w:r w:rsidRPr="007957FB">
        <w:rPr>
          <w:rFonts w:ascii="Times New Roman" w:hAnsi="Times New Roman" w:cs="Times New Roman"/>
          <w:color w:val="000000" w:themeColor="text1"/>
          <w:sz w:val="24"/>
          <w:szCs w:val="24"/>
        </w:rPr>
        <w:t xml:space="preserve">), and response effectiveness (IRR) based on their impact on security outcomes (Borenstein et al., 2024). </w:t>
      </w:r>
    </w:p>
    <w:p w14:paraId="546D68B0"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A multivariate regression model examines the relationship between governance maturity and breach risk, supporting theoretical synthesis:</w:t>
      </w:r>
    </w:p>
    <w:p w14:paraId="04560E25" w14:textId="77777777" w:rsidR="009177DC" w:rsidRPr="007957FB" w:rsidRDefault="00CE554A" w:rsidP="009177DC">
      <w:pPr>
        <w:spacing w:line="360" w:lineRule="auto"/>
        <w:jc w:val="both"/>
        <w:rPr>
          <w:rFonts w:ascii="Times New Roman"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BreachRisk</m:t>
              </m:r>
            </m:sub>
          </m:sSub>
          <m:r>
            <w:rPr>
              <w:rFonts w:ascii="Cambria Math" w:hAnsi="Cambria Math" w:cs="Times New Roman"/>
              <w:color w:val="000000" w:themeColor="text1"/>
              <w:sz w:val="24"/>
              <w:szCs w:val="24"/>
            </w:rPr>
            <m:t xml:space="preserve">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 xml:space="preserve">+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1</m:t>
              </m:r>
            </m:sub>
          </m:sSub>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GovScore</m:t>
              </m:r>
            </m:sub>
          </m:sSub>
          <m:r>
            <w:rPr>
              <w:rFonts w:ascii="Cambria Math" w:eastAsiaTheme="minorEastAsia" w:hAnsi="Cambria Math" w:cs="Times New Roman"/>
              <w:color w:val="000000" w:themeColor="text1"/>
              <w:sz w:val="24"/>
              <w:szCs w:val="24"/>
            </w:rPr>
            <m:t xml:space="preserve"> +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2</m:t>
              </m:r>
            </m:sub>
          </m:sSub>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Ecryption</m:t>
              </m:r>
            </m:sub>
          </m:sSub>
          <m:r>
            <w:rPr>
              <w:rFonts w:ascii="Cambria Math" w:eastAsiaTheme="minorEastAsia" w:hAnsi="Cambria Math" w:cs="Times New Roman"/>
              <w:color w:val="000000" w:themeColor="text1"/>
              <w:sz w:val="24"/>
              <w:szCs w:val="24"/>
            </w:rPr>
            <m:t xml:space="preserve">+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3</m:t>
              </m:r>
            </m:sub>
          </m:sSub>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TrainingSec</m:t>
              </m:r>
            </m:sub>
          </m:sSub>
          <m:r>
            <w:rPr>
              <w:rFonts w:ascii="Cambria Math" w:eastAsiaTheme="minorEastAsia" w:hAnsi="Cambria Math" w:cs="Times New Roman"/>
              <w:color w:val="000000" w:themeColor="text1"/>
              <w:sz w:val="24"/>
              <w:szCs w:val="24"/>
            </w:rPr>
            <m:t>+ ϵ</m:t>
          </m:r>
        </m:oMath>
      </m:oMathPara>
    </w:p>
    <w:p w14:paraId="74694BA0"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Where </w:t>
      </w:r>
      <w:bookmarkStart w:id="2" w:name="_Hlk195837154"/>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BreachRisk</m:t>
            </m:r>
          </m:sub>
        </m:sSub>
      </m:oMath>
      <w:r w:rsidRPr="007957FB">
        <w:rPr>
          <w:rFonts w:ascii="Times New Roman" w:hAnsi="Times New Roman" w:cs="Times New Roman"/>
          <w:color w:val="000000" w:themeColor="text1"/>
          <w:sz w:val="24"/>
          <w:szCs w:val="24"/>
        </w:rPr>
        <w:t xml:space="preserve">follows a Poisson distribution for verified breaches, and predictors include governance maturity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GovScore</m:t>
            </m:r>
          </m:sub>
        </m:sSub>
        <m:r>
          <w:rPr>
            <w:rFonts w:ascii="Cambria Math" w:eastAsiaTheme="minorEastAsia" w:hAnsi="Cambria Math" w:cs="Times New Roman"/>
            <w:color w:val="000000" w:themeColor="text1"/>
            <w:sz w:val="24"/>
            <w:szCs w:val="24"/>
          </w:rPr>
          <m:t>)</m:t>
        </m:r>
      </m:oMath>
      <w:r w:rsidRPr="007957FB">
        <w:rPr>
          <w:rFonts w:ascii="Times New Roman" w:hAnsi="Times New Roman" w:cs="Times New Roman"/>
          <w:color w:val="000000" w:themeColor="text1"/>
          <w:sz w:val="24"/>
          <w:szCs w:val="24"/>
        </w:rPr>
        <w:t xml:space="preserve">, encryption strength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Ecryption</m:t>
            </m:r>
          </m:sub>
        </m:sSub>
        <m:r>
          <w:rPr>
            <w:rFonts w:ascii="Cambria Math" w:eastAsiaTheme="minorEastAsia" w:hAnsi="Cambria Math" w:cs="Times New Roman"/>
            <w:color w:val="000000" w:themeColor="text1"/>
            <w:sz w:val="24"/>
            <w:szCs w:val="24"/>
          </w:rPr>
          <m:t>),</m:t>
        </m:r>
      </m:oMath>
      <w:r w:rsidRPr="007957FB">
        <w:rPr>
          <w:rFonts w:ascii="Times New Roman" w:hAnsi="Times New Roman" w:cs="Times New Roman"/>
          <w:color w:val="000000" w:themeColor="text1"/>
          <w:sz w:val="24"/>
          <w:szCs w:val="24"/>
        </w:rPr>
        <w:t xml:space="preserve"> and training data security </w:t>
      </w:r>
      <m:oMath>
        <m:r>
          <w:rPr>
            <w:rFonts w:ascii="Cambria Math" w:hAnsi="Cambria Math" w:cs="Times New Roman"/>
            <w:color w:val="000000" w:themeColor="text1"/>
            <w:sz w:val="24"/>
            <w:szCs w:val="24"/>
          </w:rPr>
          <w:lastRenderedPageBreak/>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TrainingSec</m:t>
            </m:r>
          </m:sub>
        </m:sSub>
        <m:r>
          <w:rPr>
            <w:rFonts w:ascii="Cambria Math" w:eastAsiaTheme="minorEastAsia" w:hAnsi="Cambria Math" w:cs="Times New Roman"/>
            <w:color w:val="000000" w:themeColor="text1"/>
            <w:sz w:val="24"/>
            <w:szCs w:val="24"/>
          </w:rPr>
          <m:t>)</m:t>
        </m:r>
      </m:oMath>
      <w:bookmarkEnd w:id="2"/>
      <w:r w:rsidRPr="007957FB">
        <w:rPr>
          <w:rFonts w:ascii="Times New Roman" w:hAnsi="Times New Roman" w:cs="Times New Roman"/>
          <w:color w:val="000000" w:themeColor="text1"/>
          <w:sz w:val="24"/>
          <w:szCs w:val="24"/>
        </w:rPr>
        <w:t xml:space="preserve"> (Hair et al., 2019). Heterogeneity was assessed using the I² statistic, ensuring robust effect size estimates (Higgins </w:t>
      </w:r>
      <w:r w:rsidR="009D64B7" w:rsidRPr="007957FB">
        <w:rPr>
          <w:rFonts w:ascii="Times New Roman" w:hAnsi="Times New Roman" w:cs="Times New Roman"/>
          <w:color w:val="000000" w:themeColor="text1"/>
          <w:sz w:val="24"/>
          <w:szCs w:val="24"/>
        </w:rPr>
        <w:t>and</w:t>
      </w:r>
      <w:r w:rsidRPr="007957FB">
        <w:rPr>
          <w:rFonts w:ascii="Times New Roman" w:hAnsi="Times New Roman" w:cs="Times New Roman"/>
          <w:color w:val="000000" w:themeColor="text1"/>
          <w:sz w:val="24"/>
          <w:szCs w:val="24"/>
        </w:rPr>
        <w:t xml:space="preserve"> Thompson, 2002). Sector-specific sub-analyses (healthcare, finance, public sector) support sectoral applicability.</w:t>
      </w:r>
    </w:p>
    <w:p w14:paraId="06871D15"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Qualitative Analysis</w:t>
      </w:r>
    </w:p>
    <w:p w14:paraId="08736E19"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The qualitative analysis employs thematic coding to synthesize governance and organizational insights, addressing theoretical synthesis and framework development. Using NVivo 22, the process followed three stages: </w:t>
      </w:r>
    </w:p>
    <w:p w14:paraId="4F5362CA" w14:textId="77777777" w:rsidR="009177DC" w:rsidRPr="007957FB" w:rsidRDefault="009177DC" w:rsidP="009177DC">
      <w:pPr>
        <w:pStyle w:val="ListParagraph"/>
        <w:numPr>
          <w:ilvl w:val="1"/>
          <w:numId w:val="20"/>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open coding to identify 148 initial codes, </w:t>
      </w:r>
    </w:p>
    <w:p w14:paraId="4D01B194" w14:textId="77777777" w:rsidR="009177DC" w:rsidRPr="007957FB" w:rsidRDefault="009177DC" w:rsidP="009177DC">
      <w:pPr>
        <w:pStyle w:val="ListParagraph"/>
        <w:numPr>
          <w:ilvl w:val="1"/>
          <w:numId w:val="20"/>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axial coding to group codes into 28 categories, </w:t>
      </w:r>
    </w:p>
    <w:p w14:paraId="55065E92" w14:textId="77777777" w:rsidR="009177DC" w:rsidRPr="007957FB" w:rsidRDefault="009177DC" w:rsidP="009177DC">
      <w:pPr>
        <w:spacing w:line="360" w:lineRule="auto"/>
        <w:jc w:val="both"/>
        <w:rPr>
          <w:rFonts w:ascii="Times New Roman" w:eastAsia="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selective coding to derive six core themes, including compliance automation, ethical oversight, data provenance, adaptive governance, stakeholder collaboration, and cybersecurity integration (</w:t>
      </w:r>
      <w:r w:rsidRPr="007957FB">
        <w:rPr>
          <w:rFonts w:ascii="Times New Roman" w:eastAsia="Times New Roman" w:hAnsi="Times New Roman" w:cs="Times New Roman"/>
          <w:color w:val="000000" w:themeColor="text1"/>
          <w:sz w:val="24"/>
          <w:szCs w:val="24"/>
        </w:rPr>
        <w:t>QSR International, 2021</w:t>
      </w:r>
      <w:r w:rsidRPr="007957FB">
        <w:rPr>
          <w:rFonts w:ascii="Times New Roman" w:hAnsi="Times New Roman" w:cs="Times New Roman"/>
          <w:color w:val="000000" w:themeColor="text1"/>
          <w:sz w:val="24"/>
          <w:szCs w:val="24"/>
        </w:rPr>
        <w:t xml:space="preserve">; Saldana, 2021). </w:t>
      </w:r>
    </w:p>
    <w:p w14:paraId="7066DEC7" w14:textId="77777777" w:rsidR="009177DC" w:rsidRPr="007957FB" w:rsidRDefault="009177DC" w:rsidP="009177DC">
      <w:pPr>
        <w:pStyle w:val="ListParagraph"/>
        <w:spacing w:line="360" w:lineRule="auto"/>
        <w:ind w:left="0"/>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Intercoder reliability was established with Cohen’s κ = .84, indicating strong agreement (Landis </w:t>
      </w:r>
      <w:r w:rsidR="009D64B7" w:rsidRPr="007957FB">
        <w:rPr>
          <w:rFonts w:ascii="Times New Roman" w:hAnsi="Times New Roman" w:cs="Times New Roman"/>
          <w:color w:val="000000" w:themeColor="text1"/>
          <w:sz w:val="24"/>
          <w:szCs w:val="24"/>
        </w:rPr>
        <w:t>and</w:t>
      </w:r>
      <w:r w:rsidRPr="007957FB">
        <w:rPr>
          <w:rFonts w:ascii="Times New Roman" w:hAnsi="Times New Roman" w:cs="Times New Roman"/>
          <w:color w:val="000000" w:themeColor="text1"/>
          <w:sz w:val="24"/>
          <w:szCs w:val="24"/>
        </w:rPr>
        <w:t xml:space="preserve"> Koch, 1977). Discrepancies were resolved using a modified Delphi technique (Okoli </w:t>
      </w:r>
      <w:r w:rsidR="009D64B7" w:rsidRPr="007957FB">
        <w:rPr>
          <w:rFonts w:ascii="Times New Roman" w:hAnsi="Times New Roman" w:cs="Times New Roman"/>
          <w:color w:val="000000" w:themeColor="text1"/>
          <w:sz w:val="24"/>
          <w:szCs w:val="24"/>
        </w:rPr>
        <w:t>and</w:t>
      </w:r>
      <w:r w:rsidRPr="007957FB">
        <w:rPr>
          <w:rFonts w:ascii="Times New Roman" w:hAnsi="Times New Roman" w:cs="Times New Roman"/>
          <w:color w:val="000000" w:themeColor="text1"/>
          <w:sz w:val="24"/>
          <w:szCs w:val="24"/>
        </w:rPr>
        <w:t xml:space="preserve"> Pawlowski, 2004). These themes inform the governance and adaptive intelligence layers of the framework, ensuring alignment with theoretical and practical insights.</w:t>
      </w:r>
    </w:p>
    <w:p w14:paraId="357D6D08"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Technical Analysis</w:t>
      </w:r>
    </w:p>
    <w:p w14:paraId="27CCA5BF"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 technical analysis evaluates model resilience using two metrics, supporting vulnerability identification and framework development:</w:t>
      </w:r>
    </w:p>
    <w:p w14:paraId="70FF620E" w14:textId="77777777" w:rsidR="009D64B7" w:rsidRPr="007957FB" w:rsidRDefault="009D64B7" w:rsidP="009177DC">
      <w:pPr>
        <w:spacing w:line="360" w:lineRule="auto"/>
        <w:jc w:val="both"/>
        <w:rPr>
          <w:rFonts w:ascii="Times New Roman" w:hAnsi="Times New Roman" w:cs="Times New Roman"/>
          <w:color w:val="000000" w:themeColor="text1"/>
          <w:sz w:val="24"/>
          <w:szCs w:val="24"/>
        </w:rPr>
      </w:pPr>
    </w:p>
    <w:p w14:paraId="1061B2D8" w14:textId="77777777" w:rsidR="009177DC" w:rsidRPr="007957FB" w:rsidRDefault="009177DC" w:rsidP="009177DC">
      <w:pPr>
        <w:pStyle w:val="ListParagraph"/>
        <w:numPr>
          <w:ilvl w:val="0"/>
          <w:numId w:val="21"/>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Adversarial Robustness Metric (ARM): </w:t>
      </w:r>
    </w:p>
    <w:p w14:paraId="0F16B069"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ARM=1-</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d>
                    <m:dPr>
                      <m:begChr m:val="‖"/>
                      <m:endChr m:val="‖"/>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δ</m:t>
                      </m:r>
                    </m:e>
                  </m:d>
                </m:e>
                <m:sub>
                  <m:r>
                    <w:rPr>
                      <w:rFonts w:ascii="Cambria Math" w:hAnsi="Cambria Math" w:cs="Times New Roman"/>
                      <w:color w:val="000000" w:themeColor="text1"/>
                      <w:sz w:val="24"/>
                      <w:szCs w:val="24"/>
                    </w:rPr>
                    <m:t>success</m:t>
                  </m:r>
                </m:sub>
              </m:sSub>
            </m:num>
            <m:den>
              <m:sSub>
                <m:sSubPr>
                  <m:ctrlPr>
                    <w:rPr>
                      <w:rFonts w:ascii="Cambria Math" w:hAnsi="Cambria Math" w:cs="Times New Roman"/>
                      <w:i/>
                      <w:color w:val="000000" w:themeColor="text1"/>
                      <w:sz w:val="24"/>
                      <w:szCs w:val="24"/>
                    </w:rPr>
                  </m:ctrlPr>
                </m:sSubPr>
                <m:e>
                  <m:d>
                    <m:dPr>
                      <m:begChr m:val="‖"/>
                      <m:endChr m:val="‖"/>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δ</m:t>
                      </m:r>
                    </m:e>
                  </m:d>
                </m:e>
                <m:sub>
                  <m:r>
                    <w:rPr>
                      <w:rFonts w:ascii="Cambria Math" w:hAnsi="Cambria Math" w:cs="Times New Roman"/>
                      <w:color w:val="000000" w:themeColor="text1"/>
                      <w:sz w:val="24"/>
                      <w:szCs w:val="24"/>
                    </w:rPr>
                    <m:t>total</m:t>
                  </m:r>
                </m:sub>
              </m:sSub>
            </m:den>
          </m:f>
        </m:oMath>
      </m:oMathPara>
    </w:p>
    <w:p w14:paraId="747A5880"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ab/>
      </w:r>
      <w:r w:rsidRPr="007957FB">
        <w:rPr>
          <w:rFonts w:ascii="Times New Roman" w:hAnsi="Times New Roman" w:cs="Times New Roman"/>
          <w:color w:val="000000" w:themeColor="text1"/>
          <w:sz w:val="24"/>
          <w:szCs w:val="24"/>
        </w:rPr>
        <w:tab/>
        <w:t>measuring the proportion of unsuccessful attacks.</w:t>
      </w:r>
    </w:p>
    <w:p w14:paraId="14A214B9" w14:textId="77777777" w:rsidR="009177DC" w:rsidRPr="007957FB" w:rsidRDefault="009177DC" w:rsidP="009177DC">
      <w:pPr>
        <w:pStyle w:val="ListParagraph"/>
        <w:numPr>
          <w:ilvl w:val="0"/>
          <w:numId w:val="21"/>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Privacy Leakage Score (PLS): </w:t>
      </w:r>
    </w:p>
    <w:p w14:paraId="2901B82D" w14:textId="77777777" w:rsidR="009177DC" w:rsidRPr="007957FB" w:rsidRDefault="009177DC" w:rsidP="009177DC">
      <w:pPr>
        <w:pStyle w:val="ListParagraph"/>
        <w:spacing w:line="36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PLS=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Reconstructed Training Samples</m:t>
              </m:r>
            </m:num>
            <m:den>
              <m:r>
                <w:rPr>
                  <w:rFonts w:ascii="Cambria Math" w:hAnsi="Cambria Math" w:cs="Times New Roman"/>
                  <w:color w:val="000000" w:themeColor="text1"/>
                  <w:sz w:val="24"/>
                  <w:szCs w:val="24"/>
                </w:rPr>
                <m:t>Total Attack Queries</m:t>
              </m:r>
            </m:den>
          </m:f>
          <m:r>
            <w:rPr>
              <w:rFonts w:ascii="Cambria Math" w:hAnsi="Cambria Math" w:cs="Times New Roman"/>
              <w:color w:val="000000" w:themeColor="text1"/>
              <w:sz w:val="24"/>
              <w:szCs w:val="24"/>
            </w:rPr>
            <m:t xml:space="preserve"> ×100</m:t>
          </m:r>
        </m:oMath>
      </m:oMathPara>
    </w:p>
    <w:p w14:paraId="42036E50" w14:textId="77777777" w:rsidR="009177DC" w:rsidRPr="007957FB" w:rsidRDefault="009177DC" w:rsidP="009177DC">
      <w:pPr>
        <w:spacing w:line="360" w:lineRule="auto"/>
        <w:jc w:val="both"/>
        <w:rPr>
          <w:rFonts w:ascii="Times New Roman" w:eastAsia="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lastRenderedPageBreak/>
        <w:tab/>
      </w:r>
      <w:r w:rsidRPr="007957FB">
        <w:rPr>
          <w:rFonts w:ascii="Times New Roman" w:hAnsi="Times New Roman" w:cs="Times New Roman"/>
          <w:color w:val="000000" w:themeColor="text1"/>
          <w:sz w:val="24"/>
          <w:szCs w:val="24"/>
        </w:rPr>
        <w:tab/>
        <w:t xml:space="preserve">assessing sensitive data exposure </w:t>
      </w:r>
      <w:r w:rsidRPr="007957FB">
        <w:rPr>
          <w:rFonts w:ascii="Times New Roman" w:eastAsia="Times New Roman" w:hAnsi="Times New Roman" w:cs="Times New Roman"/>
          <w:color w:val="000000" w:themeColor="text1"/>
          <w:sz w:val="24"/>
          <w:szCs w:val="24"/>
        </w:rPr>
        <w:t>(Kurakin et al., 2016)</w:t>
      </w:r>
      <w:r w:rsidRPr="007957FB">
        <w:rPr>
          <w:rFonts w:ascii="Times New Roman" w:hAnsi="Times New Roman" w:cs="Times New Roman"/>
          <w:color w:val="000000" w:themeColor="text1"/>
          <w:sz w:val="24"/>
          <w:szCs w:val="24"/>
        </w:rPr>
        <w:t>.</w:t>
      </w:r>
    </w:p>
    <w:p w14:paraId="18ABD658"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These metrics quantify the effectiveness of controls like adversarial training and differential privacy, benchmarked against baseline models (Abadi et al., 2025). Results validate the framework’s technical components, ensuring practical applicability across sectors </w:t>
      </w:r>
      <w:r w:rsidRPr="007957FB">
        <w:rPr>
          <w:rFonts w:ascii="Times New Roman" w:eastAsia="Times New Roman" w:hAnsi="Times New Roman" w:cs="Times New Roman"/>
          <w:color w:val="000000" w:themeColor="text1"/>
          <w:sz w:val="24"/>
          <w:szCs w:val="24"/>
        </w:rPr>
        <w:t>(Gupta et al., 2024)</w:t>
      </w:r>
      <w:r w:rsidRPr="007957FB">
        <w:rPr>
          <w:rFonts w:ascii="Times New Roman" w:hAnsi="Times New Roman" w:cs="Times New Roman"/>
          <w:color w:val="000000" w:themeColor="text1"/>
          <w:sz w:val="24"/>
          <w:szCs w:val="24"/>
        </w:rPr>
        <w:t>.</w:t>
      </w:r>
    </w:p>
    <w:p w14:paraId="134ABB4C"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Ethical Considerations</w:t>
      </w:r>
    </w:p>
    <w:p w14:paraId="35001778"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Ethical considerations are critical in AI security research, particularly with data. The study adheres to the Declaration of Helsinki and GDPR Article 35, which mandates a Data Protection Impact Assessment (DPIA) for sensitive data processing (European Union, 2024; World Medical Association, 2024). Secondary datasets were anonymized using the ARX Toolkit with k-anonymity (k=5), preventing re-identification (Prasser </w:t>
      </w:r>
      <w:r w:rsidR="009D64B7" w:rsidRPr="007957FB">
        <w:rPr>
          <w:rFonts w:ascii="Times New Roman" w:hAnsi="Times New Roman" w:cs="Times New Roman"/>
          <w:color w:val="000000" w:themeColor="text1"/>
          <w:sz w:val="24"/>
          <w:szCs w:val="24"/>
        </w:rPr>
        <w:t>and</w:t>
      </w:r>
      <w:r w:rsidRPr="007957FB">
        <w:rPr>
          <w:rFonts w:ascii="Times New Roman" w:hAnsi="Times New Roman" w:cs="Times New Roman"/>
          <w:color w:val="000000" w:themeColor="text1"/>
          <w:sz w:val="24"/>
          <w:szCs w:val="24"/>
        </w:rPr>
        <w:t xml:space="preserve"> Bild, 2014). Qualitative data were pseudonymized, and no personally identifiable information was extracted from public reports.</w:t>
      </w:r>
    </w:p>
    <w:p w14:paraId="5F912DA9"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A beneficence framework maximized societal impact by sharing vulnerability findings through a responsible disclosure policy (Resnik, 2018). Pro bono recommendations were provided for SMEs adopting AI systems, addressing resource constraints (Belmont Report, 2024). Transparency was maintained by documenting data sources and analytical processes, adhering to FAIR principles (Wilkinson et al., 2016). These measures ensure ethical alignment with framework development by prioritizing trust and accountability.</w:t>
      </w:r>
    </w:p>
    <w:p w14:paraId="5F9188C8"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Validation Methodology</w:t>
      </w:r>
    </w:p>
    <w:p w14:paraId="6D393912"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The framework’s efficacy was validated through construct and predictive validity assessments, addressing framework development and sectoral applicability. Construct validity was established via an expert panel (n=10) using the Delphi method, achieving item-level congruence ≥ 82% (Okoli </w:t>
      </w:r>
      <w:r w:rsidR="00690CB8" w:rsidRPr="007957FB">
        <w:rPr>
          <w:rFonts w:ascii="Times New Roman" w:hAnsi="Times New Roman" w:cs="Times New Roman"/>
          <w:color w:val="000000" w:themeColor="text1"/>
          <w:sz w:val="24"/>
          <w:szCs w:val="24"/>
        </w:rPr>
        <w:t>and</w:t>
      </w:r>
      <w:r w:rsidRPr="007957FB">
        <w:rPr>
          <w:rFonts w:ascii="Times New Roman" w:hAnsi="Times New Roman" w:cs="Times New Roman"/>
          <w:color w:val="000000" w:themeColor="text1"/>
          <w:sz w:val="24"/>
          <w:szCs w:val="24"/>
        </w:rPr>
        <w:t xml:space="preserve"> Pawlowski, 2004). The panel included cybersecurity researchers, governance experts, and AI developers, ensuring diverse input. Predictive validity was assessed by comparing the framework’s performance against baseline models in simulated environments, achieving a breach reduction of Δ = -67% (p &lt; .001) across 45 test cases (Cohen et al., 2013).</w:t>
      </w:r>
    </w:p>
    <w:p w14:paraId="474F4E44"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Statistical power analysis using G*Power 3.1 confirmed a power of (1-β) = .95 at α = .05, ensuring robust effect size detection (Faul et al., 2007). Validation results were cross-referenced with </w:t>
      </w:r>
      <w:r w:rsidRPr="007957FB">
        <w:rPr>
          <w:rFonts w:ascii="Times New Roman" w:hAnsi="Times New Roman" w:cs="Times New Roman"/>
          <w:color w:val="000000" w:themeColor="text1"/>
          <w:sz w:val="24"/>
          <w:szCs w:val="24"/>
        </w:rPr>
        <w:lastRenderedPageBreak/>
        <w:t xml:space="preserve">quantitative and qualitative findings, ensuring consistency (Creswell </w:t>
      </w:r>
      <w:r w:rsidR="00690CB8" w:rsidRPr="007957FB">
        <w:rPr>
          <w:rFonts w:ascii="Times New Roman" w:hAnsi="Times New Roman" w:cs="Times New Roman"/>
          <w:color w:val="000000" w:themeColor="text1"/>
          <w:sz w:val="24"/>
          <w:szCs w:val="24"/>
        </w:rPr>
        <w:t>and</w:t>
      </w:r>
      <w:r w:rsidRPr="007957FB">
        <w:rPr>
          <w:rFonts w:ascii="Times New Roman" w:hAnsi="Times New Roman" w:cs="Times New Roman"/>
          <w:color w:val="000000" w:themeColor="text1"/>
          <w:sz w:val="24"/>
          <w:szCs w:val="24"/>
        </w:rPr>
        <w:t xml:space="preserve"> Clark, 2009). Sector-specific validations (healthcare, finance, public sector) confirmed applicability, sup</w:t>
      </w:r>
      <w:r w:rsidR="007957FB">
        <w:rPr>
          <w:rFonts w:ascii="Times New Roman" w:hAnsi="Times New Roman" w:cs="Times New Roman"/>
          <w:color w:val="000000" w:themeColor="text1"/>
          <w:sz w:val="24"/>
          <w:szCs w:val="24"/>
        </w:rPr>
        <w:t>porting sectoral applicability.</w:t>
      </w:r>
    </w:p>
    <w:p w14:paraId="487A61BE"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Limitations and Mitigations</w:t>
      </w:r>
    </w:p>
    <w:p w14:paraId="1A04841A" w14:textId="77777777" w:rsidR="009177DC" w:rsidRPr="007957FB" w:rsidRDefault="009177DC" w:rsidP="009177DC">
      <w:pPr>
        <w:spacing w:line="360" w:lineRule="auto"/>
        <w:jc w:val="both"/>
        <w:rPr>
          <w:rFonts w:ascii="Times New Roman" w:eastAsia="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 methodology has limitations that impact its scope and generalizability</w:t>
      </w:r>
      <w:r w:rsidR="004D0455" w:rsidRPr="007957FB">
        <w:rPr>
          <w:rFonts w:ascii="Times New Roman" w:hAnsi="Times New Roman" w:cs="Times New Roman"/>
          <w:color w:val="000000" w:themeColor="text1"/>
          <w:sz w:val="24"/>
          <w:szCs w:val="24"/>
        </w:rPr>
        <w:t xml:space="preserve"> as summarized in Table 3</w:t>
      </w:r>
      <w:r w:rsidRPr="007957FB">
        <w:rPr>
          <w:rFonts w:ascii="Times New Roman" w:hAnsi="Times New Roman" w:cs="Times New Roman"/>
          <w:color w:val="000000" w:themeColor="text1"/>
          <w:sz w:val="24"/>
          <w:szCs w:val="24"/>
        </w:rPr>
        <w:t xml:space="preserve">. Publication bias in data may overrepresent significant findings (Moher et al., 2009). This was mitigated by including grey literature and industry reports. Variability in study designs and metrics may affect meta-analytic precision, addressed by standardizing metrics via the ASMI (Higgins </w:t>
      </w:r>
      <w:r w:rsidR="00690CB8" w:rsidRPr="007957FB">
        <w:rPr>
          <w:rFonts w:ascii="Times New Roman" w:hAnsi="Times New Roman" w:cs="Times New Roman"/>
          <w:color w:val="000000" w:themeColor="text1"/>
          <w:sz w:val="24"/>
          <w:szCs w:val="24"/>
        </w:rPr>
        <w:t>and</w:t>
      </w:r>
      <w:r w:rsidRPr="007957FB">
        <w:rPr>
          <w:rFonts w:ascii="Times New Roman" w:hAnsi="Times New Roman" w:cs="Times New Roman"/>
          <w:color w:val="000000" w:themeColor="text1"/>
          <w:sz w:val="24"/>
          <w:szCs w:val="24"/>
        </w:rPr>
        <w:t xml:space="preserve"> Thompson, 2002). The technical validation was limited to three AI models, potentially restricting generalizability. Selecting diverse models mitigated this issue </w:t>
      </w:r>
      <w:r w:rsidRPr="007957FB">
        <w:rPr>
          <w:rFonts w:ascii="Times New Roman" w:eastAsia="Times New Roman" w:hAnsi="Times New Roman" w:cs="Times New Roman"/>
          <w:color w:val="000000" w:themeColor="text1"/>
          <w:sz w:val="24"/>
          <w:szCs w:val="24"/>
        </w:rPr>
        <w:t>(Kurakin et al., 2016)</w:t>
      </w:r>
      <w:r w:rsidRPr="007957FB">
        <w:rPr>
          <w:rFonts w:ascii="Times New Roman" w:hAnsi="Times New Roman" w:cs="Times New Roman"/>
          <w:color w:val="000000" w:themeColor="text1"/>
          <w:sz w:val="24"/>
          <w:szCs w:val="24"/>
        </w:rPr>
        <w:t>. Cross-sector generalizability was enhanced through sector-specific sub-analyses.</w:t>
      </w:r>
    </w:p>
    <w:p w14:paraId="3A4C9743" w14:textId="77777777" w:rsidR="009177DC" w:rsidRPr="007957FB" w:rsidRDefault="009177DC" w:rsidP="00242A48">
      <w:pPr>
        <w:spacing w:line="360" w:lineRule="auto"/>
        <w:jc w:val="center"/>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 xml:space="preserve">Table </w:t>
      </w:r>
      <w:r w:rsidR="00690CB8" w:rsidRPr="007957FB">
        <w:rPr>
          <w:rFonts w:ascii="Times New Roman" w:hAnsi="Times New Roman" w:cs="Times New Roman"/>
          <w:b/>
          <w:color w:val="000000" w:themeColor="text1"/>
          <w:sz w:val="24"/>
          <w:szCs w:val="24"/>
        </w:rPr>
        <w:t>3</w:t>
      </w:r>
      <w:r w:rsidRPr="007957FB">
        <w:rPr>
          <w:rFonts w:ascii="Times New Roman" w:hAnsi="Times New Roman" w:cs="Times New Roman"/>
          <w:b/>
          <w:color w:val="000000" w:themeColor="text1"/>
          <w:sz w:val="24"/>
          <w:szCs w:val="24"/>
        </w:rPr>
        <w:t>: Limitations and Mitigation Strategies</w:t>
      </w:r>
    </w:p>
    <w:tbl>
      <w:tblPr>
        <w:tblStyle w:val="TableGrid"/>
        <w:tblW w:w="0" w:type="auto"/>
        <w:tblInd w:w="0" w:type="dxa"/>
        <w:tblLook w:val="04A0" w:firstRow="1" w:lastRow="0" w:firstColumn="1" w:lastColumn="0" w:noHBand="0" w:noVBand="1"/>
      </w:tblPr>
      <w:tblGrid>
        <w:gridCol w:w="3116"/>
        <w:gridCol w:w="3117"/>
        <w:gridCol w:w="3117"/>
      </w:tblGrid>
      <w:tr w:rsidR="009177DC" w:rsidRPr="007957FB" w14:paraId="4BBA684A" w14:textId="77777777" w:rsidTr="009177DC">
        <w:tc>
          <w:tcPr>
            <w:tcW w:w="3116" w:type="dxa"/>
            <w:tcBorders>
              <w:top w:val="single" w:sz="4" w:space="0" w:color="auto"/>
              <w:left w:val="single" w:sz="4" w:space="0" w:color="auto"/>
              <w:bottom w:val="single" w:sz="4" w:space="0" w:color="auto"/>
              <w:right w:val="single" w:sz="4" w:space="0" w:color="auto"/>
            </w:tcBorders>
            <w:hideMark/>
          </w:tcPr>
          <w:p w14:paraId="2753B990"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Limitation</w:t>
            </w:r>
          </w:p>
        </w:tc>
        <w:tc>
          <w:tcPr>
            <w:tcW w:w="3117" w:type="dxa"/>
            <w:tcBorders>
              <w:top w:val="single" w:sz="4" w:space="0" w:color="auto"/>
              <w:left w:val="single" w:sz="4" w:space="0" w:color="auto"/>
              <w:bottom w:val="single" w:sz="4" w:space="0" w:color="auto"/>
              <w:right w:val="single" w:sz="4" w:space="0" w:color="auto"/>
            </w:tcBorders>
            <w:hideMark/>
          </w:tcPr>
          <w:p w14:paraId="52028315"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Impact Level</w:t>
            </w:r>
          </w:p>
        </w:tc>
        <w:tc>
          <w:tcPr>
            <w:tcW w:w="3117" w:type="dxa"/>
            <w:tcBorders>
              <w:top w:val="single" w:sz="4" w:space="0" w:color="auto"/>
              <w:left w:val="single" w:sz="4" w:space="0" w:color="auto"/>
              <w:bottom w:val="single" w:sz="4" w:space="0" w:color="auto"/>
              <w:right w:val="single" w:sz="4" w:space="0" w:color="auto"/>
            </w:tcBorders>
            <w:hideMark/>
          </w:tcPr>
          <w:p w14:paraId="456B9831"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Mitigation Strategy</w:t>
            </w:r>
          </w:p>
        </w:tc>
      </w:tr>
      <w:tr w:rsidR="009177DC" w:rsidRPr="007957FB" w14:paraId="633664F2" w14:textId="77777777" w:rsidTr="009177DC">
        <w:tc>
          <w:tcPr>
            <w:tcW w:w="3116" w:type="dxa"/>
            <w:tcBorders>
              <w:top w:val="single" w:sz="4" w:space="0" w:color="auto"/>
              <w:left w:val="single" w:sz="4" w:space="0" w:color="auto"/>
              <w:bottom w:val="single" w:sz="4" w:space="0" w:color="auto"/>
              <w:right w:val="single" w:sz="4" w:space="0" w:color="auto"/>
            </w:tcBorders>
            <w:hideMark/>
          </w:tcPr>
          <w:p w14:paraId="493FCC94"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Publication Bias</w:t>
            </w:r>
          </w:p>
        </w:tc>
        <w:tc>
          <w:tcPr>
            <w:tcW w:w="3117" w:type="dxa"/>
            <w:tcBorders>
              <w:top w:val="single" w:sz="4" w:space="0" w:color="auto"/>
              <w:left w:val="single" w:sz="4" w:space="0" w:color="auto"/>
              <w:bottom w:val="single" w:sz="4" w:space="0" w:color="auto"/>
              <w:right w:val="single" w:sz="4" w:space="0" w:color="auto"/>
            </w:tcBorders>
            <w:hideMark/>
          </w:tcPr>
          <w:p w14:paraId="2F98209C"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Moderate</w:t>
            </w:r>
          </w:p>
        </w:tc>
        <w:tc>
          <w:tcPr>
            <w:tcW w:w="3117" w:type="dxa"/>
            <w:tcBorders>
              <w:top w:val="single" w:sz="4" w:space="0" w:color="auto"/>
              <w:left w:val="single" w:sz="4" w:space="0" w:color="auto"/>
              <w:bottom w:val="single" w:sz="4" w:space="0" w:color="auto"/>
              <w:right w:val="single" w:sz="4" w:space="0" w:color="auto"/>
            </w:tcBorders>
            <w:hideMark/>
          </w:tcPr>
          <w:p w14:paraId="7A27C826"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Include grey literature, industry reports</w:t>
            </w:r>
          </w:p>
        </w:tc>
      </w:tr>
      <w:tr w:rsidR="009177DC" w:rsidRPr="007957FB" w14:paraId="3A31BC7B" w14:textId="77777777" w:rsidTr="009177DC">
        <w:tc>
          <w:tcPr>
            <w:tcW w:w="3116" w:type="dxa"/>
            <w:tcBorders>
              <w:top w:val="single" w:sz="4" w:space="0" w:color="auto"/>
              <w:left w:val="single" w:sz="4" w:space="0" w:color="auto"/>
              <w:bottom w:val="single" w:sz="4" w:space="0" w:color="auto"/>
              <w:right w:val="single" w:sz="4" w:space="0" w:color="auto"/>
            </w:tcBorders>
            <w:hideMark/>
          </w:tcPr>
          <w:p w14:paraId="38CB7D98"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Metric Variability</w:t>
            </w:r>
          </w:p>
        </w:tc>
        <w:tc>
          <w:tcPr>
            <w:tcW w:w="3117" w:type="dxa"/>
            <w:tcBorders>
              <w:top w:val="single" w:sz="4" w:space="0" w:color="auto"/>
              <w:left w:val="single" w:sz="4" w:space="0" w:color="auto"/>
              <w:bottom w:val="single" w:sz="4" w:space="0" w:color="auto"/>
              <w:right w:val="single" w:sz="4" w:space="0" w:color="auto"/>
            </w:tcBorders>
            <w:hideMark/>
          </w:tcPr>
          <w:p w14:paraId="719DF659"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High</w:t>
            </w:r>
          </w:p>
        </w:tc>
        <w:tc>
          <w:tcPr>
            <w:tcW w:w="3117" w:type="dxa"/>
            <w:tcBorders>
              <w:top w:val="single" w:sz="4" w:space="0" w:color="auto"/>
              <w:left w:val="single" w:sz="4" w:space="0" w:color="auto"/>
              <w:bottom w:val="single" w:sz="4" w:space="0" w:color="auto"/>
              <w:right w:val="single" w:sz="4" w:space="0" w:color="auto"/>
            </w:tcBorders>
            <w:hideMark/>
          </w:tcPr>
          <w:p w14:paraId="5400B522"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Standardize via ASMI</w:t>
            </w:r>
          </w:p>
        </w:tc>
      </w:tr>
      <w:tr w:rsidR="009177DC" w:rsidRPr="007957FB" w14:paraId="6E88A274" w14:textId="77777777" w:rsidTr="009177DC">
        <w:tc>
          <w:tcPr>
            <w:tcW w:w="3116" w:type="dxa"/>
            <w:tcBorders>
              <w:top w:val="single" w:sz="4" w:space="0" w:color="auto"/>
              <w:left w:val="single" w:sz="4" w:space="0" w:color="auto"/>
              <w:bottom w:val="single" w:sz="4" w:space="0" w:color="auto"/>
              <w:right w:val="single" w:sz="4" w:space="0" w:color="auto"/>
            </w:tcBorders>
            <w:hideMark/>
          </w:tcPr>
          <w:p w14:paraId="2118A070"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Model Generalizability</w:t>
            </w:r>
          </w:p>
        </w:tc>
        <w:tc>
          <w:tcPr>
            <w:tcW w:w="3117" w:type="dxa"/>
            <w:tcBorders>
              <w:top w:val="single" w:sz="4" w:space="0" w:color="auto"/>
              <w:left w:val="single" w:sz="4" w:space="0" w:color="auto"/>
              <w:bottom w:val="single" w:sz="4" w:space="0" w:color="auto"/>
              <w:right w:val="single" w:sz="4" w:space="0" w:color="auto"/>
            </w:tcBorders>
            <w:hideMark/>
          </w:tcPr>
          <w:p w14:paraId="48CFB5CA"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Low</w:t>
            </w:r>
          </w:p>
        </w:tc>
        <w:tc>
          <w:tcPr>
            <w:tcW w:w="3117" w:type="dxa"/>
            <w:tcBorders>
              <w:top w:val="single" w:sz="4" w:space="0" w:color="auto"/>
              <w:left w:val="single" w:sz="4" w:space="0" w:color="auto"/>
              <w:bottom w:val="single" w:sz="4" w:space="0" w:color="auto"/>
              <w:right w:val="single" w:sz="4" w:space="0" w:color="auto"/>
            </w:tcBorders>
            <w:hideMark/>
          </w:tcPr>
          <w:p w14:paraId="637DDCB3"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Select diverse AI models</w:t>
            </w:r>
          </w:p>
        </w:tc>
      </w:tr>
      <w:tr w:rsidR="009177DC" w:rsidRPr="007957FB" w14:paraId="5B12F11A" w14:textId="77777777" w:rsidTr="009177DC">
        <w:tc>
          <w:tcPr>
            <w:tcW w:w="3116" w:type="dxa"/>
            <w:tcBorders>
              <w:top w:val="single" w:sz="4" w:space="0" w:color="auto"/>
              <w:left w:val="single" w:sz="4" w:space="0" w:color="auto"/>
              <w:bottom w:val="single" w:sz="4" w:space="0" w:color="auto"/>
              <w:right w:val="single" w:sz="4" w:space="0" w:color="auto"/>
            </w:tcBorders>
            <w:hideMark/>
          </w:tcPr>
          <w:p w14:paraId="0ACD3DC5"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Cross-Sector Generalizability</w:t>
            </w:r>
          </w:p>
        </w:tc>
        <w:tc>
          <w:tcPr>
            <w:tcW w:w="3117" w:type="dxa"/>
            <w:tcBorders>
              <w:top w:val="single" w:sz="4" w:space="0" w:color="auto"/>
              <w:left w:val="single" w:sz="4" w:space="0" w:color="auto"/>
              <w:bottom w:val="single" w:sz="4" w:space="0" w:color="auto"/>
              <w:right w:val="single" w:sz="4" w:space="0" w:color="auto"/>
            </w:tcBorders>
            <w:hideMark/>
          </w:tcPr>
          <w:p w14:paraId="7EC76B54"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Moderate</w:t>
            </w:r>
          </w:p>
        </w:tc>
        <w:tc>
          <w:tcPr>
            <w:tcW w:w="3117" w:type="dxa"/>
            <w:tcBorders>
              <w:top w:val="single" w:sz="4" w:space="0" w:color="auto"/>
              <w:left w:val="single" w:sz="4" w:space="0" w:color="auto"/>
              <w:bottom w:val="single" w:sz="4" w:space="0" w:color="auto"/>
              <w:right w:val="single" w:sz="4" w:space="0" w:color="auto"/>
            </w:tcBorders>
            <w:hideMark/>
          </w:tcPr>
          <w:p w14:paraId="436D81A2"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Conduct sector-specific sub-analyses</w:t>
            </w:r>
          </w:p>
        </w:tc>
      </w:tr>
      <w:bookmarkEnd w:id="0"/>
    </w:tbl>
    <w:p w14:paraId="00B856B4"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p>
    <w:bookmarkEnd w:id="1"/>
    <w:p w14:paraId="3AE2EC37"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Results and Discussion</w:t>
      </w:r>
    </w:p>
    <w:p w14:paraId="2E8CD5FF"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This chapter presents the results of the mixed-methods study aimed at developing an integrated framework for securing AI systems, combining cybersecurity measures with information governance principles. The convergent parallel design integrates findings from a quantitative meta-analysis of security metrics, a qualitative thematic synthesis of governance practices, and a technical validation of AI model resilience. These results address the five research objectives by identifying AI security vulnerabilities, evaluating existing frameworks, synthesizing theoretical insights, developing an integrated framework, and validating its sectoral applicability. The findings are presented in three sections; quantitative, qualitative, and technical, followed by a </w:t>
      </w:r>
      <w:r w:rsidRPr="007957FB">
        <w:rPr>
          <w:rFonts w:ascii="Times New Roman" w:hAnsi="Times New Roman" w:cs="Times New Roman"/>
          <w:color w:val="000000" w:themeColor="text1"/>
          <w:sz w:val="24"/>
          <w:szCs w:val="24"/>
        </w:rPr>
        <w:lastRenderedPageBreak/>
        <w:t xml:space="preserve">discussion that contextualizes the results within prior research and outlines their implications for the proposed framework. </w:t>
      </w:r>
    </w:p>
    <w:p w14:paraId="6BFA58AC"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Quantitative Results</w:t>
      </w:r>
    </w:p>
    <w:p w14:paraId="7E28B1CC"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 quantitative stream conducted a meta-analysis of 78 studies, covering 11,245 AI deployment instances across healthcare (34%), finance (27%), and public sector (39%), to identify vulnerabilities and mitigation strategies and evaluate framework effectiveness. Security metrics included Mean Time to Detect AI-specific Threats (MTTD</w:t>
      </w:r>
      <w:r w:rsidRPr="007957FB">
        <w:rPr>
          <w:rFonts w:ascii="Times New Roman" w:hAnsi="Times New Roman" w:cs="Times New Roman"/>
          <w:color w:val="000000" w:themeColor="text1"/>
          <w:sz w:val="24"/>
          <w:szCs w:val="24"/>
          <w:vertAlign w:val="subscript"/>
        </w:rPr>
        <w:t>AI</w:t>
      </w:r>
      <w:r w:rsidRPr="007957FB">
        <w:rPr>
          <w:rFonts w:ascii="Times New Roman" w:hAnsi="Times New Roman" w:cs="Times New Roman"/>
          <w:color w:val="000000" w:themeColor="text1"/>
          <w:sz w:val="24"/>
          <w:szCs w:val="24"/>
        </w:rPr>
        <w:t>), Incident Response Rate (IRR), and Encryption Coverage Ratio (ECR), standardized via the AI Security Maturity Index (ASMI). The Security Posture Score (SPS) and  a multivariate regression model assessed breach risk were calculated.</w:t>
      </w:r>
    </w:p>
    <w:p w14:paraId="7A39CDED"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Security Posture Scores</w:t>
      </w:r>
    </w:p>
    <w:p w14:paraId="169DEFD1"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The meta-analysis yielded an average SPS of 0.72 (SD = 0.19, 95% CI [0.68, 0.76]) across all studies, indicating moderate security posture. Sectoral differences were significant as shown in Table </w:t>
      </w:r>
      <w:r w:rsidR="00AB3EBC" w:rsidRPr="007957FB">
        <w:rPr>
          <w:rFonts w:ascii="Times New Roman" w:hAnsi="Times New Roman" w:cs="Times New Roman"/>
          <w:color w:val="000000" w:themeColor="text1"/>
          <w:sz w:val="24"/>
          <w:szCs w:val="24"/>
        </w:rPr>
        <w:t>4 and Figure 2</w:t>
      </w:r>
      <w:r w:rsidRPr="007957FB">
        <w:rPr>
          <w:rFonts w:ascii="Times New Roman" w:hAnsi="Times New Roman" w:cs="Times New Roman"/>
          <w:color w:val="000000" w:themeColor="text1"/>
          <w:sz w:val="24"/>
          <w:szCs w:val="24"/>
        </w:rPr>
        <w:t xml:space="preserve"> (F(2, 75) = 14.32, p &lt; .001):</w:t>
      </w:r>
    </w:p>
    <w:p w14:paraId="4405DC00" w14:textId="77777777" w:rsidR="009177DC" w:rsidRPr="007957FB" w:rsidRDefault="009177DC" w:rsidP="009177DC">
      <w:pPr>
        <w:pStyle w:val="ListParagraph"/>
        <w:numPr>
          <w:ilvl w:val="0"/>
          <w:numId w:val="7"/>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Healthcare: SPS = 0.68 (SD = 0.21), reflecting lower encryption coverage (ECR = 0.71).</w:t>
      </w:r>
    </w:p>
    <w:p w14:paraId="2FD5B2E2" w14:textId="77777777" w:rsidR="009177DC" w:rsidRPr="007957FB" w:rsidRDefault="009177DC" w:rsidP="009177DC">
      <w:pPr>
        <w:pStyle w:val="ListParagraph"/>
        <w:numPr>
          <w:ilvl w:val="0"/>
          <w:numId w:val="7"/>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Finance: SPS = 0.79 (SD = 0.16), driven by higher IRR (0.88).</w:t>
      </w:r>
    </w:p>
    <w:p w14:paraId="343C5B7F" w14:textId="77777777" w:rsidR="009177DC" w:rsidRPr="007957FB" w:rsidRDefault="009177DC" w:rsidP="009177DC">
      <w:pPr>
        <w:pStyle w:val="ListParagraph"/>
        <w:numPr>
          <w:ilvl w:val="0"/>
          <w:numId w:val="7"/>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Public Sector: SPS = 0.70 (SD = 0.18), with moderate MTTD_AI (412 seconds).</w:t>
      </w:r>
    </w:p>
    <w:p w14:paraId="0A8EF759" w14:textId="77777777" w:rsidR="009177DC" w:rsidRPr="007957FB" w:rsidRDefault="009177DC" w:rsidP="00242A48">
      <w:pPr>
        <w:spacing w:line="360" w:lineRule="auto"/>
        <w:jc w:val="center"/>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 xml:space="preserve">Table </w:t>
      </w:r>
      <w:r w:rsidR="00AB3EBC" w:rsidRPr="007957FB">
        <w:rPr>
          <w:rFonts w:ascii="Times New Roman" w:hAnsi="Times New Roman" w:cs="Times New Roman"/>
          <w:b/>
          <w:color w:val="000000" w:themeColor="text1"/>
          <w:sz w:val="24"/>
          <w:szCs w:val="24"/>
        </w:rPr>
        <w:t>4</w:t>
      </w:r>
      <w:r w:rsidRPr="007957FB">
        <w:rPr>
          <w:rFonts w:ascii="Times New Roman" w:hAnsi="Times New Roman" w:cs="Times New Roman"/>
          <w:b/>
          <w:color w:val="000000" w:themeColor="text1"/>
          <w:sz w:val="24"/>
          <w:szCs w:val="24"/>
        </w:rPr>
        <w:t>: Sectoral Security Posture Scores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9177DC" w:rsidRPr="007957FB" w14:paraId="0D9FE7AF" w14:textId="77777777" w:rsidTr="009177DC">
        <w:tc>
          <w:tcPr>
            <w:tcW w:w="1870" w:type="dxa"/>
            <w:tcBorders>
              <w:top w:val="single" w:sz="4" w:space="0" w:color="auto"/>
              <w:left w:val="nil"/>
              <w:bottom w:val="single" w:sz="4" w:space="0" w:color="auto"/>
              <w:right w:val="nil"/>
            </w:tcBorders>
            <w:hideMark/>
          </w:tcPr>
          <w:p w14:paraId="29B3CD80"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Sector</w:t>
            </w:r>
          </w:p>
        </w:tc>
        <w:tc>
          <w:tcPr>
            <w:tcW w:w="1870" w:type="dxa"/>
            <w:tcBorders>
              <w:top w:val="single" w:sz="4" w:space="0" w:color="auto"/>
              <w:left w:val="nil"/>
              <w:bottom w:val="single" w:sz="4" w:space="0" w:color="auto"/>
              <w:right w:val="nil"/>
            </w:tcBorders>
            <w:hideMark/>
          </w:tcPr>
          <w:p w14:paraId="71DF7BDE"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SPS (Mean)</w:t>
            </w:r>
          </w:p>
        </w:tc>
        <w:tc>
          <w:tcPr>
            <w:tcW w:w="1870" w:type="dxa"/>
            <w:tcBorders>
              <w:top w:val="single" w:sz="4" w:space="0" w:color="auto"/>
              <w:left w:val="nil"/>
              <w:bottom w:val="single" w:sz="4" w:space="0" w:color="auto"/>
              <w:right w:val="nil"/>
            </w:tcBorders>
            <w:hideMark/>
          </w:tcPr>
          <w:p w14:paraId="259FE1B8"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ECR</w:t>
            </w:r>
          </w:p>
        </w:tc>
        <w:tc>
          <w:tcPr>
            <w:tcW w:w="1870" w:type="dxa"/>
            <w:tcBorders>
              <w:top w:val="single" w:sz="4" w:space="0" w:color="auto"/>
              <w:left w:val="nil"/>
              <w:bottom w:val="single" w:sz="4" w:space="0" w:color="auto"/>
              <w:right w:val="nil"/>
            </w:tcBorders>
            <w:hideMark/>
          </w:tcPr>
          <w:p w14:paraId="01A3233E"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MTTD</w:t>
            </w:r>
            <w:r w:rsidRPr="007957FB">
              <w:rPr>
                <w:rFonts w:ascii="Times New Roman" w:hAnsi="Times New Roman" w:cs="Times New Roman"/>
                <w:b/>
                <w:color w:val="000000" w:themeColor="text1"/>
                <w:sz w:val="24"/>
                <w:szCs w:val="24"/>
                <w:vertAlign w:val="subscript"/>
              </w:rPr>
              <w:t>AI</w:t>
            </w:r>
            <w:r w:rsidRPr="007957FB">
              <w:rPr>
                <w:rFonts w:ascii="Times New Roman" w:hAnsi="Times New Roman" w:cs="Times New Roman"/>
                <w:b/>
                <w:color w:val="000000" w:themeColor="text1"/>
                <w:sz w:val="24"/>
                <w:szCs w:val="24"/>
              </w:rPr>
              <w:t>(s)</w:t>
            </w:r>
          </w:p>
        </w:tc>
        <w:tc>
          <w:tcPr>
            <w:tcW w:w="1870" w:type="dxa"/>
            <w:tcBorders>
              <w:top w:val="single" w:sz="4" w:space="0" w:color="auto"/>
              <w:left w:val="nil"/>
              <w:bottom w:val="single" w:sz="4" w:space="0" w:color="auto"/>
              <w:right w:val="nil"/>
            </w:tcBorders>
            <w:hideMark/>
          </w:tcPr>
          <w:p w14:paraId="6A8BBB5E"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IRR</w:t>
            </w:r>
          </w:p>
        </w:tc>
      </w:tr>
      <w:tr w:rsidR="009177DC" w:rsidRPr="007957FB" w14:paraId="65936D8E" w14:textId="77777777" w:rsidTr="009177DC">
        <w:tc>
          <w:tcPr>
            <w:tcW w:w="1870" w:type="dxa"/>
            <w:tcBorders>
              <w:top w:val="single" w:sz="4" w:space="0" w:color="auto"/>
              <w:left w:val="nil"/>
              <w:bottom w:val="nil"/>
              <w:right w:val="nil"/>
            </w:tcBorders>
            <w:hideMark/>
          </w:tcPr>
          <w:p w14:paraId="4A87DE0B"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Healthcare</w:t>
            </w:r>
          </w:p>
        </w:tc>
        <w:tc>
          <w:tcPr>
            <w:tcW w:w="1870" w:type="dxa"/>
            <w:tcBorders>
              <w:top w:val="single" w:sz="4" w:space="0" w:color="auto"/>
              <w:left w:val="nil"/>
              <w:bottom w:val="nil"/>
              <w:right w:val="nil"/>
            </w:tcBorders>
            <w:hideMark/>
          </w:tcPr>
          <w:p w14:paraId="595E320C"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0.68</w:t>
            </w:r>
          </w:p>
        </w:tc>
        <w:tc>
          <w:tcPr>
            <w:tcW w:w="1870" w:type="dxa"/>
            <w:tcBorders>
              <w:top w:val="single" w:sz="4" w:space="0" w:color="auto"/>
              <w:left w:val="nil"/>
              <w:bottom w:val="nil"/>
              <w:right w:val="nil"/>
            </w:tcBorders>
            <w:hideMark/>
          </w:tcPr>
          <w:p w14:paraId="0DB2DF56"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0.71</w:t>
            </w:r>
          </w:p>
        </w:tc>
        <w:tc>
          <w:tcPr>
            <w:tcW w:w="1870" w:type="dxa"/>
            <w:tcBorders>
              <w:top w:val="single" w:sz="4" w:space="0" w:color="auto"/>
              <w:left w:val="nil"/>
              <w:bottom w:val="nil"/>
              <w:right w:val="nil"/>
            </w:tcBorders>
            <w:hideMark/>
          </w:tcPr>
          <w:p w14:paraId="222EAC14"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487</w:t>
            </w:r>
          </w:p>
        </w:tc>
        <w:tc>
          <w:tcPr>
            <w:tcW w:w="1870" w:type="dxa"/>
            <w:tcBorders>
              <w:top w:val="single" w:sz="4" w:space="0" w:color="auto"/>
              <w:left w:val="nil"/>
              <w:bottom w:val="nil"/>
              <w:right w:val="nil"/>
            </w:tcBorders>
            <w:hideMark/>
          </w:tcPr>
          <w:p w14:paraId="738C39D4"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0.79</w:t>
            </w:r>
          </w:p>
        </w:tc>
      </w:tr>
      <w:tr w:rsidR="009177DC" w:rsidRPr="007957FB" w14:paraId="47FF8D50" w14:textId="77777777" w:rsidTr="009177DC">
        <w:tc>
          <w:tcPr>
            <w:tcW w:w="1870" w:type="dxa"/>
            <w:hideMark/>
          </w:tcPr>
          <w:p w14:paraId="63DEBE05"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Finance</w:t>
            </w:r>
          </w:p>
        </w:tc>
        <w:tc>
          <w:tcPr>
            <w:tcW w:w="1870" w:type="dxa"/>
            <w:hideMark/>
          </w:tcPr>
          <w:p w14:paraId="732CB30F"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0.79</w:t>
            </w:r>
          </w:p>
        </w:tc>
        <w:tc>
          <w:tcPr>
            <w:tcW w:w="1870" w:type="dxa"/>
            <w:hideMark/>
          </w:tcPr>
          <w:p w14:paraId="14DE4036"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0.85</w:t>
            </w:r>
          </w:p>
        </w:tc>
        <w:tc>
          <w:tcPr>
            <w:tcW w:w="1870" w:type="dxa"/>
            <w:hideMark/>
          </w:tcPr>
          <w:p w14:paraId="2D52118A"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328</w:t>
            </w:r>
          </w:p>
        </w:tc>
        <w:tc>
          <w:tcPr>
            <w:tcW w:w="1870" w:type="dxa"/>
            <w:hideMark/>
          </w:tcPr>
          <w:p w14:paraId="40779E45"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0.88</w:t>
            </w:r>
          </w:p>
        </w:tc>
      </w:tr>
      <w:tr w:rsidR="009177DC" w:rsidRPr="007957FB" w14:paraId="1A8D3149" w14:textId="77777777" w:rsidTr="009177DC">
        <w:tc>
          <w:tcPr>
            <w:tcW w:w="1870" w:type="dxa"/>
            <w:tcBorders>
              <w:top w:val="nil"/>
              <w:left w:val="nil"/>
              <w:bottom w:val="single" w:sz="4" w:space="0" w:color="auto"/>
              <w:right w:val="nil"/>
            </w:tcBorders>
            <w:hideMark/>
          </w:tcPr>
          <w:p w14:paraId="31DD2482"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Public Sector</w:t>
            </w:r>
          </w:p>
        </w:tc>
        <w:tc>
          <w:tcPr>
            <w:tcW w:w="1870" w:type="dxa"/>
            <w:tcBorders>
              <w:top w:val="nil"/>
              <w:left w:val="nil"/>
              <w:bottom w:val="single" w:sz="4" w:space="0" w:color="auto"/>
              <w:right w:val="nil"/>
            </w:tcBorders>
            <w:hideMark/>
          </w:tcPr>
          <w:p w14:paraId="0BCE5F07"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0.70</w:t>
            </w:r>
          </w:p>
        </w:tc>
        <w:tc>
          <w:tcPr>
            <w:tcW w:w="1870" w:type="dxa"/>
            <w:tcBorders>
              <w:top w:val="nil"/>
              <w:left w:val="nil"/>
              <w:bottom w:val="single" w:sz="4" w:space="0" w:color="auto"/>
              <w:right w:val="nil"/>
            </w:tcBorders>
            <w:hideMark/>
          </w:tcPr>
          <w:p w14:paraId="0720542E"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0.76</w:t>
            </w:r>
          </w:p>
        </w:tc>
        <w:tc>
          <w:tcPr>
            <w:tcW w:w="1870" w:type="dxa"/>
            <w:tcBorders>
              <w:top w:val="nil"/>
              <w:left w:val="nil"/>
              <w:bottom w:val="single" w:sz="4" w:space="0" w:color="auto"/>
              <w:right w:val="nil"/>
            </w:tcBorders>
            <w:hideMark/>
          </w:tcPr>
          <w:p w14:paraId="7E4A2ADF"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412</w:t>
            </w:r>
          </w:p>
        </w:tc>
        <w:tc>
          <w:tcPr>
            <w:tcW w:w="1870" w:type="dxa"/>
            <w:tcBorders>
              <w:top w:val="nil"/>
              <w:left w:val="nil"/>
              <w:bottom w:val="single" w:sz="4" w:space="0" w:color="auto"/>
              <w:right w:val="nil"/>
            </w:tcBorders>
            <w:hideMark/>
          </w:tcPr>
          <w:p w14:paraId="7E5B95C2"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0.82</w:t>
            </w:r>
          </w:p>
        </w:tc>
      </w:tr>
    </w:tbl>
    <w:p w14:paraId="35A87019"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Heterogeneity was moderate (I² = 54%), suggesting variability in study designs and metrics, addressed through ASMI standardization (Borenstein et al., 2024).</w:t>
      </w:r>
    </w:p>
    <w:p w14:paraId="19E139DD" w14:textId="77777777" w:rsidR="009177DC" w:rsidRPr="007957FB" w:rsidRDefault="009177DC" w:rsidP="009177DC">
      <w:pPr>
        <w:spacing w:line="360" w:lineRule="auto"/>
        <w:jc w:val="center"/>
        <w:rPr>
          <w:rFonts w:ascii="Times New Roman" w:hAnsi="Times New Roman" w:cs="Times New Roman"/>
          <w:color w:val="000000" w:themeColor="text1"/>
          <w:sz w:val="24"/>
          <w:szCs w:val="24"/>
        </w:rPr>
      </w:pPr>
      <w:r w:rsidRPr="007957FB">
        <w:rPr>
          <w:rFonts w:ascii="Times New Roman" w:hAnsi="Times New Roman" w:cs="Times New Roman"/>
          <w:noProof/>
          <w:color w:val="000000" w:themeColor="text1"/>
          <w:sz w:val="24"/>
          <w:szCs w:val="24"/>
        </w:rPr>
        <w:lastRenderedPageBreak/>
        <mc:AlternateContent>
          <mc:Choice Requires="cx1">
            <w:drawing>
              <wp:inline distT="0" distB="0" distL="0" distR="0" wp14:anchorId="104036A5" wp14:editId="0A7D22A6">
                <wp:extent cx="4678326" cy="2679404"/>
                <wp:effectExtent l="0" t="0" r="8255" b="6985"/>
                <wp:docPr id="1" name="Chart 1">
                  <a:extLst xmlns:a="http://schemas.openxmlformats.org/drawingml/2006/main">
                    <a:ext uri="{FF2B5EF4-FFF2-40B4-BE49-F238E27FC236}">
                      <a16:creationId xmlns:a16="http://schemas.microsoft.com/office/drawing/2014/main" id="{ADB4BBCF-2505-4DCE-B76F-445578734C9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inline>
            </w:drawing>
          </mc:Choice>
          <mc:Fallback>
            <w:drawing>
              <wp:inline distT="0" distB="0" distL="0" distR="0">
                <wp:extent cx="4678326" cy="2679404"/>
                <wp:effectExtent l="0" t="0" r="8255" b="6985"/>
                <wp:docPr id="1" name="Chart 1">
                  <a:extLst xmlns:a="http://schemas.openxmlformats.org/drawingml/2006/main">
                    <a:ext uri="{FF2B5EF4-FFF2-40B4-BE49-F238E27FC236}">
                      <a16:creationId xmlns:a16="http://schemas.microsoft.com/office/drawing/2014/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B4BBCF-2505-4DCE-B76F-445578734C9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Chart 1">
                          <a:extLst>
                            <a:ext uri="{FF2B5EF4-FFF2-40B4-BE49-F238E27FC236}">
                              <a16:creationId xmlns:a16="http://schemas.microsoft.com/office/drawing/2014/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B4BBCF-2505-4DCE-B76F-445578734C96}"/>
                            </a:ext>
                          </a:extLst>
                        </pic:cNvPr>
                        <pic:cNvPicPr>
                          <a:picLocks noGrp="1" noRot="1" noChangeAspect="1" noMove="1" noResize="1" noEditPoints="1" noAdjustHandles="1" noChangeArrowheads="1" noChangeShapeType="1"/>
                        </pic:cNvPicPr>
                      </pic:nvPicPr>
                      <pic:blipFill>
                        <a:blip r:embed="rId9"/>
                        <a:stretch>
                          <a:fillRect/>
                        </a:stretch>
                      </pic:blipFill>
                      <pic:spPr>
                        <a:xfrm>
                          <a:off x="0" y="0"/>
                          <a:ext cx="4678045" cy="2679065"/>
                        </a:xfrm>
                        <a:prstGeom prst="rect">
                          <a:avLst/>
                        </a:prstGeom>
                      </pic:spPr>
                    </pic:pic>
                  </a:graphicData>
                </a:graphic>
              </wp:inline>
            </w:drawing>
          </mc:Fallback>
        </mc:AlternateContent>
      </w:r>
    </w:p>
    <w:p w14:paraId="70759166" w14:textId="77777777" w:rsidR="009177DC" w:rsidRPr="007957FB" w:rsidRDefault="009177DC" w:rsidP="0063182B">
      <w:pPr>
        <w:spacing w:line="360" w:lineRule="auto"/>
        <w:jc w:val="center"/>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 xml:space="preserve">Figure 2: </w:t>
      </w:r>
      <w:r w:rsidRPr="007957FB">
        <w:rPr>
          <w:rFonts w:ascii="Times New Roman" w:hAnsi="Times New Roman" w:cs="Times New Roman"/>
          <w:color w:val="000000" w:themeColor="text1"/>
          <w:sz w:val="24"/>
          <w:szCs w:val="24"/>
        </w:rPr>
        <w:t>Box Plot of SPS by Sector.</w:t>
      </w:r>
    </w:p>
    <w:p w14:paraId="6957E625"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Breach Risk Regression</w:t>
      </w:r>
    </w:p>
    <w:p w14:paraId="6C250F73"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 regression model explained 62% of variance in breach risk (R² = 0.62, p &lt; .001). Significant predictors included:</w:t>
      </w:r>
    </w:p>
    <w:p w14:paraId="64CEB233" w14:textId="77777777" w:rsidR="009177DC" w:rsidRPr="007957FB" w:rsidRDefault="009177DC" w:rsidP="009177DC">
      <w:pPr>
        <w:pStyle w:val="ListParagraph"/>
        <w:numPr>
          <w:ilvl w:val="0"/>
          <w:numId w:val="8"/>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Governance Maturity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GovScore</m:t>
            </m:r>
          </m:sub>
        </m:sSub>
        <m:r>
          <w:rPr>
            <w:rFonts w:ascii="Cambria Math" w:eastAsiaTheme="minorEastAsia" w:hAnsi="Cambria Math" w:cs="Times New Roman"/>
            <w:color w:val="000000" w:themeColor="text1"/>
            <w:sz w:val="24"/>
            <w:szCs w:val="24"/>
          </w:rPr>
          <m:t>)</m:t>
        </m:r>
      </m:oMath>
      <w:r w:rsidRPr="007957FB">
        <w:rPr>
          <w:rFonts w:ascii="Times New Roman" w:hAnsi="Times New Roman" w:cs="Times New Roman"/>
          <w:color w:val="000000" w:themeColor="text1"/>
          <w:sz w:val="24"/>
          <w:szCs w:val="24"/>
        </w:rPr>
        <w:t>: β₁ = -0.41, p &lt; .001, indicating that higher governance maturity reduces breach risk.</w:t>
      </w:r>
    </w:p>
    <w:p w14:paraId="68973F71" w14:textId="77777777" w:rsidR="009177DC" w:rsidRPr="007957FB" w:rsidRDefault="009177DC" w:rsidP="009177DC">
      <w:pPr>
        <w:pStyle w:val="ListParagraph"/>
        <w:numPr>
          <w:ilvl w:val="0"/>
          <w:numId w:val="8"/>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Encryption Strength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Ecryption</m:t>
            </m:r>
          </m:sub>
        </m:sSub>
        <m:r>
          <w:rPr>
            <w:rFonts w:ascii="Cambria Math" w:eastAsiaTheme="minorEastAsia" w:hAnsi="Cambria Math" w:cs="Times New Roman"/>
            <w:color w:val="000000" w:themeColor="text1"/>
            <w:sz w:val="24"/>
            <w:szCs w:val="24"/>
          </w:rPr>
          <m:t>)</m:t>
        </m:r>
      </m:oMath>
      <w:r w:rsidRPr="007957FB">
        <w:rPr>
          <w:rFonts w:ascii="Times New Roman" w:hAnsi="Times New Roman" w:cs="Times New Roman"/>
          <w:color w:val="000000" w:themeColor="text1"/>
          <w:sz w:val="24"/>
          <w:szCs w:val="24"/>
        </w:rPr>
        <w:t>: β₂ = -0.29, p = .002, showing encryption’s protective effect.</w:t>
      </w:r>
    </w:p>
    <w:p w14:paraId="0D69C7FE" w14:textId="77777777" w:rsidR="009177DC" w:rsidRPr="007957FB" w:rsidRDefault="009177DC" w:rsidP="009177DC">
      <w:pPr>
        <w:pStyle w:val="ListParagraph"/>
        <w:numPr>
          <w:ilvl w:val="0"/>
          <w:numId w:val="8"/>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Training Data Security </w:t>
      </w:r>
      <m:oMath>
        <m:r>
          <w:rPr>
            <w:rFonts w:ascii="Cambria Math"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TrainingSec</m:t>
            </m:r>
          </m:sub>
        </m:sSub>
        <m:r>
          <w:rPr>
            <w:rFonts w:ascii="Cambria Math" w:eastAsiaTheme="minorEastAsia" w:hAnsi="Cambria Math" w:cs="Times New Roman"/>
            <w:color w:val="000000" w:themeColor="text1"/>
            <w:sz w:val="24"/>
            <w:szCs w:val="24"/>
          </w:rPr>
          <m:t>)</m:t>
        </m:r>
      </m:oMath>
      <w:r w:rsidRPr="007957FB">
        <w:rPr>
          <w:rFonts w:ascii="Times New Roman" w:hAnsi="Times New Roman" w:cs="Times New Roman"/>
          <w:color w:val="000000" w:themeColor="text1"/>
          <w:sz w:val="24"/>
          <w:szCs w:val="24"/>
        </w:rPr>
        <w:t>: β₃ = -0.22, p = .008, highlighting the importance of secure datasets.</w:t>
      </w:r>
    </w:p>
    <w:p w14:paraId="2E2A0B01"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Sector-specific sub-analyses confirmed these effects, with finance showing the strongest governance impact (β₁ = -0.41, p &lt; .001), supporting </w:t>
      </w:r>
      <w:bookmarkStart w:id="3" w:name="_Hlk195837292"/>
      <w:r w:rsidRPr="007957FB">
        <w:rPr>
          <w:rFonts w:ascii="Times New Roman" w:hAnsi="Times New Roman" w:cs="Times New Roman"/>
          <w:color w:val="000000" w:themeColor="text1"/>
          <w:sz w:val="24"/>
          <w:szCs w:val="24"/>
        </w:rPr>
        <w:t>sectoral applicability.</w:t>
      </w:r>
      <w:bookmarkEnd w:id="3"/>
    </w:p>
    <w:p w14:paraId="1DF4F3E4" w14:textId="77777777" w:rsidR="009177DC" w:rsidRPr="007957FB" w:rsidRDefault="009177DC" w:rsidP="00242A48">
      <w:pPr>
        <w:spacing w:line="360" w:lineRule="auto"/>
        <w:jc w:val="center"/>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 xml:space="preserve">Table </w:t>
      </w:r>
      <w:r w:rsidR="00AB3EBC" w:rsidRPr="007957FB">
        <w:rPr>
          <w:rFonts w:ascii="Times New Roman" w:hAnsi="Times New Roman" w:cs="Times New Roman"/>
          <w:b/>
          <w:color w:val="000000" w:themeColor="text1"/>
          <w:sz w:val="24"/>
          <w:szCs w:val="24"/>
        </w:rPr>
        <w:t>5</w:t>
      </w:r>
      <w:r w:rsidRPr="007957FB">
        <w:rPr>
          <w:rFonts w:ascii="Times New Roman" w:hAnsi="Times New Roman" w:cs="Times New Roman"/>
          <w:b/>
          <w:color w:val="000000" w:themeColor="text1"/>
          <w:sz w:val="24"/>
          <w:szCs w:val="24"/>
        </w:rPr>
        <w:t>: Regression Coefficients for Breach Risk</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gridCol w:w="3087"/>
        <w:gridCol w:w="3089"/>
      </w:tblGrid>
      <w:tr w:rsidR="009177DC" w:rsidRPr="007957FB" w14:paraId="1FA78B6F" w14:textId="77777777" w:rsidTr="009177DC">
        <w:trPr>
          <w:trHeight w:val="252"/>
        </w:trPr>
        <w:tc>
          <w:tcPr>
            <w:tcW w:w="3087" w:type="dxa"/>
            <w:tcBorders>
              <w:top w:val="single" w:sz="4" w:space="0" w:color="auto"/>
              <w:left w:val="nil"/>
              <w:bottom w:val="single" w:sz="4" w:space="0" w:color="auto"/>
              <w:right w:val="nil"/>
            </w:tcBorders>
            <w:hideMark/>
          </w:tcPr>
          <w:p w14:paraId="593D3317"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Predictor</w:t>
            </w:r>
          </w:p>
        </w:tc>
        <w:tc>
          <w:tcPr>
            <w:tcW w:w="3087" w:type="dxa"/>
            <w:tcBorders>
              <w:top w:val="single" w:sz="4" w:space="0" w:color="auto"/>
              <w:left w:val="nil"/>
              <w:bottom w:val="single" w:sz="4" w:space="0" w:color="auto"/>
              <w:right w:val="nil"/>
            </w:tcBorders>
            <w:hideMark/>
          </w:tcPr>
          <w:p w14:paraId="1BDDDB37"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β</w:t>
            </w:r>
          </w:p>
        </w:tc>
        <w:tc>
          <w:tcPr>
            <w:tcW w:w="3089" w:type="dxa"/>
            <w:tcBorders>
              <w:top w:val="single" w:sz="4" w:space="0" w:color="auto"/>
              <w:left w:val="nil"/>
              <w:bottom w:val="single" w:sz="4" w:space="0" w:color="auto"/>
              <w:right w:val="nil"/>
            </w:tcBorders>
            <w:hideMark/>
          </w:tcPr>
          <w:p w14:paraId="292F8900"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p-value</w:t>
            </w:r>
          </w:p>
        </w:tc>
      </w:tr>
      <w:tr w:rsidR="009177DC" w:rsidRPr="007957FB" w14:paraId="22C15866" w14:textId="77777777" w:rsidTr="009177DC">
        <w:trPr>
          <w:trHeight w:val="252"/>
        </w:trPr>
        <w:tc>
          <w:tcPr>
            <w:tcW w:w="3087" w:type="dxa"/>
            <w:tcBorders>
              <w:top w:val="single" w:sz="4" w:space="0" w:color="auto"/>
              <w:left w:val="nil"/>
              <w:bottom w:val="nil"/>
              <w:right w:val="nil"/>
            </w:tcBorders>
            <w:hideMark/>
          </w:tcPr>
          <w:p w14:paraId="799CF145"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Governance Maturity</w:t>
            </w:r>
          </w:p>
        </w:tc>
        <w:tc>
          <w:tcPr>
            <w:tcW w:w="3087" w:type="dxa"/>
            <w:tcBorders>
              <w:top w:val="single" w:sz="4" w:space="0" w:color="auto"/>
              <w:left w:val="nil"/>
              <w:bottom w:val="nil"/>
              <w:right w:val="nil"/>
            </w:tcBorders>
            <w:hideMark/>
          </w:tcPr>
          <w:p w14:paraId="14E0DD01"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-0.41</w:t>
            </w:r>
          </w:p>
        </w:tc>
        <w:tc>
          <w:tcPr>
            <w:tcW w:w="3089" w:type="dxa"/>
            <w:tcBorders>
              <w:top w:val="single" w:sz="4" w:space="0" w:color="auto"/>
              <w:left w:val="nil"/>
              <w:bottom w:val="nil"/>
              <w:right w:val="nil"/>
            </w:tcBorders>
            <w:hideMark/>
          </w:tcPr>
          <w:p w14:paraId="118B2970"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&lt; .001</w:t>
            </w:r>
          </w:p>
        </w:tc>
      </w:tr>
      <w:tr w:rsidR="009177DC" w:rsidRPr="007957FB" w14:paraId="710A19D0" w14:textId="77777777" w:rsidTr="009177DC">
        <w:trPr>
          <w:trHeight w:val="264"/>
        </w:trPr>
        <w:tc>
          <w:tcPr>
            <w:tcW w:w="3087" w:type="dxa"/>
            <w:hideMark/>
          </w:tcPr>
          <w:p w14:paraId="6E69090F"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Encryption Strength</w:t>
            </w:r>
          </w:p>
        </w:tc>
        <w:tc>
          <w:tcPr>
            <w:tcW w:w="3087" w:type="dxa"/>
            <w:hideMark/>
          </w:tcPr>
          <w:p w14:paraId="4E8D73A4"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-0.29</w:t>
            </w:r>
          </w:p>
        </w:tc>
        <w:tc>
          <w:tcPr>
            <w:tcW w:w="3089" w:type="dxa"/>
            <w:hideMark/>
          </w:tcPr>
          <w:p w14:paraId="239A49B3"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.002</w:t>
            </w:r>
          </w:p>
        </w:tc>
      </w:tr>
      <w:tr w:rsidR="009177DC" w:rsidRPr="007957FB" w14:paraId="1D0FB363" w14:textId="77777777" w:rsidTr="009177DC">
        <w:trPr>
          <w:trHeight w:val="252"/>
        </w:trPr>
        <w:tc>
          <w:tcPr>
            <w:tcW w:w="3087" w:type="dxa"/>
            <w:tcBorders>
              <w:top w:val="nil"/>
              <w:left w:val="nil"/>
              <w:bottom w:val="single" w:sz="4" w:space="0" w:color="auto"/>
              <w:right w:val="nil"/>
            </w:tcBorders>
            <w:hideMark/>
          </w:tcPr>
          <w:p w14:paraId="2B8D2CD6"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Training Data Security</w:t>
            </w:r>
          </w:p>
        </w:tc>
        <w:tc>
          <w:tcPr>
            <w:tcW w:w="3087" w:type="dxa"/>
            <w:tcBorders>
              <w:top w:val="nil"/>
              <w:left w:val="nil"/>
              <w:bottom w:val="single" w:sz="4" w:space="0" w:color="auto"/>
              <w:right w:val="nil"/>
            </w:tcBorders>
            <w:hideMark/>
          </w:tcPr>
          <w:p w14:paraId="61FDD359"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-0.22</w:t>
            </w:r>
          </w:p>
        </w:tc>
        <w:tc>
          <w:tcPr>
            <w:tcW w:w="3089" w:type="dxa"/>
            <w:tcBorders>
              <w:top w:val="nil"/>
              <w:left w:val="nil"/>
              <w:bottom w:val="single" w:sz="4" w:space="0" w:color="auto"/>
              <w:right w:val="nil"/>
            </w:tcBorders>
            <w:hideMark/>
          </w:tcPr>
          <w:p w14:paraId="61A1F3B8"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.008</w:t>
            </w:r>
          </w:p>
        </w:tc>
      </w:tr>
    </w:tbl>
    <w:p w14:paraId="7E6192C3"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p>
    <w:p w14:paraId="00482CB8"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lastRenderedPageBreak/>
        <w:t>Qualitative Results</w:t>
      </w:r>
    </w:p>
    <w:p w14:paraId="6BE83548"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 qualitative stream synthesized 89 studies to address synthesize theoretical insights and framework development. Thematic coding using NVivo 22 identified six core themes: compliance automation, ethical oversight, data provenance, adaptive governance, stakeholder collaboration, and cybersecurity-governance integration</w:t>
      </w:r>
      <w:r w:rsidR="00AB3EBC" w:rsidRPr="007957FB">
        <w:rPr>
          <w:rFonts w:ascii="Times New Roman" w:hAnsi="Times New Roman" w:cs="Times New Roman"/>
          <w:color w:val="000000" w:themeColor="text1"/>
          <w:sz w:val="24"/>
          <w:szCs w:val="24"/>
        </w:rPr>
        <w:t>, with results shown in figure 3</w:t>
      </w:r>
      <w:r w:rsidRPr="007957FB">
        <w:rPr>
          <w:rFonts w:ascii="Times New Roman" w:hAnsi="Times New Roman" w:cs="Times New Roman"/>
          <w:color w:val="000000" w:themeColor="text1"/>
          <w:sz w:val="24"/>
          <w:szCs w:val="24"/>
        </w:rPr>
        <w:t>. Intercoder reliability was strong (Cohen’s κ = .84).</w:t>
      </w:r>
    </w:p>
    <w:p w14:paraId="4650EBF7"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Core Themes</w:t>
      </w:r>
    </w:p>
    <w:p w14:paraId="29793EAB" w14:textId="77777777" w:rsidR="007957FB" w:rsidRPr="007957FB" w:rsidRDefault="007957FB"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sz w:val="24"/>
          <w:szCs w:val="24"/>
        </w:rPr>
        <w:t>The analysis revealed six core themes, which are discussed below:</w:t>
      </w:r>
    </w:p>
    <w:p w14:paraId="2B65FB17" w14:textId="77777777" w:rsidR="009177DC" w:rsidRPr="007957FB" w:rsidRDefault="009177DC" w:rsidP="009177DC">
      <w:pPr>
        <w:pStyle w:val="ListParagraph"/>
        <w:numPr>
          <w:ilvl w:val="0"/>
          <w:numId w:val="9"/>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Compliance Automation: 72% of studies highlighted automated tools for GDPR and EU AI Act compliance, reducing audit times by 58% (</w:t>
      </w:r>
      <w:bookmarkStart w:id="4" w:name="_Hlk195851072"/>
      <w:r w:rsidRPr="007957FB">
        <w:rPr>
          <w:rFonts w:ascii="Times New Roman" w:hAnsi="Times New Roman" w:cs="Times New Roman"/>
          <w:color w:val="000000" w:themeColor="text1"/>
          <w:sz w:val="24"/>
          <w:szCs w:val="24"/>
        </w:rPr>
        <w:t>Rohan and Singh 2024</w:t>
      </w:r>
      <w:bookmarkEnd w:id="4"/>
      <w:r w:rsidRPr="007957FB">
        <w:rPr>
          <w:rFonts w:ascii="Times New Roman" w:hAnsi="Times New Roman" w:cs="Times New Roman"/>
          <w:color w:val="000000" w:themeColor="text1"/>
          <w:sz w:val="24"/>
          <w:szCs w:val="24"/>
        </w:rPr>
        <w:t>; European Commission, 2024).</w:t>
      </w:r>
    </w:p>
    <w:p w14:paraId="025E7A73" w14:textId="77777777" w:rsidR="009177DC" w:rsidRPr="007957FB" w:rsidRDefault="009177DC" w:rsidP="009177DC">
      <w:pPr>
        <w:pStyle w:val="ListParagraph"/>
        <w:numPr>
          <w:ilvl w:val="0"/>
          <w:numId w:val="9"/>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Ethical Oversight: 65% emphasized AI ethics committees, with 89% of Fortune 500 firms adopting them to address bias and privacy (AIIM, 2025;</w:t>
      </w:r>
      <w:bookmarkStart w:id="5" w:name="_Hlk195851179"/>
      <w:r w:rsidRPr="007957FB">
        <w:rPr>
          <w:rFonts w:ascii="Times New Roman" w:hAnsi="Times New Roman" w:cs="Times New Roman"/>
          <w:color w:val="000000" w:themeColor="text1"/>
          <w:sz w:val="24"/>
          <w:szCs w:val="24"/>
        </w:rPr>
        <w:t xml:space="preserve"> </w:t>
      </w:r>
      <w:r w:rsidRPr="007957FB">
        <w:rPr>
          <w:rFonts w:ascii="Times New Roman" w:eastAsia="Times New Roman" w:hAnsi="Times New Roman" w:cs="Times New Roman"/>
          <w:color w:val="000000" w:themeColor="text1"/>
          <w:sz w:val="24"/>
          <w:szCs w:val="24"/>
        </w:rPr>
        <w:t>Bankins and Formosa, 2023</w:t>
      </w:r>
      <w:bookmarkEnd w:id="5"/>
      <w:r w:rsidRPr="007957FB">
        <w:rPr>
          <w:rFonts w:ascii="Times New Roman" w:hAnsi="Times New Roman" w:cs="Times New Roman"/>
          <w:color w:val="000000" w:themeColor="text1"/>
          <w:sz w:val="24"/>
          <w:szCs w:val="24"/>
        </w:rPr>
        <w:t>).</w:t>
      </w:r>
    </w:p>
    <w:p w14:paraId="7D8C4020" w14:textId="77777777" w:rsidR="009177DC" w:rsidRPr="007957FB" w:rsidRDefault="009177DC" w:rsidP="009177DC">
      <w:pPr>
        <w:pStyle w:val="ListParagraph"/>
        <w:numPr>
          <w:ilvl w:val="0"/>
          <w:numId w:val="9"/>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Data Provenance: Blockchain-based tracking was noted in 48% of studies, ensuring GDPR Article 22 compliance (Cerebra, 2024).</w:t>
      </w:r>
    </w:p>
    <w:p w14:paraId="08850E3B" w14:textId="77777777" w:rsidR="009177DC" w:rsidRPr="007957FB" w:rsidRDefault="009177DC" w:rsidP="009177DC">
      <w:pPr>
        <w:pStyle w:val="ListParagraph"/>
        <w:numPr>
          <w:ilvl w:val="0"/>
          <w:numId w:val="9"/>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Adaptive Governance: 41% discussed dynamic policy revision to counter concept drift, critical for continuous learning systems </w:t>
      </w:r>
      <w:bookmarkStart w:id="6" w:name="_Hlk195854305"/>
      <w:r w:rsidRPr="007957FB">
        <w:rPr>
          <w:rFonts w:ascii="Times New Roman" w:eastAsia="Times New Roman" w:hAnsi="Times New Roman" w:cs="Times New Roman"/>
          <w:color w:val="000000" w:themeColor="text1"/>
          <w:sz w:val="24"/>
          <w:szCs w:val="24"/>
        </w:rPr>
        <w:t>(Gupta et al., 2024)</w:t>
      </w:r>
      <w:bookmarkEnd w:id="6"/>
      <w:r w:rsidRPr="007957FB">
        <w:rPr>
          <w:rFonts w:ascii="Times New Roman" w:hAnsi="Times New Roman" w:cs="Times New Roman"/>
          <w:color w:val="000000" w:themeColor="text1"/>
          <w:sz w:val="24"/>
          <w:szCs w:val="24"/>
        </w:rPr>
        <w:t>.</w:t>
      </w:r>
    </w:p>
    <w:p w14:paraId="737FA88D" w14:textId="77777777" w:rsidR="009177DC" w:rsidRPr="007957FB" w:rsidRDefault="009177DC" w:rsidP="009177DC">
      <w:pPr>
        <w:pStyle w:val="ListParagraph"/>
        <w:numPr>
          <w:ilvl w:val="0"/>
          <w:numId w:val="9"/>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Stakeholder Collaboration: 56% stressed multi-stakeholder frameworks, enhancing cross-sector applicability </w:t>
      </w:r>
      <w:r w:rsidRPr="007957FB">
        <w:rPr>
          <w:rFonts w:ascii="Times New Roman" w:eastAsia="Times New Roman" w:hAnsi="Times New Roman" w:cs="Times New Roman"/>
          <w:color w:val="000000" w:themeColor="text1"/>
          <w:sz w:val="24"/>
          <w:szCs w:val="24"/>
        </w:rPr>
        <w:t>(Culot et al., 2024)</w:t>
      </w:r>
      <w:r w:rsidRPr="007957FB">
        <w:rPr>
          <w:rFonts w:ascii="Times New Roman" w:hAnsi="Times New Roman" w:cs="Times New Roman"/>
          <w:color w:val="000000" w:themeColor="text1"/>
          <w:sz w:val="24"/>
          <w:szCs w:val="24"/>
        </w:rPr>
        <w:t>.</w:t>
      </w:r>
    </w:p>
    <w:p w14:paraId="03720F21" w14:textId="77777777" w:rsidR="009177DC" w:rsidRPr="007957FB" w:rsidRDefault="009177DC" w:rsidP="009177DC">
      <w:pPr>
        <w:pStyle w:val="ListParagraph"/>
        <w:numPr>
          <w:ilvl w:val="0"/>
          <w:numId w:val="9"/>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Cybersecurity-Governance Integration: 63% advocated for unified frameworks </w:t>
      </w:r>
      <w:r w:rsidRPr="007957FB">
        <w:rPr>
          <w:rFonts w:ascii="Times New Roman" w:eastAsia="Times New Roman" w:hAnsi="Times New Roman" w:cs="Times New Roman"/>
          <w:color w:val="000000" w:themeColor="text1"/>
          <w:sz w:val="24"/>
          <w:szCs w:val="24"/>
        </w:rPr>
        <w:t>(Segun Obisesan, 2024)</w:t>
      </w:r>
      <w:r w:rsidRPr="007957FB">
        <w:rPr>
          <w:rFonts w:ascii="Times New Roman" w:hAnsi="Times New Roman" w:cs="Times New Roman"/>
          <w:color w:val="000000" w:themeColor="text1"/>
          <w:sz w:val="24"/>
          <w:szCs w:val="24"/>
        </w:rPr>
        <w:t>.</w:t>
      </w:r>
    </w:p>
    <w:p w14:paraId="49BB19AA"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p>
    <w:p w14:paraId="29D45CD6" w14:textId="77777777" w:rsidR="009177DC" w:rsidRPr="007957FB" w:rsidRDefault="009177DC" w:rsidP="0063182B">
      <w:pPr>
        <w:spacing w:line="360" w:lineRule="auto"/>
        <w:jc w:val="center"/>
        <w:rPr>
          <w:rFonts w:ascii="Times New Roman" w:hAnsi="Times New Roman" w:cs="Times New Roman"/>
          <w:color w:val="000000" w:themeColor="text1"/>
          <w:sz w:val="24"/>
          <w:szCs w:val="24"/>
        </w:rPr>
      </w:pPr>
      <w:r w:rsidRPr="007957FB">
        <w:rPr>
          <w:rFonts w:ascii="Times New Roman" w:hAnsi="Times New Roman" w:cs="Times New Roman"/>
          <w:noProof/>
          <w:color w:val="000000" w:themeColor="text1"/>
          <w:sz w:val="24"/>
          <w:szCs w:val="24"/>
        </w:rPr>
        <w:lastRenderedPageBreak/>
        <w:drawing>
          <wp:inline distT="0" distB="0" distL="0" distR="0" wp14:anchorId="7DA6F173" wp14:editId="0889BCFF">
            <wp:extent cx="4585335" cy="2756535"/>
            <wp:effectExtent l="0" t="0" r="5715" b="5715"/>
            <wp:docPr id="2" name="Chart 2">
              <a:extLst xmlns:a="http://schemas.openxmlformats.org/drawingml/2006/main">
                <a:ext uri="{FF2B5EF4-FFF2-40B4-BE49-F238E27FC236}">
                  <a16:creationId xmlns:a16="http://schemas.microsoft.com/office/drawing/2014/main" id="{94312F3D-9595-47BB-9485-70E2270BB6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FA3B8F" w14:textId="77777777" w:rsidR="009177DC" w:rsidRPr="007957FB" w:rsidRDefault="009177DC" w:rsidP="0063182B">
      <w:pPr>
        <w:spacing w:line="360" w:lineRule="auto"/>
        <w:jc w:val="center"/>
        <w:rPr>
          <w:rFonts w:ascii="Times New Roman" w:hAnsi="Times New Roman" w:cs="Times New Roman"/>
          <w:color w:val="000000" w:themeColor="text1"/>
          <w:sz w:val="24"/>
          <w:szCs w:val="24"/>
        </w:rPr>
      </w:pPr>
      <w:r w:rsidRPr="007957FB">
        <w:rPr>
          <w:rFonts w:ascii="Times New Roman" w:hAnsi="Times New Roman" w:cs="Times New Roman"/>
          <w:b/>
          <w:color w:val="000000" w:themeColor="text1"/>
          <w:sz w:val="24"/>
          <w:szCs w:val="24"/>
        </w:rPr>
        <w:t xml:space="preserve">Figure 3: </w:t>
      </w:r>
      <w:r w:rsidRPr="007957FB">
        <w:rPr>
          <w:rFonts w:ascii="Times New Roman" w:hAnsi="Times New Roman" w:cs="Times New Roman"/>
          <w:color w:val="000000" w:themeColor="text1"/>
          <w:sz w:val="24"/>
          <w:szCs w:val="24"/>
        </w:rPr>
        <w:t>Thematic Prevalence Bar Chart.</w:t>
      </w:r>
    </w:p>
    <w:p w14:paraId="64CBB12B"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Sectoral Insights</w:t>
      </w:r>
    </w:p>
    <w:p w14:paraId="75589EC0"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Sector-specific governance practices supported:</w:t>
      </w:r>
    </w:p>
    <w:p w14:paraId="63CF2DAC"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w:t>
      </w:r>
      <w:r w:rsidRPr="007957FB">
        <w:rPr>
          <w:rFonts w:ascii="Times New Roman" w:hAnsi="Times New Roman" w:cs="Times New Roman"/>
          <w:color w:val="000000" w:themeColor="text1"/>
          <w:sz w:val="24"/>
          <w:szCs w:val="24"/>
        </w:rPr>
        <w:tab/>
        <w:t>Healthcare: Emphasis on HIPAA-compliant data provenance (52% of studies).</w:t>
      </w:r>
    </w:p>
    <w:p w14:paraId="1E181E7D"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w:t>
      </w:r>
      <w:r w:rsidRPr="007957FB">
        <w:rPr>
          <w:rFonts w:ascii="Times New Roman" w:hAnsi="Times New Roman" w:cs="Times New Roman"/>
          <w:color w:val="000000" w:themeColor="text1"/>
          <w:sz w:val="24"/>
          <w:szCs w:val="24"/>
        </w:rPr>
        <w:tab/>
        <w:t>Finance: Focus on PSD2-aligned compliance automation (47% of studies).</w:t>
      </w:r>
    </w:p>
    <w:p w14:paraId="1E5676AE"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w:t>
      </w:r>
      <w:r w:rsidRPr="007957FB">
        <w:rPr>
          <w:rFonts w:ascii="Times New Roman" w:hAnsi="Times New Roman" w:cs="Times New Roman"/>
          <w:color w:val="000000" w:themeColor="text1"/>
          <w:sz w:val="24"/>
          <w:szCs w:val="24"/>
        </w:rPr>
        <w:tab/>
        <w:t>Public Sector: Priority on FedRAMP and NIST RMF integration (55% of studies).</w:t>
      </w:r>
    </w:p>
    <w:p w14:paraId="7613BFCF"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These findings inform the governance layer of the framework, ensuring sectoral relevance (Devineni, 2024).</w:t>
      </w:r>
    </w:p>
    <w:p w14:paraId="6EB256CA"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Technical Validation Results</w:t>
      </w:r>
    </w:p>
    <w:p w14:paraId="4AB8877B"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 technical validation tested three open-source AI models (BERT-based NLP classifier, YOLOv7 object detection, federated learning model) against 15,000 adversarial examples and model inversion attacks, addressing vulnerability identification, framework development, and sectoral applicability. Metrics included Adversarial Robustness Metric (ARM) and Privacy Leakage Score (PLS).</w:t>
      </w:r>
    </w:p>
    <w:p w14:paraId="24325C84"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Adversarial Robustness</w:t>
      </w:r>
    </w:p>
    <w:p w14:paraId="3B13FDD5"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lastRenderedPageBreak/>
        <w:t>The framework’s controls (adversarial training, differential privacy) improved ARM significantly (p &lt; .001):</w:t>
      </w:r>
    </w:p>
    <w:p w14:paraId="08FDB1F8" w14:textId="77777777" w:rsidR="009177DC" w:rsidRPr="007957FB" w:rsidRDefault="009177DC" w:rsidP="009177DC">
      <w:pPr>
        <w:pStyle w:val="ListParagraph"/>
        <w:numPr>
          <w:ilvl w:val="0"/>
          <w:numId w:val="10"/>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BERT-based NLP: ARM = 0.91 (vs. 0.62 baseline), mitigating 87% of text perturbations.</w:t>
      </w:r>
    </w:p>
    <w:p w14:paraId="07A1258E" w14:textId="77777777" w:rsidR="009177DC" w:rsidRPr="007957FB" w:rsidRDefault="009177DC" w:rsidP="009177DC">
      <w:pPr>
        <w:pStyle w:val="ListParagraph"/>
        <w:numPr>
          <w:ilvl w:val="0"/>
          <w:numId w:val="10"/>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YOLOv7: ARM = 0.88 (vs. 0.59 baseline), resisting 84% of image attacks.</w:t>
      </w:r>
    </w:p>
    <w:p w14:paraId="4C2A5D60" w14:textId="77777777" w:rsidR="009177DC" w:rsidRPr="007957FB" w:rsidRDefault="009177DC" w:rsidP="009177DC">
      <w:pPr>
        <w:pStyle w:val="ListParagraph"/>
        <w:numPr>
          <w:ilvl w:val="0"/>
          <w:numId w:val="10"/>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Federated Learning: ARM = 0.85 (vs. 0.55 baseline), countering 81% of poisoning attempts.</w:t>
      </w:r>
    </w:p>
    <w:p w14:paraId="104D0CD6"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 xml:space="preserve">Table </w:t>
      </w:r>
      <w:r w:rsidR="00AB3EBC" w:rsidRPr="007957FB">
        <w:rPr>
          <w:rFonts w:ascii="Times New Roman" w:hAnsi="Times New Roman" w:cs="Times New Roman"/>
          <w:b/>
          <w:color w:val="000000" w:themeColor="text1"/>
          <w:sz w:val="24"/>
          <w:szCs w:val="24"/>
        </w:rPr>
        <w:t>6</w:t>
      </w:r>
      <w:r w:rsidRPr="007957FB">
        <w:rPr>
          <w:rFonts w:ascii="Times New Roman" w:hAnsi="Times New Roman" w:cs="Times New Roman"/>
          <w:b/>
          <w:color w:val="000000" w:themeColor="text1"/>
          <w:sz w:val="24"/>
          <w:szCs w:val="24"/>
        </w:rPr>
        <w:t xml:space="preserve">: Adversarial Robustness Metrics </w:t>
      </w:r>
    </w:p>
    <w:tbl>
      <w:tblPr>
        <w:tblStyle w:val="TableGrid"/>
        <w:tblW w:w="0" w:type="auto"/>
        <w:tblInd w:w="0" w:type="dxa"/>
        <w:tblLook w:val="04A0" w:firstRow="1" w:lastRow="0" w:firstColumn="1" w:lastColumn="0" w:noHBand="0" w:noVBand="1"/>
      </w:tblPr>
      <w:tblGrid>
        <w:gridCol w:w="2337"/>
        <w:gridCol w:w="2337"/>
        <w:gridCol w:w="2338"/>
        <w:gridCol w:w="2338"/>
      </w:tblGrid>
      <w:tr w:rsidR="009177DC" w:rsidRPr="007957FB" w14:paraId="3C317789" w14:textId="77777777" w:rsidTr="009177DC">
        <w:tc>
          <w:tcPr>
            <w:tcW w:w="2337" w:type="dxa"/>
            <w:tcBorders>
              <w:top w:val="single" w:sz="4" w:space="0" w:color="auto"/>
              <w:left w:val="single" w:sz="4" w:space="0" w:color="auto"/>
              <w:bottom w:val="single" w:sz="4" w:space="0" w:color="auto"/>
              <w:right w:val="single" w:sz="4" w:space="0" w:color="auto"/>
            </w:tcBorders>
            <w:hideMark/>
          </w:tcPr>
          <w:p w14:paraId="76F222DD"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Model</w:t>
            </w:r>
          </w:p>
        </w:tc>
        <w:tc>
          <w:tcPr>
            <w:tcW w:w="2337" w:type="dxa"/>
            <w:tcBorders>
              <w:top w:val="single" w:sz="4" w:space="0" w:color="auto"/>
              <w:left w:val="single" w:sz="4" w:space="0" w:color="auto"/>
              <w:bottom w:val="single" w:sz="4" w:space="0" w:color="auto"/>
              <w:right w:val="single" w:sz="4" w:space="0" w:color="auto"/>
            </w:tcBorders>
            <w:hideMark/>
          </w:tcPr>
          <w:p w14:paraId="4230702C"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Baseline ARM</w:t>
            </w:r>
          </w:p>
        </w:tc>
        <w:tc>
          <w:tcPr>
            <w:tcW w:w="2338" w:type="dxa"/>
            <w:tcBorders>
              <w:top w:val="single" w:sz="4" w:space="0" w:color="auto"/>
              <w:left w:val="single" w:sz="4" w:space="0" w:color="auto"/>
              <w:bottom w:val="single" w:sz="4" w:space="0" w:color="auto"/>
              <w:right w:val="single" w:sz="4" w:space="0" w:color="auto"/>
            </w:tcBorders>
            <w:hideMark/>
          </w:tcPr>
          <w:p w14:paraId="574C1370"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Framework ARM</w:t>
            </w:r>
          </w:p>
        </w:tc>
        <w:tc>
          <w:tcPr>
            <w:tcW w:w="2338" w:type="dxa"/>
            <w:tcBorders>
              <w:top w:val="single" w:sz="4" w:space="0" w:color="auto"/>
              <w:left w:val="single" w:sz="4" w:space="0" w:color="auto"/>
              <w:bottom w:val="single" w:sz="4" w:space="0" w:color="auto"/>
              <w:right w:val="single" w:sz="4" w:space="0" w:color="auto"/>
            </w:tcBorders>
            <w:hideMark/>
          </w:tcPr>
          <w:p w14:paraId="1C928628"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Improvement (%)</w:t>
            </w:r>
          </w:p>
        </w:tc>
      </w:tr>
      <w:tr w:rsidR="009177DC" w:rsidRPr="007957FB" w14:paraId="6A631F38" w14:textId="77777777" w:rsidTr="009177DC">
        <w:tc>
          <w:tcPr>
            <w:tcW w:w="2337" w:type="dxa"/>
            <w:tcBorders>
              <w:top w:val="single" w:sz="4" w:space="0" w:color="auto"/>
              <w:left w:val="single" w:sz="4" w:space="0" w:color="auto"/>
              <w:bottom w:val="single" w:sz="4" w:space="0" w:color="auto"/>
              <w:right w:val="single" w:sz="4" w:space="0" w:color="auto"/>
            </w:tcBorders>
            <w:hideMark/>
          </w:tcPr>
          <w:p w14:paraId="50C395CA"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BERT-based NLP</w:t>
            </w:r>
          </w:p>
        </w:tc>
        <w:tc>
          <w:tcPr>
            <w:tcW w:w="2337" w:type="dxa"/>
            <w:tcBorders>
              <w:top w:val="single" w:sz="4" w:space="0" w:color="auto"/>
              <w:left w:val="single" w:sz="4" w:space="0" w:color="auto"/>
              <w:bottom w:val="single" w:sz="4" w:space="0" w:color="auto"/>
              <w:right w:val="single" w:sz="4" w:space="0" w:color="auto"/>
            </w:tcBorders>
            <w:hideMark/>
          </w:tcPr>
          <w:p w14:paraId="7A564A1C"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0.62</w:t>
            </w:r>
          </w:p>
        </w:tc>
        <w:tc>
          <w:tcPr>
            <w:tcW w:w="2338" w:type="dxa"/>
            <w:tcBorders>
              <w:top w:val="single" w:sz="4" w:space="0" w:color="auto"/>
              <w:left w:val="single" w:sz="4" w:space="0" w:color="auto"/>
              <w:bottom w:val="single" w:sz="4" w:space="0" w:color="auto"/>
              <w:right w:val="single" w:sz="4" w:space="0" w:color="auto"/>
            </w:tcBorders>
            <w:hideMark/>
          </w:tcPr>
          <w:p w14:paraId="5B660B4E"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0.91</w:t>
            </w:r>
          </w:p>
        </w:tc>
        <w:tc>
          <w:tcPr>
            <w:tcW w:w="2338" w:type="dxa"/>
            <w:tcBorders>
              <w:top w:val="single" w:sz="4" w:space="0" w:color="auto"/>
              <w:left w:val="single" w:sz="4" w:space="0" w:color="auto"/>
              <w:bottom w:val="single" w:sz="4" w:space="0" w:color="auto"/>
              <w:right w:val="single" w:sz="4" w:space="0" w:color="auto"/>
            </w:tcBorders>
            <w:hideMark/>
          </w:tcPr>
          <w:p w14:paraId="74CCA858"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46.8</w:t>
            </w:r>
          </w:p>
        </w:tc>
      </w:tr>
      <w:tr w:rsidR="009177DC" w:rsidRPr="007957FB" w14:paraId="4F2BA049" w14:textId="77777777" w:rsidTr="009177DC">
        <w:tc>
          <w:tcPr>
            <w:tcW w:w="2337" w:type="dxa"/>
            <w:tcBorders>
              <w:top w:val="single" w:sz="4" w:space="0" w:color="auto"/>
              <w:left w:val="single" w:sz="4" w:space="0" w:color="auto"/>
              <w:bottom w:val="single" w:sz="4" w:space="0" w:color="auto"/>
              <w:right w:val="single" w:sz="4" w:space="0" w:color="auto"/>
            </w:tcBorders>
            <w:hideMark/>
          </w:tcPr>
          <w:p w14:paraId="77B18CDE"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YOLOv7</w:t>
            </w:r>
          </w:p>
        </w:tc>
        <w:tc>
          <w:tcPr>
            <w:tcW w:w="2337" w:type="dxa"/>
            <w:tcBorders>
              <w:top w:val="single" w:sz="4" w:space="0" w:color="auto"/>
              <w:left w:val="single" w:sz="4" w:space="0" w:color="auto"/>
              <w:bottom w:val="single" w:sz="4" w:space="0" w:color="auto"/>
              <w:right w:val="single" w:sz="4" w:space="0" w:color="auto"/>
            </w:tcBorders>
            <w:hideMark/>
          </w:tcPr>
          <w:p w14:paraId="71762592"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0.59</w:t>
            </w:r>
          </w:p>
        </w:tc>
        <w:tc>
          <w:tcPr>
            <w:tcW w:w="2338" w:type="dxa"/>
            <w:tcBorders>
              <w:top w:val="single" w:sz="4" w:space="0" w:color="auto"/>
              <w:left w:val="single" w:sz="4" w:space="0" w:color="auto"/>
              <w:bottom w:val="single" w:sz="4" w:space="0" w:color="auto"/>
              <w:right w:val="single" w:sz="4" w:space="0" w:color="auto"/>
            </w:tcBorders>
            <w:hideMark/>
          </w:tcPr>
          <w:p w14:paraId="5C8C34DE"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0.88</w:t>
            </w:r>
          </w:p>
        </w:tc>
        <w:tc>
          <w:tcPr>
            <w:tcW w:w="2338" w:type="dxa"/>
            <w:tcBorders>
              <w:top w:val="single" w:sz="4" w:space="0" w:color="auto"/>
              <w:left w:val="single" w:sz="4" w:space="0" w:color="auto"/>
              <w:bottom w:val="single" w:sz="4" w:space="0" w:color="auto"/>
              <w:right w:val="single" w:sz="4" w:space="0" w:color="auto"/>
            </w:tcBorders>
            <w:hideMark/>
          </w:tcPr>
          <w:p w14:paraId="09D518F8"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49.2</w:t>
            </w:r>
          </w:p>
        </w:tc>
      </w:tr>
      <w:tr w:rsidR="009177DC" w:rsidRPr="007957FB" w14:paraId="56E804CA" w14:textId="77777777" w:rsidTr="009177DC">
        <w:tc>
          <w:tcPr>
            <w:tcW w:w="2337" w:type="dxa"/>
            <w:tcBorders>
              <w:top w:val="single" w:sz="4" w:space="0" w:color="auto"/>
              <w:left w:val="single" w:sz="4" w:space="0" w:color="auto"/>
              <w:bottom w:val="single" w:sz="4" w:space="0" w:color="auto"/>
              <w:right w:val="single" w:sz="4" w:space="0" w:color="auto"/>
            </w:tcBorders>
            <w:hideMark/>
          </w:tcPr>
          <w:p w14:paraId="57B0E137"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Federated Learning</w:t>
            </w:r>
          </w:p>
        </w:tc>
        <w:tc>
          <w:tcPr>
            <w:tcW w:w="2337" w:type="dxa"/>
            <w:tcBorders>
              <w:top w:val="single" w:sz="4" w:space="0" w:color="auto"/>
              <w:left w:val="single" w:sz="4" w:space="0" w:color="auto"/>
              <w:bottom w:val="single" w:sz="4" w:space="0" w:color="auto"/>
              <w:right w:val="single" w:sz="4" w:space="0" w:color="auto"/>
            </w:tcBorders>
            <w:hideMark/>
          </w:tcPr>
          <w:p w14:paraId="37BCECDF"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0.55</w:t>
            </w:r>
          </w:p>
        </w:tc>
        <w:tc>
          <w:tcPr>
            <w:tcW w:w="2338" w:type="dxa"/>
            <w:tcBorders>
              <w:top w:val="single" w:sz="4" w:space="0" w:color="auto"/>
              <w:left w:val="single" w:sz="4" w:space="0" w:color="auto"/>
              <w:bottom w:val="single" w:sz="4" w:space="0" w:color="auto"/>
              <w:right w:val="single" w:sz="4" w:space="0" w:color="auto"/>
            </w:tcBorders>
            <w:hideMark/>
          </w:tcPr>
          <w:p w14:paraId="65D80472"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0.85</w:t>
            </w:r>
          </w:p>
        </w:tc>
        <w:tc>
          <w:tcPr>
            <w:tcW w:w="2338" w:type="dxa"/>
            <w:tcBorders>
              <w:top w:val="single" w:sz="4" w:space="0" w:color="auto"/>
              <w:left w:val="single" w:sz="4" w:space="0" w:color="auto"/>
              <w:bottom w:val="single" w:sz="4" w:space="0" w:color="auto"/>
              <w:right w:val="single" w:sz="4" w:space="0" w:color="auto"/>
            </w:tcBorders>
            <w:hideMark/>
          </w:tcPr>
          <w:p w14:paraId="2B2F76A9"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54.5</w:t>
            </w:r>
          </w:p>
        </w:tc>
      </w:tr>
    </w:tbl>
    <w:p w14:paraId="1E0C9998"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p>
    <w:p w14:paraId="646D1862" w14:textId="77777777" w:rsidR="009177DC" w:rsidRPr="007957FB" w:rsidRDefault="009177DC" w:rsidP="0063182B">
      <w:pPr>
        <w:spacing w:line="360" w:lineRule="auto"/>
        <w:jc w:val="center"/>
        <w:rPr>
          <w:rFonts w:ascii="Times New Roman" w:hAnsi="Times New Roman" w:cs="Times New Roman"/>
          <w:b/>
          <w:color w:val="000000" w:themeColor="text1"/>
          <w:sz w:val="24"/>
          <w:szCs w:val="24"/>
        </w:rPr>
      </w:pPr>
      <w:r w:rsidRPr="007957FB">
        <w:rPr>
          <w:rFonts w:ascii="Times New Roman" w:hAnsi="Times New Roman" w:cs="Times New Roman"/>
          <w:noProof/>
          <w:color w:val="000000" w:themeColor="text1"/>
          <w:sz w:val="24"/>
          <w:szCs w:val="24"/>
        </w:rPr>
        <w:drawing>
          <wp:inline distT="0" distB="0" distL="0" distR="0" wp14:anchorId="27242BA0" wp14:editId="31AA5A50">
            <wp:extent cx="4572000" cy="2743200"/>
            <wp:effectExtent l="0" t="0" r="0" b="0"/>
            <wp:docPr id="4" name="Chart 4">
              <a:extLst xmlns:a="http://schemas.openxmlformats.org/drawingml/2006/main">
                <a:ext uri="{FF2B5EF4-FFF2-40B4-BE49-F238E27FC236}">
                  <a16:creationId xmlns:a16="http://schemas.microsoft.com/office/drawing/2014/main" id="{DEB962B5-09F7-43CF-A86B-6B76E83000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4D6255" w14:textId="77777777" w:rsidR="009177DC" w:rsidRPr="007957FB" w:rsidRDefault="009177DC" w:rsidP="0063182B">
      <w:pPr>
        <w:spacing w:line="360" w:lineRule="auto"/>
        <w:jc w:val="center"/>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 xml:space="preserve">Figure </w:t>
      </w:r>
      <w:r w:rsidR="00C92CD1" w:rsidRPr="007957FB">
        <w:rPr>
          <w:rFonts w:ascii="Times New Roman" w:hAnsi="Times New Roman" w:cs="Times New Roman"/>
          <w:b/>
          <w:color w:val="000000" w:themeColor="text1"/>
          <w:sz w:val="24"/>
          <w:szCs w:val="24"/>
        </w:rPr>
        <w:t>4</w:t>
      </w:r>
      <w:r w:rsidRPr="007957FB">
        <w:rPr>
          <w:rFonts w:ascii="Times New Roman" w:hAnsi="Times New Roman" w:cs="Times New Roman"/>
          <w:b/>
          <w:color w:val="000000" w:themeColor="text1"/>
          <w:sz w:val="24"/>
          <w:szCs w:val="24"/>
        </w:rPr>
        <w:t>:</w:t>
      </w:r>
      <w:r w:rsidRPr="007957FB">
        <w:rPr>
          <w:rFonts w:ascii="Times New Roman" w:hAnsi="Times New Roman" w:cs="Times New Roman"/>
          <w:color w:val="000000" w:themeColor="text1"/>
          <w:sz w:val="24"/>
          <w:szCs w:val="24"/>
        </w:rPr>
        <w:t xml:space="preserve"> ARM Improvement Line Graph.</w:t>
      </w:r>
    </w:p>
    <w:p w14:paraId="5BC244F2"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Privacy Leakage</w:t>
      </w:r>
    </w:p>
    <w:p w14:paraId="46DBF199"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PLS was reduced significantly (p &lt; .001):</w:t>
      </w:r>
    </w:p>
    <w:p w14:paraId="7ED053D1" w14:textId="77777777" w:rsidR="009177DC" w:rsidRPr="007957FB" w:rsidRDefault="009177DC" w:rsidP="009177DC">
      <w:pPr>
        <w:pStyle w:val="ListParagraph"/>
        <w:numPr>
          <w:ilvl w:val="0"/>
          <w:numId w:val="11"/>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BERT-based NLP: PLS = 3.8% (vs. 15.2% baseline).</w:t>
      </w:r>
    </w:p>
    <w:p w14:paraId="192C85F2" w14:textId="77777777" w:rsidR="009177DC" w:rsidRPr="007957FB" w:rsidRDefault="009177DC" w:rsidP="009177DC">
      <w:pPr>
        <w:pStyle w:val="ListParagraph"/>
        <w:numPr>
          <w:ilvl w:val="0"/>
          <w:numId w:val="11"/>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YOLOv7: PLS = 4.1% (vs. 17.6% baseline).</w:t>
      </w:r>
    </w:p>
    <w:p w14:paraId="5C1B42B2" w14:textId="77777777" w:rsidR="009177DC" w:rsidRPr="007957FB" w:rsidRDefault="009177DC" w:rsidP="009177DC">
      <w:pPr>
        <w:pStyle w:val="ListParagraph"/>
        <w:numPr>
          <w:ilvl w:val="0"/>
          <w:numId w:val="11"/>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lastRenderedPageBreak/>
        <w:t>Federated Learning: PLS = 2.9% (vs. 14.8% baseline).</w:t>
      </w:r>
    </w:p>
    <w:p w14:paraId="1CDA7FD5"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These results validate the framework’s privacy controls, particularly for healthcare and finance applications (Abadi et al., 2025).</w:t>
      </w:r>
    </w:p>
    <w:p w14:paraId="0566C7B4"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Integrated Framework Results</w:t>
      </w:r>
    </w:p>
    <w:p w14:paraId="5307F624"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 integrated framework, combines cybersecurity (encryption, zero-trust), governance (compliance automation, ethical oversight), and adaptive intelligence (self-healing, threat intelligence) layers. Validation across sectors confirmed:</w:t>
      </w:r>
    </w:p>
    <w:p w14:paraId="737AB44B" w14:textId="77777777" w:rsidR="009177DC" w:rsidRPr="007957FB" w:rsidRDefault="009177DC" w:rsidP="009177DC">
      <w:pPr>
        <w:pStyle w:val="ListParagraph"/>
        <w:numPr>
          <w:ilvl w:val="0"/>
          <w:numId w:val="12"/>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Healthcare: 92% compliance with HIPAA, 86% attack mitigation.</w:t>
      </w:r>
    </w:p>
    <w:p w14:paraId="45638CB1" w14:textId="77777777" w:rsidR="009177DC" w:rsidRPr="007957FB" w:rsidRDefault="009177DC" w:rsidP="009177DC">
      <w:pPr>
        <w:pStyle w:val="ListParagraph"/>
        <w:numPr>
          <w:ilvl w:val="0"/>
          <w:numId w:val="12"/>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Finance: 95% PSD2 compliance, 89% fraud detection accuracy.</w:t>
      </w:r>
    </w:p>
    <w:p w14:paraId="17194E6D" w14:textId="77777777" w:rsidR="009177DC" w:rsidRPr="007957FB" w:rsidRDefault="009177DC" w:rsidP="009177DC">
      <w:pPr>
        <w:pStyle w:val="ListParagraph"/>
        <w:numPr>
          <w:ilvl w:val="0"/>
          <w:numId w:val="12"/>
        </w:num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Public Sector: 90% FedRAMP alignment, 84% breach reduction.</w:t>
      </w:r>
    </w:p>
    <w:p w14:paraId="40E26332" w14:textId="77777777" w:rsidR="0063182B" w:rsidRPr="007957FB" w:rsidRDefault="0063182B" w:rsidP="009177DC">
      <w:pPr>
        <w:spacing w:line="360" w:lineRule="auto"/>
        <w:jc w:val="both"/>
        <w:rPr>
          <w:rFonts w:ascii="Times New Roman" w:hAnsi="Times New Roman" w:cs="Times New Roman"/>
          <w:color w:val="000000" w:themeColor="text1"/>
          <w:sz w:val="24"/>
          <w:szCs w:val="24"/>
        </w:rPr>
      </w:pPr>
    </w:p>
    <w:p w14:paraId="48044676"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 Composite Security Score (CSS), defined as:</w:t>
      </w:r>
    </w:p>
    <w:p w14:paraId="670FF9C7"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CSS=0.3</m:t>
          </m:r>
          <m:d>
            <m:dPr>
              <m:ctrlPr>
                <w:rPr>
                  <w:rFonts w:ascii="Cambria Math" w:hAnsi="Cambria Math" w:cs="Times New Roman"/>
                  <w:i/>
                  <w:color w:val="000000" w:themeColor="text1"/>
                  <w:sz w:val="24"/>
                  <w:szCs w:val="24"/>
                </w:rPr>
              </m:ctrlPr>
            </m:dPr>
            <m:e>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log</m:t>
                  </m:r>
                  <m:ctrlPr>
                    <w:rPr>
                      <w:rFonts w:ascii="Cambria Math" w:hAnsi="Cambria Math" w:cs="Times New Roman"/>
                      <w:i/>
                      <w:color w:val="000000" w:themeColor="text1"/>
                      <w:sz w:val="24"/>
                      <w:szCs w:val="24"/>
                    </w:rPr>
                  </m:ctrlPr>
                </m:fName>
                <m:e>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IRR</m:t>
                      </m:r>
                    </m:e>
                  </m:d>
                </m:e>
              </m:func>
            </m:e>
          </m:d>
          <m:r>
            <w:rPr>
              <w:rFonts w:ascii="Cambria Math" w:hAnsi="Cambria Math" w:cs="Times New Roman"/>
              <w:color w:val="000000" w:themeColor="text1"/>
              <w:sz w:val="24"/>
              <w:szCs w:val="24"/>
            </w:rPr>
            <m:t>+0.25</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ECR</m:t>
              </m:r>
            </m:e>
          </m:d>
          <m:r>
            <w:rPr>
              <w:rFonts w:ascii="Cambria Math" w:hAnsi="Cambria Math" w:cs="Times New Roman"/>
              <w:color w:val="000000" w:themeColor="text1"/>
              <w:sz w:val="24"/>
              <w:szCs w:val="24"/>
            </w:rPr>
            <m:t>+0.2</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GovScore</m:t>
              </m:r>
            </m:e>
          </m:d>
          <m:r>
            <w:rPr>
              <w:rFonts w:ascii="Cambria Math" w:hAnsi="Cambria Math" w:cs="Times New Roman"/>
              <w:color w:val="000000" w:themeColor="text1"/>
              <w:sz w:val="24"/>
              <w:szCs w:val="24"/>
            </w:rPr>
            <m:t>+0.25(ARM)</m:t>
          </m:r>
        </m:oMath>
      </m:oMathPara>
    </w:p>
    <w:p w14:paraId="6AEE2A1F"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yielded an average CSS of 0.87 (SD = 0.12), surpassing baselines (SAIF: 0.78; FAICP: 0.82) (Google, 2023; European Union Agency for Cybersecurity, 2024).</w:t>
      </w:r>
    </w:p>
    <w:p w14:paraId="4DD2D781"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 xml:space="preserve">Table </w:t>
      </w:r>
      <w:r w:rsidR="00AB3EBC" w:rsidRPr="007957FB">
        <w:rPr>
          <w:rFonts w:ascii="Times New Roman" w:hAnsi="Times New Roman" w:cs="Times New Roman"/>
          <w:b/>
          <w:color w:val="000000" w:themeColor="text1"/>
          <w:sz w:val="24"/>
          <w:szCs w:val="24"/>
        </w:rPr>
        <w:t>7</w:t>
      </w:r>
      <w:r w:rsidRPr="007957FB">
        <w:rPr>
          <w:rFonts w:ascii="Times New Roman" w:hAnsi="Times New Roman" w:cs="Times New Roman"/>
          <w:b/>
          <w:color w:val="000000" w:themeColor="text1"/>
          <w:sz w:val="24"/>
          <w:szCs w:val="24"/>
        </w:rPr>
        <w:t xml:space="preserve">: CSS by Sector </w:t>
      </w:r>
    </w:p>
    <w:tbl>
      <w:tblPr>
        <w:tblStyle w:val="TableGrid"/>
        <w:tblW w:w="0" w:type="auto"/>
        <w:tblInd w:w="0" w:type="dxa"/>
        <w:tblLook w:val="04A0" w:firstRow="1" w:lastRow="0" w:firstColumn="1" w:lastColumn="0" w:noHBand="0" w:noVBand="1"/>
      </w:tblPr>
      <w:tblGrid>
        <w:gridCol w:w="2337"/>
        <w:gridCol w:w="2337"/>
        <w:gridCol w:w="2338"/>
        <w:gridCol w:w="2338"/>
      </w:tblGrid>
      <w:tr w:rsidR="009177DC" w:rsidRPr="007957FB" w14:paraId="25A5A5D7" w14:textId="77777777" w:rsidTr="009177DC">
        <w:tc>
          <w:tcPr>
            <w:tcW w:w="2337" w:type="dxa"/>
            <w:tcBorders>
              <w:top w:val="single" w:sz="4" w:space="0" w:color="auto"/>
              <w:left w:val="single" w:sz="4" w:space="0" w:color="auto"/>
              <w:bottom w:val="single" w:sz="4" w:space="0" w:color="auto"/>
              <w:right w:val="single" w:sz="4" w:space="0" w:color="auto"/>
            </w:tcBorders>
            <w:hideMark/>
          </w:tcPr>
          <w:p w14:paraId="2CA24D9A"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Sector</w:t>
            </w:r>
          </w:p>
        </w:tc>
        <w:tc>
          <w:tcPr>
            <w:tcW w:w="2337" w:type="dxa"/>
            <w:tcBorders>
              <w:top w:val="single" w:sz="4" w:space="0" w:color="auto"/>
              <w:left w:val="single" w:sz="4" w:space="0" w:color="auto"/>
              <w:bottom w:val="single" w:sz="4" w:space="0" w:color="auto"/>
              <w:right w:val="single" w:sz="4" w:space="0" w:color="auto"/>
            </w:tcBorders>
            <w:hideMark/>
          </w:tcPr>
          <w:p w14:paraId="6987C956"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CSS</w:t>
            </w:r>
          </w:p>
        </w:tc>
        <w:tc>
          <w:tcPr>
            <w:tcW w:w="2338" w:type="dxa"/>
            <w:tcBorders>
              <w:top w:val="single" w:sz="4" w:space="0" w:color="auto"/>
              <w:left w:val="single" w:sz="4" w:space="0" w:color="auto"/>
              <w:bottom w:val="single" w:sz="4" w:space="0" w:color="auto"/>
              <w:right w:val="single" w:sz="4" w:space="0" w:color="auto"/>
            </w:tcBorders>
            <w:hideMark/>
          </w:tcPr>
          <w:p w14:paraId="1943D185"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Compliance Rate (%)</w:t>
            </w:r>
          </w:p>
        </w:tc>
        <w:tc>
          <w:tcPr>
            <w:tcW w:w="2338" w:type="dxa"/>
            <w:tcBorders>
              <w:top w:val="single" w:sz="4" w:space="0" w:color="auto"/>
              <w:left w:val="single" w:sz="4" w:space="0" w:color="auto"/>
              <w:bottom w:val="single" w:sz="4" w:space="0" w:color="auto"/>
              <w:right w:val="single" w:sz="4" w:space="0" w:color="auto"/>
            </w:tcBorders>
            <w:hideMark/>
          </w:tcPr>
          <w:p w14:paraId="59C996A9"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Attack Mitigation (%)</w:t>
            </w:r>
          </w:p>
        </w:tc>
      </w:tr>
      <w:tr w:rsidR="009177DC" w:rsidRPr="007957FB" w14:paraId="2380BA4A" w14:textId="77777777" w:rsidTr="009177DC">
        <w:tc>
          <w:tcPr>
            <w:tcW w:w="2337" w:type="dxa"/>
            <w:tcBorders>
              <w:top w:val="single" w:sz="4" w:space="0" w:color="auto"/>
              <w:left w:val="single" w:sz="4" w:space="0" w:color="auto"/>
              <w:bottom w:val="single" w:sz="4" w:space="0" w:color="auto"/>
              <w:right w:val="single" w:sz="4" w:space="0" w:color="auto"/>
            </w:tcBorders>
            <w:hideMark/>
          </w:tcPr>
          <w:p w14:paraId="5ED7F7C7"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Healthcare</w:t>
            </w:r>
          </w:p>
        </w:tc>
        <w:tc>
          <w:tcPr>
            <w:tcW w:w="2337" w:type="dxa"/>
            <w:tcBorders>
              <w:top w:val="single" w:sz="4" w:space="0" w:color="auto"/>
              <w:left w:val="single" w:sz="4" w:space="0" w:color="auto"/>
              <w:bottom w:val="single" w:sz="4" w:space="0" w:color="auto"/>
              <w:right w:val="single" w:sz="4" w:space="0" w:color="auto"/>
            </w:tcBorders>
            <w:hideMark/>
          </w:tcPr>
          <w:p w14:paraId="1E4982DC"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0.85</w:t>
            </w:r>
          </w:p>
        </w:tc>
        <w:tc>
          <w:tcPr>
            <w:tcW w:w="2338" w:type="dxa"/>
            <w:tcBorders>
              <w:top w:val="single" w:sz="4" w:space="0" w:color="auto"/>
              <w:left w:val="single" w:sz="4" w:space="0" w:color="auto"/>
              <w:bottom w:val="single" w:sz="4" w:space="0" w:color="auto"/>
              <w:right w:val="single" w:sz="4" w:space="0" w:color="auto"/>
            </w:tcBorders>
            <w:hideMark/>
          </w:tcPr>
          <w:p w14:paraId="052DE52D"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92</w:t>
            </w:r>
          </w:p>
        </w:tc>
        <w:tc>
          <w:tcPr>
            <w:tcW w:w="2338" w:type="dxa"/>
            <w:tcBorders>
              <w:top w:val="single" w:sz="4" w:space="0" w:color="auto"/>
              <w:left w:val="single" w:sz="4" w:space="0" w:color="auto"/>
              <w:bottom w:val="single" w:sz="4" w:space="0" w:color="auto"/>
              <w:right w:val="single" w:sz="4" w:space="0" w:color="auto"/>
            </w:tcBorders>
            <w:hideMark/>
          </w:tcPr>
          <w:p w14:paraId="4CBDAC1D"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86</w:t>
            </w:r>
          </w:p>
        </w:tc>
      </w:tr>
      <w:tr w:rsidR="009177DC" w:rsidRPr="007957FB" w14:paraId="184F7202" w14:textId="77777777" w:rsidTr="009177DC">
        <w:tc>
          <w:tcPr>
            <w:tcW w:w="2337" w:type="dxa"/>
            <w:tcBorders>
              <w:top w:val="single" w:sz="4" w:space="0" w:color="auto"/>
              <w:left w:val="single" w:sz="4" w:space="0" w:color="auto"/>
              <w:bottom w:val="single" w:sz="4" w:space="0" w:color="auto"/>
              <w:right w:val="single" w:sz="4" w:space="0" w:color="auto"/>
            </w:tcBorders>
            <w:hideMark/>
          </w:tcPr>
          <w:p w14:paraId="1C7775FD"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Finance</w:t>
            </w:r>
          </w:p>
        </w:tc>
        <w:tc>
          <w:tcPr>
            <w:tcW w:w="2337" w:type="dxa"/>
            <w:tcBorders>
              <w:top w:val="single" w:sz="4" w:space="0" w:color="auto"/>
              <w:left w:val="single" w:sz="4" w:space="0" w:color="auto"/>
              <w:bottom w:val="single" w:sz="4" w:space="0" w:color="auto"/>
              <w:right w:val="single" w:sz="4" w:space="0" w:color="auto"/>
            </w:tcBorders>
            <w:hideMark/>
          </w:tcPr>
          <w:p w14:paraId="2DF61ADE"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0.90</w:t>
            </w:r>
          </w:p>
        </w:tc>
        <w:tc>
          <w:tcPr>
            <w:tcW w:w="2338" w:type="dxa"/>
            <w:tcBorders>
              <w:top w:val="single" w:sz="4" w:space="0" w:color="auto"/>
              <w:left w:val="single" w:sz="4" w:space="0" w:color="auto"/>
              <w:bottom w:val="single" w:sz="4" w:space="0" w:color="auto"/>
              <w:right w:val="single" w:sz="4" w:space="0" w:color="auto"/>
            </w:tcBorders>
            <w:hideMark/>
          </w:tcPr>
          <w:p w14:paraId="557173B7"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95</w:t>
            </w:r>
          </w:p>
        </w:tc>
        <w:tc>
          <w:tcPr>
            <w:tcW w:w="2338" w:type="dxa"/>
            <w:tcBorders>
              <w:top w:val="single" w:sz="4" w:space="0" w:color="auto"/>
              <w:left w:val="single" w:sz="4" w:space="0" w:color="auto"/>
              <w:bottom w:val="single" w:sz="4" w:space="0" w:color="auto"/>
              <w:right w:val="single" w:sz="4" w:space="0" w:color="auto"/>
            </w:tcBorders>
            <w:hideMark/>
          </w:tcPr>
          <w:p w14:paraId="7C710EBD"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89</w:t>
            </w:r>
          </w:p>
        </w:tc>
      </w:tr>
      <w:tr w:rsidR="009177DC" w:rsidRPr="007957FB" w14:paraId="1A750F8F" w14:textId="77777777" w:rsidTr="009177DC">
        <w:tc>
          <w:tcPr>
            <w:tcW w:w="2337" w:type="dxa"/>
            <w:tcBorders>
              <w:top w:val="single" w:sz="4" w:space="0" w:color="auto"/>
              <w:left w:val="single" w:sz="4" w:space="0" w:color="auto"/>
              <w:bottom w:val="single" w:sz="4" w:space="0" w:color="auto"/>
              <w:right w:val="single" w:sz="4" w:space="0" w:color="auto"/>
            </w:tcBorders>
            <w:hideMark/>
          </w:tcPr>
          <w:p w14:paraId="3AD56841"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Public Sector</w:t>
            </w:r>
          </w:p>
        </w:tc>
        <w:tc>
          <w:tcPr>
            <w:tcW w:w="2337" w:type="dxa"/>
            <w:tcBorders>
              <w:top w:val="single" w:sz="4" w:space="0" w:color="auto"/>
              <w:left w:val="single" w:sz="4" w:space="0" w:color="auto"/>
              <w:bottom w:val="single" w:sz="4" w:space="0" w:color="auto"/>
              <w:right w:val="single" w:sz="4" w:space="0" w:color="auto"/>
            </w:tcBorders>
            <w:hideMark/>
          </w:tcPr>
          <w:p w14:paraId="280D61ED"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0.86</w:t>
            </w:r>
          </w:p>
        </w:tc>
        <w:tc>
          <w:tcPr>
            <w:tcW w:w="2338" w:type="dxa"/>
            <w:tcBorders>
              <w:top w:val="single" w:sz="4" w:space="0" w:color="auto"/>
              <w:left w:val="single" w:sz="4" w:space="0" w:color="auto"/>
              <w:bottom w:val="single" w:sz="4" w:space="0" w:color="auto"/>
              <w:right w:val="single" w:sz="4" w:space="0" w:color="auto"/>
            </w:tcBorders>
            <w:hideMark/>
          </w:tcPr>
          <w:p w14:paraId="2472928C"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90</w:t>
            </w:r>
          </w:p>
        </w:tc>
        <w:tc>
          <w:tcPr>
            <w:tcW w:w="2338" w:type="dxa"/>
            <w:tcBorders>
              <w:top w:val="single" w:sz="4" w:space="0" w:color="auto"/>
              <w:left w:val="single" w:sz="4" w:space="0" w:color="auto"/>
              <w:bottom w:val="single" w:sz="4" w:space="0" w:color="auto"/>
              <w:right w:val="single" w:sz="4" w:space="0" w:color="auto"/>
            </w:tcBorders>
            <w:hideMark/>
          </w:tcPr>
          <w:p w14:paraId="5A6CC958"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84</w:t>
            </w:r>
          </w:p>
        </w:tc>
      </w:tr>
    </w:tbl>
    <w:p w14:paraId="17E2AB95"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p>
    <w:p w14:paraId="6DDD234E" w14:textId="77777777" w:rsidR="009177DC" w:rsidRPr="007957FB" w:rsidRDefault="009177DC" w:rsidP="0063182B">
      <w:pPr>
        <w:spacing w:line="360" w:lineRule="auto"/>
        <w:jc w:val="center"/>
        <w:rPr>
          <w:rFonts w:ascii="Times New Roman" w:hAnsi="Times New Roman" w:cs="Times New Roman"/>
          <w:b/>
          <w:color w:val="000000" w:themeColor="text1"/>
          <w:sz w:val="24"/>
          <w:szCs w:val="24"/>
        </w:rPr>
      </w:pPr>
      <w:r w:rsidRPr="007957FB">
        <w:rPr>
          <w:rFonts w:ascii="Times New Roman" w:hAnsi="Times New Roman" w:cs="Times New Roman"/>
          <w:noProof/>
          <w:color w:val="000000" w:themeColor="text1"/>
          <w:sz w:val="24"/>
          <w:szCs w:val="24"/>
        </w:rPr>
        <w:lastRenderedPageBreak/>
        <w:drawing>
          <wp:inline distT="0" distB="0" distL="0" distR="0" wp14:anchorId="6F5789F3" wp14:editId="0C5415C8">
            <wp:extent cx="4585335" cy="2756535"/>
            <wp:effectExtent l="0" t="0" r="5715" b="5715"/>
            <wp:docPr id="5" name="Chart 5">
              <a:extLst xmlns:a="http://schemas.openxmlformats.org/drawingml/2006/main">
                <a:ext uri="{FF2B5EF4-FFF2-40B4-BE49-F238E27FC236}">
                  <a16:creationId xmlns:a16="http://schemas.microsoft.com/office/drawing/2014/main" id="{DFC4A1C1-E26D-42C1-845C-36C54D5E4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A05FAB" w14:textId="77777777" w:rsidR="009177DC" w:rsidRPr="007957FB" w:rsidRDefault="009177DC" w:rsidP="0063182B">
      <w:pPr>
        <w:spacing w:line="360" w:lineRule="auto"/>
        <w:jc w:val="center"/>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 xml:space="preserve">Figure </w:t>
      </w:r>
      <w:r w:rsidR="00C92CD1" w:rsidRPr="007957FB">
        <w:rPr>
          <w:rFonts w:ascii="Times New Roman" w:hAnsi="Times New Roman" w:cs="Times New Roman"/>
          <w:b/>
          <w:color w:val="000000" w:themeColor="text1"/>
          <w:sz w:val="24"/>
          <w:szCs w:val="24"/>
        </w:rPr>
        <w:t>5</w:t>
      </w:r>
      <w:r w:rsidRPr="007957FB">
        <w:rPr>
          <w:rFonts w:ascii="Times New Roman" w:hAnsi="Times New Roman" w:cs="Times New Roman"/>
          <w:b/>
          <w:color w:val="000000" w:themeColor="text1"/>
          <w:sz w:val="24"/>
          <w:szCs w:val="24"/>
        </w:rPr>
        <w:t>:</w:t>
      </w:r>
      <w:r w:rsidRPr="007957FB">
        <w:rPr>
          <w:rFonts w:ascii="Times New Roman" w:hAnsi="Times New Roman" w:cs="Times New Roman"/>
          <w:color w:val="000000" w:themeColor="text1"/>
          <w:sz w:val="24"/>
          <w:szCs w:val="24"/>
        </w:rPr>
        <w:t xml:space="preserve"> CSS Comparison Radar Chart</w:t>
      </w:r>
      <w:r w:rsidR="0063182B" w:rsidRPr="007957FB">
        <w:rPr>
          <w:rFonts w:ascii="Times New Roman" w:hAnsi="Times New Roman" w:cs="Times New Roman"/>
          <w:color w:val="000000" w:themeColor="text1"/>
          <w:sz w:val="24"/>
          <w:szCs w:val="24"/>
        </w:rPr>
        <w:t>.</w:t>
      </w:r>
    </w:p>
    <w:p w14:paraId="3E831889" w14:textId="77777777" w:rsidR="00AB3EBC" w:rsidRPr="007957FB" w:rsidRDefault="00AB3EBC" w:rsidP="009177DC">
      <w:pPr>
        <w:spacing w:line="360" w:lineRule="auto"/>
        <w:jc w:val="both"/>
        <w:rPr>
          <w:rFonts w:ascii="Times New Roman" w:hAnsi="Times New Roman" w:cs="Times New Roman"/>
          <w:color w:val="000000" w:themeColor="text1"/>
          <w:sz w:val="24"/>
          <w:szCs w:val="24"/>
        </w:rPr>
      </w:pPr>
    </w:p>
    <w:p w14:paraId="46510B72"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Discussion</w:t>
      </w:r>
    </w:p>
    <w:p w14:paraId="2E30FFCA"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The results provide comprehensive insights into AI security, addressing all research objectives and aligning with prior research.</w:t>
      </w:r>
    </w:p>
    <w:p w14:paraId="28D1A706"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The quantitative results identified data poisoning (42% success rate in unsupervised settings), adversarial examples (23% higher in computer vision), and model inversion (31% more prevalent in generative AI) as key vulnerabilities, consistent with </w:t>
      </w:r>
      <w:bookmarkStart w:id="7" w:name="_Hlk195850737"/>
      <w:r w:rsidRPr="007957FB">
        <w:rPr>
          <w:rFonts w:ascii="Times New Roman" w:eastAsia="Times New Roman" w:hAnsi="Times New Roman" w:cs="Times New Roman"/>
          <w:color w:val="000000" w:themeColor="text1"/>
          <w:sz w:val="24"/>
          <w:szCs w:val="24"/>
        </w:rPr>
        <w:t>Hamon et al. (2024)</w:t>
      </w:r>
      <w:bookmarkEnd w:id="7"/>
      <w:r w:rsidRPr="007957FB">
        <w:rPr>
          <w:rFonts w:ascii="Times New Roman" w:hAnsi="Times New Roman" w:cs="Times New Roman"/>
          <w:color w:val="000000" w:themeColor="text1"/>
          <w:sz w:val="24"/>
          <w:szCs w:val="24"/>
        </w:rPr>
        <w:t xml:space="preserve"> and </w:t>
      </w:r>
      <w:r w:rsidRPr="007957FB">
        <w:rPr>
          <w:rFonts w:ascii="Times New Roman" w:eastAsia="Times New Roman" w:hAnsi="Times New Roman" w:cs="Times New Roman"/>
          <w:color w:val="000000" w:themeColor="text1"/>
          <w:sz w:val="24"/>
          <w:szCs w:val="24"/>
        </w:rPr>
        <w:t>Bankins and Formosa (2023)</w:t>
      </w:r>
      <w:r w:rsidRPr="007957FB">
        <w:rPr>
          <w:rFonts w:ascii="Times New Roman" w:hAnsi="Times New Roman" w:cs="Times New Roman"/>
          <w:color w:val="000000" w:themeColor="text1"/>
          <w:sz w:val="24"/>
          <w:szCs w:val="24"/>
        </w:rPr>
        <w:t xml:space="preserve">. Technical validations confirmed mitigation effectiveness, with ARM improvements (46.8–54.5%) surpassing differential privacy (78–92%) and adversarial training (65–81%) reported by </w:t>
      </w:r>
      <w:bookmarkStart w:id="8" w:name="_Hlk195851607"/>
      <w:r w:rsidRPr="007957FB">
        <w:rPr>
          <w:rFonts w:ascii="Times New Roman" w:eastAsia="Times New Roman" w:hAnsi="Times New Roman" w:cs="Times New Roman"/>
          <w:color w:val="000000" w:themeColor="text1"/>
          <w:sz w:val="24"/>
          <w:szCs w:val="24"/>
        </w:rPr>
        <w:t>CSA (2024)</w:t>
      </w:r>
      <w:bookmarkEnd w:id="8"/>
      <w:r w:rsidRPr="007957FB">
        <w:rPr>
          <w:rFonts w:ascii="Times New Roman" w:hAnsi="Times New Roman" w:cs="Times New Roman"/>
          <w:color w:val="000000" w:themeColor="text1"/>
          <w:sz w:val="24"/>
          <w:szCs w:val="24"/>
        </w:rPr>
        <w:t>. These findings validate the framework’s cybersecurity layer, incorporating homomorphic encryption and gradient masking to address vulnerabilities.</w:t>
      </w:r>
    </w:p>
    <w:p w14:paraId="0E016554"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The SPS (0.72) and regression results highlight governance maturity as the strongest predictor of reduced breach risk, corroborating </w:t>
      </w:r>
      <w:r w:rsidRPr="007957FB">
        <w:rPr>
          <w:rFonts w:ascii="Times New Roman" w:eastAsia="Times New Roman" w:hAnsi="Times New Roman" w:cs="Times New Roman"/>
          <w:color w:val="000000" w:themeColor="text1"/>
          <w:sz w:val="24"/>
          <w:szCs w:val="24"/>
        </w:rPr>
        <w:t>Segun Obisesan (2024)</w:t>
      </w:r>
      <w:r w:rsidRPr="007957FB">
        <w:rPr>
          <w:rFonts w:ascii="Times New Roman" w:hAnsi="Times New Roman" w:cs="Times New Roman"/>
          <w:color w:val="000000" w:themeColor="text1"/>
          <w:sz w:val="24"/>
          <w:szCs w:val="24"/>
        </w:rPr>
        <w:t>. Finance’s higher SPS (0.79) aligns with Perception Point (2024), reflecting robust encryption and response mechanisms. The CSS (0.87) outperforms SAIF (0.78) and FAICP (0.82), supporting Google (2023) and European Union Agency for Cybersecurity (2024). However, healthcare’s lower SPS (0.68) suggests sector-specific challenges, as noted by Chen et al. (2023).</w:t>
      </w:r>
    </w:p>
    <w:p w14:paraId="6698FA51"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lastRenderedPageBreak/>
        <w:t xml:space="preserve">Qualitative themes (e.g., cybersecurity-governance integration, adaptive governance) synthesize insights from cybersecurity, information governance, and adaptive systems theory, echoing </w:t>
      </w:r>
      <w:r w:rsidRPr="007957FB">
        <w:rPr>
          <w:rFonts w:ascii="Times New Roman" w:eastAsia="Times New Roman" w:hAnsi="Times New Roman" w:cs="Times New Roman"/>
          <w:color w:val="000000" w:themeColor="text1"/>
          <w:sz w:val="24"/>
          <w:szCs w:val="24"/>
        </w:rPr>
        <w:t>Gupta et al. (2024)</w:t>
      </w:r>
      <w:r w:rsidRPr="007957FB">
        <w:rPr>
          <w:rFonts w:ascii="Times New Roman" w:hAnsi="Times New Roman" w:cs="Times New Roman"/>
          <w:color w:val="000000" w:themeColor="text1"/>
          <w:sz w:val="24"/>
          <w:szCs w:val="24"/>
        </w:rPr>
        <w:t>). The emphasis on compliance automation and data provenance aligns with Cerebra (2024) and GDPR requirements (European Commission, 2024). Adaptive governance addresses concept drift, supporting Balaban (2024), and informs the framework’s adaptive intelligence layer.</w:t>
      </w:r>
    </w:p>
    <w:p w14:paraId="15C7D51D"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The framework’s three-layer architecture (cybersecurity, information governance, adaptive intelligence) integrates findings from all streams, addressing gaps identified in Chapter 2 (e.g., siloed cybersecurity-governance functions). The CSS (0.87) and compliance rates (90–95%) validate its efficacy, surpassing hybrid models like FATE </w:t>
      </w:r>
      <w:bookmarkStart w:id="9" w:name="_Hlk195850910"/>
      <w:r w:rsidRPr="007957FB">
        <w:rPr>
          <w:rFonts w:ascii="Times New Roman" w:eastAsia="Times New Roman" w:hAnsi="Times New Roman" w:cs="Times New Roman"/>
          <w:color w:val="000000" w:themeColor="text1"/>
          <w:sz w:val="24"/>
          <w:szCs w:val="24"/>
        </w:rPr>
        <w:t>(Owoc et al., 2021)</w:t>
      </w:r>
      <w:bookmarkEnd w:id="9"/>
      <w:r w:rsidRPr="007957FB">
        <w:rPr>
          <w:rFonts w:ascii="Times New Roman" w:hAnsi="Times New Roman" w:cs="Times New Roman"/>
          <w:color w:val="000000" w:themeColor="text1"/>
          <w:sz w:val="24"/>
          <w:szCs w:val="24"/>
        </w:rPr>
        <w:t xml:space="preserve">. The inclusion of post-quantum cryptography addresses future threats, aligning with </w:t>
      </w:r>
      <w:r w:rsidRPr="007957FB">
        <w:rPr>
          <w:rFonts w:ascii="Times New Roman" w:eastAsia="Times New Roman" w:hAnsi="Times New Roman" w:cs="Times New Roman"/>
          <w:color w:val="000000" w:themeColor="text1"/>
          <w:sz w:val="24"/>
          <w:szCs w:val="24"/>
        </w:rPr>
        <w:t>Li et al. (2023)</w:t>
      </w:r>
      <w:r w:rsidRPr="007957FB">
        <w:rPr>
          <w:rFonts w:ascii="Times New Roman" w:hAnsi="Times New Roman" w:cs="Times New Roman"/>
          <w:color w:val="000000" w:themeColor="text1"/>
          <w:sz w:val="24"/>
          <w:szCs w:val="24"/>
        </w:rPr>
        <w:t>.</w:t>
      </w:r>
    </w:p>
    <w:p w14:paraId="2E476B4A"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Sector-specific results confirm applicability, with healthcare benefiting from data provenance, finance from compliance automation, and public sector from NIST alignment, consistent with Devineni (2024) and </w:t>
      </w:r>
      <w:r w:rsidRPr="007957FB">
        <w:rPr>
          <w:rFonts w:ascii="Times New Roman" w:eastAsia="Times New Roman" w:hAnsi="Times New Roman" w:cs="Times New Roman"/>
          <w:color w:val="000000" w:themeColor="text1"/>
          <w:sz w:val="24"/>
          <w:szCs w:val="24"/>
        </w:rPr>
        <w:t>Culot et al. (2024)</w:t>
      </w:r>
      <w:r w:rsidRPr="007957FB">
        <w:rPr>
          <w:rFonts w:ascii="Times New Roman" w:hAnsi="Times New Roman" w:cs="Times New Roman"/>
          <w:color w:val="000000" w:themeColor="text1"/>
          <w:sz w:val="24"/>
          <w:szCs w:val="24"/>
        </w:rPr>
        <w:t>. The framework’s flexibility supports cross-sector adoption, addressing Rotlevi (2024)’s call for customizable solutions.</w:t>
      </w:r>
    </w:p>
    <w:p w14:paraId="04EBC0BD"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p>
    <w:p w14:paraId="634DD7BE" w14:textId="77777777" w:rsidR="0063182B" w:rsidRPr="007957FB" w:rsidRDefault="0063182B" w:rsidP="009177DC">
      <w:pPr>
        <w:spacing w:line="360" w:lineRule="auto"/>
        <w:jc w:val="both"/>
        <w:rPr>
          <w:rFonts w:ascii="Times New Roman" w:hAnsi="Times New Roman" w:cs="Times New Roman"/>
          <w:b/>
          <w:color w:val="000000" w:themeColor="text1"/>
          <w:sz w:val="24"/>
          <w:szCs w:val="24"/>
        </w:rPr>
      </w:pPr>
    </w:p>
    <w:p w14:paraId="3C5A7FFF" w14:textId="77777777" w:rsidR="009177DC" w:rsidRPr="007957FB" w:rsidRDefault="009177DC" w:rsidP="009177DC">
      <w:pPr>
        <w:spacing w:line="360" w:lineRule="auto"/>
        <w:jc w:val="both"/>
        <w:rPr>
          <w:rFonts w:ascii="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t>Conclusion and Recommendations</w:t>
      </w:r>
    </w:p>
    <w:p w14:paraId="76ED29A8" w14:textId="77777777" w:rsidR="007957FB" w:rsidRPr="007957FB" w:rsidRDefault="007957FB" w:rsidP="007957FB">
      <w:pPr>
        <w:spacing w:before="100" w:beforeAutospacing="1" w:after="100" w:afterAutospacing="1" w:line="240" w:lineRule="auto"/>
        <w:outlineLvl w:val="2"/>
        <w:rPr>
          <w:rFonts w:ascii="Times New Roman" w:eastAsia="Times New Roman" w:hAnsi="Times New Roman" w:cs="Times New Roman"/>
          <w:b/>
          <w:bCs/>
          <w:sz w:val="24"/>
          <w:szCs w:val="24"/>
        </w:rPr>
      </w:pPr>
      <w:r w:rsidRPr="007957FB">
        <w:rPr>
          <w:rFonts w:ascii="Times New Roman" w:eastAsia="Times New Roman" w:hAnsi="Times New Roman" w:cs="Times New Roman"/>
          <w:b/>
          <w:bCs/>
          <w:sz w:val="24"/>
          <w:szCs w:val="24"/>
        </w:rPr>
        <w:t>Conclusion</w:t>
      </w:r>
    </w:p>
    <w:p w14:paraId="036411F0" w14:textId="77777777" w:rsidR="007957FB" w:rsidRPr="007957FB" w:rsidRDefault="007957FB" w:rsidP="007957FB">
      <w:pPr>
        <w:spacing w:before="100" w:beforeAutospacing="1" w:after="100" w:afterAutospacing="1" w:line="240" w:lineRule="auto"/>
        <w:rPr>
          <w:rFonts w:ascii="Times New Roman" w:eastAsia="Times New Roman" w:hAnsi="Times New Roman" w:cs="Times New Roman"/>
          <w:sz w:val="24"/>
          <w:szCs w:val="24"/>
        </w:rPr>
      </w:pPr>
      <w:r w:rsidRPr="007957FB">
        <w:rPr>
          <w:rFonts w:ascii="Times New Roman" w:eastAsia="Times New Roman" w:hAnsi="Times New Roman" w:cs="Times New Roman"/>
          <w:sz w:val="24"/>
          <w:szCs w:val="24"/>
        </w:rPr>
        <w:t xml:space="preserve">This study has examined the complex and evolving challenge of enhancing data security in artificial intelligence (AI) systems by proposing an integrated framework that unites cybersecurity principles with robust information governance strategies. Drawing on a convergent parallel mixed-methods design, the study identified critical vulnerabilities such as data poisoning, adversarial examples, and model inversion—each posing significant risks to AI-driven decision-making across sectors. Empirical evidence from a meta-analysis of 11,245 AI deployments, a synthesis of 89 governance-focused studies, and technical validations using real-world AI models (BERT, YOLOv7, and federated learning) demonstrated the effectiveness of the proposed framework. The model achieved 84–89% attack mitigation and 90–95% regulatory compliance under GDPR and NIST RMF standards. Moreover, it recorded a Composite Security Score (CSS) of 0.87, outperforming comparative models and affirming its practical viability across healthcare, finance, and public service domains. The framework contributes significantly to academic literature by bridging the gap between technical and organizational approaches to AI security. It also delivers sector-specific, scalable, and adaptable solutions that align AI implementation with ethical, legal, and operational requirements. While the results are </w:t>
      </w:r>
      <w:r w:rsidRPr="007957FB">
        <w:rPr>
          <w:rFonts w:ascii="Times New Roman" w:eastAsia="Times New Roman" w:hAnsi="Times New Roman" w:cs="Times New Roman"/>
          <w:sz w:val="24"/>
          <w:szCs w:val="24"/>
        </w:rPr>
        <w:lastRenderedPageBreak/>
        <w:t>promising, the study acknowledges several limitations. These include reliance on secondary data sources, limited technical validation across broader AI architectures, and an emerging need to evaluate resilience against future threats such as quantum computing. Nevertheless, this work establishes a strong foundation for advancing secure, trustworthy, and policy-aligned AI systems.</w:t>
      </w:r>
    </w:p>
    <w:p w14:paraId="3110DA10" w14:textId="77777777" w:rsidR="007957FB" w:rsidRPr="007957FB" w:rsidRDefault="007957FB" w:rsidP="007957FB">
      <w:pPr>
        <w:spacing w:before="100" w:beforeAutospacing="1" w:after="100" w:afterAutospacing="1" w:line="240" w:lineRule="auto"/>
        <w:outlineLvl w:val="2"/>
        <w:rPr>
          <w:rFonts w:ascii="Times New Roman" w:eastAsia="Times New Roman" w:hAnsi="Times New Roman" w:cs="Times New Roman"/>
          <w:b/>
          <w:bCs/>
          <w:sz w:val="24"/>
          <w:szCs w:val="24"/>
        </w:rPr>
      </w:pPr>
      <w:r w:rsidRPr="007957FB">
        <w:rPr>
          <w:rFonts w:ascii="Times New Roman" w:eastAsia="Times New Roman" w:hAnsi="Times New Roman" w:cs="Times New Roman"/>
          <w:b/>
          <w:bCs/>
          <w:sz w:val="24"/>
          <w:szCs w:val="24"/>
        </w:rPr>
        <w:t>Recommendations</w:t>
      </w:r>
    </w:p>
    <w:p w14:paraId="6E8A624A" w14:textId="77777777" w:rsidR="007957FB" w:rsidRPr="007957FB" w:rsidRDefault="007957FB" w:rsidP="007957FB">
      <w:pPr>
        <w:spacing w:before="100" w:beforeAutospacing="1" w:after="100" w:afterAutospacing="1" w:line="240" w:lineRule="auto"/>
        <w:rPr>
          <w:rFonts w:ascii="Times New Roman" w:eastAsia="Times New Roman" w:hAnsi="Times New Roman" w:cs="Times New Roman"/>
          <w:sz w:val="24"/>
          <w:szCs w:val="24"/>
        </w:rPr>
      </w:pPr>
      <w:r w:rsidRPr="007957FB">
        <w:rPr>
          <w:rFonts w:ascii="Times New Roman" w:eastAsia="Times New Roman" w:hAnsi="Times New Roman" w:cs="Times New Roman"/>
          <w:sz w:val="24"/>
          <w:szCs w:val="24"/>
        </w:rPr>
        <w:t>Based on the findings, organizations across healthcare, finance, and public sectors are encouraged to adopt the proposed integrated framework to enhance the security and regulatory compliance of their AI systems. Sector-specific customization is essential—healthcare applications should prioritize data provenance mechanisms, while financial systems may benefit more from compliance automation features. In anticipation of future threats, particularly quantum computing, it is recommended that investments be directed toward developing and integrating quantum-ready encryption protocols. Additionally, institutions should establish or strengthen AI ethics committees to oversee the integration of cybersecurity and governance principles throughout the AI lifecycle. Alignment with global regulatory standards such as the General Data Protection Regulation (GDPR), NIST Risk Management Framework, and the EU AI Act will not only enhance compliance but also build trust among users and regulators. Future research should focus on expanding adaptive security models, exploring third-party risk exposure in AI supply chains, and validating the framework in operational environments. Finally, targeted training programs should be developed for AI developers, data governance officers, and cybersecurity professionals to improve organizational readiness in handling adversarial threats and implementing compliance-oriented technologies.</w:t>
      </w:r>
    </w:p>
    <w:p w14:paraId="4DE99FDA" w14:textId="77777777" w:rsidR="001B23B7" w:rsidRPr="007957FB" w:rsidRDefault="001B23B7" w:rsidP="001B23B7">
      <w:pPr>
        <w:spacing w:line="360" w:lineRule="auto"/>
        <w:jc w:val="both"/>
        <w:rPr>
          <w:rFonts w:ascii="Times New Roman" w:hAnsi="Times New Roman" w:cs="Times New Roman"/>
          <w:color w:val="000000" w:themeColor="text1"/>
          <w:sz w:val="24"/>
          <w:szCs w:val="24"/>
        </w:rPr>
      </w:pPr>
    </w:p>
    <w:p w14:paraId="16A6487D" w14:textId="77777777" w:rsidR="0055454D" w:rsidRPr="007957FB" w:rsidRDefault="0055454D" w:rsidP="001B23B7">
      <w:pPr>
        <w:spacing w:line="360" w:lineRule="auto"/>
        <w:jc w:val="both"/>
        <w:rPr>
          <w:rFonts w:ascii="Times New Roman" w:hAnsi="Times New Roman" w:cs="Times New Roman"/>
          <w:color w:val="000000" w:themeColor="text1"/>
          <w:sz w:val="24"/>
          <w:szCs w:val="24"/>
        </w:rPr>
      </w:pPr>
    </w:p>
    <w:p w14:paraId="0437922B" w14:textId="77777777" w:rsidR="001B23B7" w:rsidRPr="007957FB" w:rsidRDefault="001B23B7" w:rsidP="001B23B7">
      <w:pPr>
        <w:rPr>
          <w:rFonts w:ascii="Times New Roman" w:hAnsi="Times New Roman" w:cs="Times New Roman"/>
          <w:sz w:val="24"/>
          <w:szCs w:val="24"/>
        </w:rPr>
      </w:pPr>
      <w:r w:rsidRPr="007957FB">
        <w:rPr>
          <w:rFonts w:ascii="Times New Roman" w:hAnsi="Times New Roman" w:cs="Times New Roman"/>
          <w:sz w:val="24"/>
          <w:szCs w:val="24"/>
        </w:rPr>
        <w:t>Disclaimer (Artificial intelligence)</w:t>
      </w:r>
    </w:p>
    <w:p w14:paraId="62EF3C48" w14:textId="77777777" w:rsidR="001B23B7" w:rsidRPr="007957FB" w:rsidRDefault="001B23B7" w:rsidP="001B23B7">
      <w:pPr>
        <w:rPr>
          <w:rFonts w:ascii="Times New Roman" w:hAnsi="Times New Roman" w:cs="Times New Roman"/>
          <w:sz w:val="24"/>
          <w:szCs w:val="24"/>
        </w:rPr>
      </w:pPr>
    </w:p>
    <w:p w14:paraId="0EE88CFF" w14:textId="77777777" w:rsidR="001B23B7" w:rsidRPr="007957FB" w:rsidRDefault="001B23B7" w:rsidP="001B23B7">
      <w:pPr>
        <w:rPr>
          <w:rFonts w:ascii="Times New Roman" w:hAnsi="Times New Roman" w:cs="Times New Roman"/>
          <w:sz w:val="24"/>
          <w:szCs w:val="24"/>
        </w:rPr>
      </w:pPr>
      <w:r w:rsidRPr="007957FB">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0A75C943" w14:textId="77777777" w:rsidR="001B23B7" w:rsidRPr="007957FB" w:rsidRDefault="001B23B7" w:rsidP="001B23B7">
      <w:pPr>
        <w:spacing w:line="360" w:lineRule="auto"/>
        <w:jc w:val="both"/>
        <w:rPr>
          <w:rFonts w:ascii="Times New Roman" w:hAnsi="Times New Roman" w:cs="Times New Roman"/>
          <w:color w:val="000000" w:themeColor="text1"/>
          <w:sz w:val="24"/>
          <w:szCs w:val="24"/>
        </w:rPr>
      </w:pPr>
    </w:p>
    <w:p w14:paraId="63B6D2C6"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p>
    <w:p w14:paraId="77C0E20C" w14:textId="77777777" w:rsidR="0063182B" w:rsidRPr="007957FB" w:rsidRDefault="0063182B" w:rsidP="009177DC">
      <w:pPr>
        <w:pStyle w:val="NormalWeb"/>
        <w:spacing w:before="0" w:beforeAutospacing="0" w:after="0" w:afterAutospacing="0" w:line="360" w:lineRule="auto"/>
        <w:ind w:left="720" w:hanging="720"/>
        <w:jc w:val="both"/>
        <w:rPr>
          <w:color w:val="000000" w:themeColor="text1"/>
        </w:rPr>
      </w:pPr>
    </w:p>
    <w:p w14:paraId="3DACEAAF" w14:textId="77777777" w:rsidR="007957FB" w:rsidRPr="007957FB" w:rsidRDefault="007957FB">
      <w:pPr>
        <w:rPr>
          <w:rFonts w:ascii="Times New Roman" w:eastAsia="Times New Roman" w:hAnsi="Times New Roman" w:cs="Times New Roman"/>
          <w:b/>
          <w:color w:val="000000" w:themeColor="text1"/>
          <w:sz w:val="24"/>
          <w:szCs w:val="24"/>
        </w:rPr>
      </w:pPr>
      <w:r w:rsidRPr="007957FB">
        <w:rPr>
          <w:rFonts w:ascii="Times New Roman" w:hAnsi="Times New Roman" w:cs="Times New Roman"/>
          <w:b/>
          <w:color w:val="000000" w:themeColor="text1"/>
          <w:sz w:val="24"/>
          <w:szCs w:val="24"/>
        </w:rPr>
        <w:br w:type="page"/>
      </w:r>
    </w:p>
    <w:p w14:paraId="2DB40D06" w14:textId="77777777" w:rsidR="009177DC" w:rsidRPr="007957FB" w:rsidRDefault="009177DC" w:rsidP="007957FB">
      <w:pPr>
        <w:pStyle w:val="NormalWeb"/>
        <w:spacing w:before="0" w:beforeAutospacing="0" w:after="0" w:afterAutospacing="0" w:line="360" w:lineRule="auto"/>
        <w:ind w:left="720" w:hanging="720"/>
        <w:jc w:val="center"/>
        <w:rPr>
          <w:b/>
          <w:color w:val="000000" w:themeColor="text1"/>
        </w:rPr>
      </w:pPr>
      <w:r w:rsidRPr="007957FB">
        <w:rPr>
          <w:b/>
          <w:color w:val="000000" w:themeColor="text1"/>
        </w:rPr>
        <w:lastRenderedPageBreak/>
        <w:t>References</w:t>
      </w:r>
    </w:p>
    <w:p w14:paraId="6F6463A9"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Abadi, M., Chu, A., Goodfellow, I., McMahan, H. B., Mironov, I., Talwar, K., &amp; Zhang, L. (2016). Deep Learning with Differential Privacy. </w:t>
      </w:r>
      <w:r w:rsidRPr="007957FB">
        <w:rPr>
          <w:i/>
          <w:iCs/>
          <w:color w:val="000000" w:themeColor="text1"/>
        </w:rPr>
        <w:t>Proceedings of the 2016 ACM SIGSAC Conference on Computer and Communications Security - CCS’16</w:t>
      </w:r>
      <w:r w:rsidRPr="007957FB">
        <w:rPr>
          <w:color w:val="000000" w:themeColor="text1"/>
        </w:rPr>
        <w:t xml:space="preserve">. </w:t>
      </w:r>
      <w:hyperlink r:id="rId13" w:history="1">
        <w:r w:rsidR="0064255C" w:rsidRPr="007957FB">
          <w:rPr>
            <w:rStyle w:val="Hyperlink"/>
          </w:rPr>
          <w:t>https://doi.org/10.1145/2976749.2978318</w:t>
        </w:r>
      </w:hyperlink>
    </w:p>
    <w:p w14:paraId="79504B58" w14:textId="77777777" w:rsidR="0064255C" w:rsidRPr="007957FB" w:rsidRDefault="0064255C" w:rsidP="0064255C">
      <w:pPr>
        <w:spacing w:after="240" w:line="360" w:lineRule="auto"/>
        <w:ind w:left="720" w:hanging="720"/>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Ajayi, A. J., Joseph, S. A., Metibemu, O. C., Olutimehin, A. T., Balogun, A. Y., &amp; Olaniyi, O. O. (2025). The Impact of Artificial Intelligence on Cyber Security in Digital Currency Transactions. </w:t>
      </w:r>
      <w:r w:rsidRPr="007957FB">
        <w:rPr>
          <w:rFonts w:ascii="Times New Roman" w:hAnsi="Times New Roman" w:cs="Times New Roman"/>
          <w:i/>
          <w:color w:val="000000" w:themeColor="text1"/>
          <w:sz w:val="24"/>
          <w:szCs w:val="24"/>
        </w:rPr>
        <w:t>Archives of Current Research International</w:t>
      </w:r>
      <w:r w:rsidRPr="007957FB">
        <w:rPr>
          <w:rFonts w:ascii="Times New Roman" w:hAnsi="Times New Roman" w:cs="Times New Roman"/>
          <w:color w:val="000000" w:themeColor="text1"/>
          <w:sz w:val="24"/>
          <w:szCs w:val="24"/>
        </w:rPr>
        <w:t xml:space="preserve">, </w:t>
      </w:r>
      <w:r w:rsidRPr="007957FB">
        <w:rPr>
          <w:rFonts w:ascii="Times New Roman" w:hAnsi="Times New Roman" w:cs="Times New Roman"/>
          <w:i/>
          <w:color w:val="000000" w:themeColor="text1"/>
          <w:sz w:val="24"/>
          <w:szCs w:val="24"/>
        </w:rPr>
        <w:t>25</w:t>
      </w:r>
      <w:r w:rsidRPr="007957FB">
        <w:rPr>
          <w:rFonts w:ascii="Times New Roman" w:hAnsi="Times New Roman" w:cs="Times New Roman"/>
          <w:color w:val="000000" w:themeColor="text1"/>
          <w:sz w:val="24"/>
          <w:szCs w:val="24"/>
        </w:rPr>
        <w:t xml:space="preserve">(2), 329–351. </w:t>
      </w:r>
      <w:hyperlink r:id="rId14" w:history="1">
        <w:r w:rsidRPr="007957FB">
          <w:rPr>
            <w:rStyle w:val="Hyperlink"/>
            <w:rFonts w:ascii="Times New Roman" w:hAnsi="Times New Roman" w:cs="Times New Roman"/>
            <w:color w:val="000000" w:themeColor="text1"/>
            <w:sz w:val="24"/>
            <w:szCs w:val="24"/>
          </w:rPr>
          <w:t>https://doi.org/10.9734/acri/2025/v25i21090</w:t>
        </w:r>
      </w:hyperlink>
      <w:r w:rsidRPr="007957FB">
        <w:rPr>
          <w:rFonts w:ascii="Times New Roman" w:hAnsi="Times New Roman" w:cs="Times New Roman"/>
          <w:color w:val="000000" w:themeColor="text1"/>
          <w:sz w:val="24"/>
          <w:szCs w:val="24"/>
        </w:rPr>
        <w:t xml:space="preserve">  </w:t>
      </w:r>
    </w:p>
    <w:p w14:paraId="1867600A"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Akwetey, H. M., Danquah, P., Koi-Akrofi, G. Y., &amp; Asampana, I. (2022, February 2). </w:t>
      </w:r>
      <w:r w:rsidRPr="007957FB">
        <w:rPr>
          <w:i/>
          <w:iCs/>
          <w:color w:val="000000" w:themeColor="text1"/>
        </w:rPr>
        <w:t>Critical Infrastructure Cybersecurity Challenges: IoT In Perspective</w:t>
      </w:r>
      <w:r w:rsidRPr="007957FB">
        <w:rPr>
          <w:color w:val="000000" w:themeColor="text1"/>
        </w:rPr>
        <w:t>. ArXiv.org. https://doi.org/10.48550/arXiv.2202.12970</w:t>
      </w:r>
    </w:p>
    <w:p w14:paraId="50DC16DB"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Alowaidi, M., Sharma, S. K., AlEnizi, A., &amp; Bhardwaj, S. (2023). Integrating artificial intelligence in cyber security for cyber-physical systems. </w:t>
      </w:r>
      <w:r w:rsidRPr="007957FB">
        <w:rPr>
          <w:i/>
          <w:iCs/>
          <w:color w:val="000000" w:themeColor="text1"/>
        </w:rPr>
        <w:t>Electronic Research Archive</w:t>
      </w:r>
      <w:r w:rsidRPr="007957FB">
        <w:rPr>
          <w:color w:val="000000" w:themeColor="text1"/>
        </w:rPr>
        <w:t xml:space="preserve">, </w:t>
      </w:r>
      <w:r w:rsidRPr="007957FB">
        <w:rPr>
          <w:i/>
          <w:iCs/>
          <w:color w:val="000000" w:themeColor="text1"/>
        </w:rPr>
        <w:t>31</w:t>
      </w:r>
      <w:r w:rsidRPr="007957FB">
        <w:rPr>
          <w:color w:val="000000" w:themeColor="text1"/>
        </w:rPr>
        <w:t>(4), 1876–1896. https://doi.org/10.3934/era.2023097</w:t>
      </w:r>
    </w:p>
    <w:p w14:paraId="2665A461"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American Industrial Information Management (AIIM). (2025). Information governance: The foundation of responsible AI systems. https://info.aiim.org/aiim-blog/information-governance-the-foundation-of-responsible-ai-systems </w:t>
      </w:r>
    </w:p>
    <w:p w14:paraId="245FE865"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lang w:val="fr-FR"/>
        </w:rPr>
      </w:pPr>
      <w:r w:rsidRPr="007957FB">
        <w:rPr>
          <w:color w:val="000000" w:themeColor="text1"/>
        </w:rPr>
        <w:t xml:space="preserve">Balaban, D. (2024). </w:t>
      </w:r>
      <w:r w:rsidRPr="007957FB">
        <w:rPr>
          <w:i/>
          <w:iCs/>
          <w:color w:val="000000" w:themeColor="text1"/>
        </w:rPr>
        <w:t>Privacy and security issues of using AI for academic purposes</w:t>
      </w:r>
      <w:r w:rsidRPr="007957FB">
        <w:rPr>
          <w:color w:val="000000" w:themeColor="text1"/>
        </w:rPr>
        <w:t xml:space="preserve">. </w:t>
      </w:r>
      <w:r w:rsidRPr="007957FB">
        <w:rPr>
          <w:color w:val="000000" w:themeColor="text1"/>
          <w:lang w:val="fr-FR"/>
        </w:rPr>
        <w:t>Forbes. https://www.forbes.com/sites/davidbalaban/2024/03/29/privacy-and-security-issues-of-using-ai-for-academic-purposes/</w:t>
      </w:r>
    </w:p>
    <w:p w14:paraId="0E63254A"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Bankins, S., &amp; Formosa, P. (2023). </w:t>
      </w:r>
      <w:r w:rsidRPr="007957FB">
        <w:rPr>
          <w:i/>
          <w:iCs/>
          <w:color w:val="000000" w:themeColor="text1"/>
        </w:rPr>
        <w:t>The Ethical Implications of Artificial Intelligence (AI) For Meaningful Work</w:t>
      </w:r>
      <w:r w:rsidRPr="007957FB">
        <w:rPr>
          <w:color w:val="000000" w:themeColor="text1"/>
        </w:rPr>
        <w:t>. ResearchGate; Springer Nature. https://www.researchgate.net/publication/368449936_The_Ethical_Implications_of_Artificial_Intelligence_AI_For_Meaningful_Work</w:t>
      </w:r>
    </w:p>
    <w:p w14:paraId="0C9A3D03"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Belmont Report. (2024). </w:t>
      </w:r>
      <w:r w:rsidRPr="007957FB">
        <w:rPr>
          <w:i/>
          <w:iCs/>
          <w:color w:val="000000" w:themeColor="text1"/>
        </w:rPr>
        <w:t>The Belmont Report</w:t>
      </w:r>
      <w:r w:rsidRPr="007957FB">
        <w:rPr>
          <w:color w:val="000000" w:themeColor="text1"/>
        </w:rPr>
        <w:t>. U.S. Department of Health and Human Services. https://www.hhs.gov/ohrp/regulations-and-policy/belmont-report/index.html</w:t>
      </w:r>
    </w:p>
    <w:p w14:paraId="14234740"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Biggio, B., &amp; Roli, F. (2018). Wild patterns: Ten years after the rise of adversarial machine learning. </w:t>
      </w:r>
      <w:r w:rsidRPr="007957FB">
        <w:rPr>
          <w:i/>
          <w:iCs/>
          <w:color w:val="000000" w:themeColor="text1"/>
        </w:rPr>
        <w:t>Pattern Recognition</w:t>
      </w:r>
      <w:r w:rsidRPr="007957FB">
        <w:rPr>
          <w:color w:val="000000" w:themeColor="text1"/>
        </w:rPr>
        <w:t xml:space="preserve">, </w:t>
      </w:r>
      <w:r w:rsidRPr="007957FB">
        <w:rPr>
          <w:i/>
          <w:iCs/>
          <w:color w:val="000000" w:themeColor="text1"/>
        </w:rPr>
        <w:t>84</w:t>
      </w:r>
      <w:r w:rsidRPr="007957FB">
        <w:rPr>
          <w:color w:val="000000" w:themeColor="text1"/>
        </w:rPr>
        <w:t>, 317–331. https://doi.org/10.1016/j.patcog.2018.07.023</w:t>
      </w:r>
    </w:p>
    <w:p w14:paraId="28712DB4"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Borenstein, M., Hedges, L. V., Julian, &amp; Rothstein, H. R. (2021). </w:t>
      </w:r>
      <w:r w:rsidRPr="007957FB">
        <w:rPr>
          <w:i/>
          <w:iCs/>
          <w:color w:val="000000" w:themeColor="text1"/>
        </w:rPr>
        <w:t>Introduction to Meta-Analysis</w:t>
      </w:r>
      <w:r w:rsidRPr="007957FB">
        <w:rPr>
          <w:color w:val="000000" w:themeColor="text1"/>
        </w:rPr>
        <w:t>. John Wiley &amp; Sons.</w:t>
      </w:r>
    </w:p>
    <w:p w14:paraId="18F328DC"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lastRenderedPageBreak/>
        <w:t xml:space="preserve">Cerebra. (2024). </w:t>
      </w:r>
      <w:r w:rsidRPr="007957FB">
        <w:rPr>
          <w:i/>
          <w:iCs/>
          <w:color w:val="000000" w:themeColor="text1"/>
        </w:rPr>
        <w:t>AI Governance: Opportunities and Challenges in Cybersecurity</w:t>
      </w:r>
      <w:r w:rsidRPr="007957FB">
        <w:rPr>
          <w:color w:val="000000" w:themeColor="text1"/>
        </w:rPr>
        <w:t>. Cerebra. https://cerebra.sa/2024/11/14/ai-governance/</w:t>
      </w:r>
    </w:p>
    <w:p w14:paraId="43734AED"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CISA. (2023). </w:t>
      </w:r>
      <w:r w:rsidRPr="007957FB">
        <w:rPr>
          <w:i/>
          <w:iCs/>
          <w:color w:val="000000" w:themeColor="text1"/>
        </w:rPr>
        <w:t>Cybersecurity Governance | CISA</w:t>
      </w:r>
      <w:r w:rsidRPr="007957FB">
        <w:rPr>
          <w:color w:val="000000" w:themeColor="text1"/>
        </w:rPr>
        <w:t>. Cybersecurity and Infrastructure Security Agency CISA. https://www.cisa.gov/topics/cybersecurity-best-practices/cybersecurity-governance</w:t>
      </w:r>
    </w:p>
    <w:p w14:paraId="390E391E"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Cisternelli, E. (2024). </w:t>
      </w:r>
      <w:r w:rsidRPr="007957FB">
        <w:rPr>
          <w:i/>
          <w:iCs/>
          <w:color w:val="000000" w:themeColor="text1"/>
        </w:rPr>
        <w:t>7 Cybersecurity Frameworks To Reduce Cyber Risk</w:t>
      </w:r>
      <w:r w:rsidRPr="007957FB">
        <w:rPr>
          <w:color w:val="000000" w:themeColor="text1"/>
        </w:rPr>
        <w:t>. BitSight. https://www.bitsight.com/blog/7-cybersecurity-frameworks-to-reduce-cyber-risk</w:t>
      </w:r>
    </w:p>
    <w:p w14:paraId="71B217A0"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Cohen, J., Cohen, P., West, S. G., &amp; Aiken, L. S. (2013). </w:t>
      </w:r>
      <w:r w:rsidRPr="007957FB">
        <w:rPr>
          <w:i/>
          <w:iCs/>
          <w:color w:val="000000" w:themeColor="text1"/>
        </w:rPr>
        <w:t>Applied Multiple Regression/Correlation Analysis for the Behavioral Sciences</w:t>
      </w:r>
      <w:r w:rsidRPr="007957FB">
        <w:rPr>
          <w:color w:val="000000" w:themeColor="text1"/>
        </w:rPr>
        <w:t>. Routledge. https://doi.org/10.4324/9780203774441</w:t>
      </w:r>
    </w:p>
    <w:p w14:paraId="58414C43"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Comiter, M. (2019). </w:t>
      </w:r>
      <w:r w:rsidRPr="007957FB">
        <w:rPr>
          <w:i/>
          <w:iCs/>
          <w:color w:val="000000" w:themeColor="text1"/>
        </w:rPr>
        <w:t>Attacking Artificial Intelligence: AI’s Security Vulnerability and What Policymakers Can Do About It</w:t>
      </w:r>
      <w:r w:rsidRPr="007957FB">
        <w:rPr>
          <w:color w:val="000000" w:themeColor="text1"/>
        </w:rPr>
        <w:t>. Belfer Center for Science and International Affairs. https://www.belfercenter.org/publication/AttackingAI</w:t>
      </w:r>
    </w:p>
    <w:p w14:paraId="5C1778FC"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Creswell, J.W. (2009). </w:t>
      </w:r>
      <w:r w:rsidRPr="007957FB">
        <w:rPr>
          <w:i/>
          <w:iCs/>
          <w:color w:val="000000" w:themeColor="text1"/>
        </w:rPr>
        <w:t>Research Design: Qualitative, Quantitative and Mixed Methods Approaches</w:t>
      </w:r>
      <w:r w:rsidRPr="007957FB">
        <w:rPr>
          <w:color w:val="000000" w:themeColor="text1"/>
        </w:rPr>
        <w:t xml:space="preserve">. [online] SAGE Publications. Available at: https://www.ucg.ac.me/skladiste/blog_609332/objava_105202/fajlovi/Creswell.pdf. </w:t>
      </w:r>
    </w:p>
    <w:p w14:paraId="0B8942CD"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Crowe. (2024). </w:t>
      </w:r>
      <w:r w:rsidRPr="007957FB">
        <w:rPr>
          <w:i/>
          <w:iCs/>
          <w:color w:val="000000" w:themeColor="text1"/>
        </w:rPr>
        <w:t>The Intersection of Cybersecurity and AI Governance | Crowe LLP</w:t>
      </w:r>
      <w:r w:rsidRPr="007957FB">
        <w:rPr>
          <w:color w:val="000000" w:themeColor="text1"/>
        </w:rPr>
        <w:t>. Crowe. https://www.crowe.com/cybersecurity-watch/intersection-cybersecurity-ai-governance</w:t>
      </w:r>
    </w:p>
    <w:p w14:paraId="2BD4717D"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CSA. (2024). </w:t>
      </w:r>
      <w:r w:rsidRPr="007957FB">
        <w:rPr>
          <w:i/>
          <w:iCs/>
          <w:color w:val="000000" w:themeColor="text1"/>
        </w:rPr>
        <w:t>Guidelines for Secure AI System Development | CSA</w:t>
      </w:r>
      <w:r w:rsidRPr="007957FB">
        <w:rPr>
          <w:color w:val="000000" w:themeColor="text1"/>
        </w:rPr>
        <w:t>. Cloudsecurityalliance.org. https://cloudsecurityalliance.org/blog/2024/02/28/an-explanation-of-the-guidelines-for-secure-ai-system-development</w:t>
      </w:r>
    </w:p>
    <w:p w14:paraId="10129909"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lang w:val="es-ES"/>
        </w:rPr>
        <w:t xml:space="preserve">Culot, G., Podrecca, M., &amp; Nassimbeni, G. (2024). </w:t>
      </w:r>
      <w:r w:rsidRPr="007957FB">
        <w:rPr>
          <w:color w:val="000000" w:themeColor="text1"/>
        </w:rPr>
        <w:t xml:space="preserve">Artificial intelligence in supply chain management: A systematic literature review of empirical studies and research directions. </w:t>
      </w:r>
      <w:r w:rsidRPr="007957FB">
        <w:rPr>
          <w:i/>
          <w:iCs/>
          <w:color w:val="000000" w:themeColor="text1"/>
        </w:rPr>
        <w:t>Computers in Industry</w:t>
      </w:r>
      <w:r w:rsidRPr="007957FB">
        <w:rPr>
          <w:color w:val="000000" w:themeColor="text1"/>
        </w:rPr>
        <w:t xml:space="preserve">, </w:t>
      </w:r>
      <w:r w:rsidRPr="007957FB">
        <w:rPr>
          <w:i/>
          <w:iCs/>
          <w:color w:val="000000" w:themeColor="text1"/>
        </w:rPr>
        <w:t>162</w:t>
      </w:r>
      <w:r w:rsidRPr="007957FB">
        <w:rPr>
          <w:color w:val="000000" w:themeColor="text1"/>
        </w:rPr>
        <w:t>, 104132–104132. https://doi.org/10.1016/j.compind.2024.104132</w:t>
      </w:r>
    </w:p>
    <w:p w14:paraId="3485B2D4"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Devineni, S. K. (2024). AI IN DATA PRIVACY AND SECURITY. </w:t>
      </w:r>
      <w:r w:rsidRPr="007957FB">
        <w:rPr>
          <w:i/>
          <w:iCs/>
          <w:color w:val="000000" w:themeColor="text1"/>
        </w:rPr>
        <w:t>INTERNATIONAL JOURNAL of ARTIFICIAL INTELLIGENCE &amp; MACHINE LEARNING (IJAIML)</w:t>
      </w:r>
      <w:r w:rsidRPr="007957FB">
        <w:rPr>
          <w:color w:val="000000" w:themeColor="text1"/>
        </w:rPr>
        <w:t xml:space="preserve">, </w:t>
      </w:r>
      <w:r w:rsidRPr="007957FB">
        <w:rPr>
          <w:i/>
          <w:iCs/>
          <w:color w:val="000000" w:themeColor="text1"/>
        </w:rPr>
        <w:t>3</w:t>
      </w:r>
      <w:r w:rsidRPr="007957FB">
        <w:rPr>
          <w:color w:val="000000" w:themeColor="text1"/>
        </w:rPr>
        <w:t>(1), 35–49. https://iaeme.com/Home/article_id/IJAIML_03_01_004</w:t>
      </w:r>
    </w:p>
    <w:p w14:paraId="082A5093"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European Union. (2021). </w:t>
      </w:r>
      <w:r w:rsidRPr="007957FB">
        <w:rPr>
          <w:i/>
          <w:iCs/>
          <w:color w:val="000000" w:themeColor="text1"/>
        </w:rPr>
        <w:t>The EU Artificial Intelligence Act</w:t>
      </w:r>
      <w:r w:rsidRPr="007957FB">
        <w:rPr>
          <w:color w:val="000000" w:themeColor="text1"/>
        </w:rPr>
        <w:t>. The Artificial Intelligence Act. https://artificialintelligenceact.eu/</w:t>
      </w:r>
    </w:p>
    <w:p w14:paraId="5A61DDE9"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lastRenderedPageBreak/>
        <w:t xml:space="preserve">Faul, F., Erdfelder, E., Lang, A.-G., &amp; Buchner, A. (2007). G*Power 3: A flexible statistical power analysis program for the social, behavioral, and biomedical sciences. </w:t>
      </w:r>
      <w:r w:rsidRPr="007957FB">
        <w:rPr>
          <w:i/>
          <w:iCs/>
          <w:color w:val="000000" w:themeColor="text1"/>
        </w:rPr>
        <w:t>Behavior Research Methods</w:t>
      </w:r>
      <w:r w:rsidRPr="007957FB">
        <w:rPr>
          <w:color w:val="000000" w:themeColor="text1"/>
        </w:rPr>
        <w:t xml:space="preserve">, </w:t>
      </w:r>
      <w:r w:rsidRPr="007957FB">
        <w:rPr>
          <w:i/>
          <w:iCs/>
          <w:color w:val="000000" w:themeColor="text1"/>
        </w:rPr>
        <w:t>39</w:t>
      </w:r>
      <w:r w:rsidRPr="007957FB">
        <w:rPr>
          <w:color w:val="000000" w:themeColor="text1"/>
        </w:rPr>
        <w:t>(2), 175–191. https://doi.org/10.3758/bf03193146</w:t>
      </w:r>
    </w:p>
    <w:p w14:paraId="778B0A8F"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Gajiwala, C. (2024). Artificial Intelligence in Cybersecurity : Advancing Threat Modeling and Vulnerability Assessment. </w:t>
      </w:r>
      <w:r w:rsidRPr="007957FB">
        <w:rPr>
          <w:i/>
          <w:iCs/>
          <w:color w:val="000000" w:themeColor="text1"/>
        </w:rPr>
        <w:t>International Journal of Scientific Research in Computer Science, Engineering and Information Technology</w:t>
      </w:r>
      <w:r w:rsidRPr="007957FB">
        <w:rPr>
          <w:color w:val="000000" w:themeColor="text1"/>
        </w:rPr>
        <w:t xml:space="preserve">, </w:t>
      </w:r>
      <w:r w:rsidRPr="007957FB">
        <w:rPr>
          <w:i/>
          <w:iCs/>
          <w:color w:val="000000" w:themeColor="text1"/>
        </w:rPr>
        <w:t>10</w:t>
      </w:r>
      <w:r w:rsidRPr="007957FB">
        <w:rPr>
          <w:color w:val="000000" w:themeColor="text1"/>
        </w:rPr>
        <w:t>(5), 778–788. https://doi.org/10.32628/cseit241051066</w:t>
      </w:r>
    </w:p>
    <w:p w14:paraId="2C2104C4"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Goodfellow, I. J., Shlens, J., &amp; Szegedy, C. (2014). </w:t>
      </w:r>
      <w:r w:rsidRPr="007957FB">
        <w:rPr>
          <w:i/>
          <w:iCs/>
          <w:color w:val="000000" w:themeColor="text1"/>
        </w:rPr>
        <w:t>Explaining and Harnessing Adversarial Examples</w:t>
      </w:r>
      <w:r w:rsidRPr="007957FB">
        <w:rPr>
          <w:color w:val="000000" w:themeColor="text1"/>
        </w:rPr>
        <w:t>. ArXiv.org. https://arxiv.org/abs/1412.6572</w:t>
      </w:r>
    </w:p>
    <w:p w14:paraId="09C08D93"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Google. (2023). </w:t>
      </w:r>
      <w:r w:rsidRPr="007957FB">
        <w:rPr>
          <w:i/>
          <w:iCs/>
          <w:color w:val="000000" w:themeColor="text1"/>
        </w:rPr>
        <w:t>Google’s AI Security Framework - Google Safety Center</w:t>
      </w:r>
      <w:r w:rsidRPr="007957FB">
        <w:rPr>
          <w:color w:val="000000" w:themeColor="text1"/>
        </w:rPr>
        <w:t>. Safety.google. https://safety.google/cybersecurity-advancements/saif/</w:t>
      </w:r>
    </w:p>
    <w:p w14:paraId="3B0406FC"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Gupta, P., Ding, B., Guan, C., &amp; Ding, D. (2024). Generative AI: A systematic review using topic modelling techniques. </w:t>
      </w:r>
      <w:r w:rsidRPr="007957FB">
        <w:rPr>
          <w:i/>
          <w:iCs/>
          <w:color w:val="000000" w:themeColor="text1"/>
        </w:rPr>
        <w:t>Data and Information Management</w:t>
      </w:r>
      <w:r w:rsidRPr="007957FB">
        <w:rPr>
          <w:color w:val="000000" w:themeColor="text1"/>
        </w:rPr>
        <w:t xml:space="preserve">, </w:t>
      </w:r>
      <w:r w:rsidRPr="007957FB">
        <w:rPr>
          <w:i/>
          <w:iCs/>
          <w:color w:val="000000" w:themeColor="text1"/>
        </w:rPr>
        <w:t>8</w:t>
      </w:r>
      <w:r w:rsidRPr="007957FB">
        <w:rPr>
          <w:color w:val="000000" w:themeColor="text1"/>
        </w:rPr>
        <w:t>(2), 100066. https://doi.org/10.1016/j.dim.2024.100066</w:t>
      </w:r>
    </w:p>
    <w:p w14:paraId="248CCF6F"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Hair, J., Black, W., Babin, B., &amp; Anderson, R. (2019). </w:t>
      </w:r>
      <w:r w:rsidRPr="007957FB">
        <w:rPr>
          <w:i/>
          <w:iCs/>
          <w:color w:val="000000" w:themeColor="text1"/>
        </w:rPr>
        <w:t>MULTIVARIATE DATA ANALYSIS EIGHTH EDITION</w:t>
      </w:r>
      <w:r w:rsidRPr="007957FB">
        <w:rPr>
          <w:color w:val="000000" w:themeColor="text1"/>
        </w:rPr>
        <w:t>. https://eli.johogo.com/Class/CCU/SEM/_Multivariate%20Data%20Analysis_Hair.pdf</w:t>
      </w:r>
    </w:p>
    <w:p w14:paraId="48FE9FA7"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Hamon, R., Henrik Junklewitz, Josep Soler Garrido, &amp; Sanchez, I. (2024). Three challenges to secure AI systems in the context of AI regulations. </w:t>
      </w:r>
      <w:r w:rsidRPr="007957FB">
        <w:rPr>
          <w:i/>
          <w:iCs/>
          <w:color w:val="000000" w:themeColor="text1"/>
        </w:rPr>
        <w:t>IEEE Access</w:t>
      </w:r>
      <w:r w:rsidRPr="007957FB">
        <w:rPr>
          <w:color w:val="000000" w:themeColor="text1"/>
        </w:rPr>
        <w:t>, 1–1. https://doi.org/10.1109/access.2024.3391021</w:t>
      </w:r>
    </w:p>
    <w:p w14:paraId="6B3FAAB3"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Higgins, J. P. T., &amp; Thompson, S. G. (2002). Quantifying heterogeneity in a meta-analysis. </w:t>
      </w:r>
      <w:r w:rsidRPr="007957FB">
        <w:rPr>
          <w:i/>
          <w:iCs/>
          <w:color w:val="000000" w:themeColor="text1"/>
        </w:rPr>
        <w:t>Statistics in Medicine</w:t>
      </w:r>
      <w:r w:rsidRPr="007957FB">
        <w:rPr>
          <w:color w:val="000000" w:themeColor="text1"/>
        </w:rPr>
        <w:t xml:space="preserve">, </w:t>
      </w:r>
      <w:r w:rsidRPr="007957FB">
        <w:rPr>
          <w:i/>
          <w:iCs/>
          <w:color w:val="000000" w:themeColor="text1"/>
        </w:rPr>
        <w:t>21</w:t>
      </w:r>
      <w:r w:rsidRPr="007957FB">
        <w:rPr>
          <w:color w:val="000000" w:themeColor="text1"/>
        </w:rPr>
        <w:t>(11), 1539–1558. https://doi.org/10.1002/sim.1186</w:t>
      </w:r>
    </w:p>
    <w:p w14:paraId="0484777D"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HPE. (2025). </w:t>
      </w:r>
      <w:r w:rsidRPr="007957FB">
        <w:rPr>
          <w:i/>
          <w:iCs/>
          <w:color w:val="000000" w:themeColor="text1"/>
        </w:rPr>
        <w:t>What is AI Security | Glossary</w:t>
      </w:r>
      <w:r w:rsidRPr="007957FB">
        <w:rPr>
          <w:color w:val="000000" w:themeColor="text1"/>
        </w:rPr>
        <w:t>. Hpe.com. https://www.hpe.com/emea_africa/en/what-is/ai-security.html</w:t>
      </w:r>
    </w:p>
    <w:p w14:paraId="68E89D98"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lang w:val="es-ES"/>
        </w:rPr>
      </w:pPr>
      <w:r w:rsidRPr="007957FB">
        <w:rPr>
          <w:color w:val="000000" w:themeColor="text1"/>
        </w:rPr>
        <w:t xml:space="preserve">IBM. (2024). </w:t>
      </w:r>
      <w:r w:rsidRPr="007957FB">
        <w:rPr>
          <w:i/>
          <w:iCs/>
          <w:color w:val="000000" w:themeColor="text1"/>
        </w:rPr>
        <w:t>AI Governance</w:t>
      </w:r>
      <w:r w:rsidRPr="007957FB">
        <w:rPr>
          <w:color w:val="000000" w:themeColor="text1"/>
        </w:rPr>
        <w:t xml:space="preserve">. Ibm.com. </w:t>
      </w:r>
      <w:hyperlink r:id="rId15" w:history="1">
        <w:r w:rsidR="0064255C" w:rsidRPr="007957FB">
          <w:rPr>
            <w:rStyle w:val="Hyperlink"/>
            <w:lang w:val="es-ES"/>
          </w:rPr>
          <w:t>https://www.ibm.com/think/topics/ai-governance</w:t>
        </w:r>
      </w:hyperlink>
    </w:p>
    <w:p w14:paraId="3EF2D059" w14:textId="77777777" w:rsidR="0064255C" w:rsidRPr="007957FB" w:rsidRDefault="0064255C" w:rsidP="0064255C">
      <w:pPr>
        <w:pStyle w:val="NoSpacing"/>
        <w:spacing w:line="360" w:lineRule="auto"/>
        <w:rPr>
          <w:rFonts w:ascii="Times New Roman" w:hAnsi="Times New Roman" w:cs="Times New Roman"/>
          <w:color w:val="000000" w:themeColor="text1"/>
          <w:sz w:val="24"/>
          <w:szCs w:val="24"/>
          <w:lang w:val="es-ES"/>
        </w:rPr>
      </w:pPr>
      <w:r w:rsidRPr="007957FB">
        <w:rPr>
          <w:rFonts w:ascii="Times New Roman" w:hAnsi="Times New Roman" w:cs="Times New Roman"/>
          <w:color w:val="000000" w:themeColor="text1"/>
          <w:sz w:val="24"/>
          <w:szCs w:val="24"/>
          <w:lang w:val="es-ES"/>
        </w:rPr>
        <w:t xml:space="preserve">Joseph, S. A., Kolade, T. M., Obioha-Val, O., Adebiyi, O. O., Ogungbemi, O. S., &amp; Olaniyi, O. </w:t>
      </w:r>
    </w:p>
    <w:p w14:paraId="042FB10A" w14:textId="77777777" w:rsidR="0064255C" w:rsidRPr="007957FB" w:rsidRDefault="0064255C" w:rsidP="0064255C">
      <w:pPr>
        <w:pStyle w:val="NoSpacing"/>
        <w:spacing w:line="360" w:lineRule="auto"/>
        <w:ind w:left="720"/>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O. (2024). AI-powered information governance: Balancing automation and human oversight for optimal organization productivity. Asian Journal of Research in Computer Science, 17(10), 110-131. </w:t>
      </w:r>
      <w:hyperlink r:id="rId16" w:history="1">
        <w:r w:rsidRPr="007957FB">
          <w:rPr>
            <w:rStyle w:val="Hyperlink"/>
            <w:rFonts w:ascii="Times New Roman" w:hAnsi="Times New Roman" w:cs="Times New Roman"/>
            <w:color w:val="000000" w:themeColor="text1"/>
            <w:sz w:val="24"/>
            <w:szCs w:val="24"/>
          </w:rPr>
          <w:t>https://doi.org/10.9734/ajrcos/2024/v17i10513</w:t>
        </w:r>
      </w:hyperlink>
    </w:p>
    <w:p w14:paraId="34A783C8"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Kairouz, P., H. Brendan McMahan, Avent, B., Bellet, A., Bennis, M., Arjun Nitin Bhagoji, Bonawitz, K., Charles, Z., Cormode, G., Cummings, R., Rafael, Eichner, H., Salim El </w:t>
      </w:r>
      <w:r w:rsidRPr="007957FB">
        <w:rPr>
          <w:color w:val="000000" w:themeColor="text1"/>
        </w:rPr>
        <w:lastRenderedPageBreak/>
        <w:t xml:space="preserve">Rouayheb, Evans, D. M., Gardner, J., Garrett, Z., Adrià Gascón, Ghazi, B., Gibbons, P. B., &amp; Gruteser, M. (2019). Advances and Open Problems in Federated Learning. </w:t>
      </w:r>
      <w:r w:rsidRPr="007957FB">
        <w:rPr>
          <w:i/>
          <w:iCs/>
          <w:color w:val="000000" w:themeColor="text1"/>
        </w:rPr>
        <w:t>ArXiv (Cornell University)</w:t>
      </w:r>
      <w:r w:rsidRPr="007957FB">
        <w:rPr>
          <w:color w:val="000000" w:themeColor="text1"/>
        </w:rPr>
        <w:t xml:space="preserve">. </w:t>
      </w:r>
      <w:hyperlink r:id="rId17" w:history="1">
        <w:r w:rsidR="0064255C" w:rsidRPr="007957FB">
          <w:rPr>
            <w:rStyle w:val="Hyperlink"/>
          </w:rPr>
          <w:t>https://doi.org/10.48550/arxiv.1912.04977</w:t>
        </w:r>
      </w:hyperlink>
    </w:p>
    <w:p w14:paraId="19775D82" w14:textId="77777777" w:rsidR="0064255C" w:rsidRPr="007957FB" w:rsidRDefault="0064255C" w:rsidP="0064255C">
      <w:pPr>
        <w:spacing w:after="240" w:line="360" w:lineRule="auto"/>
        <w:ind w:left="720" w:hanging="720"/>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Kolade, T. M., Aideyan, N. T., Oyekunle, S. M., Ogungbemi, O. S., &amp; Olaniyi, O. O. (2024). Artificial Intelligence and Information Governance: Strengthening Global Security, through Compliance Frameworks, and Data Security. </w:t>
      </w:r>
      <w:r w:rsidRPr="007957FB">
        <w:rPr>
          <w:rFonts w:ascii="Times New Roman" w:hAnsi="Times New Roman" w:cs="Times New Roman"/>
          <w:i/>
          <w:color w:val="000000" w:themeColor="text1"/>
          <w:sz w:val="24"/>
          <w:szCs w:val="24"/>
        </w:rPr>
        <w:t>Asian Journal of Research in Computer Science</w:t>
      </w:r>
      <w:r w:rsidRPr="007957FB">
        <w:rPr>
          <w:rFonts w:ascii="Times New Roman" w:hAnsi="Times New Roman" w:cs="Times New Roman"/>
          <w:color w:val="000000" w:themeColor="text1"/>
          <w:sz w:val="24"/>
          <w:szCs w:val="24"/>
        </w:rPr>
        <w:t xml:space="preserve">, </w:t>
      </w:r>
      <w:r w:rsidRPr="007957FB">
        <w:rPr>
          <w:rFonts w:ascii="Times New Roman" w:hAnsi="Times New Roman" w:cs="Times New Roman"/>
          <w:i/>
          <w:color w:val="000000" w:themeColor="text1"/>
          <w:sz w:val="24"/>
          <w:szCs w:val="24"/>
        </w:rPr>
        <w:t>17</w:t>
      </w:r>
      <w:r w:rsidRPr="007957FB">
        <w:rPr>
          <w:rFonts w:ascii="Times New Roman" w:hAnsi="Times New Roman" w:cs="Times New Roman"/>
          <w:color w:val="000000" w:themeColor="text1"/>
          <w:sz w:val="24"/>
          <w:szCs w:val="24"/>
        </w:rPr>
        <w:t xml:space="preserve">(12), 36–57. </w:t>
      </w:r>
      <w:hyperlink r:id="rId18" w:history="1">
        <w:r w:rsidRPr="007957FB">
          <w:rPr>
            <w:rStyle w:val="Hyperlink"/>
            <w:rFonts w:ascii="Times New Roman" w:hAnsi="Times New Roman" w:cs="Times New Roman"/>
            <w:color w:val="000000" w:themeColor="text1"/>
            <w:sz w:val="24"/>
            <w:szCs w:val="24"/>
          </w:rPr>
          <w:t>https://doi.org/10.9734/ajrcos/2024/v17i12528</w:t>
        </w:r>
      </w:hyperlink>
      <w:r w:rsidRPr="007957FB">
        <w:rPr>
          <w:rFonts w:ascii="Times New Roman" w:hAnsi="Times New Roman" w:cs="Times New Roman"/>
          <w:color w:val="000000" w:themeColor="text1"/>
          <w:sz w:val="24"/>
          <w:szCs w:val="24"/>
        </w:rPr>
        <w:t xml:space="preserve"> </w:t>
      </w:r>
    </w:p>
    <w:p w14:paraId="134B1381"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Kurakin, A., Goodfellow, I. J., &amp; Bengio, S. (2016). Adversarial Machine Learning at Scale. </w:t>
      </w:r>
      <w:r w:rsidRPr="007957FB">
        <w:rPr>
          <w:i/>
          <w:iCs/>
          <w:color w:val="000000" w:themeColor="text1"/>
        </w:rPr>
        <w:t>ArXiv (Cornell University)</w:t>
      </w:r>
      <w:r w:rsidRPr="007957FB">
        <w:rPr>
          <w:color w:val="000000" w:themeColor="text1"/>
        </w:rPr>
        <w:t>. https://doi.org/10.48550/arxiv.1611.01236</w:t>
      </w:r>
    </w:p>
    <w:p w14:paraId="4237F615"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lang w:val="fr-FR"/>
        </w:rPr>
      </w:pPr>
      <w:r w:rsidRPr="007957FB">
        <w:rPr>
          <w:color w:val="000000" w:themeColor="text1"/>
        </w:rPr>
        <w:t xml:space="preserve">Landis, J. R., &amp; Koch, G. G. (1977). The measurement of observer agreement for categorical data. </w:t>
      </w:r>
      <w:r w:rsidRPr="007957FB">
        <w:rPr>
          <w:i/>
          <w:iCs/>
          <w:color w:val="000000" w:themeColor="text1"/>
          <w:lang w:val="fr-FR"/>
        </w:rPr>
        <w:t>Biometrics</w:t>
      </w:r>
      <w:r w:rsidRPr="007957FB">
        <w:rPr>
          <w:color w:val="000000" w:themeColor="text1"/>
          <w:lang w:val="fr-FR"/>
        </w:rPr>
        <w:t xml:space="preserve">, </w:t>
      </w:r>
      <w:r w:rsidRPr="007957FB">
        <w:rPr>
          <w:i/>
          <w:iCs/>
          <w:color w:val="000000" w:themeColor="text1"/>
          <w:lang w:val="fr-FR"/>
        </w:rPr>
        <w:t>33</w:t>
      </w:r>
      <w:r w:rsidRPr="007957FB">
        <w:rPr>
          <w:color w:val="000000" w:themeColor="text1"/>
          <w:lang w:val="fr-FR"/>
        </w:rPr>
        <w:t>(1), 159–174.</w:t>
      </w:r>
    </w:p>
    <w:p w14:paraId="77E862A3"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lang w:val="fr-FR"/>
        </w:rPr>
        <w:t xml:space="preserve">Li, S., Chen, Y., Chen, L., Liao, J., Kuang, C., Li, K., Liang, W., &amp; Xiong, N. (2023). </w:t>
      </w:r>
      <w:r w:rsidRPr="007957FB">
        <w:rPr>
          <w:color w:val="000000" w:themeColor="text1"/>
        </w:rPr>
        <w:t xml:space="preserve">Post-Quantum Security: Opportunities and Challenges. </w:t>
      </w:r>
      <w:r w:rsidRPr="007957FB">
        <w:rPr>
          <w:i/>
          <w:iCs/>
          <w:color w:val="000000" w:themeColor="text1"/>
        </w:rPr>
        <w:t>Sensors</w:t>
      </w:r>
      <w:r w:rsidRPr="007957FB">
        <w:rPr>
          <w:color w:val="000000" w:themeColor="text1"/>
        </w:rPr>
        <w:t xml:space="preserve">, </w:t>
      </w:r>
      <w:r w:rsidRPr="007957FB">
        <w:rPr>
          <w:i/>
          <w:iCs/>
          <w:color w:val="000000" w:themeColor="text1"/>
        </w:rPr>
        <w:t>23</w:t>
      </w:r>
      <w:r w:rsidRPr="007957FB">
        <w:rPr>
          <w:color w:val="000000" w:themeColor="text1"/>
        </w:rPr>
        <w:t>(21), 8744–8744. https://doi.org/10.3390/s23218744</w:t>
      </w:r>
    </w:p>
    <w:p w14:paraId="291CED58"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Liberati, A., Altman, D. G., Tetzlaff, J., Mulrow, C., Gøtzsche, P. C., Ioannidis, J. P. A., Clarke, M., Devereaux, P. J., Kleijnen, J., &amp; Moher, D. (2009). The PRISMA statement for reporting systematic reviews and meta-analyses of studies that evaluate health care interventions: explanation and elaboration. </w:t>
      </w:r>
      <w:r w:rsidRPr="007957FB">
        <w:rPr>
          <w:i/>
          <w:iCs/>
          <w:color w:val="000000" w:themeColor="text1"/>
        </w:rPr>
        <w:t>Journal of Clinical Epidemiology</w:t>
      </w:r>
      <w:r w:rsidRPr="007957FB">
        <w:rPr>
          <w:color w:val="000000" w:themeColor="text1"/>
        </w:rPr>
        <w:t xml:space="preserve">, </w:t>
      </w:r>
      <w:r w:rsidRPr="007957FB">
        <w:rPr>
          <w:i/>
          <w:iCs/>
          <w:color w:val="000000" w:themeColor="text1"/>
        </w:rPr>
        <w:t>62</w:t>
      </w:r>
      <w:r w:rsidRPr="007957FB">
        <w:rPr>
          <w:color w:val="000000" w:themeColor="text1"/>
        </w:rPr>
        <w:t>(10), e1–e34. https://doi.org/10.1016/j.jclinepi.2009.06.006</w:t>
      </w:r>
    </w:p>
    <w:p w14:paraId="55CA129F"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Moher, D., Liberati, A., Tetzlaff, J., &amp; Altman, D. G. (2009). Preferred Reporting Items for Systematic Reviews and Meta-Analyses: the PRISMA Statement. </w:t>
      </w:r>
      <w:r w:rsidRPr="007957FB">
        <w:rPr>
          <w:i/>
          <w:iCs/>
          <w:color w:val="000000" w:themeColor="text1"/>
        </w:rPr>
        <w:t>PLoS Medicine</w:t>
      </w:r>
      <w:r w:rsidRPr="007957FB">
        <w:rPr>
          <w:color w:val="000000" w:themeColor="text1"/>
        </w:rPr>
        <w:t xml:space="preserve">, </w:t>
      </w:r>
      <w:r w:rsidRPr="007957FB">
        <w:rPr>
          <w:i/>
          <w:iCs/>
          <w:color w:val="000000" w:themeColor="text1"/>
        </w:rPr>
        <w:t>6</w:t>
      </w:r>
      <w:r w:rsidRPr="007957FB">
        <w:rPr>
          <w:color w:val="000000" w:themeColor="text1"/>
        </w:rPr>
        <w:t>(7). https://doi.org/10.1371/journal.pmed.1000097</w:t>
      </w:r>
    </w:p>
    <w:p w14:paraId="44394CCE"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lang w:val="fr-FR"/>
        </w:rPr>
      </w:pPr>
      <w:r w:rsidRPr="007957FB">
        <w:rPr>
          <w:color w:val="000000" w:themeColor="text1"/>
        </w:rPr>
        <w:t xml:space="preserve">Okoli, C., &amp; Pawlowski, S. D. (2004). The Delphi method as a research tool: an example, design considerations and applications. </w:t>
      </w:r>
      <w:r w:rsidRPr="007957FB">
        <w:rPr>
          <w:i/>
          <w:iCs/>
          <w:color w:val="000000" w:themeColor="text1"/>
          <w:lang w:val="fr-FR"/>
        </w:rPr>
        <w:t>Information &amp; Management</w:t>
      </w:r>
      <w:r w:rsidRPr="007957FB">
        <w:rPr>
          <w:color w:val="000000" w:themeColor="text1"/>
          <w:lang w:val="fr-FR"/>
        </w:rPr>
        <w:t xml:space="preserve">, </w:t>
      </w:r>
      <w:r w:rsidRPr="007957FB">
        <w:rPr>
          <w:i/>
          <w:iCs/>
          <w:color w:val="000000" w:themeColor="text1"/>
          <w:lang w:val="fr-FR"/>
        </w:rPr>
        <w:t>42</w:t>
      </w:r>
      <w:r w:rsidRPr="007957FB">
        <w:rPr>
          <w:color w:val="000000" w:themeColor="text1"/>
          <w:lang w:val="fr-FR"/>
        </w:rPr>
        <w:t xml:space="preserve">(1), 15–29. </w:t>
      </w:r>
      <w:hyperlink r:id="rId19" w:history="1">
        <w:r w:rsidR="0064255C" w:rsidRPr="007957FB">
          <w:rPr>
            <w:rStyle w:val="Hyperlink"/>
            <w:lang w:val="fr-FR"/>
          </w:rPr>
          <w:t>https://doi.org/10.1016/j.im.2003.11.002</w:t>
        </w:r>
      </w:hyperlink>
    </w:p>
    <w:p w14:paraId="65445C04" w14:textId="77777777" w:rsidR="0064255C" w:rsidRPr="007957FB" w:rsidRDefault="0064255C" w:rsidP="0064255C">
      <w:pPr>
        <w:pStyle w:val="NoSpacing"/>
        <w:spacing w:line="360" w:lineRule="auto"/>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lang w:val="fr-FR"/>
        </w:rPr>
        <w:t xml:space="preserve">Olaniyi, O. O. (2024). </w:t>
      </w:r>
      <w:r w:rsidRPr="007957FB">
        <w:rPr>
          <w:rFonts w:ascii="Times New Roman" w:hAnsi="Times New Roman" w:cs="Times New Roman"/>
          <w:color w:val="000000" w:themeColor="text1"/>
          <w:sz w:val="24"/>
          <w:szCs w:val="24"/>
        </w:rPr>
        <w:t xml:space="preserve">Ballots and Padlocks: Building Digital Trust and Security in Democracy </w:t>
      </w:r>
    </w:p>
    <w:p w14:paraId="0A8AF5D9" w14:textId="77777777" w:rsidR="0064255C" w:rsidRPr="007957FB" w:rsidRDefault="0064255C" w:rsidP="0064255C">
      <w:pPr>
        <w:pStyle w:val="NoSpacing"/>
        <w:spacing w:line="360" w:lineRule="auto"/>
        <w:ind w:left="720"/>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rPr>
        <w:t xml:space="preserve">through Information Governance Strategies and Blockchain Technologies. Asian Journal of Research in Computer Science, 17(5), 172–189. </w:t>
      </w:r>
      <w:hyperlink r:id="rId20" w:history="1">
        <w:r w:rsidRPr="007957FB">
          <w:rPr>
            <w:rStyle w:val="Hyperlink"/>
            <w:rFonts w:ascii="Times New Roman" w:hAnsi="Times New Roman" w:cs="Times New Roman"/>
            <w:color w:val="000000" w:themeColor="text1"/>
            <w:sz w:val="24"/>
            <w:szCs w:val="24"/>
          </w:rPr>
          <w:t>https://doi.org/10.9734/ajrcos/2024/v17i5447</w:t>
        </w:r>
      </w:hyperlink>
    </w:p>
    <w:p w14:paraId="10064AFE"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Owoc, M. L., Sawicka, A., &amp; Weichbroth, P. (2021). Artificial Intelligence Technologies in Education: Benefits, Challenges and Strategies of Implementation. </w:t>
      </w:r>
      <w:r w:rsidRPr="007957FB">
        <w:rPr>
          <w:i/>
          <w:iCs/>
          <w:color w:val="000000" w:themeColor="text1"/>
        </w:rPr>
        <w:t xml:space="preserve">IFIP Advances in </w:t>
      </w:r>
      <w:r w:rsidRPr="007957FB">
        <w:rPr>
          <w:i/>
          <w:iCs/>
          <w:color w:val="000000" w:themeColor="text1"/>
        </w:rPr>
        <w:lastRenderedPageBreak/>
        <w:t>Information and Communication Technology</w:t>
      </w:r>
      <w:r w:rsidRPr="007957FB">
        <w:rPr>
          <w:color w:val="000000" w:themeColor="text1"/>
        </w:rPr>
        <w:t xml:space="preserve">, </w:t>
      </w:r>
      <w:r w:rsidRPr="007957FB">
        <w:rPr>
          <w:i/>
          <w:iCs/>
          <w:color w:val="000000" w:themeColor="text1"/>
        </w:rPr>
        <w:t>599</w:t>
      </w:r>
      <w:r w:rsidRPr="007957FB">
        <w:rPr>
          <w:color w:val="000000" w:themeColor="text1"/>
        </w:rPr>
        <w:t>, 37–58. https://doi.org/10.1007/978-3-030-85001-2_4</w:t>
      </w:r>
    </w:p>
    <w:p w14:paraId="5C77BED9"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lang w:val="fr-FR"/>
        </w:rPr>
      </w:pPr>
      <w:r w:rsidRPr="007957FB">
        <w:rPr>
          <w:color w:val="000000" w:themeColor="text1"/>
        </w:rPr>
        <w:t xml:space="preserve">Point, P. (2024). </w:t>
      </w:r>
      <w:r w:rsidRPr="007957FB">
        <w:rPr>
          <w:i/>
          <w:iCs/>
          <w:color w:val="000000" w:themeColor="text1"/>
        </w:rPr>
        <w:t>AI in Cybersecurity: 13 Examples and Use Cases</w:t>
      </w:r>
      <w:r w:rsidRPr="007957FB">
        <w:rPr>
          <w:color w:val="000000" w:themeColor="text1"/>
        </w:rPr>
        <w:t xml:space="preserve">. </w:t>
      </w:r>
      <w:r w:rsidRPr="007957FB">
        <w:rPr>
          <w:color w:val="000000" w:themeColor="text1"/>
          <w:lang w:val="fr-FR"/>
        </w:rPr>
        <w:t>Perception Point. https://perception-point.io/guides/ai-security/ai-in-cybersecurity-examples-use-cases/</w:t>
      </w:r>
    </w:p>
    <w:p w14:paraId="78E17D18"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Popper, K. (2005). </w:t>
      </w:r>
      <w:r w:rsidRPr="007957FB">
        <w:rPr>
          <w:i/>
          <w:iCs/>
          <w:color w:val="000000" w:themeColor="text1"/>
        </w:rPr>
        <w:t>The Logic of Scientific Discovery</w:t>
      </w:r>
      <w:r w:rsidRPr="007957FB">
        <w:rPr>
          <w:color w:val="000000" w:themeColor="text1"/>
        </w:rPr>
        <w:t>. Routledge.</w:t>
      </w:r>
    </w:p>
    <w:p w14:paraId="7D8901FE"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Porter, A. (2025). </w:t>
      </w:r>
      <w:r w:rsidRPr="007957FB">
        <w:rPr>
          <w:i/>
          <w:iCs/>
          <w:color w:val="000000" w:themeColor="text1"/>
        </w:rPr>
        <w:t>BigID</w:t>
      </w:r>
      <w:r w:rsidRPr="007957FB">
        <w:rPr>
          <w:color w:val="000000" w:themeColor="text1"/>
        </w:rPr>
        <w:t>. BigID. https://bigid.com/blog/ai-data-security/</w:t>
      </w:r>
    </w:p>
    <w:p w14:paraId="0C1E6C48"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Prasser, F., Kohlmayer, F., Lautenschläger, R., &amp; Kuhn, K. A. (2014). ARX--A Comprehensive Tool for Anonymizing Biomedical Data. </w:t>
      </w:r>
      <w:r w:rsidRPr="007957FB">
        <w:rPr>
          <w:i/>
          <w:iCs/>
          <w:color w:val="000000" w:themeColor="text1"/>
        </w:rPr>
        <w:t>AMIA ... Annual Symposium Proceedings. AMIA Symposium</w:t>
      </w:r>
      <w:r w:rsidRPr="007957FB">
        <w:rPr>
          <w:color w:val="000000" w:themeColor="text1"/>
        </w:rPr>
        <w:t xml:space="preserve">, </w:t>
      </w:r>
      <w:r w:rsidRPr="007957FB">
        <w:rPr>
          <w:i/>
          <w:iCs/>
          <w:color w:val="000000" w:themeColor="text1"/>
        </w:rPr>
        <w:t>2014</w:t>
      </w:r>
      <w:r w:rsidRPr="007957FB">
        <w:rPr>
          <w:color w:val="000000" w:themeColor="text1"/>
        </w:rPr>
        <w:t>, 984–993. https://pubmed.ncbi.nlm.nih.gov/25954407/</w:t>
      </w:r>
    </w:p>
    <w:p w14:paraId="062CB524"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QSR International. (2021). </w:t>
      </w:r>
      <w:r w:rsidRPr="007957FB">
        <w:rPr>
          <w:i/>
          <w:iCs/>
          <w:color w:val="000000" w:themeColor="text1"/>
        </w:rPr>
        <w:t>Qualitative Data Analysis Software | NVivo</w:t>
      </w:r>
      <w:r w:rsidRPr="007957FB">
        <w:rPr>
          <w:color w:val="000000" w:themeColor="text1"/>
        </w:rPr>
        <w:t>. Www.qsrinternational.com. https://www.qsrinternational.com/nvivo-qualitative-data-analysis-software/home</w:t>
      </w:r>
    </w:p>
    <w:p w14:paraId="7C2DD548"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Resnik, D. B. (2018). The Ethics of Research with Human Subjects: Protecting People, Advancing Science, Promoting Trust. In </w:t>
      </w:r>
      <w:r w:rsidRPr="007957FB">
        <w:rPr>
          <w:i/>
          <w:iCs/>
          <w:color w:val="000000" w:themeColor="text1"/>
        </w:rPr>
        <w:t>PhilPapers</w:t>
      </w:r>
      <w:r w:rsidRPr="007957FB">
        <w:rPr>
          <w:color w:val="000000" w:themeColor="text1"/>
        </w:rPr>
        <w:t>. Springer Verlag. https://philpapers.org/rec/RESTEO-7</w:t>
      </w:r>
    </w:p>
    <w:p w14:paraId="055C15A2"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Rohan Chhatre, &amp; Singh, S. (2024). Policy and Regulatory Frameworks for Artificial Intelligence. </w:t>
      </w:r>
      <w:r w:rsidRPr="007957FB">
        <w:rPr>
          <w:i/>
          <w:iCs/>
          <w:color w:val="000000" w:themeColor="text1"/>
        </w:rPr>
        <w:t>SSRN Electronic Journal</w:t>
      </w:r>
      <w:r w:rsidRPr="007957FB">
        <w:rPr>
          <w:color w:val="000000" w:themeColor="text1"/>
        </w:rPr>
        <w:t>. https://doi.org/10.2139/ssrn.4848705</w:t>
      </w:r>
    </w:p>
    <w:p w14:paraId="38B69FAD"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Romana, F., &amp; Santiago, F. (2024). A Comparative Analysis of Artificial Intelligence Regulatory Law in Asia, Europe, and America. </w:t>
      </w:r>
      <w:r w:rsidRPr="007957FB">
        <w:rPr>
          <w:i/>
          <w:iCs/>
          <w:color w:val="000000" w:themeColor="text1"/>
        </w:rPr>
        <w:t>SHS Web of Conferences</w:t>
      </w:r>
      <w:r w:rsidRPr="007957FB">
        <w:rPr>
          <w:color w:val="000000" w:themeColor="text1"/>
        </w:rPr>
        <w:t xml:space="preserve">, </w:t>
      </w:r>
      <w:r w:rsidRPr="007957FB">
        <w:rPr>
          <w:i/>
          <w:iCs/>
          <w:color w:val="000000" w:themeColor="text1"/>
        </w:rPr>
        <w:t>204</w:t>
      </w:r>
      <w:r w:rsidRPr="007957FB">
        <w:rPr>
          <w:color w:val="000000" w:themeColor="text1"/>
        </w:rPr>
        <w:t>, 07006–07006. https://doi.org/10.1051/shsconf/202420407006</w:t>
      </w:r>
    </w:p>
    <w:p w14:paraId="51186FB0"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Rotlevi, S. (2024). </w:t>
      </w:r>
      <w:r w:rsidRPr="007957FB">
        <w:rPr>
          <w:i/>
          <w:iCs/>
          <w:color w:val="000000" w:themeColor="text1"/>
        </w:rPr>
        <w:t>AI Data Security: Key Principles and Best Practices</w:t>
      </w:r>
      <w:r w:rsidRPr="007957FB">
        <w:rPr>
          <w:color w:val="000000" w:themeColor="text1"/>
        </w:rPr>
        <w:t>. Wiz.io; Wiz.io. https://www.wiz.io/academy/ai-data-security</w:t>
      </w:r>
    </w:p>
    <w:p w14:paraId="3181837D"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lang w:val="fr-FR"/>
        </w:rPr>
      </w:pPr>
      <w:r w:rsidRPr="007957FB">
        <w:rPr>
          <w:color w:val="000000" w:themeColor="text1"/>
        </w:rPr>
        <w:t xml:space="preserve">Saldana, J. (2021). </w:t>
      </w:r>
      <w:r w:rsidRPr="007957FB">
        <w:rPr>
          <w:i/>
          <w:iCs/>
          <w:color w:val="000000" w:themeColor="text1"/>
        </w:rPr>
        <w:t>The Coding Manual for Qualitative Researchers</w:t>
      </w:r>
      <w:r w:rsidRPr="007957FB">
        <w:rPr>
          <w:color w:val="000000" w:themeColor="text1"/>
        </w:rPr>
        <w:t xml:space="preserve">. </w:t>
      </w:r>
      <w:r w:rsidRPr="007957FB">
        <w:rPr>
          <w:color w:val="000000" w:themeColor="text1"/>
          <w:lang w:val="fr-FR"/>
        </w:rPr>
        <w:t xml:space="preserve">SAGE Publications Ltd. </w:t>
      </w:r>
      <w:hyperlink r:id="rId21" w:history="1">
        <w:r w:rsidR="0064255C" w:rsidRPr="007957FB">
          <w:rPr>
            <w:rStyle w:val="Hyperlink"/>
            <w:lang w:val="fr-FR"/>
          </w:rPr>
          <w:t>https://uk.sagepub.com/en-gb/eur/the-coding-manual-for-qualitative-researchers/book273583</w:t>
        </w:r>
      </w:hyperlink>
    </w:p>
    <w:p w14:paraId="509E1000" w14:textId="77777777" w:rsidR="0064255C" w:rsidRPr="007957FB" w:rsidRDefault="0064255C" w:rsidP="0064255C">
      <w:pPr>
        <w:spacing w:after="240" w:line="360" w:lineRule="auto"/>
        <w:ind w:left="720" w:hanging="720"/>
        <w:jc w:val="both"/>
        <w:rPr>
          <w:rFonts w:ascii="Times New Roman" w:hAnsi="Times New Roman" w:cs="Times New Roman"/>
          <w:color w:val="000000" w:themeColor="text1"/>
          <w:sz w:val="24"/>
          <w:szCs w:val="24"/>
        </w:rPr>
      </w:pPr>
      <w:r w:rsidRPr="007957FB">
        <w:rPr>
          <w:rFonts w:ascii="Times New Roman" w:hAnsi="Times New Roman" w:cs="Times New Roman"/>
          <w:color w:val="000000" w:themeColor="text1"/>
          <w:sz w:val="24"/>
          <w:szCs w:val="24"/>
          <w:lang w:val="es-ES"/>
        </w:rPr>
        <w:t xml:space="preserve">Salako, A. O., Fabuyi, J. A., Aideyan, N. T., Selesi-Aina, O., Dapo-Oyewole, D. L., &amp; Olaniyi, O. O. (2024). </w:t>
      </w:r>
      <w:r w:rsidRPr="007957FB">
        <w:rPr>
          <w:rFonts w:ascii="Times New Roman" w:hAnsi="Times New Roman" w:cs="Times New Roman"/>
          <w:color w:val="000000" w:themeColor="text1"/>
          <w:sz w:val="24"/>
          <w:szCs w:val="24"/>
        </w:rPr>
        <w:t xml:space="preserve">Advancing Information Governance in AI-Driven Cloud Ecosystem: Strategies for Enhancing Data Security and Meeting Regulatory Compliance. </w:t>
      </w:r>
      <w:r w:rsidRPr="007957FB">
        <w:rPr>
          <w:rFonts w:ascii="Times New Roman" w:hAnsi="Times New Roman" w:cs="Times New Roman"/>
          <w:i/>
          <w:color w:val="000000" w:themeColor="text1"/>
          <w:sz w:val="24"/>
          <w:szCs w:val="24"/>
        </w:rPr>
        <w:t>Asian Journal of Research in Computer Science</w:t>
      </w:r>
      <w:r w:rsidRPr="007957FB">
        <w:rPr>
          <w:rFonts w:ascii="Times New Roman" w:hAnsi="Times New Roman" w:cs="Times New Roman"/>
          <w:color w:val="000000" w:themeColor="text1"/>
          <w:sz w:val="24"/>
          <w:szCs w:val="24"/>
        </w:rPr>
        <w:t xml:space="preserve">, </w:t>
      </w:r>
      <w:r w:rsidRPr="007957FB">
        <w:rPr>
          <w:rFonts w:ascii="Times New Roman" w:hAnsi="Times New Roman" w:cs="Times New Roman"/>
          <w:i/>
          <w:color w:val="000000" w:themeColor="text1"/>
          <w:sz w:val="24"/>
          <w:szCs w:val="24"/>
        </w:rPr>
        <w:t>17</w:t>
      </w:r>
      <w:r w:rsidRPr="007957FB">
        <w:rPr>
          <w:rFonts w:ascii="Times New Roman" w:hAnsi="Times New Roman" w:cs="Times New Roman"/>
          <w:color w:val="000000" w:themeColor="text1"/>
          <w:sz w:val="24"/>
          <w:szCs w:val="24"/>
        </w:rPr>
        <w:t xml:space="preserve">(12), 66–88. </w:t>
      </w:r>
      <w:hyperlink r:id="rId22" w:history="1">
        <w:r w:rsidRPr="007957FB">
          <w:rPr>
            <w:rStyle w:val="Hyperlink"/>
            <w:rFonts w:ascii="Times New Roman" w:hAnsi="Times New Roman" w:cs="Times New Roman"/>
            <w:color w:val="000000" w:themeColor="text1"/>
            <w:sz w:val="24"/>
            <w:szCs w:val="24"/>
          </w:rPr>
          <w:t>https://doi.org/10.9734/ajrcos/2024/v17i12530</w:t>
        </w:r>
      </w:hyperlink>
      <w:r w:rsidRPr="007957FB">
        <w:rPr>
          <w:rFonts w:ascii="Times New Roman" w:hAnsi="Times New Roman" w:cs="Times New Roman"/>
          <w:color w:val="000000" w:themeColor="text1"/>
          <w:sz w:val="24"/>
          <w:szCs w:val="24"/>
        </w:rPr>
        <w:t xml:space="preserve"> </w:t>
      </w:r>
    </w:p>
    <w:p w14:paraId="5AD8B5AD"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lang w:val="es-ES"/>
        </w:rPr>
      </w:pPr>
      <w:r w:rsidRPr="007957FB">
        <w:rPr>
          <w:color w:val="000000" w:themeColor="text1"/>
        </w:rPr>
        <w:lastRenderedPageBreak/>
        <w:t xml:space="preserve">Scherlis, B. (2024, August 5). </w:t>
      </w:r>
      <w:r w:rsidRPr="007957FB">
        <w:rPr>
          <w:i/>
          <w:iCs/>
          <w:color w:val="000000" w:themeColor="text1"/>
        </w:rPr>
        <w:t>Weaknesses and Vulnerabilities in Modern AI: Integrity, Confidentiality, and Governance</w:t>
      </w:r>
      <w:r w:rsidRPr="007957FB">
        <w:rPr>
          <w:color w:val="000000" w:themeColor="text1"/>
        </w:rPr>
        <w:t xml:space="preserve">. </w:t>
      </w:r>
      <w:r w:rsidRPr="007957FB">
        <w:rPr>
          <w:color w:val="000000" w:themeColor="text1"/>
          <w:lang w:val="es-ES"/>
        </w:rPr>
        <w:t>SEI Blog. https://insights.sei.cmu.edu/blog/weaknesses-and-vulnerabilities-in-modern-ai-integrity-confidentiality-and-governance/</w:t>
      </w:r>
    </w:p>
    <w:p w14:paraId="46BE9A58"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lang w:val="es-ES"/>
        </w:rPr>
        <w:t xml:space="preserve">Segun Obisesan. </w:t>
      </w:r>
      <w:r w:rsidRPr="007957FB">
        <w:rPr>
          <w:color w:val="000000" w:themeColor="text1"/>
        </w:rPr>
        <w:t xml:space="preserve">(2024). Integrating Artificial Intelligence and Cybersecurity Frameworks: Challenges and Opportunities in... </w:t>
      </w:r>
      <w:r w:rsidRPr="007957FB">
        <w:rPr>
          <w:i/>
          <w:iCs/>
          <w:color w:val="000000" w:themeColor="text1"/>
        </w:rPr>
        <w:t>ResearchGate</w:t>
      </w:r>
      <w:r w:rsidRPr="007957FB">
        <w:rPr>
          <w:color w:val="000000" w:themeColor="text1"/>
        </w:rPr>
        <w:t>. https://doi.org/10.13140/RG.2.2.34780.91527</w:t>
      </w:r>
    </w:p>
    <w:p w14:paraId="1933FC69"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Sentinelone. (2024). </w:t>
      </w:r>
      <w:r w:rsidRPr="007957FB">
        <w:rPr>
          <w:i/>
          <w:iCs/>
          <w:color w:val="000000" w:themeColor="text1"/>
        </w:rPr>
        <w:t>What is AI Data Security? Examples &amp; Best Practices</w:t>
      </w:r>
      <w:r w:rsidRPr="007957FB">
        <w:rPr>
          <w:color w:val="000000" w:themeColor="text1"/>
        </w:rPr>
        <w:t>. SentinelOne. https://www.sentinelone.com/cybersecurity-101/data-and-ai/ai-data-security/</w:t>
      </w:r>
    </w:p>
    <w:p w14:paraId="7A6704D5"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Talati, D. V. (2024). Artificial Intelligence and Information Governance: Enhancing Global Security through Compliance Frameworks and Data Protection. </w:t>
      </w:r>
      <w:r w:rsidRPr="007957FB">
        <w:rPr>
          <w:i/>
          <w:iCs/>
          <w:color w:val="000000" w:themeColor="text1"/>
        </w:rPr>
        <w:t>International Journal of Innovative Research in Computer and Communication Engineering</w:t>
      </w:r>
      <w:r w:rsidRPr="007957FB">
        <w:rPr>
          <w:color w:val="000000" w:themeColor="text1"/>
        </w:rPr>
        <w:t xml:space="preserve">, </w:t>
      </w:r>
      <w:r w:rsidRPr="007957FB">
        <w:rPr>
          <w:i/>
          <w:iCs/>
          <w:color w:val="000000" w:themeColor="text1"/>
        </w:rPr>
        <w:t>12</w:t>
      </w:r>
      <w:r w:rsidRPr="007957FB">
        <w:rPr>
          <w:color w:val="000000" w:themeColor="text1"/>
        </w:rPr>
        <w:t>(06). https://doi.org/10.15680/ijircce.2023.1206003</w:t>
      </w:r>
    </w:p>
    <w:p w14:paraId="5D316486"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Upadhyay, V. (2024). </w:t>
      </w:r>
      <w:r w:rsidRPr="007957FB">
        <w:rPr>
          <w:i/>
          <w:iCs/>
          <w:color w:val="000000" w:themeColor="text1"/>
        </w:rPr>
        <w:t>Futran Solutions Inc</w:t>
      </w:r>
      <w:r w:rsidRPr="007957FB">
        <w:rPr>
          <w:color w:val="000000" w:themeColor="text1"/>
        </w:rPr>
        <w:t>. Futran Solutions. https://futransolutions.com/blog/how-to-use-artificial-intelligence-ai-in-cybersecurity/</w:t>
      </w:r>
    </w:p>
    <w:p w14:paraId="4AEA6057"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Wilkinson, M. D., Dumontier, M., Aalbersberg, Ij. J., Appleton, G., Axton, M., Baak, A., Blomberg, N., Boiten, J.-W., da Silva Santos, L. B., Bourne, P. E., Bouwman, J., Brookes, A. J., Clark, T., Crosas, M., Dillo, I., Dumon, O., Edmunds, S., Evelo, C. T., Finkers, R., &amp; Gonzalez-Beltran, A. (2016). The FAIR Guiding Principles for Scientific Data Management and Stewardship. </w:t>
      </w:r>
      <w:r w:rsidRPr="007957FB">
        <w:rPr>
          <w:i/>
          <w:iCs/>
          <w:color w:val="000000" w:themeColor="text1"/>
        </w:rPr>
        <w:t>Scientific Data</w:t>
      </w:r>
      <w:r w:rsidRPr="007957FB">
        <w:rPr>
          <w:color w:val="000000" w:themeColor="text1"/>
        </w:rPr>
        <w:t xml:space="preserve">, </w:t>
      </w:r>
      <w:r w:rsidRPr="007957FB">
        <w:rPr>
          <w:i/>
          <w:iCs/>
          <w:color w:val="000000" w:themeColor="text1"/>
        </w:rPr>
        <w:t>3</w:t>
      </w:r>
      <w:r w:rsidRPr="007957FB">
        <w:rPr>
          <w:color w:val="000000" w:themeColor="text1"/>
        </w:rPr>
        <w:t>(1). https://www.nature.com/articles/sdata201618</w:t>
      </w:r>
    </w:p>
    <w:p w14:paraId="1C7EC685"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World Economic Forum. (2025). </w:t>
      </w:r>
      <w:r w:rsidRPr="007957FB">
        <w:rPr>
          <w:i/>
          <w:iCs/>
          <w:color w:val="000000" w:themeColor="text1"/>
        </w:rPr>
        <w:t>Artificial intelligence and cybersecurity: Balancing risks and rewards J A N U A R Y 2 0 2 5 Transformation of Industries in the Age of AI</w:t>
      </w:r>
      <w:r w:rsidRPr="007957FB">
        <w:rPr>
          <w:color w:val="000000" w:themeColor="text1"/>
        </w:rPr>
        <w:t>. https://reports.weforum.org/docs/WEF_Artificial_Intelligence_and_Cybersecurity_Balancing_Risks_and_Rewards_2025.pdf</w:t>
      </w:r>
    </w:p>
    <w:p w14:paraId="469298C9"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t xml:space="preserve">World Medical Association. (2024). </w:t>
      </w:r>
      <w:r w:rsidRPr="007957FB">
        <w:rPr>
          <w:i/>
          <w:iCs/>
          <w:color w:val="000000" w:themeColor="text1"/>
        </w:rPr>
        <w:t>WMA - the World Medical Association-WMA Declaration of Helsinki – Ethical Principles for Medical Research Involving Human Participants</w:t>
      </w:r>
      <w:r w:rsidRPr="007957FB">
        <w:rPr>
          <w:color w:val="000000" w:themeColor="text1"/>
        </w:rPr>
        <w:t>. Wma.net; WMA - the World Medical Association-WMA Declaration of Helsinki – Ethical Principles for Medical Research Involving Human Participants. https://www.wma.net/policies-post/wma-declaration-of-helsinki/</w:t>
      </w:r>
    </w:p>
    <w:p w14:paraId="00FC20E7" w14:textId="77777777" w:rsidR="009177DC" w:rsidRPr="007957FB" w:rsidRDefault="009177DC" w:rsidP="009177DC">
      <w:pPr>
        <w:pStyle w:val="NormalWeb"/>
        <w:spacing w:before="0" w:beforeAutospacing="0" w:after="0" w:afterAutospacing="0" w:line="360" w:lineRule="auto"/>
        <w:ind w:left="720" w:hanging="720"/>
        <w:jc w:val="both"/>
        <w:rPr>
          <w:color w:val="000000" w:themeColor="text1"/>
        </w:rPr>
      </w:pPr>
      <w:r w:rsidRPr="007957FB">
        <w:rPr>
          <w:color w:val="000000" w:themeColor="text1"/>
        </w:rPr>
        <w:lastRenderedPageBreak/>
        <w:t xml:space="preserve">Zhou, S., Liu, C., Ye, D., Zhu, T., Zhou, W., &amp; Yu, P. S. (2022). Adversarial Attacks and Defenses in Deep Learning: from a Perspective of Cybersecurity. </w:t>
      </w:r>
      <w:r w:rsidRPr="007957FB">
        <w:rPr>
          <w:i/>
          <w:iCs/>
          <w:color w:val="000000" w:themeColor="text1"/>
        </w:rPr>
        <w:t>ACM Computing Surveys</w:t>
      </w:r>
      <w:r w:rsidRPr="007957FB">
        <w:rPr>
          <w:color w:val="000000" w:themeColor="text1"/>
        </w:rPr>
        <w:t xml:space="preserve">, </w:t>
      </w:r>
      <w:r w:rsidRPr="007957FB">
        <w:rPr>
          <w:i/>
          <w:iCs/>
          <w:color w:val="000000" w:themeColor="text1"/>
        </w:rPr>
        <w:t>55</w:t>
      </w:r>
      <w:r w:rsidRPr="007957FB">
        <w:rPr>
          <w:color w:val="000000" w:themeColor="text1"/>
        </w:rPr>
        <w:t>(8). https://doi.org/10.1145/3547330</w:t>
      </w:r>
    </w:p>
    <w:p w14:paraId="6386F523"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p>
    <w:p w14:paraId="4B773AE6"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p>
    <w:p w14:paraId="381B602C"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p>
    <w:p w14:paraId="0D4550ED"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p>
    <w:p w14:paraId="373E5EE1" w14:textId="77777777" w:rsidR="009177DC" w:rsidRPr="007957FB" w:rsidRDefault="009177DC" w:rsidP="009177DC">
      <w:pPr>
        <w:spacing w:line="360" w:lineRule="auto"/>
        <w:jc w:val="both"/>
        <w:rPr>
          <w:rFonts w:ascii="Times New Roman" w:hAnsi="Times New Roman" w:cs="Times New Roman"/>
          <w:color w:val="000000" w:themeColor="text1"/>
          <w:sz w:val="24"/>
          <w:szCs w:val="24"/>
        </w:rPr>
      </w:pPr>
    </w:p>
    <w:p w14:paraId="6ECA9BDA" w14:textId="77777777" w:rsidR="005E3BA4" w:rsidRPr="007957FB" w:rsidRDefault="005E3BA4" w:rsidP="009177DC">
      <w:pPr>
        <w:spacing w:line="360" w:lineRule="auto"/>
        <w:jc w:val="both"/>
        <w:rPr>
          <w:rFonts w:ascii="Times New Roman" w:hAnsi="Times New Roman" w:cs="Times New Roman"/>
          <w:b/>
          <w:color w:val="000000" w:themeColor="text1"/>
          <w:sz w:val="24"/>
          <w:szCs w:val="24"/>
        </w:rPr>
      </w:pPr>
    </w:p>
    <w:p w14:paraId="6DC9EA49" w14:textId="77777777" w:rsidR="005F33CB" w:rsidRPr="007957FB" w:rsidRDefault="005F33CB" w:rsidP="009177DC">
      <w:pPr>
        <w:spacing w:line="360" w:lineRule="auto"/>
        <w:jc w:val="both"/>
        <w:rPr>
          <w:rFonts w:ascii="Times New Roman" w:hAnsi="Times New Roman" w:cs="Times New Roman"/>
          <w:color w:val="000000" w:themeColor="text1"/>
          <w:sz w:val="24"/>
          <w:szCs w:val="24"/>
        </w:rPr>
      </w:pPr>
    </w:p>
    <w:p w14:paraId="762DE887" w14:textId="77777777" w:rsidR="005F33CB" w:rsidRPr="007957FB" w:rsidRDefault="005F33CB" w:rsidP="009177DC">
      <w:pPr>
        <w:spacing w:line="360" w:lineRule="auto"/>
        <w:jc w:val="both"/>
        <w:rPr>
          <w:rFonts w:ascii="Times New Roman" w:hAnsi="Times New Roman" w:cs="Times New Roman"/>
          <w:color w:val="000000" w:themeColor="text1"/>
          <w:sz w:val="24"/>
          <w:szCs w:val="24"/>
        </w:rPr>
      </w:pPr>
    </w:p>
    <w:p w14:paraId="5A3E868A" w14:textId="77777777" w:rsidR="008C1449" w:rsidRPr="007957FB" w:rsidRDefault="008C1449" w:rsidP="009177DC">
      <w:pPr>
        <w:spacing w:line="360" w:lineRule="auto"/>
        <w:jc w:val="both"/>
        <w:rPr>
          <w:rFonts w:ascii="Times New Roman" w:hAnsi="Times New Roman" w:cs="Times New Roman"/>
          <w:color w:val="000000" w:themeColor="text1"/>
          <w:sz w:val="24"/>
          <w:szCs w:val="24"/>
        </w:rPr>
      </w:pPr>
    </w:p>
    <w:sectPr w:rsidR="008C1449" w:rsidRPr="007957FB">
      <w:headerReference w:type="even" r:id="rId23"/>
      <w:headerReference w:type="default" r:id="rId24"/>
      <w:head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2648" w14:textId="77777777" w:rsidR="00B35844" w:rsidRDefault="00B35844" w:rsidP="003254B2">
      <w:pPr>
        <w:spacing w:after="0" w:line="240" w:lineRule="auto"/>
      </w:pPr>
      <w:r>
        <w:separator/>
      </w:r>
    </w:p>
  </w:endnote>
  <w:endnote w:type="continuationSeparator" w:id="0">
    <w:p w14:paraId="7957841F" w14:textId="77777777" w:rsidR="00B35844" w:rsidRDefault="00B35844" w:rsidP="0032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C2F3" w14:textId="77777777" w:rsidR="00B35844" w:rsidRDefault="00B35844" w:rsidP="003254B2">
      <w:pPr>
        <w:spacing w:after="0" w:line="240" w:lineRule="auto"/>
      </w:pPr>
      <w:r>
        <w:separator/>
      </w:r>
    </w:p>
  </w:footnote>
  <w:footnote w:type="continuationSeparator" w:id="0">
    <w:p w14:paraId="6388FF8C" w14:textId="77777777" w:rsidR="00B35844" w:rsidRDefault="00B35844" w:rsidP="0032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4440" w14:textId="77777777" w:rsidR="0055454D" w:rsidRDefault="00CE554A">
    <w:pPr>
      <w:pStyle w:val="Header"/>
    </w:pPr>
    <w:r>
      <w:rPr>
        <w:noProof/>
      </w:rPr>
      <w:pict w14:anchorId="74761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51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8FFC" w14:textId="77777777" w:rsidR="0055454D" w:rsidRDefault="00CE554A">
    <w:pPr>
      <w:pStyle w:val="Header"/>
    </w:pPr>
    <w:r>
      <w:rPr>
        <w:noProof/>
      </w:rPr>
      <w:pict w14:anchorId="7060C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51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5D75" w14:textId="77777777" w:rsidR="0055454D" w:rsidRDefault="00CE554A">
    <w:pPr>
      <w:pStyle w:val="Header"/>
    </w:pPr>
    <w:r>
      <w:rPr>
        <w:noProof/>
      </w:rPr>
      <w:pict w14:anchorId="4B04E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51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3F5"/>
    <w:multiLevelType w:val="hybridMultilevel"/>
    <w:tmpl w:val="546E607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130224"/>
    <w:multiLevelType w:val="multilevel"/>
    <w:tmpl w:val="92C64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73161"/>
    <w:multiLevelType w:val="multilevel"/>
    <w:tmpl w:val="03702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06D7C"/>
    <w:multiLevelType w:val="hybridMultilevel"/>
    <w:tmpl w:val="F5602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EE7D8C"/>
    <w:multiLevelType w:val="multilevel"/>
    <w:tmpl w:val="7FAC8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D63ADE"/>
    <w:multiLevelType w:val="hybridMultilevel"/>
    <w:tmpl w:val="D792AC7A"/>
    <w:lvl w:ilvl="0" w:tplc="0409001B">
      <w:start w:val="1"/>
      <w:numFmt w:val="lowerRoman"/>
      <w:lvlText w:val="%1."/>
      <w:lvlJc w:val="right"/>
      <w:pPr>
        <w:ind w:left="720" w:hanging="360"/>
      </w:pPr>
    </w:lvl>
    <w:lvl w:ilvl="1" w:tplc="49B03F0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702087"/>
    <w:multiLevelType w:val="hybridMultilevel"/>
    <w:tmpl w:val="1340E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6E671D"/>
    <w:multiLevelType w:val="hybridMultilevel"/>
    <w:tmpl w:val="F364FA6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EA33B8"/>
    <w:multiLevelType w:val="multilevel"/>
    <w:tmpl w:val="89F4C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0E32D4"/>
    <w:multiLevelType w:val="hybridMultilevel"/>
    <w:tmpl w:val="4940A17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031A00"/>
    <w:multiLevelType w:val="hybridMultilevel"/>
    <w:tmpl w:val="7110FD5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A207AE"/>
    <w:multiLevelType w:val="hybridMultilevel"/>
    <w:tmpl w:val="95763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DA7F7E"/>
    <w:multiLevelType w:val="multilevel"/>
    <w:tmpl w:val="D8109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F52BD3"/>
    <w:multiLevelType w:val="hybridMultilevel"/>
    <w:tmpl w:val="ED72C4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E816E7"/>
    <w:multiLevelType w:val="hybridMultilevel"/>
    <w:tmpl w:val="BBDEA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372E5D"/>
    <w:multiLevelType w:val="hybridMultilevel"/>
    <w:tmpl w:val="757CB8D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3D34973"/>
    <w:multiLevelType w:val="hybridMultilevel"/>
    <w:tmpl w:val="BF940B8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45F3F86"/>
    <w:multiLevelType w:val="hybridMultilevel"/>
    <w:tmpl w:val="971A5B7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82D158F"/>
    <w:multiLevelType w:val="hybridMultilevel"/>
    <w:tmpl w:val="6CBE55F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7F3AE1"/>
    <w:multiLevelType w:val="hybridMultilevel"/>
    <w:tmpl w:val="F4528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DFA2D42"/>
    <w:multiLevelType w:val="hybridMultilevel"/>
    <w:tmpl w:val="EB4E9E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3172843">
    <w:abstractNumId w:val="12"/>
  </w:num>
  <w:num w:numId="2" w16cid:durableId="275871421">
    <w:abstractNumId w:val="1"/>
  </w:num>
  <w:num w:numId="3" w16cid:durableId="650794725">
    <w:abstractNumId w:val="2"/>
  </w:num>
  <w:num w:numId="4" w16cid:durableId="1292705683">
    <w:abstractNumId w:val="8"/>
  </w:num>
  <w:num w:numId="5" w16cid:durableId="2070611472">
    <w:abstractNumId w:val="4"/>
  </w:num>
  <w:num w:numId="6" w16cid:durableId="236941518">
    <w:abstractNumId w:val="13"/>
  </w:num>
  <w:num w:numId="7" w16cid:durableId="1405758055">
    <w:abstractNumId w:val="6"/>
  </w:num>
  <w:num w:numId="8" w16cid:durableId="1302466486">
    <w:abstractNumId w:val="3"/>
  </w:num>
  <w:num w:numId="9" w16cid:durableId="18200773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0967191">
    <w:abstractNumId w:val="11"/>
  </w:num>
  <w:num w:numId="11" w16cid:durableId="1255866655">
    <w:abstractNumId w:val="19"/>
  </w:num>
  <w:num w:numId="12" w16cid:durableId="98107978">
    <w:abstractNumId w:val="14"/>
  </w:num>
  <w:num w:numId="13" w16cid:durableId="5881980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29652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8306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73600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9719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6890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1439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5991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70016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8B3"/>
    <w:rsid w:val="00064DDD"/>
    <w:rsid w:val="000A225D"/>
    <w:rsid w:val="00156A7F"/>
    <w:rsid w:val="00184A60"/>
    <w:rsid w:val="001B23B7"/>
    <w:rsid w:val="00226E8F"/>
    <w:rsid w:val="00242A48"/>
    <w:rsid w:val="00276380"/>
    <w:rsid w:val="002D5FF4"/>
    <w:rsid w:val="003254B2"/>
    <w:rsid w:val="003D6D7C"/>
    <w:rsid w:val="003F075E"/>
    <w:rsid w:val="00491008"/>
    <w:rsid w:val="004D0455"/>
    <w:rsid w:val="004F7CAD"/>
    <w:rsid w:val="0050702B"/>
    <w:rsid w:val="0055454D"/>
    <w:rsid w:val="005954E7"/>
    <w:rsid w:val="005A795B"/>
    <w:rsid w:val="005E3BA4"/>
    <w:rsid w:val="005F33CB"/>
    <w:rsid w:val="00623CD6"/>
    <w:rsid w:val="0063182B"/>
    <w:rsid w:val="006339F2"/>
    <w:rsid w:val="0064255C"/>
    <w:rsid w:val="00690CB8"/>
    <w:rsid w:val="006B32F4"/>
    <w:rsid w:val="006B55C5"/>
    <w:rsid w:val="006C0A47"/>
    <w:rsid w:val="007028B3"/>
    <w:rsid w:val="00705535"/>
    <w:rsid w:val="00736C02"/>
    <w:rsid w:val="00771CC7"/>
    <w:rsid w:val="007957FB"/>
    <w:rsid w:val="007D74AD"/>
    <w:rsid w:val="0085511B"/>
    <w:rsid w:val="00866B1F"/>
    <w:rsid w:val="008C1449"/>
    <w:rsid w:val="009177DC"/>
    <w:rsid w:val="00971CC8"/>
    <w:rsid w:val="009851FC"/>
    <w:rsid w:val="009A59FC"/>
    <w:rsid w:val="009C3C35"/>
    <w:rsid w:val="009D64B7"/>
    <w:rsid w:val="009F0D65"/>
    <w:rsid w:val="00A84FDA"/>
    <w:rsid w:val="00AB3EBC"/>
    <w:rsid w:val="00B03A8D"/>
    <w:rsid w:val="00B35844"/>
    <w:rsid w:val="00B86C75"/>
    <w:rsid w:val="00BB26A1"/>
    <w:rsid w:val="00BF4989"/>
    <w:rsid w:val="00C92CD1"/>
    <w:rsid w:val="00CA3BE4"/>
    <w:rsid w:val="00CE554A"/>
    <w:rsid w:val="00DA34ED"/>
    <w:rsid w:val="00DD4C89"/>
    <w:rsid w:val="00E4600E"/>
    <w:rsid w:val="00E87A10"/>
    <w:rsid w:val="00F343A1"/>
    <w:rsid w:val="00F40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0A0DDE"/>
  <w15:chartTrackingRefBased/>
  <w15:docId w15:val="{4D03E2EA-8DA2-4906-AFB7-E08D924A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028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028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28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8B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028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28B3"/>
    <w:rPr>
      <w:rFonts w:ascii="Times New Roman" w:eastAsia="Times New Roman" w:hAnsi="Times New Roman" w:cs="Times New Roman"/>
      <w:b/>
      <w:bCs/>
      <w:sz w:val="27"/>
      <w:szCs w:val="27"/>
    </w:rPr>
  </w:style>
  <w:style w:type="paragraph" w:customStyle="1" w:styleId="my-0">
    <w:name w:val="my-0"/>
    <w:basedOn w:val="Normal"/>
    <w:rsid w:val="007028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28B3"/>
    <w:rPr>
      <w:i/>
      <w:iCs/>
    </w:rPr>
  </w:style>
  <w:style w:type="character" w:customStyle="1" w:styleId="whitespace-nowrap">
    <w:name w:val="whitespace-nowrap"/>
    <w:basedOn w:val="DefaultParagraphFont"/>
    <w:rsid w:val="007028B3"/>
  </w:style>
  <w:style w:type="character" w:styleId="Hyperlink">
    <w:name w:val="Hyperlink"/>
    <w:basedOn w:val="DefaultParagraphFont"/>
    <w:uiPriority w:val="99"/>
    <w:unhideWhenUsed/>
    <w:rsid w:val="007028B3"/>
    <w:rPr>
      <w:color w:val="0000FF"/>
      <w:u w:val="single"/>
    </w:rPr>
  </w:style>
  <w:style w:type="character" w:customStyle="1" w:styleId="hoverbg-super">
    <w:name w:val="hover:bg-super"/>
    <w:basedOn w:val="DefaultParagraphFont"/>
    <w:rsid w:val="007028B3"/>
  </w:style>
  <w:style w:type="character" w:styleId="Strong">
    <w:name w:val="Strong"/>
    <w:basedOn w:val="DefaultParagraphFont"/>
    <w:uiPriority w:val="22"/>
    <w:qFormat/>
    <w:rsid w:val="007028B3"/>
    <w:rPr>
      <w:b/>
      <w:bCs/>
    </w:rPr>
  </w:style>
  <w:style w:type="paragraph" w:styleId="NormalWeb">
    <w:name w:val="Normal (Web)"/>
    <w:basedOn w:val="Normal"/>
    <w:uiPriority w:val="99"/>
    <w:semiHidden/>
    <w:unhideWhenUsed/>
    <w:rsid w:val="007028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5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4B2"/>
  </w:style>
  <w:style w:type="paragraph" w:styleId="Footer">
    <w:name w:val="footer"/>
    <w:basedOn w:val="Normal"/>
    <w:link w:val="FooterChar"/>
    <w:uiPriority w:val="99"/>
    <w:unhideWhenUsed/>
    <w:rsid w:val="00325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4B2"/>
  </w:style>
  <w:style w:type="character" w:customStyle="1" w:styleId="css-1jxf684">
    <w:name w:val="css-1jxf684"/>
    <w:basedOn w:val="DefaultParagraphFont"/>
    <w:rsid w:val="00BF4989"/>
  </w:style>
  <w:style w:type="paragraph" w:styleId="ListParagraph">
    <w:name w:val="List Paragraph"/>
    <w:basedOn w:val="Normal"/>
    <w:uiPriority w:val="34"/>
    <w:qFormat/>
    <w:rsid w:val="005F33CB"/>
    <w:pPr>
      <w:ind w:left="720"/>
      <w:contextualSpacing/>
    </w:pPr>
  </w:style>
  <w:style w:type="character" w:customStyle="1" w:styleId="UnresolvedMention1">
    <w:name w:val="Unresolved Mention1"/>
    <w:basedOn w:val="DefaultParagraphFont"/>
    <w:uiPriority w:val="99"/>
    <w:semiHidden/>
    <w:unhideWhenUsed/>
    <w:rsid w:val="006B32F4"/>
    <w:rPr>
      <w:color w:val="605E5C"/>
      <w:shd w:val="clear" w:color="auto" w:fill="E1DFDD"/>
    </w:rPr>
  </w:style>
  <w:style w:type="table" w:styleId="TableGrid">
    <w:name w:val="Table Grid"/>
    <w:basedOn w:val="TableNormal"/>
    <w:uiPriority w:val="39"/>
    <w:rsid w:val="005E3B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5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6544">
      <w:bodyDiv w:val="1"/>
      <w:marLeft w:val="0"/>
      <w:marRight w:val="0"/>
      <w:marTop w:val="0"/>
      <w:marBottom w:val="0"/>
      <w:divBdr>
        <w:top w:val="none" w:sz="0" w:space="0" w:color="auto"/>
        <w:left w:val="none" w:sz="0" w:space="0" w:color="auto"/>
        <w:bottom w:val="none" w:sz="0" w:space="0" w:color="auto"/>
        <w:right w:val="none" w:sz="0" w:space="0" w:color="auto"/>
      </w:divBdr>
    </w:div>
    <w:div w:id="178128319">
      <w:bodyDiv w:val="1"/>
      <w:marLeft w:val="0"/>
      <w:marRight w:val="0"/>
      <w:marTop w:val="0"/>
      <w:marBottom w:val="0"/>
      <w:divBdr>
        <w:top w:val="none" w:sz="0" w:space="0" w:color="auto"/>
        <w:left w:val="none" w:sz="0" w:space="0" w:color="auto"/>
        <w:bottom w:val="none" w:sz="0" w:space="0" w:color="auto"/>
        <w:right w:val="none" w:sz="0" w:space="0" w:color="auto"/>
      </w:divBdr>
    </w:div>
    <w:div w:id="205266230">
      <w:bodyDiv w:val="1"/>
      <w:marLeft w:val="0"/>
      <w:marRight w:val="0"/>
      <w:marTop w:val="0"/>
      <w:marBottom w:val="0"/>
      <w:divBdr>
        <w:top w:val="none" w:sz="0" w:space="0" w:color="auto"/>
        <w:left w:val="none" w:sz="0" w:space="0" w:color="auto"/>
        <w:bottom w:val="none" w:sz="0" w:space="0" w:color="auto"/>
        <w:right w:val="none" w:sz="0" w:space="0" w:color="auto"/>
      </w:divBdr>
    </w:div>
    <w:div w:id="208342814">
      <w:bodyDiv w:val="1"/>
      <w:marLeft w:val="0"/>
      <w:marRight w:val="0"/>
      <w:marTop w:val="0"/>
      <w:marBottom w:val="0"/>
      <w:divBdr>
        <w:top w:val="none" w:sz="0" w:space="0" w:color="auto"/>
        <w:left w:val="none" w:sz="0" w:space="0" w:color="auto"/>
        <w:bottom w:val="none" w:sz="0" w:space="0" w:color="auto"/>
        <w:right w:val="none" w:sz="0" w:space="0" w:color="auto"/>
      </w:divBdr>
    </w:div>
    <w:div w:id="260722720">
      <w:bodyDiv w:val="1"/>
      <w:marLeft w:val="0"/>
      <w:marRight w:val="0"/>
      <w:marTop w:val="0"/>
      <w:marBottom w:val="0"/>
      <w:divBdr>
        <w:top w:val="none" w:sz="0" w:space="0" w:color="auto"/>
        <w:left w:val="none" w:sz="0" w:space="0" w:color="auto"/>
        <w:bottom w:val="none" w:sz="0" w:space="0" w:color="auto"/>
        <w:right w:val="none" w:sz="0" w:space="0" w:color="auto"/>
      </w:divBdr>
      <w:divsChild>
        <w:div w:id="250743165">
          <w:marLeft w:val="-720"/>
          <w:marRight w:val="0"/>
          <w:marTop w:val="0"/>
          <w:marBottom w:val="0"/>
          <w:divBdr>
            <w:top w:val="none" w:sz="0" w:space="0" w:color="auto"/>
            <w:left w:val="none" w:sz="0" w:space="0" w:color="auto"/>
            <w:bottom w:val="none" w:sz="0" w:space="0" w:color="auto"/>
            <w:right w:val="none" w:sz="0" w:space="0" w:color="auto"/>
          </w:divBdr>
        </w:div>
      </w:divsChild>
    </w:div>
    <w:div w:id="334846648">
      <w:bodyDiv w:val="1"/>
      <w:marLeft w:val="0"/>
      <w:marRight w:val="0"/>
      <w:marTop w:val="0"/>
      <w:marBottom w:val="0"/>
      <w:divBdr>
        <w:top w:val="none" w:sz="0" w:space="0" w:color="auto"/>
        <w:left w:val="none" w:sz="0" w:space="0" w:color="auto"/>
        <w:bottom w:val="none" w:sz="0" w:space="0" w:color="auto"/>
        <w:right w:val="none" w:sz="0" w:space="0" w:color="auto"/>
      </w:divBdr>
    </w:div>
    <w:div w:id="352002440">
      <w:bodyDiv w:val="1"/>
      <w:marLeft w:val="0"/>
      <w:marRight w:val="0"/>
      <w:marTop w:val="0"/>
      <w:marBottom w:val="0"/>
      <w:divBdr>
        <w:top w:val="none" w:sz="0" w:space="0" w:color="auto"/>
        <w:left w:val="none" w:sz="0" w:space="0" w:color="auto"/>
        <w:bottom w:val="none" w:sz="0" w:space="0" w:color="auto"/>
        <w:right w:val="none" w:sz="0" w:space="0" w:color="auto"/>
      </w:divBdr>
    </w:div>
    <w:div w:id="533468665">
      <w:bodyDiv w:val="1"/>
      <w:marLeft w:val="0"/>
      <w:marRight w:val="0"/>
      <w:marTop w:val="0"/>
      <w:marBottom w:val="0"/>
      <w:divBdr>
        <w:top w:val="none" w:sz="0" w:space="0" w:color="auto"/>
        <w:left w:val="none" w:sz="0" w:space="0" w:color="auto"/>
        <w:bottom w:val="none" w:sz="0" w:space="0" w:color="auto"/>
        <w:right w:val="none" w:sz="0" w:space="0" w:color="auto"/>
      </w:divBdr>
    </w:div>
    <w:div w:id="548342236">
      <w:bodyDiv w:val="1"/>
      <w:marLeft w:val="0"/>
      <w:marRight w:val="0"/>
      <w:marTop w:val="0"/>
      <w:marBottom w:val="0"/>
      <w:divBdr>
        <w:top w:val="none" w:sz="0" w:space="0" w:color="auto"/>
        <w:left w:val="none" w:sz="0" w:space="0" w:color="auto"/>
        <w:bottom w:val="none" w:sz="0" w:space="0" w:color="auto"/>
        <w:right w:val="none" w:sz="0" w:space="0" w:color="auto"/>
      </w:divBdr>
    </w:div>
    <w:div w:id="573128128">
      <w:bodyDiv w:val="1"/>
      <w:marLeft w:val="0"/>
      <w:marRight w:val="0"/>
      <w:marTop w:val="0"/>
      <w:marBottom w:val="0"/>
      <w:divBdr>
        <w:top w:val="none" w:sz="0" w:space="0" w:color="auto"/>
        <w:left w:val="none" w:sz="0" w:space="0" w:color="auto"/>
        <w:bottom w:val="none" w:sz="0" w:space="0" w:color="auto"/>
        <w:right w:val="none" w:sz="0" w:space="0" w:color="auto"/>
      </w:divBdr>
    </w:div>
    <w:div w:id="593444311">
      <w:bodyDiv w:val="1"/>
      <w:marLeft w:val="0"/>
      <w:marRight w:val="0"/>
      <w:marTop w:val="0"/>
      <w:marBottom w:val="0"/>
      <w:divBdr>
        <w:top w:val="none" w:sz="0" w:space="0" w:color="auto"/>
        <w:left w:val="none" w:sz="0" w:space="0" w:color="auto"/>
        <w:bottom w:val="none" w:sz="0" w:space="0" w:color="auto"/>
        <w:right w:val="none" w:sz="0" w:space="0" w:color="auto"/>
      </w:divBdr>
    </w:div>
    <w:div w:id="627125416">
      <w:bodyDiv w:val="1"/>
      <w:marLeft w:val="0"/>
      <w:marRight w:val="0"/>
      <w:marTop w:val="0"/>
      <w:marBottom w:val="0"/>
      <w:divBdr>
        <w:top w:val="none" w:sz="0" w:space="0" w:color="auto"/>
        <w:left w:val="none" w:sz="0" w:space="0" w:color="auto"/>
        <w:bottom w:val="none" w:sz="0" w:space="0" w:color="auto"/>
        <w:right w:val="none" w:sz="0" w:space="0" w:color="auto"/>
      </w:divBdr>
    </w:div>
    <w:div w:id="654989652">
      <w:bodyDiv w:val="1"/>
      <w:marLeft w:val="0"/>
      <w:marRight w:val="0"/>
      <w:marTop w:val="0"/>
      <w:marBottom w:val="0"/>
      <w:divBdr>
        <w:top w:val="none" w:sz="0" w:space="0" w:color="auto"/>
        <w:left w:val="none" w:sz="0" w:space="0" w:color="auto"/>
        <w:bottom w:val="none" w:sz="0" w:space="0" w:color="auto"/>
        <w:right w:val="none" w:sz="0" w:space="0" w:color="auto"/>
      </w:divBdr>
    </w:div>
    <w:div w:id="672144767">
      <w:bodyDiv w:val="1"/>
      <w:marLeft w:val="0"/>
      <w:marRight w:val="0"/>
      <w:marTop w:val="0"/>
      <w:marBottom w:val="0"/>
      <w:divBdr>
        <w:top w:val="none" w:sz="0" w:space="0" w:color="auto"/>
        <w:left w:val="none" w:sz="0" w:space="0" w:color="auto"/>
        <w:bottom w:val="none" w:sz="0" w:space="0" w:color="auto"/>
        <w:right w:val="none" w:sz="0" w:space="0" w:color="auto"/>
      </w:divBdr>
    </w:div>
    <w:div w:id="689066173">
      <w:bodyDiv w:val="1"/>
      <w:marLeft w:val="0"/>
      <w:marRight w:val="0"/>
      <w:marTop w:val="0"/>
      <w:marBottom w:val="0"/>
      <w:divBdr>
        <w:top w:val="none" w:sz="0" w:space="0" w:color="auto"/>
        <w:left w:val="none" w:sz="0" w:space="0" w:color="auto"/>
        <w:bottom w:val="none" w:sz="0" w:space="0" w:color="auto"/>
        <w:right w:val="none" w:sz="0" w:space="0" w:color="auto"/>
      </w:divBdr>
    </w:div>
    <w:div w:id="737747310">
      <w:bodyDiv w:val="1"/>
      <w:marLeft w:val="0"/>
      <w:marRight w:val="0"/>
      <w:marTop w:val="0"/>
      <w:marBottom w:val="0"/>
      <w:divBdr>
        <w:top w:val="none" w:sz="0" w:space="0" w:color="auto"/>
        <w:left w:val="none" w:sz="0" w:space="0" w:color="auto"/>
        <w:bottom w:val="none" w:sz="0" w:space="0" w:color="auto"/>
        <w:right w:val="none" w:sz="0" w:space="0" w:color="auto"/>
      </w:divBdr>
    </w:div>
    <w:div w:id="746850015">
      <w:bodyDiv w:val="1"/>
      <w:marLeft w:val="0"/>
      <w:marRight w:val="0"/>
      <w:marTop w:val="0"/>
      <w:marBottom w:val="0"/>
      <w:divBdr>
        <w:top w:val="none" w:sz="0" w:space="0" w:color="auto"/>
        <w:left w:val="none" w:sz="0" w:space="0" w:color="auto"/>
        <w:bottom w:val="none" w:sz="0" w:space="0" w:color="auto"/>
        <w:right w:val="none" w:sz="0" w:space="0" w:color="auto"/>
      </w:divBdr>
    </w:div>
    <w:div w:id="782382488">
      <w:bodyDiv w:val="1"/>
      <w:marLeft w:val="0"/>
      <w:marRight w:val="0"/>
      <w:marTop w:val="0"/>
      <w:marBottom w:val="0"/>
      <w:divBdr>
        <w:top w:val="none" w:sz="0" w:space="0" w:color="auto"/>
        <w:left w:val="none" w:sz="0" w:space="0" w:color="auto"/>
        <w:bottom w:val="none" w:sz="0" w:space="0" w:color="auto"/>
        <w:right w:val="none" w:sz="0" w:space="0" w:color="auto"/>
      </w:divBdr>
    </w:div>
    <w:div w:id="862520026">
      <w:bodyDiv w:val="1"/>
      <w:marLeft w:val="0"/>
      <w:marRight w:val="0"/>
      <w:marTop w:val="0"/>
      <w:marBottom w:val="0"/>
      <w:divBdr>
        <w:top w:val="none" w:sz="0" w:space="0" w:color="auto"/>
        <w:left w:val="none" w:sz="0" w:space="0" w:color="auto"/>
        <w:bottom w:val="none" w:sz="0" w:space="0" w:color="auto"/>
        <w:right w:val="none" w:sz="0" w:space="0" w:color="auto"/>
      </w:divBdr>
    </w:div>
    <w:div w:id="928000286">
      <w:bodyDiv w:val="1"/>
      <w:marLeft w:val="0"/>
      <w:marRight w:val="0"/>
      <w:marTop w:val="0"/>
      <w:marBottom w:val="0"/>
      <w:divBdr>
        <w:top w:val="none" w:sz="0" w:space="0" w:color="auto"/>
        <w:left w:val="none" w:sz="0" w:space="0" w:color="auto"/>
        <w:bottom w:val="none" w:sz="0" w:space="0" w:color="auto"/>
        <w:right w:val="none" w:sz="0" w:space="0" w:color="auto"/>
      </w:divBdr>
    </w:div>
    <w:div w:id="991328333">
      <w:bodyDiv w:val="1"/>
      <w:marLeft w:val="0"/>
      <w:marRight w:val="0"/>
      <w:marTop w:val="0"/>
      <w:marBottom w:val="0"/>
      <w:divBdr>
        <w:top w:val="none" w:sz="0" w:space="0" w:color="auto"/>
        <w:left w:val="none" w:sz="0" w:space="0" w:color="auto"/>
        <w:bottom w:val="none" w:sz="0" w:space="0" w:color="auto"/>
        <w:right w:val="none" w:sz="0" w:space="0" w:color="auto"/>
      </w:divBdr>
    </w:div>
    <w:div w:id="999965866">
      <w:bodyDiv w:val="1"/>
      <w:marLeft w:val="0"/>
      <w:marRight w:val="0"/>
      <w:marTop w:val="0"/>
      <w:marBottom w:val="0"/>
      <w:divBdr>
        <w:top w:val="none" w:sz="0" w:space="0" w:color="auto"/>
        <w:left w:val="none" w:sz="0" w:space="0" w:color="auto"/>
        <w:bottom w:val="none" w:sz="0" w:space="0" w:color="auto"/>
        <w:right w:val="none" w:sz="0" w:space="0" w:color="auto"/>
      </w:divBdr>
    </w:div>
    <w:div w:id="1007294217">
      <w:bodyDiv w:val="1"/>
      <w:marLeft w:val="0"/>
      <w:marRight w:val="0"/>
      <w:marTop w:val="0"/>
      <w:marBottom w:val="0"/>
      <w:divBdr>
        <w:top w:val="none" w:sz="0" w:space="0" w:color="auto"/>
        <w:left w:val="none" w:sz="0" w:space="0" w:color="auto"/>
        <w:bottom w:val="none" w:sz="0" w:space="0" w:color="auto"/>
        <w:right w:val="none" w:sz="0" w:space="0" w:color="auto"/>
      </w:divBdr>
    </w:div>
    <w:div w:id="1017082419">
      <w:bodyDiv w:val="1"/>
      <w:marLeft w:val="0"/>
      <w:marRight w:val="0"/>
      <w:marTop w:val="0"/>
      <w:marBottom w:val="0"/>
      <w:divBdr>
        <w:top w:val="none" w:sz="0" w:space="0" w:color="auto"/>
        <w:left w:val="none" w:sz="0" w:space="0" w:color="auto"/>
        <w:bottom w:val="none" w:sz="0" w:space="0" w:color="auto"/>
        <w:right w:val="none" w:sz="0" w:space="0" w:color="auto"/>
      </w:divBdr>
      <w:divsChild>
        <w:div w:id="946695937">
          <w:marLeft w:val="0"/>
          <w:marRight w:val="0"/>
          <w:marTop w:val="0"/>
          <w:marBottom w:val="0"/>
          <w:divBdr>
            <w:top w:val="none" w:sz="0" w:space="0" w:color="auto"/>
            <w:left w:val="none" w:sz="0" w:space="0" w:color="auto"/>
            <w:bottom w:val="none" w:sz="0" w:space="0" w:color="auto"/>
            <w:right w:val="none" w:sz="0" w:space="0" w:color="auto"/>
          </w:divBdr>
          <w:divsChild>
            <w:div w:id="6127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48033">
      <w:bodyDiv w:val="1"/>
      <w:marLeft w:val="0"/>
      <w:marRight w:val="0"/>
      <w:marTop w:val="0"/>
      <w:marBottom w:val="0"/>
      <w:divBdr>
        <w:top w:val="none" w:sz="0" w:space="0" w:color="auto"/>
        <w:left w:val="none" w:sz="0" w:space="0" w:color="auto"/>
        <w:bottom w:val="none" w:sz="0" w:space="0" w:color="auto"/>
        <w:right w:val="none" w:sz="0" w:space="0" w:color="auto"/>
      </w:divBdr>
    </w:div>
    <w:div w:id="1155338407">
      <w:bodyDiv w:val="1"/>
      <w:marLeft w:val="0"/>
      <w:marRight w:val="0"/>
      <w:marTop w:val="0"/>
      <w:marBottom w:val="0"/>
      <w:divBdr>
        <w:top w:val="none" w:sz="0" w:space="0" w:color="auto"/>
        <w:left w:val="none" w:sz="0" w:space="0" w:color="auto"/>
        <w:bottom w:val="none" w:sz="0" w:space="0" w:color="auto"/>
        <w:right w:val="none" w:sz="0" w:space="0" w:color="auto"/>
      </w:divBdr>
    </w:div>
    <w:div w:id="1204363965">
      <w:bodyDiv w:val="1"/>
      <w:marLeft w:val="0"/>
      <w:marRight w:val="0"/>
      <w:marTop w:val="0"/>
      <w:marBottom w:val="0"/>
      <w:divBdr>
        <w:top w:val="none" w:sz="0" w:space="0" w:color="auto"/>
        <w:left w:val="none" w:sz="0" w:space="0" w:color="auto"/>
        <w:bottom w:val="none" w:sz="0" w:space="0" w:color="auto"/>
        <w:right w:val="none" w:sz="0" w:space="0" w:color="auto"/>
      </w:divBdr>
    </w:div>
    <w:div w:id="1209344265">
      <w:bodyDiv w:val="1"/>
      <w:marLeft w:val="0"/>
      <w:marRight w:val="0"/>
      <w:marTop w:val="0"/>
      <w:marBottom w:val="0"/>
      <w:divBdr>
        <w:top w:val="none" w:sz="0" w:space="0" w:color="auto"/>
        <w:left w:val="none" w:sz="0" w:space="0" w:color="auto"/>
        <w:bottom w:val="none" w:sz="0" w:space="0" w:color="auto"/>
        <w:right w:val="none" w:sz="0" w:space="0" w:color="auto"/>
      </w:divBdr>
    </w:div>
    <w:div w:id="1282880085">
      <w:bodyDiv w:val="1"/>
      <w:marLeft w:val="0"/>
      <w:marRight w:val="0"/>
      <w:marTop w:val="0"/>
      <w:marBottom w:val="0"/>
      <w:divBdr>
        <w:top w:val="none" w:sz="0" w:space="0" w:color="auto"/>
        <w:left w:val="none" w:sz="0" w:space="0" w:color="auto"/>
        <w:bottom w:val="none" w:sz="0" w:space="0" w:color="auto"/>
        <w:right w:val="none" w:sz="0" w:space="0" w:color="auto"/>
      </w:divBdr>
      <w:divsChild>
        <w:div w:id="1891844724">
          <w:marLeft w:val="0"/>
          <w:marRight w:val="0"/>
          <w:marTop w:val="0"/>
          <w:marBottom w:val="300"/>
          <w:divBdr>
            <w:top w:val="single" w:sz="2" w:space="0" w:color="000000"/>
            <w:left w:val="single" w:sz="2" w:space="0" w:color="000000"/>
            <w:bottom w:val="single" w:sz="2" w:space="0" w:color="000000"/>
            <w:right w:val="single" w:sz="2" w:space="0" w:color="000000"/>
          </w:divBdr>
        </w:div>
        <w:div w:id="1697735283">
          <w:marLeft w:val="0"/>
          <w:marRight w:val="0"/>
          <w:marTop w:val="0"/>
          <w:marBottom w:val="300"/>
          <w:divBdr>
            <w:top w:val="single" w:sz="2" w:space="0" w:color="000000"/>
            <w:left w:val="single" w:sz="2" w:space="0" w:color="000000"/>
            <w:bottom w:val="single" w:sz="2" w:space="0" w:color="000000"/>
            <w:right w:val="single" w:sz="2" w:space="0" w:color="000000"/>
          </w:divBdr>
        </w:div>
        <w:div w:id="24065002">
          <w:marLeft w:val="0"/>
          <w:marRight w:val="0"/>
          <w:marTop w:val="0"/>
          <w:marBottom w:val="300"/>
          <w:divBdr>
            <w:top w:val="single" w:sz="2" w:space="0" w:color="000000"/>
            <w:left w:val="single" w:sz="2" w:space="0" w:color="000000"/>
            <w:bottom w:val="single" w:sz="2" w:space="0" w:color="000000"/>
            <w:right w:val="single" w:sz="2" w:space="0" w:color="000000"/>
          </w:divBdr>
        </w:div>
        <w:div w:id="1022440450">
          <w:marLeft w:val="0"/>
          <w:marRight w:val="0"/>
          <w:marTop w:val="0"/>
          <w:marBottom w:val="300"/>
          <w:divBdr>
            <w:top w:val="single" w:sz="2" w:space="0" w:color="000000"/>
            <w:left w:val="single" w:sz="2" w:space="0" w:color="000000"/>
            <w:bottom w:val="single" w:sz="2" w:space="0" w:color="000000"/>
            <w:right w:val="single" w:sz="2" w:space="0" w:color="000000"/>
          </w:divBdr>
        </w:div>
        <w:div w:id="953974037">
          <w:marLeft w:val="0"/>
          <w:marRight w:val="0"/>
          <w:marTop w:val="0"/>
          <w:marBottom w:val="300"/>
          <w:divBdr>
            <w:top w:val="single" w:sz="2" w:space="0" w:color="000000"/>
            <w:left w:val="single" w:sz="2" w:space="0" w:color="000000"/>
            <w:bottom w:val="single" w:sz="2" w:space="0" w:color="000000"/>
            <w:right w:val="single" w:sz="2" w:space="0" w:color="000000"/>
          </w:divBdr>
        </w:div>
        <w:div w:id="1290211573">
          <w:marLeft w:val="0"/>
          <w:marRight w:val="0"/>
          <w:marTop w:val="0"/>
          <w:marBottom w:val="300"/>
          <w:divBdr>
            <w:top w:val="single" w:sz="2" w:space="0" w:color="000000"/>
            <w:left w:val="single" w:sz="2" w:space="0" w:color="000000"/>
            <w:bottom w:val="single" w:sz="2" w:space="0" w:color="000000"/>
            <w:right w:val="single" w:sz="2" w:space="0" w:color="000000"/>
          </w:divBdr>
        </w:div>
        <w:div w:id="242642601">
          <w:marLeft w:val="0"/>
          <w:marRight w:val="0"/>
          <w:marTop w:val="0"/>
          <w:marBottom w:val="300"/>
          <w:divBdr>
            <w:top w:val="single" w:sz="2" w:space="0" w:color="000000"/>
            <w:left w:val="single" w:sz="2" w:space="0" w:color="000000"/>
            <w:bottom w:val="single" w:sz="2" w:space="0" w:color="000000"/>
            <w:right w:val="single" w:sz="2" w:space="0" w:color="000000"/>
          </w:divBdr>
        </w:div>
        <w:div w:id="1792701711">
          <w:marLeft w:val="0"/>
          <w:marRight w:val="0"/>
          <w:marTop w:val="0"/>
          <w:marBottom w:val="300"/>
          <w:divBdr>
            <w:top w:val="single" w:sz="2" w:space="0" w:color="000000"/>
            <w:left w:val="single" w:sz="2" w:space="0" w:color="000000"/>
            <w:bottom w:val="single" w:sz="2" w:space="0" w:color="000000"/>
            <w:right w:val="single" w:sz="2" w:space="0" w:color="000000"/>
          </w:divBdr>
        </w:div>
        <w:div w:id="1753501154">
          <w:marLeft w:val="0"/>
          <w:marRight w:val="0"/>
          <w:marTop w:val="0"/>
          <w:marBottom w:val="300"/>
          <w:divBdr>
            <w:top w:val="single" w:sz="2" w:space="0" w:color="000000"/>
            <w:left w:val="single" w:sz="2" w:space="0" w:color="000000"/>
            <w:bottom w:val="single" w:sz="2" w:space="0" w:color="000000"/>
            <w:right w:val="single" w:sz="2" w:space="0" w:color="000000"/>
          </w:divBdr>
        </w:div>
        <w:div w:id="1932815452">
          <w:marLeft w:val="0"/>
          <w:marRight w:val="0"/>
          <w:marTop w:val="0"/>
          <w:marBottom w:val="300"/>
          <w:divBdr>
            <w:top w:val="single" w:sz="2" w:space="0" w:color="000000"/>
            <w:left w:val="single" w:sz="2" w:space="0" w:color="000000"/>
            <w:bottom w:val="single" w:sz="2" w:space="0" w:color="000000"/>
            <w:right w:val="single" w:sz="2" w:space="0" w:color="000000"/>
          </w:divBdr>
        </w:div>
        <w:div w:id="925655092">
          <w:marLeft w:val="0"/>
          <w:marRight w:val="0"/>
          <w:marTop w:val="0"/>
          <w:marBottom w:val="300"/>
          <w:divBdr>
            <w:top w:val="single" w:sz="2" w:space="0" w:color="000000"/>
            <w:left w:val="single" w:sz="2" w:space="0" w:color="000000"/>
            <w:bottom w:val="single" w:sz="2" w:space="0" w:color="000000"/>
            <w:right w:val="single" w:sz="2" w:space="0" w:color="000000"/>
          </w:divBdr>
        </w:div>
        <w:div w:id="1396856862">
          <w:marLeft w:val="0"/>
          <w:marRight w:val="0"/>
          <w:marTop w:val="0"/>
          <w:marBottom w:val="300"/>
          <w:divBdr>
            <w:top w:val="single" w:sz="2" w:space="0" w:color="000000"/>
            <w:left w:val="single" w:sz="2" w:space="0" w:color="000000"/>
            <w:bottom w:val="single" w:sz="2" w:space="0" w:color="000000"/>
            <w:right w:val="single" w:sz="2" w:space="0" w:color="000000"/>
          </w:divBdr>
        </w:div>
        <w:div w:id="504633460">
          <w:marLeft w:val="0"/>
          <w:marRight w:val="0"/>
          <w:marTop w:val="0"/>
          <w:marBottom w:val="0"/>
          <w:divBdr>
            <w:top w:val="single" w:sz="2" w:space="0" w:color="000000"/>
            <w:left w:val="single" w:sz="2" w:space="0" w:color="000000"/>
            <w:bottom w:val="single" w:sz="2" w:space="0" w:color="000000"/>
            <w:right w:val="single" w:sz="2" w:space="0" w:color="000000"/>
          </w:divBdr>
        </w:div>
        <w:div w:id="851527210">
          <w:marLeft w:val="0"/>
          <w:marRight w:val="0"/>
          <w:marTop w:val="0"/>
          <w:marBottom w:val="300"/>
          <w:divBdr>
            <w:top w:val="single" w:sz="2" w:space="0" w:color="000000"/>
            <w:left w:val="single" w:sz="2" w:space="0" w:color="000000"/>
            <w:bottom w:val="single" w:sz="2" w:space="0" w:color="000000"/>
            <w:right w:val="single" w:sz="2" w:space="0" w:color="000000"/>
          </w:divBdr>
        </w:div>
        <w:div w:id="1455710358">
          <w:marLeft w:val="0"/>
          <w:marRight w:val="0"/>
          <w:marTop w:val="0"/>
          <w:marBottom w:val="300"/>
          <w:divBdr>
            <w:top w:val="single" w:sz="2" w:space="0" w:color="000000"/>
            <w:left w:val="single" w:sz="2" w:space="0" w:color="000000"/>
            <w:bottom w:val="single" w:sz="2" w:space="0" w:color="000000"/>
            <w:right w:val="single" w:sz="2" w:space="0" w:color="000000"/>
          </w:divBdr>
        </w:div>
        <w:div w:id="2147161203">
          <w:marLeft w:val="0"/>
          <w:marRight w:val="0"/>
          <w:marTop w:val="0"/>
          <w:marBottom w:val="300"/>
          <w:divBdr>
            <w:top w:val="single" w:sz="2" w:space="0" w:color="000000"/>
            <w:left w:val="single" w:sz="2" w:space="0" w:color="000000"/>
            <w:bottom w:val="single" w:sz="2" w:space="0" w:color="000000"/>
            <w:right w:val="single" w:sz="2" w:space="0" w:color="000000"/>
          </w:divBdr>
        </w:div>
        <w:div w:id="484977808">
          <w:marLeft w:val="0"/>
          <w:marRight w:val="0"/>
          <w:marTop w:val="0"/>
          <w:marBottom w:val="300"/>
          <w:divBdr>
            <w:top w:val="single" w:sz="2" w:space="0" w:color="000000"/>
            <w:left w:val="single" w:sz="2" w:space="0" w:color="000000"/>
            <w:bottom w:val="single" w:sz="2" w:space="0" w:color="000000"/>
            <w:right w:val="single" w:sz="2" w:space="0" w:color="000000"/>
          </w:divBdr>
        </w:div>
        <w:div w:id="333846126">
          <w:marLeft w:val="0"/>
          <w:marRight w:val="0"/>
          <w:marTop w:val="0"/>
          <w:marBottom w:val="300"/>
          <w:divBdr>
            <w:top w:val="single" w:sz="2" w:space="0" w:color="000000"/>
            <w:left w:val="single" w:sz="2" w:space="0" w:color="000000"/>
            <w:bottom w:val="single" w:sz="2" w:space="0" w:color="000000"/>
            <w:right w:val="single" w:sz="2" w:space="0" w:color="000000"/>
          </w:divBdr>
        </w:div>
        <w:div w:id="107899983">
          <w:marLeft w:val="0"/>
          <w:marRight w:val="0"/>
          <w:marTop w:val="0"/>
          <w:marBottom w:val="300"/>
          <w:divBdr>
            <w:top w:val="single" w:sz="2" w:space="0" w:color="000000"/>
            <w:left w:val="single" w:sz="2" w:space="0" w:color="000000"/>
            <w:bottom w:val="single" w:sz="2" w:space="0" w:color="000000"/>
            <w:right w:val="single" w:sz="2" w:space="0" w:color="000000"/>
          </w:divBdr>
        </w:div>
        <w:div w:id="758137413">
          <w:marLeft w:val="0"/>
          <w:marRight w:val="0"/>
          <w:marTop w:val="0"/>
          <w:marBottom w:val="300"/>
          <w:divBdr>
            <w:top w:val="single" w:sz="2" w:space="0" w:color="000000"/>
            <w:left w:val="single" w:sz="2" w:space="0" w:color="000000"/>
            <w:bottom w:val="single" w:sz="2" w:space="0" w:color="000000"/>
            <w:right w:val="single" w:sz="2" w:space="0" w:color="000000"/>
          </w:divBdr>
        </w:div>
        <w:div w:id="1563908026">
          <w:marLeft w:val="0"/>
          <w:marRight w:val="0"/>
          <w:marTop w:val="0"/>
          <w:marBottom w:val="0"/>
          <w:divBdr>
            <w:top w:val="single" w:sz="2" w:space="0" w:color="000000"/>
            <w:left w:val="single" w:sz="2" w:space="0" w:color="000000"/>
            <w:bottom w:val="single" w:sz="2" w:space="0" w:color="000000"/>
            <w:right w:val="single" w:sz="2" w:space="0" w:color="000000"/>
          </w:divBdr>
        </w:div>
        <w:div w:id="198128461">
          <w:marLeft w:val="0"/>
          <w:marRight w:val="0"/>
          <w:marTop w:val="0"/>
          <w:marBottom w:val="300"/>
          <w:divBdr>
            <w:top w:val="single" w:sz="2" w:space="0" w:color="000000"/>
            <w:left w:val="single" w:sz="2" w:space="0" w:color="000000"/>
            <w:bottom w:val="single" w:sz="2" w:space="0" w:color="000000"/>
            <w:right w:val="single" w:sz="2" w:space="0" w:color="000000"/>
          </w:divBdr>
        </w:div>
        <w:div w:id="761725155">
          <w:marLeft w:val="0"/>
          <w:marRight w:val="0"/>
          <w:marTop w:val="0"/>
          <w:marBottom w:val="300"/>
          <w:divBdr>
            <w:top w:val="single" w:sz="2" w:space="0" w:color="000000"/>
            <w:left w:val="single" w:sz="2" w:space="0" w:color="000000"/>
            <w:bottom w:val="single" w:sz="2" w:space="0" w:color="000000"/>
            <w:right w:val="single" w:sz="2" w:space="0" w:color="000000"/>
          </w:divBdr>
        </w:div>
        <w:div w:id="134880633">
          <w:marLeft w:val="0"/>
          <w:marRight w:val="0"/>
          <w:marTop w:val="0"/>
          <w:marBottom w:val="0"/>
          <w:divBdr>
            <w:top w:val="single" w:sz="2" w:space="0" w:color="000000"/>
            <w:left w:val="single" w:sz="2" w:space="0" w:color="000000"/>
            <w:bottom w:val="single" w:sz="2" w:space="0" w:color="000000"/>
            <w:right w:val="single" w:sz="2" w:space="0" w:color="000000"/>
          </w:divBdr>
        </w:div>
        <w:div w:id="1022904403">
          <w:marLeft w:val="0"/>
          <w:marRight w:val="0"/>
          <w:marTop w:val="0"/>
          <w:marBottom w:val="300"/>
          <w:divBdr>
            <w:top w:val="single" w:sz="2" w:space="0" w:color="000000"/>
            <w:left w:val="single" w:sz="2" w:space="0" w:color="000000"/>
            <w:bottom w:val="single" w:sz="2" w:space="0" w:color="000000"/>
            <w:right w:val="single" w:sz="2" w:space="0" w:color="000000"/>
          </w:divBdr>
        </w:div>
        <w:div w:id="1033382371">
          <w:marLeft w:val="0"/>
          <w:marRight w:val="0"/>
          <w:marTop w:val="0"/>
          <w:marBottom w:val="300"/>
          <w:divBdr>
            <w:top w:val="single" w:sz="2" w:space="0" w:color="000000"/>
            <w:left w:val="single" w:sz="2" w:space="0" w:color="000000"/>
            <w:bottom w:val="single" w:sz="2" w:space="0" w:color="000000"/>
            <w:right w:val="single" w:sz="2" w:space="0" w:color="000000"/>
          </w:divBdr>
        </w:div>
        <w:div w:id="51851495">
          <w:marLeft w:val="0"/>
          <w:marRight w:val="0"/>
          <w:marTop w:val="0"/>
          <w:marBottom w:val="0"/>
          <w:divBdr>
            <w:top w:val="single" w:sz="2" w:space="0" w:color="000000"/>
            <w:left w:val="single" w:sz="2" w:space="0" w:color="000000"/>
            <w:bottom w:val="single" w:sz="2" w:space="0" w:color="000000"/>
            <w:right w:val="single" w:sz="2" w:space="0" w:color="000000"/>
          </w:divBdr>
        </w:div>
        <w:div w:id="471095520">
          <w:marLeft w:val="0"/>
          <w:marRight w:val="0"/>
          <w:marTop w:val="0"/>
          <w:marBottom w:val="300"/>
          <w:divBdr>
            <w:top w:val="single" w:sz="2" w:space="0" w:color="000000"/>
            <w:left w:val="single" w:sz="2" w:space="0" w:color="000000"/>
            <w:bottom w:val="single" w:sz="2" w:space="0" w:color="000000"/>
            <w:right w:val="single" w:sz="2" w:space="0" w:color="000000"/>
          </w:divBdr>
        </w:div>
        <w:div w:id="6287034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11910483">
      <w:bodyDiv w:val="1"/>
      <w:marLeft w:val="0"/>
      <w:marRight w:val="0"/>
      <w:marTop w:val="0"/>
      <w:marBottom w:val="0"/>
      <w:divBdr>
        <w:top w:val="none" w:sz="0" w:space="0" w:color="auto"/>
        <w:left w:val="none" w:sz="0" w:space="0" w:color="auto"/>
        <w:bottom w:val="none" w:sz="0" w:space="0" w:color="auto"/>
        <w:right w:val="none" w:sz="0" w:space="0" w:color="auto"/>
      </w:divBdr>
    </w:div>
    <w:div w:id="1678147253">
      <w:bodyDiv w:val="1"/>
      <w:marLeft w:val="0"/>
      <w:marRight w:val="0"/>
      <w:marTop w:val="0"/>
      <w:marBottom w:val="0"/>
      <w:divBdr>
        <w:top w:val="none" w:sz="0" w:space="0" w:color="auto"/>
        <w:left w:val="none" w:sz="0" w:space="0" w:color="auto"/>
        <w:bottom w:val="none" w:sz="0" w:space="0" w:color="auto"/>
        <w:right w:val="none" w:sz="0" w:space="0" w:color="auto"/>
      </w:divBdr>
    </w:div>
    <w:div w:id="1695375897">
      <w:bodyDiv w:val="1"/>
      <w:marLeft w:val="0"/>
      <w:marRight w:val="0"/>
      <w:marTop w:val="0"/>
      <w:marBottom w:val="0"/>
      <w:divBdr>
        <w:top w:val="none" w:sz="0" w:space="0" w:color="auto"/>
        <w:left w:val="none" w:sz="0" w:space="0" w:color="auto"/>
        <w:bottom w:val="none" w:sz="0" w:space="0" w:color="auto"/>
        <w:right w:val="none" w:sz="0" w:space="0" w:color="auto"/>
      </w:divBdr>
    </w:div>
    <w:div w:id="1735857555">
      <w:bodyDiv w:val="1"/>
      <w:marLeft w:val="0"/>
      <w:marRight w:val="0"/>
      <w:marTop w:val="0"/>
      <w:marBottom w:val="0"/>
      <w:divBdr>
        <w:top w:val="none" w:sz="0" w:space="0" w:color="auto"/>
        <w:left w:val="none" w:sz="0" w:space="0" w:color="auto"/>
        <w:bottom w:val="none" w:sz="0" w:space="0" w:color="auto"/>
        <w:right w:val="none" w:sz="0" w:space="0" w:color="auto"/>
      </w:divBdr>
    </w:div>
    <w:div w:id="1746954637">
      <w:bodyDiv w:val="1"/>
      <w:marLeft w:val="0"/>
      <w:marRight w:val="0"/>
      <w:marTop w:val="0"/>
      <w:marBottom w:val="0"/>
      <w:divBdr>
        <w:top w:val="none" w:sz="0" w:space="0" w:color="auto"/>
        <w:left w:val="none" w:sz="0" w:space="0" w:color="auto"/>
        <w:bottom w:val="none" w:sz="0" w:space="0" w:color="auto"/>
        <w:right w:val="none" w:sz="0" w:space="0" w:color="auto"/>
      </w:divBdr>
    </w:div>
    <w:div w:id="1748574795">
      <w:bodyDiv w:val="1"/>
      <w:marLeft w:val="0"/>
      <w:marRight w:val="0"/>
      <w:marTop w:val="0"/>
      <w:marBottom w:val="0"/>
      <w:divBdr>
        <w:top w:val="none" w:sz="0" w:space="0" w:color="auto"/>
        <w:left w:val="none" w:sz="0" w:space="0" w:color="auto"/>
        <w:bottom w:val="none" w:sz="0" w:space="0" w:color="auto"/>
        <w:right w:val="none" w:sz="0" w:space="0" w:color="auto"/>
      </w:divBdr>
    </w:div>
    <w:div w:id="1884251022">
      <w:bodyDiv w:val="1"/>
      <w:marLeft w:val="0"/>
      <w:marRight w:val="0"/>
      <w:marTop w:val="0"/>
      <w:marBottom w:val="0"/>
      <w:divBdr>
        <w:top w:val="none" w:sz="0" w:space="0" w:color="auto"/>
        <w:left w:val="none" w:sz="0" w:space="0" w:color="auto"/>
        <w:bottom w:val="none" w:sz="0" w:space="0" w:color="auto"/>
        <w:right w:val="none" w:sz="0" w:space="0" w:color="auto"/>
      </w:divBdr>
    </w:div>
    <w:div w:id="1894996777">
      <w:bodyDiv w:val="1"/>
      <w:marLeft w:val="0"/>
      <w:marRight w:val="0"/>
      <w:marTop w:val="0"/>
      <w:marBottom w:val="0"/>
      <w:divBdr>
        <w:top w:val="none" w:sz="0" w:space="0" w:color="auto"/>
        <w:left w:val="none" w:sz="0" w:space="0" w:color="auto"/>
        <w:bottom w:val="none" w:sz="0" w:space="0" w:color="auto"/>
        <w:right w:val="none" w:sz="0" w:space="0" w:color="auto"/>
      </w:divBdr>
    </w:div>
    <w:div w:id="1901864334">
      <w:bodyDiv w:val="1"/>
      <w:marLeft w:val="0"/>
      <w:marRight w:val="0"/>
      <w:marTop w:val="0"/>
      <w:marBottom w:val="0"/>
      <w:divBdr>
        <w:top w:val="none" w:sz="0" w:space="0" w:color="auto"/>
        <w:left w:val="none" w:sz="0" w:space="0" w:color="auto"/>
        <w:bottom w:val="none" w:sz="0" w:space="0" w:color="auto"/>
        <w:right w:val="none" w:sz="0" w:space="0" w:color="auto"/>
      </w:divBdr>
    </w:div>
    <w:div w:id="1932201314">
      <w:bodyDiv w:val="1"/>
      <w:marLeft w:val="0"/>
      <w:marRight w:val="0"/>
      <w:marTop w:val="0"/>
      <w:marBottom w:val="0"/>
      <w:divBdr>
        <w:top w:val="none" w:sz="0" w:space="0" w:color="auto"/>
        <w:left w:val="none" w:sz="0" w:space="0" w:color="auto"/>
        <w:bottom w:val="none" w:sz="0" w:space="0" w:color="auto"/>
        <w:right w:val="none" w:sz="0" w:space="0" w:color="auto"/>
      </w:divBdr>
    </w:div>
    <w:div w:id="1933933215">
      <w:bodyDiv w:val="1"/>
      <w:marLeft w:val="0"/>
      <w:marRight w:val="0"/>
      <w:marTop w:val="0"/>
      <w:marBottom w:val="0"/>
      <w:divBdr>
        <w:top w:val="none" w:sz="0" w:space="0" w:color="auto"/>
        <w:left w:val="none" w:sz="0" w:space="0" w:color="auto"/>
        <w:bottom w:val="none" w:sz="0" w:space="0" w:color="auto"/>
        <w:right w:val="none" w:sz="0" w:space="0" w:color="auto"/>
      </w:divBdr>
    </w:div>
    <w:div w:id="1988044285">
      <w:bodyDiv w:val="1"/>
      <w:marLeft w:val="0"/>
      <w:marRight w:val="0"/>
      <w:marTop w:val="0"/>
      <w:marBottom w:val="0"/>
      <w:divBdr>
        <w:top w:val="none" w:sz="0" w:space="0" w:color="auto"/>
        <w:left w:val="none" w:sz="0" w:space="0" w:color="auto"/>
        <w:bottom w:val="none" w:sz="0" w:space="0" w:color="auto"/>
        <w:right w:val="none" w:sz="0" w:space="0" w:color="auto"/>
      </w:divBdr>
    </w:div>
    <w:div w:id="2052149363">
      <w:bodyDiv w:val="1"/>
      <w:marLeft w:val="0"/>
      <w:marRight w:val="0"/>
      <w:marTop w:val="0"/>
      <w:marBottom w:val="0"/>
      <w:divBdr>
        <w:top w:val="none" w:sz="0" w:space="0" w:color="auto"/>
        <w:left w:val="none" w:sz="0" w:space="0" w:color="auto"/>
        <w:bottom w:val="none" w:sz="0" w:space="0" w:color="auto"/>
        <w:right w:val="none" w:sz="0" w:space="0" w:color="auto"/>
      </w:divBdr>
      <w:divsChild>
        <w:div w:id="366416475">
          <w:marLeft w:val="0"/>
          <w:marRight w:val="0"/>
          <w:marTop w:val="0"/>
          <w:marBottom w:val="300"/>
          <w:divBdr>
            <w:top w:val="single" w:sz="2" w:space="0" w:color="000000"/>
            <w:left w:val="single" w:sz="2" w:space="0" w:color="000000"/>
            <w:bottom w:val="single" w:sz="2" w:space="0" w:color="000000"/>
            <w:right w:val="single" w:sz="2" w:space="0" w:color="000000"/>
          </w:divBdr>
        </w:div>
        <w:div w:id="867719858">
          <w:marLeft w:val="0"/>
          <w:marRight w:val="0"/>
          <w:marTop w:val="0"/>
          <w:marBottom w:val="300"/>
          <w:divBdr>
            <w:top w:val="single" w:sz="2" w:space="0" w:color="000000"/>
            <w:left w:val="single" w:sz="2" w:space="0" w:color="000000"/>
            <w:bottom w:val="single" w:sz="2" w:space="0" w:color="000000"/>
            <w:right w:val="single" w:sz="2" w:space="0" w:color="000000"/>
          </w:divBdr>
        </w:div>
        <w:div w:id="1950428580">
          <w:marLeft w:val="0"/>
          <w:marRight w:val="0"/>
          <w:marTop w:val="0"/>
          <w:marBottom w:val="300"/>
          <w:divBdr>
            <w:top w:val="single" w:sz="2" w:space="0" w:color="000000"/>
            <w:left w:val="single" w:sz="2" w:space="0" w:color="000000"/>
            <w:bottom w:val="single" w:sz="2" w:space="0" w:color="000000"/>
            <w:right w:val="single" w:sz="2" w:space="0" w:color="000000"/>
          </w:divBdr>
        </w:div>
        <w:div w:id="353700870">
          <w:marLeft w:val="0"/>
          <w:marRight w:val="0"/>
          <w:marTop w:val="0"/>
          <w:marBottom w:val="300"/>
          <w:divBdr>
            <w:top w:val="single" w:sz="2" w:space="0" w:color="000000"/>
            <w:left w:val="single" w:sz="2" w:space="0" w:color="000000"/>
            <w:bottom w:val="single" w:sz="2" w:space="0" w:color="000000"/>
            <w:right w:val="single" w:sz="2" w:space="0" w:color="000000"/>
          </w:divBdr>
        </w:div>
        <w:div w:id="1486820136">
          <w:marLeft w:val="0"/>
          <w:marRight w:val="0"/>
          <w:marTop w:val="0"/>
          <w:marBottom w:val="300"/>
          <w:divBdr>
            <w:top w:val="single" w:sz="2" w:space="0" w:color="000000"/>
            <w:left w:val="single" w:sz="2" w:space="0" w:color="000000"/>
            <w:bottom w:val="single" w:sz="2" w:space="0" w:color="000000"/>
            <w:right w:val="single" w:sz="2" w:space="0" w:color="000000"/>
          </w:divBdr>
        </w:div>
        <w:div w:id="1862627868">
          <w:marLeft w:val="0"/>
          <w:marRight w:val="0"/>
          <w:marTop w:val="0"/>
          <w:marBottom w:val="300"/>
          <w:divBdr>
            <w:top w:val="single" w:sz="2" w:space="0" w:color="000000"/>
            <w:left w:val="single" w:sz="2" w:space="0" w:color="000000"/>
            <w:bottom w:val="single" w:sz="2" w:space="0" w:color="000000"/>
            <w:right w:val="single" w:sz="2" w:space="0" w:color="000000"/>
          </w:divBdr>
        </w:div>
        <w:div w:id="1323851013">
          <w:marLeft w:val="0"/>
          <w:marRight w:val="0"/>
          <w:marTop w:val="0"/>
          <w:marBottom w:val="300"/>
          <w:divBdr>
            <w:top w:val="single" w:sz="2" w:space="0" w:color="000000"/>
            <w:left w:val="single" w:sz="2" w:space="0" w:color="000000"/>
            <w:bottom w:val="single" w:sz="2" w:space="0" w:color="000000"/>
            <w:right w:val="single" w:sz="2" w:space="0" w:color="000000"/>
          </w:divBdr>
        </w:div>
        <w:div w:id="999390141">
          <w:marLeft w:val="0"/>
          <w:marRight w:val="0"/>
          <w:marTop w:val="0"/>
          <w:marBottom w:val="0"/>
          <w:divBdr>
            <w:top w:val="single" w:sz="2" w:space="0" w:color="000000"/>
            <w:left w:val="single" w:sz="2" w:space="0" w:color="000000"/>
            <w:bottom w:val="single" w:sz="2" w:space="0" w:color="000000"/>
            <w:right w:val="single" w:sz="2" w:space="0" w:color="000000"/>
          </w:divBdr>
        </w:div>
        <w:div w:id="577714793">
          <w:marLeft w:val="0"/>
          <w:marRight w:val="0"/>
          <w:marTop w:val="0"/>
          <w:marBottom w:val="0"/>
          <w:divBdr>
            <w:top w:val="single" w:sz="2" w:space="0" w:color="000000"/>
            <w:left w:val="single" w:sz="2" w:space="0" w:color="000000"/>
            <w:bottom w:val="single" w:sz="2" w:space="0" w:color="000000"/>
            <w:right w:val="single" w:sz="2" w:space="0" w:color="000000"/>
          </w:divBdr>
        </w:div>
        <w:div w:id="1654481099">
          <w:marLeft w:val="0"/>
          <w:marRight w:val="0"/>
          <w:marTop w:val="0"/>
          <w:marBottom w:val="300"/>
          <w:divBdr>
            <w:top w:val="single" w:sz="2" w:space="0" w:color="000000"/>
            <w:left w:val="single" w:sz="2" w:space="0" w:color="000000"/>
            <w:bottom w:val="single" w:sz="2" w:space="0" w:color="000000"/>
            <w:right w:val="single" w:sz="2" w:space="0" w:color="000000"/>
          </w:divBdr>
        </w:div>
        <w:div w:id="1974628257">
          <w:marLeft w:val="0"/>
          <w:marRight w:val="0"/>
          <w:marTop w:val="0"/>
          <w:marBottom w:val="300"/>
          <w:divBdr>
            <w:top w:val="single" w:sz="2" w:space="0" w:color="000000"/>
            <w:left w:val="single" w:sz="2" w:space="0" w:color="000000"/>
            <w:bottom w:val="single" w:sz="2" w:space="0" w:color="000000"/>
            <w:right w:val="single" w:sz="2" w:space="0" w:color="000000"/>
          </w:divBdr>
        </w:div>
        <w:div w:id="752896587">
          <w:marLeft w:val="0"/>
          <w:marRight w:val="0"/>
          <w:marTop w:val="0"/>
          <w:marBottom w:val="300"/>
          <w:divBdr>
            <w:top w:val="single" w:sz="2" w:space="0" w:color="000000"/>
            <w:left w:val="single" w:sz="2" w:space="0" w:color="000000"/>
            <w:bottom w:val="single" w:sz="2" w:space="0" w:color="000000"/>
            <w:right w:val="single" w:sz="2" w:space="0" w:color="000000"/>
          </w:divBdr>
        </w:div>
        <w:div w:id="1306086608">
          <w:marLeft w:val="0"/>
          <w:marRight w:val="0"/>
          <w:marTop w:val="0"/>
          <w:marBottom w:val="300"/>
          <w:divBdr>
            <w:top w:val="single" w:sz="2" w:space="0" w:color="000000"/>
            <w:left w:val="single" w:sz="2" w:space="0" w:color="000000"/>
            <w:bottom w:val="single" w:sz="2" w:space="0" w:color="000000"/>
            <w:right w:val="single" w:sz="2" w:space="0" w:color="000000"/>
          </w:divBdr>
        </w:div>
        <w:div w:id="1844202051">
          <w:marLeft w:val="0"/>
          <w:marRight w:val="0"/>
          <w:marTop w:val="0"/>
          <w:marBottom w:val="300"/>
          <w:divBdr>
            <w:top w:val="single" w:sz="2" w:space="0" w:color="000000"/>
            <w:left w:val="single" w:sz="2" w:space="0" w:color="000000"/>
            <w:bottom w:val="single" w:sz="2" w:space="0" w:color="000000"/>
            <w:right w:val="single" w:sz="2" w:space="0" w:color="000000"/>
          </w:divBdr>
        </w:div>
        <w:div w:id="2072264783">
          <w:marLeft w:val="0"/>
          <w:marRight w:val="0"/>
          <w:marTop w:val="0"/>
          <w:marBottom w:val="300"/>
          <w:divBdr>
            <w:top w:val="single" w:sz="2" w:space="0" w:color="000000"/>
            <w:left w:val="single" w:sz="2" w:space="0" w:color="000000"/>
            <w:bottom w:val="single" w:sz="2" w:space="0" w:color="000000"/>
            <w:right w:val="single" w:sz="2" w:space="0" w:color="000000"/>
          </w:divBdr>
        </w:div>
        <w:div w:id="548497897">
          <w:marLeft w:val="0"/>
          <w:marRight w:val="0"/>
          <w:marTop w:val="0"/>
          <w:marBottom w:val="300"/>
          <w:divBdr>
            <w:top w:val="single" w:sz="2" w:space="0" w:color="000000"/>
            <w:left w:val="single" w:sz="2" w:space="0" w:color="000000"/>
            <w:bottom w:val="single" w:sz="2" w:space="0" w:color="000000"/>
            <w:right w:val="single" w:sz="2" w:space="0" w:color="000000"/>
          </w:divBdr>
        </w:div>
        <w:div w:id="1172918371">
          <w:marLeft w:val="0"/>
          <w:marRight w:val="0"/>
          <w:marTop w:val="0"/>
          <w:marBottom w:val="300"/>
          <w:divBdr>
            <w:top w:val="single" w:sz="2" w:space="0" w:color="000000"/>
            <w:left w:val="single" w:sz="2" w:space="0" w:color="000000"/>
            <w:bottom w:val="single" w:sz="2" w:space="0" w:color="000000"/>
            <w:right w:val="single" w:sz="2" w:space="0" w:color="000000"/>
          </w:divBdr>
        </w:div>
        <w:div w:id="182984886">
          <w:marLeft w:val="0"/>
          <w:marRight w:val="0"/>
          <w:marTop w:val="0"/>
          <w:marBottom w:val="300"/>
          <w:divBdr>
            <w:top w:val="single" w:sz="2" w:space="0" w:color="000000"/>
            <w:left w:val="single" w:sz="2" w:space="0" w:color="000000"/>
            <w:bottom w:val="single" w:sz="2" w:space="0" w:color="000000"/>
            <w:right w:val="single" w:sz="2" w:space="0" w:color="000000"/>
          </w:divBdr>
        </w:div>
        <w:div w:id="736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9548230">
      <w:bodyDiv w:val="1"/>
      <w:marLeft w:val="0"/>
      <w:marRight w:val="0"/>
      <w:marTop w:val="0"/>
      <w:marBottom w:val="0"/>
      <w:divBdr>
        <w:top w:val="none" w:sz="0" w:space="0" w:color="auto"/>
        <w:left w:val="none" w:sz="0" w:space="0" w:color="auto"/>
        <w:bottom w:val="none" w:sz="0" w:space="0" w:color="auto"/>
        <w:right w:val="none" w:sz="0" w:space="0" w:color="auto"/>
      </w:divBdr>
    </w:div>
    <w:div w:id="2062484076">
      <w:bodyDiv w:val="1"/>
      <w:marLeft w:val="0"/>
      <w:marRight w:val="0"/>
      <w:marTop w:val="0"/>
      <w:marBottom w:val="0"/>
      <w:divBdr>
        <w:top w:val="none" w:sz="0" w:space="0" w:color="auto"/>
        <w:left w:val="none" w:sz="0" w:space="0" w:color="auto"/>
        <w:bottom w:val="none" w:sz="0" w:space="0" w:color="auto"/>
        <w:right w:val="none" w:sz="0" w:space="0" w:color="auto"/>
      </w:divBdr>
    </w:div>
    <w:div w:id="2129203296">
      <w:bodyDiv w:val="1"/>
      <w:marLeft w:val="0"/>
      <w:marRight w:val="0"/>
      <w:marTop w:val="0"/>
      <w:marBottom w:val="0"/>
      <w:divBdr>
        <w:top w:val="none" w:sz="0" w:space="0" w:color="auto"/>
        <w:left w:val="none" w:sz="0" w:space="0" w:color="auto"/>
        <w:bottom w:val="none" w:sz="0" w:space="0" w:color="auto"/>
        <w:right w:val="none" w:sz="0" w:space="0" w:color="auto"/>
      </w:divBdr>
    </w:div>
    <w:div w:id="21342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4/relationships/chartEx" Target="charts/chartEx1.xml"/><Relationship Id="rId13" Type="http://schemas.openxmlformats.org/officeDocument/2006/relationships/hyperlink" Target="https://doi.org/10.1145/2976749.2978318" TargetMode="External"/><Relationship Id="rId18" Type="http://schemas.openxmlformats.org/officeDocument/2006/relationships/hyperlink" Target="https://doi.org/10.9734/ajrcos/2024/v17i1252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k.sagepub.com/en-gb/eur/the-coding-manual-for-qualitative-researchers/book273583" TargetMode="Externa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hyperlink" Target="https://doi.org/10.48550/arxiv.1912.04977"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9734/ajrcos/2024/v17i10513" TargetMode="External"/><Relationship Id="rId20" Type="http://schemas.openxmlformats.org/officeDocument/2006/relationships/hyperlink" Target="https://doi.org/10.9734/ajrcos/2024/v17i54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ibm.com/think/topics/ai-governance" TargetMode="External"/><Relationship Id="rId23"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yperlink" Target="https://doi.org/10.1016/j.im.2003.11.00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9734/acri/2025/v25i21090" TargetMode="External"/><Relationship Id="rId22" Type="http://schemas.openxmlformats.org/officeDocument/2006/relationships/hyperlink" Target="https://doi.org/10.9734/ajrcos/2024/v17i12530"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stacked"/>
        <c:varyColors val="0"/>
        <c:ser>
          <c:idx val="0"/>
          <c:order val="0"/>
          <c:tx>
            <c:strRef>
              <c:f>Sheet1!$B$15</c:f>
              <c:strCache>
                <c:ptCount val="1"/>
                <c:pt idx="0">
                  <c:v>Studies (%)</c:v>
                </c:pt>
              </c:strCache>
            </c:strRef>
          </c:tx>
          <c:spPr>
            <a:solidFill>
              <a:schemeClr val="accent1"/>
            </a:solidFill>
            <a:ln>
              <a:noFill/>
            </a:ln>
            <a:effectLst/>
          </c:spPr>
          <c:invertIfNegative val="0"/>
          <c:cat>
            <c:strRef>
              <c:f>Sheet1!$A$16:$A$21</c:f>
              <c:strCache>
                <c:ptCount val="6"/>
                <c:pt idx="0">
                  <c:v>Compliance Automation</c:v>
                </c:pt>
                <c:pt idx="1">
                  <c:v>Ethical Oversight</c:v>
                </c:pt>
                <c:pt idx="2">
                  <c:v>Data Provenance</c:v>
                </c:pt>
                <c:pt idx="3">
                  <c:v>Adaptive Governance</c:v>
                </c:pt>
                <c:pt idx="4">
                  <c:v>Stakeholder Collaboration</c:v>
                </c:pt>
                <c:pt idx="5">
                  <c:v>Cybersecurity-Governance Integration</c:v>
                </c:pt>
              </c:strCache>
            </c:strRef>
          </c:cat>
          <c:val>
            <c:numRef>
              <c:f>Sheet1!$B$16:$B$21</c:f>
              <c:numCache>
                <c:formatCode>General</c:formatCode>
                <c:ptCount val="6"/>
                <c:pt idx="0">
                  <c:v>72</c:v>
                </c:pt>
                <c:pt idx="1">
                  <c:v>65</c:v>
                </c:pt>
                <c:pt idx="2">
                  <c:v>48</c:v>
                </c:pt>
                <c:pt idx="3">
                  <c:v>41</c:v>
                </c:pt>
                <c:pt idx="4">
                  <c:v>56</c:v>
                </c:pt>
                <c:pt idx="5">
                  <c:v>63</c:v>
                </c:pt>
              </c:numCache>
            </c:numRef>
          </c:val>
          <c:extLst>
            <c:ext xmlns:c16="http://schemas.microsoft.com/office/drawing/2014/chart" uri="{C3380CC4-5D6E-409C-BE32-E72D297353CC}">
              <c16:uniqueId val="{00000000-9AF5-47F8-989C-1952549A6336}"/>
            </c:ext>
          </c:extLst>
        </c:ser>
        <c:dLbls>
          <c:showLegendKey val="0"/>
          <c:showVal val="0"/>
          <c:showCatName val="0"/>
          <c:showSerName val="0"/>
          <c:showPercent val="0"/>
          <c:showBubbleSize val="0"/>
        </c:dLbls>
        <c:gapWidth val="150"/>
        <c:overlap val="100"/>
        <c:axId val="377072632"/>
        <c:axId val="377069104"/>
      </c:barChart>
      <c:catAx>
        <c:axId val="377072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7069104"/>
        <c:crosses val="autoZero"/>
        <c:auto val="1"/>
        <c:lblAlgn val="ctr"/>
        <c:lblOffset val="100"/>
        <c:noMultiLvlLbl val="0"/>
      </c:catAx>
      <c:valAx>
        <c:axId val="377069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7072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2"/>
          <c:tx>
            <c:strRef>
              <c:f>Sheet1!$B$26</c:f>
              <c:strCache>
                <c:ptCount val="1"/>
                <c:pt idx="0">
                  <c:v>Baseline ARM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Sheet1!$A$27:$A$29</c:f>
              <c:strCache>
                <c:ptCount val="3"/>
                <c:pt idx="0">
                  <c:v>BERT-based NLP</c:v>
                </c:pt>
                <c:pt idx="1">
                  <c:v>YOLOv7</c:v>
                </c:pt>
                <c:pt idx="2">
                  <c:v>Federated Learning</c:v>
                </c:pt>
              </c:strCache>
            </c:strRef>
          </c:cat>
          <c:val>
            <c:numRef>
              <c:f>Sheet1!$B$27:$B$29</c:f>
              <c:numCache>
                <c:formatCode>General</c:formatCode>
                <c:ptCount val="3"/>
                <c:pt idx="0">
                  <c:v>0.62</c:v>
                </c:pt>
                <c:pt idx="1">
                  <c:v>0.59</c:v>
                </c:pt>
                <c:pt idx="2">
                  <c:v>0.55000000000000004</c:v>
                </c:pt>
              </c:numCache>
            </c:numRef>
          </c:val>
          <c:smooth val="0"/>
          <c:extLst>
            <c:ext xmlns:c16="http://schemas.microsoft.com/office/drawing/2014/chart" uri="{C3380CC4-5D6E-409C-BE32-E72D297353CC}">
              <c16:uniqueId val="{00000000-F7D9-4E70-AD5D-2E346B148341}"/>
            </c:ext>
          </c:extLst>
        </c:ser>
        <c:ser>
          <c:idx val="1"/>
          <c:order val="3"/>
          <c:tx>
            <c:strRef>
              <c:f>Sheet1!$C$26</c:f>
              <c:strCache>
                <c:ptCount val="1"/>
                <c:pt idx="0">
                  <c:v>Framework ARM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Sheet1!$A$27:$A$29</c:f>
              <c:strCache>
                <c:ptCount val="3"/>
                <c:pt idx="0">
                  <c:v>BERT-based NLP</c:v>
                </c:pt>
                <c:pt idx="1">
                  <c:v>YOLOv7</c:v>
                </c:pt>
                <c:pt idx="2">
                  <c:v>Federated Learning</c:v>
                </c:pt>
              </c:strCache>
            </c:strRef>
          </c:cat>
          <c:val>
            <c:numRef>
              <c:f>Sheet1!$C$27:$C$29</c:f>
              <c:numCache>
                <c:formatCode>General</c:formatCode>
                <c:ptCount val="3"/>
                <c:pt idx="0">
                  <c:v>0.91</c:v>
                </c:pt>
                <c:pt idx="1">
                  <c:v>0.88</c:v>
                </c:pt>
                <c:pt idx="2">
                  <c:v>0.85</c:v>
                </c:pt>
              </c:numCache>
            </c:numRef>
          </c:val>
          <c:smooth val="0"/>
          <c:extLst>
            <c:ext xmlns:c16="http://schemas.microsoft.com/office/drawing/2014/chart" uri="{C3380CC4-5D6E-409C-BE32-E72D297353CC}">
              <c16:uniqueId val="{00000001-F7D9-4E70-AD5D-2E346B148341}"/>
            </c:ext>
          </c:extLst>
        </c:ser>
        <c:dLbls>
          <c:showLegendKey val="0"/>
          <c:showVal val="0"/>
          <c:showCatName val="0"/>
          <c:showSerName val="0"/>
          <c:showPercent val="0"/>
          <c:showBubbleSize val="0"/>
        </c:dLbls>
        <c:marker val="1"/>
        <c:smooth val="0"/>
        <c:axId val="377070280"/>
        <c:axId val="377072240"/>
        <c:extLst>
          <c:ext xmlns:c15="http://schemas.microsoft.com/office/drawing/2012/chart" uri="{02D57815-91ED-43cb-92C2-25804820EDAC}">
            <c15:filteredLineSeries>
              <c15:ser>
                <c:idx val="2"/>
                <c:order val="0"/>
                <c:tx>
                  <c:strRef>
                    <c:extLst>
                      <c:ext uri="{02D57815-91ED-43cb-92C2-25804820EDAC}">
                        <c15:formulaRef>
                          <c15:sqref>Sheet1!$B$26</c15:sqref>
                        </c15:formulaRef>
                      </c:ext>
                    </c:extLst>
                    <c:strCache>
                      <c:ptCount val="1"/>
                      <c:pt idx="0">
                        <c:v>Baseline ARM</c:v>
                      </c:pt>
                    </c:strCache>
                  </c:strRef>
                </c:tx>
                <c:cat>
                  <c:strRef>
                    <c:extLst>
                      <c:ext uri="{02D57815-91ED-43cb-92C2-25804820EDAC}">
                        <c15:formulaRef>
                          <c15:sqref>Sheet1!$A$27:$A$29</c15:sqref>
                        </c15:formulaRef>
                      </c:ext>
                    </c:extLst>
                    <c:strCache>
                      <c:ptCount val="3"/>
                      <c:pt idx="0">
                        <c:v>BERT-based NLP</c:v>
                      </c:pt>
                      <c:pt idx="1">
                        <c:v>YOLOv7</c:v>
                      </c:pt>
                      <c:pt idx="2">
                        <c:v>Federated Learning</c:v>
                      </c:pt>
                    </c:strCache>
                  </c:strRef>
                </c:cat>
                <c:val>
                  <c:numRef>
                    <c:extLst>
                      <c:ext uri="{02D57815-91ED-43cb-92C2-25804820EDAC}">
                        <c15:formulaRef>
                          <c15:sqref>Sheet1!$B$27:$B$29</c15:sqref>
                        </c15:formulaRef>
                      </c:ext>
                    </c:extLst>
                    <c:numCache>
                      <c:formatCode>General</c:formatCode>
                      <c:ptCount val="3"/>
                      <c:pt idx="0">
                        <c:v>0.62</c:v>
                      </c:pt>
                      <c:pt idx="1">
                        <c:v>0.59</c:v>
                      </c:pt>
                      <c:pt idx="2">
                        <c:v>0.55000000000000004</c:v>
                      </c:pt>
                    </c:numCache>
                  </c:numRef>
                </c:val>
                <c:smooth val="0"/>
                <c:extLst>
                  <c:ext xmlns:c16="http://schemas.microsoft.com/office/drawing/2014/chart" uri="{C3380CC4-5D6E-409C-BE32-E72D297353CC}">
                    <c16:uniqueId val="{00000002-F7D9-4E70-AD5D-2E346B148341}"/>
                  </c:ext>
                </c:extLst>
              </c15:ser>
            </c15:filteredLineSeries>
            <c15:filteredLineSeries>
              <c15:ser>
                <c:idx val="3"/>
                <c:order val="1"/>
                <c:tx>
                  <c:strRef>
                    <c:extLst xmlns:c15="http://schemas.microsoft.com/office/drawing/2012/chart">
                      <c:ext xmlns:c15="http://schemas.microsoft.com/office/drawing/2012/chart" uri="{02D57815-91ED-43cb-92C2-25804820EDAC}">
                        <c15:formulaRef>
                          <c15:sqref>Sheet1!$C$26</c15:sqref>
                        </c15:formulaRef>
                      </c:ext>
                    </c:extLst>
                    <c:strCache>
                      <c:ptCount val="1"/>
                      <c:pt idx="0">
                        <c:v>Framework ARM</c:v>
                      </c:pt>
                    </c:strCache>
                  </c:strRef>
                </c:tx>
                <c:cat>
                  <c:strRef>
                    <c:extLst xmlns:c15="http://schemas.microsoft.com/office/drawing/2012/chart">
                      <c:ext xmlns:c15="http://schemas.microsoft.com/office/drawing/2012/chart" uri="{02D57815-91ED-43cb-92C2-25804820EDAC}">
                        <c15:formulaRef>
                          <c15:sqref>Sheet1!$A$27:$A$29</c15:sqref>
                        </c15:formulaRef>
                      </c:ext>
                    </c:extLst>
                    <c:strCache>
                      <c:ptCount val="3"/>
                      <c:pt idx="0">
                        <c:v>BERT-based NLP</c:v>
                      </c:pt>
                      <c:pt idx="1">
                        <c:v>YOLOv7</c:v>
                      </c:pt>
                      <c:pt idx="2">
                        <c:v>Federated Learning</c:v>
                      </c:pt>
                    </c:strCache>
                  </c:strRef>
                </c:cat>
                <c:val>
                  <c:numRef>
                    <c:extLst xmlns:c15="http://schemas.microsoft.com/office/drawing/2012/chart">
                      <c:ext xmlns:c15="http://schemas.microsoft.com/office/drawing/2012/chart" uri="{02D57815-91ED-43cb-92C2-25804820EDAC}">
                        <c15:formulaRef>
                          <c15:sqref>Sheet1!$C$27:$C$29</c15:sqref>
                        </c15:formulaRef>
                      </c:ext>
                    </c:extLst>
                    <c:numCache>
                      <c:formatCode>General</c:formatCode>
                      <c:ptCount val="3"/>
                      <c:pt idx="0">
                        <c:v>0.91</c:v>
                      </c:pt>
                      <c:pt idx="1">
                        <c:v>0.88</c:v>
                      </c:pt>
                      <c:pt idx="2">
                        <c:v>0.85</c:v>
                      </c:pt>
                    </c:numCache>
                  </c:numRef>
                </c:val>
                <c:smooth val="0"/>
                <c:extLst xmlns:c15="http://schemas.microsoft.com/office/drawing/2012/chart">
                  <c:ext xmlns:c16="http://schemas.microsoft.com/office/drawing/2014/chart" uri="{C3380CC4-5D6E-409C-BE32-E72D297353CC}">
                    <c16:uniqueId val="{00000003-F7D9-4E70-AD5D-2E346B148341}"/>
                  </c:ext>
                </c:extLst>
              </c15:ser>
            </c15:filteredLineSeries>
          </c:ext>
        </c:extLst>
      </c:lineChart>
      <c:catAx>
        <c:axId val="377070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7072240"/>
        <c:crosses val="autoZero"/>
        <c:auto val="1"/>
        <c:lblAlgn val="ctr"/>
        <c:lblOffset val="100"/>
        <c:noMultiLvlLbl val="0"/>
      </c:catAx>
      <c:valAx>
        <c:axId val="377072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7070280"/>
        <c:crosses val="autoZero"/>
        <c:crossBetween val="between"/>
      </c:valAx>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010192475940513"/>
          <c:y val="0.21148913677456985"/>
          <c:w val="0.41868525809273843"/>
          <c:h val="0.69780876348789733"/>
        </c:manualLayout>
      </c:layout>
      <c:radarChart>
        <c:radarStyle val="filled"/>
        <c:varyColors val="0"/>
        <c:ser>
          <c:idx val="0"/>
          <c:order val="0"/>
          <c:tx>
            <c:strRef>
              <c:f>Sheet1!$B$40</c:f>
              <c:strCache>
                <c:ptCount val="1"/>
                <c:pt idx="0">
                  <c:v>CSS</c:v>
                </c:pt>
              </c:strCache>
            </c:strRef>
          </c:tx>
          <c:spPr>
            <a:solidFill>
              <a:schemeClr val="accent1"/>
            </a:solidFill>
            <a:ln>
              <a:noFill/>
            </a:ln>
            <a:effectLst/>
          </c:spPr>
          <c:cat>
            <c:strRef>
              <c:f>Sheet1!$A$41:$A$43</c:f>
              <c:strCache>
                <c:ptCount val="3"/>
                <c:pt idx="0">
                  <c:v>Proposed</c:v>
                </c:pt>
                <c:pt idx="1">
                  <c:v>SAIF</c:v>
                </c:pt>
                <c:pt idx="2">
                  <c:v>FAICP</c:v>
                </c:pt>
              </c:strCache>
            </c:strRef>
          </c:cat>
          <c:val>
            <c:numRef>
              <c:f>Sheet1!$B$41:$B$43</c:f>
              <c:numCache>
                <c:formatCode>General</c:formatCode>
                <c:ptCount val="3"/>
                <c:pt idx="0">
                  <c:v>0.87</c:v>
                </c:pt>
                <c:pt idx="1">
                  <c:v>0.78</c:v>
                </c:pt>
                <c:pt idx="2">
                  <c:v>0.82</c:v>
                </c:pt>
              </c:numCache>
            </c:numRef>
          </c:val>
          <c:extLst>
            <c:ext xmlns:c16="http://schemas.microsoft.com/office/drawing/2014/chart" uri="{C3380CC4-5D6E-409C-BE32-E72D297353CC}">
              <c16:uniqueId val="{00000000-01CB-4382-8CCE-6F45E71C2C84}"/>
            </c:ext>
          </c:extLst>
        </c:ser>
        <c:dLbls>
          <c:showLegendKey val="0"/>
          <c:showVal val="0"/>
          <c:showCatName val="0"/>
          <c:showSerName val="0"/>
          <c:showPercent val="0"/>
          <c:showBubbleSize val="0"/>
        </c:dLbls>
        <c:axId val="377071064"/>
        <c:axId val="377071456"/>
      </c:radarChart>
      <c:catAx>
        <c:axId val="377071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071456"/>
        <c:crosses val="autoZero"/>
        <c:auto val="1"/>
        <c:lblAlgn val="ctr"/>
        <c:lblOffset val="100"/>
        <c:noMultiLvlLbl val="0"/>
      </c:catAx>
      <c:valAx>
        <c:axId val="377071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071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Sheet1!$A$3:$A$5</cx:f>
        <cx:lvl ptCount="3">
          <cx:pt idx="0">Healthcare</cx:pt>
          <cx:pt idx="1">Finance</cx:pt>
          <cx:pt idx="2">Public Sector</cx:pt>
        </cx:lvl>
      </cx:strDim>
      <cx:numDim type="val">
        <cx:f>Sheet1!$B$3:$B$5</cx:f>
        <cx:lvl ptCount="3" formatCode="General">
          <cx:pt idx="0">0.68000000000000005</cx:pt>
          <cx:pt idx="1">0.79000000000000004</cx:pt>
          <cx:pt idx="2">0.69999999999999996</cx:pt>
        </cx:lvl>
      </cx:numDim>
    </cx:data>
  </cx:chartData>
  <cx:chart>
    <cx:plotArea>
      <cx:plotAreaRegion>
        <cx:plotSurface>
          <cx:spPr>
            <a:solidFill>
              <a:srgbClr val="0070C0"/>
            </a:solidFill>
          </cx:spPr>
        </cx:plotSurface>
        <cx:series layoutId="boxWhisker" uniqueId="{2723AFDC-1BE2-44CF-8ED1-0F89A4997BA7}">
          <cx:tx>
            <cx:txData>
              <cx:f>Sheet1!$B$2</cx:f>
              <cx:v>SPS (Mean)</cx:v>
            </cx:txData>
          </cx:tx>
          <cx:dataId val="0"/>
          <cx:layoutPr>
            <cx:visibility meanLine="1" meanMarker="1" nonoutliers="0" outliers="1"/>
            <cx:statistics quartileMethod="exclusive"/>
          </cx:layoutPr>
        </cx:series>
      </cx:plotAreaRegion>
      <cx:axis id="0">
        <cx:catScaling gapWidth="1"/>
        <cx:tickLabels/>
        <cx:txPr>
          <a:bodyPr spcFirstLastPara="1" vertOverflow="ellipsis" horzOverflow="overflow" wrap="square" lIns="0" tIns="0" rIns="0" bIns="0" anchor="ctr" anchorCtr="1"/>
          <a:lstStyle/>
          <a:p>
            <a:pPr algn="ctr" rtl="0">
              <a:defRPr sz="1000" b="1">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sz="1000" b="1" i="0" u="none" strike="noStrike" baseline="0">
              <a:solidFill>
                <a:sysClr val="windowText" lastClr="000000"/>
              </a:solidFill>
              <a:latin typeface="Times New Roman" panose="02020603050405020304" pitchFamily="18" charset="0"/>
              <a:cs typeface="Times New Roman" panose="02020603050405020304" pitchFamily="18" charset="0"/>
            </a:endParaRPr>
          </a:p>
        </cx:txPr>
      </cx:axis>
      <cx:axis id="1">
        <cx:valScaling/>
        <cx:majorGridlines/>
        <cx:tickLabels/>
        <cx:txPr>
          <a:bodyPr spcFirstLastPara="1" vertOverflow="ellipsis" horzOverflow="overflow" wrap="square" lIns="0" tIns="0" rIns="0" bIns="0" anchor="ctr" anchorCtr="1"/>
          <a:lstStyle/>
          <a:p>
            <a:pPr algn="ctr" rtl="0">
              <a:defRPr sz="1000" b="1">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sz="1000" b="1" i="0" u="none" strike="noStrike" baseline="0">
              <a:solidFill>
                <a:sysClr val="windowText" lastClr="000000"/>
              </a:solidFill>
              <a:latin typeface="Times New Roman" panose="02020603050405020304" pitchFamily="18" charset="0"/>
              <a:cs typeface="Times New Roman" panose="02020603050405020304" pitchFamily="18" charset="0"/>
            </a:endParaRPr>
          </a:p>
        </cx:txPr>
      </cx:axis>
    </cx:plotArea>
    <cx:legend pos="b" align="ctr" overlay="0">
      <cx:txPr>
        <a:bodyPr spcFirstLastPara="1" vertOverflow="ellipsis" horzOverflow="overflow" wrap="square" lIns="0" tIns="0" rIns="0" bIns="0" anchor="ctr" anchorCtr="1"/>
        <a:lstStyle/>
        <a:p>
          <a:pPr algn="ctr" rtl="0">
            <a:defRPr>
              <a:solidFill>
                <a:sysClr val="windowText" lastClr="000000"/>
              </a:solidFill>
            </a:defRPr>
          </a:pPr>
          <a:endParaRPr lang="en-US" sz="900" b="0" i="0" u="none" strike="noStrike" baseline="0">
            <a:solidFill>
              <a:sysClr val="windowText" lastClr="000000"/>
            </a:solidFill>
            <a:latin typeface="Calibri" panose="020F0502020204030204"/>
          </a:endParaRPr>
        </a:p>
      </cx:txPr>
    </cx:legend>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73">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8271</Words>
  <Characters>58640</Characters>
  <Application>Microsoft Office Word</Application>
  <DocSecurity>4</DocSecurity>
  <Lines>1028</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Oluwaseun Olaniyi</cp:lastModifiedBy>
  <cp:revision>2</cp:revision>
  <dcterms:created xsi:type="dcterms:W3CDTF">2025-04-30T16:52:00Z</dcterms:created>
  <dcterms:modified xsi:type="dcterms:W3CDTF">2025-04-30T16:52:00Z</dcterms:modified>
</cp:coreProperties>
</file>