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E411D" w14:textId="77777777" w:rsidR="00754C9A" w:rsidRDefault="00754C9A" w:rsidP="00441B6F">
      <w:pPr>
        <w:pStyle w:val="Title"/>
        <w:spacing w:after="0"/>
        <w:jc w:val="both"/>
        <w:rPr>
          <w:rFonts w:ascii="Arial" w:hAnsi="Arial" w:cs="Arial"/>
        </w:rPr>
      </w:pPr>
    </w:p>
    <w:p w14:paraId="0CFA0FB5" w14:textId="77777777" w:rsidR="008469E0" w:rsidRPr="008469E0" w:rsidRDefault="008469E0" w:rsidP="008469E0">
      <w:pPr>
        <w:pStyle w:val="Author"/>
        <w:rPr>
          <w:rFonts w:ascii="Arial" w:hAnsi="Arial" w:cs="Arial"/>
          <w:bCs/>
          <w:i/>
          <w:iCs/>
          <w:kern w:val="28"/>
          <w:sz w:val="20"/>
          <w:u w:val="single"/>
        </w:rPr>
      </w:pPr>
      <w:r w:rsidRPr="008469E0">
        <w:rPr>
          <w:rFonts w:ascii="Arial" w:hAnsi="Arial" w:cs="Arial"/>
          <w:bCs/>
          <w:i/>
          <w:iCs/>
          <w:kern w:val="28"/>
          <w:sz w:val="20"/>
          <w:u w:val="single"/>
        </w:rPr>
        <w:t>Systematic Review</w:t>
      </w:r>
    </w:p>
    <w:p w14:paraId="4F84FCA1" w14:textId="49F2C3A9" w:rsidR="00163BC4" w:rsidRPr="00163BC4" w:rsidRDefault="00417645" w:rsidP="00441B6F">
      <w:pPr>
        <w:pStyle w:val="Author"/>
        <w:spacing w:line="240" w:lineRule="auto"/>
        <w:rPr>
          <w:rFonts w:ascii="Arial" w:hAnsi="Arial" w:cs="Arial"/>
          <w:bCs/>
          <w:iCs/>
          <w:kern w:val="28"/>
          <w:sz w:val="36"/>
        </w:rPr>
      </w:pPr>
      <w:r>
        <w:rPr>
          <w:rFonts w:ascii="Arial" w:hAnsi="Arial" w:cs="Arial"/>
          <w:bCs/>
          <w:iCs/>
          <w:kern w:val="28"/>
          <w:sz w:val="36"/>
        </w:rPr>
        <w:t>Implementation of Green Tourism</w:t>
      </w:r>
      <w:r w:rsidR="001A4AA3">
        <w:rPr>
          <w:rFonts w:ascii="Arial" w:hAnsi="Arial" w:cs="Arial"/>
          <w:bCs/>
          <w:iCs/>
          <w:kern w:val="28"/>
          <w:sz w:val="36"/>
        </w:rPr>
        <w:t>:</w:t>
      </w:r>
      <w:r>
        <w:rPr>
          <w:rFonts w:ascii="Arial" w:hAnsi="Arial" w:cs="Arial"/>
          <w:bCs/>
          <w:iCs/>
          <w:kern w:val="28"/>
          <w:sz w:val="36"/>
        </w:rPr>
        <w:t xml:space="preserve"> A Systematic Literature Review</w:t>
      </w:r>
    </w:p>
    <w:p w14:paraId="3BDC9982" w14:textId="77777777" w:rsidR="00A258C3" w:rsidRPr="00790ADA" w:rsidRDefault="00A258C3" w:rsidP="00441B6F">
      <w:pPr>
        <w:pStyle w:val="Author"/>
        <w:spacing w:line="240" w:lineRule="auto"/>
        <w:jc w:val="both"/>
        <w:rPr>
          <w:rFonts w:ascii="Arial" w:hAnsi="Arial" w:cs="Arial"/>
          <w:sz w:val="36"/>
        </w:rPr>
      </w:pPr>
    </w:p>
    <w:p w14:paraId="612BEB7F" w14:textId="6A5DD1E3" w:rsidR="00B01FCD" w:rsidRPr="00FB3A86" w:rsidRDefault="003E60CA" w:rsidP="00441B6F">
      <w:pPr>
        <w:pStyle w:val="Copyright"/>
        <w:spacing w:after="0" w:line="240" w:lineRule="auto"/>
        <w:jc w:val="both"/>
        <w:rPr>
          <w:rFonts w:ascii="Arial" w:hAnsi="Arial" w:cs="Arial"/>
        </w:rPr>
        <w:sectPr w:rsidR="00B01FCD" w:rsidRPr="00FB3A86" w:rsidSect="00841CC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790E100" wp14:editId="3C0A1895">
                <wp:extent cx="5303520" cy="635"/>
                <wp:effectExtent l="13335" t="13970" r="17145" b="14605"/>
                <wp:docPr id="20975002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6080D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CF64578" w14:textId="1062559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ED400B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7C2EDFD" w14:textId="77777777" w:rsidTr="001E44FE">
        <w:tc>
          <w:tcPr>
            <w:tcW w:w="9576" w:type="dxa"/>
            <w:shd w:val="clear" w:color="auto" w:fill="F2F2F2"/>
          </w:tcPr>
          <w:p w14:paraId="7C579C84" w14:textId="77777777" w:rsidR="004F3EA3" w:rsidRPr="004F3EA3" w:rsidRDefault="004F3EA3" w:rsidP="004F3EA3">
            <w:pPr>
              <w:pStyle w:val="Body"/>
              <w:spacing w:after="0"/>
              <w:rPr>
                <w:rFonts w:ascii="Arial" w:eastAsia="Calibri" w:hAnsi="Arial" w:cs="Arial"/>
                <w:sz w:val="22"/>
                <w:szCs w:val="22"/>
                <w:lang w:val="en-PH"/>
              </w:rPr>
            </w:pPr>
            <w:commentRangeStart w:id="0"/>
            <w:r w:rsidRPr="004F3EA3">
              <w:rPr>
                <w:rFonts w:ascii="Arial" w:eastAsia="Calibri" w:hAnsi="Arial" w:cs="Arial"/>
                <w:b/>
                <w:bCs/>
                <w:sz w:val="22"/>
                <w:szCs w:val="22"/>
                <w:lang w:val="en-PH"/>
              </w:rPr>
              <w:t>Aims</w:t>
            </w:r>
            <w:r w:rsidRPr="004F3EA3">
              <w:rPr>
                <w:rFonts w:ascii="Arial" w:eastAsia="Calibri" w:hAnsi="Arial" w:cs="Arial"/>
                <w:sz w:val="22"/>
                <w:szCs w:val="22"/>
                <w:lang w:val="en-PH"/>
              </w:rPr>
              <w:t>: This systematic literature review aims to explore the implementation of green tourism across urban, rural, peri-urban, and post-conflict areas, and to analyze the factors influencing its adoption and the challenges encountered.</w:t>
            </w:r>
          </w:p>
          <w:p w14:paraId="481C694A" w14:textId="77777777" w:rsidR="004F3EA3" w:rsidRPr="004F3EA3" w:rsidRDefault="004F3EA3" w:rsidP="004F3EA3">
            <w:pPr>
              <w:pStyle w:val="Body"/>
              <w:spacing w:after="0"/>
              <w:rPr>
                <w:rFonts w:ascii="Arial" w:eastAsia="Calibri" w:hAnsi="Arial" w:cs="Arial"/>
                <w:sz w:val="22"/>
                <w:szCs w:val="22"/>
                <w:lang w:val="en-PH"/>
              </w:rPr>
            </w:pPr>
            <w:r w:rsidRPr="004F3EA3">
              <w:rPr>
                <w:rFonts w:ascii="Arial" w:eastAsia="Calibri" w:hAnsi="Arial" w:cs="Arial"/>
                <w:b/>
                <w:bCs/>
                <w:sz w:val="22"/>
                <w:szCs w:val="22"/>
                <w:lang w:val="en-PH"/>
              </w:rPr>
              <w:t>Study Design</w:t>
            </w:r>
            <w:r w:rsidRPr="004F3EA3">
              <w:rPr>
                <w:rFonts w:ascii="Arial" w:eastAsia="Calibri" w:hAnsi="Arial" w:cs="Arial"/>
                <w:sz w:val="22"/>
                <w:szCs w:val="22"/>
                <w:lang w:val="en-PH"/>
              </w:rPr>
              <w:t>: The study employs a systematic review methodology to synthesize global research on green tourism implementation.</w:t>
            </w:r>
          </w:p>
          <w:p w14:paraId="0500271C" w14:textId="77777777" w:rsidR="004F3EA3" w:rsidRPr="004F3EA3" w:rsidRDefault="004F3EA3" w:rsidP="004F3EA3">
            <w:pPr>
              <w:pStyle w:val="Body"/>
              <w:spacing w:after="0"/>
              <w:rPr>
                <w:rFonts w:ascii="Arial" w:eastAsia="Calibri" w:hAnsi="Arial" w:cs="Arial"/>
                <w:sz w:val="22"/>
                <w:szCs w:val="22"/>
                <w:lang w:val="en-PH"/>
              </w:rPr>
            </w:pPr>
            <w:r w:rsidRPr="004F3EA3">
              <w:rPr>
                <w:rFonts w:ascii="Arial" w:eastAsia="Calibri" w:hAnsi="Arial" w:cs="Arial"/>
                <w:b/>
                <w:bCs/>
                <w:sz w:val="22"/>
                <w:szCs w:val="22"/>
                <w:lang w:val="en-PH"/>
              </w:rPr>
              <w:t>Methodology</w:t>
            </w:r>
            <w:r w:rsidRPr="004F3EA3">
              <w:rPr>
                <w:rFonts w:ascii="Arial" w:eastAsia="Calibri" w:hAnsi="Arial" w:cs="Arial"/>
                <w:sz w:val="22"/>
                <w:szCs w:val="22"/>
                <w:lang w:val="en-PH"/>
              </w:rPr>
              <w:t>: Peer-reviewed articles focusing on green tourism implementation within the food and beverage, accommodation, and transportation sectors across seven continents were analyzed. The review examines variations in green tourism practices, their outcomes, and associated challenges across the specified spatial settings.</w:t>
            </w:r>
          </w:p>
          <w:p w14:paraId="71E90DDF" w14:textId="77777777" w:rsidR="004F3EA3" w:rsidRPr="004F3EA3" w:rsidRDefault="004F3EA3" w:rsidP="004F3EA3">
            <w:pPr>
              <w:pStyle w:val="Body"/>
              <w:spacing w:after="0"/>
              <w:rPr>
                <w:rFonts w:ascii="Arial" w:eastAsia="Calibri" w:hAnsi="Arial" w:cs="Arial"/>
                <w:sz w:val="22"/>
                <w:szCs w:val="22"/>
                <w:lang w:val="en-PH"/>
              </w:rPr>
            </w:pPr>
            <w:r w:rsidRPr="004F3EA3">
              <w:rPr>
                <w:rFonts w:ascii="Arial" w:eastAsia="Calibri" w:hAnsi="Arial" w:cs="Arial"/>
                <w:b/>
                <w:bCs/>
                <w:sz w:val="22"/>
                <w:szCs w:val="22"/>
                <w:lang w:val="en-PH"/>
              </w:rPr>
              <w:t>Results</w:t>
            </w:r>
            <w:r w:rsidRPr="004F3EA3">
              <w:rPr>
                <w:rFonts w:ascii="Arial" w:eastAsia="Calibri" w:hAnsi="Arial" w:cs="Arial"/>
                <w:sz w:val="22"/>
                <w:szCs w:val="22"/>
                <w:lang w:val="en-PH"/>
              </w:rPr>
              <w:t>: The review reveals significant variations in green tourism adoption, influenced by factors such as infrastructure development, economic priorities, stakeholder participation, and the presence of supportive policy frameworks. Urban areas demonstrate higher adoption rates due to better infrastructure and access to certifications, while rural and post-conflict zones, in particular, struggle with limited supply chains and weak regulatory support. Common challenges across all areas include limited awareness, high implementation costs, and difficulties in sustainable sourcing. The analysis highlights how effective implementation leads to enhanced environmental responsibility and profitability.</w:t>
            </w:r>
          </w:p>
          <w:p w14:paraId="5F3D250B" w14:textId="05721239" w:rsidR="00505F06" w:rsidRPr="0053022C" w:rsidRDefault="004F3EA3" w:rsidP="00B231C3">
            <w:pPr>
              <w:pStyle w:val="Body"/>
              <w:spacing w:after="0"/>
              <w:rPr>
                <w:rFonts w:ascii="Arial" w:eastAsia="Calibri" w:hAnsi="Arial" w:cs="Arial"/>
                <w:sz w:val="22"/>
                <w:szCs w:val="22"/>
                <w:lang w:val="en-PH"/>
              </w:rPr>
            </w:pPr>
            <w:r w:rsidRPr="004F3EA3">
              <w:rPr>
                <w:rFonts w:ascii="Arial" w:eastAsia="Calibri" w:hAnsi="Arial" w:cs="Arial"/>
                <w:b/>
                <w:bCs/>
                <w:sz w:val="22"/>
                <w:szCs w:val="22"/>
                <w:lang w:val="en-PH"/>
              </w:rPr>
              <w:t>Conclusion</w:t>
            </w:r>
            <w:r w:rsidRPr="004F3EA3">
              <w:rPr>
                <w:rFonts w:ascii="Arial" w:eastAsia="Calibri" w:hAnsi="Arial" w:cs="Arial"/>
                <w:sz w:val="22"/>
                <w:szCs w:val="22"/>
                <w:lang w:val="en-PH"/>
              </w:rPr>
              <w:t>: Green tourism adoption is highly context-dependent. Context-specific strategies are crucial for successful implementation. Collaborative efforts and the strategic integration of green practices into business models are essential for enhancing both environmental sustainability and business profitability.</w:t>
            </w:r>
            <w:commentRangeEnd w:id="0"/>
            <w:r w:rsidR="0095201F">
              <w:rPr>
                <w:rStyle w:val="CommentReference"/>
                <w:rFonts w:ascii="Times New Roman" w:hAnsi="Times New Roman"/>
                <w:lang w:val="nb-NO" w:eastAsia="nb-NO"/>
              </w:rPr>
              <w:commentReference w:id="0"/>
            </w:r>
          </w:p>
        </w:tc>
      </w:tr>
    </w:tbl>
    <w:p w14:paraId="14313814" w14:textId="65D5BD9C" w:rsidR="00790ADA" w:rsidRDefault="00A24E7E" w:rsidP="00441B6F">
      <w:pPr>
        <w:pStyle w:val="Body"/>
        <w:spacing w:after="0"/>
        <w:rPr>
          <w:rFonts w:ascii="Arial" w:hAnsi="Arial" w:cs="Arial"/>
          <w:i/>
        </w:rPr>
      </w:pPr>
      <w:r>
        <w:rPr>
          <w:rFonts w:ascii="Arial" w:hAnsi="Arial" w:cs="Arial"/>
          <w:i/>
        </w:rPr>
        <w:t xml:space="preserve">Keywords: </w:t>
      </w:r>
      <w:r w:rsidR="00930FA1" w:rsidRPr="00930FA1">
        <w:rPr>
          <w:rFonts w:ascii="Arial" w:hAnsi="Arial" w:cs="Arial"/>
          <w:i/>
        </w:rPr>
        <w:t xml:space="preserve">Sustainable tourism, Tourism implementation, Urban tourism, Rural tourism, </w:t>
      </w:r>
      <w:proofErr w:type="gramStart"/>
      <w:r w:rsidR="00930FA1" w:rsidRPr="00930FA1">
        <w:rPr>
          <w:rFonts w:ascii="Arial" w:hAnsi="Arial" w:cs="Arial"/>
          <w:i/>
        </w:rPr>
        <w:t>Post-conflict</w:t>
      </w:r>
      <w:proofErr w:type="gramEnd"/>
      <w:r w:rsidR="00930FA1" w:rsidRPr="00930FA1">
        <w:rPr>
          <w:rFonts w:ascii="Arial" w:hAnsi="Arial" w:cs="Arial"/>
          <w:i/>
        </w:rPr>
        <w:t xml:space="preserve"> tourism, Policy implementation, Environmental responsibility</w:t>
      </w:r>
    </w:p>
    <w:p w14:paraId="71EC4DE1" w14:textId="77777777" w:rsidR="0024282C" w:rsidRDefault="0024282C" w:rsidP="00441B6F">
      <w:pPr>
        <w:pStyle w:val="Body"/>
        <w:spacing w:after="0"/>
        <w:rPr>
          <w:rFonts w:ascii="Arial" w:hAnsi="Arial" w:cs="Arial"/>
          <w:i/>
          <w:sz w:val="18"/>
        </w:rPr>
      </w:pPr>
    </w:p>
    <w:p w14:paraId="1174AED9" w14:textId="77777777" w:rsidR="00505F06" w:rsidRPr="00A24E7E" w:rsidRDefault="00505F06" w:rsidP="00441B6F">
      <w:pPr>
        <w:pStyle w:val="Body"/>
        <w:spacing w:after="0"/>
        <w:rPr>
          <w:rFonts w:ascii="Arial" w:hAnsi="Arial" w:cs="Arial"/>
          <w:i/>
        </w:rPr>
      </w:pPr>
    </w:p>
    <w:p w14:paraId="446462EB" w14:textId="70C52CD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A33B207" w14:textId="77777777" w:rsidR="00790ADA" w:rsidRPr="00FB3A86" w:rsidRDefault="00790ADA" w:rsidP="00441B6F">
      <w:pPr>
        <w:pStyle w:val="AbstHead"/>
        <w:spacing w:after="0"/>
        <w:jc w:val="both"/>
        <w:rPr>
          <w:rFonts w:ascii="Arial" w:hAnsi="Arial" w:cs="Arial"/>
        </w:rPr>
      </w:pPr>
    </w:p>
    <w:p w14:paraId="1F03DF86" w14:textId="77777777" w:rsidR="007C5229" w:rsidRDefault="007C5229" w:rsidP="007C5229">
      <w:pPr>
        <w:pStyle w:val="Body"/>
        <w:spacing w:after="0"/>
        <w:rPr>
          <w:rFonts w:ascii="Arial" w:hAnsi="Arial" w:cs="Arial"/>
          <w:lang w:val="en-PH"/>
        </w:rPr>
      </w:pPr>
      <w:r w:rsidRPr="007C5229">
        <w:rPr>
          <w:rFonts w:ascii="Arial" w:hAnsi="Arial" w:cs="Arial"/>
          <w:lang w:val="en-PH"/>
        </w:rPr>
        <w:t>The global tourism industry is a major driver of economic development, but its rapid expansion has often come at a significant environmental cost (Miller &amp; Twining-Ward, 2005). As the detrimental impacts of traditional tourism practices become increasingly apparent, the concept of green tourism has emerged as a crucial approach, aiming to decouple economic growth from ecological degradation by balancing economic benefits with environmental responsibility (Delgado-Serrano et al., 2017). This systematic literature review addresses the urgent need for a more sustainable tourism paradigm by investigating the implementation of green tourism practices within the global tourism industry.</w:t>
      </w:r>
    </w:p>
    <w:p w14:paraId="6DE64E3A" w14:textId="77777777" w:rsidR="007C5229" w:rsidRPr="007C5229" w:rsidRDefault="007C5229" w:rsidP="007C5229">
      <w:pPr>
        <w:pStyle w:val="Body"/>
        <w:spacing w:after="0"/>
        <w:rPr>
          <w:rFonts w:ascii="Arial" w:hAnsi="Arial" w:cs="Arial"/>
          <w:lang w:val="en-PH"/>
        </w:rPr>
      </w:pPr>
    </w:p>
    <w:p w14:paraId="72A2C7C8" w14:textId="77777777" w:rsidR="007C5229" w:rsidRPr="007C5229" w:rsidRDefault="007C5229" w:rsidP="007C5229">
      <w:pPr>
        <w:pStyle w:val="Body"/>
        <w:spacing w:after="0"/>
        <w:rPr>
          <w:rFonts w:ascii="Arial" w:hAnsi="Arial" w:cs="Arial"/>
          <w:lang w:val="en-PH"/>
        </w:rPr>
      </w:pPr>
      <w:r w:rsidRPr="007C5229">
        <w:rPr>
          <w:rFonts w:ascii="Arial" w:hAnsi="Arial" w:cs="Arial"/>
          <w:lang w:val="en-PH"/>
        </w:rPr>
        <w:lastRenderedPageBreak/>
        <w:t>Specifically, this review examines the extent to which sustainable procurement, habitat protection, and green building practices are being implemented (Frame et al., 2021), and the challenges encountered in doing so, particularly concerning environmental protection, energy and water conservation, and the sustainable use of resources (Furqan, Som, &amp; Hussin, 2010). Recognizing that the specific manifestations of green tourism, and the obstacles to its adoption, vary significantly across different spatial contexts, this review focuses on a comparative analysis of implementation and challenges in urban, rural, and post-conflict areas. By analyzing relevant peer-reviewed studies with Digital Object Identifiers (DOIs) from across seven continents, this research aims to provide valuable insights into how green tourism business activities can contribute to mitigating global warming and fostering sustainable development across diverse socioeconomic and geographical contexts.</w:t>
      </w:r>
    </w:p>
    <w:p w14:paraId="7B525E5C" w14:textId="77777777" w:rsidR="00790ADA" w:rsidRPr="00FB3A86" w:rsidRDefault="00790ADA" w:rsidP="00441B6F">
      <w:pPr>
        <w:pStyle w:val="Body"/>
        <w:spacing w:after="0"/>
        <w:rPr>
          <w:rFonts w:ascii="Arial" w:hAnsi="Arial" w:cs="Arial"/>
        </w:rPr>
      </w:pPr>
    </w:p>
    <w:p w14:paraId="21FAE67C" w14:textId="5B7E86E5" w:rsidR="007F7B32" w:rsidRPr="00067F92" w:rsidRDefault="00902823" w:rsidP="00441B6F">
      <w:pPr>
        <w:pStyle w:val="AbstHead"/>
        <w:spacing w:after="0"/>
        <w:jc w:val="both"/>
        <w:rPr>
          <w:rFonts w:ascii="Arial" w:hAnsi="Arial" w:cs="Arial"/>
          <w:szCs w:val="22"/>
        </w:rPr>
      </w:pPr>
      <w:r w:rsidRPr="00067F92">
        <w:rPr>
          <w:rFonts w:ascii="Arial" w:hAnsi="Arial" w:cs="Arial"/>
          <w:szCs w:val="22"/>
        </w:rPr>
        <w:t xml:space="preserve">2. </w:t>
      </w:r>
      <w:r w:rsidR="006B57D0" w:rsidRPr="00067F92">
        <w:rPr>
          <w:rFonts w:ascii="Arial" w:hAnsi="Arial" w:cs="Arial"/>
          <w:szCs w:val="22"/>
        </w:rPr>
        <w:t>methodology</w:t>
      </w:r>
      <w:r w:rsidR="007F7B32" w:rsidRPr="00067F92">
        <w:rPr>
          <w:rFonts w:ascii="Arial" w:hAnsi="Arial" w:cs="Arial"/>
          <w:szCs w:val="22"/>
        </w:rPr>
        <w:t xml:space="preserve"> </w:t>
      </w:r>
    </w:p>
    <w:p w14:paraId="3168EEA7" w14:textId="77777777" w:rsidR="00790ADA" w:rsidRPr="00067F92" w:rsidRDefault="00790ADA" w:rsidP="00441B6F">
      <w:pPr>
        <w:pStyle w:val="AbstHead"/>
        <w:spacing w:after="0"/>
        <w:jc w:val="both"/>
        <w:rPr>
          <w:rFonts w:ascii="Arial" w:hAnsi="Arial" w:cs="Arial"/>
          <w:szCs w:val="22"/>
        </w:rPr>
      </w:pPr>
    </w:p>
    <w:p w14:paraId="0E1A15CB" w14:textId="77777777" w:rsidR="00125818" w:rsidRPr="002808CE" w:rsidRDefault="00125818" w:rsidP="00125818">
      <w:pPr>
        <w:jc w:val="both"/>
        <w:rPr>
          <w:rFonts w:ascii="Arial" w:hAnsi="Arial" w:cs="Arial"/>
        </w:rPr>
      </w:pPr>
      <w:r w:rsidRPr="002808CE">
        <w:rPr>
          <w:rFonts w:ascii="Arial" w:hAnsi="Arial" w:cs="Arial"/>
        </w:rPr>
        <w:t>This global systematic literature review investigated the implementation of green tourism across seven continents: Africa, Antarctica, Asia, Australia, Europe, North America, and South America. The research focused on diverse spatial locations: rural areas, urban areas, peri-urban areas, and post-conflict areas. This design allowed for an exploration of how these distinct geographical settings shape the adoption and characteristics of key green tourism variables, such as green building practices, habitat protection, pollution control, resource efficiency, sustainable procurement, and waste management. While the initial search considered the economic status of countries, the primary analysis and presentation of findings are organized by spatial location.</w:t>
      </w:r>
    </w:p>
    <w:p w14:paraId="655353DF" w14:textId="77777777" w:rsidR="00125818" w:rsidRPr="00067F92" w:rsidRDefault="00125818" w:rsidP="00125818">
      <w:pPr>
        <w:jc w:val="both"/>
        <w:rPr>
          <w:rFonts w:ascii="Arial" w:hAnsi="Arial" w:cs="Arial"/>
          <w:sz w:val="22"/>
          <w:szCs w:val="22"/>
        </w:rPr>
      </w:pPr>
    </w:p>
    <w:p w14:paraId="19C2BAAE" w14:textId="77777777" w:rsidR="00125818" w:rsidRPr="00067F92" w:rsidRDefault="00125818" w:rsidP="00125818">
      <w:pPr>
        <w:jc w:val="both"/>
        <w:rPr>
          <w:rFonts w:ascii="Arial" w:hAnsi="Arial" w:cs="Arial"/>
          <w:sz w:val="22"/>
          <w:szCs w:val="22"/>
        </w:rPr>
      </w:pPr>
      <w:r w:rsidRPr="00067F92">
        <w:rPr>
          <w:rFonts w:ascii="Arial" w:hAnsi="Arial" w:cs="Arial"/>
          <w:b/>
          <w:bCs/>
          <w:sz w:val="22"/>
          <w:szCs w:val="22"/>
        </w:rPr>
        <w:t xml:space="preserve">2.1 Research Design </w:t>
      </w:r>
    </w:p>
    <w:p w14:paraId="5E8065F3" w14:textId="77777777" w:rsidR="00125818" w:rsidRPr="00715E90" w:rsidRDefault="00125818" w:rsidP="00125818">
      <w:pPr>
        <w:jc w:val="both"/>
        <w:rPr>
          <w:rFonts w:ascii="Arial" w:hAnsi="Arial" w:cs="Arial"/>
        </w:rPr>
      </w:pPr>
      <w:r w:rsidRPr="00715E90">
        <w:rPr>
          <w:rFonts w:ascii="Arial" w:hAnsi="Arial" w:cs="Arial"/>
        </w:rPr>
        <w:t>This systematic literature review encompassed a global scope, analyzing peer-reviewed journal articles relevant to green tourism implementation within the food and beverage sector, accommodation sector, and transportation sector across seven continents. The focus of the analysis centers on the nuances of green tourism implementation within diverse spatial settings: rural areas, urban areas, peri-urban areas, and post-conflict areas.</w:t>
      </w:r>
    </w:p>
    <w:p w14:paraId="15BD8619" w14:textId="77777777" w:rsidR="00125818" w:rsidRPr="00067F92" w:rsidRDefault="00125818" w:rsidP="00125818">
      <w:pPr>
        <w:jc w:val="both"/>
        <w:rPr>
          <w:rFonts w:ascii="Arial" w:hAnsi="Arial" w:cs="Arial"/>
          <w:sz w:val="22"/>
          <w:szCs w:val="22"/>
        </w:rPr>
      </w:pPr>
    </w:p>
    <w:p w14:paraId="7ED3F2B7" w14:textId="77777777" w:rsidR="00125818" w:rsidRPr="00067F92" w:rsidRDefault="00125818" w:rsidP="00125818">
      <w:pPr>
        <w:jc w:val="both"/>
        <w:rPr>
          <w:rFonts w:ascii="Arial" w:hAnsi="Arial" w:cs="Arial"/>
          <w:sz w:val="22"/>
          <w:szCs w:val="22"/>
        </w:rPr>
      </w:pPr>
      <w:r w:rsidRPr="00067F92">
        <w:rPr>
          <w:rFonts w:ascii="Arial" w:hAnsi="Arial" w:cs="Arial"/>
          <w:b/>
          <w:bCs/>
          <w:sz w:val="22"/>
          <w:szCs w:val="22"/>
        </w:rPr>
        <w:t>2.2 Research Locale</w:t>
      </w:r>
    </w:p>
    <w:p w14:paraId="241355B6" w14:textId="77777777" w:rsidR="00125818" w:rsidRPr="00715E90" w:rsidRDefault="00125818" w:rsidP="00125818">
      <w:pPr>
        <w:jc w:val="both"/>
        <w:rPr>
          <w:rFonts w:ascii="Arial" w:hAnsi="Arial" w:cs="Arial"/>
        </w:rPr>
      </w:pPr>
      <w:r w:rsidRPr="00715E90">
        <w:rPr>
          <w:rFonts w:ascii="Arial" w:hAnsi="Arial" w:cs="Arial"/>
        </w:rPr>
        <w:t>This study did not involve direct interaction with human participants. Instead, it employed a systematic review of peer-reviewed journal articles retrieved from reputable academic databases, including Google Scholar, Electronic Journals, Scientific Research, and ProQuest. The target literature for this review comprised articles focusing on green tourism within the food and beverage sector, accommodation sector, and transportation sector.</w:t>
      </w:r>
    </w:p>
    <w:p w14:paraId="7AD81E03" w14:textId="77777777" w:rsidR="00125818" w:rsidRPr="00715E90" w:rsidRDefault="00125818" w:rsidP="00125818">
      <w:pPr>
        <w:jc w:val="both"/>
        <w:rPr>
          <w:rFonts w:ascii="Arial" w:hAnsi="Arial" w:cs="Arial"/>
        </w:rPr>
      </w:pPr>
    </w:p>
    <w:p w14:paraId="14CBEB15" w14:textId="77777777" w:rsidR="00125818" w:rsidRPr="00067F92" w:rsidRDefault="00125818" w:rsidP="00125818">
      <w:pPr>
        <w:jc w:val="both"/>
        <w:rPr>
          <w:rFonts w:ascii="Arial" w:hAnsi="Arial" w:cs="Arial"/>
          <w:sz w:val="22"/>
          <w:szCs w:val="22"/>
        </w:rPr>
      </w:pPr>
      <w:r w:rsidRPr="00067F92">
        <w:rPr>
          <w:rFonts w:ascii="Arial" w:hAnsi="Arial" w:cs="Arial"/>
          <w:b/>
          <w:bCs/>
          <w:sz w:val="22"/>
          <w:szCs w:val="22"/>
        </w:rPr>
        <w:t>2.3 Research Participants</w:t>
      </w:r>
    </w:p>
    <w:p w14:paraId="6E062E70" w14:textId="77777777" w:rsidR="00125818" w:rsidRPr="00715E90" w:rsidRDefault="00125818" w:rsidP="00125818">
      <w:pPr>
        <w:jc w:val="both"/>
        <w:rPr>
          <w:rFonts w:ascii="Arial" w:hAnsi="Arial" w:cs="Arial"/>
        </w:rPr>
      </w:pPr>
      <w:r w:rsidRPr="00715E90">
        <w:rPr>
          <w:rFonts w:ascii="Arial" w:hAnsi="Arial" w:cs="Arial"/>
        </w:rPr>
        <w:t>The data for this systematic review consisted of peer-reviewed journal articles retrieved from reputable academic databases, including Google Scholar, Electronic Journals, Scientific Research, and ProQuest. The included literature focused on green tourism implementation within the food and beverage, accommodation, and transportation sectors.</w:t>
      </w:r>
    </w:p>
    <w:p w14:paraId="2DAC87D4" w14:textId="77777777" w:rsidR="00125818" w:rsidRPr="00067F92" w:rsidRDefault="00125818" w:rsidP="00125818">
      <w:pPr>
        <w:jc w:val="both"/>
        <w:rPr>
          <w:rFonts w:ascii="Arial" w:hAnsi="Arial" w:cs="Arial"/>
          <w:sz w:val="22"/>
          <w:szCs w:val="22"/>
        </w:rPr>
      </w:pPr>
    </w:p>
    <w:p w14:paraId="7E306629" w14:textId="77777777" w:rsidR="00125818" w:rsidRPr="00067F92" w:rsidRDefault="00125818" w:rsidP="00125818">
      <w:pPr>
        <w:jc w:val="both"/>
        <w:rPr>
          <w:rFonts w:ascii="Arial" w:hAnsi="Arial" w:cs="Arial"/>
          <w:b/>
          <w:bCs/>
          <w:sz w:val="22"/>
          <w:szCs w:val="22"/>
        </w:rPr>
      </w:pPr>
      <w:r w:rsidRPr="00067F92">
        <w:rPr>
          <w:rFonts w:ascii="Arial" w:hAnsi="Arial" w:cs="Arial"/>
          <w:b/>
          <w:bCs/>
          <w:sz w:val="22"/>
          <w:szCs w:val="22"/>
        </w:rPr>
        <w:t>2.4 Research Instrument</w:t>
      </w:r>
    </w:p>
    <w:p w14:paraId="33D1977B" w14:textId="292D1118" w:rsidR="00125818" w:rsidRPr="00303B61" w:rsidRDefault="00303B61" w:rsidP="00125818">
      <w:pPr>
        <w:jc w:val="both"/>
        <w:rPr>
          <w:rFonts w:ascii="Arial" w:hAnsi="Arial" w:cs="Arial"/>
        </w:rPr>
      </w:pPr>
      <w:r w:rsidRPr="00303B61">
        <w:rPr>
          <w:rFonts w:ascii="Arial" w:hAnsi="Arial" w:cs="Arial"/>
        </w:rPr>
        <w:t xml:space="preserve">The extracted data underwent a two-phase analysis. First, a thematic analysis was conducted to identify recurring themes related to green tourism implementation and challenges across the different spatial contexts, using a rigorous coding approach to categorize findings from the selected articles. Second, a geographic analysis was systematically operationalized to compare and contrast these findings across urban, rural, peri-urban, and post-conflict areas. This involved tabulating the frequency of specific green tourism practices (e.g., green building, sustainable procurement) and reported challenges (e.g., weak regulation, high costs) </w:t>
      </w:r>
      <w:r w:rsidRPr="00303B61">
        <w:rPr>
          <w:rFonts w:ascii="Arial" w:hAnsi="Arial" w:cs="Arial"/>
        </w:rPr>
        <w:lastRenderedPageBreak/>
        <w:t>observed in the literature for each spatial category. Qualitative insights were then synthesized to identify patterns and trends in the prevalence and characteristics of green tourism across these distinct geographical settings. The analysis also involved identifying reported correlations between implementation outcomes and contextual factors such as the level of economic development, the strength of policy frameworks, and the availability of infrastructure, as described within the reviewed studies. To ensure the rigor of the review, the methodological quality of included studies was assessed using the Preferred Reporting Items for Systematic Reviews and Meta-Analyses (PRISMA) guidelines, focusing on factors such as study design, sample size, and data collection methods.</w:t>
      </w:r>
    </w:p>
    <w:p w14:paraId="1EDDCC08" w14:textId="77777777" w:rsidR="00303B61" w:rsidRPr="00067F92" w:rsidRDefault="00303B61" w:rsidP="00125818">
      <w:pPr>
        <w:jc w:val="both"/>
        <w:rPr>
          <w:rFonts w:ascii="Arial" w:hAnsi="Arial" w:cs="Arial"/>
          <w:sz w:val="22"/>
          <w:szCs w:val="22"/>
        </w:rPr>
      </w:pPr>
    </w:p>
    <w:p w14:paraId="30F0E1EB" w14:textId="77777777" w:rsidR="00125818" w:rsidRPr="00067F92" w:rsidRDefault="00125818" w:rsidP="00125818">
      <w:pPr>
        <w:jc w:val="both"/>
        <w:rPr>
          <w:rFonts w:ascii="Arial" w:hAnsi="Arial" w:cs="Arial"/>
          <w:sz w:val="22"/>
          <w:szCs w:val="22"/>
        </w:rPr>
      </w:pPr>
      <w:r w:rsidRPr="00067F92">
        <w:rPr>
          <w:rFonts w:ascii="Arial" w:hAnsi="Arial" w:cs="Arial"/>
          <w:b/>
          <w:bCs/>
          <w:sz w:val="22"/>
          <w:szCs w:val="22"/>
        </w:rPr>
        <w:t>2.5 Data Gathering Procedure</w:t>
      </w:r>
    </w:p>
    <w:p w14:paraId="2417BCE7" w14:textId="54394D8C" w:rsidR="00125818" w:rsidRPr="00715E90" w:rsidRDefault="00125818" w:rsidP="00125818">
      <w:pPr>
        <w:jc w:val="both"/>
        <w:rPr>
          <w:rFonts w:ascii="Arial" w:hAnsi="Arial" w:cs="Arial"/>
        </w:rPr>
      </w:pPr>
      <w:r w:rsidRPr="00715E90">
        <w:rPr>
          <w:rFonts w:ascii="Arial" w:hAnsi="Arial" w:cs="Arial"/>
        </w:rPr>
        <w:t>The data gathering process involved several steps. To comprehensively capture the breadth of research on green tourism implementation, a systematic search was conducted across key academic databases. Google Scholar was utilized for its extensive coverage of multidisciplinary literature, while ProQuest and Philippine Electronic Journals were selected to ensure inclusion of both international and regional studies. The search strategy employed Boolean operators to combine keywords related to environmental sustainability and tourism practices. For instance, searches included phrases like “(green tourism OR sustainable tourism) AND (pollution control OR waste management) AND (urban OR rural)” to refine results. Inclusion criteria were limited to peer-reviewed articles published within the last twenty years to ensure currency, full-text availability for accessibility, and relevance to the food and beverage, accommodation, and transportation sectors. Studies lacking a Digital Object Identifier (DOI) were excluded to maintain traceability and facilitate future research replication.</w:t>
      </w:r>
    </w:p>
    <w:p w14:paraId="0349D0A8" w14:textId="77777777" w:rsidR="00125818" w:rsidRPr="00067F92" w:rsidRDefault="00125818" w:rsidP="00125818">
      <w:pPr>
        <w:jc w:val="both"/>
        <w:rPr>
          <w:rFonts w:ascii="Arial" w:hAnsi="Arial" w:cs="Arial"/>
          <w:sz w:val="22"/>
          <w:szCs w:val="22"/>
        </w:rPr>
      </w:pPr>
    </w:p>
    <w:p w14:paraId="3DB6BD2A" w14:textId="77777777" w:rsidR="00125818" w:rsidRPr="00067F92" w:rsidRDefault="00125818" w:rsidP="00125818">
      <w:pPr>
        <w:spacing w:line="259" w:lineRule="auto"/>
        <w:jc w:val="both"/>
        <w:rPr>
          <w:rFonts w:ascii="Arial" w:hAnsi="Arial" w:cs="Arial"/>
          <w:sz w:val="22"/>
          <w:szCs w:val="22"/>
        </w:rPr>
      </w:pPr>
      <w:r w:rsidRPr="00067F92">
        <w:rPr>
          <w:rFonts w:ascii="Arial" w:hAnsi="Arial" w:cs="Arial"/>
          <w:b/>
          <w:bCs/>
          <w:sz w:val="22"/>
          <w:szCs w:val="22"/>
        </w:rPr>
        <w:t>2.6 Ethical Considerations</w:t>
      </w:r>
    </w:p>
    <w:p w14:paraId="2683C688" w14:textId="77777777" w:rsidR="00125818" w:rsidRPr="00715E90" w:rsidRDefault="00125818" w:rsidP="00125818">
      <w:pPr>
        <w:jc w:val="both"/>
        <w:rPr>
          <w:rFonts w:ascii="Arial" w:hAnsi="Arial" w:cs="Arial"/>
        </w:rPr>
      </w:pPr>
      <w:r w:rsidRPr="00715E90">
        <w:rPr>
          <w:rFonts w:ascii="Arial" w:hAnsi="Arial" w:cs="Arial"/>
        </w:rPr>
        <w:t>This research adhered to ethical guidelines by ensuring that all selected studies were from reputable and peer-reviewed journals, thereby enhancing the credibility and reliability of the data used, and followed the Preferred Reporting Items for Systematic Reviews and Meta Analyses (PRISMA) guidelines, emphasizing transparency, rigor, and reproducibility in systematic literature reviews. Additionally, ethical considerations related to the proper citation and acknowledgment of sources were observed throughout the process.</w:t>
      </w:r>
    </w:p>
    <w:p w14:paraId="4C41AF30" w14:textId="77777777" w:rsidR="00790ADA" w:rsidRPr="00FB3A86" w:rsidRDefault="00790ADA" w:rsidP="00441B6F">
      <w:pPr>
        <w:pStyle w:val="Body"/>
        <w:spacing w:after="0"/>
        <w:rPr>
          <w:rFonts w:ascii="Arial" w:hAnsi="Arial" w:cs="Arial"/>
        </w:rPr>
      </w:pPr>
    </w:p>
    <w:p w14:paraId="0EEAB4C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D2534AA" w14:textId="77777777" w:rsidR="00790ADA" w:rsidRPr="00FB3A86" w:rsidRDefault="00790ADA" w:rsidP="00441B6F">
      <w:pPr>
        <w:pStyle w:val="Head1"/>
        <w:spacing w:after="0"/>
        <w:jc w:val="both"/>
        <w:rPr>
          <w:rFonts w:ascii="Arial" w:hAnsi="Arial" w:cs="Arial"/>
        </w:rPr>
      </w:pPr>
    </w:p>
    <w:p w14:paraId="6CAD60D6" w14:textId="77777777" w:rsidR="004D578B" w:rsidRPr="00715E90" w:rsidRDefault="004D578B" w:rsidP="004D578B">
      <w:pPr>
        <w:jc w:val="both"/>
        <w:rPr>
          <w:rFonts w:ascii="Arial" w:hAnsi="Arial" w:cs="Arial"/>
        </w:rPr>
      </w:pPr>
      <w:r w:rsidRPr="00715E90">
        <w:rPr>
          <w:rFonts w:ascii="Arial" w:hAnsi="Arial" w:cs="Arial"/>
        </w:rPr>
        <w:t>This section systematically presents the findings of the literature review, emphasizing the variations in green tourism implementation and associated challenges across distinct spatial contexts. The analysis is structured around rural, urban, peri-urban, and post-conflict settings, highlighting how each environment shapes the adoption, effectiveness, and limitations of green tourism practices. The discussion critically examines these results in the context of existing scholarship, identifying patterns, divergences, and areas requiring further exploration. Additionally, the section proposes directions for future research, with particular attention to strategies that address the unique characteristics and demands of each spatial category.</w:t>
      </w:r>
    </w:p>
    <w:p w14:paraId="493F47A9" w14:textId="77777777" w:rsidR="004D578B" w:rsidRPr="004D578B" w:rsidRDefault="004D578B" w:rsidP="004D578B">
      <w:pPr>
        <w:jc w:val="both"/>
        <w:rPr>
          <w:rFonts w:ascii="Arial" w:hAnsi="Arial" w:cs="Arial"/>
          <w:sz w:val="22"/>
          <w:szCs w:val="22"/>
        </w:rPr>
      </w:pPr>
    </w:p>
    <w:p w14:paraId="5268D5B2" w14:textId="77777777" w:rsidR="004D578B" w:rsidRDefault="004D578B" w:rsidP="004D578B">
      <w:pPr>
        <w:jc w:val="both"/>
        <w:rPr>
          <w:rFonts w:ascii="Arial" w:hAnsi="Arial" w:cs="Arial"/>
          <w:b/>
          <w:bCs/>
          <w:sz w:val="22"/>
          <w:szCs w:val="22"/>
        </w:rPr>
      </w:pPr>
      <w:r w:rsidRPr="004D578B">
        <w:rPr>
          <w:rFonts w:ascii="Arial" w:hAnsi="Arial" w:cs="Arial"/>
          <w:b/>
          <w:bCs/>
          <w:sz w:val="22"/>
          <w:szCs w:val="22"/>
        </w:rPr>
        <w:t>3.1 Results: Implementation of Green Tourism in Urban Area</w:t>
      </w:r>
    </w:p>
    <w:p w14:paraId="1ADAF37F" w14:textId="77777777" w:rsidR="004D578B" w:rsidRPr="00715E90" w:rsidRDefault="004D578B" w:rsidP="004D578B">
      <w:pPr>
        <w:jc w:val="both"/>
        <w:rPr>
          <w:rFonts w:ascii="Arial" w:hAnsi="Arial" w:cs="Arial"/>
        </w:rPr>
      </w:pPr>
      <w:r w:rsidRPr="00715E90">
        <w:rPr>
          <w:rFonts w:ascii="Arial" w:hAnsi="Arial" w:cs="Arial"/>
        </w:rPr>
        <w:t>The implementation of green tourism in urban areas reflects a moderate but strategically significant uptake, shaped by the presence of developed infrastructure, access to skilled labor, and regulatory frameworks that support environmental initiatives. Urban tourism enterprises tend to leverage these advantages to adopt various green practices, often driven by market demands and opportunities for enhanced brand image and operational efficiency (Smith et al., 2022; Jones &amp; Brown, 2023; Li &amp; Chen, 2024). The following subsections detail the implementation of specific green tourism practices observed in urban settings.</w:t>
      </w:r>
    </w:p>
    <w:p w14:paraId="4566E78D" w14:textId="77777777" w:rsidR="004D578B" w:rsidRPr="004D578B" w:rsidRDefault="004D578B" w:rsidP="004D578B">
      <w:pPr>
        <w:jc w:val="both"/>
        <w:rPr>
          <w:rFonts w:ascii="Arial" w:hAnsi="Arial" w:cs="Arial"/>
          <w:sz w:val="22"/>
          <w:szCs w:val="22"/>
        </w:rPr>
      </w:pPr>
    </w:p>
    <w:p w14:paraId="5CBBFCD7" w14:textId="77777777" w:rsidR="004D578B" w:rsidRPr="005E4207" w:rsidRDefault="004D578B" w:rsidP="004D578B">
      <w:pPr>
        <w:jc w:val="both"/>
        <w:rPr>
          <w:rFonts w:ascii="Arial" w:hAnsi="Arial" w:cs="Arial"/>
          <w:b/>
          <w:bCs/>
          <w:i/>
          <w:iCs/>
        </w:rPr>
      </w:pPr>
      <w:r w:rsidRPr="005E4207">
        <w:rPr>
          <w:rFonts w:ascii="Arial" w:hAnsi="Arial" w:cs="Arial"/>
          <w:b/>
          <w:bCs/>
          <w:i/>
          <w:iCs/>
        </w:rPr>
        <w:lastRenderedPageBreak/>
        <w:t>3.1.1 Green Building Practice</w:t>
      </w:r>
    </w:p>
    <w:p w14:paraId="32DFBCAB" w14:textId="77777777" w:rsidR="004D578B" w:rsidRDefault="004D578B" w:rsidP="004D578B">
      <w:pPr>
        <w:jc w:val="both"/>
        <w:rPr>
          <w:rFonts w:ascii="Arial" w:hAnsi="Arial" w:cs="Arial"/>
        </w:rPr>
      </w:pPr>
      <w:r w:rsidRPr="005E4207">
        <w:rPr>
          <w:rFonts w:ascii="Arial" w:hAnsi="Arial" w:cs="Arial"/>
        </w:rPr>
        <w:t>Urban areas show moderate adoption, primarily driven by better access to infrastructure, skilled labor, and technological solutions (Han et al., 2018; Kim et al., 2020). Urban tourism businesses in high-income economies often view green building practice as a brand-enhancing asset, leveraging certifications and eco-architecture to attract sustainability-conscious travelers and improve operational efficiency (Miller &amp; Twining-Ward, 2005).</w:t>
      </w:r>
    </w:p>
    <w:p w14:paraId="2DE0A7A8" w14:textId="77777777" w:rsidR="005E4207" w:rsidRPr="005E4207" w:rsidRDefault="005E4207" w:rsidP="004D578B">
      <w:pPr>
        <w:jc w:val="both"/>
        <w:rPr>
          <w:rFonts w:ascii="Arial" w:hAnsi="Arial" w:cs="Arial"/>
        </w:rPr>
      </w:pPr>
    </w:p>
    <w:p w14:paraId="4C55A990" w14:textId="77777777" w:rsidR="004D578B" w:rsidRPr="005E4207" w:rsidRDefault="004D578B" w:rsidP="004D578B">
      <w:pPr>
        <w:jc w:val="both"/>
        <w:rPr>
          <w:rFonts w:ascii="Arial" w:hAnsi="Arial" w:cs="Arial"/>
          <w:b/>
          <w:bCs/>
          <w:i/>
          <w:iCs/>
        </w:rPr>
      </w:pPr>
      <w:r w:rsidRPr="005E4207">
        <w:rPr>
          <w:rFonts w:ascii="Arial" w:hAnsi="Arial" w:cs="Arial"/>
          <w:b/>
          <w:bCs/>
          <w:i/>
          <w:iCs/>
        </w:rPr>
        <w:t>3.1.2 Habitat Protection</w:t>
      </w:r>
    </w:p>
    <w:p w14:paraId="0D56D10F" w14:textId="77777777" w:rsidR="004D578B" w:rsidRDefault="004D578B" w:rsidP="004D578B">
      <w:pPr>
        <w:jc w:val="both"/>
        <w:rPr>
          <w:rFonts w:ascii="Arial" w:hAnsi="Arial" w:cs="Arial"/>
        </w:rPr>
      </w:pPr>
      <w:r w:rsidRPr="005E4207">
        <w:rPr>
          <w:rFonts w:ascii="Arial" w:hAnsi="Arial" w:cs="Arial"/>
        </w:rPr>
        <w:t>In urban areas, habitat protection is often policy-driven but inconsistently applied. While regulations may exist, actual enforcement is uneven, and urban development pressures frequently undermine conservation goals (Furqan et al., 2010; Kaiwa, 2017). Businesses here benefit most when habitat protection is embedded in urban planning and marketed as a value-added proposition, especially through green convention centers or urban parks (Font et al., 2021).</w:t>
      </w:r>
    </w:p>
    <w:p w14:paraId="01366FF9" w14:textId="77777777" w:rsidR="005E4207" w:rsidRPr="005E4207" w:rsidRDefault="005E4207" w:rsidP="004D578B">
      <w:pPr>
        <w:jc w:val="both"/>
        <w:rPr>
          <w:rFonts w:ascii="Arial" w:hAnsi="Arial" w:cs="Arial"/>
        </w:rPr>
      </w:pPr>
    </w:p>
    <w:p w14:paraId="569ED476" w14:textId="77777777" w:rsidR="004D578B" w:rsidRPr="005E4207" w:rsidRDefault="004D578B" w:rsidP="004D578B">
      <w:pPr>
        <w:jc w:val="both"/>
        <w:rPr>
          <w:rFonts w:ascii="Arial" w:hAnsi="Arial" w:cs="Arial"/>
          <w:b/>
          <w:bCs/>
          <w:i/>
          <w:iCs/>
        </w:rPr>
      </w:pPr>
      <w:r w:rsidRPr="005E4207">
        <w:rPr>
          <w:rFonts w:ascii="Arial" w:hAnsi="Arial" w:cs="Arial"/>
          <w:b/>
          <w:bCs/>
          <w:i/>
          <w:iCs/>
        </w:rPr>
        <w:t>3.1.3 Sustainable Procurement</w:t>
      </w:r>
    </w:p>
    <w:p w14:paraId="26498C8F" w14:textId="77777777" w:rsidR="004D578B" w:rsidRDefault="004D578B" w:rsidP="004D578B">
      <w:pPr>
        <w:jc w:val="both"/>
        <w:rPr>
          <w:rFonts w:ascii="Arial" w:hAnsi="Arial" w:cs="Arial"/>
        </w:rPr>
      </w:pPr>
      <w:r w:rsidRPr="005E4207">
        <w:rPr>
          <w:rFonts w:ascii="Arial" w:hAnsi="Arial" w:cs="Arial"/>
        </w:rPr>
        <w:t>Urban centers benefit from the availability of eco-labeled products and certification schemes, enabling businesses to align their procurement with green tourism standards (</w:t>
      </w:r>
      <w:proofErr w:type="spellStart"/>
      <w:r w:rsidRPr="005E4207">
        <w:rPr>
          <w:rFonts w:ascii="Arial" w:hAnsi="Arial" w:cs="Arial"/>
        </w:rPr>
        <w:t>Sucheran</w:t>
      </w:r>
      <w:proofErr w:type="spellEnd"/>
      <w:r w:rsidRPr="005E4207">
        <w:rPr>
          <w:rFonts w:ascii="Arial" w:hAnsi="Arial" w:cs="Arial"/>
        </w:rPr>
        <w:t xml:space="preserve"> &amp; Arulappan, 2020; Jarvis et al., 2010). This creates a competitive advantage for businesses in cities, as eco-certified supply chains appeal to sustainability-conscious travelers and support brand positioning.</w:t>
      </w:r>
    </w:p>
    <w:p w14:paraId="62310D1E" w14:textId="77777777" w:rsidR="005E4207" w:rsidRPr="005E4207" w:rsidRDefault="005E4207" w:rsidP="004D578B">
      <w:pPr>
        <w:jc w:val="both"/>
        <w:rPr>
          <w:rFonts w:ascii="Arial" w:hAnsi="Arial" w:cs="Arial"/>
        </w:rPr>
      </w:pPr>
    </w:p>
    <w:p w14:paraId="6EA20DAF" w14:textId="77777777" w:rsidR="004D578B" w:rsidRDefault="004D578B" w:rsidP="004D578B">
      <w:pPr>
        <w:jc w:val="both"/>
        <w:rPr>
          <w:rFonts w:ascii="Arial" w:hAnsi="Arial" w:cs="Arial"/>
          <w:b/>
          <w:bCs/>
          <w:sz w:val="22"/>
          <w:szCs w:val="22"/>
        </w:rPr>
      </w:pPr>
      <w:r w:rsidRPr="00606C47">
        <w:rPr>
          <w:rFonts w:ascii="Arial" w:hAnsi="Arial" w:cs="Arial"/>
          <w:b/>
          <w:bCs/>
          <w:sz w:val="22"/>
          <w:szCs w:val="22"/>
        </w:rPr>
        <w:t>3.2 Results: Implementation of Green Tourism in Rural Area</w:t>
      </w:r>
    </w:p>
    <w:p w14:paraId="6BCE875C" w14:textId="77777777" w:rsidR="00484738" w:rsidRPr="00606C47" w:rsidRDefault="00484738" w:rsidP="004D578B">
      <w:pPr>
        <w:jc w:val="both"/>
        <w:rPr>
          <w:rFonts w:ascii="Arial" w:hAnsi="Arial" w:cs="Arial"/>
          <w:b/>
          <w:bCs/>
          <w:sz w:val="22"/>
          <w:szCs w:val="22"/>
        </w:rPr>
      </w:pPr>
    </w:p>
    <w:p w14:paraId="59F3D434" w14:textId="77777777" w:rsidR="004D578B" w:rsidRPr="00606C47" w:rsidRDefault="004D578B" w:rsidP="004D578B">
      <w:pPr>
        <w:jc w:val="both"/>
        <w:rPr>
          <w:rFonts w:ascii="Arial" w:hAnsi="Arial" w:cs="Arial"/>
          <w:sz w:val="22"/>
          <w:szCs w:val="22"/>
        </w:rPr>
      </w:pPr>
      <w:r w:rsidRPr="00606C47">
        <w:rPr>
          <w:rFonts w:ascii="Arial" w:hAnsi="Arial" w:cs="Arial"/>
          <w:sz w:val="22"/>
          <w:szCs w:val="22"/>
        </w:rPr>
        <w:t xml:space="preserve">The implementation of green tourism in rural areas is generally modest due to financial limitations, weak infrastructure, and limited access to certified green materials. However, low-cost solutions like eco-lodges and community-driven tourism projects offer promising models (D’Alessandro, 2016; </w:t>
      </w:r>
      <w:proofErr w:type="spellStart"/>
      <w:r w:rsidRPr="00606C47">
        <w:rPr>
          <w:rFonts w:ascii="Arial" w:hAnsi="Arial" w:cs="Arial"/>
          <w:sz w:val="22"/>
          <w:szCs w:val="22"/>
        </w:rPr>
        <w:t>Ramaano</w:t>
      </w:r>
      <w:proofErr w:type="spellEnd"/>
      <w:r w:rsidRPr="00606C47">
        <w:rPr>
          <w:rFonts w:ascii="Arial" w:hAnsi="Arial" w:cs="Arial"/>
          <w:sz w:val="22"/>
          <w:szCs w:val="22"/>
        </w:rPr>
        <w:t>, 2022). Habitat protection is often community-led, linking conservation with livelihoods through eco-tours and agroforestry (</w:t>
      </w:r>
      <w:proofErr w:type="spellStart"/>
      <w:r w:rsidRPr="00606C47">
        <w:rPr>
          <w:rFonts w:ascii="Arial" w:hAnsi="Arial" w:cs="Arial"/>
          <w:sz w:val="22"/>
          <w:szCs w:val="22"/>
        </w:rPr>
        <w:t>Luekveerawattana</w:t>
      </w:r>
      <w:proofErr w:type="spellEnd"/>
      <w:r w:rsidRPr="00606C47">
        <w:rPr>
          <w:rFonts w:ascii="Arial" w:hAnsi="Arial" w:cs="Arial"/>
          <w:sz w:val="22"/>
          <w:szCs w:val="22"/>
        </w:rPr>
        <w:t xml:space="preserve">, 2024; </w:t>
      </w:r>
      <w:proofErr w:type="spellStart"/>
      <w:r w:rsidRPr="00606C47">
        <w:rPr>
          <w:rFonts w:ascii="Arial" w:hAnsi="Arial" w:cs="Arial"/>
          <w:sz w:val="22"/>
          <w:szCs w:val="22"/>
        </w:rPr>
        <w:t>Ibnou</w:t>
      </w:r>
      <w:proofErr w:type="spellEnd"/>
      <w:r w:rsidRPr="00606C47">
        <w:rPr>
          <w:rFonts w:ascii="Arial" w:hAnsi="Arial" w:cs="Arial"/>
          <w:sz w:val="22"/>
          <w:szCs w:val="22"/>
        </w:rPr>
        <w:t>-Laaroussi et al., 2020). While local sourcing is common in sustainable procurement, lack of eco-labels and packaging systems limits broader adoption (Tudorache et al., 2017). Despite constraints, rural areas show potential through grassroots innovation and partnerships.</w:t>
      </w:r>
    </w:p>
    <w:p w14:paraId="41BF7C76" w14:textId="77777777" w:rsidR="003F3094" w:rsidRPr="005E4207" w:rsidRDefault="003F3094" w:rsidP="004D578B">
      <w:pPr>
        <w:jc w:val="both"/>
        <w:rPr>
          <w:rFonts w:ascii="Arial" w:hAnsi="Arial" w:cs="Arial"/>
        </w:rPr>
      </w:pPr>
    </w:p>
    <w:p w14:paraId="7A20C2CD" w14:textId="77777777" w:rsidR="004D578B" w:rsidRPr="005E4207" w:rsidRDefault="004D578B" w:rsidP="004D578B">
      <w:pPr>
        <w:jc w:val="both"/>
        <w:rPr>
          <w:rFonts w:ascii="Arial" w:hAnsi="Arial" w:cs="Arial"/>
          <w:b/>
          <w:bCs/>
          <w:i/>
          <w:iCs/>
        </w:rPr>
      </w:pPr>
      <w:r w:rsidRPr="005E4207">
        <w:rPr>
          <w:rFonts w:ascii="Arial" w:hAnsi="Arial" w:cs="Arial"/>
          <w:b/>
          <w:bCs/>
          <w:i/>
          <w:iCs/>
        </w:rPr>
        <w:t>3.2.1 Green Building Practice</w:t>
      </w:r>
    </w:p>
    <w:p w14:paraId="55DE3299" w14:textId="77777777" w:rsidR="004D578B" w:rsidRDefault="004D578B" w:rsidP="004D578B">
      <w:pPr>
        <w:jc w:val="both"/>
        <w:rPr>
          <w:rFonts w:ascii="Arial" w:hAnsi="Arial" w:cs="Arial"/>
        </w:rPr>
      </w:pPr>
      <w:r w:rsidRPr="005E4207">
        <w:rPr>
          <w:rFonts w:ascii="Arial" w:hAnsi="Arial" w:cs="Arial"/>
        </w:rPr>
        <w:t xml:space="preserve">In rural tourism, implementation of green building practice is generally low to moderate, constrained by limited access to capital, sustainable materials, and technical expertise. However, low-cost innovations like eco-lodges and community-led infrastructure demonstrate promising models. External funding and partnerships are crucial to scale green building practice among rural small and medium enterprises (D’Alessandro, 2016; </w:t>
      </w:r>
      <w:proofErr w:type="spellStart"/>
      <w:r w:rsidRPr="005E4207">
        <w:rPr>
          <w:rFonts w:ascii="Arial" w:hAnsi="Arial" w:cs="Arial"/>
        </w:rPr>
        <w:t>Ramaano</w:t>
      </w:r>
      <w:proofErr w:type="spellEnd"/>
      <w:r w:rsidRPr="005E4207">
        <w:rPr>
          <w:rFonts w:ascii="Arial" w:hAnsi="Arial" w:cs="Arial"/>
        </w:rPr>
        <w:t xml:space="preserve">, 2022; </w:t>
      </w:r>
      <w:proofErr w:type="spellStart"/>
      <w:r w:rsidRPr="005E4207">
        <w:rPr>
          <w:rFonts w:ascii="Arial" w:hAnsi="Arial" w:cs="Arial"/>
        </w:rPr>
        <w:t>Luekveerawattana</w:t>
      </w:r>
      <w:proofErr w:type="spellEnd"/>
      <w:r w:rsidRPr="005E4207">
        <w:rPr>
          <w:rFonts w:ascii="Arial" w:hAnsi="Arial" w:cs="Arial"/>
        </w:rPr>
        <w:t>, 2024).</w:t>
      </w:r>
    </w:p>
    <w:p w14:paraId="41F0EB77" w14:textId="77777777" w:rsidR="003F3094" w:rsidRPr="005E4207" w:rsidRDefault="003F3094" w:rsidP="004D578B">
      <w:pPr>
        <w:jc w:val="both"/>
        <w:rPr>
          <w:rFonts w:ascii="Arial" w:hAnsi="Arial" w:cs="Arial"/>
        </w:rPr>
      </w:pPr>
    </w:p>
    <w:p w14:paraId="484808CC" w14:textId="77777777" w:rsidR="004D578B" w:rsidRPr="005E4207" w:rsidRDefault="004D578B" w:rsidP="004D578B">
      <w:pPr>
        <w:jc w:val="both"/>
        <w:rPr>
          <w:rFonts w:ascii="Arial" w:hAnsi="Arial" w:cs="Arial"/>
          <w:b/>
          <w:bCs/>
          <w:i/>
          <w:iCs/>
        </w:rPr>
      </w:pPr>
      <w:r w:rsidRPr="005E4207">
        <w:rPr>
          <w:rFonts w:ascii="Arial" w:hAnsi="Arial" w:cs="Arial"/>
          <w:b/>
          <w:bCs/>
          <w:i/>
          <w:iCs/>
        </w:rPr>
        <w:t>3.2.2 Habitat Protection</w:t>
      </w:r>
    </w:p>
    <w:p w14:paraId="0E86658F" w14:textId="77777777" w:rsidR="004D578B" w:rsidRDefault="004D578B" w:rsidP="004D578B">
      <w:pPr>
        <w:jc w:val="both"/>
        <w:rPr>
          <w:rFonts w:ascii="Arial" w:hAnsi="Arial" w:cs="Arial"/>
        </w:rPr>
      </w:pPr>
      <w:r w:rsidRPr="005E4207">
        <w:rPr>
          <w:rFonts w:ascii="Arial" w:hAnsi="Arial" w:cs="Arial"/>
        </w:rPr>
        <w:t xml:space="preserve">Rural areas show moderate to high habitat protection performance when community engagement and biodiversity tourism intersect. Local stewardship, such as village-run ecotours or </w:t>
      </w:r>
      <w:proofErr w:type="spellStart"/>
      <w:r w:rsidRPr="005E4207">
        <w:rPr>
          <w:rFonts w:ascii="Arial" w:hAnsi="Arial" w:cs="Arial"/>
        </w:rPr>
        <w:t>agro</w:t>
      </w:r>
      <w:proofErr w:type="spellEnd"/>
      <w:r w:rsidRPr="005E4207">
        <w:rPr>
          <w:rFonts w:ascii="Arial" w:hAnsi="Arial" w:cs="Arial"/>
        </w:rPr>
        <w:t>-forestry projects, promotes both conservation and economic returns. Yet, capacity gaps and policy fragmentation still hinder broader impact (</w:t>
      </w:r>
      <w:proofErr w:type="spellStart"/>
      <w:r w:rsidRPr="005E4207">
        <w:rPr>
          <w:rFonts w:ascii="Arial" w:hAnsi="Arial" w:cs="Arial"/>
        </w:rPr>
        <w:t>Luekveerawattana</w:t>
      </w:r>
      <w:proofErr w:type="spellEnd"/>
      <w:r w:rsidRPr="005E4207">
        <w:rPr>
          <w:rFonts w:ascii="Arial" w:hAnsi="Arial" w:cs="Arial"/>
        </w:rPr>
        <w:t xml:space="preserve">, 2024; </w:t>
      </w:r>
      <w:proofErr w:type="spellStart"/>
      <w:r w:rsidRPr="005E4207">
        <w:rPr>
          <w:rFonts w:ascii="Arial" w:hAnsi="Arial" w:cs="Arial"/>
        </w:rPr>
        <w:t>Ibnou</w:t>
      </w:r>
      <w:proofErr w:type="spellEnd"/>
      <w:r w:rsidRPr="005E4207">
        <w:rPr>
          <w:rFonts w:ascii="Arial" w:hAnsi="Arial" w:cs="Arial"/>
        </w:rPr>
        <w:t>-Laaroussi et al., 2020).</w:t>
      </w:r>
    </w:p>
    <w:p w14:paraId="0384CC7A" w14:textId="77777777" w:rsidR="003F3094" w:rsidRPr="005E4207" w:rsidRDefault="003F3094" w:rsidP="004D578B">
      <w:pPr>
        <w:jc w:val="both"/>
        <w:rPr>
          <w:rFonts w:ascii="Arial" w:hAnsi="Arial" w:cs="Arial"/>
        </w:rPr>
      </w:pPr>
    </w:p>
    <w:p w14:paraId="54F2E48F" w14:textId="77777777" w:rsidR="004D578B" w:rsidRPr="005E4207" w:rsidRDefault="004D578B" w:rsidP="004D578B">
      <w:pPr>
        <w:jc w:val="both"/>
        <w:rPr>
          <w:rFonts w:ascii="Arial" w:hAnsi="Arial" w:cs="Arial"/>
          <w:b/>
          <w:bCs/>
          <w:i/>
          <w:iCs/>
        </w:rPr>
      </w:pPr>
      <w:r w:rsidRPr="005E4207">
        <w:rPr>
          <w:rFonts w:ascii="Arial" w:hAnsi="Arial" w:cs="Arial"/>
          <w:b/>
          <w:bCs/>
          <w:i/>
          <w:iCs/>
        </w:rPr>
        <w:t>3.2.3 Sustainable Procurement</w:t>
      </w:r>
    </w:p>
    <w:p w14:paraId="053711FA" w14:textId="77777777" w:rsidR="004D578B" w:rsidRDefault="004D578B" w:rsidP="004D578B">
      <w:pPr>
        <w:jc w:val="both"/>
        <w:rPr>
          <w:rFonts w:ascii="Arial" w:hAnsi="Arial" w:cs="Arial"/>
        </w:rPr>
      </w:pPr>
      <w:r w:rsidRPr="005E4207">
        <w:rPr>
          <w:rFonts w:ascii="Arial" w:hAnsi="Arial" w:cs="Arial"/>
        </w:rPr>
        <w:lastRenderedPageBreak/>
        <w:t>Procurement in rural regions is driven by local sourcing but hampered by limited access to certified green products. While some businesses integrate indigenous and local materials, lack of eco-labeling, packaging challenges, and market linkage prevent full-scale adoption (Tudorache et al., 2017; D’Alessandro, 2016).</w:t>
      </w:r>
    </w:p>
    <w:p w14:paraId="1C4276CA" w14:textId="77777777" w:rsidR="003F3094" w:rsidRPr="005E4207" w:rsidRDefault="003F3094" w:rsidP="004D578B">
      <w:pPr>
        <w:jc w:val="both"/>
        <w:rPr>
          <w:rFonts w:ascii="Arial" w:hAnsi="Arial" w:cs="Arial"/>
        </w:rPr>
      </w:pPr>
    </w:p>
    <w:p w14:paraId="2CB956FF" w14:textId="77777777" w:rsidR="004D578B" w:rsidRDefault="004D578B" w:rsidP="004D578B">
      <w:pPr>
        <w:jc w:val="both"/>
        <w:rPr>
          <w:rFonts w:ascii="Arial" w:hAnsi="Arial" w:cs="Arial"/>
          <w:b/>
          <w:bCs/>
          <w:sz w:val="22"/>
          <w:szCs w:val="22"/>
        </w:rPr>
      </w:pPr>
      <w:r w:rsidRPr="003F3094">
        <w:rPr>
          <w:rFonts w:ascii="Arial" w:hAnsi="Arial" w:cs="Arial"/>
          <w:b/>
          <w:bCs/>
          <w:sz w:val="22"/>
          <w:szCs w:val="22"/>
        </w:rPr>
        <w:t>3.3 Results: Implementation of Green Tourism in Peri-Urban Area</w:t>
      </w:r>
    </w:p>
    <w:p w14:paraId="3F390D28" w14:textId="77777777" w:rsidR="00484738" w:rsidRPr="003F3094" w:rsidRDefault="00484738" w:rsidP="004D578B">
      <w:pPr>
        <w:jc w:val="both"/>
        <w:rPr>
          <w:rFonts w:ascii="Arial" w:hAnsi="Arial" w:cs="Arial"/>
          <w:b/>
          <w:bCs/>
          <w:sz w:val="22"/>
          <w:szCs w:val="22"/>
        </w:rPr>
      </w:pPr>
    </w:p>
    <w:p w14:paraId="5D4B50CC" w14:textId="77777777" w:rsidR="004D578B" w:rsidRDefault="004D578B" w:rsidP="004D578B">
      <w:pPr>
        <w:jc w:val="both"/>
        <w:rPr>
          <w:rFonts w:ascii="Arial" w:hAnsi="Arial" w:cs="Arial"/>
          <w:sz w:val="22"/>
          <w:szCs w:val="22"/>
        </w:rPr>
      </w:pPr>
      <w:r w:rsidRPr="003F3094">
        <w:rPr>
          <w:rFonts w:ascii="Arial" w:hAnsi="Arial" w:cs="Arial"/>
          <w:sz w:val="22"/>
          <w:szCs w:val="22"/>
        </w:rPr>
        <w:t>In peri-urban areas, green tourism practices remain underdeveloped. Pollution control is severely constrained by informal waste practices, lack of enforcement, and limited awareness (González &amp; Correal, 2021). Resource efficiency is compromised by poor urban planning and unregulated tourism growth, with little incentive for SMEs to shift toward sustainable infrastructure (McLennan et al., 2015). Waste management is one of the weakest aspects, characterized by informal dumping, lack of service contracts, and minimal recycling—highlighting a strong need for shared systems and policy-driven incentives (Juvan et al., 2023).</w:t>
      </w:r>
    </w:p>
    <w:p w14:paraId="6AD9AE10" w14:textId="77777777" w:rsidR="003F3094" w:rsidRPr="003F3094" w:rsidRDefault="003F3094" w:rsidP="004D578B">
      <w:pPr>
        <w:jc w:val="both"/>
        <w:rPr>
          <w:rFonts w:ascii="Arial" w:hAnsi="Arial" w:cs="Arial"/>
          <w:sz w:val="22"/>
          <w:szCs w:val="22"/>
        </w:rPr>
      </w:pPr>
    </w:p>
    <w:p w14:paraId="2D678BFC" w14:textId="77777777" w:rsidR="004D578B" w:rsidRPr="005E4207" w:rsidRDefault="004D578B" w:rsidP="004D578B">
      <w:pPr>
        <w:jc w:val="both"/>
        <w:rPr>
          <w:rFonts w:ascii="Arial" w:hAnsi="Arial" w:cs="Arial"/>
          <w:b/>
          <w:bCs/>
          <w:i/>
          <w:iCs/>
        </w:rPr>
      </w:pPr>
      <w:r w:rsidRPr="005E4207">
        <w:rPr>
          <w:rFonts w:ascii="Arial" w:hAnsi="Arial" w:cs="Arial"/>
          <w:b/>
          <w:bCs/>
          <w:i/>
          <w:iCs/>
        </w:rPr>
        <w:t>3.3.1 Green Building Practice</w:t>
      </w:r>
    </w:p>
    <w:p w14:paraId="78720F45" w14:textId="77777777" w:rsidR="004D578B" w:rsidRDefault="004D578B" w:rsidP="004D578B">
      <w:pPr>
        <w:jc w:val="both"/>
        <w:rPr>
          <w:rFonts w:ascii="Arial" w:hAnsi="Arial" w:cs="Arial"/>
        </w:rPr>
      </w:pPr>
      <w:r w:rsidRPr="005E4207">
        <w:rPr>
          <w:rFonts w:ascii="Arial" w:hAnsi="Arial" w:cs="Arial"/>
        </w:rPr>
        <w:t>Green building practice in peri-urban zones is minimal due to infrastructure gaps and lack of incentives. Most small and medium enterprise are not subject to environmental compliance, making green upgrades financially risky. Cluster models and local government-led zoning incentives could help fill this policy vacuum (McLennan et al., 2015; González &amp; Correal, 2021).</w:t>
      </w:r>
    </w:p>
    <w:p w14:paraId="7C6CA659" w14:textId="77777777" w:rsidR="003F3094" w:rsidRPr="005E4207" w:rsidRDefault="003F3094" w:rsidP="004D578B">
      <w:pPr>
        <w:jc w:val="both"/>
        <w:rPr>
          <w:rFonts w:ascii="Arial" w:hAnsi="Arial" w:cs="Arial"/>
        </w:rPr>
      </w:pPr>
    </w:p>
    <w:p w14:paraId="4AC0CA45" w14:textId="77777777" w:rsidR="004D578B" w:rsidRPr="005E4207" w:rsidRDefault="004D578B" w:rsidP="004D578B">
      <w:pPr>
        <w:jc w:val="both"/>
        <w:rPr>
          <w:rFonts w:ascii="Arial" w:hAnsi="Arial" w:cs="Arial"/>
          <w:b/>
          <w:bCs/>
          <w:i/>
          <w:iCs/>
        </w:rPr>
      </w:pPr>
      <w:r w:rsidRPr="005E4207">
        <w:rPr>
          <w:rFonts w:ascii="Arial" w:hAnsi="Arial" w:cs="Arial"/>
          <w:b/>
          <w:bCs/>
          <w:i/>
          <w:iCs/>
        </w:rPr>
        <w:t>3.3.2Habitat Protection</w:t>
      </w:r>
    </w:p>
    <w:p w14:paraId="611C8AD0" w14:textId="77777777" w:rsidR="004D578B" w:rsidRDefault="004D578B" w:rsidP="004D578B">
      <w:pPr>
        <w:jc w:val="both"/>
        <w:rPr>
          <w:rFonts w:ascii="Arial" w:hAnsi="Arial" w:cs="Arial"/>
        </w:rPr>
      </w:pPr>
      <w:r w:rsidRPr="005E4207">
        <w:rPr>
          <w:rFonts w:ascii="Arial" w:hAnsi="Arial" w:cs="Arial"/>
        </w:rPr>
        <w:t>Habitat protection initiatives are weak due to urban encroachment, low ecological awareness, and competing land uses. Without strict zoning or incentives, habitat protection remains a low priority for businesses. Efforts must focus on integrating habitat protection into local tourism planning and incentivizing ecosystem services (Kaiwa, 2017).</w:t>
      </w:r>
    </w:p>
    <w:p w14:paraId="34FF4C1C" w14:textId="77777777" w:rsidR="003F3094" w:rsidRPr="005E4207" w:rsidRDefault="003F3094" w:rsidP="004D578B">
      <w:pPr>
        <w:jc w:val="both"/>
        <w:rPr>
          <w:rFonts w:ascii="Arial" w:hAnsi="Arial" w:cs="Arial"/>
        </w:rPr>
      </w:pPr>
    </w:p>
    <w:p w14:paraId="1F062DEC" w14:textId="77777777" w:rsidR="004D578B" w:rsidRPr="005E4207" w:rsidRDefault="004D578B" w:rsidP="004D578B">
      <w:pPr>
        <w:jc w:val="both"/>
        <w:rPr>
          <w:rFonts w:ascii="Arial" w:hAnsi="Arial" w:cs="Arial"/>
          <w:b/>
          <w:bCs/>
          <w:i/>
          <w:iCs/>
        </w:rPr>
      </w:pPr>
      <w:r w:rsidRPr="005E4207">
        <w:rPr>
          <w:rFonts w:ascii="Arial" w:hAnsi="Arial" w:cs="Arial"/>
          <w:b/>
          <w:bCs/>
          <w:i/>
          <w:iCs/>
        </w:rPr>
        <w:t>3.3.3 Sustainable Procurement</w:t>
      </w:r>
    </w:p>
    <w:p w14:paraId="4B1C80D7" w14:textId="77777777" w:rsidR="004D578B" w:rsidRDefault="004D578B" w:rsidP="004D578B">
      <w:pPr>
        <w:jc w:val="both"/>
        <w:rPr>
          <w:rFonts w:ascii="Arial" w:hAnsi="Arial" w:cs="Arial"/>
        </w:rPr>
      </w:pPr>
      <w:r w:rsidRPr="005E4207">
        <w:rPr>
          <w:rFonts w:ascii="Arial" w:hAnsi="Arial" w:cs="Arial"/>
        </w:rPr>
        <w:t>Supply limitations and fragmented markets constrain sustainable procurement in peri-urban zones. Small and medium enterprise often choose based on cost and availability, not sustainability. Without structured procurement frameworks or fair-trade access, peri-urban businesses lag in adopting responsible sourcing (Naqvi et al., 2023; González &amp; Correal, 2021).</w:t>
      </w:r>
    </w:p>
    <w:p w14:paraId="19C05E88" w14:textId="77777777" w:rsidR="003F3094" w:rsidRPr="005E4207" w:rsidRDefault="003F3094" w:rsidP="004D578B">
      <w:pPr>
        <w:jc w:val="both"/>
        <w:rPr>
          <w:rFonts w:ascii="Arial" w:hAnsi="Arial" w:cs="Arial"/>
        </w:rPr>
      </w:pPr>
    </w:p>
    <w:p w14:paraId="1F87843C" w14:textId="77777777" w:rsidR="004D578B" w:rsidRDefault="004D578B" w:rsidP="004D578B">
      <w:pPr>
        <w:jc w:val="both"/>
        <w:rPr>
          <w:rFonts w:ascii="Arial" w:hAnsi="Arial" w:cs="Arial"/>
          <w:b/>
          <w:bCs/>
          <w:sz w:val="22"/>
          <w:szCs w:val="22"/>
        </w:rPr>
      </w:pPr>
      <w:r w:rsidRPr="003F3094">
        <w:rPr>
          <w:rFonts w:ascii="Arial" w:hAnsi="Arial" w:cs="Arial"/>
          <w:b/>
          <w:bCs/>
          <w:sz w:val="22"/>
          <w:szCs w:val="22"/>
        </w:rPr>
        <w:t>3.4 Results: Implementation of Green Tourism in Post-Conflict Area</w:t>
      </w:r>
    </w:p>
    <w:p w14:paraId="405821E4" w14:textId="77777777" w:rsidR="00484738" w:rsidRPr="003F3094" w:rsidRDefault="00484738" w:rsidP="004D578B">
      <w:pPr>
        <w:jc w:val="both"/>
        <w:rPr>
          <w:rFonts w:ascii="Arial" w:hAnsi="Arial" w:cs="Arial"/>
          <w:b/>
          <w:bCs/>
          <w:sz w:val="22"/>
          <w:szCs w:val="22"/>
        </w:rPr>
      </w:pPr>
    </w:p>
    <w:p w14:paraId="2CE8BA41" w14:textId="77777777" w:rsidR="004D578B" w:rsidRDefault="004D578B" w:rsidP="004D578B">
      <w:pPr>
        <w:jc w:val="both"/>
        <w:rPr>
          <w:rFonts w:ascii="Arial" w:hAnsi="Arial" w:cs="Arial"/>
          <w:sz w:val="22"/>
          <w:szCs w:val="22"/>
        </w:rPr>
      </w:pPr>
      <w:r w:rsidRPr="003F3094">
        <w:rPr>
          <w:rFonts w:ascii="Arial" w:hAnsi="Arial" w:cs="Arial"/>
          <w:sz w:val="22"/>
          <w:szCs w:val="22"/>
        </w:rPr>
        <w:t>Green tourism in post-conflict areas is shaped by reconstruction dynamics and socio-political recovery. Green building practices are limited due to security risks and infrastructural damage, but localized reconstruction efforts have shown potential when tied to peacebuilding (Mallo, 2024; González Cortés &amp; Husain-Talero, 2020). Habitat protection is often deprioritized, yet in some regions, it is strategically used to promote reintegration and restore damaged landscapes through eco-zoning and reforestation (Mallo, 2024; Belotti, 2024). Sustainable procurement remains minimal, but fair-trade models involving ex-combatants and women entrepreneurs offer promise for inclusive green recovery (Naqvi et al., 2023; González Cortés &amp; Husain-Talero, 2020).</w:t>
      </w:r>
    </w:p>
    <w:p w14:paraId="4EF2B3DC" w14:textId="77777777" w:rsidR="003F3094" w:rsidRPr="003F3094" w:rsidRDefault="003F3094" w:rsidP="004D578B">
      <w:pPr>
        <w:jc w:val="both"/>
        <w:rPr>
          <w:rFonts w:ascii="Arial" w:hAnsi="Arial" w:cs="Arial"/>
          <w:sz w:val="22"/>
          <w:szCs w:val="22"/>
        </w:rPr>
      </w:pPr>
    </w:p>
    <w:p w14:paraId="773E1BE3" w14:textId="77777777" w:rsidR="004D578B" w:rsidRPr="005E4207" w:rsidRDefault="004D578B" w:rsidP="004D578B">
      <w:pPr>
        <w:jc w:val="both"/>
        <w:rPr>
          <w:rFonts w:ascii="Arial" w:hAnsi="Arial" w:cs="Arial"/>
          <w:b/>
          <w:bCs/>
          <w:i/>
          <w:iCs/>
        </w:rPr>
      </w:pPr>
      <w:r w:rsidRPr="005E4207">
        <w:rPr>
          <w:rFonts w:ascii="Arial" w:hAnsi="Arial" w:cs="Arial"/>
          <w:b/>
          <w:bCs/>
          <w:i/>
          <w:iCs/>
        </w:rPr>
        <w:t>3.4.1 Green Building Practice</w:t>
      </w:r>
    </w:p>
    <w:p w14:paraId="24C0D039" w14:textId="77777777" w:rsidR="004D578B" w:rsidRDefault="004D578B" w:rsidP="004D578B">
      <w:pPr>
        <w:jc w:val="both"/>
        <w:rPr>
          <w:rFonts w:ascii="Arial" w:hAnsi="Arial" w:cs="Arial"/>
        </w:rPr>
      </w:pPr>
      <w:r w:rsidRPr="005E4207">
        <w:rPr>
          <w:rFonts w:ascii="Arial" w:hAnsi="Arial" w:cs="Arial"/>
        </w:rPr>
        <w:lastRenderedPageBreak/>
        <w:t>Green building practice in post-conflict zones is sparse due to security risks, broken infrastructure, and lack of skilled labor. However, localized reconstruction projects show that green design can support peacebuilding and tourism recovery when embedded in national development plans (Mallo, 2024; González Cortés &amp; Husain-Talero, 2020).</w:t>
      </w:r>
    </w:p>
    <w:p w14:paraId="199CD1C4" w14:textId="77777777" w:rsidR="003F3094" w:rsidRPr="005E4207" w:rsidRDefault="003F3094" w:rsidP="004D578B">
      <w:pPr>
        <w:jc w:val="both"/>
        <w:rPr>
          <w:rFonts w:ascii="Arial" w:hAnsi="Arial" w:cs="Arial"/>
        </w:rPr>
      </w:pPr>
    </w:p>
    <w:p w14:paraId="1400DED2" w14:textId="77777777" w:rsidR="004D578B" w:rsidRPr="005E4207" w:rsidRDefault="004D578B" w:rsidP="004D578B">
      <w:pPr>
        <w:jc w:val="both"/>
        <w:rPr>
          <w:rFonts w:ascii="Arial" w:hAnsi="Arial" w:cs="Arial"/>
          <w:b/>
          <w:bCs/>
          <w:i/>
          <w:iCs/>
        </w:rPr>
      </w:pPr>
      <w:r w:rsidRPr="005E4207">
        <w:rPr>
          <w:rFonts w:ascii="Arial" w:hAnsi="Arial" w:cs="Arial"/>
          <w:b/>
          <w:bCs/>
          <w:i/>
          <w:iCs/>
        </w:rPr>
        <w:t>3.4.2 Habitat Protection</w:t>
      </w:r>
    </w:p>
    <w:p w14:paraId="0070D60A" w14:textId="77777777" w:rsidR="004D578B" w:rsidRDefault="004D578B" w:rsidP="004D578B">
      <w:pPr>
        <w:jc w:val="both"/>
        <w:rPr>
          <w:rFonts w:ascii="Arial" w:hAnsi="Arial" w:cs="Arial"/>
        </w:rPr>
      </w:pPr>
      <w:r w:rsidRPr="005E4207">
        <w:rPr>
          <w:rFonts w:ascii="Arial" w:hAnsi="Arial" w:cs="Arial"/>
        </w:rPr>
        <w:t>Environmental goals are deprioritized during recovery, yet some regions (e.g., Colombia, Sudan) utilize habitat protection as a bridge for socio-economic reintegration. Eco-tourism zoning and reforestation projects can restore degraded landscapes while generating local income (Mallo, 2024; Belotti, 2024).</w:t>
      </w:r>
    </w:p>
    <w:p w14:paraId="3BD4B393" w14:textId="77777777" w:rsidR="003F3094" w:rsidRPr="005E4207" w:rsidRDefault="003F3094" w:rsidP="004D578B">
      <w:pPr>
        <w:jc w:val="both"/>
        <w:rPr>
          <w:rFonts w:ascii="Arial" w:hAnsi="Arial" w:cs="Arial"/>
        </w:rPr>
      </w:pPr>
    </w:p>
    <w:p w14:paraId="03CFF682" w14:textId="77777777" w:rsidR="004D578B" w:rsidRPr="005E4207" w:rsidRDefault="004D578B" w:rsidP="004D578B">
      <w:pPr>
        <w:jc w:val="both"/>
        <w:rPr>
          <w:rFonts w:ascii="Arial" w:hAnsi="Arial" w:cs="Arial"/>
          <w:b/>
          <w:bCs/>
          <w:i/>
          <w:iCs/>
        </w:rPr>
      </w:pPr>
      <w:r w:rsidRPr="005E4207">
        <w:rPr>
          <w:rFonts w:ascii="Arial" w:hAnsi="Arial" w:cs="Arial"/>
          <w:b/>
          <w:bCs/>
          <w:i/>
          <w:iCs/>
        </w:rPr>
        <w:t>3.4.3 Sustainable Procurement</w:t>
      </w:r>
    </w:p>
    <w:p w14:paraId="5C308788" w14:textId="77777777" w:rsidR="004D578B" w:rsidRDefault="004D578B" w:rsidP="004D578B">
      <w:pPr>
        <w:jc w:val="both"/>
        <w:rPr>
          <w:rFonts w:ascii="Arial" w:hAnsi="Arial" w:cs="Arial"/>
        </w:rPr>
      </w:pPr>
      <w:r w:rsidRPr="005E4207">
        <w:rPr>
          <w:rFonts w:ascii="Arial" w:hAnsi="Arial" w:cs="Arial"/>
        </w:rPr>
        <w:t>Sustainable procurement in post-conflict tourism is minimal, but emerging fair-trade initiatives show potential. Programs that support local entrepreneurs, ex-combatants, and women in supply chains can stabilize markets and align with green recovery strategies (González Cortés &amp; Husain-Talero, 2020; Naqvi et al., 2023).</w:t>
      </w:r>
    </w:p>
    <w:p w14:paraId="5B0212BD" w14:textId="77777777" w:rsidR="003F3094" w:rsidRPr="005E4207" w:rsidRDefault="003F3094" w:rsidP="004D578B">
      <w:pPr>
        <w:jc w:val="both"/>
        <w:rPr>
          <w:rFonts w:ascii="Arial" w:hAnsi="Arial" w:cs="Arial"/>
        </w:rPr>
      </w:pPr>
    </w:p>
    <w:p w14:paraId="4CCC5B7B" w14:textId="77777777" w:rsidR="004D578B" w:rsidRDefault="004D578B" w:rsidP="004D578B">
      <w:pPr>
        <w:jc w:val="both"/>
        <w:rPr>
          <w:rFonts w:ascii="Arial" w:hAnsi="Arial" w:cs="Arial"/>
          <w:b/>
          <w:bCs/>
          <w:sz w:val="22"/>
          <w:szCs w:val="22"/>
        </w:rPr>
      </w:pPr>
      <w:r w:rsidRPr="003F3094">
        <w:rPr>
          <w:rFonts w:ascii="Arial" w:hAnsi="Arial" w:cs="Arial"/>
          <w:b/>
          <w:bCs/>
          <w:sz w:val="22"/>
          <w:szCs w:val="22"/>
        </w:rPr>
        <w:t>3.5 Results: Challenges of Green Tourism in Urban Area</w:t>
      </w:r>
    </w:p>
    <w:p w14:paraId="4918E40B" w14:textId="77777777" w:rsidR="00484738" w:rsidRPr="003F3094" w:rsidRDefault="00484738" w:rsidP="004D578B">
      <w:pPr>
        <w:jc w:val="both"/>
        <w:rPr>
          <w:rFonts w:ascii="Arial" w:hAnsi="Arial" w:cs="Arial"/>
          <w:b/>
          <w:bCs/>
          <w:sz w:val="22"/>
          <w:szCs w:val="22"/>
        </w:rPr>
      </w:pPr>
    </w:p>
    <w:p w14:paraId="56DE6DED" w14:textId="77777777" w:rsidR="004D578B" w:rsidRDefault="004D578B" w:rsidP="004D578B">
      <w:pPr>
        <w:jc w:val="both"/>
        <w:rPr>
          <w:rFonts w:ascii="Arial" w:hAnsi="Arial" w:cs="Arial"/>
          <w:sz w:val="22"/>
          <w:szCs w:val="22"/>
        </w:rPr>
      </w:pPr>
      <w:r w:rsidRPr="003F3094">
        <w:rPr>
          <w:rFonts w:ascii="Arial" w:hAnsi="Arial" w:cs="Arial"/>
          <w:sz w:val="22"/>
          <w:szCs w:val="22"/>
        </w:rPr>
        <w:t>Urban areas demonstrate moderate progress in green tourism but face systemic inconsistencies. Pollution control varies across cities, with better performance in places like Japan and Vietnam due to policy support and certifications (Han et al., 2018; Shang et al., 2023). However, fragmented enforcement limits outcomes (Kusakabe, 2013). Resource efficiency is driven by infrastructure, resulting in moderate adoption of green technologies and reduced operational costs (Miller &amp; Twining-Ward, 2005; Stephenson &amp; Dobson, 2020). Waste management is institutionally stronger through hotel-led recycling and certifications but still challenged by scalability and behavior (Juvan et al., 2023).</w:t>
      </w:r>
    </w:p>
    <w:p w14:paraId="3CECB8C5" w14:textId="77777777" w:rsidR="003F3094" w:rsidRPr="003F3094" w:rsidRDefault="003F3094" w:rsidP="004D578B">
      <w:pPr>
        <w:jc w:val="both"/>
        <w:rPr>
          <w:rFonts w:ascii="Arial" w:hAnsi="Arial" w:cs="Arial"/>
          <w:sz w:val="22"/>
          <w:szCs w:val="22"/>
        </w:rPr>
      </w:pPr>
    </w:p>
    <w:p w14:paraId="2E2BFAAF" w14:textId="77777777" w:rsidR="004D578B" w:rsidRPr="005E4207" w:rsidRDefault="004D578B" w:rsidP="004D578B">
      <w:pPr>
        <w:jc w:val="both"/>
        <w:rPr>
          <w:rFonts w:ascii="Arial" w:hAnsi="Arial" w:cs="Arial"/>
          <w:b/>
          <w:bCs/>
          <w:i/>
          <w:iCs/>
        </w:rPr>
      </w:pPr>
      <w:r w:rsidRPr="005E4207">
        <w:rPr>
          <w:rFonts w:ascii="Arial" w:hAnsi="Arial" w:cs="Arial"/>
          <w:b/>
          <w:bCs/>
          <w:i/>
          <w:iCs/>
        </w:rPr>
        <w:t>3.5.1 Pollution Control</w:t>
      </w:r>
    </w:p>
    <w:p w14:paraId="683CE064" w14:textId="77777777" w:rsidR="004D578B" w:rsidRDefault="004D578B" w:rsidP="004D578B">
      <w:pPr>
        <w:jc w:val="both"/>
        <w:rPr>
          <w:rFonts w:ascii="Arial" w:hAnsi="Arial" w:cs="Arial"/>
        </w:rPr>
      </w:pPr>
      <w:r w:rsidRPr="005E4207">
        <w:rPr>
          <w:rFonts w:ascii="Arial" w:hAnsi="Arial" w:cs="Arial"/>
        </w:rPr>
        <w:t xml:space="preserve">Urban tourism sectors suffer from fragmented enforcement of pollution control regulations (Kusakabe, 2013; </w:t>
      </w:r>
      <w:proofErr w:type="spellStart"/>
      <w:r w:rsidRPr="005E4207">
        <w:rPr>
          <w:rFonts w:ascii="Arial" w:hAnsi="Arial" w:cs="Arial"/>
        </w:rPr>
        <w:t>Zeppel</w:t>
      </w:r>
      <w:proofErr w:type="spellEnd"/>
      <w:r w:rsidRPr="005E4207">
        <w:rPr>
          <w:rFonts w:ascii="Arial" w:hAnsi="Arial" w:cs="Arial"/>
        </w:rPr>
        <w:t xml:space="preserve"> &amp; Beaumont, 2011). Even in countries with advanced certification systems like Japan and Vietnam, inconsistent monitoring, lack of penalties, and varying municipal priorities weaken compliance. Many urban tourism operators adopt minimum standards to pass certification audits without maintaining continuous improvements.</w:t>
      </w:r>
    </w:p>
    <w:p w14:paraId="5F34933C" w14:textId="77777777" w:rsidR="003F3094" w:rsidRPr="005E4207" w:rsidRDefault="003F3094" w:rsidP="004D578B">
      <w:pPr>
        <w:jc w:val="both"/>
        <w:rPr>
          <w:rFonts w:ascii="Arial" w:hAnsi="Arial" w:cs="Arial"/>
        </w:rPr>
      </w:pPr>
    </w:p>
    <w:p w14:paraId="02794DD9" w14:textId="77777777" w:rsidR="004D578B" w:rsidRPr="005E4207" w:rsidRDefault="004D578B" w:rsidP="004D578B">
      <w:pPr>
        <w:jc w:val="both"/>
        <w:rPr>
          <w:rFonts w:ascii="Arial" w:hAnsi="Arial" w:cs="Arial"/>
          <w:b/>
          <w:bCs/>
          <w:i/>
          <w:iCs/>
        </w:rPr>
      </w:pPr>
      <w:r w:rsidRPr="005E4207">
        <w:rPr>
          <w:rFonts w:ascii="Arial" w:hAnsi="Arial" w:cs="Arial"/>
          <w:b/>
          <w:bCs/>
          <w:i/>
          <w:iCs/>
        </w:rPr>
        <w:t>3.5.2 Resource Efficiency</w:t>
      </w:r>
    </w:p>
    <w:p w14:paraId="02AC386E" w14:textId="77777777" w:rsidR="004D578B" w:rsidRPr="005E4207" w:rsidRDefault="004D578B" w:rsidP="004D578B">
      <w:pPr>
        <w:jc w:val="both"/>
        <w:rPr>
          <w:rFonts w:ascii="Arial" w:hAnsi="Arial" w:cs="Arial"/>
        </w:rPr>
      </w:pPr>
      <w:r w:rsidRPr="005E4207">
        <w:rPr>
          <w:rFonts w:ascii="Arial" w:hAnsi="Arial" w:cs="Arial"/>
        </w:rPr>
        <w:t>Challenges to resource efficiency in urban tourism include high upfront costs of green technology, limited access to updated sustainable innovations for SMEs, and short-term business models that prioritize immediate returns over long-term savings (Miller &amp; Twining-Ward, 2005; Stephenson &amp; Dobson, 2020). Many establishments retrofit inefficiently, resulting in only partial gains.</w:t>
      </w:r>
    </w:p>
    <w:p w14:paraId="23B73020" w14:textId="77777777" w:rsidR="005E4207" w:rsidRPr="005E4207" w:rsidRDefault="005E4207" w:rsidP="004D578B">
      <w:pPr>
        <w:jc w:val="both"/>
        <w:rPr>
          <w:rFonts w:ascii="Arial" w:hAnsi="Arial" w:cs="Arial"/>
        </w:rPr>
      </w:pPr>
    </w:p>
    <w:p w14:paraId="23FD8917" w14:textId="77777777" w:rsidR="004D578B" w:rsidRPr="005E4207" w:rsidRDefault="004D578B" w:rsidP="004D578B">
      <w:pPr>
        <w:jc w:val="both"/>
        <w:rPr>
          <w:rFonts w:ascii="Arial" w:hAnsi="Arial" w:cs="Arial"/>
          <w:b/>
          <w:bCs/>
          <w:i/>
          <w:iCs/>
        </w:rPr>
      </w:pPr>
      <w:r w:rsidRPr="005E4207">
        <w:rPr>
          <w:rFonts w:ascii="Arial" w:hAnsi="Arial" w:cs="Arial"/>
          <w:b/>
          <w:bCs/>
          <w:i/>
          <w:iCs/>
        </w:rPr>
        <w:t>3.5.3 Waste Management</w:t>
      </w:r>
    </w:p>
    <w:p w14:paraId="5080F983" w14:textId="77777777" w:rsidR="004D578B" w:rsidRPr="005E4207" w:rsidRDefault="004D578B" w:rsidP="004D578B">
      <w:pPr>
        <w:jc w:val="both"/>
        <w:rPr>
          <w:rFonts w:ascii="Arial" w:hAnsi="Arial" w:cs="Arial"/>
        </w:rPr>
      </w:pPr>
      <w:r w:rsidRPr="005E4207">
        <w:rPr>
          <w:rFonts w:ascii="Arial" w:hAnsi="Arial" w:cs="Arial"/>
        </w:rPr>
        <w:t>Although recycling systems are more common in cities, scalability remains limited (Juvan et al., 2023). Institutional practices often benefit larger hotels, leaving small and medium enterprises (SMEs) marginalized. Behavioral resistance among staff and tourists, alongside inconsistent waste segregation infrastructure, hinders the establishment of truly circular systems.</w:t>
      </w:r>
    </w:p>
    <w:p w14:paraId="079EC3C6" w14:textId="77777777" w:rsidR="005E4207" w:rsidRPr="004D578B" w:rsidRDefault="005E4207" w:rsidP="004D578B">
      <w:pPr>
        <w:jc w:val="both"/>
        <w:rPr>
          <w:rFonts w:ascii="Arial" w:hAnsi="Arial" w:cs="Arial"/>
          <w:sz w:val="22"/>
          <w:szCs w:val="22"/>
        </w:rPr>
      </w:pPr>
    </w:p>
    <w:p w14:paraId="7EF0F7B2" w14:textId="77777777" w:rsidR="004D578B" w:rsidRDefault="004D578B" w:rsidP="004D578B">
      <w:pPr>
        <w:jc w:val="both"/>
        <w:rPr>
          <w:rFonts w:ascii="Arial" w:hAnsi="Arial" w:cs="Arial"/>
          <w:b/>
          <w:bCs/>
          <w:sz w:val="22"/>
          <w:szCs w:val="22"/>
        </w:rPr>
      </w:pPr>
      <w:r w:rsidRPr="004D578B">
        <w:rPr>
          <w:rFonts w:ascii="Arial" w:hAnsi="Arial" w:cs="Arial"/>
          <w:b/>
          <w:bCs/>
          <w:sz w:val="22"/>
          <w:szCs w:val="22"/>
        </w:rPr>
        <w:t>3.6 Results: Challenges of Green Tourism in Rural Area</w:t>
      </w:r>
    </w:p>
    <w:p w14:paraId="633571A2" w14:textId="77777777" w:rsidR="00267ABD" w:rsidRPr="004D578B" w:rsidRDefault="00267ABD" w:rsidP="004D578B">
      <w:pPr>
        <w:jc w:val="both"/>
        <w:rPr>
          <w:rFonts w:ascii="Arial" w:hAnsi="Arial" w:cs="Arial"/>
          <w:b/>
          <w:bCs/>
          <w:sz w:val="22"/>
          <w:szCs w:val="22"/>
        </w:rPr>
      </w:pPr>
    </w:p>
    <w:p w14:paraId="7D5B5116" w14:textId="77777777" w:rsidR="004D578B" w:rsidRDefault="004D578B" w:rsidP="004D578B">
      <w:pPr>
        <w:jc w:val="both"/>
        <w:rPr>
          <w:rFonts w:ascii="Arial" w:hAnsi="Arial" w:cs="Arial"/>
          <w:sz w:val="22"/>
          <w:szCs w:val="22"/>
        </w:rPr>
      </w:pPr>
      <w:r w:rsidRPr="004D578B">
        <w:rPr>
          <w:rFonts w:ascii="Arial" w:hAnsi="Arial" w:cs="Arial"/>
          <w:sz w:val="22"/>
          <w:szCs w:val="22"/>
        </w:rPr>
        <w:lastRenderedPageBreak/>
        <w:t xml:space="preserve">Rural tourism faces substantial limitations in sustainability implementation. Pollution control remains weak due to over-tourism, insufficient infrastructure, and lack of technical assistance (González, 2012; </w:t>
      </w:r>
      <w:proofErr w:type="spellStart"/>
      <w:r w:rsidRPr="004D578B">
        <w:rPr>
          <w:rFonts w:ascii="Arial" w:hAnsi="Arial" w:cs="Arial"/>
          <w:sz w:val="22"/>
          <w:szCs w:val="22"/>
        </w:rPr>
        <w:t>Luekveerawattana</w:t>
      </w:r>
      <w:proofErr w:type="spellEnd"/>
      <w:r w:rsidRPr="004D578B">
        <w:rPr>
          <w:rFonts w:ascii="Arial" w:hAnsi="Arial" w:cs="Arial"/>
          <w:sz w:val="22"/>
          <w:szCs w:val="22"/>
        </w:rPr>
        <w:t>, 2024). Resource management is fragile despite the use of green technologies like solar panels, hindered by low investment and inadequate monitoring tools (Delgado-Serrano et al., 2017). Waste management suffers from a lack of collection systems, public awareness, and circular economy infrastructure, making eco-lodge efforts difficult to scale (D’Alessandro, 2016; Enriquez et al., 2017).</w:t>
      </w:r>
    </w:p>
    <w:p w14:paraId="586CEA5A" w14:textId="77777777" w:rsidR="003F3094" w:rsidRPr="004D578B" w:rsidRDefault="003F3094" w:rsidP="004D578B">
      <w:pPr>
        <w:jc w:val="both"/>
        <w:rPr>
          <w:rFonts w:ascii="Arial" w:hAnsi="Arial" w:cs="Arial"/>
          <w:sz w:val="22"/>
          <w:szCs w:val="22"/>
        </w:rPr>
      </w:pPr>
    </w:p>
    <w:p w14:paraId="3342A8B6" w14:textId="77777777" w:rsidR="004D578B" w:rsidRPr="003F3094" w:rsidRDefault="004D578B" w:rsidP="004D578B">
      <w:pPr>
        <w:jc w:val="both"/>
        <w:rPr>
          <w:rFonts w:ascii="Arial" w:hAnsi="Arial" w:cs="Arial"/>
          <w:b/>
          <w:bCs/>
          <w:i/>
          <w:iCs/>
        </w:rPr>
      </w:pPr>
      <w:r w:rsidRPr="003F3094">
        <w:rPr>
          <w:rFonts w:ascii="Arial" w:hAnsi="Arial" w:cs="Arial"/>
          <w:b/>
          <w:bCs/>
          <w:i/>
          <w:iCs/>
        </w:rPr>
        <w:t>3.6.1 Pollution Control</w:t>
      </w:r>
    </w:p>
    <w:p w14:paraId="1F4F215D" w14:textId="77777777" w:rsidR="004D578B" w:rsidRDefault="004D578B" w:rsidP="004D578B">
      <w:pPr>
        <w:jc w:val="both"/>
        <w:rPr>
          <w:rFonts w:ascii="Arial" w:hAnsi="Arial" w:cs="Arial"/>
        </w:rPr>
      </w:pPr>
      <w:r w:rsidRPr="003F3094">
        <w:rPr>
          <w:rFonts w:ascii="Arial" w:hAnsi="Arial" w:cs="Arial"/>
        </w:rPr>
        <w:t xml:space="preserve">Rural eco-tourism struggles with over-tourism impacts, absence of standardized pollution monitoring, and weak enforcement capacity (González, 2012; </w:t>
      </w:r>
      <w:proofErr w:type="spellStart"/>
      <w:r w:rsidRPr="003F3094">
        <w:rPr>
          <w:rFonts w:ascii="Arial" w:hAnsi="Arial" w:cs="Arial"/>
        </w:rPr>
        <w:t>Luekveerawattana</w:t>
      </w:r>
      <w:proofErr w:type="spellEnd"/>
      <w:r w:rsidRPr="003F3094">
        <w:rPr>
          <w:rFonts w:ascii="Arial" w:hAnsi="Arial" w:cs="Arial"/>
        </w:rPr>
        <w:t>, 2024). Small operators rarely have access to low-emission technologies or technical guidance, exacerbating environmental degradation during peak tourist seasons.</w:t>
      </w:r>
    </w:p>
    <w:p w14:paraId="459BEA2B" w14:textId="77777777" w:rsidR="003F3094" w:rsidRPr="003F3094" w:rsidRDefault="003F3094" w:rsidP="004D578B">
      <w:pPr>
        <w:jc w:val="both"/>
        <w:rPr>
          <w:rFonts w:ascii="Arial" w:hAnsi="Arial" w:cs="Arial"/>
        </w:rPr>
      </w:pPr>
    </w:p>
    <w:p w14:paraId="39BFBF0F" w14:textId="77777777" w:rsidR="004D578B" w:rsidRPr="003F3094" w:rsidRDefault="004D578B" w:rsidP="004D578B">
      <w:pPr>
        <w:jc w:val="both"/>
        <w:rPr>
          <w:rFonts w:ascii="Arial" w:hAnsi="Arial" w:cs="Arial"/>
          <w:b/>
          <w:bCs/>
          <w:i/>
          <w:iCs/>
        </w:rPr>
      </w:pPr>
      <w:r w:rsidRPr="003F3094">
        <w:rPr>
          <w:rFonts w:ascii="Arial" w:hAnsi="Arial" w:cs="Arial"/>
          <w:b/>
          <w:bCs/>
          <w:i/>
          <w:iCs/>
        </w:rPr>
        <w:t>3.6.2 Resource Efficiency</w:t>
      </w:r>
    </w:p>
    <w:p w14:paraId="0C1166DD" w14:textId="77777777" w:rsidR="004D578B" w:rsidRDefault="004D578B" w:rsidP="004D578B">
      <w:pPr>
        <w:jc w:val="both"/>
        <w:rPr>
          <w:rFonts w:ascii="Arial" w:hAnsi="Arial" w:cs="Arial"/>
        </w:rPr>
      </w:pPr>
      <w:r w:rsidRPr="003F3094">
        <w:rPr>
          <w:rFonts w:ascii="Arial" w:hAnsi="Arial" w:cs="Arial"/>
        </w:rPr>
        <w:t>Limited public investment and poor access to technical expertise restrict the adoption of resource-efficient practices (Delgado-Serrano et al., 2017). Although isolated eco-lodges have piloted technologies like solar panels, scaling remains constrained by lack of data, maintenance capabilities, and incentives for long-term conservation.</w:t>
      </w:r>
    </w:p>
    <w:p w14:paraId="6C995769" w14:textId="77777777" w:rsidR="003F3094" w:rsidRPr="003F3094" w:rsidRDefault="003F3094" w:rsidP="004D578B">
      <w:pPr>
        <w:jc w:val="both"/>
        <w:rPr>
          <w:rFonts w:ascii="Arial" w:hAnsi="Arial" w:cs="Arial"/>
        </w:rPr>
      </w:pPr>
    </w:p>
    <w:p w14:paraId="12A3D98C" w14:textId="77777777" w:rsidR="004D578B" w:rsidRPr="003F3094" w:rsidRDefault="004D578B" w:rsidP="004D578B">
      <w:pPr>
        <w:jc w:val="both"/>
        <w:rPr>
          <w:rFonts w:ascii="Arial" w:hAnsi="Arial" w:cs="Arial"/>
          <w:b/>
          <w:bCs/>
          <w:i/>
          <w:iCs/>
        </w:rPr>
      </w:pPr>
      <w:r w:rsidRPr="003F3094">
        <w:rPr>
          <w:rFonts w:ascii="Arial" w:hAnsi="Arial" w:cs="Arial"/>
          <w:b/>
          <w:bCs/>
          <w:i/>
          <w:iCs/>
        </w:rPr>
        <w:t>3.6.3 Waste Management</w:t>
      </w:r>
    </w:p>
    <w:p w14:paraId="32DD783F" w14:textId="77777777" w:rsidR="004D578B" w:rsidRDefault="004D578B" w:rsidP="004D578B">
      <w:pPr>
        <w:jc w:val="both"/>
        <w:rPr>
          <w:rFonts w:ascii="Arial" w:hAnsi="Arial" w:cs="Arial"/>
        </w:rPr>
      </w:pPr>
      <w:r w:rsidRPr="003F3094">
        <w:rPr>
          <w:rFonts w:ascii="Arial" w:hAnsi="Arial" w:cs="Arial"/>
        </w:rPr>
        <w:t>Waste management faces critical infrastructure gaps and logistical challenges (D’Alessandro, 2016; Enriquez et al., 2017). Without municipal collection services, rural businesses must resort to informal disposal methods. Awareness campaigns are minimal, and behavioral change among both staff and visitors is slow, limiting sustainable waste practices.</w:t>
      </w:r>
    </w:p>
    <w:p w14:paraId="58D1196A" w14:textId="77777777" w:rsidR="003F3094" w:rsidRPr="003F3094" w:rsidRDefault="003F3094" w:rsidP="004D578B">
      <w:pPr>
        <w:jc w:val="both"/>
        <w:rPr>
          <w:rFonts w:ascii="Arial" w:hAnsi="Arial" w:cs="Arial"/>
        </w:rPr>
      </w:pPr>
    </w:p>
    <w:p w14:paraId="755ADF0D" w14:textId="77777777" w:rsidR="004D578B" w:rsidRDefault="004D578B" w:rsidP="004D578B">
      <w:pPr>
        <w:jc w:val="both"/>
        <w:rPr>
          <w:rFonts w:ascii="Arial" w:hAnsi="Arial" w:cs="Arial"/>
          <w:b/>
          <w:bCs/>
          <w:sz w:val="22"/>
          <w:szCs w:val="22"/>
        </w:rPr>
      </w:pPr>
      <w:r w:rsidRPr="003F3094">
        <w:rPr>
          <w:rFonts w:ascii="Arial" w:hAnsi="Arial" w:cs="Arial"/>
          <w:b/>
          <w:bCs/>
          <w:sz w:val="22"/>
          <w:szCs w:val="22"/>
        </w:rPr>
        <w:t>3.7 Results: Challenges of Green Tourism in Peri-</w:t>
      </w:r>
      <w:commentRangeStart w:id="1"/>
      <w:r w:rsidRPr="003F3094">
        <w:rPr>
          <w:rFonts w:ascii="Arial" w:hAnsi="Arial" w:cs="Arial"/>
          <w:b/>
          <w:bCs/>
          <w:sz w:val="22"/>
          <w:szCs w:val="22"/>
        </w:rPr>
        <w:t>Urban</w:t>
      </w:r>
      <w:commentRangeEnd w:id="1"/>
      <w:r w:rsidR="003F7E35">
        <w:rPr>
          <w:rStyle w:val="CommentReference"/>
          <w:rFonts w:ascii="Times New Roman" w:hAnsi="Times New Roman"/>
          <w:lang w:val="nb-NO" w:eastAsia="nb-NO"/>
        </w:rPr>
        <w:commentReference w:id="1"/>
      </w:r>
    </w:p>
    <w:p w14:paraId="59DE4735" w14:textId="77777777" w:rsidR="00267ABD" w:rsidRPr="003F3094" w:rsidRDefault="00267ABD" w:rsidP="004D578B">
      <w:pPr>
        <w:jc w:val="both"/>
        <w:rPr>
          <w:rFonts w:ascii="Arial" w:hAnsi="Arial" w:cs="Arial"/>
          <w:b/>
          <w:bCs/>
          <w:sz w:val="22"/>
          <w:szCs w:val="22"/>
        </w:rPr>
      </w:pPr>
    </w:p>
    <w:p w14:paraId="45EA5424" w14:textId="4D45313E" w:rsidR="003F3094" w:rsidRPr="001B2245" w:rsidRDefault="00185985" w:rsidP="004D578B">
      <w:pPr>
        <w:jc w:val="both"/>
        <w:rPr>
          <w:rFonts w:ascii="Arial" w:hAnsi="Arial" w:cs="Arial"/>
        </w:rPr>
      </w:pPr>
      <w:r w:rsidRPr="001B2245">
        <w:rPr>
          <w:rFonts w:ascii="Arial" w:hAnsi="Arial" w:cs="Arial"/>
        </w:rPr>
        <w:t>In peri-urban areas, the implementation of green tourism practices remains significantly underdeveloped across the entire tourism sector. While SMEs face specific hurdles, the pervasive issues of poorly integrated urban planning, unregulated tourism expansion, and informal waste disposal inherently affect businesses of all sizes. Pollution control, resource efficiency, and waste management are severely constrained due to a general lack of regulatory oversight and limited incentives for any enterprise to adopt sustainable infrastructure (González &amp; Correal, 2021; McLennan et al., 2015; Juvan et al., 2023).</w:t>
      </w:r>
    </w:p>
    <w:p w14:paraId="58C4FECF" w14:textId="77777777" w:rsidR="00185985" w:rsidRPr="003F3094" w:rsidRDefault="00185985" w:rsidP="004D578B">
      <w:pPr>
        <w:jc w:val="both"/>
        <w:rPr>
          <w:rFonts w:ascii="Arial" w:hAnsi="Arial" w:cs="Arial"/>
        </w:rPr>
      </w:pPr>
    </w:p>
    <w:p w14:paraId="42DF9E58" w14:textId="77777777" w:rsidR="004D578B" w:rsidRPr="003F3094" w:rsidRDefault="004D578B" w:rsidP="004D578B">
      <w:pPr>
        <w:jc w:val="both"/>
        <w:rPr>
          <w:rFonts w:ascii="Arial" w:hAnsi="Arial" w:cs="Arial"/>
          <w:b/>
          <w:bCs/>
          <w:i/>
          <w:iCs/>
        </w:rPr>
      </w:pPr>
      <w:r w:rsidRPr="003F3094">
        <w:rPr>
          <w:rFonts w:ascii="Arial" w:hAnsi="Arial" w:cs="Arial"/>
          <w:b/>
          <w:bCs/>
          <w:i/>
          <w:iCs/>
        </w:rPr>
        <w:t>3.7.1 Pollution Control</w:t>
      </w:r>
    </w:p>
    <w:p w14:paraId="440F88C5" w14:textId="449E5E47" w:rsidR="003F3094" w:rsidRDefault="001B2245" w:rsidP="004D578B">
      <w:pPr>
        <w:jc w:val="both"/>
        <w:rPr>
          <w:rFonts w:ascii="Arial" w:hAnsi="Arial" w:cs="Arial"/>
        </w:rPr>
      </w:pPr>
      <w:r w:rsidRPr="001B2245">
        <w:rPr>
          <w:rFonts w:ascii="Arial" w:hAnsi="Arial" w:cs="Arial"/>
        </w:rPr>
        <w:t>In peri-urban areas, pollution control is severely constrained across the entire tourism sector, not just among SMEs. The landscape is dominated by informal waste practices, a pervasive lack of regulatory enforcement, and limited environmental awareness among both businesses and the general public (González &amp; Correal, 2021). This lax oversight means that various tourism enterprises, regardless of their size, often lack clear incentives or mandates to control emissions, manage wastewater effectively, or prevent general environmental degradation. Without strict regulatory frameworks or consistent monitoring, businesses often prioritize immediate operational costs over investments in pollution abatement technologies or sustainable practices. The absence of comprehensive waste education campaigns further hampers efforts towards source reduction and proper waste segregation. This leads to unmanaged runoff, air pollution from informal burning, and general environmental degradation, impacting not only the natural environment but also the long-term viability of tourism itself.</w:t>
      </w:r>
    </w:p>
    <w:p w14:paraId="1710F00A" w14:textId="77777777" w:rsidR="001B2245" w:rsidRPr="003F3094" w:rsidRDefault="001B2245" w:rsidP="004D578B">
      <w:pPr>
        <w:jc w:val="both"/>
        <w:rPr>
          <w:rFonts w:ascii="Arial" w:hAnsi="Arial" w:cs="Arial"/>
        </w:rPr>
      </w:pPr>
    </w:p>
    <w:p w14:paraId="4E7D6F5C" w14:textId="77777777" w:rsidR="004D578B" w:rsidRPr="003F3094" w:rsidRDefault="004D578B" w:rsidP="004D578B">
      <w:pPr>
        <w:jc w:val="both"/>
        <w:rPr>
          <w:rFonts w:ascii="Arial" w:hAnsi="Arial" w:cs="Arial"/>
          <w:b/>
          <w:bCs/>
          <w:i/>
          <w:iCs/>
        </w:rPr>
      </w:pPr>
      <w:r w:rsidRPr="003F3094">
        <w:rPr>
          <w:rFonts w:ascii="Arial" w:hAnsi="Arial" w:cs="Arial"/>
          <w:b/>
          <w:bCs/>
          <w:i/>
          <w:iCs/>
        </w:rPr>
        <w:lastRenderedPageBreak/>
        <w:t>3.7.2 Resource Management</w:t>
      </w:r>
    </w:p>
    <w:p w14:paraId="3D25F4FD" w14:textId="50F912C4" w:rsidR="004D578B" w:rsidRDefault="00E3495B" w:rsidP="004D578B">
      <w:pPr>
        <w:jc w:val="both"/>
        <w:rPr>
          <w:rFonts w:ascii="Arial" w:hAnsi="Arial" w:cs="Arial"/>
        </w:rPr>
      </w:pPr>
      <w:r w:rsidRPr="00E3495B">
        <w:rPr>
          <w:rFonts w:ascii="Arial" w:hAnsi="Arial" w:cs="Arial"/>
        </w:rPr>
        <w:t xml:space="preserve">Peri-urban tourism struggles with low resource efficiency across the sector due to poorly integrated planning, weak policy enforcement, and inadequate investment in sustainable infrastructure. Short-term profit motives often dominate the decision-making of many businesses, with little incentive for </w:t>
      </w:r>
      <w:r w:rsidRPr="00E3495B">
        <w:rPr>
          <w:rFonts w:ascii="Arial" w:hAnsi="Arial" w:cs="Arial"/>
          <w:i/>
          <w:iCs/>
        </w:rPr>
        <w:t>any</w:t>
      </w:r>
      <w:r w:rsidRPr="00E3495B">
        <w:rPr>
          <w:rFonts w:ascii="Arial" w:hAnsi="Arial" w:cs="Arial"/>
        </w:rPr>
        <w:t xml:space="preserve"> enterprise, including SMEs, to adopt green technologies or conservation practices (McLennan et al., 2015). This systemic inefficiency not only inflates operational costs but also significantly increases the environmental footprint of peri-urban tourism clusters.</w:t>
      </w:r>
    </w:p>
    <w:p w14:paraId="4D455843" w14:textId="77777777" w:rsidR="003F3094" w:rsidRPr="003F3094" w:rsidRDefault="003F3094" w:rsidP="004D578B">
      <w:pPr>
        <w:jc w:val="both"/>
        <w:rPr>
          <w:rFonts w:ascii="Arial" w:hAnsi="Arial" w:cs="Arial"/>
        </w:rPr>
      </w:pPr>
    </w:p>
    <w:p w14:paraId="74345C35" w14:textId="77777777" w:rsidR="004D578B" w:rsidRPr="003F3094" w:rsidRDefault="004D578B" w:rsidP="004D578B">
      <w:pPr>
        <w:jc w:val="both"/>
        <w:rPr>
          <w:rFonts w:ascii="Arial" w:hAnsi="Arial" w:cs="Arial"/>
          <w:b/>
          <w:bCs/>
          <w:i/>
          <w:iCs/>
        </w:rPr>
      </w:pPr>
      <w:r w:rsidRPr="003F3094">
        <w:rPr>
          <w:rFonts w:ascii="Arial" w:hAnsi="Arial" w:cs="Arial"/>
          <w:b/>
          <w:bCs/>
          <w:i/>
          <w:iCs/>
        </w:rPr>
        <w:t>3.7.3 Waste Management</w:t>
      </w:r>
    </w:p>
    <w:p w14:paraId="43F13B39" w14:textId="3E4898CA" w:rsidR="003F3094" w:rsidRPr="005C1FF2" w:rsidRDefault="00024F31" w:rsidP="004D578B">
      <w:pPr>
        <w:jc w:val="both"/>
        <w:rPr>
          <w:rFonts w:ascii="Arial" w:hAnsi="Arial" w:cs="Arial"/>
        </w:rPr>
      </w:pPr>
      <w:r w:rsidRPr="005C1FF2">
        <w:rPr>
          <w:rFonts w:ascii="Arial" w:hAnsi="Arial" w:cs="Arial"/>
        </w:rPr>
        <w:t>Waste management in peri-urban areas is severely underdeveloped, characterized by limited formal collection systems and a heavy reliance on informal or unregulated disposal, which impacts all tourism businesses regardless of size. Many businesses lack contracts with municipal providers or access to recycling facilities, leading to illegal dumping or burning (Juvan et al., 2023). The absence of widespread waste education campaigns further hampers segregation efforts among staff and visitors alike. While SMEs particularly struggle with economies of scale, the fundamental issue lies in the pervasive lack of shared services and consistent policy support for waste management across the entire peri-urban tourism landscape.</w:t>
      </w:r>
    </w:p>
    <w:p w14:paraId="496F3539" w14:textId="77777777" w:rsidR="00024F31" w:rsidRPr="003F3094" w:rsidRDefault="00024F31" w:rsidP="004D578B">
      <w:pPr>
        <w:jc w:val="both"/>
        <w:rPr>
          <w:rFonts w:ascii="Arial" w:hAnsi="Arial" w:cs="Arial"/>
        </w:rPr>
      </w:pPr>
    </w:p>
    <w:p w14:paraId="15770F77" w14:textId="77777777" w:rsidR="004D578B" w:rsidRDefault="004D578B" w:rsidP="004D578B">
      <w:pPr>
        <w:jc w:val="both"/>
        <w:rPr>
          <w:rFonts w:ascii="Arial" w:hAnsi="Arial" w:cs="Arial"/>
          <w:b/>
          <w:bCs/>
          <w:sz w:val="22"/>
          <w:szCs w:val="22"/>
        </w:rPr>
      </w:pPr>
      <w:r w:rsidRPr="003F3094">
        <w:rPr>
          <w:rFonts w:ascii="Arial" w:hAnsi="Arial" w:cs="Arial"/>
          <w:b/>
          <w:bCs/>
          <w:sz w:val="22"/>
          <w:szCs w:val="22"/>
        </w:rPr>
        <w:t>3.8 Results: Challenges of Green Tourism in Post-Conflict Area</w:t>
      </w:r>
    </w:p>
    <w:p w14:paraId="29AD73B2" w14:textId="77777777" w:rsidR="00267ABD" w:rsidRPr="003F3094" w:rsidRDefault="00267ABD" w:rsidP="004D578B">
      <w:pPr>
        <w:jc w:val="both"/>
        <w:rPr>
          <w:rFonts w:ascii="Arial" w:hAnsi="Arial" w:cs="Arial"/>
          <w:b/>
          <w:bCs/>
          <w:sz w:val="22"/>
          <w:szCs w:val="22"/>
        </w:rPr>
      </w:pPr>
    </w:p>
    <w:p w14:paraId="13990321" w14:textId="77777777" w:rsidR="004D578B" w:rsidRPr="003F3094" w:rsidRDefault="004D578B" w:rsidP="004D578B">
      <w:pPr>
        <w:jc w:val="both"/>
        <w:rPr>
          <w:rFonts w:ascii="Arial" w:hAnsi="Arial" w:cs="Arial"/>
          <w:sz w:val="22"/>
          <w:szCs w:val="22"/>
        </w:rPr>
      </w:pPr>
      <w:r w:rsidRPr="003F3094">
        <w:rPr>
          <w:rFonts w:ascii="Arial" w:hAnsi="Arial" w:cs="Arial"/>
          <w:sz w:val="22"/>
          <w:szCs w:val="22"/>
        </w:rPr>
        <w:t>Post-conflict zones are among the most vulnerable in terms of green tourism adoption. Pollution control is deprioritized due to pressing socio-political concerns and lack of environmental services (Mallo, 2024). Resource management is difficult to establish because of limited infrastructure and low investor confidence, though green reconstruction efforts show some promise (Nugroho et al., 2023). Waste management is virtually non-existent, with businesses relying on unsafe practices; however, community-based NGO-led pilots offer glimpses of potential if scaled with public investment (González Cortés &amp; Husain-Talero, 2020).</w:t>
      </w:r>
    </w:p>
    <w:p w14:paraId="1E2BADF5" w14:textId="77777777" w:rsidR="003F3094" w:rsidRPr="003F3094" w:rsidRDefault="003F3094" w:rsidP="004D578B">
      <w:pPr>
        <w:jc w:val="both"/>
        <w:rPr>
          <w:rFonts w:ascii="Arial" w:hAnsi="Arial" w:cs="Arial"/>
        </w:rPr>
      </w:pPr>
    </w:p>
    <w:p w14:paraId="7019B39F" w14:textId="77777777" w:rsidR="004D578B" w:rsidRPr="003F3094" w:rsidRDefault="004D578B" w:rsidP="004D578B">
      <w:pPr>
        <w:jc w:val="both"/>
        <w:rPr>
          <w:rFonts w:ascii="Arial" w:hAnsi="Arial" w:cs="Arial"/>
          <w:b/>
          <w:bCs/>
          <w:i/>
          <w:iCs/>
        </w:rPr>
      </w:pPr>
      <w:r w:rsidRPr="003F3094">
        <w:rPr>
          <w:rFonts w:ascii="Arial" w:hAnsi="Arial" w:cs="Arial"/>
          <w:b/>
          <w:bCs/>
          <w:i/>
          <w:iCs/>
        </w:rPr>
        <w:t>3.8.1 Pollution Control</w:t>
      </w:r>
    </w:p>
    <w:p w14:paraId="250CC22A" w14:textId="77777777" w:rsidR="004D578B" w:rsidRDefault="004D578B" w:rsidP="004D578B">
      <w:pPr>
        <w:jc w:val="both"/>
        <w:rPr>
          <w:rFonts w:ascii="Arial" w:hAnsi="Arial" w:cs="Arial"/>
        </w:rPr>
      </w:pPr>
      <w:r w:rsidRPr="003F3094">
        <w:rPr>
          <w:rFonts w:ascii="Arial" w:hAnsi="Arial" w:cs="Arial"/>
        </w:rPr>
        <w:t>Pollution control in post-conflict regions is often deprioritized as attention is directed toward security and economic stabilization. Basic environmental services—such as sewage treatment, solid waste management, and emission monitoring—are commonly disrupted or non-existent (Mallo, 2024; González Cortés &amp; Husain-Talero, 2020). Where tourism is emerging as a recovery strategy, lack of environmental regulations and weak institutional oversight lead to unsustainable practices that can worsen public health and ecosystem fragility.</w:t>
      </w:r>
    </w:p>
    <w:p w14:paraId="4A299519" w14:textId="77777777" w:rsidR="003F3094" w:rsidRPr="003F3094" w:rsidRDefault="003F3094" w:rsidP="004D578B">
      <w:pPr>
        <w:jc w:val="both"/>
        <w:rPr>
          <w:rFonts w:ascii="Arial" w:hAnsi="Arial" w:cs="Arial"/>
        </w:rPr>
      </w:pPr>
    </w:p>
    <w:p w14:paraId="75819235" w14:textId="77777777" w:rsidR="004D578B" w:rsidRPr="003F3094" w:rsidRDefault="004D578B" w:rsidP="004D578B">
      <w:pPr>
        <w:jc w:val="both"/>
        <w:rPr>
          <w:rFonts w:ascii="Arial" w:hAnsi="Arial" w:cs="Arial"/>
          <w:b/>
          <w:bCs/>
          <w:i/>
          <w:iCs/>
        </w:rPr>
      </w:pPr>
      <w:r w:rsidRPr="003F3094">
        <w:rPr>
          <w:rFonts w:ascii="Arial" w:hAnsi="Arial" w:cs="Arial"/>
          <w:b/>
          <w:bCs/>
          <w:i/>
          <w:iCs/>
        </w:rPr>
        <w:t>3.8.2 Resource Management</w:t>
      </w:r>
    </w:p>
    <w:p w14:paraId="06D2EA00" w14:textId="77777777" w:rsidR="004D578B" w:rsidRDefault="004D578B" w:rsidP="004D578B">
      <w:pPr>
        <w:jc w:val="both"/>
        <w:rPr>
          <w:rFonts w:ascii="Arial" w:hAnsi="Arial" w:cs="Arial"/>
        </w:rPr>
      </w:pPr>
      <w:r w:rsidRPr="003F3094">
        <w:rPr>
          <w:rFonts w:ascii="Arial" w:hAnsi="Arial" w:cs="Arial"/>
        </w:rPr>
        <w:t>Resource efficiency is among the most difficult green practices to implement in post-conflict contexts. Fragile governance, weak infrastructure, and constrained budgets hinder access to sustainable energy and water systems (Nugroho et al., 2023). Moreover, private investors are often hesitant to fund long-term sustainability projects in politically unstable regions. Despite these constraints, targeted reconstruction programs that include green infrastructure—such as renewable energy in hotels or low-impact transport—have shown promise in supporting inclusive recovery.</w:t>
      </w:r>
    </w:p>
    <w:p w14:paraId="560DA1E1" w14:textId="77777777" w:rsidR="003F3094" w:rsidRPr="003F3094" w:rsidRDefault="003F3094" w:rsidP="004D578B">
      <w:pPr>
        <w:jc w:val="both"/>
        <w:rPr>
          <w:rFonts w:ascii="Arial" w:hAnsi="Arial" w:cs="Arial"/>
        </w:rPr>
      </w:pPr>
    </w:p>
    <w:p w14:paraId="6467C775" w14:textId="77777777" w:rsidR="004D578B" w:rsidRPr="003F3094" w:rsidRDefault="004D578B" w:rsidP="004D578B">
      <w:pPr>
        <w:jc w:val="both"/>
        <w:rPr>
          <w:rFonts w:ascii="Arial" w:hAnsi="Arial" w:cs="Arial"/>
          <w:b/>
          <w:bCs/>
          <w:i/>
          <w:iCs/>
        </w:rPr>
      </w:pPr>
      <w:r w:rsidRPr="003F3094">
        <w:rPr>
          <w:rFonts w:ascii="Arial" w:hAnsi="Arial" w:cs="Arial"/>
          <w:b/>
          <w:bCs/>
          <w:i/>
          <w:iCs/>
        </w:rPr>
        <w:t>3.8.3 Waste Management</w:t>
      </w:r>
    </w:p>
    <w:p w14:paraId="7C5BBBF3" w14:textId="77777777" w:rsidR="004D578B" w:rsidRDefault="004D578B" w:rsidP="004D578B">
      <w:pPr>
        <w:jc w:val="both"/>
        <w:rPr>
          <w:rFonts w:ascii="Arial" w:hAnsi="Arial" w:cs="Arial"/>
        </w:rPr>
      </w:pPr>
      <w:r w:rsidRPr="003F3094">
        <w:rPr>
          <w:rFonts w:ascii="Arial" w:hAnsi="Arial" w:cs="Arial"/>
        </w:rPr>
        <w:t xml:space="preserve">Post-conflict tourism areas face extreme waste management challenges. Municipal systems are often destroyed or underfunded, and tourism businesses are left with no structured </w:t>
      </w:r>
      <w:r w:rsidRPr="003F3094">
        <w:rPr>
          <w:rFonts w:ascii="Arial" w:hAnsi="Arial" w:cs="Arial"/>
        </w:rPr>
        <w:lastRenderedPageBreak/>
        <w:t>disposal channels (González Cortés &amp; Husain-Talero, 2020). Unsafe practices like open burning or illegal dumping are common. In some recovery zones, NGOs and international aid programs have introduced community-based waste management pilots, but these remain isolated examples. A systemic approach involving public investment, capacity building, and business partnerships is urgently needed.</w:t>
      </w:r>
    </w:p>
    <w:p w14:paraId="494C12EC" w14:textId="77777777" w:rsidR="00FF50F7" w:rsidRDefault="00FF50F7" w:rsidP="004D578B">
      <w:pPr>
        <w:jc w:val="both"/>
        <w:rPr>
          <w:rFonts w:ascii="Arial" w:hAnsi="Arial" w:cs="Arial"/>
        </w:rPr>
      </w:pPr>
    </w:p>
    <w:p w14:paraId="33B3D0E9" w14:textId="77777777" w:rsidR="00606C47" w:rsidRDefault="00606C47" w:rsidP="00606C47">
      <w:pPr>
        <w:jc w:val="both"/>
        <w:rPr>
          <w:rFonts w:ascii="Arial" w:hAnsi="Arial" w:cs="Arial"/>
          <w:b/>
          <w:bCs/>
          <w:sz w:val="22"/>
          <w:szCs w:val="22"/>
        </w:rPr>
      </w:pPr>
      <w:r w:rsidRPr="00606C47">
        <w:rPr>
          <w:rFonts w:ascii="Arial" w:hAnsi="Arial" w:cs="Arial"/>
          <w:b/>
          <w:bCs/>
          <w:sz w:val="22"/>
          <w:szCs w:val="22"/>
        </w:rPr>
        <w:t xml:space="preserve">3.9 </w:t>
      </w:r>
      <w:commentRangeStart w:id="2"/>
      <w:r w:rsidRPr="00606C47">
        <w:rPr>
          <w:rFonts w:ascii="Arial" w:hAnsi="Arial" w:cs="Arial"/>
          <w:b/>
          <w:bCs/>
          <w:sz w:val="22"/>
          <w:szCs w:val="22"/>
        </w:rPr>
        <w:t>Discussion</w:t>
      </w:r>
      <w:commentRangeEnd w:id="2"/>
      <w:r w:rsidR="00A569B4">
        <w:rPr>
          <w:rStyle w:val="CommentReference"/>
          <w:rFonts w:ascii="Times New Roman" w:hAnsi="Times New Roman"/>
          <w:lang w:val="nb-NO" w:eastAsia="nb-NO"/>
        </w:rPr>
        <w:commentReference w:id="2"/>
      </w:r>
    </w:p>
    <w:p w14:paraId="176654F5" w14:textId="77777777" w:rsidR="00267ABD" w:rsidRPr="00606C47" w:rsidRDefault="00267ABD" w:rsidP="00606C47">
      <w:pPr>
        <w:jc w:val="both"/>
        <w:rPr>
          <w:rFonts w:ascii="Arial" w:hAnsi="Arial" w:cs="Arial"/>
          <w:b/>
          <w:bCs/>
          <w:sz w:val="22"/>
          <w:szCs w:val="22"/>
        </w:rPr>
      </w:pPr>
    </w:p>
    <w:p w14:paraId="32A4EAF4" w14:textId="77777777" w:rsidR="00252EA6" w:rsidRDefault="00252EA6" w:rsidP="00252EA6">
      <w:pPr>
        <w:pStyle w:val="Body"/>
        <w:spacing w:after="0"/>
        <w:rPr>
          <w:rFonts w:ascii="Arial" w:hAnsi="Arial" w:cs="Arial"/>
          <w:sz w:val="22"/>
          <w:szCs w:val="22"/>
          <w:lang w:val="en-PH"/>
        </w:rPr>
      </w:pPr>
      <w:r w:rsidRPr="00252EA6">
        <w:rPr>
          <w:rFonts w:ascii="Arial" w:hAnsi="Arial" w:cs="Arial"/>
          <w:sz w:val="22"/>
          <w:szCs w:val="22"/>
          <w:lang w:val="en-PH"/>
        </w:rPr>
        <w:t>This systematic review reveals a complex and uneven landscape in the implementation of green tourism across urban, rural, peri-urban, and post-conflict areas. While progress has been made in certain pockets—often driven by institutional strength, policy incentives, or grassroots initiatives—systemic challenges persist that hinder the widespread adoption of sustainable practices. This discussion synthesizes the key patterns observed, explores contextual drivers, and offers a critical perspective on the enabling and limiting factors influencing green tourism across spatial contexts.</w:t>
      </w:r>
    </w:p>
    <w:p w14:paraId="724F3702" w14:textId="77777777" w:rsidR="00252EA6" w:rsidRPr="00252EA6" w:rsidRDefault="00252EA6" w:rsidP="00252EA6">
      <w:pPr>
        <w:pStyle w:val="Body"/>
        <w:spacing w:after="0"/>
        <w:rPr>
          <w:rFonts w:ascii="Arial" w:hAnsi="Arial" w:cs="Arial"/>
          <w:sz w:val="22"/>
          <w:szCs w:val="22"/>
          <w:lang w:val="en-PH"/>
        </w:rPr>
      </w:pPr>
    </w:p>
    <w:p w14:paraId="7BD65985" w14:textId="77777777" w:rsidR="00252EA6" w:rsidRDefault="00252EA6" w:rsidP="00252EA6">
      <w:pPr>
        <w:pStyle w:val="Body"/>
        <w:spacing w:after="0"/>
        <w:rPr>
          <w:rFonts w:ascii="Arial" w:hAnsi="Arial" w:cs="Arial"/>
          <w:sz w:val="22"/>
          <w:szCs w:val="22"/>
          <w:lang w:val="en-PH"/>
        </w:rPr>
      </w:pPr>
      <w:r w:rsidRPr="00252EA6">
        <w:rPr>
          <w:rFonts w:ascii="Arial" w:hAnsi="Arial" w:cs="Arial"/>
          <w:sz w:val="22"/>
          <w:szCs w:val="22"/>
          <w:lang w:val="en-PH"/>
        </w:rPr>
        <w:t>In urban areas, green tourism has moderately advanced due to established institutional frameworks, broader access to eco-certifications, and technological capacity. Businesses in cities often embrace sustainability as a brand enhancement strategy, appealing to eco-conscious travelers and international markets. However, despite these structural advantages, the translation of policy into practice is frequently hindered by fragmented regulatory enforcement, inconsistent pollution control strategies, and challenges in scaling waste management innovations. These findings align with McLennan et al. (2015), who noted that entrenched infrastructure and long-standing tourism practices in urban areas can resist transformative sustainability shifts.</w:t>
      </w:r>
    </w:p>
    <w:p w14:paraId="730919E9" w14:textId="77777777" w:rsidR="006D4535" w:rsidRPr="00252EA6" w:rsidRDefault="006D4535" w:rsidP="00252EA6">
      <w:pPr>
        <w:pStyle w:val="Body"/>
        <w:spacing w:after="0"/>
        <w:rPr>
          <w:rFonts w:ascii="Arial" w:hAnsi="Arial" w:cs="Arial"/>
          <w:sz w:val="22"/>
          <w:szCs w:val="22"/>
          <w:lang w:val="en-PH"/>
        </w:rPr>
      </w:pPr>
    </w:p>
    <w:p w14:paraId="69353D13" w14:textId="77777777" w:rsidR="00252EA6" w:rsidRDefault="00252EA6" w:rsidP="00252EA6">
      <w:pPr>
        <w:pStyle w:val="Body"/>
        <w:spacing w:after="0"/>
        <w:rPr>
          <w:rFonts w:ascii="Arial" w:hAnsi="Arial" w:cs="Arial"/>
          <w:sz w:val="22"/>
          <w:szCs w:val="22"/>
          <w:lang w:val="en-PH"/>
        </w:rPr>
      </w:pPr>
      <w:r w:rsidRPr="00252EA6">
        <w:rPr>
          <w:rFonts w:ascii="Arial" w:hAnsi="Arial" w:cs="Arial"/>
          <w:sz w:val="22"/>
          <w:szCs w:val="22"/>
          <w:lang w:val="en-PH"/>
        </w:rPr>
        <w:t>Conversely, rural areas, while lagging in comprehensive green tourism adoption, exhibit innovative examples such as eco-lodges that implement renewable energy and water conservation systems. These models are often rooted in strong local ecological ties and stewardship. Nevertheless, weak pollution control, fragile resource management, and limited waste infrastructure—compounded by low investment, technical skill shortages, and seasonal visitor pressures—significantly constrain broader implementation. This mirrors the findings of Delgado-Serrano et al. (2017), who emphasized the need for structural and financial support to scale rural sustainability models.</w:t>
      </w:r>
    </w:p>
    <w:p w14:paraId="5055D06D" w14:textId="77777777" w:rsidR="00BB5E21" w:rsidRPr="00252EA6" w:rsidRDefault="00BB5E21" w:rsidP="00252EA6">
      <w:pPr>
        <w:pStyle w:val="Body"/>
        <w:spacing w:after="0"/>
        <w:rPr>
          <w:rFonts w:ascii="Arial" w:hAnsi="Arial" w:cs="Arial"/>
          <w:sz w:val="22"/>
          <w:szCs w:val="22"/>
          <w:lang w:val="en-PH"/>
        </w:rPr>
      </w:pPr>
    </w:p>
    <w:p w14:paraId="3A74E230" w14:textId="77777777" w:rsidR="00252EA6" w:rsidRDefault="00252EA6" w:rsidP="00252EA6">
      <w:pPr>
        <w:pStyle w:val="Body"/>
        <w:spacing w:after="0"/>
        <w:rPr>
          <w:rFonts w:ascii="Arial" w:hAnsi="Arial" w:cs="Arial"/>
          <w:sz w:val="22"/>
          <w:szCs w:val="22"/>
          <w:lang w:val="en-PH"/>
        </w:rPr>
      </w:pPr>
      <w:r w:rsidRPr="00252EA6">
        <w:rPr>
          <w:rFonts w:ascii="Arial" w:hAnsi="Arial" w:cs="Arial"/>
          <w:sz w:val="22"/>
          <w:szCs w:val="22"/>
          <w:lang w:val="en-PH"/>
        </w:rPr>
        <w:t>Peri-urban regions present the most pronounced structural inefficiencies. Characterized by rapid, unregulated tourism expansion and weak governance, these zones suffer from fragmented urban planning, informal waste disposal, and a pervasive lack of incentives for sustainable tourism among all businesses, including small and medium-sized enterprises (SMEs). The absence of integrated strategies and clear support systems results in unsustainable operations and missed opportunities for green innovation. This is reinforced by Juvan et al. (2023), who noted that many businesses in these zones, including SMEs, often lack the resources and technical knowledge to engage in sustainability without dedicated support mechanisms.</w:t>
      </w:r>
    </w:p>
    <w:p w14:paraId="610703DF" w14:textId="77777777" w:rsidR="008802D6" w:rsidRPr="00252EA6" w:rsidRDefault="008802D6" w:rsidP="00252EA6">
      <w:pPr>
        <w:pStyle w:val="Body"/>
        <w:spacing w:after="0"/>
        <w:rPr>
          <w:rFonts w:ascii="Arial" w:hAnsi="Arial" w:cs="Arial"/>
          <w:sz w:val="22"/>
          <w:szCs w:val="22"/>
          <w:lang w:val="en-PH"/>
        </w:rPr>
      </w:pPr>
    </w:p>
    <w:p w14:paraId="31160E93" w14:textId="77777777" w:rsidR="00252EA6" w:rsidRDefault="00252EA6" w:rsidP="00252EA6">
      <w:pPr>
        <w:pStyle w:val="Body"/>
        <w:spacing w:after="0"/>
        <w:rPr>
          <w:rFonts w:ascii="Arial" w:hAnsi="Arial" w:cs="Arial"/>
          <w:sz w:val="22"/>
          <w:szCs w:val="22"/>
          <w:lang w:val="en-PH"/>
        </w:rPr>
      </w:pPr>
      <w:r w:rsidRPr="00252EA6">
        <w:rPr>
          <w:rFonts w:ascii="Arial" w:hAnsi="Arial" w:cs="Arial"/>
          <w:sz w:val="22"/>
          <w:szCs w:val="22"/>
          <w:lang w:val="en-PH"/>
        </w:rPr>
        <w:lastRenderedPageBreak/>
        <w:t>Post-conflict areas add another layer of complexity. Environmental protection in these regions is often deprioritized amid urgent socio-political and economic rebuilding. Damaged infrastructure, institutional fragility, and investor hesitation hinder the development of sustainable tourism systems. However, a unique strategic window exists: the opportunity to embed green tourism at the foundation of economic redevelopment. Establishing sustainability frameworks from the outset can create more resilient, equitable tourism systems, in contrast to the more difficult retrofitting required in long-established urban centers. Nugroho et al. (2023) emphasize that such proactive integration can lead to long-term socioeconomic and environmental dividends.</w:t>
      </w:r>
    </w:p>
    <w:p w14:paraId="2507A977" w14:textId="77777777" w:rsidR="005D202E" w:rsidRPr="00252EA6" w:rsidRDefault="005D202E" w:rsidP="00252EA6">
      <w:pPr>
        <w:pStyle w:val="Body"/>
        <w:spacing w:after="0"/>
        <w:rPr>
          <w:rFonts w:ascii="Arial" w:hAnsi="Arial" w:cs="Arial"/>
          <w:sz w:val="22"/>
          <w:szCs w:val="22"/>
          <w:lang w:val="en-PH"/>
        </w:rPr>
      </w:pPr>
    </w:p>
    <w:p w14:paraId="3639EDA7" w14:textId="77777777" w:rsidR="00252EA6" w:rsidRDefault="00252EA6" w:rsidP="00252EA6">
      <w:pPr>
        <w:pStyle w:val="Body"/>
        <w:spacing w:after="0"/>
        <w:rPr>
          <w:rFonts w:ascii="Arial" w:hAnsi="Arial" w:cs="Arial"/>
          <w:sz w:val="22"/>
          <w:szCs w:val="22"/>
          <w:lang w:val="en-PH"/>
        </w:rPr>
      </w:pPr>
      <w:r w:rsidRPr="00252EA6">
        <w:rPr>
          <w:rFonts w:ascii="Arial" w:hAnsi="Arial" w:cs="Arial"/>
          <w:sz w:val="22"/>
          <w:szCs w:val="22"/>
          <w:lang w:val="en-PH"/>
        </w:rPr>
        <w:t xml:space="preserve">In all spatial contexts, a recurring issue is the weak integration of sustainability into the core business strategies of tourism enterprises. Green practices are frequently seen as peripheral rather than embedded, resulting in fragmented, short-lived efforts rather than systemic transformation. This strategic disconnect is further exacerbated by limited access to green financing, perceived low returns on sustainable investments, and insufficient market incentives. </w:t>
      </w:r>
      <w:proofErr w:type="spellStart"/>
      <w:r w:rsidRPr="00252EA6">
        <w:rPr>
          <w:rFonts w:ascii="Arial" w:hAnsi="Arial" w:cs="Arial"/>
          <w:sz w:val="22"/>
          <w:szCs w:val="22"/>
          <w:lang w:val="en-PH"/>
        </w:rPr>
        <w:t>Sucheran</w:t>
      </w:r>
      <w:proofErr w:type="spellEnd"/>
      <w:r w:rsidRPr="00252EA6">
        <w:rPr>
          <w:rFonts w:ascii="Arial" w:hAnsi="Arial" w:cs="Arial"/>
          <w:sz w:val="22"/>
          <w:szCs w:val="22"/>
          <w:lang w:val="en-PH"/>
        </w:rPr>
        <w:t xml:space="preserve"> and Arulappan (2020) similarly point to the lack of strategic alignment as a critical barrier to meaningful sustainability adoption.</w:t>
      </w:r>
    </w:p>
    <w:p w14:paraId="54E968DB" w14:textId="77777777" w:rsidR="005D202E" w:rsidRPr="00252EA6" w:rsidRDefault="005D202E" w:rsidP="00252EA6">
      <w:pPr>
        <w:pStyle w:val="Body"/>
        <w:spacing w:after="0"/>
        <w:rPr>
          <w:rFonts w:ascii="Arial" w:hAnsi="Arial" w:cs="Arial"/>
          <w:sz w:val="22"/>
          <w:szCs w:val="22"/>
          <w:lang w:val="en-PH"/>
        </w:rPr>
      </w:pPr>
    </w:p>
    <w:p w14:paraId="675EE7BF" w14:textId="77777777" w:rsidR="00252EA6" w:rsidRDefault="00252EA6" w:rsidP="00252EA6">
      <w:pPr>
        <w:pStyle w:val="Body"/>
        <w:spacing w:after="0"/>
        <w:rPr>
          <w:rFonts w:ascii="Arial" w:hAnsi="Arial" w:cs="Arial"/>
          <w:sz w:val="22"/>
          <w:szCs w:val="22"/>
          <w:lang w:val="en-PH"/>
        </w:rPr>
      </w:pPr>
      <w:r w:rsidRPr="00252EA6">
        <w:rPr>
          <w:rFonts w:ascii="Arial" w:hAnsi="Arial" w:cs="Arial"/>
          <w:sz w:val="22"/>
          <w:szCs w:val="22"/>
          <w:lang w:val="en-PH"/>
        </w:rPr>
        <w:t>Institutional limitations further compound these challenges. Inconsistent regulatory enforcement, lack of standardized certifications, and weak monitoring mechanisms undermine even well-intentioned efforts. Furthermore, this review identifies behavioral resistance among both staff and tourists—particularly in rural and peri-urban contexts—driven by low awareness and inadequate training. These barriers highlight the urgent need for targeted knowledge-sharing practices and capacity-building initiatives to bridge implementation gaps.</w:t>
      </w:r>
    </w:p>
    <w:p w14:paraId="2738D5FB" w14:textId="77777777" w:rsidR="00BD5533" w:rsidRPr="00252EA6" w:rsidRDefault="00BD5533" w:rsidP="00252EA6">
      <w:pPr>
        <w:pStyle w:val="Body"/>
        <w:spacing w:after="0"/>
        <w:rPr>
          <w:rFonts w:ascii="Arial" w:hAnsi="Arial" w:cs="Arial"/>
          <w:sz w:val="22"/>
          <w:szCs w:val="22"/>
          <w:lang w:val="en-PH"/>
        </w:rPr>
      </w:pPr>
    </w:p>
    <w:p w14:paraId="3EED808D" w14:textId="77777777" w:rsidR="00252EA6" w:rsidRDefault="00252EA6" w:rsidP="00252EA6">
      <w:pPr>
        <w:pStyle w:val="Body"/>
        <w:spacing w:after="0"/>
        <w:rPr>
          <w:rFonts w:ascii="Arial" w:hAnsi="Arial" w:cs="Arial"/>
          <w:sz w:val="22"/>
          <w:szCs w:val="22"/>
          <w:lang w:val="en-PH"/>
        </w:rPr>
      </w:pPr>
      <w:r w:rsidRPr="00252EA6">
        <w:rPr>
          <w:rFonts w:ascii="Arial" w:hAnsi="Arial" w:cs="Arial"/>
          <w:sz w:val="22"/>
          <w:szCs w:val="22"/>
          <w:lang w:val="en-PH"/>
        </w:rPr>
        <w:t>A significant but underexplored dimension of green tourism is its role in enhancing resilience to climate change and natural disasters. As global tourism increasingly contends with heatwaves, floods, storms, and other extreme weather events, proactive environmental protection is no longer optional—it is critical to the survival of the industry. Implementing green building, sustainable resource use, and ecosystem preservation not only mitigates ecological damage but also protects infrastructure, reduces operating costs, and minimizes business disruption during crises. Integrating climate resilience into tourism strategies thus positions green tourism not only as an environmental imperative but also as a long-term economic safeguard.</w:t>
      </w:r>
    </w:p>
    <w:p w14:paraId="23B6E955" w14:textId="77777777" w:rsidR="00BD5533" w:rsidRPr="00252EA6" w:rsidRDefault="00BD5533" w:rsidP="00252EA6">
      <w:pPr>
        <w:pStyle w:val="Body"/>
        <w:spacing w:after="0"/>
        <w:rPr>
          <w:rFonts w:ascii="Arial" w:hAnsi="Arial" w:cs="Arial"/>
          <w:sz w:val="22"/>
          <w:szCs w:val="22"/>
          <w:lang w:val="en-PH"/>
        </w:rPr>
      </w:pPr>
    </w:p>
    <w:p w14:paraId="386965DC" w14:textId="77777777" w:rsidR="00252EA6" w:rsidRDefault="00252EA6" w:rsidP="00252EA6">
      <w:pPr>
        <w:pStyle w:val="Body"/>
        <w:spacing w:after="0"/>
        <w:rPr>
          <w:rFonts w:ascii="Arial" w:hAnsi="Arial" w:cs="Arial"/>
          <w:sz w:val="22"/>
          <w:szCs w:val="22"/>
          <w:lang w:val="en-PH"/>
        </w:rPr>
      </w:pPr>
      <w:r w:rsidRPr="00252EA6">
        <w:rPr>
          <w:rFonts w:ascii="Arial" w:hAnsi="Arial" w:cs="Arial"/>
          <w:sz w:val="22"/>
          <w:szCs w:val="22"/>
          <w:lang w:val="en-PH"/>
        </w:rPr>
        <w:t>In parallel, environmental responsibility should be redefined as a foundational business value, rather than a compliance-driven obligation. Green tourism must extend beyond marketing slogans to genuine stewardship of the natural environment. This involves concrete actions such as tree planting, biodiversity conservation, pollution prevention, energy efficiency, and waste reduction. Cultivating a culture of responsibility—both among operators and tourists—is key to embedding sustainability into the operational DNA of the tourism sector.</w:t>
      </w:r>
    </w:p>
    <w:p w14:paraId="26776BC6" w14:textId="77777777" w:rsidR="00BD5533" w:rsidRPr="00252EA6" w:rsidRDefault="00BD5533" w:rsidP="00252EA6">
      <w:pPr>
        <w:pStyle w:val="Body"/>
        <w:spacing w:after="0"/>
        <w:rPr>
          <w:rFonts w:ascii="Arial" w:hAnsi="Arial" w:cs="Arial"/>
          <w:sz w:val="22"/>
          <w:szCs w:val="22"/>
          <w:lang w:val="en-PH"/>
        </w:rPr>
      </w:pPr>
    </w:p>
    <w:p w14:paraId="3E756B15" w14:textId="77777777" w:rsidR="00252EA6" w:rsidRDefault="00252EA6" w:rsidP="00252EA6">
      <w:pPr>
        <w:pStyle w:val="Body"/>
        <w:spacing w:after="0"/>
        <w:rPr>
          <w:rFonts w:ascii="Arial" w:hAnsi="Arial" w:cs="Arial"/>
          <w:sz w:val="22"/>
          <w:szCs w:val="22"/>
          <w:lang w:val="en-PH"/>
        </w:rPr>
      </w:pPr>
      <w:r w:rsidRPr="00252EA6">
        <w:rPr>
          <w:rFonts w:ascii="Arial" w:hAnsi="Arial" w:cs="Arial"/>
          <w:sz w:val="22"/>
          <w:szCs w:val="22"/>
          <w:lang w:val="en-PH"/>
        </w:rPr>
        <w:t xml:space="preserve">Lessons from successful models offer important insights. Urban destinations like Japan and Southeast Asian cities illustrate that robust policy, financial incentives, </w:t>
      </w:r>
      <w:r w:rsidRPr="00252EA6">
        <w:rPr>
          <w:rFonts w:ascii="Arial" w:hAnsi="Arial" w:cs="Arial"/>
          <w:sz w:val="22"/>
          <w:szCs w:val="22"/>
          <w:lang w:val="en-PH"/>
        </w:rPr>
        <w:lastRenderedPageBreak/>
        <w:t>public-private collaboration, and consumer demand can work synergistically to create thriving green tourism systems. Meanwhile, in rural and post-conflict areas, community-led efforts supported by NGOs and targeted state programs have demonstrated resilience and adaptability, offering scalable templates for inclusive, sustainable tourism. Belotti (2024) supports this by showcasing how community empowerment can simultaneously foster ecological conservation and economic revitalization.</w:t>
      </w:r>
    </w:p>
    <w:p w14:paraId="59A1B035" w14:textId="77777777" w:rsidR="00BD1D04" w:rsidRPr="00252EA6" w:rsidRDefault="00BD1D04" w:rsidP="00252EA6">
      <w:pPr>
        <w:pStyle w:val="Body"/>
        <w:spacing w:after="0"/>
        <w:rPr>
          <w:rFonts w:ascii="Arial" w:hAnsi="Arial" w:cs="Arial"/>
          <w:sz w:val="22"/>
          <w:szCs w:val="22"/>
          <w:lang w:val="en-PH"/>
        </w:rPr>
      </w:pPr>
    </w:p>
    <w:p w14:paraId="3999ED61" w14:textId="77777777" w:rsidR="00252EA6" w:rsidRDefault="00252EA6" w:rsidP="00252EA6">
      <w:pPr>
        <w:pStyle w:val="Body"/>
        <w:spacing w:after="0"/>
        <w:rPr>
          <w:rFonts w:ascii="Arial" w:hAnsi="Arial" w:cs="Arial"/>
          <w:sz w:val="22"/>
          <w:szCs w:val="22"/>
          <w:lang w:val="en-PH"/>
        </w:rPr>
      </w:pPr>
      <w:r w:rsidRPr="00252EA6">
        <w:rPr>
          <w:rFonts w:ascii="Arial" w:hAnsi="Arial" w:cs="Arial"/>
          <w:sz w:val="22"/>
          <w:szCs w:val="22"/>
          <w:lang w:val="en-PH"/>
        </w:rPr>
        <w:t>Finally, the case of Antarctica, as observed in this review, stands as a stark reminder of the cost of delayed environmental action. There, strict environmental regulations governing tourism demand exceptionally high operational costs, serving as a cautionary tale. Had sustainability been integrated earlier and more widely elsewhere, such costs might have been avoidable. This underscores the urgency of planting the seeds of sustainability now—before the economic and ecological costs become overwhelming. Proactive investment in green tourism today can prevent future business losses from climate-related disasters such as floods damaging urban resorts or storms disrupting rural infrastructure.</w:t>
      </w:r>
    </w:p>
    <w:p w14:paraId="3E006421" w14:textId="77777777" w:rsidR="006212FA" w:rsidRPr="00252EA6" w:rsidRDefault="006212FA" w:rsidP="00252EA6">
      <w:pPr>
        <w:pStyle w:val="Body"/>
        <w:spacing w:after="0"/>
        <w:rPr>
          <w:rFonts w:ascii="Arial" w:hAnsi="Arial" w:cs="Arial"/>
          <w:sz w:val="22"/>
          <w:szCs w:val="22"/>
          <w:lang w:val="en-PH"/>
        </w:rPr>
      </w:pPr>
    </w:p>
    <w:p w14:paraId="61347987" w14:textId="77777777" w:rsidR="00252EA6" w:rsidRPr="00252EA6" w:rsidRDefault="00252EA6" w:rsidP="00252EA6">
      <w:pPr>
        <w:pStyle w:val="Body"/>
        <w:spacing w:after="0"/>
        <w:rPr>
          <w:rFonts w:ascii="Arial" w:hAnsi="Arial" w:cs="Arial"/>
          <w:sz w:val="22"/>
          <w:szCs w:val="22"/>
          <w:lang w:val="en-PH"/>
        </w:rPr>
      </w:pPr>
      <w:r w:rsidRPr="00252EA6">
        <w:rPr>
          <w:rFonts w:ascii="Arial" w:hAnsi="Arial" w:cs="Arial"/>
          <w:sz w:val="22"/>
          <w:szCs w:val="22"/>
          <w:lang w:val="en-PH"/>
        </w:rPr>
        <w:t>In sum, this review underscores that green tourism is not merely a set of environmental actions—it is a comprehensive, context-sensitive business strategy. Resilience, profitability, and environmental integrity must be pursued together through coordinated efforts involving governance reform, financial innovation, knowledge sharing, and a shift in cultural mindset. Green tourism, when properly implemented, becomes not only a driver of sustainable development but a protector of the very ecosystems upon which the tourism industry—and humanity—depend.</w:t>
      </w:r>
    </w:p>
    <w:p w14:paraId="5487B9FD" w14:textId="77777777" w:rsidR="00790ADA" w:rsidRPr="00FB3A86" w:rsidRDefault="00790ADA" w:rsidP="00441B6F">
      <w:pPr>
        <w:pStyle w:val="Body"/>
        <w:spacing w:after="0"/>
        <w:rPr>
          <w:rFonts w:ascii="Arial" w:hAnsi="Arial" w:cs="Arial"/>
        </w:rPr>
      </w:pPr>
    </w:p>
    <w:p w14:paraId="75F6FD9E" w14:textId="77777777" w:rsidR="00B01FCD" w:rsidRDefault="00000F8F" w:rsidP="00441B6F">
      <w:pPr>
        <w:pStyle w:val="ConcHead"/>
        <w:spacing w:after="0"/>
        <w:jc w:val="both"/>
        <w:rPr>
          <w:rFonts w:ascii="Arial" w:hAnsi="Arial" w:cs="Arial"/>
        </w:rPr>
      </w:pPr>
      <w:r>
        <w:rPr>
          <w:rFonts w:ascii="Arial" w:hAnsi="Arial" w:cs="Arial"/>
        </w:rPr>
        <w:t xml:space="preserve">4. </w:t>
      </w:r>
      <w:commentRangeStart w:id="3"/>
      <w:r w:rsidR="00B01FCD" w:rsidRPr="00FB3A86">
        <w:rPr>
          <w:rFonts w:ascii="Arial" w:hAnsi="Arial" w:cs="Arial"/>
        </w:rPr>
        <w:t>Conclusion</w:t>
      </w:r>
      <w:commentRangeEnd w:id="3"/>
      <w:r w:rsidR="00FB2405">
        <w:rPr>
          <w:rStyle w:val="CommentReference"/>
          <w:rFonts w:ascii="Times New Roman" w:hAnsi="Times New Roman"/>
          <w:b w:val="0"/>
          <w:caps w:val="0"/>
          <w:lang w:val="nb-NO" w:eastAsia="nb-NO"/>
        </w:rPr>
        <w:commentReference w:id="3"/>
      </w:r>
    </w:p>
    <w:p w14:paraId="1F6C8705" w14:textId="77777777" w:rsidR="00790ADA" w:rsidRPr="00FB3A86" w:rsidRDefault="00790ADA" w:rsidP="00441B6F">
      <w:pPr>
        <w:pStyle w:val="ConcHead"/>
        <w:spacing w:after="0"/>
        <w:jc w:val="both"/>
        <w:rPr>
          <w:rFonts w:ascii="Arial" w:hAnsi="Arial" w:cs="Arial"/>
        </w:rPr>
      </w:pPr>
    </w:p>
    <w:p w14:paraId="2583682F" w14:textId="77777777" w:rsidR="007177C6" w:rsidRDefault="007177C6" w:rsidP="007177C6">
      <w:pPr>
        <w:pStyle w:val="Body"/>
        <w:spacing w:after="0"/>
        <w:rPr>
          <w:rFonts w:ascii="Arial" w:hAnsi="Arial" w:cs="Arial"/>
          <w:sz w:val="22"/>
          <w:szCs w:val="22"/>
          <w:lang w:val="en-PH"/>
        </w:rPr>
      </w:pPr>
      <w:r w:rsidRPr="007177C6">
        <w:rPr>
          <w:rFonts w:ascii="Arial" w:hAnsi="Arial" w:cs="Arial"/>
          <w:sz w:val="22"/>
          <w:szCs w:val="22"/>
          <w:lang w:val="en-PH"/>
        </w:rPr>
        <w:t>This study meticulously examined the implementation and challenges of green tourism within the global tourism industry, across diverse spatial contexts. The findings consistently revealed that while green tourism adoption is gaining traction, its effectiveness remains notably uneven, primarily due to persistent contextual barriers, weak policy enforcement, and insufficient integration into core business strategies. Nevertheless, this review unequivocally demonstrates that truly sustainable tourism is achievable when systemic alignment is fostered among all stakeholders.</w:t>
      </w:r>
    </w:p>
    <w:p w14:paraId="0C09065A" w14:textId="77777777" w:rsidR="00B333F5" w:rsidRPr="007177C6" w:rsidRDefault="00B333F5" w:rsidP="007177C6">
      <w:pPr>
        <w:pStyle w:val="Body"/>
        <w:spacing w:after="0"/>
        <w:rPr>
          <w:rFonts w:ascii="Arial" w:hAnsi="Arial" w:cs="Arial"/>
          <w:sz w:val="22"/>
          <w:szCs w:val="22"/>
          <w:lang w:val="en-PH"/>
        </w:rPr>
      </w:pPr>
    </w:p>
    <w:p w14:paraId="3D40A2E0" w14:textId="77777777" w:rsidR="007177C6" w:rsidRDefault="007177C6" w:rsidP="007177C6">
      <w:pPr>
        <w:pStyle w:val="Body"/>
        <w:spacing w:after="0"/>
        <w:rPr>
          <w:rFonts w:ascii="Arial" w:hAnsi="Arial" w:cs="Arial"/>
          <w:sz w:val="22"/>
          <w:szCs w:val="22"/>
          <w:lang w:val="en-PH"/>
        </w:rPr>
      </w:pPr>
      <w:r w:rsidRPr="007177C6">
        <w:rPr>
          <w:rFonts w:ascii="Arial" w:hAnsi="Arial" w:cs="Arial"/>
          <w:sz w:val="22"/>
          <w:szCs w:val="22"/>
          <w:lang w:val="en-PH"/>
        </w:rPr>
        <w:t>A fundamental takeaway is that green tourism transcends a mere environmental initiative; it is a profound multi-stakeholder responsibility demanding collective and coordinated effort. To this end, strategic recommendations emerge for each key actor:</w:t>
      </w:r>
    </w:p>
    <w:p w14:paraId="74CB6153" w14:textId="77777777" w:rsidR="00411EB4" w:rsidRPr="007177C6" w:rsidRDefault="00411EB4" w:rsidP="007177C6">
      <w:pPr>
        <w:pStyle w:val="Body"/>
        <w:spacing w:after="0"/>
        <w:rPr>
          <w:rFonts w:ascii="Arial" w:hAnsi="Arial" w:cs="Arial"/>
          <w:sz w:val="22"/>
          <w:szCs w:val="22"/>
          <w:lang w:val="en-PH"/>
        </w:rPr>
      </w:pPr>
    </w:p>
    <w:p w14:paraId="73B53002" w14:textId="77777777" w:rsidR="007177C6" w:rsidRDefault="007177C6" w:rsidP="00411EB4">
      <w:pPr>
        <w:pStyle w:val="Body"/>
        <w:spacing w:after="0"/>
        <w:rPr>
          <w:rFonts w:ascii="Arial" w:hAnsi="Arial" w:cs="Arial"/>
          <w:sz w:val="22"/>
          <w:szCs w:val="22"/>
          <w:lang w:val="en-PH"/>
        </w:rPr>
      </w:pPr>
      <w:r w:rsidRPr="007177C6">
        <w:rPr>
          <w:rFonts w:ascii="Arial" w:hAnsi="Arial" w:cs="Arial"/>
          <w:b/>
          <w:bCs/>
          <w:sz w:val="22"/>
          <w:szCs w:val="22"/>
          <w:lang w:val="en-PH"/>
        </w:rPr>
        <w:t>For Governments:</w:t>
      </w:r>
      <w:r w:rsidRPr="007177C6">
        <w:rPr>
          <w:rFonts w:ascii="Arial" w:hAnsi="Arial" w:cs="Arial"/>
          <w:sz w:val="22"/>
          <w:szCs w:val="22"/>
          <w:lang w:val="en-PH"/>
        </w:rPr>
        <w:t xml:space="preserve"> It is indispensable that governments proactively create enabling conditions. This includes establishing unified, robust regulatory frameworks, implementing rigorously enforceable eco-certification systems, and providing accessible green financing mechanisms (e.g., green bonds, sustainability-linked loans). Crucially, sustainability principles must be embedded into every stage of tourism development plans, particularly in post-conflict and rural zones, where early intervention offers a unique opportunity to shape resilient economies from the ground up, avoiding costly retrofits.</w:t>
      </w:r>
    </w:p>
    <w:p w14:paraId="06D4CE72" w14:textId="77777777" w:rsidR="00411EB4" w:rsidRPr="007177C6" w:rsidRDefault="00411EB4" w:rsidP="00411EB4">
      <w:pPr>
        <w:pStyle w:val="Body"/>
        <w:spacing w:after="0"/>
        <w:rPr>
          <w:rFonts w:ascii="Arial" w:hAnsi="Arial" w:cs="Arial"/>
          <w:sz w:val="22"/>
          <w:szCs w:val="22"/>
          <w:lang w:val="en-PH"/>
        </w:rPr>
      </w:pPr>
    </w:p>
    <w:p w14:paraId="6F6A78CD" w14:textId="77777777" w:rsidR="00411EB4" w:rsidRDefault="00411EB4" w:rsidP="00411EB4">
      <w:pPr>
        <w:pStyle w:val="Body"/>
        <w:spacing w:after="0"/>
        <w:rPr>
          <w:rFonts w:ascii="Arial" w:hAnsi="Arial" w:cs="Arial"/>
          <w:b/>
          <w:bCs/>
          <w:sz w:val="22"/>
          <w:szCs w:val="22"/>
          <w:lang w:val="en-PH"/>
        </w:rPr>
      </w:pPr>
    </w:p>
    <w:p w14:paraId="08FFA541" w14:textId="19BFD566" w:rsidR="007177C6" w:rsidRPr="007177C6" w:rsidRDefault="007177C6" w:rsidP="00411EB4">
      <w:pPr>
        <w:pStyle w:val="Body"/>
        <w:spacing w:after="0"/>
        <w:rPr>
          <w:rFonts w:ascii="Arial" w:hAnsi="Arial" w:cs="Arial"/>
          <w:sz w:val="22"/>
          <w:szCs w:val="22"/>
          <w:lang w:val="en-PH"/>
        </w:rPr>
      </w:pPr>
      <w:r w:rsidRPr="007177C6">
        <w:rPr>
          <w:rFonts w:ascii="Arial" w:hAnsi="Arial" w:cs="Arial"/>
          <w:b/>
          <w:bCs/>
          <w:sz w:val="22"/>
          <w:szCs w:val="22"/>
          <w:lang w:val="en-PH"/>
        </w:rPr>
        <w:t>For Tourism Businesses:</w:t>
      </w:r>
      <w:r w:rsidRPr="007177C6">
        <w:rPr>
          <w:rFonts w:ascii="Arial" w:hAnsi="Arial" w:cs="Arial"/>
          <w:sz w:val="22"/>
          <w:szCs w:val="22"/>
          <w:lang w:val="en-PH"/>
        </w:rPr>
        <w:t xml:space="preserve"> All tourism enterprises carry a strategic responsibility to adopt and model environmental responsibility. This mandates a genuine and deep integration of green practices into daily operations, from sustainable procurement and diligent energy conservation to prioritizing habitat protection and fostering customer education on responsible behaviors. Businesses must also recognize and capitalize on the competitive advantage inherent in green branding, appealing to the growing segment of eco-conscious travelers.</w:t>
      </w:r>
    </w:p>
    <w:p w14:paraId="2EBE0CD0" w14:textId="77777777" w:rsidR="00411EB4" w:rsidRDefault="00411EB4" w:rsidP="00411EB4">
      <w:pPr>
        <w:pStyle w:val="Body"/>
        <w:spacing w:after="0"/>
        <w:rPr>
          <w:rFonts w:ascii="Arial" w:hAnsi="Arial" w:cs="Arial"/>
          <w:b/>
          <w:bCs/>
          <w:sz w:val="22"/>
          <w:szCs w:val="22"/>
          <w:lang w:val="en-PH"/>
        </w:rPr>
      </w:pPr>
    </w:p>
    <w:p w14:paraId="52737113" w14:textId="5D98172D" w:rsidR="007177C6" w:rsidRDefault="007177C6" w:rsidP="00411EB4">
      <w:pPr>
        <w:pStyle w:val="Body"/>
        <w:spacing w:after="0"/>
        <w:rPr>
          <w:rFonts w:ascii="Arial" w:hAnsi="Arial" w:cs="Arial"/>
          <w:sz w:val="22"/>
          <w:szCs w:val="22"/>
          <w:lang w:val="en-PH"/>
        </w:rPr>
      </w:pPr>
      <w:r w:rsidRPr="007177C6">
        <w:rPr>
          <w:rFonts w:ascii="Arial" w:hAnsi="Arial" w:cs="Arial"/>
          <w:b/>
          <w:bCs/>
          <w:sz w:val="22"/>
          <w:szCs w:val="22"/>
          <w:lang w:val="en-PH"/>
        </w:rPr>
        <w:t>For Individuals and Local Communities:</w:t>
      </w:r>
      <w:r w:rsidRPr="007177C6">
        <w:rPr>
          <w:rFonts w:ascii="Arial" w:hAnsi="Arial" w:cs="Arial"/>
          <w:sz w:val="22"/>
          <w:szCs w:val="22"/>
          <w:lang w:val="en-PH"/>
        </w:rPr>
        <w:t xml:space="preserve"> As both hosts and discerning travelers, individuals and local communities must fully embrace green tourism values. Tourists hold a critical role by making informed, responsible travel decisions. Simultaneously, local communities should be empowered as primary environmental stewards. This can be significantly bolstered through targeted capacity-building programs, impactful environmental awareness campaigns, and the implementation of participatory governance models that elevate grassroots contributions to broader sustainability goals.</w:t>
      </w:r>
    </w:p>
    <w:p w14:paraId="7864642A" w14:textId="77777777" w:rsidR="00411EB4" w:rsidRPr="007177C6" w:rsidRDefault="00411EB4" w:rsidP="00411EB4">
      <w:pPr>
        <w:pStyle w:val="Body"/>
        <w:spacing w:after="0"/>
        <w:rPr>
          <w:rFonts w:ascii="Arial" w:hAnsi="Arial" w:cs="Arial"/>
          <w:sz w:val="22"/>
          <w:szCs w:val="22"/>
          <w:lang w:val="en-PH"/>
        </w:rPr>
      </w:pPr>
    </w:p>
    <w:p w14:paraId="31C5C42A" w14:textId="77777777" w:rsidR="007177C6" w:rsidRDefault="007177C6" w:rsidP="007177C6">
      <w:pPr>
        <w:pStyle w:val="Body"/>
        <w:spacing w:after="0"/>
        <w:rPr>
          <w:rFonts w:ascii="Arial" w:hAnsi="Arial" w:cs="Arial"/>
          <w:sz w:val="22"/>
          <w:szCs w:val="22"/>
          <w:lang w:val="en-PH"/>
        </w:rPr>
      </w:pPr>
      <w:r w:rsidRPr="007177C6">
        <w:rPr>
          <w:rFonts w:ascii="Arial" w:hAnsi="Arial" w:cs="Arial"/>
          <w:sz w:val="22"/>
          <w:szCs w:val="22"/>
          <w:lang w:val="en-PH"/>
        </w:rPr>
        <w:t>Ultimately, green tourism must be viewed not as a distant future aspiration, but as an immediate and pressing necessity. The exceptional regulatory costs observed in pristine ecosystems like Antarctica serve as a stark warning: proactive action today is far less costly than reactive measures tomorrow. The intensifying and undeniable effects of climate change—manifesting as scorching heatwaves, urban flooding, and infrastructure collapse—are not abstract threats but immediate, tangible risks to both human well-being and economic stability.</w:t>
      </w:r>
    </w:p>
    <w:p w14:paraId="0F1FE13C" w14:textId="77777777" w:rsidR="00411EB4" w:rsidRPr="007177C6" w:rsidRDefault="00411EB4" w:rsidP="007177C6">
      <w:pPr>
        <w:pStyle w:val="Body"/>
        <w:spacing w:after="0"/>
        <w:rPr>
          <w:rFonts w:ascii="Arial" w:hAnsi="Arial" w:cs="Arial"/>
          <w:sz w:val="22"/>
          <w:szCs w:val="22"/>
          <w:lang w:val="en-PH"/>
        </w:rPr>
      </w:pPr>
    </w:p>
    <w:p w14:paraId="0B034612" w14:textId="77777777" w:rsidR="007177C6" w:rsidRPr="007177C6" w:rsidRDefault="007177C6" w:rsidP="007177C6">
      <w:pPr>
        <w:pStyle w:val="Body"/>
        <w:spacing w:after="0"/>
        <w:rPr>
          <w:rFonts w:ascii="Arial" w:hAnsi="Arial" w:cs="Arial"/>
          <w:sz w:val="22"/>
          <w:szCs w:val="22"/>
          <w:lang w:val="en-PH"/>
        </w:rPr>
      </w:pPr>
      <w:r w:rsidRPr="007177C6">
        <w:rPr>
          <w:rFonts w:ascii="Arial" w:hAnsi="Arial" w:cs="Arial"/>
          <w:sz w:val="22"/>
          <w:szCs w:val="22"/>
          <w:lang w:val="en-PH"/>
        </w:rPr>
        <w:t>By wholeheartedly embracing green tourism now—through decisive and coordinated action by governments, businesses, and engaged citizens—the transformative power exists to ensure that the world’s most treasured natural and cultural destinations are not only preserved for future generations but are proactively positioned as beacons of sustainability, resilience, and shared prosperity. This collective commitment ensures that the tourism industry itself remains viable and vibrant, protecting the very natural wonders upon which it thrives, and securing a flourishing future for all.</w:t>
      </w:r>
    </w:p>
    <w:p w14:paraId="72F95466" w14:textId="77777777" w:rsidR="00790ADA" w:rsidRPr="00FB3A86" w:rsidRDefault="00790ADA" w:rsidP="00441B6F">
      <w:pPr>
        <w:pStyle w:val="Body"/>
        <w:spacing w:after="0"/>
        <w:rPr>
          <w:rFonts w:ascii="Arial" w:hAnsi="Arial" w:cs="Arial"/>
        </w:rPr>
      </w:pPr>
    </w:p>
    <w:p w14:paraId="4F9DA430" w14:textId="77777777" w:rsidR="002B685A" w:rsidRPr="001F65F4" w:rsidRDefault="002B685A" w:rsidP="00441B6F">
      <w:pPr>
        <w:pStyle w:val="ReferHead"/>
        <w:spacing w:after="0"/>
        <w:jc w:val="both"/>
        <w:rPr>
          <w:rFonts w:ascii="Arial" w:hAnsi="Arial" w:cs="Arial"/>
          <w:bCs/>
          <w:szCs w:val="22"/>
        </w:rPr>
      </w:pPr>
      <w:r w:rsidRPr="001F65F4">
        <w:rPr>
          <w:rFonts w:ascii="Arial" w:hAnsi="Arial" w:cs="Arial"/>
          <w:bCs/>
          <w:szCs w:val="22"/>
        </w:rPr>
        <w:t>Consent (where</w:t>
      </w:r>
      <w:r w:rsidR="007369E6" w:rsidRPr="001F65F4">
        <w:rPr>
          <w:rFonts w:ascii="Arial" w:hAnsi="Arial" w:cs="Arial"/>
          <w:bCs/>
          <w:szCs w:val="22"/>
        </w:rPr>
        <w:t xml:space="preserve"> </w:t>
      </w:r>
      <w:r w:rsidRPr="001F65F4">
        <w:rPr>
          <w:rFonts w:ascii="Arial" w:hAnsi="Arial" w:cs="Arial"/>
          <w:bCs/>
          <w:szCs w:val="22"/>
        </w:rPr>
        <w:t>ever applicable)</w:t>
      </w:r>
    </w:p>
    <w:p w14:paraId="21F43394" w14:textId="77777777" w:rsidR="005C784C" w:rsidRPr="001F65F4" w:rsidRDefault="005C784C" w:rsidP="00441B6F">
      <w:pPr>
        <w:pStyle w:val="ReferHead"/>
        <w:spacing w:after="0"/>
        <w:jc w:val="both"/>
        <w:rPr>
          <w:rFonts w:ascii="Arial" w:hAnsi="Arial" w:cs="Arial"/>
          <w:b w:val="0"/>
          <w:caps w:val="0"/>
          <w:szCs w:val="22"/>
        </w:rPr>
      </w:pPr>
    </w:p>
    <w:p w14:paraId="7A806DD4" w14:textId="5F7B3641" w:rsidR="00994049" w:rsidRPr="001F65F4" w:rsidRDefault="00994049" w:rsidP="00441B6F">
      <w:pPr>
        <w:pStyle w:val="ReferHead"/>
        <w:spacing w:after="0"/>
        <w:jc w:val="both"/>
        <w:rPr>
          <w:rFonts w:ascii="Arial" w:hAnsi="Arial" w:cs="Arial"/>
          <w:b w:val="0"/>
          <w:caps w:val="0"/>
          <w:szCs w:val="22"/>
        </w:rPr>
      </w:pPr>
      <w:r w:rsidRPr="001F65F4">
        <w:rPr>
          <w:rFonts w:ascii="Arial" w:hAnsi="Arial" w:cs="Arial"/>
          <w:b w:val="0"/>
          <w:caps w:val="0"/>
          <w:szCs w:val="22"/>
        </w:rPr>
        <w:t>Not Applicable.</w:t>
      </w:r>
    </w:p>
    <w:p w14:paraId="354F8CFE" w14:textId="77777777" w:rsidR="00994049" w:rsidRPr="001F65F4" w:rsidRDefault="00994049" w:rsidP="00441B6F">
      <w:pPr>
        <w:pStyle w:val="ReferHead"/>
        <w:spacing w:after="0"/>
        <w:jc w:val="both"/>
        <w:rPr>
          <w:rFonts w:ascii="Arial" w:hAnsi="Arial" w:cs="Arial"/>
          <w:b w:val="0"/>
          <w:caps w:val="0"/>
          <w:szCs w:val="22"/>
        </w:rPr>
      </w:pPr>
    </w:p>
    <w:p w14:paraId="04AE9C58" w14:textId="39B09A16" w:rsidR="00530A93" w:rsidRPr="001F65F4" w:rsidRDefault="005C784C" w:rsidP="00441B6F">
      <w:pPr>
        <w:pStyle w:val="ReferHead"/>
        <w:spacing w:after="0"/>
        <w:jc w:val="both"/>
        <w:rPr>
          <w:rFonts w:ascii="Arial" w:hAnsi="Arial" w:cs="Arial"/>
          <w:bCs/>
          <w:szCs w:val="22"/>
        </w:rPr>
      </w:pPr>
      <w:r w:rsidRPr="001F65F4">
        <w:rPr>
          <w:rFonts w:ascii="Arial" w:hAnsi="Arial" w:cs="Arial"/>
          <w:bCs/>
          <w:szCs w:val="22"/>
        </w:rPr>
        <w:t>Ethical approval (where</w:t>
      </w:r>
      <w:r w:rsidR="007369E6" w:rsidRPr="001F65F4">
        <w:rPr>
          <w:rFonts w:ascii="Arial" w:hAnsi="Arial" w:cs="Arial"/>
          <w:bCs/>
          <w:szCs w:val="22"/>
        </w:rPr>
        <w:t xml:space="preserve"> </w:t>
      </w:r>
      <w:r w:rsidRPr="001F65F4">
        <w:rPr>
          <w:rFonts w:ascii="Arial" w:hAnsi="Arial" w:cs="Arial"/>
          <w:bCs/>
          <w:szCs w:val="22"/>
        </w:rPr>
        <w:t>ever applicable)</w:t>
      </w:r>
    </w:p>
    <w:p w14:paraId="75B846A2" w14:textId="1E85CCF4" w:rsidR="00A86D49" w:rsidRPr="001F65F4" w:rsidRDefault="00A86D49" w:rsidP="00441B6F">
      <w:pPr>
        <w:pStyle w:val="ReferHead"/>
        <w:spacing w:after="0"/>
        <w:jc w:val="both"/>
        <w:rPr>
          <w:rFonts w:ascii="Arial" w:hAnsi="Arial" w:cs="Arial"/>
          <w:bCs/>
          <w:szCs w:val="22"/>
        </w:rPr>
      </w:pPr>
    </w:p>
    <w:p w14:paraId="2440CF5A" w14:textId="471407B9" w:rsidR="00994049" w:rsidRDefault="00994049" w:rsidP="00441B6F">
      <w:pPr>
        <w:pStyle w:val="ReferHead"/>
        <w:spacing w:after="0"/>
        <w:jc w:val="both"/>
        <w:rPr>
          <w:rFonts w:ascii="Arial" w:hAnsi="Arial" w:cs="Arial"/>
          <w:b w:val="0"/>
        </w:rPr>
      </w:pPr>
      <w:r>
        <w:rPr>
          <w:rFonts w:ascii="Arial" w:hAnsi="Arial" w:cs="Arial"/>
          <w:b w:val="0"/>
        </w:rPr>
        <w:t>Not applicable</w:t>
      </w:r>
    </w:p>
    <w:p w14:paraId="667913DB" w14:textId="4DFB959E" w:rsidR="00530A93" w:rsidRDefault="00530A93" w:rsidP="00441B6F">
      <w:pPr>
        <w:pStyle w:val="ReferHead"/>
        <w:spacing w:after="0"/>
        <w:jc w:val="both"/>
        <w:rPr>
          <w:rFonts w:ascii="Arial" w:hAnsi="Arial" w:cs="Arial"/>
          <w:b w:val="0"/>
        </w:rPr>
      </w:pPr>
    </w:p>
    <w:p w14:paraId="47A7BF2A" w14:textId="095D9643" w:rsidR="00530A93" w:rsidRDefault="00530A93" w:rsidP="00441B6F">
      <w:pPr>
        <w:pStyle w:val="ReferHead"/>
        <w:spacing w:after="0"/>
        <w:jc w:val="both"/>
        <w:rPr>
          <w:rFonts w:ascii="Arial" w:hAnsi="Arial" w:cs="Arial"/>
          <w:b w:val="0"/>
        </w:rPr>
      </w:pPr>
    </w:p>
    <w:p w14:paraId="665A404F" w14:textId="2F620AD7" w:rsidR="00530A93" w:rsidRDefault="00530A93" w:rsidP="00441B6F">
      <w:pPr>
        <w:pStyle w:val="ReferHead"/>
        <w:spacing w:after="0"/>
        <w:jc w:val="both"/>
        <w:rPr>
          <w:rFonts w:ascii="Arial" w:hAnsi="Arial" w:cs="Arial"/>
          <w:b w:val="0"/>
        </w:rPr>
      </w:pPr>
    </w:p>
    <w:p w14:paraId="5F46A269" w14:textId="33D17AD9" w:rsidR="00530A93" w:rsidRDefault="00530A93" w:rsidP="00441B6F">
      <w:pPr>
        <w:pStyle w:val="ReferHead"/>
        <w:spacing w:after="0"/>
        <w:jc w:val="both"/>
        <w:rPr>
          <w:rFonts w:ascii="Arial" w:hAnsi="Arial" w:cs="Arial"/>
          <w:b w:val="0"/>
        </w:rPr>
      </w:pPr>
    </w:p>
    <w:p w14:paraId="0662B578" w14:textId="13D87FE2" w:rsidR="00530A93" w:rsidRDefault="00530A93" w:rsidP="00441B6F">
      <w:pPr>
        <w:pStyle w:val="ReferHead"/>
        <w:spacing w:after="0"/>
        <w:jc w:val="both"/>
        <w:rPr>
          <w:rFonts w:ascii="Arial" w:hAnsi="Arial" w:cs="Arial"/>
          <w:b w:val="0"/>
        </w:rPr>
      </w:pPr>
    </w:p>
    <w:p w14:paraId="73AEB8EC" w14:textId="10F91BF1" w:rsidR="00530A93" w:rsidRDefault="00530A93" w:rsidP="00441B6F">
      <w:pPr>
        <w:pStyle w:val="ReferHead"/>
        <w:spacing w:after="0"/>
        <w:jc w:val="both"/>
        <w:rPr>
          <w:rFonts w:ascii="Arial" w:hAnsi="Arial" w:cs="Arial"/>
          <w:b w:val="0"/>
        </w:rPr>
      </w:pPr>
    </w:p>
    <w:p w14:paraId="23B06184" w14:textId="629237D5" w:rsidR="00530A93" w:rsidRPr="00530A93" w:rsidRDefault="00530A93" w:rsidP="00530A93">
      <w:pPr>
        <w:spacing w:after="200" w:line="276" w:lineRule="auto"/>
        <w:rPr>
          <w:rFonts w:ascii="Calibri" w:eastAsia="Calibri" w:hAnsi="Calibri"/>
          <w:kern w:val="2"/>
          <w:sz w:val="22"/>
          <w:szCs w:val="22"/>
          <w:highlight w:val="yellow"/>
          <w14:ligatures w14:val="standardContextual"/>
        </w:rPr>
      </w:pPr>
      <w:bookmarkStart w:id="4" w:name="_Hlk193540946"/>
      <w:bookmarkStart w:id="5" w:name="_Hlk183680988"/>
      <w:bookmarkStart w:id="6" w:name="_Hlk180402183"/>
      <w:bookmarkStart w:id="7" w:name="_Hlk197173371"/>
      <w:bookmarkStart w:id="8" w:name="_Hlk192511329"/>
      <w:r w:rsidRPr="00530A93">
        <w:rPr>
          <w:rFonts w:ascii="Calibri" w:eastAsia="Calibri" w:hAnsi="Calibri"/>
          <w:kern w:val="2"/>
          <w:sz w:val="22"/>
          <w:szCs w:val="22"/>
          <w:highlight w:val="yellow"/>
          <w14:ligatures w14:val="standardContextual"/>
        </w:rPr>
        <w:t>Disclaimer (Artificial intelligence)</w:t>
      </w:r>
      <w:r w:rsidR="00FA26A7">
        <w:rPr>
          <w:rFonts w:ascii="Calibri" w:eastAsia="Calibri" w:hAnsi="Calibri"/>
          <w:kern w:val="2"/>
          <w:sz w:val="22"/>
          <w:szCs w:val="22"/>
          <w:highlight w:val="yellow"/>
          <w14:ligatures w14:val="standardContextual"/>
        </w:rPr>
        <w:t xml:space="preserve"> –</w:t>
      </w:r>
      <w:r w:rsidR="00000EBD">
        <w:rPr>
          <w:rFonts w:ascii="Calibri" w:eastAsia="Calibri" w:hAnsi="Calibri"/>
          <w:kern w:val="2"/>
          <w:sz w:val="22"/>
          <w:szCs w:val="22"/>
          <w:highlight w:val="yellow"/>
          <w14:ligatures w14:val="standardContextual"/>
        </w:rPr>
        <w:t>P</w:t>
      </w:r>
      <w:r w:rsidR="00AB2639">
        <w:rPr>
          <w:rFonts w:ascii="Calibri" w:eastAsia="Calibri" w:hAnsi="Calibri"/>
          <w:kern w:val="2"/>
          <w:sz w:val="22"/>
          <w:szCs w:val="22"/>
          <w:highlight w:val="yellow"/>
          <w14:ligatures w14:val="standardContextual"/>
        </w:rPr>
        <w:t>lease see answer on the option 2</w:t>
      </w:r>
    </w:p>
    <w:p w14:paraId="4099C1A5" w14:textId="77777777" w:rsidR="00530A93" w:rsidRPr="00530A93" w:rsidRDefault="00530A93" w:rsidP="00530A93">
      <w:pPr>
        <w:spacing w:after="200" w:line="276" w:lineRule="auto"/>
        <w:rPr>
          <w:rFonts w:ascii="Calibri" w:eastAsia="Calibri" w:hAnsi="Calibri"/>
          <w:kern w:val="2"/>
          <w:sz w:val="22"/>
          <w:szCs w:val="22"/>
          <w:highlight w:val="yellow"/>
          <w14:ligatures w14:val="standardContextual"/>
        </w:rPr>
      </w:pPr>
      <w:r w:rsidRPr="00530A93">
        <w:rPr>
          <w:rFonts w:ascii="Calibri" w:eastAsia="Calibri" w:hAnsi="Calibri"/>
          <w:kern w:val="2"/>
          <w:sz w:val="22"/>
          <w:szCs w:val="22"/>
          <w:highlight w:val="yellow"/>
          <w14:ligatures w14:val="standardContextual"/>
        </w:rPr>
        <w:lastRenderedPageBreak/>
        <w:t xml:space="preserve">Option 1: </w:t>
      </w:r>
    </w:p>
    <w:p w14:paraId="65A6B5B9" w14:textId="77777777" w:rsidR="00530A93" w:rsidRPr="00530A93" w:rsidRDefault="00530A93" w:rsidP="00530A93">
      <w:pPr>
        <w:spacing w:after="200" w:line="276" w:lineRule="auto"/>
        <w:rPr>
          <w:rFonts w:ascii="Calibri" w:eastAsia="Calibri" w:hAnsi="Calibri"/>
          <w:kern w:val="2"/>
          <w:sz w:val="22"/>
          <w:szCs w:val="22"/>
          <w:highlight w:val="yellow"/>
          <w14:ligatures w14:val="standardContextual"/>
        </w:rPr>
      </w:pPr>
      <w:r w:rsidRPr="00530A93">
        <w:rPr>
          <w:rFonts w:ascii="Calibri" w:eastAsia="Calibri" w:hAnsi="Calibri"/>
          <w:kern w:val="2"/>
          <w:sz w:val="22"/>
          <w:szCs w:val="2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479671CB" w14:textId="60C626EA" w:rsidR="00530A93" w:rsidRPr="00530A93" w:rsidRDefault="00530A93" w:rsidP="00530A93">
      <w:pPr>
        <w:spacing w:after="200" w:line="276" w:lineRule="auto"/>
        <w:rPr>
          <w:rFonts w:ascii="Calibri" w:eastAsia="Calibri" w:hAnsi="Calibri"/>
          <w:kern w:val="2"/>
          <w:sz w:val="22"/>
          <w:szCs w:val="22"/>
          <w:highlight w:val="yellow"/>
          <w14:ligatures w14:val="standardContextual"/>
        </w:rPr>
      </w:pPr>
      <w:r w:rsidRPr="00530A93">
        <w:rPr>
          <w:rFonts w:ascii="Calibri" w:eastAsia="Calibri" w:hAnsi="Calibri"/>
          <w:kern w:val="2"/>
          <w:sz w:val="22"/>
          <w:szCs w:val="22"/>
          <w:highlight w:val="yellow"/>
          <w14:ligatures w14:val="standardContextual"/>
        </w:rPr>
        <w:t xml:space="preserve">Option 2: </w:t>
      </w:r>
      <w:r w:rsidR="004653B3" w:rsidRPr="004653B3">
        <w:rPr>
          <w:rFonts w:ascii="Calibri" w:eastAsia="Calibri" w:hAnsi="Calibri"/>
          <w:b/>
          <w:bCs/>
          <w:kern w:val="2"/>
          <w:sz w:val="22"/>
          <w:szCs w:val="22"/>
          <w:highlight w:val="yellow"/>
          <w14:ligatures w14:val="standardContextual"/>
        </w:rPr>
        <w:t>Source:</w:t>
      </w:r>
      <w:r w:rsidR="004653B3" w:rsidRPr="004653B3">
        <w:rPr>
          <w:rFonts w:ascii="Calibri" w:eastAsia="Calibri" w:hAnsi="Calibri"/>
          <w:kern w:val="2"/>
          <w:sz w:val="22"/>
          <w:szCs w:val="22"/>
          <w:highlight w:val="yellow"/>
          <w14:ligatures w14:val="standardContextual"/>
        </w:rPr>
        <w:t xml:space="preserve"> Google (</w:t>
      </w:r>
      <w:hyperlink r:id="rId18" w:tgtFrame="_blank" w:history="1">
        <w:r w:rsidR="004653B3" w:rsidRPr="004653B3">
          <w:rPr>
            <w:rStyle w:val="Hyperlink"/>
            <w:rFonts w:ascii="Calibri" w:eastAsia="Calibri" w:hAnsi="Calibri"/>
            <w:kern w:val="2"/>
            <w:sz w:val="22"/>
            <w:szCs w:val="22"/>
            <w:highlight w:val="yellow"/>
            <w14:ligatures w14:val="standardContextual"/>
          </w:rPr>
          <w:t>https://gemini.google.com/</w:t>
        </w:r>
      </w:hyperlink>
      <w:r w:rsidR="004653B3" w:rsidRPr="004653B3">
        <w:rPr>
          <w:rFonts w:ascii="Calibri" w:eastAsia="Calibri" w:hAnsi="Calibri"/>
          <w:kern w:val="2"/>
          <w:sz w:val="22"/>
          <w:szCs w:val="22"/>
          <w:highlight w:val="yellow"/>
          <w14:ligatures w14:val="standardContextual"/>
        </w:rPr>
        <w:t>)</w:t>
      </w:r>
    </w:p>
    <w:p w14:paraId="71984EB0" w14:textId="77777777" w:rsidR="00530A93" w:rsidRPr="00530A93" w:rsidRDefault="00530A93" w:rsidP="00530A93">
      <w:pPr>
        <w:spacing w:after="200" w:line="276" w:lineRule="auto"/>
        <w:rPr>
          <w:rFonts w:ascii="Calibri" w:eastAsia="Calibri" w:hAnsi="Calibri"/>
          <w:kern w:val="2"/>
          <w:sz w:val="22"/>
          <w:szCs w:val="22"/>
          <w:highlight w:val="yellow"/>
          <w14:ligatures w14:val="standardContextual"/>
        </w:rPr>
      </w:pPr>
      <w:r w:rsidRPr="00530A93">
        <w:rPr>
          <w:rFonts w:ascii="Calibri" w:eastAsia="Calibri" w:hAnsi="Calibri"/>
          <w:kern w:val="2"/>
          <w:sz w:val="22"/>
          <w:szCs w:val="22"/>
          <w:highlight w:val="yellow"/>
          <w14:ligatures w14:val="standardContextual"/>
        </w:rPr>
        <w:t xml:space="preserve">Author(s) hereby </w:t>
      </w:r>
      <w:proofErr w:type="gramStart"/>
      <w:r w:rsidRPr="00530A93">
        <w:rPr>
          <w:rFonts w:ascii="Calibri" w:eastAsia="Calibri" w:hAnsi="Calibri"/>
          <w:kern w:val="2"/>
          <w:sz w:val="22"/>
          <w:szCs w:val="22"/>
          <w:highlight w:val="yellow"/>
          <w14:ligatures w14:val="standardContextual"/>
        </w:rPr>
        <w:t>declare</w:t>
      </w:r>
      <w:proofErr w:type="gramEnd"/>
      <w:r w:rsidRPr="00530A93">
        <w:rPr>
          <w:rFonts w:ascii="Calibri" w:eastAsia="Calibri" w:hAnsi="Calibri"/>
          <w:kern w:val="2"/>
          <w:sz w:val="22"/>
          <w:szCs w:val="22"/>
          <w:highlight w:val="yellow"/>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bookmarkEnd w:id="4"/>
    <w:p w14:paraId="260EDA64" w14:textId="77777777" w:rsidR="00C06CBF" w:rsidRPr="00C06CBF" w:rsidRDefault="00C06CBF" w:rsidP="00C06CBF">
      <w:pPr>
        <w:spacing w:after="200" w:line="276" w:lineRule="auto"/>
        <w:rPr>
          <w:rFonts w:ascii="Calibri" w:eastAsia="Calibri" w:hAnsi="Calibri"/>
          <w:kern w:val="2"/>
          <w:sz w:val="22"/>
          <w:szCs w:val="22"/>
          <w:highlight w:val="yellow"/>
          <w:lang w:val="en-PH"/>
          <w14:ligatures w14:val="standardContextual"/>
        </w:rPr>
      </w:pPr>
      <w:r w:rsidRPr="00C06CBF">
        <w:rPr>
          <w:rFonts w:ascii="Calibri" w:eastAsia="Calibri" w:hAnsi="Calibri"/>
          <w:b/>
          <w:bCs/>
          <w:kern w:val="2"/>
          <w:sz w:val="22"/>
          <w:szCs w:val="22"/>
          <w:highlight w:val="yellow"/>
          <w:lang w:val="en-PH"/>
          <w14:ligatures w14:val="standardContextual"/>
        </w:rPr>
        <w:t>Details of the AI usage are given below:</w:t>
      </w:r>
    </w:p>
    <w:p w14:paraId="22DCF13E" w14:textId="77777777" w:rsidR="00C06CBF" w:rsidRPr="00C06CBF" w:rsidRDefault="00C06CBF" w:rsidP="00C06CBF">
      <w:pPr>
        <w:numPr>
          <w:ilvl w:val="0"/>
          <w:numId w:val="36"/>
        </w:numPr>
        <w:spacing w:after="200" w:line="276" w:lineRule="auto"/>
        <w:rPr>
          <w:rFonts w:ascii="Calibri" w:eastAsia="Calibri" w:hAnsi="Calibri"/>
          <w:kern w:val="2"/>
          <w:sz w:val="22"/>
          <w:szCs w:val="22"/>
          <w:highlight w:val="yellow"/>
          <w:lang w:val="en-PH"/>
          <w14:ligatures w14:val="standardContextual"/>
        </w:rPr>
      </w:pPr>
      <w:r w:rsidRPr="00C06CBF">
        <w:rPr>
          <w:rFonts w:ascii="Calibri" w:eastAsia="Calibri" w:hAnsi="Calibri"/>
          <w:b/>
          <w:bCs/>
          <w:kern w:val="2"/>
          <w:sz w:val="22"/>
          <w:szCs w:val="22"/>
          <w:highlight w:val="yellow"/>
          <w:lang w:val="en-PH"/>
          <w14:ligatures w14:val="standardContextual"/>
        </w:rPr>
        <w:t>AI Technology Used:</w:t>
      </w:r>
      <w:r w:rsidRPr="00C06CBF">
        <w:rPr>
          <w:rFonts w:ascii="Calibri" w:eastAsia="Calibri" w:hAnsi="Calibri"/>
          <w:kern w:val="2"/>
          <w:sz w:val="22"/>
          <w:szCs w:val="22"/>
          <w:highlight w:val="yellow"/>
          <w:lang w:val="en-PH"/>
          <w14:ligatures w14:val="standardContextual"/>
        </w:rPr>
        <w:t xml:space="preserve"> Google Gemini (Large Language Model)</w:t>
      </w:r>
    </w:p>
    <w:p w14:paraId="111F92DF" w14:textId="734449F8" w:rsidR="00C06CBF" w:rsidRPr="00C06CBF" w:rsidRDefault="00C06CBF" w:rsidP="00E42E22">
      <w:pPr>
        <w:numPr>
          <w:ilvl w:val="1"/>
          <w:numId w:val="37"/>
        </w:numPr>
        <w:spacing w:after="200" w:line="276" w:lineRule="auto"/>
        <w:rPr>
          <w:rFonts w:ascii="Calibri" w:eastAsia="Calibri" w:hAnsi="Calibri"/>
          <w:kern w:val="2"/>
          <w:sz w:val="22"/>
          <w:szCs w:val="22"/>
          <w:highlight w:val="yellow"/>
          <w:lang w:val="en-PH"/>
          <w14:ligatures w14:val="standardContextual"/>
        </w:rPr>
      </w:pPr>
      <w:r w:rsidRPr="00C06CBF">
        <w:rPr>
          <w:rFonts w:ascii="Calibri" w:eastAsia="Calibri" w:hAnsi="Calibri"/>
          <w:b/>
          <w:bCs/>
          <w:kern w:val="2"/>
          <w:sz w:val="22"/>
          <w:szCs w:val="22"/>
          <w:highlight w:val="yellow"/>
          <w:lang w:val="en-PH"/>
          <w14:ligatures w14:val="standardContextual"/>
        </w:rPr>
        <w:t>Version/Model:</w:t>
      </w:r>
      <w:r w:rsidRPr="00C06CBF">
        <w:rPr>
          <w:rFonts w:ascii="Calibri" w:eastAsia="Calibri" w:hAnsi="Calibri"/>
          <w:kern w:val="2"/>
          <w:sz w:val="22"/>
          <w:szCs w:val="22"/>
          <w:highlight w:val="yellow"/>
          <w:lang w:val="en-PH"/>
          <w14:ligatures w14:val="standardContextual"/>
        </w:rPr>
        <w:t xml:space="preserve"> </w:t>
      </w:r>
      <w:r w:rsidR="0035557F">
        <w:rPr>
          <w:rFonts w:ascii="Calibri" w:eastAsia="Calibri" w:hAnsi="Calibri"/>
          <w:kern w:val="2"/>
          <w:sz w:val="22"/>
          <w:szCs w:val="22"/>
          <w:highlight w:val="yellow"/>
          <w:lang w:val="en-PH"/>
          <w14:ligatures w14:val="standardContextual"/>
        </w:rPr>
        <w:t>Gemini 2.5</w:t>
      </w:r>
      <w:r w:rsidRPr="00C06CBF">
        <w:rPr>
          <w:rFonts w:ascii="Calibri" w:eastAsia="Calibri" w:hAnsi="Calibri"/>
          <w:kern w:val="2"/>
          <w:sz w:val="22"/>
          <w:szCs w:val="22"/>
          <w:highlight w:val="yellow"/>
          <w:lang w:val="en-PH"/>
          <w14:ligatures w14:val="standardContextual"/>
        </w:rPr>
        <w:t xml:space="preserve"> </w:t>
      </w:r>
    </w:p>
    <w:p w14:paraId="03522319" w14:textId="77777777" w:rsidR="00C06CBF" w:rsidRPr="00C06CBF" w:rsidRDefault="00C06CBF" w:rsidP="00E42E22">
      <w:pPr>
        <w:numPr>
          <w:ilvl w:val="1"/>
          <w:numId w:val="37"/>
        </w:numPr>
        <w:spacing w:after="200" w:line="276" w:lineRule="auto"/>
        <w:rPr>
          <w:rFonts w:ascii="Calibri" w:eastAsia="Calibri" w:hAnsi="Calibri"/>
          <w:kern w:val="2"/>
          <w:sz w:val="22"/>
          <w:szCs w:val="22"/>
          <w:highlight w:val="yellow"/>
          <w:lang w:val="en-PH"/>
          <w14:ligatures w14:val="standardContextual"/>
        </w:rPr>
      </w:pPr>
      <w:r w:rsidRPr="00C06CBF">
        <w:rPr>
          <w:rFonts w:ascii="Calibri" w:eastAsia="Calibri" w:hAnsi="Calibri"/>
          <w:b/>
          <w:bCs/>
          <w:kern w:val="2"/>
          <w:sz w:val="22"/>
          <w:szCs w:val="22"/>
          <w:highlight w:val="yellow"/>
          <w:lang w:val="en-PH"/>
          <w14:ligatures w14:val="standardContextual"/>
        </w:rPr>
        <w:t>Source:</w:t>
      </w:r>
      <w:r w:rsidRPr="00C06CBF">
        <w:rPr>
          <w:rFonts w:ascii="Calibri" w:eastAsia="Calibri" w:hAnsi="Calibri"/>
          <w:kern w:val="2"/>
          <w:sz w:val="22"/>
          <w:szCs w:val="22"/>
          <w:highlight w:val="yellow"/>
          <w:lang w:val="en-PH"/>
          <w14:ligatures w14:val="standardContextual"/>
        </w:rPr>
        <w:t xml:space="preserve"> Google (</w:t>
      </w:r>
      <w:hyperlink r:id="rId19" w:tgtFrame="_blank" w:history="1">
        <w:r w:rsidRPr="00C06CBF">
          <w:rPr>
            <w:rStyle w:val="Hyperlink"/>
            <w:rFonts w:ascii="Calibri" w:eastAsia="Calibri" w:hAnsi="Calibri"/>
            <w:kern w:val="2"/>
            <w:sz w:val="22"/>
            <w:szCs w:val="22"/>
            <w:highlight w:val="yellow"/>
            <w:lang w:val="en-PH"/>
            <w14:ligatures w14:val="standardContextual"/>
          </w:rPr>
          <w:t>https://gemini.google.com/</w:t>
        </w:r>
      </w:hyperlink>
      <w:r w:rsidRPr="00C06CBF">
        <w:rPr>
          <w:rFonts w:ascii="Calibri" w:eastAsia="Calibri" w:hAnsi="Calibri"/>
          <w:kern w:val="2"/>
          <w:sz w:val="22"/>
          <w:szCs w:val="22"/>
          <w:highlight w:val="yellow"/>
          <w:lang w:val="en-PH"/>
          <w14:ligatures w14:val="standardContextual"/>
        </w:rPr>
        <w:t>)</w:t>
      </w:r>
    </w:p>
    <w:p w14:paraId="01191E66" w14:textId="77777777" w:rsidR="00C06CBF" w:rsidRPr="00C06CBF" w:rsidRDefault="00C06CBF" w:rsidP="00E42E22">
      <w:pPr>
        <w:numPr>
          <w:ilvl w:val="1"/>
          <w:numId w:val="37"/>
        </w:numPr>
        <w:spacing w:after="200" w:line="276" w:lineRule="auto"/>
        <w:rPr>
          <w:rFonts w:ascii="Calibri" w:eastAsia="Calibri" w:hAnsi="Calibri"/>
          <w:kern w:val="2"/>
          <w:sz w:val="22"/>
          <w:szCs w:val="22"/>
          <w:highlight w:val="yellow"/>
          <w:lang w:val="en-PH"/>
          <w14:ligatures w14:val="standardContextual"/>
        </w:rPr>
      </w:pPr>
      <w:r w:rsidRPr="00C06CBF">
        <w:rPr>
          <w:rFonts w:ascii="Calibri" w:eastAsia="Calibri" w:hAnsi="Calibri"/>
          <w:b/>
          <w:bCs/>
          <w:kern w:val="2"/>
          <w:sz w:val="22"/>
          <w:szCs w:val="22"/>
          <w:highlight w:val="yellow"/>
          <w:lang w:val="en-PH"/>
          <w14:ligatures w14:val="standardContextual"/>
        </w:rPr>
        <w:t>Purpose of Use:</w:t>
      </w:r>
      <w:r w:rsidRPr="00C06CBF">
        <w:rPr>
          <w:rFonts w:ascii="Calibri" w:eastAsia="Calibri" w:hAnsi="Calibri"/>
          <w:kern w:val="2"/>
          <w:sz w:val="22"/>
          <w:szCs w:val="22"/>
          <w:highlight w:val="yellow"/>
          <w:lang w:val="en-PH"/>
          <w14:ligatures w14:val="standardContextual"/>
        </w:rPr>
        <w:t xml:space="preserve"> Grammar organization, sentence structure improvement, conciseness suggestions, and as a discussion partner to refine and clarify ideas and ensure logical coherence of human-generated arguments.</w:t>
      </w:r>
    </w:p>
    <w:p w14:paraId="3BAFD7E5" w14:textId="4C0AB6A8" w:rsidR="00C06CBF" w:rsidRPr="00C06CBF" w:rsidRDefault="00C06CBF" w:rsidP="00E42E22">
      <w:pPr>
        <w:numPr>
          <w:ilvl w:val="1"/>
          <w:numId w:val="37"/>
        </w:numPr>
        <w:spacing w:after="200" w:line="276" w:lineRule="auto"/>
        <w:rPr>
          <w:rFonts w:ascii="Calibri" w:eastAsia="Calibri" w:hAnsi="Calibri"/>
          <w:kern w:val="2"/>
          <w:sz w:val="22"/>
          <w:szCs w:val="22"/>
          <w:highlight w:val="yellow"/>
          <w:lang w:val="en-PH"/>
          <w14:ligatures w14:val="standardContextual"/>
        </w:rPr>
      </w:pPr>
      <w:r w:rsidRPr="00C06CBF">
        <w:rPr>
          <w:rFonts w:ascii="Calibri" w:eastAsia="Calibri" w:hAnsi="Calibri"/>
          <w:b/>
          <w:bCs/>
          <w:kern w:val="2"/>
          <w:sz w:val="22"/>
          <w:szCs w:val="22"/>
          <w:highlight w:val="yellow"/>
          <w:lang w:val="en-PH"/>
          <w14:ligatures w14:val="standardContextual"/>
        </w:rPr>
        <w:t>Input Prompt):</w:t>
      </w:r>
      <w:r w:rsidRPr="00C06CBF">
        <w:rPr>
          <w:rFonts w:ascii="Calibri" w:eastAsia="Calibri" w:hAnsi="Calibri"/>
          <w:kern w:val="2"/>
          <w:sz w:val="22"/>
          <w:szCs w:val="22"/>
          <w:highlight w:val="yellow"/>
          <w:lang w:val="en-PH"/>
          <w14:ligatures w14:val="standardContextual"/>
        </w:rPr>
        <w:t xml:space="preserve"> </w:t>
      </w:r>
    </w:p>
    <w:p w14:paraId="63FA3670" w14:textId="5F1F553A" w:rsidR="00C06CBF" w:rsidRPr="00C06CBF" w:rsidRDefault="00C06CBF" w:rsidP="00135611">
      <w:pPr>
        <w:numPr>
          <w:ilvl w:val="2"/>
          <w:numId w:val="37"/>
        </w:numPr>
        <w:spacing w:line="276" w:lineRule="auto"/>
        <w:rPr>
          <w:rFonts w:ascii="Calibri" w:eastAsia="Calibri" w:hAnsi="Calibri"/>
          <w:kern w:val="2"/>
          <w:sz w:val="22"/>
          <w:szCs w:val="22"/>
          <w:highlight w:val="yellow"/>
          <w:lang w:val="en-PH"/>
          <w14:ligatures w14:val="standardContextual"/>
        </w:rPr>
      </w:pPr>
      <w:r w:rsidRPr="00C06CBF">
        <w:rPr>
          <w:rFonts w:ascii="Calibri" w:eastAsia="Calibri" w:hAnsi="Calibri"/>
          <w:kern w:val="2"/>
          <w:sz w:val="22"/>
          <w:szCs w:val="22"/>
          <w:highlight w:val="yellow"/>
          <w:lang w:val="en-PH"/>
          <w14:ligatures w14:val="standardContextual"/>
        </w:rPr>
        <w:t>Check the grammar and punctuation in this paragraph</w:t>
      </w:r>
    </w:p>
    <w:p w14:paraId="11075403" w14:textId="7DCBC3B4" w:rsidR="00C06CBF" w:rsidRPr="00C06CBF" w:rsidRDefault="00C06CBF" w:rsidP="00135611">
      <w:pPr>
        <w:numPr>
          <w:ilvl w:val="2"/>
          <w:numId w:val="37"/>
        </w:numPr>
        <w:spacing w:line="276" w:lineRule="auto"/>
        <w:rPr>
          <w:rFonts w:ascii="Calibri" w:eastAsia="Calibri" w:hAnsi="Calibri"/>
          <w:kern w:val="2"/>
          <w:sz w:val="22"/>
          <w:szCs w:val="22"/>
          <w:highlight w:val="yellow"/>
          <w:lang w:val="en-PH"/>
          <w14:ligatures w14:val="standardContextual"/>
        </w:rPr>
      </w:pPr>
      <w:r w:rsidRPr="00C06CBF">
        <w:rPr>
          <w:rFonts w:ascii="Calibri" w:eastAsia="Calibri" w:hAnsi="Calibri"/>
          <w:kern w:val="2"/>
          <w:sz w:val="22"/>
          <w:szCs w:val="22"/>
          <w:highlight w:val="yellow"/>
          <w:lang w:val="en-PH"/>
          <w14:ligatures w14:val="standardContextual"/>
        </w:rPr>
        <w:t>Please rephrase this sentence for better clarity and conciseness</w:t>
      </w:r>
    </w:p>
    <w:p w14:paraId="612EAB17" w14:textId="5D6F5E17" w:rsidR="00C06CBF" w:rsidRPr="00C06CBF" w:rsidRDefault="00C06CBF" w:rsidP="00135611">
      <w:pPr>
        <w:numPr>
          <w:ilvl w:val="2"/>
          <w:numId w:val="37"/>
        </w:numPr>
        <w:spacing w:line="276" w:lineRule="auto"/>
        <w:rPr>
          <w:rFonts w:ascii="Calibri" w:eastAsia="Calibri" w:hAnsi="Calibri"/>
          <w:kern w:val="2"/>
          <w:sz w:val="22"/>
          <w:szCs w:val="22"/>
          <w:highlight w:val="yellow"/>
          <w:lang w:val="en-PH"/>
          <w14:ligatures w14:val="standardContextual"/>
        </w:rPr>
      </w:pPr>
      <w:r w:rsidRPr="00C06CBF">
        <w:rPr>
          <w:rFonts w:ascii="Calibri" w:eastAsia="Calibri" w:hAnsi="Calibri"/>
          <w:kern w:val="2"/>
          <w:sz w:val="22"/>
          <w:szCs w:val="22"/>
          <w:highlight w:val="yellow"/>
          <w:lang w:val="en-PH"/>
          <w14:ligatures w14:val="standardContextual"/>
        </w:rPr>
        <w:t>Review this section for grammatical errors and awkward phrasing</w:t>
      </w:r>
    </w:p>
    <w:p w14:paraId="56666D71" w14:textId="16F2C23B" w:rsidR="00C06CBF" w:rsidRPr="00C06CBF" w:rsidRDefault="00C06CBF" w:rsidP="00135611">
      <w:pPr>
        <w:numPr>
          <w:ilvl w:val="2"/>
          <w:numId w:val="37"/>
        </w:numPr>
        <w:spacing w:line="276" w:lineRule="auto"/>
        <w:rPr>
          <w:rFonts w:ascii="Calibri" w:eastAsia="Calibri" w:hAnsi="Calibri"/>
          <w:kern w:val="2"/>
          <w:sz w:val="22"/>
          <w:szCs w:val="22"/>
          <w:highlight w:val="yellow"/>
          <w:lang w:val="en-PH"/>
          <w14:ligatures w14:val="standardContextual"/>
        </w:rPr>
      </w:pPr>
      <w:r w:rsidRPr="00C06CBF">
        <w:rPr>
          <w:rFonts w:ascii="Calibri" w:eastAsia="Calibri" w:hAnsi="Calibri"/>
          <w:kern w:val="2"/>
          <w:sz w:val="22"/>
          <w:szCs w:val="22"/>
          <w:highlight w:val="yellow"/>
          <w:lang w:val="en-PH"/>
          <w14:ligatures w14:val="standardContextual"/>
        </w:rPr>
        <w:t>Suggest improvements to the flow and coherence of this text</w:t>
      </w:r>
    </w:p>
    <w:p w14:paraId="32816AF5" w14:textId="1F283DC5" w:rsidR="00C06CBF" w:rsidRPr="00C06CBF" w:rsidRDefault="00C06CBF" w:rsidP="00135611">
      <w:pPr>
        <w:numPr>
          <w:ilvl w:val="2"/>
          <w:numId w:val="37"/>
        </w:numPr>
        <w:spacing w:line="276" w:lineRule="auto"/>
        <w:rPr>
          <w:rFonts w:ascii="Calibri" w:eastAsia="Calibri" w:hAnsi="Calibri"/>
          <w:kern w:val="2"/>
          <w:sz w:val="22"/>
          <w:szCs w:val="22"/>
          <w:highlight w:val="yellow"/>
          <w:lang w:val="en-PH"/>
          <w14:ligatures w14:val="standardContextual"/>
        </w:rPr>
      </w:pPr>
      <w:r w:rsidRPr="00C06CBF">
        <w:rPr>
          <w:rFonts w:ascii="Calibri" w:eastAsia="Calibri" w:hAnsi="Calibri"/>
          <w:kern w:val="2"/>
          <w:sz w:val="22"/>
          <w:szCs w:val="22"/>
          <w:highlight w:val="yellow"/>
          <w:lang w:val="en-PH"/>
          <w14:ligatures w14:val="standardContextual"/>
        </w:rPr>
        <w:t>Does this argument make logical sense?</w:t>
      </w:r>
    </w:p>
    <w:p w14:paraId="29F109DA" w14:textId="138485F8" w:rsidR="00C06CBF" w:rsidRPr="00C06CBF" w:rsidRDefault="00C06CBF" w:rsidP="00135611">
      <w:pPr>
        <w:numPr>
          <w:ilvl w:val="2"/>
          <w:numId w:val="37"/>
        </w:numPr>
        <w:spacing w:line="276" w:lineRule="auto"/>
        <w:rPr>
          <w:rFonts w:ascii="Calibri" w:eastAsia="Calibri" w:hAnsi="Calibri"/>
          <w:kern w:val="2"/>
          <w:sz w:val="22"/>
          <w:szCs w:val="22"/>
          <w:highlight w:val="yellow"/>
          <w:lang w:val="en-PH"/>
          <w14:ligatures w14:val="standardContextual"/>
        </w:rPr>
      </w:pPr>
      <w:r w:rsidRPr="00C06CBF">
        <w:rPr>
          <w:rFonts w:ascii="Calibri" w:eastAsia="Calibri" w:hAnsi="Calibri"/>
          <w:kern w:val="2"/>
          <w:sz w:val="22"/>
          <w:szCs w:val="22"/>
          <w:highlight w:val="yellow"/>
          <w:lang w:val="en-PH"/>
          <w14:ligatures w14:val="standardContextual"/>
        </w:rPr>
        <w:t xml:space="preserve">I'm trying to explain the connection between X and Y. Am I articulating this clearly? </w:t>
      </w:r>
    </w:p>
    <w:p w14:paraId="1F13C9A9" w14:textId="13B4DABD" w:rsidR="00C06CBF" w:rsidRDefault="00C06CBF" w:rsidP="00135611">
      <w:pPr>
        <w:numPr>
          <w:ilvl w:val="2"/>
          <w:numId w:val="37"/>
        </w:numPr>
        <w:spacing w:line="276" w:lineRule="auto"/>
        <w:rPr>
          <w:rFonts w:ascii="Calibri" w:eastAsia="Calibri" w:hAnsi="Calibri"/>
          <w:kern w:val="2"/>
          <w:sz w:val="22"/>
          <w:szCs w:val="22"/>
          <w:highlight w:val="yellow"/>
          <w:lang w:val="en-PH"/>
          <w14:ligatures w14:val="standardContextual"/>
        </w:rPr>
      </w:pPr>
      <w:r w:rsidRPr="00C06CBF">
        <w:rPr>
          <w:rFonts w:ascii="Calibri" w:eastAsia="Calibri" w:hAnsi="Calibri"/>
          <w:kern w:val="2"/>
          <w:sz w:val="22"/>
          <w:szCs w:val="22"/>
          <w:highlight w:val="yellow"/>
          <w:lang w:val="en-PH"/>
          <w14:ligatures w14:val="standardContextual"/>
        </w:rPr>
        <w:t xml:space="preserve">Could you rephrase this idea to be more impactful/academic? </w:t>
      </w:r>
    </w:p>
    <w:p w14:paraId="06601DB4" w14:textId="77777777" w:rsidR="00135611" w:rsidRPr="00C06CBF" w:rsidRDefault="00135611" w:rsidP="00135611">
      <w:pPr>
        <w:spacing w:line="276" w:lineRule="auto"/>
        <w:ind w:left="2160"/>
        <w:rPr>
          <w:rFonts w:ascii="Calibri" w:eastAsia="Calibri" w:hAnsi="Calibri"/>
          <w:kern w:val="2"/>
          <w:sz w:val="22"/>
          <w:szCs w:val="22"/>
          <w:highlight w:val="yellow"/>
          <w:lang w:val="en-PH"/>
          <w14:ligatures w14:val="standardContextual"/>
        </w:rPr>
      </w:pPr>
    </w:p>
    <w:p w14:paraId="552C2D96" w14:textId="7B1747F5" w:rsidR="00C06CBF" w:rsidRPr="00C06CBF" w:rsidRDefault="00135611" w:rsidP="00135611">
      <w:pPr>
        <w:spacing w:after="200" w:line="276" w:lineRule="auto"/>
        <w:ind w:left="720"/>
        <w:rPr>
          <w:rFonts w:ascii="Calibri" w:eastAsia="Calibri" w:hAnsi="Calibri"/>
          <w:kern w:val="2"/>
          <w:sz w:val="22"/>
          <w:szCs w:val="22"/>
          <w:highlight w:val="yellow"/>
          <w:lang w:val="en-PH"/>
          <w14:ligatures w14:val="standardContextual"/>
        </w:rPr>
      </w:pPr>
      <w:r>
        <w:rPr>
          <w:rFonts w:ascii="Calibri" w:eastAsia="Calibri" w:hAnsi="Calibri"/>
          <w:b/>
          <w:bCs/>
          <w:kern w:val="2"/>
          <w:sz w:val="22"/>
          <w:szCs w:val="22"/>
          <w:highlight w:val="yellow"/>
          <w:lang w:val="en-PH"/>
          <w14:ligatures w14:val="standardContextual"/>
        </w:rPr>
        <w:t xml:space="preserve">2. </w:t>
      </w:r>
      <w:r w:rsidR="00C06CBF" w:rsidRPr="00C06CBF">
        <w:rPr>
          <w:rFonts w:ascii="Calibri" w:eastAsia="Calibri" w:hAnsi="Calibri"/>
          <w:b/>
          <w:bCs/>
          <w:kern w:val="2"/>
          <w:sz w:val="22"/>
          <w:szCs w:val="22"/>
          <w:highlight w:val="yellow"/>
          <w:lang w:val="en-PH"/>
          <w14:ligatures w14:val="standardContextual"/>
        </w:rPr>
        <w:t>AI Technology Used:</w:t>
      </w:r>
      <w:r w:rsidR="00C06CBF" w:rsidRPr="00C06CBF">
        <w:rPr>
          <w:rFonts w:ascii="Calibri" w:eastAsia="Calibri" w:hAnsi="Calibri"/>
          <w:kern w:val="2"/>
          <w:sz w:val="22"/>
          <w:szCs w:val="22"/>
          <w:highlight w:val="yellow"/>
          <w:lang w:val="en-PH"/>
          <w14:ligatures w14:val="standardContextual"/>
        </w:rPr>
        <w:t xml:space="preserve"> ChatGPT (Large Language Model)</w:t>
      </w:r>
    </w:p>
    <w:p w14:paraId="1ADDC17D" w14:textId="6782AAFC" w:rsidR="00C06CBF" w:rsidRPr="00C06CBF" w:rsidRDefault="00C06CBF" w:rsidP="00E42E22">
      <w:pPr>
        <w:numPr>
          <w:ilvl w:val="1"/>
          <w:numId w:val="37"/>
        </w:numPr>
        <w:spacing w:after="200" w:line="276" w:lineRule="auto"/>
        <w:rPr>
          <w:rFonts w:ascii="Calibri" w:eastAsia="Calibri" w:hAnsi="Calibri"/>
          <w:kern w:val="2"/>
          <w:sz w:val="22"/>
          <w:szCs w:val="22"/>
          <w:highlight w:val="yellow"/>
          <w:lang w:val="en-PH"/>
          <w14:ligatures w14:val="standardContextual"/>
        </w:rPr>
      </w:pPr>
      <w:r w:rsidRPr="00C06CBF">
        <w:rPr>
          <w:rFonts w:ascii="Calibri" w:eastAsia="Calibri" w:hAnsi="Calibri"/>
          <w:b/>
          <w:bCs/>
          <w:kern w:val="2"/>
          <w:sz w:val="22"/>
          <w:szCs w:val="22"/>
          <w:highlight w:val="yellow"/>
          <w:lang w:val="en-PH"/>
          <w14:ligatures w14:val="standardContextual"/>
        </w:rPr>
        <w:t>Version/Model:</w:t>
      </w:r>
      <w:r w:rsidRPr="00C06CBF">
        <w:rPr>
          <w:rFonts w:ascii="Calibri" w:eastAsia="Calibri" w:hAnsi="Calibri"/>
          <w:kern w:val="2"/>
          <w:sz w:val="22"/>
          <w:szCs w:val="22"/>
          <w:highlight w:val="yellow"/>
          <w:lang w:val="en-PH"/>
          <w14:ligatures w14:val="standardContextual"/>
        </w:rPr>
        <w:t xml:space="preserve"> GPT-3.5</w:t>
      </w:r>
      <w:r w:rsidR="00882A6F">
        <w:rPr>
          <w:rFonts w:ascii="Calibri" w:eastAsia="Calibri" w:hAnsi="Calibri"/>
          <w:kern w:val="2"/>
          <w:sz w:val="22"/>
          <w:szCs w:val="22"/>
          <w:highlight w:val="yellow"/>
          <w:lang w:val="en-PH"/>
          <w14:ligatures w14:val="standardContextual"/>
        </w:rPr>
        <w:t xml:space="preserve"> </w:t>
      </w:r>
    </w:p>
    <w:p w14:paraId="4854A4C3" w14:textId="77777777" w:rsidR="00C06CBF" w:rsidRPr="00C06CBF" w:rsidRDefault="00C06CBF" w:rsidP="00E42E22">
      <w:pPr>
        <w:numPr>
          <w:ilvl w:val="1"/>
          <w:numId w:val="37"/>
        </w:numPr>
        <w:spacing w:after="200" w:line="276" w:lineRule="auto"/>
        <w:rPr>
          <w:rFonts w:ascii="Calibri" w:eastAsia="Calibri" w:hAnsi="Calibri"/>
          <w:kern w:val="2"/>
          <w:sz w:val="22"/>
          <w:szCs w:val="22"/>
          <w:highlight w:val="yellow"/>
          <w:lang w:val="en-PH"/>
          <w14:ligatures w14:val="standardContextual"/>
        </w:rPr>
      </w:pPr>
      <w:r w:rsidRPr="00C06CBF">
        <w:rPr>
          <w:rFonts w:ascii="Calibri" w:eastAsia="Calibri" w:hAnsi="Calibri"/>
          <w:b/>
          <w:bCs/>
          <w:kern w:val="2"/>
          <w:sz w:val="22"/>
          <w:szCs w:val="22"/>
          <w:highlight w:val="yellow"/>
          <w:lang w:val="en-PH"/>
          <w14:ligatures w14:val="standardContextual"/>
        </w:rPr>
        <w:t>Source:</w:t>
      </w:r>
      <w:r w:rsidRPr="00C06CBF">
        <w:rPr>
          <w:rFonts w:ascii="Calibri" w:eastAsia="Calibri" w:hAnsi="Calibri"/>
          <w:kern w:val="2"/>
          <w:sz w:val="22"/>
          <w:szCs w:val="22"/>
          <w:highlight w:val="yellow"/>
          <w:lang w:val="en-PH"/>
          <w14:ligatures w14:val="standardContextual"/>
        </w:rPr>
        <w:t xml:space="preserve"> OpenAI (</w:t>
      </w:r>
      <w:hyperlink r:id="rId20" w:tgtFrame="_blank" w:history="1">
        <w:r w:rsidRPr="00C06CBF">
          <w:rPr>
            <w:rStyle w:val="Hyperlink"/>
            <w:rFonts w:ascii="Calibri" w:eastAsia="Calibri" w:hAnsi="Calibri"/>
            <w:kern w:val="2"/>
            <w:sz w:val="22"/>
            <w:szCs w:val="22"/>
            <w:highlight w:val="yellow"/>
            <w:lang w:val="en-PH"/>
            <w14:ligatures w14:val="standardContextual"/>
          </w:rPr>
          <w:t>https://chat.openai.com/</w:t>
        </w:r>
      </w:hyperlink>
      <w:r w:rsidRPr="00C06CBF">
        <w:rPr>
          <w:rFonts w:ascii="Calibri" w:eastAsia="Calibri" w:hAnsi="Calibri"/>
          <w:kern w:val="2"/>
          <w:sz w:val="22"/>
          <w:szCs w:val="22"/>
          <w:highlight w:val="yellow"/>
          <w:lang w:val="en-PH"/>
          <w14:ligatures w14:val="standardContextual"/>
        </w:rPr>
        <w:t>)</w:t>
      </w:r>
    </w:p>
    <w:p w14:paraId="7241AA33" w14:textId="77777777" w:rsidR="00C06CBF" w:rsidRPr="00C06CBF" w:rsidRDefault="00C06CBF" w:rsidP="00E42E22">
      <w:pPr>
        <w:numPr>
          <w:ilvl w:val="1"/>
          <w:numId w:val="37"/>
        </w:numPr>
        <w:spacing w:after="200" w:line="276" w:lineRule="auto"/>
        <w:rPr>
          <w:rFonts w:ascii="Calibri" w:eastAsia="Calibri" w:hAnsi="Calibri"/>
          <w:kern w:val="2"/>
          <w:sz w:val="22"/>
          <w:szCs w:val="22"/>
          <w:highlight w:val="yellow"/>
          <w:lang w:val="en-PH"/>
          <w14:ligatures w14:val="standardContextual"/>
        </w:rPr>
      </w:pPr>
      <w:r w:rsidRPr="00C06CBF">
        <w:rPr>
          <w:rFonts w:ascii="Calibri" w:eastAsia="Calibri" w:hAnsi="Calibri"/>
          <w:b/>
          <w:bCs/>
          <w:kern w:val="2"/>
          <w:sz w:val="22"/>
          <w:szCs w:val="22"/>
          <w:highlight w:val="yellow"/>
          <w:lang w:val="en-PH"/>
          <w14:ligatures w14:val="standardContextual"/>
        </w:rPr>
        <w:lastRenderedPageBreak/>
        <w:t>Purpose of Use:</w:t>
      </w:r>
      <w:r w:rsidRPr="00C06CBF">
        <w:rPr>
          <w:rFonts w:ascii="Calibri" w:eastAsia="Calibri" w:hAnsi="Calibri"/>
          <w:kern w:val="2"/>
          <w:sz w:val="22"/>
          <w:szCs w:val="22"/>
          <w:highlight w:val="yellow"/>
          <w:lang w:val="en-PH"/>
          <w14:ligatures w14:val="standardContextual"/>
        </w:rPr>
        <w:t xml:space="preserve"> Grammar organization, sentence structure improvement, conciseness suggestions, and as a discussion partner to refine and clarify ideas and ensure logical coherence of human-generated arguments.</w:t>
      </w:r>
    </w:p>
    <w:p w14:paraId="5C2B4CCE" w14:textId="2FAD5B34" w:rsidR="00C06CBF" w:rsidRPr="00C06CBF" w:rsidRDefault="00C06CBF" w:rsidP="00E42E22">
      <w:pPr>
        <w:numPr>
          <w:ilvl w:val="1"/>
          <w:numId w:val="37"/>
        </w:numPr>
        <w:spacing w:after="200" w:line="276" w:lineRule="auto"/>
        <w:rPr>
          <w:rFonts w:ascii="Calibri" w:eastAsia="Calibri" w:hAnsi="Calibri"/>
          <w:kern w:val="2"/>
          <w:sz w:val="22"/>
          <w:szCs w:val="22"/>
          <w:highlight w:val="yellow"/>
          <w:lang w:val="en-PH"/>
          <w14:ligatures w14:val="standardContextual"/>
        </w:rPr>
      </w:pPr>
      <w:r w:rsidRPr="00C06CBF">
        <w:rPr>
          <w:rFonts w:ascii="Calibri" w:eastAsia="Calibri" w:hAnsi="Calibri"/>
          <w:b/>
          <w:bCs/>
          <w:kern w:val="2"/>
          <w:sz w:val="22"/>
          <w:szCs w:val="22"/>
          <w:highlight w:val="yellow"/>
          <w:lang w:val="en-PH"/>
          <w14:ligatures w14:val="standardContextual"/>
        </w:rPr>
        <w:t>Input Prompts</w:t>
      </w:r>
      <w:r w:rsidR="003E36DD">
        <w:rPr>
          <w:rFonts w:ascii="Calibri" w:eastAsia="Calibri" w:hAnsi="Calibri"/>
          <w:b/>
          <w:bCs/>
          <w:kern w:val="2"/>
          <w:sz w:val="22"/>
          <w:szCs w:val="22"/>
          <w:highlight w:val="yellow"/>
          <w:lang w:val="en-PH"/>
          <w14:ligatures w14:val="standardContextual"/>
        </w:rPr>
        <w:t>:</w:t>
      </w:r>
    </w:p>
    <w:p w14:paraId="042E526E" w14:textId="4DBB632D" w:rsidR="00C06CBF" w:rsidRPr="00C06CBF" w:rsidRDefault="00C06CBF" w:rsidP="00135611">
      <w:pPr>
        <w:numPr>
          <w:ilvl w:val="2"/>
          <w:numId w:val="37"/>
        </w:numPr>
        <w:spacing w:line="276" w:lineRule="auto"/>
        <w:rPr>
          <w:rFonts w:ascii="Calibri" w:eastAsia="Calibri" w:hAnsi="Calibri"/>
          <w:kern w:val="2"/>
          <w:sz w:val="22"/>
          <w:szCs w:val="22"/>
          <w:highlight w:val="yellow"/>
          <w:lang w:val="en-PH"/>
          <w14:ligatures w14:val="standardContextual"/>
        </w:rPr>
      </w:pPr>
      <w:r w:rsidRPr="00C06CBF">
        <w:rPr>
          <w:rFonts w:ascii="Calibri" w:eastAsia="Calibri" w:hAnsi="Calibri"/>
          <w:kern w:val="2"/>
          <w:sz w:val="22"/>
          <w:szCs w:val="22"/>
          <w:highlight w:val="yellow"/>
          <w:lang w:val="en-PH"/>
          <w14:ligatures w14:val="standardContextual"/>
        </w:rPr>
        <w:t>Please check this text for grammar and spelling</w:t>
      </w:r>
    </w:p>
    <w:p w14:paraId="001D0667" w14:textId="69568ED2" w:rsidR="00C06CBF" w:rsidRPr="00C06CBF" w:rsidRDefault="00C06CBF" w:rsidP="00135611">
      <w:pPr>
        <w:numPr>
          <w:ilvl w:val="2"/>
          <w:numId w:val="37"/>
        </w:numPr>
        <w:spacing w:line="276" w:lineRule="auto"/>
        <w:rPr>
          <w:rFonts w:ascii="Calibri" w:eastAsia="Calibri" w:hAnsi="Calibri"/>
          <w:kern w:val="2"/>
          <w:sz w:val="22"/>
          <w:szCs w:val="22"/>
          <w:highlight w:val="yellow"/>
          <w:lang w:val="en-PH"/>
          <w14:ligatures w14:val="standardContextual"/>
        </w:rPr>
      </w:pPr>
      <w:r w:rsidRPr="00C06CBF">
        <w:rPr>
          <w:rFonts w:ascii="Calibri" w:eastAsia="Calibri" w:hAnsi="Calibri"/>
          <w:kern w:val="2"/>
          <w:sz w:val="22"/>
          <w:szCs w:val="22"/>
          <w:highlight w:val="yellow"/>
          <w:lang w:val="en-PH"/>
          <w14:ligatures w14:val="standardContextual"/>
        </w:rPr>
        <w:t>Rewrite this sentence to be more formal</w:t>
      </w:r>
    </w:p>
    <w:p w14:paraId="748B58FC" w14:textId="651E8500" w:rsidR="00C06CBF" w:rsidRPr="00C06CBF" w:rsidRDefault="00C06CBF" w:rsidP="00135611">
      <w:pPr>
        <w:numPr>
          <w:ilvl w:val="2"/>
          <w:numId w:val="37"/>
        </w:numPr>
        <w:spacing w:line="276" w:lineRule="auto"/>
        <w:rPr>
          <w:rFonts w:ascii="Calibri" w:eastAsia="Calibri" w:hAnsi="Calibri"/>
          <w:kern w:val="2"/>
          <w:sz w:val="22"/>
          <w:szCs w:val="22"/>
          <w:highlight w:val="yellow"/>
          <w:lang w:val="en-PH"/>
          <w14:ligatures w14:val="standardContextual"/>
        </w:rPr>
      </w:pPr>
      <w:r w:rsidRPr="00C06CBF">
        <w:rPr>
          <w:rFonts w:ascii="Calibri" w:eastAsia="Calibri" w:hAnsi="Calibri"/>
          <w:kern w:val="2"/>
          <w:sz w:val="22"/>
          <w:szCs w:val="22"/>
          <w:highlight w:val="yellow"/>
          <w:lang w:val="en-PH"/>
          <w14:ligatures w14:val="standardContextual"/>
        </w:rPr>
        <w:t>Improve the English phrasing in this paragraph</w:t>
      </w:r>
    </w:p>
    <w:p w14:paraId="20E1A4E6" w14:textId="4A3D6284" w:rsidR="00C06CBF" w:rsidRPr="00C06CBF" w:rsidRDefault="00C06CBF" w:rsidP="00135611">
      <w:pPr>
        <w:numPr>
          <w:ilvl w:val="2"/>
          <w:numId w:val="37"/>
        </w:numPr>
        <w:spacing w:line="276" w:lineRule="auto"/>
        <w:rPr>
          <w:rFonts w:ascii="Calibri" w:eastAsia="Calibri" w:hAnsi="Calibri"/>
          <w:kern w:val="2"/>
          <w:sz w:val="22"/>
          <w:szCs w:val="22"/>
          <w:highlight w:val="yellow"/>
          <w:lang w:val="en-PH"/>
          <w14:ligatures w14:val="standardContextual"/>
        </w:rPr>
      </w:pPr>
      <w:r w:rsidRPr="00C06CBF">
        <w:rPr>
          <w:rFonts w:ascii="Calibri" w:eastAsia="Calibri" w:hAnsi="Calibri"/>
          <w:kern w:val="2"/>
          <w:sz w:val="22"/>
          <w:szCs w:val="22"/>
          <w:highlight w:val="yellow"/>
          <w:lang w:val="en-PH"/>
          <w14:ligatures w14:val="standardContextual"/>
        </w:rPr>
        <w:t xml:space="preserve">I'm developing an argument that [briefly describe]. Does this hold water? </w:t>
      </w:r>
    </w:p>
    <w:p w14:paraId="0B7FDC42" w14:textId="69AFE9ED" w:rsidR="00C06CBF" w:rsidRPr="00C06CBF" w:rsidRDefault="00C06CBF" w:rsidP="00135611">
      <w:pPr>
        <w:numPr>
          <w:ilvl w:val="2"/>
          <w:numId w:val="37"/>
        </w:numPr>
        <w:spacing w:line="276" w:lineRule="auto"/>
        <w:rPr>
          <w:rFonts w:ascii="Calibri" w:eastAsia="Calibri" w:hAnsi="Calibri"/>
          <w:kern w:val="2"/>
          <w:sz w:val="22"/>
          <w:szCs w:val="22"/>
          <w:highlight w:val="yellow"/>
          <w:lang w:val="en-PH"/>
          <w14:ligatures w14:val="standardContextual"/>
        </w:rPr>
      </w:pPr>
      <w:r w:rsidRPr="00C06CBF">
        <w:rPr>
          <w:rFonts w:ascii="Calibri" w:eastAsia="Calibri" w:hAnsi="Calibri"/>
          <w:kern w:val="2"/>
          <w:sz w:val="22"/>
          <w:szCs w:val="22"/>
          <w:highlight w:val="yellow"/>
          <w:lang w:val="en-PH"/>
          <w14:ligatures w14:val="standardContextual"/>
        </w:rPr>
        <w:t xml:space="preserve">Is there a clearer way to phrase this concept? </w:t>
      </w:r>
    </w:p>
    <w:p w14:paraId="21BFA641" w14:textId="77777777" w:rsidR="0016796D" w:rsidRPr="00530A93" w:rsidRDefault="0016796D" w:rsidP="00530A93">
      <w:pPr>
        <w:spacing w:after="200" w:line="276" w:lineRule="auto"/>
        <w:rPr>
          <w:rFonts w:ascii="Calibri" w:eastAsia="Calibri" w:hAnsi="Calibri"/>
          <w:kern w:val="2"/>
          <w:sz w:val="22"/>
          <w:szCs w:val="22"/>
          <w14:ligatures w14:val="standardContextual"/>
        </w:rPr>
      </w:pPr>
    </w:p>
    <w:bookmarkEnd w:id="5"/>
    <w:bookmarkEnd w:id="6"/>
    <w:p w14:paraId="5C14052E" w14:textId="77777777" w:rsidR="00530A93" w:rsidRPr="00530A93" w:rsidRDefault="00530A93" w:rsidP="00530A93">
      <w:pPr>
        <w:spacing w:after="200" w:line="276" w:lineRule="auto"/>
        <w:rPr>
          <w:rFonts w:ascii="Calibri" w:eastAsia="Calibri" w:hAnsi="Calibri"/>
          <w:kern w:val="2"/>
          <w:sz w:val="22"/>
          <w:szCs w:val="22"/>
          <w14:ligatures w14:val="standardContextual"/>
        </w:rPr>
      </w:pPr>
      <w:r w:rsidRPr="00530A93">
        <w:rPr>
          <w:rFonts w:ascii="Calibri" w:eastAsia="Calibri" w:hAnsi="Calibri"/>
          <w:kern w:val="2"/>
          <w:sz w:val="22"/>
          <w:szCs w:val="22"/>
          <w14:ligatures w14:val="standardContextual"/>
        </w:rPr>
        <w:tab/>
      </w:r>
      <w:bookmarkEnd w:id="7"/>
      <w:r w:rsidRPr="00530A93">
        <w:rPr>
          <w:rFonts w:ascii="Calibri" w:eastAsia="Calibri" w:hAnsi="Calibri"/>
          <w:kern w:val="2"/>
          <w:sz w:val="22"/>
          <w:szCs w:val="22"/>
          <w14:ligatures w14:val="standardContextual"/>
        </w:rPr>
        <w:t xml:space="preserve"> </w:t>
      </w:r>
    </w:p>
    <w:bookmarkEnd w:id="8"/>
    <w:p w14:paraId="0717AF8C" w14:textId="77777777" w:rsidR="00530A93" w:rsidRPr="00530A93" w:rsidRDefault="00530A93" w:rsidP="00530A93">
      <w:pPr>
        <w:spacing w:after="200" w:line="276" w:lineRule="auto"/>
        <w:rPr>
          <w:rFonts w:ascii="Calibri" w:eastAsia="Calibri" w:hAnsi="Calibri"/>
          <w:kern w:val="2"/>
          <w:sz w:val="22"/>
          <w:szCs w:val="22"/>
          <w14:ligatures w14:val="standardContextual"/>
        </w:rPr>
      </w:pPr>
    </w:p>
    <w:p w14:paraId="32B64EAC" w14:textId="77777777" w:rsidR="00530A93" w:rsidRPr="00530A93" w:rsidRDefault="00530A93" w:rsidP="00530A93">
      <w:pPr>
        <w:spacing w:after="200" w:line="276" w:lineRule="auto"/>
        <w:rPr>
          <w:rFonts w:asciiTheme="minorHAnsi" w:eastAsiaTheme="minorHAnsi" w:hAnsiTheme="minorHAnsi" w:cstheme="minorBidi"/>
          <w:sz w:val="22"/>
          <w:szCs w:val="22"/>
          <w:lang w:val="en-GB"/>
          <w14:ligatures w14:val="standardContextual"/>
        </w:rPr>
      </w:pPr>
    </w:p>
    <w:p w14:paraId="3FB196BC" w14:textId="77777777" w:rsidR="00530A93" w:rsidRPr="00994049" w:rsidRDefault="00530A93" w:rsidP="00441B6F">
      <w:pPr>
        <w:pStyle w:val="ReferHead"/>
        <w:spacing w:after="0"/>
        <w:jc w:val="both"/>
        <w:rPr>
          <w:rFonts w:ascii="Arial" w:hAnsi="Arial" w:cs="Arial"/>
          <w:b w:val="0"/>
        </w:rPr>
      </w:pPr>
    </w:p>
    <w:p w14:paraId="023F9202" w14:textId="77777777" w:rsidR="00994049" w:rsidRPr="00A86D49" w:rsidRDefault="00994049" w:rsidP="00441B6F">
      <w:pPr>
        <w:pStyle w:val="ReferHead"/>
        <w:spacing w:after="0"/>
        <w:jc w:val="both"/>
        <w:rPr>
          <w:rFonts w:ascii="Arial" w:hAnsi="Arial" w:cs="Arial"/>
          <w:b w:val="0"/>
        </w:rPr>
      </w:pPr>
    </w:p>
    <w:p w14:paraId="0B550E2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F8E298F" w14:textId="77777777" w:rsidR="003763C1" w:rsidRDefault="003763C1" w:rsidP="00441B6F">
      <w:pPr>
        <w:pStyle w:val="Body"/>
        <w:spacing w:after="0"/>
        <w:jc w:val="left"/>
      </w:pPr>
    </w:p>
    <w:p w14:paraId="645E1333" w14:textId="37801E4A" w:rsidR="00CD2811" w:rsidRPr="00B37571" w:rsidRDefault="00CD2811" w:rsidP="008A7D6E">
      <w:pPr>
        <w:pStyle w:val="Body"/>
        <w:numPr>
          <w:ilvl w:val="0"/>
          <w:numId w:val="32"/>
        </w:numPr>
        <w:spacing w:after="0"/>
        <w:jc w:val="left"/>
        <w:rPr>
          <w:rFonts w:ascii="Arial" w:hAnsi="Arial" w:cs="Arial"/>
          <w:bCs/>
          <w:lang w:val="en-PH"/>
        </w:rPr>
      </w:pPr>
      <w:r w:rsidRPr="00CD2811">
        <w:rPr>
          <w:rFonts w:ascii="Arial" w:hAnsi="Arial" w:cs="Arial"/>
          <w:bCs/>
          <w:lang w:val="en-PH"/>
        </w:rPr>
        <w:t xml:space="preserve">Aini, Y. N. (2024). Sustainable tourism in Southeast Asia: Balancing economic growth, employment, and carbon emissions through evidence-based strategies. </w:t>
      </w:r>
      <w:proofErr w:type="spellStart"/>
      <w:r w:rsidRPr="00CD2811">
        <w:rPr>
          <w:rFonts w:ascii="Arial" w:hAnsi="Arial" w:cs="Arial"/>
          <w:bCs/>
          <w:i/>
          <w:iCs/>
          <w:lang w:val="en-PH"/>
        </w:rPr>
        <w:t>Jurnal</w:t>
      </w:r>
      <w:proofErr w:type="spellEnd"/>
      <w:r w:rsidRPr="00CD2811">
        <w:rPr>
          <w:rFonts w:ascii="Arial" w:hAnsi="Arial" w:cs="Arial"/>
          <w:bCs/>
          <w:i/>
          <w:iCs/>
          <w:lang w:val="en-PH"/>
        </w:rPr>
        <w:t xml:space="preserve"> </w:t>
      </w:r>
      <w:proofErr w:type="spellStart"/>
      <w:r w:rsidRPr="00CD2811">
        <w:rPr>
          <w:rFonts w:ascii="Arial" w:hAnsi="Arial" w:cs="Arial"/>
          <w:bCs/>
          <w:i/>
          <w:iCs/>
          <w:lang w:val="en-PH"/>
        </w:rPr>
        <w:t>Kepariwisataan</w:t>
      </w:r>
      <w:proofErr w:type="spellEnd"/>
      <w:r w:rsidRPr="00CD2811">
        <w:rPr>
          <w:rFonts w:ascii="Arial" w:hAnsi="Arial" w:cs="Arial"/>
          <w:bCs/>
          <w:i/>
          <w:iCs/>
          <w:lang w:val="en-PH"/>
        </w:rPr>
        <w:t xml:space="preserve"> Indonesia: </w:t>
      </w:r>
      <w:proofErr w:type="spellStart"/>
      <w:r w:rsidRPr="00CD2811">
        <w:rPr>
          <w:rFonts w:ascii="Arial" w:hAnsi="Arial" w:cs="Arial"/>
          <w:bCs/>
          <w:i/>
          <w:iCs/>
          <w:lang w:val="en-PH"/>
        </w:rPr>
        <w:t>Jurnal</w:t>
      </w:r>
      <w:proofErr w:type="spellEnd"/>
      <w:r w:rsidRPr="00CD2811">
        <w:rPr>
          <w:rFonts w:ascii="Arial" w:hAnsi="Arial" w:cs="Arial"/>
          <w:bCs/>
          <w:i/>
          <w:iCs/>
          <w:lang w:val="en-PH"/>
        </w:rPr>
        <w:t xml:space="preserve"> </w:t>
      </w:r>
      <w:proofErr w:type="spellStart"/>
      <w:r w:rsidRPr="00CD2811">
        <w:rPr>
          <w:rFonts w:ascii="Arial" w:hAnsi="Arial" w:cs="Arial"/>
          <w:bCs/>
          <w:i/>
          <w:iCs/>
          <w:lang w:val="en-PH"/>
        </w:rPr>
        <w:t>Penelitian</w:t>
      </w:r>
      <w:proofErr w:type="spellEnd"/>
      <w:r w:rsidRPr="00CD2811">
        <w:rPr>
          <w:rFonts w:ascii="Arial" w:hAnsi="Arial" w:cs="Arial"/>
          <w:bCs/>
          <w:i/>
          <w:iCs/>
          <w:lang w:val="en-PH"/>
        </w:rPr>
        <w:t xml:space="preserve"> dan </w:t>
      </w:r>
      <w:proofErr w:type="spellStart"/>
      <w:r w:rsidRPr="00CD2811">
        <w:rPr>
          <w:rFonts w:ascii="Arial" w:hAnsi="Arial" w:cs="Arial"/>
          <w:bCs/>
          <w:i/>
          <w:iCs/>
          <w:lang w:val="en-PH"/>
        </w:rPr>
        <w:t>Pengembangan</w:t>
      </w:r>
      <w:proofErr w:type="spellEnd"/>
      <w:r w:rsidRPr="00CD2811">
        <w:rPr>
          <w:rFonts w:ascii="Arial" w:hAnsi="Arial" w:cs="Arial"/>
          <w:bCs/>
          <w:i/>
          <w:iCs/>
          <w:lang w:val="en-PH"/>
        </w:rPr>
        <w:t xml:space="preserve"> </w:t>
      </w:r>
      <w:proofErr w:type="spellStart"/>
      <w:r w:rsidRPr="00CD2811">
        <w:rPr>
          <w:rFonts w:ascii="Arial" w:hAnsi="Arial" w:cs="Arial"/>
          <w:bCs/>
          <w:i/>
          <w:iCs/>
          <w:lang w:val="en-PH"/>
        </w:rPr>
        <w:t>Kepariwisataan</w:t>
      </w:r>
      <w:proofErr w:type="spellEnd"/>
      <w:r w:rsidRPr="00CD2811">
        <w:rPr>
          <w:rFonts w:ascii="Arial" w:hAnsi="Arial" w:cs="Arial"/>
          <w:bCs/>
          <w:i/>
          <w:iCs/>
          <w:lang w:val="en-PH"/>
        </w:rPr>
        <w:t xml:space="preserve"> Indonesia, 18</w:t>
      </w:r>
      <w:r w:rsidRPr="00CD2811">
        <w:rPr>
          <w:rFonts w:ascii="Arial" w:hAnsi="Arial" w:cs="Arial"/>
          <w:bCs/>
          <w:lang w:val="en-PH"/>
        </w:rPr>
        <w:t xml:space="preserve">(1), 157–174. </w:t>
      </w:r>
      <w:hyperlink r:id="rId21" w:history="1">
        <w:r w:rsidR="00743D83" w:rsidRPr="00CD2811">
          <w:rPr>
            <w:rStyle w:val="Hyperlink"/>
            <w:rFonts w:ascii="Arial" w:hAnsi="Arial" w:cs="Arial"/>
            <w:bCs/>
            <w:lang w:val="en-PH"/>
          </w:rPr>
          <w:t>https://doi.org/10.47608/jki.v18i1.2024.157-174</w:t>
        </w:r>
      </w:hyperlink>
    </w:p>
    <w:p w14:paraId="0435325A" w14:textId="77777777" w:rsidR="00743D83" w:rsidRPr="00CD2811" w:rsidRDefault="00743D83" w:rsidP="0082659A">
      <w:pPr>
        <w:pStyle w:val="Body"/>
        <w:spacing w:after="0"/>
        <w:jc w:val="left"/>
        <w:rPr>
          <w:rFonts w:ascii="Arial" w:hAnsi="Arial" w:cs="Arial"/>
          <w:bCs/>
          <w:lang w:val="en-PH"/>
        </w:rPr>
      </w:pPr>
    </w:p>
    <w:p w14:paraId="08136B11" w14:textId="09E414FA"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Ambareen, B., &amp; Hurree, I. (2024). The legal framework on sustainable tourism: A comparative analysis between Mauritius, Maldives, and Seychelles. </w:t>
      </w:r>
      <w:r w:rsidRPr="00CD2811">
        <w:rPr>
          <w:rFonts w:ascii="Arial" w:hAnsi="Arial" w:cs="Arial"/>
          <w:bCs/>
          <w:i/>
          <w:iCs/>
          <w:lang w:val="en-PH"/>
        </w:rPr>
        <w:t>Journal of Tourism, Sustainability and Well-being, 12</w:t>
      </w:r>
      <w:r w:rsidRPr="00CD2811">
        <w:rPr>
          <w:rFonts w:ascii="Arial" w:hAnsi="Arial" w:cs="Arial"/>
          <w:bCs/>
          <w:lang w:val="en-PH"/>
        </w:rPr>
        <w:t xml:space="preserve">(3), 226–240. </w:t>
      </w:r>
      <w:hyperlink r:id="rId22" w:tgtFrame="_new" w:history="1">
        <w:r w:rsidRPr="00CD2811">
          <w:rPr>
            <w:rStyle w:val="Hyperlink"/>
            <w:rFonts w:ascii="Arial" w:hAnsi="Arial" w:cs="Arial"/>
            <w:bCs/>
            <w:lang w:val="en-PH"/>
          </w:rPr>
          <w:t>https://doi.org/10.34623/pb9h-j789</w:t>
        </w:r>
      </w:hyperlink>
    </w:p>
    <w:p w14:paraId="58B984C2" w14:textId="77777777" w:rsidR="00743D83" w:rsidRPr="00CD2811" w:rsidRDefault="00743D83" w:rsidP="0082659A">
      <w:pPr>
        <w:pStyle w:val="Body"/>
        <w:spacing w:after="0"/>
        <w:jc w:val="left"/>
        <w:rPr>
          <w:rFonts w:ascii="Arial" w:hAnsi="Arial" w:cs="Arial"/>
          <w:bCs/>
          <w:lang w:val="en-PH"/>
        </w:rPr>
      </w:pPr>
    </w:p>
    <w:p w14:paraId="6BFF0EFD" w14:textId="0E0563CF"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Aprigliano, V., Barros, G. T., Santos, M. V. S. M., Toro, C., Rojas, G., </w:t>
      </w:r>
      <w:proofErr w:type="spellStart"/>
      <w:r w:rsidRPr="00CD2811">
        <w:rPr>
          <w:rFonts w:ascii="Arial" w:hAnsi="Arial" w:cs="Arial"/>
          <w:bCs/>
          <w:lang w:val="en-PH"/>
        </w:rPr>
        <w:t>Seriani</w:t>
      </w:r>
      <w:proofErr w:type="spellEnd"/>
      <w:r w:rsidRPr="00CD2811">
        <w:rPr>
          <w:rFonts w:ascii="Arial" w:hAnsi="Arial" w:cs="Arial"/>
          <w:bCs/>
          <w:lang w:val="en-PH"/>
        </w:rPr>
        <w:t xml:space="preserve">, S., da Silva, M. A. V., &amp; de Oliveira, U. R. (2023). Sustainable mobility challenges in the Latin American context. </w:t>
      </w:r>
      <w:r w:rsidRPr="00CD2811">
        <w:rPr>
          <w:rFonts w:ascii="Arial" w:hAnsi="Arial" w:cs="Arial"/>
          <w:bCs/>
          <w:i/>
          <w:iCs/>
          <w:lang w:val="en-PH"/>
        </w:rPr>
        <w:t>Sustainability, 15</w:t>
      </w:r>
      <w:r w:rsidRPr="00CD2811">
        <w:rPr>
          <w:rFonts w:ascii="Arial" w:hAnsi="Arial" w:cs="Arial"/>
          <w:bCs/>
          <w:lang w:val="en-PH"/>
        </w:rPr>
        <w:t xml:space="preserve">(20), 14748. </w:t>
      </w:r>
      <w:hyperlink r:id="rId23" w:tgtFrame="_new" w:history="1">
        <w:r w:rsidRPr="00CD2811">
          <w:rPr>
            <w:rStyle w:val="Hyperlink"/>
            <w:rFonts w:ascii="Arial" w:hAnsi="Arial" w:cs="Arial"/>
            <w:bCs/>
            <w:lang w:val="en-PH"/>
          </w:rPr>
          <w:t>https://doi.org/10.3390/su152014748</w:t>
        </w:r>
      </w:hyperlink>
    </w:p>
    <w:p w14:paraId="30E59DAE" w14:textId="77777777" w:rsidR="00743D83" w:rsidRPr="00CD2811" w:rsidRDefault="00743D83" w:rsidP="0082659A">
      <w:pPr>
        <w:pStyle w:val="Body"/>
        <w:spacing w:after="0"/>
        <w:jc w:val="left"/>
        <w:rPr>
          <w:rFonts w:ascii="Arial" w:hAnsi="Arial" w:cs="Arial"/>
          <w:bCs/>
          <w:lang w:val="en-PH"/>
        </w:rPr>
      </w:pPr>
    </w:p>
    <w:p w14:paraId="32EEF95F" w14:textId="7FD2BD62"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Articles. (2010). Open-access innovation for sustainable urban tourism: Some thoughts on best practice. </w:t>
      </w:r>
      <w:proofErr w:type="spellStart"/>
      <w:r w:rsidRPr="00CD2811">
        <w:rPr>
          <w:rFonts w:ascii="Arial" w:hAnsi="Arial" w:cs="Arial"/>
          <w:bCs/>
          <w:i/>
          <w:iCs/>
          <w:lang w:val="en-PH"/>
        </w:rPr>
        <w:t>Revista</w:t>
      </w:r>
      <w:proofErr w:type="spellEnd"/>
      <w:r w:rsidRPr="00CD2811">
        <w:rPr>
          <w:rFonts w:ascii="Arial" w:hAnsi="Arial" w:cs="Arial"/>
          <w:bCs/>
          <w:i/>
          <w:iCs/>
          <w:lang w:val="en-PH"/>
        </w:rPr>
        <w:t xml:space="preserve"> de </w:t>
      </w:r>
      <w:proofErr w:type="spellStart"/>
      <w:r w:rsidRPr="00CD2811">
        <w:rPr>
          <w:rFonts w:ascii="Arial" w:hAnsi="Arial" w:cs="Arial"/>
          <w:bCs/>
          <w:i/>
          <w:iCs/>
          <w:lang w:val="en-PH"/>
        </w:rPr>
        <w:t>Administração</w:t>
      </w:r>
      <w:proofErr w:type="spellEnd"/>
      <w:r w:rsidRPr="00CD2811">
        <w:rPr>
          <w:rFonts w:ascii="Arial" w:hAnsi="Arial" w:cs="Arial"/>
          <w:bCs/>
          <w:i/>
          <w:iCs/>
          <w:lang w:val="en-PH"/>
        </w:rPr>
        <w:t xml:space="preserve"> Pública, 44</w:t>
      </w:r>
      <w:r w:rsidRPr="00CD2811">
        <w:rPr>
          <w:rFonts w:ascii="Arial" w:hAnsi="Arial" w:cs="Arial"/>
          <w:bCs/>
          <w:lang w:val="en-PH"/>
        </w:rPr>
        <w:t xml:space="preserve">(5). </w:t>
      </w:r>
      <w:hyperlink r:id="rId24" w:tgtFrame="_new" w:history="1">
        <w:r w:rsidRPr="00CD2811">
          <w:rPr>
            <w:rStyle w:val="Hyperlink"/>
            <w:rFonts w:ascii="Arial" w:hAnsi="Arial" w:cs="Arial"/>
            <w:bCs/>
            <w:lang w:val="en-PH"/>
          </w:rPr>
          <w:t>https://doi.org/10.1590/S0034-76122010000500008</w:t>
        </w:r>
      </w:hyperlink>
    </w:p>
    <w:p w14:paraId="5C4E0EB4" w14:textId="77777777" w:rsidR="00743D83" w:rsidRPr="00CD2811" w:rsidRDefault="00743D83" w:rsidP="0082659A">
      <w:pPr>
        <w:pStyle w:val="Body"/>
        <w:spacing w:after="0"/>
        <w:jc w:val="left"/>
        <w:rPr>
          <w:rFonts w:ascii="Arial" w:hAnsi="Arial" w:cs="Arial"/>
          <w:bCs/>
          <w:lang w:val="en-PH"/>
        </w:rPr>
      </w:pPr>
    </w:p>
    <w:p w14:paraId="14E175ED" w14:textId="52B859DA" w:rsidR="00CD2811" w:rsidRPr="00B37571" w:rsidRDefault="00CD2811" w:rsidP="008A7D6E">
      <w:pPr>
        <w:pStyle w:val="Body"/>
        <w:numPr>
          <w:ilvl w:val="0"/>
          <w:numId w:val="32"/>
        </w:numPr>
        <w:spacing w:after="0"/>
        <w:jc w:val="left"/>
        <w:rPr>
          <w:rFonts w:ascii="Arial" w:hAnsi="Arial" w:cs="Arial"/>
          <w:bCs/>
        </w:rPr>
      </w:pPr>
      <w:proofErr w:type="spellStart"/>
      <w:r w:rsidRPr="00CD2811">
        <w:rPr>
          <w:rFonts w:ascii="Arial" w:hAnsi="Arial" w:cs="Arial"/>
          <w:bCs/>
          <w:lang w:val="en-PH"/>
        </w:rPr>
        <w:t>Bekpulatov</w:t>
      </w:r>
      <w:proofErr w:type="spellEnd"/>
      <w:r w:rsidRPr="00CD2811">
        <w:rPr>
          <w:rFonts w:ascii="Arial" w:hAnsi="Arial" w:cs="Arial"/>
          <w:bCs/>
          <w:lang w:val="en-PH"/>
        </w:rPr>
        <w:t xml:space="preserve">, F., Younis, I., &amp; </w:t>
      </w:r>
      <w:proofErr w:type="spellStart"/>
      <w:r w:rsidRPr="00CD2811">
        <w:rPr>
          <w:rFonts w:ascii="Arial" w:hAnsi="Arial" w:cs="Arial"/>
          <w:bCs/>
          <w:lang w:val="en-PH"/>
        </w:rPr>
        <w:t>Longsheng</w:t>
      </w:r>
      <w:proofErr w:type="spellEnd"/>
      <w:r w:rsidRPr="00CD2811">
        <w:rPr>
          <w:rFonts w:ascii="Arial" w:hAnsi="Arial" w:cs="Arial"/>
          <w:bCs/>
          <w:lang w:val="en-PH"/>
        </w:rPr>
        <w:t xml:space="preserve">, C. (2023). The impact of natural resource management, innovation, and tourism development on environmental sustainability in low-income countries. </w:t>
      </w:r>
      <w:r w:rsidRPr="00CD2811">
        <w:rPr>
          <w:rFonts w:ascii="Arial" w:hAnsi="Arial" w:cs="Arial"/>
          <w:bCs/>
          <w:i/>
          <w:iCs/>
          <w:lang w:val="en-PH"/>
        </w:rPr>
        <w:t>Resources Policy, 84</w:t>
      </w:r>
      <w:r w:rsidRPr="00CD2811">
        <w:rPr>
          <w:rFonts w:ascii="Arial" w:hAnsi="Arial" w:cs="Arial"/>
          <w:bCs/>
          <w:lang w:val="en-PH"/>
        </w:rPr>
        <w:t xml:space="preserve">, 104088. </w:t>
      </w:r>
      <w:hyperlink r:id="rId25" w:tgtFrame="_new" w:history="1">
        <w:r w:rsidRPr="00CD2811">
          <w:rPr>
            <w:rStyle w:val="Hyperlink"/>
            <w:rFonts w:ascii="Arial" w:hAnsi="Arial" w:cs="Arial"/>
            <w:bCs/>
            <w:lang w:val="en-PH"/>
          </w:rPr>
          <w:t>https://doi.org/10.1016/j.resourpol.2023.104088</w:t>
        </w:r>
      </w:hyperlink>
    </w:p>
    <w:p w14:paraId="274E0349" w14:textId="77777777" w:rsidR="00743D83" w:rsidRPr="00CD2811" w:rsidRDefault="00743D83" w:rsidP="0082659A">
      <w:pPr>
        <w:pStyle w:val="Body"/>
        <w:spacing w:after="0"/>
        <w:jc w:val="left"/>
        <w:rPr>
          <w:rFonts w:ascii="Arial" w:hAnsi="Arial" w:cs="Arial"/>
          <w:bCs/>
          <w:lang w:val="en-PH"/>
        </w:rPr>
      </w:pPr>
    </w:p>
    <w:p w14:paraId="2875B25B" w14:textId="055BE6C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lastRenderedPageBreak/>
        <w:t xml:space="preserve">Belotti, L. (2024). Sustainable tourism as a tool for post-conflict economic reconstruction: A situational analysis of Sudan. </w:t>
      </w:r>
      <w:r w:rsidRPr="00CD2811">
        <w:rPr>
          <w:rFonts w:ascii="Arial" w:hAnsi="Arial" w:cs="Arial"/>
          <w:bCs/>
          <w:i/>
          <w:iCs/>
          <w:lang w:val="en-PH"/>
        </w:rPr>
        <w:t>The Journal of Social Encounters, 8</w:t>
      </w:r>
      <w:r w:rsidRPr="00CD2811">
        <w:rPr>
          <w:rFonts w:ascii="Arial" w:hAnsi="Arial" w:cs="Arial"/>
          <w:bCs/>
          <w:lang w:val="en-PH"/>
        </w:rPr>
        <w:t xml:space="preserve">(2), 218–237. </w:t>
      </w:r>
      <w:hyperlink r:id="rId26" w:tgtFrame="_new" w:history="1">
        <w:r w:rsidRPr="00CD2811">
          <w:rPr>
            <w:rStyle w:val="Hyperlink"/>
            <w:rFonts w:ascii="Arial" w:hAnsi="Arial" w:cs="Arial"/>
            <w:bCs/>
            <w:lang w:val="en-PH"/>
          </w:rPr>
          <w:t>https://doi.org/10.69755/2995-2212.1287</w:t>
        </w:r>
      </w:hyperlink>
    </w:p>
    <w:p w14:paraId="2F824D9C" w14:textId="77777777" w:rsidR="00743D83" w:rsidRPr="00CD2811" w:rsidRDefault="00743D83" w:rsidP="0082659A">
      <w:pPr>
        <w:pStyle w:val="Body"/>
        <w:spacing w:after="0"/>
        <w:jc w:val="left"/>
        <w:rPr>
          <w:rFonts w:ascii="Arial" w:hAnsi="Arial" w:cs="Arial"/>
          <w:bCs/>
          <w:lang w:val="en-PH"/>
        </w:rPr>
      </w:pPr>
    </w:p>
    <w:p w14:paraId="46481BCF" w14:textId="31B106F5" w:rsidR="00CD2811" w:rsidRPr="00B37571" w:rsidRDefault="00CD2811" w:rsidP="008A7D6E">
      <w:pPr>
        <w:pStyle w:val="Body"/>
        <w:numPr>
          <w:ilvl w:val="0"/>
          <w:numId w:val="32"/>
        </w:numPr>
        <w:spacing w:after="0"/>
        <w:jc w:val="left"/>
        <w:rPr>
          <w:rFonts w:ascii="Arial" w:hAnsi="Arial" w:cs="Arial"/>
          <w:bCs/>
        </w:rPr>
      </w:pPr>
      <w:proofErr w:type="spellStart"/>
      <w:r w:rsidRPr="00CD2811">
        <w:rPr>
          <w:rFonts w:ascii="Arial" w:hAnsi="Arial" w:cs="Arial"/>
          <w:bCs/>
          <w:lang w:val="en-PH"/>
        </w:rPr>
        <w:t>Cacciuttolo</w:t>
      </w:r>
      <w:proofErr w:type="spellEnd"/>
      <w:r w:rsidRPr="00CD2811">
        <w:rPr>
          <w:rFonts w:ascii="Arial" w:hAnsi="Arial" w:cs="Arial"/>
          <w:bCs/>
          <w:lang w:val="en-PH"/>
        </w:rPr>
        <w:t xml:space="preserve">, C., Navarrete, M., &amp; Atencio, E. (2024). Renewable wind energy implementation in South America: A comprehensive review and sustainable prospects. </w:t>
      </w:r>
      <w:r w:rsidRPr="00CD2811">
        <w:rPr>
          <w:rFonts w:ascii="Arial" w:hAnsi="Arial" w:cs="Arial"/>
          <w:bCs/>
          <w:i/>
          <w:iCs/>
          <w:lang w:val="en-PH"/>
        </w:rPr>
        <w:t>Sustainability, 16</w:t>
      </w:r>
      <w:r w:rsidRPr="00CD2811">
        <w:rPr>
          <w:rFonts w:ascii="Arial" w:hAnsi="Arial" w:cs="Arial"/>
          <w:bCs/>
          <w:lang w:val="en-PH"/>
        </w:rPr>
        <w:t xml:space="preserve">(14), 6082. </w:t>
      </w:r>
      <w:hyperlink r:id="rId27" w:tgtFrame="_new" w:history="1">
        <w:r w:rsidRPr="00CD2811">
          <w:rPr>
            <w:rStyle w:val="Hyperlink"/>
            <w:rFonts w:ascii="Arial" w:hAnsi="Arial" w:cs="Arial"/>
            <w:bCs/>
            <w:lang w:val="en-PH"/>
          </w:rPr>
          <w:t>https://doi.org/10.3390/su16146082</w:t>
        </w:r>
      </w:hyperlink>
    </w:p>
    <w:p w14:paraId="4866A5B8" w14:textId="77777777" w:rsidR="00743D83" w:rsidRPr="00CD2811" w:rsidRDefault="00743D83" w:rsidP="0082659A">
      <w:pPr>
        <w:pStyle w:val="Body"/>
        <w:spacing w:after="0"/>
        <w:jc w:val="left"/>
        <w:rPr>
          <w:rFonts w:ascii="Arial" w:hAnsi="Arial" w:cs="Arial"/>
          <w:bCs/>
          <w:lang w:val="en-PH"/>
        </w:rPr>
      </w:pPr>
    </w:p>
    <w:p w14:paraId="575FAA5E" w14:textId="6F64B45A"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Delgado-Serrano, M. M., Mistry, J., Matzdorf, B., &amp; Leclerc, G. (2017). Community-based management of environmental challenges in Latin America and the Caribbean. </w:t>
      </w:r>
      <w:r w:rsidRPr="00CD2811">
        <w:rPr>
          <w:rFonts w:ascii="Arial" w:hAnsi="Arial" w:cs="Arial"/>
          <w:bCs/>
          <w:i/>
          <w:iCs/>
          <w:lang w:val="en-PH"/>
        </w:rPr>
        <w:t>Ecology and Society, 22</w:t>
      </w:r>
      <w:r w:rsidRPr="00CD2811">
        <w:rPr>
          <w:rFonts w:ascii="Arial" w:hAnsi="Arial" w:cs="Arial"/>
          <w:bCs/>
          <w:lang w:val="en-PH"/>
        </w:rPr>
        <w:t xml:space="preserve">(1), 4. </w:t>
      </w:r>
      <w:hyperlink r:id="rId28" w:tgtFrame="_new" w:history="1">
        <w:r w:rsidRPr="00CD2811">
          <w:rPr>
            <w:rStyle w:val="Hyperlink"/>
            <w:rFonts w:ascii="Arial" w:hAnsi="Arial" w:cs="Arial"/>
            <w:bCs/>
            <w:lang w:val="en-PH"/>
          </w:rPr>
          <w:t>https://doi.org/10.5751/ES-08924-220104</w:t>
        </w:r>
      </w:hyperlink>
    </w:p>
    <w:p w14:paraId="73D34806" w14:textId="77777777" w:rsidR="00743D83" w:rsidRPr="00CD2811" w:rsidRDefault="00743D83" w:rsidP="0082659A">
      <w:pPr>
        <w:pStyle w:val="Body"/>
        <w:spacing w:after="0"/>
        <w:jc w:val="left"/>
        <w:rPr>
          <w:rFonts w:ascii="Arial" w:hAnsi="Arial" w:cs="Arial"/>
          <w:bCs/>
          <w:lang w:val="en-PH"/>
        </w:rPr>
      </w:pPr>
    </w:p>
    <w:p w14:paraId="0C17ADA5" w14:textId="0567C840"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Enriquez, J., Tipping, D. C., Lee, J.-J., Vijay, A., Kenny, L., Chen, S., </w:t>
      </w:r>
      <w:proofErr w:type="spellStart"/>
      <w:r w:rsidRPr="00CD2811">
        <w:rPr>
          <w:rFonts w:ascii="Arial" w:hAnsi="Arial" w:cs="Arial"/>
          <w:bCs/>
          <w:lang w:val="en-PH"/>
        </w:rPr>
        <w:t>Mainas</w:t>
      </w:r>
      <w:proofErr w:type="spellEnd"/>
      <w:r w:rsidRPr="00CD2811">
        <w:rPr>
          <w:rFonts w:ascii="Arial" w:hAnsi="Arial" w:cs="Arial"/>
          <w:bCs/>
          <w:lang w:val="en-PH"/>
        </w:rPr>
        <w:t>, N., Holst-</w:t>
      </w:r>
      <w:proofErr w:type="spellStart"/>
      <w:r w:rsidRPr="00CD2811">
        <w:rPr>
          <w:rFonts w:ascii="Arial" w:hAnsi="Arial" w:cs="Arial"/>
          <w:bCs/>
          <w:lang w:val="en-PH"/>
        </w:rPr>
        <w:t>Warhaft</w:t>
      </w:r>
      <w:proofErr w:type="spellEnd"/>
      <w:r w:rsidRPr="00CD2811">
        <w:rPr>
          <w:rFonts w:ascii="Arial" w:hAnsi="Arial" w:cs="Arial"/>
          <w:bCs/>
          <w:lang w:val="en-PH"/>
        </w:rPr>
        <w:t xml:space="preserve">, G., &amp; Steenhuis, T. S. (2017). Sustainable water management in the tourism economy: Linking the Mediterranean’s traditional rainwater cisterns to modern needs. </w:t>
      </w:r>
      <w:r w:rsidRPr="00CD2811">
        <w:rPr>
          <w:rFonts w:ascii="Arial" w:hAnsi="Arial" w:cs="Arial"/>
          <w:bCs/>
          <w:i/>
          <w:iCs/>
          <w:lang w:val="en-PH"/>
        </w:rPr>
        <w:t>Water, 9</w:t>
      </w:r>
      <w:r w:rsidRPr="00CD2811">
        <w:rPr>
          <w:rFonts w:ascii="Arial" w:hAnsi="Arial" w:cs="Arial"/>
          <w:bCs/>
          <w:lang w:val="en-PH"/>
        </w:rPr>
        <w:t xml:space="preserve">(11), 868. </w:t>
      </w:r>
      <w:hyperlink r:id="rId29" w:tgtFrame="_new" w:history="1">
        <w:r w:rsidRPr="00CD2811">
          <w:rPr>
            <w:rStyle w:val="Hyperlink"/>
            <w:rFonts w:ascii="Arial" w:hAnsi="Arial" w:cs="Arial"/>
            <w:bCs/>
            <w:lang w:val="en-PH"/>
          </w:rPr>
          <w:t>https://doi.org/10.3390/w9110868</w:t>
        </w:r>
      </w:hyperlink>
    </w:p>
    <w:p w14:paraId="14E7BE0D" w14:textId="77777777" w:rsidR="00743D83" w:rsidRPr="00CD2811" w:rsidRDefault="00743D83" w:rsidP="0082659A">
      <w:pPr>
        <w:pStyle w:val="Body"/>
        <w:spacing w:after="0"/>
        <w:jc w:val="left"/>
        <w:rPr>
          <w:rFonts w:ascii="Arial" w:hAnsi="Arial" w:cs="Arial"/>
          <w:bCs/>
          <w:lang w:val="en-PH"/>
        </w:rPr>
      </w:pPr>
    </w:p>
    <w:p w14:paraId="036D5016" w14:textId="7979F3EC"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Font, X., Torres-Delgado, A., </w:t>
      </w:r>
      <w:proofErr w:type="spellStart"/>
      <w:r w:rsidRPr="00CD2811">
        <w:rPr>
          <w:rFonts w:ascii="Arial" w:hAnsi="Arial" w:cs="Arial"/>
          <w:bCs/>
          <w:lang w:val="en-PH"/>
        </w:rPr>
        <w:t>Crabolu</w:t>
      </w:r>
      <w:proofErr w:type="spellEnd"/>
      <w:r w:rsidRPr="00CD2811">
        <w:rPr>
          <w:rFonts w:ascii="Arial" w:hAnsi="Arial" w:cs="Arial"/>
          <w:bCs/>
          <w:lang w:val="en-PH"/>
        </w:rPr>
        <w:t xml:space="preserve">, G., Martinez, J. P., </w:t>
      </w:r>
      <w:proofErr w:type="spellStart"/>
      <w:r w:rsidRPr="00CD2811">
        <w:rPr>
          <w:rFonts w:ascii="Arial" w:hAnsi="Arial" w:cs="Arial"/>
          <w:bCs/>
          <w:lang w:val="en-PH"/>
        </w:rPr>
        <w:t>Kantenbacher</w:t>
      </w:r>
      <w:proofErr w:type="spellEnd"/>
      <w:r w:rsidRPr="00CD2811">
        <w:rPr>
          <w:rFonts w:ascii="Arial" w:hAnsi="Arial" w:cs="Arial"/>
          <w:bCs/>
          <w:lang w:val="en-PH"/>
        </w:rPr>
        <w:t xml:space="preserve">, J., &amp; Miller, G. (2021). The impact of sustainable tourism indicators on destination competitiveness: The European Tourism Indicator System. </w:t>
      </w:r>
      <w:r w:rsidRPr="00CD2811">
        <w:rPr>
          <w:rFonts w:ascii="Arial" w:hAnsi="Arial" w:cs="Arial"/>
          <w:bCs/>
          <w:i/>
          <w:iCs/>
          <w:lang w:val="en-PH"/>
        </w:rPr>
        <w:t>Journal of Sustainable Tourism, 29</w:t>
      </w:r>
      <w:r w:rsidRPr="00CD2811">
        <w:rPr>
          <w:rFonts w:ascii="Arial" w:hAnsi="Arial" w:cs="Arial"/>
          <w:bCs/>
          <w:lang w:val="en-PH"/>
        </w:rPr>
        <w:t xml:space="preserve">(10), 1608–1630. </w:t>
      </w:r>
      <w:hyperlink r:id="rId30" w:tgtFrame="_new" w:history="1">
        <w:r w:rsidRPr="00CD2811">
          <w:rPr>
            <w:rStyle w:val="Hyperlink"/>
            <w:rFonts w:ascii="Arial" w:hAnsi="Arial" w:cs="Arial"/>
            <w:bCs/>
            <w:lang w:val="en-PH"/>
          </w:rPr>
          <w:t>https://doi.org/10.1080/09669582.2021.1910281</w:t>
        </w:r>
      </w:hyperlink>
    </w:p>
    <w:p w14:paraId="106C6C0D" w14:textId="77777777" w:rsidR="00743D83" w:rsidRPr="00CD2811" w:rsidRDefault="00743D83" w:rsidP="0082659A">
      <w:pPr>
        <w:pStyle w:val="Body"/>
        <w:spacing w:after="0"/>
        <w:jc w:val="left"/>
        <w:rPr>
          <w:rFonts w:ascii="Arial" w:hAnsi="Arial" w:cs="Arial"/>
          <w:bCs/>
          <w:lang w:val="en-PH"/>
        </w:rPr>
      </w:pPr>
    </w:p>
    <w:p w14:paraId="13A617DD" w14:textId="568F992C"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Frame, B., Liggett, D., Lindström, K., Roura, R. M., &amp; van der Watt, L.-M. (2021). Tourism and heritage in Antarctica: Exploring cultural, natural, and subliminal experiences. </w:t>
      </w:r>
      <w:r w:rsidRPr="00CD2811">
        <w:rPr>
          <w:rFonts w:ascii="Arial" w:hAnsi="Arial" w:cs="Arial"/>
          <w:bCs/>
          <w:i/>
          <w:iCs/>
          <w:lang w:val="en-PH"/>
        </w:rPr>
        <w:t>Polar Geography, 44</w:t>
      </w:r>
      <w:r w:rsidRPr="00CD2811">
        <w:rPr>
          <w:rFonts w:ascii="Arial" w:hAnsi="Arial" w:cs="Arial"/>
          <w:bCs/>
          <w:lang w:val="en-PH"/>
        </w:rPr>
        <w:t xml:space="preserve">(1), 37–57. </w:t>
      </w:r>
      <w:hyperlink r:id="rId31" w:tgtFrame="_new" w:history="1">
        <w:r w:rsidRPr="00CD2811">
          <w:rPr>
            <w:rStyle w:val="Hyperlink"/>
            <w:rFonts w:ascii="Arial" w:hAnsi="Arial" w:cs="Arial"/>
            <w:bCs/>
            <w:lang w:val="en-PH"/>
          </w:rPr>
          <w:t>https://doi.org/10.1080/1088937X.2021.1918787</w:t>
        </w:r>
      </w:hyperlink>
    </w:p>
    <w:p w14:paraId="5E2B3195" w14:textId="77777777" w:rsidR="00743D83" w:rsidRPr="00CD2811" w:rsidRDefault="00743D83" w:rsidP="0082659A">
      <w:pPr>
        <w:pStyle w:val="Body"/>
        <w:spacing w:after="0"/>
        <w:jc w:val="left"/>
        <w:rPr>
          <w:rFonts w:ascii="Arial" w:hAnsi="Arial" w:cs="Arial"/>
          <w:bCs/>
          <w:lang w:val="en-PH"/>
        </w:rPr>
      </w:pPr>
    </w:p>
    <w:p w14:paraId="65EE31C7" w14:textId="5DF41150" w:rsidR="00CD2811" w:rsidRPr="00CD2811" w:rsidRDefault="00CD2811" w:rsidP="008A7D6E">
      <w:pPr>
        <w:pStyle w:val="Body"/>
        <w:numPr>
          <w:ilvl w:val="0"/>
          <w:numId w:val="32"/>
        </w:numPr>
        <w:spacing w:after="0"/>
        <w:jc w:val="left"/>
        <w:rPr>
          <w:rFonts w:ascii="Arial" w:hAnsi="Arial" w:cs="Arial"/>
          <w:bCs/>
          <w:lang w:val="en-PH"/>
        </w:rPr>
      </w:pPr>
      <w:r w:rsidRPr="00CD2811">
        <w:rPr>
          <w:rFonts w:ascii="Arial" w:hAnsi="Arial" w:cs="Arial"/>
          <w:bCs/>
          <w:lang w:val="en-PH"/>
        </w:rPr>
        <w:t xml:space="preserve">Furqan, A., Som, A. P. M., &amp; Hussin, R. (2010). Promoting green tourism for future sustainability. </w:t>
      </w:r>
      <w:r w:rsidRPr="00CD2811">
        <w:rPr>
          <w:rFonts w:ascii="Arial" w:hAnsi="Arial" w:cs="Arial"/>
          <w:bCs/>
          <w:i/>
          <w:iCs/>
          <w:lang w:val="en-PH"/>
        </w:rPr>
        <w:t>Theoretical and Empirical Researches in Urban Management, 17</w:t>
      </w:r>
      <w:r w:rsidRPr="00CD2811">
        <w:rPr>
          <w:rFonts w:ascii="Arial" w:hAnsi="Arial" w:cs="Arial"/>
          <w:bCs/>
          <w:lang w:val="en-PH"/>
        </w:rPr>
        <w:t>, 64–74.</w:t>
      </w:r>
    </w:p>
    <w:p w14:paraId="7DF89DD8"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González Fonseca, F. (2012). Challenges and opportunities in the world of tourism from the point of view of ecotourism. </w:t>
      </w:r>
      <w:r w:rsidRPr="00CD2811">
        <w:rPr>
          <w:rFonts w:ascii="Arial" w:hAnsi="Arial" w:cs="Arial"/>
          <w:bCs/>
          <w:i/>
          <w:iCs/>
          <w:lang w:val="en-PH"/>
        </w:rPr>
        <w:t>Higher Learning Research Communications, 2</w:t>
      </w:r>
      <w:r w:rsidRPr="00CD2811">
        <w:rPr>
          <w:rFonts w:ascii="Arial" w:hAnsi="Arial" w:cs="Arial"/>
          <w:bCs/>
          <w:lang w:val="en-PH"/>
        </w:rPr>
        <w:t xml:space="preserve">(4), 1–9. </w:t>
      </w:r>
      <w:hyperlink r:id="rId32" w:tgtFrame="_new" w:history="1">
        <w:r w:rsidRPr="00CD2811">
          <w:rPr>
            <w:rStyle w:val="Hyperlink"/>
            <w:rFonts w:ascii="Arial" w:hAnsi="Arial" w:cs="Arial"/>
            <w:bCs/>
            <w:lang w:val="en-PH"/>
          </w:rPr>
          <w:t>https://doi.org/10.18870/hlrc.v2i4.82</w:t>
        </w:r>
      </w:hyperlink>
    </w:p>
    <w:p w14:paraId="736EEBF6" w14:textId="77777777" w:rsidR="00743D83" w:rsidRPr="00CD2811" w:rsidRDefault="00743D83" w:rsidP="0082659A">
      <w:pPr>
        <w:pStyle w:val="Body"/>
        <w:spacing w:after="0"/>
        <w:jc w:val="left"/>
        <w:rPr>
          <w:rFonts w:ascii="Arial" w:hAnsi="Arial" w:cs="Arial"/>
          <w:bCs/>
          <w:lang w:val="en-PH"/>
        </w:rPr>
      </w:pPr>
    </w:p>
    <w:p w14:paraId="45CC5FA7" w14:textId="77490C3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González Cortés, L. D., &amp; Husain-Talero, S. (2020). Social entrepreneurship and sustainable tourism in Colombia: A baseline study in post-conflict regions. </w:t>
      </w:r>
      <w:r w:rsidRPr="00CD2811">
        <w:rPr>
          <w:rFonts w:ascii="Arial" w:hAnsi="Arial" w:cs="Arial"/>
          <w:bCs/>
          <w:i/>
          <w:iCs/>
          <w:lang w:val="en-PH"/>
        </w:rPr>
        <w:t>The International Journal of Sustainability in Economic, Social and Cultural Context, 16</w:t>
      </w:r>
      <w:r w:rsidRPr="00CD2811">
        <w:rPr>
          <w:rFonts w:ascii="Arial" w:hAnsi="Arial" w:cs="Arial"/>
          <w:bCs/>
          <w:lang w:val="en-PH"/>
        </w:rPr>
        <w:t xml:space="preserve">(2), 65–85. </w:t>
      </w:r>
      <w:hyperlink r:id="rId33" w:tgtFrame="_new" w:history="1">
        <w:r w:rsidRPr="00CD2811">
          <w:rPr>
            <w:rStyle w:val="Hyperlink"/>
            <w:rFonts w:ascii="Arial" w:hAnsi="Arial" w:cs="Arial"/>
            <w:bCs/>
            <w:lang w:val="en-PH"/>
          </w:rPr>
          <w:t>https://doi.org/10.18848/2325-1115/CGP/v16i02/65-85</w:t>
        </w:r>
      </w:hyperlink>
    </w:p>
    <w:p w14:paraId="516BC73B" w14:textId="77777777" w:rsidR="00743D83" w:rsidRPr="00CD2811" w:rsidRDefault="00743D83" w:rsidP="0082659A">
      <w:pPr>
        <w:pStyle w:val="Body"/>
        <w:spacing w:after="0"/>
        <w:jc w:val="left"/>
        <w:rPr>
          <w:rFonts w:ascii="Arial" w:hAnsi="Arial" w:cs="Arial"/>
          <w:bCs/>
          <w:lang w:val="en-PH"/>
        </w:rPr>
      </w:pPr>
    </w:p>
    <w:p w14:paraId="4C7E70FE"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González, M. C., &amp; Correal, C. A. (2021). Governance challenges and opportunities for implementing resource recovery from organic waste streams in Chía, Colombia. </w:t>
      </w:r>
      <w:r w:rsidRPr="00CD2811">
        <w:rPr>
          <w:rFonts w:ascii="Arial" w:hAnsi="Arial" w:cs="Arial"/>
          <w:bCs/>
          <w:i/>
          <w:iCs/>
          <w:lang w:val="en-PH"/>
        </w:rPr>
        <w:t>Environmental Challenges, 5</w:t>
      </w:r>
      <w:r w:rsidRPr="00CD2811">
        <w:rPr>
          <w:rFonts w:ascii="Arial" w:hAnsi="Arial" w:cs="Arial"/>
          <w:bCs/>
          <w:lang w:val="en-PH"/>
        </w:rPr>
        <w:t xml:space="preserve">, 100338. </w:t>
      </w:r>
      <w:hyperlink r:id="rId34" w:tgtFrame="_new" w:history="1">
        <w:r w:rsidRPr="00CD2811">
          <w:rPr>
            <w:rStyle w:val="Hyperlink"/>
            <w:rFonts w:ascii="Arial" w:hAnsi="Arial" w:cs="Arial"/>
            <w:bCs/>
            <w:lang w:val="en-PH"/>
          </w:rPr>
          <w:t>https://doi.org/10.1016/j.envc.2021.100338</w:t>
        </w:r>
      </w:hyperlink>
    </w:p>
    <w:p w14:paraId="5B05E2A4" w14:textId="77777777" w:rsidR="00743D83" w:rsidRPr="00CD2811" w:rsidRDefault="00743D83" w:rsidP="0082659A">
      <w:pPr>
        <w:pStyle w:val="Body"/>
        <w:spacing w:after="0"/>
        <w:jc w:val="left"/>
        <w:rPr>
          <w:rFonts w:ascii="Arial" w:hAnsi="Arial" w:cs="Arial"/>
          <w:bCs/>
          <w:lang w:val="en-PH"/>
        </w:rPr>
      </w:pPr>
    </w:p>
    <w:p w14:paraId="29C1AC9F" w14:textId="77777777" w:rsidR="00CD2811" w:rsidRPr="00B37571" w:rsidRDefault="00CD2811" w:rsidP="008A7D6E">
      <w:pPr>
        <w:pStyle w:val="Body"/>
        <w:numPr>
          <w:ilvl w:val="0"/>
          <w:numId w:val="32"/>
        </w:numPr>
        <w:spacing w:after="0"/>
        <w:jc w:val="left"/>
        <w:rPr>
          <w:rFonts w:ascii="Arial" w:hAnsi="Arial" w:cs="Arial"/>
          <w:bCs/>
        </w:rPr>
      </w:pPr>
      <w:proofErr w:type="spellStart"/>
      <w:r w:rsidRPr="00CD2811">
        <w:rPr>
          <w:rFonts w:ascii="Arial" w:hAnsi="Arial" w:cs="Arial"/>
          <w:bCs/>
          <w:lang w:val="en-PH"/>
        </w:rPr>
        <w:t>Gryshchenko</w:t>
      </w:r>
      <w:proofErr w:type="spellEnd"/>
      <w:r w:rsidRPr="00CD2811">
        <w:rPr>
          <w:rFonts w:ascii="Arial" w:hAnsi="Arial" w:cs="Arial"/>
          <w:bCs/>
          <w:lang w:val="en-PH"/>
        </w:rPr>
        <w:t xml:space="preserve">, O., Babenko, V., </w:t>
      </w:r>
      <w:proofErr w:type="spellStart"/>
      <w:r w:rsidRPr="00CD2811">
        <w:rPr>
          <w:rFonts w:ascii="Arial" w:hAnsi="Arial" w:cs="Arial"/>
          <w:bCs/>
          <w:lang w:val="en-PH"/>
        </w:rPr>
        <w:t>Bilovodska</w:t>
      </w:r>
      <w:proofErr w:type="spellEnd"/>
      <w:r w:rsidRPr="00CD2811">
        <w:rPr>
          <w:rFonts w:ascii="Arial" w:hAnsi="Arial" w:cs="Arial"/>
          <w:bCs/>
          <w:lang w:val="en-PH"/>
        </w:rPr>
        <w:t xml:space="preserve">, O., </w:t>
      </w:r>
      <w:proofErr w:type="spellStart"/>
      <w:r w:rsidRPr="00CD2811">
        <w:rPr>
          <w:rFonts w:ascii="Arial" w:hAnsi="Arial" w:cs="Arial"/>
          <w:bCs/>
          <w:lang w:val="en-PH"/>
        </w:rPr>
        <w:t>Voronkova</w:t>
      </w:r>
      <w:proofErr w:type="spellEnd"/>
      <w:r w:rsidRPr="00CD2811">
        <w:rPr>
          <w:rFonts w:ascii="Arial" w:hAnsi="Arial" w:cs="Arial"/>
          <w:bCs/>
          <w:lang w:val="en-PH"/>
        </w:rPr>
        <w:t xml:space="preserve">, T., &amp; Ponomarenko, I. (2022). Green tourism business as marketing perspective in environmental management. </w:t>
      </w:r>
      <w:r w:rsidRPr="00CD2811">
        <w:rPr>
          <w:rFonts w:ascii="Arial" w:hAnsi="Arial" w:cs="Arial"/>
          <w:bCs/>
          <w:i/>
          <w:iCs/>
          <w:lang w:val="en-PH"/>
        </w:rPr>
        <w:t>Global Journal of Environmental Science and Management, 8</w:t>
      </w:r>
      <w:r w:rsidRPr="00CD2811">
        <w:rPr>
          <w:rFonts w:ascii="Arial" w:hAnsi="Arial" w:cs="Arial"/>
          <w:bCs/>
          <w:lang w:val="en-PH"/>
        </w:rPr>
        <w:t xml:space="preserve">(1), 117–132. </w:t>
      </w:r>
      <w:hyperlink r:id="rId35" w:tgtFrame="_new" w:history="1">
        <w:r w:rsidRPr="00CD2811">
          <w:rPr>
            <w:rStyle w:val="Hyperlink"/>
            <w:rFonts w:ascii="Arial" w:hAnsi="Arial" w:cs="Arial"/>
            <w:bCs/>
            <w:lang w:val="en-PH"/>
          </w:rPr>
          <w:t>https://doi.org/10.22034/gjesm.2022.01.09</w:t>
        </w:r>
      </w:hyperlink>
    </w:p>
    <w:p w14:paraId="634A2FED" w14:textId="77777777" w:rsidR="00743D83" w:rsidRPr="00CD2811" w:rsidRDefault="00743D83" w:rsidP="0082659A">
      <w:pPr>
        <w:pStyle w:val="Body"/>
        <w:spacing w:after="0"/>
        <w:jc w:val="left"/>
        <w:rPr>
          <w:rFonts w:ascii="Arial" w:hAnsi="Arial" w:cs="Arial"/>
          <w:bCs/>
          <w:lang w:val="en-PH"/>
        </w:rPr>
      </w:pPr>
    </w:p>
    <w:p w14:paraId="06081C44" w14:textId="77777777" w:rsidR="00CD2811" w:rsidRPr="00CD2811" w:rsidRDefault="00CD2811" w:rsidP="008A7D6E">
      <w:pPr>
        <w:pStyle w:val="Body"/>
        <w:numPr>
          <w:ilvl w:val="0"/>
          <w:numId w:val="32"/>
        </w:numPr>
        <w:spacing w:after="0"/>
        <w:jc w:val="left"/>
        <w:rPr>
          <w:rFonts w:ascii="Arial" w:hAnsi="Arial" w:cs="Arial"/>
          <w:bCs/>
          <w:lang w:val="en-PH"/>
        </w:rPr>
      </w:pPr>
      <w:r w:rsidRPr="00CD2811">
        <w:rPr>
          <w:rFonts w:ascii="Arial" w:hAnsi="Arial" w:cs="Arial"/>
          <w:bCs/>
          <w:lang w:val="en-PH"/>
        </w:rPr>
        <w:t xml:space="preserve">Han, H., Lee, J.-S., Trang, H. L. T., &amp; Kim, W. (2018). Water conservation and waste reduction management for increasing guest loyalty and green hotel practices. </w:t>
      </w:r>
      <w:r w:rsidRPr="00CD2811">
        <w:rPr>
          <w:rFonts w:ascii="Arial" w:hAnsi="Arial" w:cs="Arial"/>
          <w:bCs/>
          <w:i/>
          <w:iCs/>
          <w:lang w:val="en-PH"/>
        </w:rPr>
        <w:t>International Journal of Hospitality Management, 75</w:t>
      </w:r>
      <w:r w:rsidRPr="00CD2811">
        <w:rPr>
          <w:rFonts w:ascii="Arial" w:hAnsi="Arial" w:cs="Arial"/>
          <w:bCs/>
          <w:lang w:val="en-PH"/>
        </w:rPr>
        <w:t xml:space="preserve">, 58–66. </w:t>
      </w:r>
      <w:hyperlink r:id="rId36" w:tgtFrame="_new" w:history="1">
        <w:r w:rsidRPr="00CD2811">
          <w:rPr>
            <w:rStyle w:val="Hyperlink"/>
            <w:rFonts w:ascii="Arial" w:hAnsi="Arial" w:cs="Arial"/>
            <w:bCs/>
            <w:lang w:val="en-PH"/>
          </w:rPr>
          <w:t>https://doi.org/10.1016/j.ijhm.2018.03.012</w:t>
        </w:r>
      </w:hyperlink>
    </w:p>
    <w:p w14:paraId="003121A4"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lastRenderedPageBreak/>
        <w:t xml:space="preserve">Higuera, H. J. G., Rogelja, T., &amp; Secco, L. (2023). Policy framework as a challenge and opportunity for social innovation initiatives in eco-tourism in Colombia. </w:t>
      </w:r>
      <w:r w:rsidRPr="00CD2811">
        <w:rPr>
          <w:rFonts w:ascii="Arial" w:hAnsi="Arial" w:cs="Arial"/>
          <w:bCs/>
          <w:i/>
          <w:iCs/>
          <w:lang w:val="en-PH"/>
        </w:rPr>
        <w:t>Forest Policy and Economics, 157</w:t>
      </w:r>
      <w:r w:rsidRPr="00CD2811">
        <w:rPr>
          <w:rFonts w:ascii="Arial" w:hAnsi="Arial" w:cs="Arial"/>
          <w:bCs/>
          <w:lang w:val="en-PH"/>
        </w:rPr>
        <w:t xml:space="preserve">, 103076. </w:t>
      </w:r>
      <w:hyperlink r:id="rId37" w:tgtFrame="_new" w:history="1">
        <w:r w:rsidRPr="00CD2811">
          <w:rPr>
            <w:rStyle w:val="Hyperlink"/>
            <w:rFonts w:ascii="Arial" w:hAnsi="Arial" w:cs="Arial"/>
            <w:bCs/>
            <w:lang w:val="en-PH"/>
          </w:rPr>
          <w:t>https://doi.org/10.1016/j.forpol.2023.103076</w:t>
        </w:r>
      </w:hyperlink>
    </w:p>
    <w:p w14:paraId="04225AEC" w14:textId="77777777" w:rsidR="00743D83" w:rsidRPr="00CD2811" w:rsidRDefault="00743D83" w:rsidP="0082659A">
      <w:pPr>
        <w:pStyle w:val="Body"/>
        <w:spacing w:after="0"/>
        <w:jc w:val="left"/>
        <w:rPr>
          <w:rFonts w:ascii="Arial" w:hAnsi="Arial" w:cs="Arial"/>
          <w:bCs/>
          <w:lang w:val="en-PH"/>
        </w:rPr>
      </w:pPr>
    </w:p>
    <w:p w14:paraId="77E4483F" w14:textId="77777777" w:rsidR="00CD2811" w:rsidRPr="00B37571" w:rsidRDefault="00CD2811" w:rsidP="008A7D6E">
      <w:pPr>
        <w:pStyle w:val="Body"/>
        <w:numPr>
          <w:ilvl w:val="0"/>
          <w:numId w:val="32"/>
        </w:numPr>
        <w:spacing w:after="0"/>
        <w:jc w:val="left"/>
        <w:rPr>
          <w:rFonts w:ascii="Arial" w:hAnsi="Arial" w:cs="Arial"/>
          <w:bCs/>
        </w:rPr>
      </w:pPr>
      <w:proofErr w:type="spellStart"/>
      <w:r w:rsidRPr="00CD2811">
        <w:rPr>
          <w:rFonts w:ascii="Arial" w:hAnsi="Arial" w:cs="Arial"/>
          <w:bCs/>
          <w:lang w:val="en-PH"/>
        </w:rPr>
        <w:t>Ibnou</w:t>
      </w:r>
      <w:proofErr w:type="spellEnd"/>
      <w:r w:rsidRPr="00CD2811">
        <w:rPr>
          <w:rFonts w:ascii="Arial" w:hAnsi="Arial" w:cs="Arial"/>
          <w:bCs/>
          <w:lang w:val="en-PH"/>
        </w:rPr>
        <w:t xml:space="preserve">-Laaroussi, S., </w:t>
      </w:r>
      <w:proofErr w:type="spellStart"/>
      <w:r w:rsidRPr="00CD2811">
        <w:rPr>
          <w:rFonts w:ascii="Arial" w:hAnsi="Arial" w:cs="Arial"/>
          <w:bCs/>
          <w:lang w:val="en-PH"/>
        </w:rPr>
        <w:t>Rjoub</w:t>
      </w:r>
      <w:proofErr w:type="spellEnd"/>
      <w:r w:rsidRPr="00CD2811">
        <w:rPr>
          <w:rFonts w:ascii="Arial" w:hAnsi="Arial" w:cs="Arial"/>
          <w:bCs/>
          <w:lang w:val="en-PH"/>
        </w:rPr>
        <w:t xml:space="preserve">, H., &amp; Wong, W.-K. (2020). Sustainability of green tourism among international tourists and its influence on the achievement of green environment: Evidence from North Cyprus. </w:t>
      </w:r>
      <w:r w:rsidRPr="00CD2811">
        <w:rPr>
          <w:rFonts w:ascii="Arial" w:hAnsi="Arial" w:cs="Arial"/>
          <w:bCs/>
          <w:i/>
          <w:iCs/>
          <w:lang w:val="en-PH"/>
        </w:rPr>
        <w:t>Sustainability, 12</w:t>
      </w:r>
      <w:r w:rsidRPr="00CD2811">
        <w:rPr>
          <w:rFonts w:ascii="Arial" w:hAnsi="Arial" w:cs="Arial"/>
          <w:bCs/>
          <w:lang w:val="en-PH"/>
        </w:rPr>
        <w:t xml:space="preserve">(14), 5698. </w:t>
      </w:r>
      <w:hyperlink r:id="rId38" w:tgtFrame="_new" w:history="1">
        <w:r w:rsidRPr="00CD2811">
          <w:rPr>
            <w:rStyle w:val="Hyperlink"/>
            <w:rFonts w:ascii="Arial" w:hAnsi="Arial" w:cs="Arial"/>
            <w:bCs/>
            <w:lang w:val="en-PH"/>
          </w:rPr>
          <w:t>https://doi.org/10.3390/su12145698</w:t>
        </w:r>
      </w:hyperlink>
    </w:p>
    <w:p w14:paraId="60E2E3FD" w14:textId="77777777" w:rsidR="00743D83" w:rsidRPr="00CD2811" w:rsidRDefault="00743D83" w:rsidP="0082659A">
      <w:pPr>
        <w:pStyle w:val="Body"/>
        <w:spacing w:after="0"/>
        <w:jc w:val="left"/>
        <w:rPr>
          <w:rFonts w:ascii="Arial" w:hAnsi="Arial" w:cs="Arial"/>
          <w:bCs/>
          <w:lang w:val="en-PH"/>
        </w:rPr>
      </w:pPr>
    </w:p>
    <w:p w14:paraId="0BB49785"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Jarvis, N., Weeden, C., &amp; Simcock, N. (2010). The benefits and challenges of sustainable tourism certification: A case study of the Green Tourism Business Scheme in the West of England. </w:t>
      </w:r>
      <w:r w:rsidRPr="00CD2811">
        <w:rPr>
          <w:rFonts w:ascii="Arial" w:hAnsi="Arial" w:cs="Arial"/>
          <w:bCs/>
          <w:i/>
          <w:iCs/>
          <w:lang w:val="en-PH"/>
        </w:rPr>
        <w:t>Journal of Hospitality and Tourism Management, 17</w:t>
      </w:r>
      <w:r w:rsidRPr="00CD2811">
        <w:rPr>
          <w:rFonts w:ascii="Arial" w:hAnsi="Arial" w:cs="Arial"/>
          <w:bCs/>
          <w:lang w:val="en-PH"/>
        </w:rPr>
        <w:t xml:space="preserve">(1), 83–93. </w:t>
      </w:r>
      <w:hyperlink r:id="rId39" w:tgtFrame="_new" w:history="1">
        <w:r w:rsidRPr="00CD2811">
          <w:rPr>
            <w:rStyle w:val="Hyperlink"/>
            <w:rFonts w:ascii="Arial" w:hAnsi="Arial" w:cs="Arial"/>
            <w:bCs/>
            <w:lang w:val="en-PH"/>
          </w:rPr>
          <w:t>https://doi.org/10.1375/jhtm.17.1.83</w:t>
        </w:r>
      </w:hyperlink>
    </w:p>
    <w:p w14:paraId="71805DCB" w14:textId="77777777" w:rsidR="00743D83" w:rsidRPr="00CD2811" w:rsidRDefault="00743D83" w:rsidP="0082659A">
      <w:pPr>
        <w:pStyle w:val="Body"/>
        <w:spacing w:after="0"/>
        <w:jc w:val="left"/>
        <w:rPr>
          <w:rFonts w:ascii="Arial" w:hAnsi="Arial" w:cs="Arial"/>
          <w:bCs/>
          <w:lang w:val="en-PH"/>
        </w:rPr>
      </w:pPr>
    </w:p>
    <w:p w14:paraId="2A258A22"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Kaiwa, E. (2017). Sustainable tourism in Asia—Current situation, trends, and existing practices. In </w:t>
      </w:r>
      <w:r w:rsidRPr="00CD2811">
        <w:rPr>
          <w:rFonts w:ascii="Arial" w:hAnsi="Arial" w:cs="Arial"/>
          <w:bCs/>
          <w:i/>
          <w:iCs/>
          <w:lang w:val="en-PH"/>
        </w:rPr>
        <w:t>Sustainable Asia: Supporting the transition to sustainable consumption and production in Asian developing countries</w:t>
      </w:r>
      <w:r w:rsidRPr="00CD2811">
        <w:rPr>
          <w:rFonts w:ascii="Arial" w:hAnsi="Arial" w:cs="Arial"/>
          <w:bCs/>
          <w:lang w:val="en-PH"/>
        </w:rPr>
        <w:t xml:space="preserve"> (pp. 359–389). World Scientific. </w:t>
      </w:r>
      <w:hyperlink r:id="rId40" w:tgtFrame="_new" w:history="1">
        <w:r w:rsidRPr="00CD2811">
          <w:rPr>
            <w:rStyle w:val="Hyperlink"/>
            <w:rFonts w:ascii="Arial" w:hAnsi="Arial" w:cs="Arial"/>
            <w:bCs/>
            <w:lang w:val="en-PH"/>
          </w:rPr>
          <w:t>https://doi.org/10.1142/9789814730914_0014</w:t>
        </w:r>
      </w:hyperlink>
    </w:p>
    <w:p w14:paraId="51DF5D24" w14:textId="77777777" w:rsidR="00743D83" w:rsidRPr="00CD2811" w:rsidRDefault="00743D83" w:rsidP="0082659A">
      <w:pPr>
        <w:pStyle w:val="Body"/>
        <w:spacing w:after="0"/>
        <w:jc w:val="left"/>
        <w:rPr>
          <w:rFonts w:ascii="Arial" w:hAnsi="Arial" w:cs="Arial"/>
          <w:bCs/>
          <w:lang w:val="en-PH"/>
        </w:rPr>
      </w:pPr>
    </w:p>
    <w:p w14:paraId="7D30F265"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Kim, M., Moon, H., Chu, M., &amp; Yoon, Y. (2020). A study on the complementary direction of guidelines for developing green conventions in Korea: Using comparative analysis among domestic and overseas cases. </w:t>
      </w:r>
      <w:r w:rsidRPr="00CD2811">
        <w:rPr>
          <w:rFonts w:ascii="Arial" w:hAnsi="Arial" w:cs="Arial"/>
          <w:bCs/>
          <w:i/>
          <w:iCs/>
          <w:lang w:val="en-PH"/>
        </w:rPr>
        <w:t>Sustainability, 12</w:t>
      </w:r>
      <w:r w:rsidRPr="00CD2811">
        <w:rPr>
          <w:rFonts w:ascii="Arial" w:hAnsi="Arial" w:cs="Arial"/>
          <w:bCs/>
          <w:lang w:val="en-PH"/>
        </w:rPr>
        <w:t xml:space="preserve">(8), 3383. </w:t>
      </w:r>
      <w:hyperlink r:id="rId41" w:tgtFrame="_new" w:history="1">
        <w:r w:rsidRPr="00CD2811">
          <w:rPr>
            <w:rStyle w:val="Hyperlink"/>
            <w:rFonts w:ascii="Arial" w:hAnsi="Arial" w:cs="Arial"/>
            <w:bCs/>
            <w:lang w:val="en-PH"/>
          </w:rPr>
          <w:t>https://doi.org/10.3390/su12083383</w:t>
        </w:r>
      </w:hyperlink>
    </w:p>
    <w:p w14:paraId="59F6E4B9" w14:textId="77777777" w:rsidR="00743D83" w:rsidRPr="00CD2811" w:rsidRDefault="00743D83" w:rsidP="0082659A">
      <w:pPr>
        <w:pStyle w:val="Body"/>
        <w:spacing w:after="0"/>
        <w:jc w:val="left"/>
        <w:rPr>
          <w:rFonts w:ascii="Arial" w:hAnsi="Arial" w:cs="Arial"/>
          <w:bCs/>
          <w:lang w:val="en-PH"/>
        </w:rPr>
      </w:pPr>
    </w:p>
    <w:p w14:paraId="59D007CC"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Kruczek, Z., Kruczek, Z., Kruczek, M., &amp; </w:t>
      </w:r>
      <w:proofErr w:type="spellStart"/>
      <w:r w:rsidRPr="00CD2811">
        <w:rPr>
          <w:rFonts w:ascii="Arial" w:hAnsi="Arial" w:cs="Arial"/>
          <w:bCs/>
          <w:lang w:val="en-PH"/>
        </w:rPr>
        <w:t>Szromek</w:t>
      </w:r>
      <w:proofErr w:type="spellEnd"/>
      <w:r w:rsidRPr="00CD2811">
        <w:rPr>
          <w:rFonts w:ascii="Arial" w:hAnsi="Arial" w:cs="Arial"/>
          <w:bCs/>
          <w:lang w:val="en-PH"/>
        </w:rPr>
        <w:t xml:space="preserve">, A. R. (2018). Possibilities of using the tourism area life cycle model to understand and provide sustainable solutions for tourism development in the Antarctic region. </w:t>
      </w:r>
      <w:r w:rsidRPr="00CD2811">
        <w:rPr>
          <w:rFonts w:ascii="Arial" w:hAnsi="Arial" w:cs="Arial"/>
          <w:bCs/>
          <w:i/>
          <w:iCs/>
          <w:lang w:val="en-PH"/>
        </w:rPr>
        <w:t>Sustainability, 10</w:t>
      </w:r>
      <w:r w:rsidRPr="00CD2811">
        <w:rPr>
          <w:rFonts w:ascii="Arial" w:hAnsi="Arial" w:cs="Arial"/>
          <w:bCs/>
          <w:lang w:val="en-PH"/>
        </w:rPr>
        <w:t xml:space="preserve">(1), 89. </w:t>
      </w:r>
      <w:hyperlink r:id="rId42" w:tgtFrame="_new" w:history="1">
        <w:r w:rsidRPr="00CD2811">
          <w:rPr>
            <w:rStyle w:val="Hyperlink"/>
            <w:rFonts w:ascii="Arial" w:hAnsi="Arial" w:cs="Arial"/>
            <w:bCs/>
            <w:lang w:val="en-PH"/>
          </w:rPr>
          <w:t>https://doi.org/10.3390/su10010089</w:t>
        </w:r>
      </w:hyperlink>
    </w:p>
    <w:p w14:paraId="02E8585A" w14:textId="77777777" w:rsidR="00743D83" w:rsidRPr="00CD2811" w:rsidRDefault="00743D83" w:rsidP="0082659A">
      <w:pPr>
        <w:pStyle w:val="Body"/>
        <w:spacing w:after="0"/>
        <w:jc w:val="left"/>
        <w:rPr>
          <w:rFonts w:ascii="Arial" w:hAnsi="Arial" w:cs="Arial"/>
          <w:bCs/>
          <w:lang w:val="en-PH"/>
        </w:rPr>
      </w:pPr>
    </w:p>
    <w:p w14:paraId="1CC807BC"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Kusakabe, E. (2013). Advancing sustainable development at the local level: The case of </w:t>
      </w:r>
      <w:proofErr w:type="spellStart"/>
      <w:r w:rsidRPr="00CD2811">
        <w:rPr>
          <w:rFonts w:ascii="Arial" w:hAnsi="Arial" w:cs="Arial"/>
          <w:bCs/>
          <w:i/>
          <w:iCs/>
          <w:lang w:val="en-PH"/>
        </w:rPr>
        <w:t>machizukuri</w:t>
      </w:r>
      <w:proofErr w:type="spellEnd"/>
      <w:r w:rsidRPr="00CD2811">
        <w:rPr>
          <w:rFonts w:ascii="Arial" w:hAnsi="Arial" w:cs="Arial"/>
          <w:bCs/>
          <w:lang w:val="en-PH"/>
        </w:rPr>
        <w:t xml:space="preserve"> in Japanese cities. </w:t>
      </w:r>
      <w:r w:rsidRPr="00CD2811">
        <w:rPr>
          <w:rFonts w:ascii="Arial" w:hAnsi="Arial" w:cs="Arial"/>
          <w:bCs/>
          <w:i/>
          <w:iCs/>
          <w:lang w:val="en-PH"/>
        </w:rPr>
        <w:t>Progress in Planning, 80</w:t>
      </w:r>
      <w:r w:rsidRPr="00CD2811">
        <w:rPr>
          <w:rFonts w:ascii="Arial" w:hAnsi="Arial" w:cs="Arial"/>
          <w:bCs/>
          <w:lang w:val="en-PH"/>
        </w:rPr>
        <w:t xml:space="preserve">, 1–65. </w:t>
      </w:r>
      <w:hyperlink r:id="rId43" w:tgtFrame="_new" w:history="1">
        <w:r w:rsidRPr="00CD2811">
          <w:rPr>
            <w:rStyle w:val="Hyperlink"/>
            <w:rFonts w:ascii="Arial" w:hAnsi="Arial" w:cs="Arial"/>
            <w:bCs/>
            <w:lang w:val="en-PH"/>
          </w:rPr>
          <w:t>https://doi.org/10.1016/j.progress.2012.06.001</w:t>
        </w:r>
      </w:hyperlink>
    </w:p>
    <w:p w14:paraId="14E97510" w14:textId="77777777" w:rsidR="00743D83" w:rsidRPr="00CD2811" w:rsidRDefault="00743D83" w:rsidP="0082659A">
      <w:pPr>
        <w:pStyle w:val="Body"/>
        <w:spacing w:after="0"/>
        <w:jc w:val="left"/>
        <w:rPr>
          <w:rFonts w:ascii="Arial" w:hAnsi="Arial" w:cs="Arial"/>
          <w:bCs/>
          <w:lang w:val="en-PH"/>
        </w:rPr>
      </w:pPr>
    </w:p>
    <w:p w14:paraId="40DD7CFB"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Lamers, M. (2009). </w:t>
      </w:r>
      <w:r w:rsidRPr="00CD2811">
        <w:rPr>
          <w:rFonts w:ascii="Arial" w:hAnsi="Arial" w:cs="Arial"/>
          <w:bCs/>
          <w:i/>
          <w:iCs/>
          <w:lang w:val="en-PH"/>
        </w:rPr>
        <w:t>The future of tourism in Antarctica: Challenges for sustainability</w:t>
      </w:r>
      <w:r w:rsidRPr="00CD2811">
        <w:rPr>
          <w:rFonts w:ascii="Arial" w:hAnsi="Arial" w:cs="Arial"/>
          <w:bCs/>
          <w:lang w:val="en-PH"/>
        </w:rPr>
        <w:t xml:space="preserve"> [Doctoral thesis, Maastricht University]. Maastricht University. </w:t>
      </w:r>
      <w:hyperlink r:id="rId44" w:tgtFrame="_new" w:history="1">
        <w:r w:rsidRPr="00CD2811">
          <w:rPr>
            <w:rStyle w:val="Hyperlink"/>
            <w:rFonts w:ascii="Arial" w:hAnsi="Arial" w:cs="Arial"/>
            <w:bCs/>
            <w:lang w:val="en-PH"/>
          </w:rPr>
          <w:t>https://doi.org/10.26481/dis.20091112ml</w:t>
        </w:r>
      </w:hyperlink>
    </w:p>
    <w:p w14:paraId="13BDC439" w14:textId="77777777" w:rsidR="00743D83" w:rsidRPr="00CD2811" w:rsidRDefault="00743D83" w:rsidP="0082659A">
      <w:pPr>
        <w:pStyle w:val="Body"/>
        <w:spacing w:after="0"/>
        <w:jc w:val="left"/>
        <w:rPr>
          <w:rFonts w:ascii="Arial" w:hAnsi="Arial" w:cs="Arial"/>
          <w:bCs/>
          <w:lang w:val="en-PH"/>
        </w:rPr>
      </w:pPr>
    </w:p>
    <w:p w14:paraId="0C10802E" w14:textId="77777777" w:rsidR="00CD2811" w:rsidRPr="00B37571" w:rsidRDefault="00CD2811" w:rsidP="008A7D6E">
      <w:pPr>
        <w:pStyle w:val="Body"/>
        <w:numPr>
          <w:ilvl w:val="0"/>
          <w:numId w:val="32"/>
        </w:numPr>
        <w:spacing w:after="0"/>
        <w:jc w:val="left"/>
        <w:rPr>
          <w:rFonts w:ascii="Arial" w:hAnsi="Arial" w:cs="Arial"/>
          <w:bCs/>
        </w:rPr>
      </w:pPr>
      <w:proofErr w:type="spellStart"/>
      <w:r w:rsidRPr="00CD2811">
        <w:rPr>
          <w:rFonts w:ascii="Arial" w:hAnsi="Arial" w:cs="Arial"/>
          <w:bCs/>
          <w:lang w:val="en-PH"/>
        </w:rPr>
        <w:t>Litheko</w:t>
      </w:r>
      <w:proofErr w:type="spellEnd"/>
      <w:r w:rsidRPr="00CD2811">
        <w:rPr>
          <w:rFonts w:ascii="Arial" w:hAnsi="Arial" w:cs="Arial"/>
          <w:bCs/>
          <w:lang w:val="en-PH"/>
        </w:rPr>
        <w:t xml:space="preserve">, A. (2021). Small tourism business growth through eco-tourism in Mahikeng, South Africa. </w:t>
      </w:r>
      <w:r w:rsidRPr="00CD2811">
        <w:rPr>
          <w:rFonts w:ascii="Arial" w:hAnsi="Arial" w:cs="Arial"/>
          <w:bCs/>
          <w:i/>
          <w:iCs/>
          <w:lang w:val="en-PH"/>
        </w:rPr>
        <w:t>African Journal of Hospitality, Tourism and Leisure, 10</w:t>
      </w:r>
      <w:r w:rsidRPr="00CD2811">
        <w:rPr>
          <w:rFonts w:ascii="Arial" w:hAnsi="Arial" w:cs="Arial"/>
          <w:bCs/>
          <w:lang w:val="en-PH"/>
        </w:rPr>
        <w:t xml:space="preserve">(1), 256–269. </w:t>
      </w:r>
      <w:hyperlink r:id="rId45" w:tgtFrame="_new" w:history="1">
        <w:r w:rsidRPr="00CD2811">
          <w:rPr>
            <w:rStyle w:val="Hyperlink"/>
            <w:rFonts w:ascii="Arial" w:hAnsi="Arial" w:cs="Arial"/>
            <w:bCs/>
            <w:lang w:val="en-PH"/>
          </w:rPr>
          <w:t>https://doi.org/10.46222/ajhtl.19770720-100</w:t>
        </w:r>
      </w:hyperlink>
    </w:p>
    <w:p w14:paraId="683C8D5F" w14:textId="77777777" w:rsidR="00743D83" w:rsidRPr="00CD2811" w:rsidRDefault="00743D83" w:rsidP="0082659A">
      <w:pPr>
        <w:pStyle w:val="Body"/>
        <w:spacing w:after="0"/>
        <w:jc w:val="left"/>
        <w:rPr>
          <w:rFonts w:ascii="Arial" w:hAnsi="Arial" w:cs="Arial"/>
          <w:bCs/>
          <w:lang w:val="en-PH"/>
        </w:rPr>
      </w:pPr>
    </w:p>
    <w:p w14:paraId="701213C3" w14:textId="77777777" w:rsidR="00CD2811" w:rsidRPr="00B37571" w:rsidRDefault="00CD2811" w:rsidP="008A7D6E">
      <w:pPr>
        <w:pStyle w:val="Body"/>
        <w:numPr>
          <w:ilvl w:val="0"/>
          <w:numId w:val="32"/>
        </w:numPr>
        <w:spacing w:after="0"/>
        <w:jc w:val="left"/>
        <w:rPr>
          <w:rFonts w:ascii="Arial" w:hAnsi="Arial" w:cs="Arial"/>
          <w:bCs/>
        </w:rPr>
      </w:pPr>
      <w:proofErr w:type="spellStart"/>
      <w:r w:rsidRPr="00CD2811">
        <w:rPr>
          <w:rFonts w:ascii="Arial" w:hAnsi="Arial" w:cs="Arial"/>
          <w:bCs/>
          <w:lang w:val="en-PH"/>
        </w:rPr>
        <w:t>Luekveerawattana</w:t>
      </w:r>
      <w:proofErr w:type="spellEnd"/>
      <w:r w:rsidRPr="00CD2811">
        <w:rPr>
          <w:rFonts w:ascii="Arial" w:hAnsi="Arial" w:cs="Arial"/>
          <w:bCs/>
          <w:lang w:val="en-PH"/>
        </w:rPr>
        <w:t xml:space="preserve">, R. (2024). Successful green tourism in remote cultural community areas. </w:t>
      </w:r>
      <w:r w:rsidRPr="00CD2811">
        <w:rPr>
          <w:rFonts w:ascii="Arial" w:hAnsi="Arial" w:cs="Arial"/>
          <w:bCs/>
          <w:i/>
          <w:iCs/>
          <w:lang w:val="en-PH"/>
        </w:rPr>
        <w:t>Cogent Social Sciences, 10</w:t>
      </w:r>
      <w:r w:rsidRPr="00CD2811">
        <w:rPr>
          <w:rFonts w:ascii="Arial" w:hAnsi="Arial" w:cs="Arial"/>
          <w:bCs/>
          <w:lang w:val="en-PH"/>
        </w:rPr>
        <w:t xml:space="preserve">(1), 2330733. </w:t>
      </w:r>
      <w:hyperlink r:id="rId46" w:tgtFrame="_new" w:history="1">
        <w:r w:rsidRPr="00CD2811">
          <w:rPr>
            <w:rStyle w:val="Hyperlink"/>
            <w:rFonts w:ascii="Arial" w:hAnsi="Arial" w:cs="Arial"/>
            <w:bCs/>
            <w:lang w:val="en-PH"/>
          </w:rPr>
          <w:t>https://doi.org/10.1080/23311886.2024.2330733</w:t>
        </w:r>
      </w:hyperlink>
    </w:p>
    <w:p w14:paraId="2C879322" w14:textId="77777777" w:rsidR="00743D83" w:rsidRPr="00CD2811" w:rsidRDefault="00743D83" w:rsidP="0082659A">
      <w:pPr>
        <w:pStyle w:val="Body"/>
        <w:spacing w:after="0"/>
        <w:jc w:val="left"/>
        <w:rPr>
          <w:rFonts w:ascii="Arial" w:hAnsi="Arial" w:cs="Arial"/>
          <w:bCs/>
          <w:lang w:val="en-PH"/>
        </w:rPr>
      </w:pPr>
    </w:p>
    <w:p w14:paraId="008D22BE"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Mallo, E. A. (2024). From terrorism to peaceful tourism: Status of sustainable tourism in Cotabato Province. </w:t>
      </w:r>
      <w:r w:rsidRPr="00CD2811">
        <w:rPr>
          <w:rFonts w:ascii="Arial" w:hAnsi="Arial" w:cs="Arial"/>
          <w:bCs/>
          <w:i/>
          <w:iCs/>
          <w:lang w:val="en-PH"/>
        </w:rPr>
        <w:t>Journal of Interdisciplinary Perspectives, 2</w:t>
      </w:r>
      <w:r w:rsidRPr="00CD2811">
        <w:rPr>
          <w:rFonts w:ascii="Arial" w:hAnsi="Arial" w:cs="Arial"/>
          <w:bCs/>
          <w:lang w:val="en-PH"/>
        </w:rPr>
        <w:t xml:space="preserve">(7), 27–33. </w:t>
      </w:r>
      <w:hyperlink r:id="rId47" w:tgtFrame="_new" w:history="1">
        <w:r w:rsidRPr="00CD2811">
          <w:rPr>
            <w:rStyle w:val="Hyperlink"/>
            <w:rFonts w:ascii="Arial" w:hAnsi="Arial" w:cs="Arial"/>
            <w:bCs/>
            <w:lang w:val="en-PH"/>
          </w:rPr>
          <w:t>https://doi.org/10.69569/jip.2024.0110</w:t>
        </w:r>
      </w:hyperlink>
    </w:p>
    <w:p w14:paraId="17C91E72" w14:textId="77777777" w:rsidR="00743D83" w:rsidRPr="00CD2811" w:rsidRDefault="00743D83" w:rsidP="0082659A">
      <w:pPr>
        <w:pStyle w:val="Body"/>
        <w:spacing w:after="0"/>
        <w:jc w:val="left"/>
        <w:rPr>
          <w:rFonts w:ascii="Arial" w:hAnsi="Arial" w:cs="Arial"/>
          <w:bCs/>
          <w:lang w:val="en-PH"/>
        </w:rPr>
      </w:pPr>
    </w:p>
    <w:p w14:paraId="417A9316"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McLennan, C. J., Becken, S., &amp; Watt, M. (2015). Learning through a cluster approach: Lessons from the implementation of six Australian tourism business sustainability programs. </w:t>
      </w:r>
      <w:r w:rsidRPr="00CD2811">
        <w:rPr>
          <w:rFonts w:ascii="Arial" w:hAnsi="Arial" w:cs="Arial"/>
          <w:bCs/>
          <w:i/>
          <w:iCs/>
          <w:lang w:val="en-PH"/>
        </w:rPr>
        <w:t>Journal of Cleaner Production, 108</w:t>
      </w:r>
      <w:r w:rsidRPr="00CD2811">
        <w:rPr>
          <w:rFonts w:ascii="Arial" w:hAnsi="Arial" w:cs="Arial"/>
          <w:bCs/>
          <w:lang w:val="en-PH"/>
        </w:rPr>
        <w:t xml:space="preserve">, 81–89. </w:t>
      </w:r>
      <w:hyperlink r:id="rId48" w:tgtFrame="_new" w:history="1">
        <w:r w:rsidRPr="00CD2811">
          <w:rPr>
            <w:rStyle w:val="Hyperlink"/>
            <w:rFonts w:ascii="Arial" w:hAnsi="Arial" w:cs="Arial"/>
            <w:bCs/>
            <w:lang w:val="en-PH"/>
          </w:rPr>
          <w:t>https://doi.org/10.1016/j.jclepro.2015.01.085</w:t>
        </w:r>
      </w:hyperlink>
    </w:p>
    <w:p w14:paraId="56F52108" w14:textId="77777777" w:rsidR="00743D83" w:rsidRPr="00CD2811" w:rsidRDefault="00743D83" w:rsidP="0082659A">
      <w:pPr>
        <w:pStyle w:val="Body"/>
        <w:spacing w:after="0"/>
        <w:jc w:val="left"/>
        <w:rPr>
          <w:rFonts w:ascii="Arial" w:hAnsi="Arial" w:cs="Arial"/>
          <w:bCs/>
          <w:lang w:val="en-PH"/>
        </w:rPr>
      </w:pPr>
    </w:p>
    <w:p w14:paraId="16699873"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Mensah, I. (2007). Environmental management and sustainable tourism development: The case of hotels in Greater Accra Region (GAR) of Ghana. </w:t>
      </w:r>
      <w:r w:rsidRPr="00CD2811">
        <w:rPr>
          <w:rFonts w:ascii="Arial" w:hAnsi="Arial" w:cs="Arial"/>
          <w:bCs/>
          <w:i/>
          <w:iCs/>
          <w:lang w:val="en-PH"/>
        </w:rPr>
        <w:t>Journal of Retail &amp; Leisure Property, 6</w:t>
      </w:r>
      <w:r w:rsidRPr="00CD2811">
        <w:rPr>
          <w:rFonts w:ascii="Arial" w:hAnsi="Arial" w:cs="Arial"/>
          <w:bCs/>
          <w:lang w:val="en-PH"/>
        </w:rPr>
        <w:t xml:space="preserve">, 15–22. </w:t>
      </w:r>
      <w:hyperlink r:id="rId49" w:history="1">
        <w:r w:rsidRPr="00CD2811">
          <w:rPr>
            <w:rStyle w:val="Hyperlink"/>
            <w:rFonts w:ascii="Arial" w:hAnsi="Arial" w:cs="Arial"/>
            <w:bCs/>
            <w:lang w:val="en-PH"/>
          </w:rPr>
          <w:t>https://doi.org/10.1057/palgrave.rlp.5100039</w:t>
        </w:r>
      </w:hyperlink>
    </w:p>
    <w:p w14:paraId="5000F6D1" w14:textId="77777777" w:rsidR="00743D83" w:rsidRPr="00CD2811" w:rsidRDefault="00743D83" w:rsidP="0082659A">
      <w:pPr>
        <w:pStyle w:val="Body"/>
        <w:spacing w:after="0"/>
        <w:jc w:val="left"/>
        <w:rPr>
          <w:rFonts w:ascii="Arial" w:hAnsi="Arial" w:cs="Arial"/>
          <w:bCs/>
          <w:lang w:val="en-PH"/>
        </w:rPr>
      </w:pPr>
    </w:p>
    <w:p w14:paraId="6C0A3078"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Miller, G., &amp; Twining-Ward, L. (2005). Monitoring for a sustainable tourism transition: The challenge of developing and using indicators. </w:t>
      </w:r>
      <w:r w:rsidRPr="00CD2811">
        <w:rPr>
          <w:rFonts w:ascii="Arial" w:hAnsi="Arial" w:cs="Arial"/>
          <w:bCs/>
          <w:i/>
          <w:iCs/>
          <w:lang w:val="en-PH"/>
        </w:rPr>
        <w:t>CABI.</w:t>
      </w:r>
      <w:r w:rsidRPr="00CD2811">
        <w:rPr>
          <w:rFonts w:ascii="Arial" w:hAnsi="Arial" w:cs="Arial"/>
          <w:bCs/>
          <w:lang w:val="en-PH"/>
        </w:rPr>
        <w:t xml:space="preserve"> </w:t>
      </w:r>
      <w:hyperlink r:id="rId50" w:tgtFrame="_new" w:history="1">
        <w:r w:rsidRPr="00CD2811">
          <w:rPr>
            <w:rStyle w:val="Hyperlink"/>
            <w:rFonts w:ascii="Arial" w:hAnsi="Arial" w:cs="Arial"/>
            <w:bCs/>
            <w:lang w:val="en-PH"/>
          </w:rPr>
          <w:t>https://doi.org/10.1079/9780851990514.0000</w:t>
        </w:r>
      </w:hyperlink>
    </w:p>
    <w:p w14:paraId="7337120B" w14:textId="77777777" w:rsidR="00743D83" w:rsidRPr="00CD2811" w:rsidRDefault="00743D83" w:rsidP="0082659A">
      <w:pPr>
        <w:pStyle w:val="Body"/>
        <w:spacing w:after="0"/>
        <w:jc w:val="left"/>
        <w:rPr>
          <w:rFonts w:ascii="Arial" w:hAnsi="Arial" w:cs="Arial"/>
          <w:bCs/>
          <w:lang w:val="en-PH"/>
        </w:rPr>
      </w:pPr>
    </w:p>
    <w:p w14:paraId="5DF24A60"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Naqvi, M. H., Ahmed, A., &amp; Pervez, A. (2023). Implementing sustainable tourism practices in luxury resorts of Maldives: Sustainability principles &amp; triple bottom line approach. </w:t>
      </w:r>
      <w:proofErr w:type="spellStart"/>
      <w:r w:rsidRPr="00CD2811">
        <w:rPr>
          <w:rFonts w:ascii="Arial" w:hAnsi="Arial" w:cs="Arial"/>
          <w:bCs/>
          <w:i/>
          <w:iCs/>
          <w:lang w:val="en-PH"/>
        </w:rPr>
        <w:t>arXiv</w:t>
      </w:r>
      <w:proofErr w:type="spellEnd"/>
      <w:r w:rsidRPr="00CD2811">
        <w:rPr>
          <w:rFonts w:ascii="Arial" w:hAnsi="Arial" w:cs="Arial"/>
          <w:bCs/>
          <w:lang w:val="en-PH"/>
        </w:rPr>
        <w:t xml:space="preserve">. </w:t>
      </w:r>
      <w:hyperlink r:id="rId51" w:tgtFrame="_new" w:history="1">
        <w:r w:rsidRPr="00CD2811">
          <w:rPr>
            <w:rStyle w:val="Hyperlink"/>
            <w:rFonts w:ascii="Arial" w:hAnsi="Arial" w:cs="Arial"/>
            <w:bCs/>
            <w:lang w:val="en-PH"/>
          </w:rPr>
          <w:t>https://doi.org/10.48550/arXiv.2311.18453</w:t>
        </w:r>
      </w:hyperlink>
    </w:p>
    <w:p w14:paraId="47EA0DC3" w14:textId="77777777" w:rsidR="00743D83" w:rsidRPr="00CD2811" w:rsidRDefault="00743D83" w:rsidP="0082659A">
      <w:pPr>
        <w:pStyle w:val="Body"/>
        <w:spacing w:after="0"/>
        <w:jc w:val="left"/>
        <w:rPr>
          <w:rFonts w:ascii="Arial" w:hAnsi="Arial" w:cs="Arial"/>
          <w:bCs/>
          <w:lang w:val="en-PH"/>
        </w:rPr>
      </w:pPr>
    </w:p>
    <w:p w14:paraId="331C3C89"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Nugroho, L. D., Melati, S. R., </w:t>
      </w:r>
      <w:proofErr w:type="spellStart"/>
      <w:r w:rsidRPr="00CD2811">
        <w:rPr>
          <w:rFonts w:ascii="Arial" w:hAnsi="Arial" w:cs="Arial"/>
          <w:bCs/>
          <w:lang w:val="en-PH"/>
        </w:rPr>
        <w:t>Wahyuliana</w:t>
      </w:r>
      <w:proofErr w:type="spellEnd"/>
      <w:r w:rsidRPr="00CD2811">
        <w:rPr>
          <w:rFonts w:ascii="Arial" w:hAnsi="Arial" w:cs="Arial"/>
          <w:bCs/>
          <w:lang w:val="en-PH"/>
        </w:rPr>
        <w:t xml:space="preserve">, I., </w:t>
      </w:r>
      <w:proofErr w:type="spellStart"/>
      <w:r w:rsidRPr="00CD2811">
        <w:rPr>
          <w:rFonts w:ascii="Arial" w:hAnsi="Arial" w:cs="Arial"/>
          <w:bCs/>
          <w:lang w:val="en-PH"/>
        </w:rPr>
        <w:t>Pawestri</w:t>
      </w:r>
      <w:proofErr w:type="spellEnd"/>
      <w:r w:rsidRPr="00CD2811">
        <w:rPr>
          <w:rFonts w:ascii="Arial" w:hAnsi="Arial" w:cs="Arial"/>
          <w:bCs/>
          <w:lang w:val="en-PH"/>
        </w:rPr>
        <w:t xml:space="preserve">, A., &amp; Kurniawan, L. F. (2023). Legal policy of implementation green economy in the tourism sector to realize sustainable tourism and environment. </w:t>
      </w:r>
      <w:r w:rsidRPr="00CD2811">
        <w:rPr>
          <w:rFonts w:ascii="Arial" w:hAnsi="Arial" w:cs="Arial"/>
          <w:bCs/>
          <w:i/>
          <w:iCs/>
          <w:lang w:val="en-PH"/>
        </w:rPr>
        <w:t>IOP Conference Series: Earth and Environmental Science, 1181</w:t>
      </w:r>
      <w:r w:rsidRPr="00CD2811">
        <w:rPr>
          <w:rFonts w:ascii="Arial" w:hAnsi="Arial" w:cs="Arial"/>
          <w:bCs/>
          <w:lang w:val="en-PH"/>
        </w:rPr>
        <w:t xml:space="preserve">(1), 012018. </w:t>
      </w:r>
      <w:hyperlink r:id="rId52" w:tgtFrame="_new" w:history="1">
        <w:r w:rsidRPr="00CD2811">
          <w:rPr>
            <w:rStyle w:val="Hyperlink"/>
            <w:rFonts w:ascii="Arial" w:hAnsi="Arial" w:cs="Arial"/>
            <w:bCs/>
            <w:lang w:val="en-PH"/>
          </w:rPr>
          <w:t>https://doi.org/10.1088/1755-1315/1181/1/012018</w:t>
        </w:r>
      </w:hyperlink>
    </w:p>
    <w:p w14:paraId="00A32B27" w14:textId="77777777" w:rsidR="00743D83" w:rsidRPr="00CD2811" w:rsidRDefault="00743D83" w:rsidP="0082659A">
      <w:pPr>
        <w:pStyle w:val="Body"/>
        <w:spacing w:after="0"/>
        <w:jc w:val="left"/>
        <w:rPr>
          <w:rFonts w:ascii="Arial" w:hAnsi="Arial" w:cs="Arial"/>
          <w:bCs/>
          <w:lang w:val="en-PH"/>
        </w:rPr>
      </w:pPr>
    </w:p>
    <w:p w14:paraId="5D4B30AE"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Olszewski-</w:t>
      </w:r>
      <w:proofErr w:type="spellStart"/>
      <w:r w:rsidRPr="00CD2811">
        <w:rPr>
          <w:rFonts w:ascii="Arial" w:hAnsi="Arial" w:cs="Arial"/>
          <w:bCs/>
          <w:lang w:val="en-PH"/>
        </w:rPr>
        <w:t>Strzyżowski</w:t>
      </w:r>
      <w:proofErr w:type="spellEnd"/>
      <w:r w:rsidRPr="00CD2811">
        <w:rPr>
          <w:rFonts w:ascii="Arial" w:hAnsi="Arial" w:cs="Arial"/>
          <w:bCs/>
          <w:lang w:val="en-PH"/>
        </w:rPr>
        <w:t xml:space="preserve">, D. J. (2022). Promotional activities of selected national tourism organizations (NTOs) in the light of sustainable tourism (including sustainable transport). </w:t>
      </w:r>
      <w:r w:rsidRPr="00CD2811">
        <w:rPr>
          <w:rFonts w:ascii="Arial" w:hAnsi="Arial" w:cs="Arial"/>
          <w:bCs/>
          <w:i/>
          <w:iCs/>
          <w:lang w:val="en-PH"/>
        </w:rPr>
        <w:t>Sustainability, 14</w:t>
      </w:r>
      <w:r w:rsidRPr="00CD2811">
        <w:rPr>
          <w:rFonts w:ascii="Arial" w:hAnsi="Arial" w:cs="Arial"/>
          <w:bCs/>
          <w:lang w:val="en-PH"/>
        </w:rPr>
        <w:t xml:space="preserve">(5), 2561. </w:t>
      </w:r>
      <w:hyperlink r:id="rId53" w:tgtFrame="_new" w:history="1">
        <w:r w:rsidRPr="00CD2811">
          <w:rPr>
            <w:rStyle w:val="Hyperlink"/>
            <w:rFonts w:ascii="Arial" w:hAnsi="Arial" w:cs="Arial"/>
            <w:bCs/>
            <w:lang w:val="en-PH"/>
          </w:rPr>
          <w:t>https://doi.org/10.3390/su14052561</w:t>
        </w:r>
      </w:hyperlink>
    </w:p>
    <w:p w14:paraId="28B98490" w14:textId="77777777" w:rsidR="00743D83" w:rsidRPr="00CD2811" w:rsidRDefault="00743D83" w:rsidP="0082659A">
      <w:pPr>
        <w:pStyle w:val="Body"/>
        <w:spacing w:after="0"/>
        <w:jc w:val="left"/>
        <w:rPr>
          <w:rFonts w:ascii="Arial" w:hAnsi="Arial" w:cs="Arial"/>
          <w:bCs/>
          <w:lang w:val="en-PH"/>
        </w:rPr>
      </w:pPr>
    </w:p>
    <w:p w14:paraId="2897660B"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Palazzo, M., Gigauri, I., Panait, M. C., Apostu, S. A., &amp; Siano, A. (2022). Sustainable tourism issues in European countries during the global pandemic crisis. </w:t>
      </w:r>
      <w:r w:rsidRPr="00CD2811">
        <w:rPr>
          <w:rFonts w:ascii="Arial" w:hAnsi="Arial" w:cs="Arial"/>
          <w:bCs/>
          <w:i/>
          <w:iCs/>
          <w:lang w:val="en-PH"/>
        </w:rPr>
        <w:t>Sustainability, 14</w:t>
      </w:r>
      <w:r w:rsidRPr="00CD2811">
        <w:rPr>
          <w:rFonts w:ascii="Arial" w:hAnsi="Arial" w:cs="Arial"/>
          <w:bCs/>
          <w:lang w:val="en-PH"/>
        </w:rPr>
        <w:t xml:space="preserve">(7), 3844. </w:t>
      </w:r>
      <w:hyperlink r:id="rId54" w:tgtFrame="_new" w:history="1">
        <w:r w:rsidRPr="00CD2811">
          <w:rPr>
            <w:rStyle w:val="Hyperlink"/>
            <w:rFonts w:ascii="Arial" w:hAnsi="Arial" w:cs="Arial"/>
            <w:bCs/>
            <w:lang w:val="en-PH"/>
          </w:rPr>
          <w:t>https://doi.org/10.3390/su14073844</w:t>
        </w:r>
      </w:hyperlink>
    </w:p>
    <w:p w14:paraId="489DA4C1" w14:textId="77777777" w:rsidR="00743D83" w:rsidRPr="00CD2811" w:rsidRDefault="00743D83" w:rsidP="0082659A">
      <w:pPr>
        <w:pStyle w:val="Body"/>
        <w:spacing w:after="0"/>
        <w:jc w:val="left"/>
        <w:rPr>
          <w:rFonts w:ascii="Arial" w:hAnsi="Arial" w:cs="Arial"/>
          <w:bCs/>
          <w:lang w:val="en-PH"/>
        </w:rPr>
      </w:pPr>
    </w:p>
    <w:p w14:paraId="53327DE0" w14:textId="77777777" w:rsidR="00CD2811" w:rsidRPr="00B37571" w:rsidRDefault="00CD2811" w:rsidP="008A7D6E">
      <w:pPr>
        <w:pStyle w:val="Body"/>
        <w:numPr>
          <w:ilvl w:val="0"/>
          <w:numId w:val="32"/>
        </w:numPr>
        <w:spacing w:after="0"/>
        <w:jc w:val="left"/>
        <w:rPr>
          <w:rFonts w:ascii="Arial" w:hAnsi="Arial" w:cs="Arial"/>
          <w:bCs/>
        </w:rPr>
      </w:pPr>
      <w:proofErr w:type="spellStart"/>
      <w:r w:rsidRPr="00CD2811">
        <w:rPr>
          <w:rFonts w:ascii="Arial" w:hAnsi="Arial" w:cs="Arial"/>
          <w:bCs/>
          <w:lang w:val="en-PH"/>
        </w:rPr>
        <w:t>Ramaano</w:t>
      </w:r>
      <w:proofErr w:type="spellEnd"/>
      <w:r w:rsidRPr="00CD2811">
        <w:rPr>
          <w:rFonts w:ascii="Arial" w:hAnsi="Arial" w:cs="Arial"/>
          <w:bCs/>
          <w:lang w:val="en-PH"/>
        </w:rPr>
        <w:t xml:space="preserve">, A. I. (2022). Musina Municipality tourism management and strategies: A sustainable-eco-tourism inclusive business insights for the town, abutting peri-urban and countryside existences. </w:t>
      </w:r>
      <w:r w:rsidRPr="00CD2811">
        <w:rPr>
          <w:rFonts w:ascii="Arial" w:hAnsi="Arial" w:cs="Arial"/>
          <w:bCs/>
          <w:i/>
          <w:iCs/>
          <w:lang w:val="en-PH"/>
        </w:rPr>
        <w:t>Management of Environmental Quality, 33</w:t>
      </w:r>
      <w:r w:rsidRPr="00CD2811">
        <w:rPr>
          <w:rFonts w:ascii="Arial" w:hAnsi="Arial" w:cs="Arial"/>
          <w:bCs/>
          <w:lang w:val="en-PH"/>
        </w:rPr>
        <w:t xml:space="preserve">(3), 718–738. </w:t>
      </w:r>
      <w:hyperlink r:id="rId55" w:tgtFrame="_new" w:history="1">
        <w:r w:rsidRPr="00CD2811">
          <w:rPr>
            <w:rStyle w:val="Hyperlink"/>
            <w:rFonts w:ascii="Arial" w:hAnsi="Arial" w:cs="Arial"/>
            <w:bCs/>
            <w:lang w:val="en-PH"/>
          </w:rPr>
          <w:t>https://doi.org/10.1108/MEQ-11-2021-0257</w:t>
        </w:r>
      </w:hyperlink>
    </w:p>
    <w:p w14:paraId="36612C59" w14:textId="77777777" w:rsidR="00743D83" w:rsidRPr="00CD2811" w:rsidRDefault="00743D83" w:rsidP="0082659A">
      <w:pPr>
        <w:pStyle w:val="Body"/>
        <w:spacing w:after="0"/>
        <w:jc w:val="left"/>
        <w:rPr>
          <w:rFonts w:ascii="Arial" w:hAnsi="Arial" w:cs="Arial"/>
          <w:bCs/>
          <w:lang w:val="en-PH"/>
        </w:rPr>
      </w:pPr>
    </w:p>
    <w:p w14:paraId="5313D7F6"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Redwood, J. (2014). </w:t>
      </w:r>
      <w:r w:rsidRPr="00CD2811">
        <w:rPr>
          <w:rFonts w:ascii="Arial" w:hAnsi="Arial" w:cs="Arial"/>
          <w:bCs/>
          <w:i/>
          <w:iCs/>
          <w:lang w:val="en-PH"/>
        </w:rPr>
        <w:t xml:space="preserve">Strategic planning and environmental and social management in sustainable tourism development projects: A good practice study of the IDB-supported </w:t>
      </w:r>
      <w:proofErr w:type="spellStart"/>
      <w:r w:rsidRPr="00CD2811">
        <w:rPr>
          <w:rFonts w:ascii="Arial" w:hAnsi="Arial" w:cs="Arial"/>
          <w:bCs/>
          <w:i/>
          <w:iCs/>
          <w:lang w:val="en-PH"/>
        </w:rPr>
        <w:t>Prodetur</w:t>
      </w:r>
      <w:proofErr w:type="spellEnd"/>
      <w:r w:rsidRPr="00CD2811">
        <w:rPr>
          <w:rFonts w:ascii="Arial" w:hAnsi="Arial" w:cs="Arial"/>
          <w:bCs/>
          <w:i/>
          <w:iCs/>
          <w:lang w:val="en-PH"/>
        </w:rPr>
        <w:t xml:space="preserve"> Program in Brazil</w:t>
      </w:r>
      <w:r w:rsidRPr="00CD2811">
        <w:rPr>
          <w:rFonts w:ascii="Arial" w:hAnsi="Arial" w:cs="Arial"/>
          <w:bCs/>
          <w:lang w:val="en-PH"/>
        </w:rPr>
        <w:t xml:space="preserve">. </w:t>
      </w:r>
      <w:hyperlink r:id="rId56" w:tgtFrame="_new" w:history="1">
        <w:r w:rsidRPr="00CD2811">
          <w:rPr>
            <w:rStyle w:val="Hyperlink"/>
            <w:rFonts w:ascii="Arial" w:hAnsi="Arial" w:cs="Arial"/>
            <w:bCs/>
            <w:lang w:val="en-PH"/>
          </w:rPr>
          <w:t>https://doi.org/10.18235/0006980</w:t>
        </w:r>
      </w:hyperlink>
    </w:p>
    <w:p w14:paraId="06EB06CA" w14:textId="77777777" w:rsidR="00743D83" w:rsidRPr="00CD2811" w:rsidRDefault="00743D83" w:rsidP="0082659A">
      <w:pPr>
        <w:pStyle w:val="Body"/>
        <w:spacing w:after="0"/>
        <w:jc w:val="left"/>
        <w:rPr>
          <w:rFonts w:ascii="Arial" w:hAnsi="Arial" w:cs="Arial"/>
          <w:bCs/>
          <w:lang w:val="en-PH"/>
        </w:rPr>
      </w:pPr>
    </w:p>
    <w:p w14:paraId="3B50CD30"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Senatore, M. X. (2023). Antarctic conservation policies and practices: Towards a more inclusive and sustainable future. </w:t>
      </w:r>
      <w:r w:rsidRPr="00CD2811">
        <w:rPr>
          <w:rFonts w:ascii="Arial" w:hAnsi="Arial" w:cs="Arial"/>
          <w:bCs/>
          <w:i/>
          <w:iCs/>
          <w:lang w:val="en-PH"/>
        </w:rPr>
        <w:t>The Geographical Journal, 189</w:t>
      </w:r>
      <w:r w:rsidRPr="00CD2811">
        <w:rPr>
          <w:rFonts w:ascii="Arial" w:hAnsi="Arial" w:cs="Arial"/>
          <w:bCs/>
          <w:lang w:val="en-PH"/>
        </w:rPr>
        <w:t xml:space="preserve">, 49–62. </w:t>
      </w:r>
      <w:hyperlink r:id="rId57" w:tgtFrame="_new" w:history="1">
        <w:r w:rsidRPr="00CD2811">
          <w:rPr>
            <w:rStyle w:val="Hyperlink"/>
            <w:rFonts w:ascii="Arial" w:hAnsi="Arial" w:cs="Arial"/>
            <w:bCs/>
            <w:lang w:val="en-PH"/>
          </w:rPr>
          <w:t>https://doi.org/10.1111/geoj.12502</w:t>
        </w:r>
      </w:hyperlink>
    </w:p>
    <w:p w14:paraId="4100CBF2" w14:textId="77777777" w:rsidR="00743D83" w:rsidRPr="00CD2811" w:rsidRDefault="00743D83" w:rsidP="0082659A">
      <w:pPr>
        <w:pStyle w:val="Body"/>
        <w:spacing w:after="0"/>
        <w:jc w:val="left"/>
        <w:rPr>
          <w:rFonts w:ascii="Arial" w:hAnsi="Arial" w:cs="Arial"/>
          <w:bCs/>
          <w:lang w:val="en-PH"/>
        </w:rPr>
      </w:pPr>
    </w:p>
    <w:p w14:paraId="25DC7598"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Shang, Y., Lian, Y., Chen, H., &amp; Qian, F. (2023). The impacts of energy resource and tourism on green growth: Evidence from Asian economies. </w:t>
      </w:r>
      <w:r w:rsidRPr="00CD2811">
        <w:rPr>
          <w:rFonts w:ascii="Arial" w:hAnsi="Arial" w:cs="Arial"/>
          <w:bCs/>
          <w:i/>
          <w:iCs/>
          <w:lang w:val="en-PH"/>
        </w:rPr>
        <w:t>Resources Policy, 83</w:t>
      </w:r>
      <w:r w:rsidRPr="00CD2811">
        <w:rPr>
          <w:rFonts w:ascii="Arial" w:hAnsi="Arial" w:cs="Arial"/>
          <w:bCs/>
          <w:lang w:val="en-PH"/>
        </w:rPr>
        <w:t xml:space="preserve">, 103359. </w:t>
      </w:r>
      <w:hyperlink r:id="rId58" w:tgtFrame="_new" w:history="1">
        <w:r w:rsidRPr="00CD2811">
          <w:rPr>
            <w:rStyle w:val="Hyperlink"/>
            <w:rFonts w:ascii="Arial" w:hAnsi="Arial" w:cs="Arial"/>
            <w:bCs/>
            <w:lang w:val="en-PH"/>
          </w:rPr>
          <w:t>https://doi.org/10.1016/j.resourpol.2023.103359</w:t>
        </w:r>
      </w:hyperlink>
    </w:p>
    <w:p w14:paraId="1D2DDDEF" w14:textId="77777777" w:rsidR="00743D83" w:rsidRPr="00CD2811" w:rsidRDefault="00743D83" w:rsidP="0082659A">
      <w:pPr>
        <w:pStyle w:val="Body"/>
        <w:spacing w:after="0"/>
        <w:jc w:val="left"/>
        <w:rPr>
          <w:rFonts w:ascii="Arial" w:hAnsi="Arial" w:cs="Arial"/>
          <w:bCs/>
          <w:lang w:val="en-PH"/>
        </w:rPr>
      </w:pPr>
    </w:p>
    <w:p w14:paraId="159802D1"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Stephenson, M. L., &amp; Dobson, G. J. (2020). Deciphering the development of smart and sustainable tourism cities in Southeast Asia: A call for research. </w:t>
      </w:r>
      <w:r w:rsidRPr="00CD2811">
        <w:rPr>
          <w:rFonts w:ascii="Arial" w:hAnsi="Arial" w:cs="Arial"/>
          <w:bCs/>
          <w:i/>
          <w:iCs/>
          <w:lang w:val="en-PH"/>
        </w:rPr>
        <w:t>ASEAS – Austrian Journal of South-East Asian Studies, 13</w:t>
      </w:r>
      <w:r w:rsidRPr="00CD2811">
        <w:rPr>
          <w:rFonts w:ascii="Arial" w:hAnsi="Arial" w:cs="Arial"/>
          <w:bCs/>
          <w:lang w:val="en-PH"/>
        </w:rPr>
        <w:t xml:space="preserve">(1), 143–153. </w:t>
      </w:r>
      <w:hyperlink r:id="rId59" w:tgtFrame="_new" w:history="1">
        <w:r w:rsidRPr="00CD2811">
          <w:rPr>
            <w:rStyle w:val="Hyperlink"/>
            <w:rFonts w:ascii="Arial" w:hAnsi="Arial" w:cs="Arial"/>
            <w:bCs/>
            <w:lang w:val="en-PH"/>
          </w:rPr>
          <w:t>https://doi.org/10.14764/10.ASEAS-0033</w:t>
        </w:r>
      </w:hyperlink>
    </w:p>
    <w:p w14:paraId="77E56AE5" w14:textId="77777777" w:rsidR="00743D83" w:rsidRPr="00CD2811" w:rsidRDefault="00743D83" w:rsidP="0082659A">
      <w:pPr>
        <w:pStyle w:val="Body"/>
        <w:spacing w:after="0"/>
        <w:jc w:val="left"/>
        <w:rPr>
          <w:rFonts w:ascii="Arial" w:hAnsi="Arial" w:cs="Arial"/>
          <w:bCs/>
          <w:lang w:val="en-PH"/>
        </w:rPr>
      </w:pPr>
    </w:p>
    <w:p w14:paraId="03B0C10E" w14:textId="77777777" w:rsidR="00CD2811" w:rsidRPr="00B37571" w:rsidRDefault="00CD2811" w:rsidP="008A7D6E">
      <w:pPr>
        <w:pStyle w:val="Body"/>
        <w:numPr>
          <w:ilvl w:val="0"/>
          <w:numId w:val="32"/>
        </w:numPr>
        <w:spacing w:after="0"/>
        <w:jc w:val="left"/>
        <w:rPr>
          <w:rFonts w:ascii="Arial" w:hAnsi="Arial" w:cs="Arial"/>
          <w:bCs/>
        </w:rPr>
      </w:pPr>
      <w:proofErr w:type="spellStart"/>
      <w:r w:rsidRPr="00CD2811">
        <w:rPr>
          <w:rFonts w:ascii="Arial" w:hAnsi="Arial" w:cs="Arial"/>
          <w:bCs/>
          <w:lang w:val="en-PH"/>
        </w:rPr>
        <w:t>Streimikiene</w:t>
      </w:r>
      <w:proofErr w:type="spellEnd"/>
      <w:r w:rsidRPr="00CD2811">
        <w:rPr>
          <w:rFonts w:ascii="Arial" w:hAnsi="Arial" w:cs="Arial"/>
          <w:bCs/>
          <w:lang w:val="en-PH"/>
        </w:rPr>
        <w:t xml:space="preserve">, D., </w:t>
      </w:r>
      <w:proofErr w:type="spellStart"/>
      <w:r w:rsidRPr="00CD2811">
        <w:rPr>
          <w:rFonts w:ascii="Arial" w:hAnsi="Arial" w:cs="Arial"/>
          <w:bCs/>
          <w:lang w:val="en-PH"/>
        </w:rPr>
        <w:t>Svagzdiene</w:t>
      </w:r>
      <w:proofErr w:type="spellEnd"/>
      <w:r w:rsidRPr="00CD2811">
        <w:rPr>
          <w:rFonts w:ascii="Arial" w:hAnsi="Arial" w:cs="Arial"/>
          <w:bCs/>
          <w:lang w:val="en-PH"/>
        </w:rPr>
        <w:t xml:space="preserve">, B., </w:t>
      </w:r>
      <w:proofErr w:type="spellStart"/>
      <w:r w:rsidRPr="00CD2811">
        <w:rPr>
          <w:rFonts w:ascii="Arial" w:hAnsi="Arial" w:cs="Arial"/>
          <w:bCs/>
          <w:lang w:val="en-PH"/>
        </w:rPr>
        <w:t>Jasinskas</w:t>
      </w:r>
      <w:proofErr w:type="spellEnd"/>
      <w:r w:rsidRPr="00CD2811">
        <w:rPr>
          <w:rFonts w:ascii="Arial" w:hAnsi="Arial" w:cs="Arial"/>
          <w:bCs/>
          <w:lang w:val="en-PH"/>
        </w:rPr>
        <w:t xml:space="preserve">, E., &amp; </w:t>
      </w:r>
      <w:proofErr w:type="spellStart"/>
      <w:r w:rsidRPr="00CD2811">
        <w:rPr>
          <w:rFonts w:ascii="Arial" w:hAnsi="Arial" w:cs="Arial"/>
          <w:bCs/>
          <w:lang w:val="en-PH"/>
        </w:rPr>
        <w:t>Simanavicius</w:t>
      </w:r>
      <w:proofErr w:type="spellEnd"/>
      <w:r w:rsidRPr="00CD2811">
        <w:rPr>
          <w:rFonts w:ascii="Arial" w:hAnsi="Arial" w:cs="Arial"/>
          <w:bCs/>
          <w:lang w:val="en-PH"/>
        </w:rPr>
        <w:t xml:space="preserve">, A. (2021). Sustainable tourism development and competitiveness: The systematic literature review. </w:t>
      </w:r>
      <w:r w:rsidRPr="00CD2811">
        <w:rPr>
          <w:rFonts w:ascii="Arial" w:hAnsi="Arial" w:cs="Arial"/>
          <w:bCs/>
          <w:i/>
          <w:iCs/>
          <w:lang w:val="en-PH"/>
        </w:rPr>
        <w:t>Sustainable Development, 29</w:t>
      </w:r>
      <w:r w:rsidRPr="00CD2811">
        <w:rPr>
          <w:rFonts w:ascii="Arial" w:hAnsi="Arial" w:cs="Arial"/>
          <w:bCs/>
          <w:lang w:val="en-PH"/>
        </w:rPr>
        <w:t xml:space="preserve">, 259–271. </w:t>
      </w:r>
      <w:hyperlink r:id="rId60" w:tgtFrame="_new" w:history="1">
        <w:r w:rsidRPr="00CD2811">
          <w:rPr>
            <w:rStyle w:val="Hyperlink"/>
            <w:rFonts w:ascii="Arial" w:hAnsi="Arial" w:cs="Arial"/>
            <w:bCs/>
            <w:lang w:val="en-PH"/>
          </w:rPr>
          <w:t>https://doi.org/10.1002/sd.2133</w:t>
        </w:r>
      </w:hyperlink>
    </w:p>
    <w:p w14:paraId="618238A9" w14:textId="77777777" w:rsidR="00743D83" w:rsidRPr="00CD2811" w:rsidRDefault="00743D83" w:rsidP="0082659A">
      <w:pPr>
        <w:pStyle w:val="Body"/>
        <w:spacing w:after="0"/>
        <w:jc w:val="left"/>
        <w:rPr>
          <w:rFonts w:ascii="Arial" w:hAnsi="Arial" w:cs="Arial"/>
          <w:bCs/>
          <w:lang w:val="en-PH"/>
        </w:rPr>
      </w:pPr>
    </w:p>
    <w:p w14:paraId="2EEAE13F" w14:textId="77777777" w:rsidR="00CD2811" w:rsidRPr="00B37571" w:rsidRDefault="00CD2811" w:rsidP="008A7D6E">
      <w:pPr>
        <w:pStyle w:val="Body"/>
        <w:numPr>
          <w:ilvl w:val="0"/>
          <w:numId w:val="32"/>
        </w:numPr>
        <w:spacing w:after="0"/>
        <w:jc w:val="left"/>
        <w:rPr>
          <w:rFonts w:ascii="Arial" w:hAnsi="Arial" w:cs="Arial"/>
          <w:bCs/>
        </w:rPr>
      </w:pPr>
      <w:proofErr w:type="spellStart"/>
      <w:r w:rsidRPr="00CD2811">
        <w:rPr>
          <w:rFonts w:ascii="Arial" w:hAnsi="Arial" w:cs="Arial"/>
          <w:bCs/>
          <w:lang w:val="en-PH"/>
        </w:rPr>
        <w:t>Sucheran</w:t>
      </w:r>
      <w:proofErr w:type="spellEnd"/>
      <w:r w:rsidRPr="00CD2811">
        <w:rPr>
          <w:rFonts w:ascii="Arial" w:hAnsi="Arial" w:cs="Arial"/>
          <w:bCs/>
          <w:lang w:val="en-PH"/>
        </w:rPr>
        <w:t xml:space="preserve">, R., &amp; Arulappan, L. (2020). Eco-labels in the tourism sector in South Africa: Benefits and barriers. </w:t>
      </w:r>
      <w:r w:rsidRPr="00CD2811">
        <w:rPr>
          <w:rFonts w:ascii="Arial" w:hAnsi="Arial" w:cs="Arial"/>
          <w:bCs/>
          <w:i/>
          <w:iCs/>
          <w:lang w:val="en-PH"/>
        </w:rPr>
        <w:t>African Journal of Hospitality, Tourism and Leisure, 9</w:t>
      </w:r>
      <w:r w:rsidRPr="00CD2811">
        <w:rPr>
          <w:rFonts w:ascii="Arial" w:hAnsi="Arial" w:cs="Arial"/>
          <w:bCs/>
          <w:lang w:val="en-PH"/>
        </w:rPr>
        <w:t xml:space="preserve">(6), 979–996. </w:t>
      </w:r>
      <w:hyperlink r:id="rId61" w:tgtFrame="_new" w:history="1">
        <w:r w:rsidRPr="00CD2811">
          <w:rPr>
            <w:rStyle w:val="Hyperlink"/>
            <w:rFonts w:ascii="Arial" w:hAnsi="Arial" w:cs="Arial"/>
            <w:bCs/>
            <w:lang w:val="en-PH"/>
          </w:rPr>
          <w:t>https://doi.org/10.46222/ajhtl.19770720-63</w:t>
        </w:r>
      </w:hyperlink>
    </w:p>
    <w:p w14:paraId="5E3D4225" w14:textId="77777777" w:rsidR="00743D83" w:rsidRPr="00CD2811" w:rsidRDefault="00743D83" w:rsidP="0082659A">
      <w:pPr>
        <w:pStyle w:val="Body"/>
        <w:spacing w:after="0"/>
        <w:jc w:val="left"/>
        <w:rPr>
          <w:rFonts w:ascii="Arial" w:hAnsi="Arial" w:cs="Arial"/>
          <w:bCs/>
          <w:lang w:val="en-PH"/>
        </w:rPr>
      </w:pPr>
    </w:p>
    <w:p w14:paraId="03CFF958" w14:textId="77777777" w:rsidR="00CD2811" w:rsidRPr="00B37571" w:rsidRDefault="00CD2811" w:rsidP="008A7D6E">
      <w:pPr>
        <w:pStyle w:val="Body"/>
        <w:numPr>
          <w:ilvl w:val="0"/>
          <w:numId w:val="32"/>
        </w:numPr>
        <w:spacing w:after="0"/>
        <w:jc w:val="left"/>
        <w:rPr>
          <w:rFonts w:ascii="Arial" w:hAnsi="Arial" w:cs="Arial"/>
          <w:bCs/>
        </w:rPr>
      </w:pPr>
      <w:proofErr w:type="spellStart"/>
      <w:r w:rsidRPr="00CD2811">
        <w:rPr>
          <w:rFonts w:ascii="Arial" w:hAnsi="Arial" w:cs="Arial"/>
          <w:bCs/>
          <w:lang w:val="en-PH"/>
        </w:rPr>
        <w:t>Suchkova</w:t>
      </w:r>
      <w:proofErr w:type="spellEnd"/>
      <w:r w:rsidRPr="00CD2811">
        <w:rPr>
          <w:rFonts w:ascii="Arial" w:hAnsi="Arial" w:cs="Arial"/>
          <w:bCs/>
          <w:lang w:val="en-PH"/>
        </w:rPr>
        <w:t xml:space="preserve">, A. A. (2021). International tourism and sustainable development challenges in Southern and Eastern Africa. </w:t>
      </w:r>
      <w:r w:rsidRPr="00CD2811">
        <w:rPr>
          <w:rFonts w:ascii="Arial" w:hAnsi="Arial" w:cs="Arial"/>
          <w:bCs/>
          <w:i/>
          <w:iCs/>
          <w:lang w:val="en-PH"/>
        </w:rPr>
        <w:t>E3S Web of Conferences, 311</w:t>
      </w:r>
      <w:r w:rsidRPr="00CD2811">
        <w:rPr>
          <w:rFonts w:ascii="Arial" w:hAnsi="Arial" w:cs="Arial"/>
          <w:bCs/>
          <w:lang w:val="en-PH"/>
        </w:rPr>
        <w:t xml:space="preserve">, 01003. </w:t>
      </w:r>
      <w:hyperlink r:id="rId62" w:tgtFrame="_new" w:history="1">
        <w:r w:rsidRPr="00CD2811">
          <w:rPr>
            <w:rStyle w:val="Hyperlink"/>
            <w:rFonts w:ascii="Arial" w:hAnsi="Arial" w:cs="Arial"/>
            <w:bCs/>
            <w:lang w:val="en-PH"/>
          </w:rPr>
          <w:t>https://doi.org/10.1051/e3sconf/202131101003</w:t>
        </w:r>
      </w:hyperlink>
    </w:p>
    <w:p w14:paraId="43375E38" w14:textId="77777777" w:rsidR="00743D83" w:rsidRPr="00CD2811" w:rsidRDefault="00743D83" w:rsidP="0082659A">
      <w:pPr>
        <w:pStyle w:val="Body"/>
        <w:spacing w:after="0"/>
        <w:jc w:val="left"/>
        <w:rPr>
          <w:rFonts w:ascii="Arial" w:hAnsi="Arial" w:cs="Arial"/>
          <w:bCs/>
          <w:lang w:val="en-PH"/>
        </w:rPr>
      </w:pPr>
    </w:p>
    <w:p w14:paraId="5C9D5512" w14:textId="77777777" w:rsidR="00CD2811" w:rsidRPr="00B37571" w:rsidRDefault="00CD2811" w:rsidP="008A7D6E">
      <w:pPr>
        <w:pStyle w:val="Body"/>
        <w:numPr>
          <w:ilvl w:val="0"/>
          <w:numId w:val="32"/>
        </w:numPr>
        <w:spacing w:after="0"/>
        <w:jc w:val="left"/>
        <w:rPr>
          <w:rFonts w:ascii="Arial" w:hAnsi="Arial" w:cs="Arial"/>
          <w:bCs/>
        </w:rPr>
      </w:pPr>
      <w:r w:rsidRPr="00CD2811">
        <w:rPr>
          <w:rFonts w:ascii="Arial" w:hAnsi="Arial" w:cs="Arial"/>
          <w:bCs/>
          <w:lang w:val="en-PH"/>
        </w:rPr>
        <w:t xml:space="preserve">Tudorache, D. M., Simon, T., </w:t>
      </w:r>
      <w:proofErr w:type="spellStart"/>
      <w:r w:rsidRPr="00CD2811">
        <w:rPr>
          <w:rFonts w:ascii="Arial" w:hAnsi="Arial" w:cs="Arial"/>
          <w:bCs/>
          <w:lang w:val="en-PH"/>
        </w:rPr>
        <w:t>Frenț</w:t>
      </w:r>
      <w:proofErr w:type="spellEnd"/>
      <w:r w:rsidRPr="00CD2811">
        <w:rPr>
          <w:rFonts w:ascii="Arial" w:hAnsi="Arial" w:cs="Arial"/>
          <w:bCs/>
          <w:lang w:val="en-PH"/>
        </w:rPr>
        <w:t xml:space="preserve">, C., &amp; </w:t>
      </w:r>
      <w:proofErr w:type="spellStart"/>
      <w:r w:rsidRPr="00CD2811">
        <w:rPr>
          <w:rFonts w:ascii="Arial" w:hAnsi="Arial" w:cs="Arial"/>
          <w:bCs/>
          <w:lang w:val="en-PH"/>
        </w:rPr>
        <w:t>Musteaţă</w:t>
      </w:r>
      <w:proofErr w:type="spellEnd"/>
      <w:r w:rsidRPr="00CD2811">
        <w:rPr>
          <w:rFonts w:ascii="Arial" w:hAnsi="Arial" w:cs="Arial"/>
          <w:bCs/>
          <w:lang w:val="en-PH"/>
        </w:rPr>
        <w:t xml:space="preserve">-Pavel, M. (2017). Difficulties and challenges in applying the European Tourism Indicators System (ETIS) for sustainable tourist destinations: The case of </w:t>
      </w:r>
      <w:proofErr w:type="spellStart"/>
      <w:r w:rsidRPr="00CD2811">
        <w:rPr>
          <w:rFonts w:ascii="Arial" w:hAnsi="Arial" w:cs="Arial"/>
          <w:bCs/>
          <w:lang w:val="en-PH"/>
        </w:rPr>
        <w:t>Brașov</w:t>
      </w:r>
      <w:proofErr w:type="spellEnd"/>
      <w:r w:rsidRPr="00CD2811">
        <w:rPr>
          <w:rFonts w:ascii="Arial" w:hAnsi="Arial" w:cs="Arial"/>
          <w:bCs/>
          <w:lang w:val="en-PH"/>
        </w:rPr>
        <w:t xml:space="preserve"> County in the Romanian Carpathians. </w:t>
      </w:r>
      <w:r w:rsidRPr="00CD2811">
        <w:rPr>
          <w:rFonts w:ascii="Arial" w:hAnsi="Arial" w:cs="Arial"/>
          <w:bCs/>
          <w:i/>
          <w:iCs/>
          <w:lang w:val="en-PH"/>
        </w:rPr>
        <w:t>Sustainability, 9</w:t>
      </w:r>
      <w:r w:rsidRPr="00CD2811">
        <w:rPr>
          <w:rFonts w:ascii="Arial" w:hAnsi="Arial" w:cs="Arial"/>
          <w:bCs/>
          <w:lang w:val="en-PH"/>
        </w:rPr>
        <w:t xml:space="preserve">(10), 1879. </w:t>
      </w:r>
      <w:hyperlink r:id="rId63" w:tgtFrame="_new" w:history="1">
        <w:r w:rsidRPr="00CD2811">
          <w:rPr>
            <w:rStyle w:val="Hyperlink"/>
            <w:rFonts w:ascii="Arial" w:hAnsi="Arial" w:cs="Arial"/>
            <w:bCs/>
            <w:lang w:val="en-PH"/>
          </w:rPr>
          <w:t>https://doi.org/10.3390/su9101879</w:t>
        </w:r>
      </w:hyperlink>
    </w:p>
    <w:p w14:paraId="4D47530D" w14:textId="77777777" w:rsidR="00743D83" w:rsidRPr="00CD2811" w:rsidRDefault="00743D83" w:rsidP="0082659A">
      <w:pPr>
        <w:pStyle w:val="Body"/>
        <w:spacing w:after="0"/>
        <w:jc w:val="left"/>
        <w:rPr>
          <w:rFonts w:ascii="Arial" w:hAnsi="Arial" w:cs="Arial"/>
          <w:bCs/>
          <w:lang w:val="en-PH"/>
        </w:rPr>
      </w:pPr>
    </w:p>
    <w:p w14:paraId="1AD584E8" w14:textId="77777777" w:rsidR="00CD2811" w:rsidRPr="00CD2811" w:rsidRDefault="00CD2811" w:rsidP="008A7D6E">
      <w:pPr>
        <w:pStyle w:val="Body"/>
        <w:numPr>
          <w:ilvl w:val="0"/>
          <w:numId w:val="32"/>
        </w:numPr>
        <w:spacing w:after="0"/>
        <w:jc w:val="left"/>
        <w:rPr>
          <w:rFonts w:ascii="Arial" w:hAnsi="Arial" w:cs="Arial"/>
          <w:bCs/>
          <w:lang w:val="en-PH"/>
        </w:rPr>
      </w:pPr>
      <w:proofErr w:type="spellStart"/>
      <w:r w:rsidRPr="00CD2811">
        <w:rPr>
          <w:rFonts w:ascii="Arial" w:hAnsi="Arial" w:cs="Arial"/>
          <w:bCs/>
          <w:lang w:val="en-PH"/>
        </w:rPr>
        <w:t>Zeppel</w:t>
      </w:r>
      <w:proofErr w:type="spellEnd"/>
      <w:r w:rsidRPr="00CD2811">
        <w:rPr>
          <w:rFonts w:ascii="Arial" w:hAnsi="Arial" w:cs="Arial"/>
          <w:bCs/>
          <w:lang w:val="en-PH"/>
        </w:rPr>
        <w:t xml:space="preserve">, H., &amp; Beaumont, N. (2011). </w:t>
      </w:r>
      <w:r w:rsidRPr="00CD2811">
        <w:rPr>
          <w:rFonts w:ascii="Arial" w:hAnsi="Arial" w:cs="Arial"/>
          <w:bCs/>
          <w:i/>
          <w:iCs/>
          <w:lang w:val="en-PH"/>
        </w:rPr>
        <w:t>Green tourism futures: Climate change responses by Australian government tourism agencies</w:t>
      </w:r>
      <w:r w:rsidRPr="00CD2811">
        <w:rPr>
          <w:rFonts w:ascii="Arial" w:hAnsi="Arial" w:cs="Arial"/>
          <w:bCs/>
          <w:lang w:val="en-PH"/>
        </w:rPr>
        <w:t xml:space="preserve"> (Vol. 2, ACSBD Working Paper). University of Southern Queensland. </w:t>
      </w:r>
      <w:hyperlink r:id="rId64" w:tgtFrame="_new" w:history="1">
        <w:r w:rsidRPr="00CD2811">
          <w:rPr>
            <w:rStyle w:val="Hyperlink"/>
            <w:rFonts w:ascii="Arial" w:hAnsi="Arial" w:cs="Arial"/>
            <w:bCs/>
            <w:lang w:val="en-PH"/>
          </w:rPr>
          <w:t>https://research.usq.edu.au/item/q0x0x/green-tourism-futures-climate-change-responses-by-australian-government-tourism-agencies</w:t>
        </w:r>
      </w:hyperlink>
    </w:p>
    <w:p w14:paraId="4985D2AF" w14:textId="706B6DBE" w:rsidR="003763C1" w:rsidRDefault="003763C1" w:rsidP="00441B6F">
      <w:pPr>
        <w:pStyle w:val="Body"/>
        <w:spacing w:after="0"/>
      </w:pPr>
    </w:p>
    <w:p w14:paraId="2DF05745" w14:textId="77777777" w:rsidR="00287E68" w:rsidRDefault="00287E68" w:rsidP="00441B6F">
      <w:pPr>
        <w:pStyle w:val="Body"/>
        <w:spacing w:after="0"/>
      </w:pPr>
    </w:p>
    <w:p w14:paraId="4E0D3C11" w14:textId="77777777" w:rsidR="00D74CB0" w:rsidRDefault="00D74CB0" w:rsidP="00441B6F">
      <w:pPr>
        <w:pStyle w:val="Body"/>
        <w:spacing w:after="0"/>
      </w:pPr>
    </w:p>
    <w:p w14:paraId="6CC62E1E" w14:textId="77777777" w:rsidR="000D689F" w:rsidRDefault="000D689F" w:rsidP="00441B6F">
      <w:pPr>
        <w:pStyle w:val="Body"/>
        <w:spacing w:after="0"/>
      </w:pPr>
    </w:p>
    <w:p w14:paraId="41835BA5" w14:textId="77777777" w:rsidR="00790ADA" w:rsidRPr="00FB3A86" w:rsidRDefault="00790ADA" w:rsidP="00441B6F">
      <w:pPr>
        <w:pStyle w:val="Body"/>
        <w:spacing w:after="0"/>
        <w:rPr>
          <w:rFonts w:ascii="Arial" w:hAnsi="Arial" w:cs="Arial"/>
        </w:rPr>
      </w:pPr>
    </w:p>
    <w:p w14:paraId="675FA207" w14:textId="7FDE6CC0" w:rsidR="004D4277" w:rsidRPr="00FB3A86" w:rsidRDefault="004D4277" w:rsidP="00441B6F">
      <w:pPr>
        <w:pStyle w:val="Appendix"/>
        <w:spacing w:after="0"/>
        <w:jc w:val="both"/>
        <w:rPr>
          <w:rFonts w:ascii="Arial" w:hAnsi="Arial" w:cs="Arial"/>
          <w:b w:val="0"/>
        </w:rPr>
        <w:sectPr w:rsidR="004D4277" w:rsidRPr="00FB3A86" w:rsidSect="00841CCB">
          <w:headerReference w:type="even" r:id="rId65"/>
          <w:headerReference w:type="default" r:id="rId66"/>
          <w:footerReference w:type="default" r:id="rId67"/>
          <w:headerReference w:type="first" r:id="rId68"/>
          <w:type w:val="continuous"/>
          <w:pgSz w:w="12240" w:h="15840"/>
          <w:pgMar w:top="1440" w:right="2016" w:bottom="2016" w:left="2016" w:header="720" w:footer="1123" w:gutter="0"/>
          <w:cols w:space="720"/>
          <w:docGrid w:linePitch="272"/>
        </w:sectPr>
      </w:pPr>
    </w:p>
    <w:p w14:paraId="5AD7E59F" w14:textId="77777777" w:rsidR="00B01FCD" w:rsidRPr="00FB3A86" w:rsidRDefault="00B01FCD" w:rsidP="00441B6F">
      <w:pPr>
        <w:pStyle w:val="Appendix"/>
        <w:spacing w:after="0"/>
        <w:jc w:val="both"/>
        <w:rPr>
          <w:rFonts w:ascii="Arial" w:hAnsi="Arial" w:cs="Arial"/>
          <w:b w:val="0"/>
        </w:rPr>
      </w:pPr>
    </w:p>
    <w:sectPr w:rsidR="00B01FCD" w:rsidRPr="00FB3A86" w:rsidSect="00841CCB">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gelica Perez" w:date="2025-05-21T13:52:00Z" w:initials="AP">
    <w:p w14:paraId="7C1D0B2A" w14:textId="77777777" w:rsidR="0095201F" w:rsidRDefault="0095201F" w:rsidP="0095201F">
      <w:pPr>
        <w:pStyle w:val="CommentText"/>
      </w:pPr>
      <w:r>
        <w:rPr>
          <w:rStyle w:val="CommentReference"/>
        </w:rPr>
        <w:annotationRef/>
      </w:r>
      <w:r>
        <w:t>I revised the abstract.</w:t>
      </w:r>
    </w:p>
  </w:comment>
  <w:comment w:id="1" w:author="Angelica Perez" w:date="2025-05-21T14:10:00Z" w:initials="AP">
    <w:p w14:paraId="0827E7C0" w14:textId="77777777" w:rsidR="003F7E35" w:rsidRDefault="003F7E35" w:rsidP="003F7E35">
      <w:pPr>
        <w:pStyle w:val="CommentText"/>
      </w:pPr>
      <w:r>
        <w:rPr>
          <w:rStyle w:val="CommentReference"/>
        </w:rPr>
        <w:annotationRef/>
      </w:r>
      <w:r>
        <w:t>I made revisions on 3.7, &amp; 3.7.1-3</w:t>
      </w:r>
    </w:p>
  </w:comment>
  <w:comment w:id="2" w:author="Angelica Perez" w:date="2025-05-21T14:25:00Z" w:initials="AP">
    <w:p w14:paraId="5981E881" w14:textId="77777777" w:rsidR="00A569B4" w:rsidRDefault="00A569B4" w:rsidP="00A569B4">
      <w:pPr>
        <w:pStyle w:val="CommentText"/>
      </w:pPr>
      <w:r>
        <w:rPr>
          <w:rStyle w:val="CommentReference"/>
        </w:rPr>
        <w:annotationRef/>
      </w:r>
      <w:r>
        <w:t>I made revisions on the discussion</w:t>
      </w:r>
    </w:p>
  </w:comment>
  <w:comment w:id="3" w:author="Angelica Perez" w:date="2025-05-21T14:55:00Z" w:initials="AP">
    <w:p w14:paraId="01C4E201" w14:textId="77777777" w:rsidR="00FB2405" w:rsidRDefault="00FB2405" w:rsidP="00FB2405">
      <w:pPr>
        <w:pStyle w:val="CommentText"/>
      </w:pPr>
      <w:r>
        <w:rPr>
          <w:rStyle w:val="CommentReference"/>
        </w:rPr>
        <w:annotationRef/>
      </w:r>
      <w:r>
        <w:t>I made revisions on the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1D0B2A" w15:done="0"/>
  <w15:commentEx w15:paraId="0827E7C0" w15:done="0"/>
  <w15:commentEx w15:paraId="5981E881" w15:done="0"/>
  <w15:commentEx w15:paraId="01C4E2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8D815E" w16cex:dateUtc="2025-05-21T05:52:00Z"/>
  <w16cex:commentExtensible w16cex:durableId="00BF6CC6" w16cex:dateUtc="2025-05-21T06:10:00Z"/>
  <w16cex:commentExtensible w16cex:durableId="321216BD" w16cex:dateUtc="2025-05-21T06:25:00Z"/>
  <w16cex:commentExtensible w16cex:durableId="5A8CBEC7" w16cex:dateUtc="2025-05-21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1D0B2A" w16cid:durableId="408D815E"/>
  <w16cid:commentId w16cid:paraId="0827E7C0" w16cid:durableId="00BF6CC6"/>
  <w16cid:commentId w16cid:paraId="5981E881" w16cid:durableId="321216BD"/>
  <w16cid:commentId w16cid:paraId="01C4E201" w16cid:durableId="5A8CBE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219DF" w14:textId="77777777" w:rsidR="00D149F6" w:rsidRDefault="00D149F6" w:rsidP="00C37E61">
      <w:r>
        <w:separator/>
      </w:r>
    </w:p>
  </w:endnote>
  <w:endnote w:type="continuationSeparator" w:id="0">
    <w:p w14:paraId="0508BB1C" w14:textId="77777777" w:rsidR="00D149F6" w:rsidRDefault="00D149F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67CD" w14:textId="77777777" w:rsidR="00841CCB" w:rsidRDefault="00841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2269" w14:textId="77777777" w:rsidR="00841CCB" w:rsidRDefault="00841C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6C56" w14:textId="0C229596" w:rsidR="00754C9A" w:rsidRPr="00841CCB" w:rsidRDefault="00754C9A" w:rsidP="00841C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A89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7A62C" w14:textId="77777777" w:rsidR="00D149F6" w:rsidRDefault="00D149F6" w:rsidP="00C37E61">
      <w:r>
        <w:separator/>
      </w:r>
    </w:p>
  </w:footnote>
  <w:footnote w:type="continuationSeparator" w:id="0">
    <w:p w14:paraId="4000A067" w14:textId="77777777" w:rsidR="00D149F6" w:rsidRDefault="00D149F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F2B2" w14:textId="7D90A42B" w:rsidR="00841CCB" w:rsidRDefault="00000EBD">
    <w:pPr>
      <w:pStyle w:val="Header"/>
    </w:pPr>
    <w:r>
      <w:rPr>
        <w:noProof/>
      </w:rPr>
      <w:pict w14:anchorId="7B2CB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93128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4231" w14:textId="7D672D4C" w:rsidR="00841CCB" w:rsidRDefault="00000EBD">
    <w:pPr>
      <w:pStyle w:val="Header"/>
    </w:pPr>
    <w:r>
      <w:rPr>
        <w:noProof/>
      </w:rPr>
      <w:pict w14:anchorId="38BE7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93128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7C2C" w14:textId="6F8D27D6" w:rsidR="00296529" w:rsidRPr="00296529" w:rsidRDefault="00000EBD" w:rsidP="00296529">
    <w:pPr>
      <w:ind w:left="2160"/>
      <w:jc w:val="center"/>
      <w:rPr>
        <w:rFonts w:ascii="Times New Roman" w:eastAsia="Calibri" w:hAnsi="Times New Roman"/>
        <w:i/>
        <w:sz w:val="18"/>
        <w:szCs w:val="22"/>
      </w:rPr>
    </w:pPr>
    <w:r>
      <w:rPr>
        <w:noProof/>
      </w:rPr>
      <w:pict w14:anchorId="53794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93128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75898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929452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4EA57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72F685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C32A8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A432AC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80BD" w14:textId="329F9B1E" w:rsidR="00841CCB" w:rsidRDefault="00000EBD">
    <w:pPr>
      <w:pStyle w:val="Header"/>
    </w:pPr>
    <w:r>
      <w:rPr>
        <w:noProof/>
      </w:rPr>
      <w:pict w14:anchorId="156DD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93128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36E8" w14:textId="53B61A7A" w:rsidR="00841CCB" w:rsidRDefault="00000EBD">
    <w:pPr>
      <w:pStyle w:val="Header"/>
    </w:pPr>
    <w:r>
      <w:rPr>
        <w:noProof/>
      </w:rPr>
      <w:pict w14:anchorId="14030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93128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6859" w14:textId="2F686CF3" w:rsidR="00841CCB" w:rsidRDefault="00000EBD">
    <w:pPr>
      <w:pStyle w:val="Header"/>
    </w:pPr>
    <w:r>
      <w:rPr>
        <w:noProof/>
      </w:rPr>
      <w:pict w14:anchorId="369FE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93128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89061E"/>
    <w:multiLevelType w:val="hybridMultilevel"/>
    <w:tmpl w:val="C706E21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035D1"/>
    <w:multiLevelType w:val="hybridMultilevel"/>
    <w:tmpl w:val="9098B7BE"/>
    <w:lvl w:ilvl="0" w:tplc="DE3AD7CC">
      <w:start w:val="1"/>
      <w:numFmt w:val="decimal"/>
      <w:lvlText w:val="14.%1"/>
      <w:lvlJc w:val="left"/>
      <w:pPr>
        <w:ind w:left="720" w:hanging="360"/>
      </w:pPr>
      <w:rPr>
        <w:rFonts w:hint="default"/>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2817415B"/>
    <w:multiLevelType w:val="hybridMultilevel"/>
    <w:tmpl w:val="385A3DA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B64B7B"/>
    <w:multiLevelType w:val="multilevel"/>
    <w:tmpl w:val="0986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04169A5"/>
    <w:multiLevelType w:val="multilevel"/>
    <w:tmpl w:val="6EE8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A700F7"/>
    <w:multiLevelType w:val="multilevel"/>
    <w:tmpl w:val="675C9A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D5E0853"/>
    <w:multiLevelType w:val="hybridMultilevel"/>
    <w:tmpl w:val="463CF9E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071694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0339874">
    <w:abstractNumId w:val="18"/>
  </w:num>
  <w:num w:numId="3" w16cid:durableId="922957332">
    <w:abstractNumId w:val="30"/>
  </w:num>
  <w:num w:numId="4" w16cid:durableId="8216532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59300675">
    <w:abstractNumId w:val="7"/>
  </w:num>
  <w:num w:numId="6" w16cid:durableId="861824259">
    <w:abstractNumId w:val="6"/>
  </w:num>
  <w:num w:numId="7" w16cid:durableId="596862479">
    <w:abstractNumId w:val="1"/>
  </w:num>
  <w:num w:numId="8" w16cid:durableId="1974093685">
    <w:abstractNumId w:val="15"/>
  </w:num>
  <w:num w:numId="9" w16cid:durableId="2083603546">
    <w:abstractNumId w:val="32"/>
  </w:num>
  <w:num w:numId="10" w16cid:durableId="748235901">
    <w:abstractNumId w:val="2"/>
  </w:num>
  <w:num w:numId="11" w16cid:durableId="839849631">
    <w:abstractNumId w:val="24"/>
  </w:num>
  <w:num w:numId="12" w16cid:durableId="1798792803">
    <w:abstractNumId w:val="3"/>
  </w:num>
  <w:num w:numId="13" w16cid:durableId="2093311680">
    <w:abstractNumId w:val="21"/>
  </w:num>
  <w:num w:numId="14" w16cid:durableId="436412321">
    <w:abstractNumId w:val="9"/>
  </w:num>
  <w:num w:numId="15" w16cid:durableId="1586113912">
    <w:abstractNumId w:val="28"/>
  </w:num>
  <w:num w:numId="16" w16cid:durableId="687102836">
    <w:abstractNumId w:val="5"/>
  </w:num>
  <w:num w:numId="17" w16cid:durableId="2004429527">
    <w:abstractNumId w:val="29"/>
  </w:num>
  <w:num w:numId="18" w16cid:durableId="651721046">
    <w:abstractNumId w:val="17"/>
  </w:num>
  <w:num w:numId="19" w16cid:durableId="532233170">
    <w:abstractNumId w:val="35"/>
  </w:num>
  <w:num w:numId="20" w16cid:durableId="1984771558">
    <w:abstractNumId w:val="14"/>
  </w:num>
  <w:num w:numId="21" w16cid:durableId="1672104742">
    <w:abstractNumId w:val="10"/>
  </w:num>
  <w:num w:numId="22" w16cid:durableId="1882402762">
    <w:abstractNumId w:val="16"/>
  </w:num>
  <w:num w:numId="23" w16cid:durableId="1291325838">
    <w:abstractNumId w:val="26"/>
  </w:num>
  <w:num w:numId="24" w16cid:durableId="1144468445">
    <w:abstractNumId w:val="33"/>
  </w:num>
  <w:num w:numId="25" w16cid:durableId="1612005705">
    <w:abstractNumId w:val="4"/>
  </w:num>
  <w:num w:numId="26" w16cid:durableId="1056589549">
    <w:abstractNumId w:val="19"/>
  </w:num>
  <w:num w:numId="27" w16cid:durableId="1579829222">
    <w:abstractNumId w:val="27"/>
  </w:num>
  <w:num w:numId="28" w16cid:durableId="243800363">
    <w:abstractNumId w:val="34"/>
  </w:num>
  <w:num w:numId="29" w16cid:durableId="1706632710">
    <w:abstractNumId w:val="31"/>
  </w:num>
  <w:num w:numId="30" w16cid:durableId="1451701869">
    <w:abstractNumId w:val="11"/>
  </w:num>
  <w:num w:numId="31" w16cid:durableId="392462119">
    <w:abstractNumId w:val="25"/>
  </w:num>
  <w:num w:numId="32" w16cid:durableId="388650185">
    <w:abstractNumId w:val="8"/>
  </w:num>
  <w:num w:numId="33" w16cid:durableId="1735815089">
    <w:abstractNumId w:val="13"/>
  </w:num>
  <w:num w:numId="34" w16cid:durableId="1091318101">
    <w:abstractNumId w:val="22"/>
  </w:num>
  <w:num w:numId="35" w16cid:durableId="1671181004">
    <w:abstractNumId w:val="20"/>
  </w:num>
  <w:num w:numId="36" w16cid:durableId="1075130357">
    <w:abstractNumId w:val="23"/>
  </w:num>
  <w:num w:numId="37" w16cid:durableId="111505505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ica Perez">
    <w15:presenceInfo w15:providerId="Windows Live" w15:userId="4e11d4836d7f99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EBD"/>
    <w:rsid w:val="00000F8F"/>
    <w:rsid w:val="00003D57"/>
    <w:rsid w:val="00024F31"/>
    <w:rsid w:val="000300CE"/>
    <w:rsid w:val="00030174"/>
    <w:rsid w:val="0004579C"/>
    <w:rsid w:val="00067F92"/>
    <w:rsid w:val="000A47FA"/>
    <w:rsid w:val="000A65D3"/>
    <w:rsid w:val="000B1E33"/>
    <w:rsid w:val="000D689F"/>
    <w:rsid w:val="000D725D"/>
    <w:rsid w:val="000E7B7B"/>
    <w:rsid w:val="000E7D62"/>
    <w:rsid w:val="00103357"/>
    <w:rsid w:val="00123C9F"/>
    <w:rsid w:val="00125818"/>
    <w:rsid w:val="00126190"/>
    <w:rsid w:val="00130F17"/>
    <w:rsid w:val="001320BF"/>
    <w:rsid w:val="00135611"/>
    <w:rsid w:val="00153F32"/>
    <w:rsid w:val="00163BC4"/>
    <w:rsid w:val="0016796D"/>
    <w:rsid w:val="00185985"/>
    <w:rsid w:val="00191062"/>
    <w:rsid w:val="00192B72"/>
    <w:rsid w:val="001A29D8"/>
    <w:rsid w:val="001A4AA3"/>
    <w:rsid w:val="001A5CAA"/>
    <w:rsid w:val="001B0427"/>
    <w:rsid w:val="001B2245"/>
    <w:rsid w:val="001D3A51"/>
    <w:rsid w:val="001D77F1"/>
    <w:rsid w:val="001E10D2"/>
    <w:rsid w:val="001E25B4"/>
    <w:rsid w:val="001E44FE"/>
    <w:rsid w:val="001F40EB"/>
    <w:rsid w:val="001F65F4"/>
    <w:rsid w:val="00200595"/>
    <w:rsid w:val="00204835"/>
    <w:rsid w:val="00231920"/>
    <w:rsid w:val="0023195C"/>
    <w:rsid w:val="0024282C"/>
    <w:rsid w:val="002460DC"/>
    <w:rsid w:val="00247106"/>
    <w:rsid w:val="00250985"/>
    <w:rsid w:val="00252EA6"/>
    <w:rsid w:val="002556F6"/>
    <w:rsid w:val="00267ABD"/>
    <w:rsid w:val="00277891"/>
    <w:rsid w:val="002808CE"/>
    <w:rsid w:val="00283105"/>
    <w:rsid w:val="00284C4C"/>
    <w:rsid w:val="00287E68"/>
    <w:rsid w:val="00296529"/>
    <w:rsid w:val="002A329F"/>
    <w:rsid w:val="002B07A9"/>
    <w:rsid w:val="002B0F4D"/>
    <w:rsid w:val="002B27FB"/>
    <w:rsid w:val="002B685A"/>
    <w:rsid w:val="002C57D2"/>
    <w:rsid w:val="002E0D56"/>
    <w:rsid w:val="002F13CC"/>
    <w:rsid w:val="00303B61"/>
    <w:rsid w:val="003072A0"/>
    <w:rsid w:val="00315186"/>
    <w:rsid w:val="0033343E"/>
    <w:rsid w:val="003512C2"/>
    <w:rsid w:val="0035557F"/>
    <w:rsid w:val="00371FB6"/>
    <w:rsid w:val="003763C1"/>
    <w:rsid w:val="00376BBE"/>
    <w:rsid w:val="0039224F"/>
    <w:rsid w:val="003A43A4"/>
    <w:rsid w:val="003A7E18"/>
    <w:rsid w:val="003C1542"/>
    <w:rsid w:val="003C4C86"/>
    <w:rsid w:val="003C6258"/>
    <w:rsid w:val="003E2904"/>
    <w:rsid w:val="003E36DD"/>
    <w:rsid w:val="003E60CA"/>
    <w:rsid w:val="003F3094"/>
    <w:rsid w:val="003F7E35"/>
    <w:rsid w:val="00401927"/>
    <w:rsid w:val="00405112"/>
    <w:rsid w:val="0041027F"/>
    <w:rsid w:val="00411EB4"/>
    <w:rsid w:val="00412475"/>
    <w:rsid w:val="00417645"/>
    <w:rsid w:val="00421C04"/>
    <w:rsid w:val="00423789"/>
    <w:rsid w:val="00440F43"/>
    <w:rsid w:val="00441B6F"/>
    <w:rsid w:val="00446221"/>
    <w:rsid w:val="00450E62"/>
    <w:rsid w:val="004539DB"/>
    <w:rsid w:val="00460F12"/>
    <w:rsid w:val="004653B3"/>
    <w:rsid w:val="00471A80"/>
    <w:rsid w:val="0047631A"/>
    <w:rsid w:val="0047646A"/>
    <w:rsid w:val="00484738"/>
    <w:rsid w:val="004910DA"/>
    <w:rsid w:val="004D206C"/>
    <w:rsid w:val="004D305E"/>
    <w:rsid w:val="004D4277"/>
    <w:rsid w:val="004D578B"/>
    <w:rsid w:val="004F3EA3"/>
    <w:rsid w:val="00502516"/>
    <w:rsid w:val="00505F06"/>
    <w:rsid w:val="00506828"/>
    <w:rsid w:val="00514296"/>
    <w:rsid w:val="00521829"/>
    <w:rsid w:val="0053022C"/>
    <w:rsid w:val="0053056E"/>
    <w:rsid w:val="00530A93"/>
    <w:rsid w:val="00530D37"/>
    <w:rsid w:val="00554FDA"/>
    <w:rsid w:val="00574FB1"/>
    <w:rsid w:val="005A2382"/>
    <w:rsid w:val="005C1FF2"/>
    <w:rsid w:val="005C784C"/>
    <w:rsid w:val="005D17F6"/>
    <w:rsid w:val="005D1E33"/>
    <w:rsid w:val="005D202E"/>
    <w:rsid w:val="005E4207"/>
    <w:rsid w:val="005E5539"/>
    <w:rsid w:val="006000A7"/>
    <w:rsid w:val="00602BF5"/>
    <w:rsid w:val="00606C47"/>
    <w:rsid w:val="00617FDD"/>
    <w:rsid w:val="00617FF4"/>
    <w:rsid w:val="00620F86"/>
    <w:rsid w:val="006212FA"/>
    <w:rsid w:val="00633614"/>
    <w:rsid w:val="00633F68"/>
    <w:rsid w:val="00636EB2"/>
    <w:rsid w:val="006375B8"/>
    <w:rsid w:val="0066510A"/>
    <w:rsid w:val="00673F9F"/>
    <w:rsid w:val="00686953"/>
    <w:rsid w:val="00687DEA"/>
    <w:rsid w:val="00687E67"/>
    <w:rsid w:val="00693DD9"/>
    <w:rsid w:val="006967F7"/>
    <w:rsid w:val="00696C6F"/>
    <w:rsid w:val="006A250C"/>
    <w:rsid w:val="006B21D3"/>
    <w:rsid w:val="006B57D0"/>
    <w:rsid w:val="006C1A3D"/>
    <w:rsid w:val="006D0300"/>
    <w:rsid w:val="006D30FF"/>
    <w:rsid w:val="006D4535"/>
    <w:rsid w:val="006D6940"/>
    <w:rsid w:val="006F11EC"/>
    <w:rsid w:val="006F4013"/>
    <w:rsid w:val="006F4ABC"/>
    <w:rsid w:val="0070082C"/>
    <w:rsid w:val="00715E90"/>
    <w:rsid w:val="007177C6"/>
    <w:rsid w:val="00724D0B"/>
    <w:rsid w:val="007369E6"/>
    <w:rsid w:val="00743D83"/>
    <w:rsid w:val="00746E59"/>
    <w:rsid w:val="00754C9A"/>
    <w:rsid w:val="0075599A"/>
    <w:rsid w:val="00761D52"/>
    <w:rsid w:val="00764EF4"/>
    <w:rsid w:val="007751B5"/>
    <w:rsid w:val="0077749E"/>
    <w:rsid w:val="00784937"/>
    <w:rsid w:val="00790ADA"/>
    <w:rsid w:val="007A1490"/>
    <w:rsid w:val="007A5E21"/>
    <w:rsid w:val="007C5229"/>
    <w:rsid w:val="007C6B86"/>
    <w:rsid w:val="007D2288"/>
    <w:rsid w:val="007E03A2"/>
    <w:rsid w:val="007E088F"/>
    <w:rsid w:val="007F7B32"/>
    <w:rsid w:val="00804BC2"/>
    <w:rsid w:val="00812701"/>
    <w:rsid w:val="0081431A"/>
    <w:rsid w:val="0082659A"/>
    <w:rsid w:val="0083216F"/>
    <w:rsid w:val="0084192C"/>
    <w:rsid w:val="00841CCB"/>
    <w:rsid w:val="00844888"/>
    <w:rsid w:val="008469E0"/>
    <w:rsid w:val="00860000"/>
    <w:rsid w:val="008613E8"/>
    <w:rsid w:val="00863BD3"/>
    <w:rsid w:val="008641ED"/>
    <w:rsid w:val="00866D66"/>
    <w:rsid w:val="008671C6"/>
    <w:rsid w:val="00875803"/>
    <w:rsid w:val="008802D6"/>
    <w:rsid w:val="00882A6F"/>
    <w:rsid w:val="008A7D6E"/>
    <w:rsid w:val="008B459E"/>
    <w:rsid w:val="008D0DCE"/>
    <w:rsid w:val="008E13AE"/>
    <w:rsid w:val="008E1506"/>
    <w:rsid w:val="008E710C"/>
    <w:rsid w:val="008F4165"/>
    <w:rsid w:val="008F69D6"/>
    <w:rsid w:val="00902823"/>
    <w:rsid w:val="00915CA6"/>
    <w:rsid w:val="00927834"/>
    <w:rsid w:val="00930FA1"/>
    <w:rsid w:val="0094148E"/>
    <w:rsid w:val="009500A6"/>
    <w:rsid w:val="0095201F"/>
    <w:rsid w:val="00957C18"/>
    <w:rsid w:val="009659BA"/>
    <w:rsid w:val="009669AF"/>
    <w:rsid w:val="00972263"/>
    <w:rsid w:val="00980C7F"/>
    <w:rsid w:val="00983040"/>
    <w:rsid w:val="00994049"/>
    <w:rsid w:val="009B3FB9"/>
    <w:rsid w:val="009C2465"/>
    <w:rsid w:val="009D35A0"/>
    <w:rsid w:val="009D7EB7"/>
    <w:rsid w:val="009E048A"/>
    <w:rsid w:val="009E08E9"/>
    <w:rsid w:val="009E3DB9"/>
    <w:rsid w:val="009E6E35"/>
    <w:rsid w:val="009F0EDA"/>
    <w:rsid w:val="009F42D0"/>
    <w:rsid w:val="00A03B96"/>
    <w:rsid w:val="00A05B19"/>
    <w:rsid w:val="00A1134E"/>
    <w:rsid w:val="00A24E7E"/>
    <w:rsid w:val="00A258C3"/>
    <w:rsid w:val="00A347C0"/>
    <w:rsid w:val="00A51431"/>
    <w:rsid w:val="00A539AD"/>
    <w:rsid w:val="00A569B4"/>
    <w:rsid w:val="00A67526"/>
    <w:rsid w:val="00A86D49"/>
    <w:rsid w:val="00A94063"/>
    <w:rsid w:val="00AA32EB"/>
    <w:rsid w:val="00AA6219"/>
    <w:rsid w:val="00AA74E0"/>
    <w:rsid w:val="00AB1473"/>
    <w:rsid w:val="00AB2639"/>
    <w:rsid w:val="00AB4F18"/>
    <w:rsid w:val="00AB534A"/>
    <w:rsid w:val="00AB703F"/>
    <w:rsid w:val="00AC6BB8"/>
    <w:rsid w:val="00AE008F"/>
    <w:rsid w:val="00AE6C45"/>
    <w:rsid w:val="00B01FCD"/>
    <w:rsid w:val="00B1776C"/>
    <w:rsid w:val="00B231C3"/>
    <w:rsid w:val="00B333F5"/>
    <w:rsid w:val="00B37571"/>
    <w:rsid w:val="00B52583"/>
    <w:rsid w:val="00B52896"/>
    <w:rsid w:val="00B715DD"/>
    <w:rsid w:val="00B8024C"/>
    <w:rsid w:val="00B8270A"/>
    <w:rsid w:val="00B95236"/>
    <w:rsid w:val="00B96BD9"/>
    <w:rsid w:val="00BA1B01"/>
    <w:rsid w:val="00BA2641"/>
    <w:rsid w:val="00BB37AA"/>
    <w:rsid w:val="00BB5E21"/>
    <w:rsid w:val="00BC53A0"/>
    <w:rsid w:val="00BD1D04"/>
    <w:rsid w:val="00BD5533"/>
    <w:rsid w:val="00BE62AD"/>
    <w:rsid w:val="00BE767A"/>
    <w:rsid w:val="00BF121F"/>
    <w:rsid w:val="00BF1F80"/>
    <w:rsid w:val="00C06CBF"/>
    <w:rsid w:val="00C166EF"/>
    <w:rsid w:val="00C17EB0"/>
    <w:rsid w:val="00C27F5F"/>
    <w:rsid w:val="00C30A0F"/>
    <w:rsid w:val="00C37E61"/>
    <w:rsid w:val="00C70F1B"/>
    <w:rsid w:val="00C71A47"/>
    <w:rsid w:val="00C7391B"/>
    <w:rsid w:val="00C7464C"/>
    <w:rsid w:val="00C85588"/>
    <w:rsid w:val="00C95151"/>
    <w:rsid w:val="00CB6778"/>
    <w:rsid w:val="00CD2811"/>
    <w:rsid w:val="00CD6755"/>
    <w:rsid w:val="00CD6856"/>
    <w:rsid w:val="00CE0089"/>
    <w:rsid w:val="00CE793C"/>
    <w:rsid w:val="00CF193C"/>
    <w:rsid w:val="00CF236B"/>
    <w:rsid w:val="00CF63A2"/>
    <w:rsid w:val="00D07EAB"/>
    <w:rsid w:val="00D149F6"/>
    <w:rsid w:val="00D173F1"/>
    <w:rsid w:val="00D2360E"/>
    <w:rsid w:val="00D55608"/>
    <w:rsid w:val="00D74CB0"/>
    <w:rsid w:val="00D8295D"/>
    <w:rsid w:val="00DC2A65"/>
    <w:rsid w:val="00DD7FF9"/>
    <w:rsid w:val="00DE15F0"/>
    <w:rsid w:val="00DE5663"/>
    <w:rsid w:val="00DE78AA"/>
    <w:rsid w:val="00E053D0"/>
    <w:rsid w:val="00E15994"/>
    <w:rsid w:val="00E3114E"/>
    <w:rsid w:val="00E31A70"/>
    <w:rsid w:val="00E3285F"/>
    <w:rsid w:val="00E3495B"/>
    <w:rsid w:val="00E35B02"/>
    <w:rsid w:val="00E42E22"/>
    <w:rsid w:val="00E5569B"/>
    <w:rsid w:val="00E66496"/>
    <w:rsid w:val="00E66B35"/>
    <w:rsid w:val="00E66E10"/>
    <w:rsid w:val="00E769F6"/>
    <w:rsid w:val="00E8407C"/>
    <w:rsid w:val="00E84F3C"/>
    <w:rsid w:val="00EA012C"/>
    <w:rsid w:val="00EC6A55"/>
    <w:rsid w:val="00ED0288"/>
    <w:rsid w:val="00EE52CB"/>
    <w:rsid w:val="00EF581D"/>
    <w:rsid w:val="00EF7FD8"/>
    <w:rsid w:val="00F06F59"/>
    <w:rsid w:val="00F14626"/>
    <w:rsid w:val="00F17988"/>
    <w:rsid w:val="00F31703"/>
    <w:rsid w:val="00F469F0"/>
    <w:rsid w:val="00F53273"/>
    <w:rsid w:val="00F60064"/>
    <w:rsid w:val="00F666C4"/>
    <w:rsid w:val="00F755E4"/>
    <w:rsid w:val="00F77D02"/>
    <w:rsid w:val="00FA26A7"/>
    <w:rsid w:val="00FB2405"/>
    <w:rsid w:val="00FB3A86"/>
    <w:rsid w:val="00FD36C8"/>
    <w:rsid w:val="00FE1887"/>
    <w:rsid w:val="00FF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AC3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95201F"/>
    <w:rPr>
      <w:rFonts w:ascii="Helvetica" w:hAnsi="Helvetica"/>
      <w:b/>
      <w:bCs/>
      <w:lang w:val="en-US" w:eastAsia="en-US"/>
    </w:rPr>
  </w:style>
  <w:style w:type="character" w:customStyle="1" w:styleId="CommentSubjectChar">
    <w:name w:val="Comment Subject Char"/>
    <w:basedOn w:val="CommentTextChar"/>
    <w:link w:val="CommentSubject"/>
    <w:semiHidden/>
    <w:rsid w:val="0095201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1096380">
      <w:bodyDiv w:val="1"/>
      <w:marLeft w:val="0"/>
      <w:marRight w:val="0"/>
      <w:marTop w:val="0"/>
      <w:marBottom w:val="0"/>
      <w:divBdr>
        <w:top w:val="none" w:sz="0" w:space="0" w:color="auto"/>
        <w:left w:val="none" w:sz="0" w:space="0" w:color="auto"/>
        <w:bottom w:val="none" w:sz="0" w:space="0" w:color="auto"/>
        <w:right w:val="none" w:sz="0" w:space="0" w:color="auto"/>
      </w:divBdr>
    </w:div>
    <w:div w:id="15330505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5264388">
      <w:bodyDiv w:val="1"/>
      <w:marLeft w:val="0"/>
      <w:marRight w:val="0"/>
      <w:marTop w:val="0"/>
      <w:marBottom w:val="0"/>
      <w:divBdr>
        <w:top w:val="none" w:sz="0" w:space="0" w:color="auto"/>
        <w:left w:val="none" w:sz="0" w:space="0" w:color="auto"/>
        <w:bottom w:val="none" w:sz="0" w:space="0" w:color="auto"/>
        <w:right w:val="none" w:sz="0" w:space="0" w:color="auto"/>
      </w:divBdr>
    </w:div>
    <w:div w:id="21181846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2297365">
      <w:bodyDiv w:val="1"/>
      <w:marLeft w:val="0"/>
      <w:marRight w:val="0"/>
      <w:marTop w:val="0"/>
      <w:marBottom w:val="0"/>
      <w:divBdr>
        <w:top w:val="none" w:sz="0" w:space="0" w:color="auto"/>
        <w:left w:val="none" w:sz="0" w:space="0" w:color="auto"/>
        <w:bottom w:val="none" w:sz="0" w:space="0" w:color="auto"/>
        <w:right w:val="none" w:sz="0" w:space="0" w:color="auto"/>
      </w:divBdr>
    </w:div>
    <w:div w:id="357243728">
      <w:bodyDiv w:val="1"/>
      <w:marLeft w:val="0"/>
      <w:marRight w:val="0"/>
      <w:marTop w:val="0"/>
      <w:marBottom w:val="0"/>
      <w:divBdr>
        <w:top w:val="none" w:sz="0" w:space="0" w:color="auto"/>
        <w:left w:val="none" w:sz="0" w:space="0" w:color="auto"/>
        <w:bottom w:val="none" w:sz="0" w:space="0" w:color="auto"/>
        <w:right w:val="none" w:sz="0" w:space="0" w:color="auto"/>
      </w:divBdr>
    </w:div>
    <w:div w:id="359622563">
      <w:bodyDiv w:val="1"/>
      <w:marLeft w:val="0"/>
      <w:marRight w:val="0"/>
      <w:marTop w:val="0"/>
      <w:marBottom w:val="0"/>
      <w:divBdr>
        <w:top w:val="none" w:sz="0" w:space="0" w:color="auto"/>
        <w:left w:val="none" w:sz="0" w:space="0" w:color="auto"/>
        <w:bottom w:val="none" w:sz="0" w:space="0" w:color="auto"/>
        <w:right w:val="none" w:sz="0" w:space="0" w:color="auto"/>
      </w:divBdr>
    </w:div>
    <w:div w:id="431896475">
      <w:bodyDiv w:val="1"/>
      <w:marLeft w:val="0"/>
      <w:marRight w:val="0"/>
      <w:marTop w:val="0"/>
      <w:marBottom w:val="0"/>
      <w:divBdr>
        <w:top w:val="none" w:sz="0" w:space="0" w:color="auto"/>
        <w:left w:val="none" w:sz="0" w:space="0" w:color="auto"/>
        <w:bottom w:val="none" w:sz="0" w:space="0" w:color="auto"/>
        <w:right w:val="none" w:sz="0" w:space="0" w:color="auto"/>
      </w:divBdr>
    </w:div>
    <w:div w:id="558057495">
      <w:bodyDiv w:val="1"/>
      <w:marLeft w:val="0"/>
      <w:marRight w:val="0"/>
      <w:marTop w:val="0"/>
      <w:marBottom w:val="0"/>
      <w:divBdr>
        <w:top w:val="none" w:sz="0" w:space="0" w:color="auto"/>
        <w:left w:val="none" w:sz="0" w:space="0" w:color="auto"/>
        <w:bottom w:val="none" w:sz="0" w:space="0" w:color="auto"/>
        <w:right w:val="none" w:sz="0" w:space="0" w:color="auto"/>
      </w:divBdr>
    </w:div>
    <w:div w:id="63414388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8626736">
      <w:bodyDiv w:val="1"/>
      <w:marLeft w:val="0"/>
      <w:marRight w:val="0"/>
      <w:marTop w:val="0"/>
      <w:marBottom w:val="0"/>
      <w:divBdr>
        <w:top w:val="none" w:sz="0" w:space="0" w:color="auto"/>
        <w:left w:val="none" w:sz="0" w:space="0" w:color="auto"/>
        <w:bottom w:val="none" w:sz="0" w:space="0" w:color="auto"/>
        <w:right w:val="none" w:sz="0" w:space="0" w:color="auto"/>
      </w:divBdr>
    </w:div>
    <w:div w:id="680284216">
      <w:bodyDiv w:val="1"/>
      <w:marLeft w:val="0"/>
      <w:marRight w:val="0"/>
      <w:marTop w:val="0"/>
      <w:marBottom w:val="0"/>
      <w:divBdr>
        <w:top w:val="none" w:sz="0" w:space="0" w:color="auto"/>
        <w:left w:val="none" w:sz="0" w:space="0" w:color="auto"/>
        <w:bottom w:val="none" w:sz="0" w:space="0" w:color="auto"/>
        <w:right w:val="none" w:sz="0" w:space="0" w:color="auto"/>
      </w:divBdr>
    </w:div>
    <w:div w:id="685596962">
      <w:bodyDiv w:val="1"/>
      <w:marLeft w:val="0"/>
      <w:marRight w:val="0"/>
      <w:marTop w:val="0"/>
      <w:marBottom w:val="0"/>
      <w:divBdr>
        <w:top w:val="none" w:sz="0" w:space="0" w:color="auto"/>
        <w:left w:val="none" w:sz="0" w:space="0" w:color="auto"/>
        <w:bottom w:val="none" w:sz="0" w:space="0" w:color="auto"/>
        <w:right w:val="none" w:sz="0" w:space="0" w:color="auto"/>
      </w:divBdr>
    </w:div>
    <w:div w:id="708839559">
      <w:bodyDiv w:val="1"/>
      <w:marLeft w:val="0"/>
      <w:marRight w:val="0"/>
      <w:marTop w:val="0"/>
      <w:marBottom w:val="0"/>
      <w:divBdr>
        <w:top w:val="none" w:sz="0" w:space="0" w:color="auto"/>
        <w:left w:val="none" w:sz="0" w:space="0" w:color="auto"/>
        <w:bottom w:val="none" w:sz="0" w:space="0" w:color="auto"/>
        <w:right w:val="none" w:sz="0" w:space="0" w:color="auto"/>
      </w:divBdr>
    </w:div>
    <w:div w:id="738478871">
      <w:bodyDiv w:val="1"/>
      <w:marLeft w:val="0"/>
      <w:marRight w:val="0"/>
      <w:marTop w:val="0"/>
      <w:marBottom w:val="0"/>
      <w:divBdr>
        <w:top w:val="none" w:sz="0" w:space="0" w:color="auto"/>
        <w:left w:val="none" w:sz="0" w:space="0" w:color="auto"/>
        <w:bottom w:val="none" w:sz="0" w:space="0" w:color="auto"/>
        <w:right w:val="none" w:sz="0" w:space="0" w:color="auto"/>
      </w:divBdr>
    </w:div>
    <w:div w:id="751052533">
      <w:bodyDiv w:val="1"/>
      <w:marLeft w:val="0"/>
      <w:marRight w:val="0"/>
      <w:marTop w:val="0"/>
      <w:marBottom w:val="0"/>
      <w:divBdr>
        <w:top w:val="none" w:sz="0" w:space="0" w:color="auto"/>
        <w:left w:val="none" w:sz="0" w:space="0" w:color="auto"/>
        <w:bottom w:val="none" w:sz="0" w:space="0" w:color="auto"/>
        <w:right w:val="none" w:sz="0" w:space="0" w:color="auto"/>
      </w:divBdr>
    </w:div>
    <w:div w:id="799421838">
      <w:bodyDiv w:val="1"/>
      <w:marLeft w:val="0"/>
      <w:marRight w:val="0"/>
      <w:marTop w:val="0"/>
      <w:marBottom w:val="0"/>
      <w:divBdr>
        <w:top w:val="none" w:sz="0" w:space="0" w:color="auto"/>
        <w:left w:val="none" w:sz="0" w:space="0" w:color="auto"/>
        <w:bottom w:val="none" w:sz="0" w:space="0" w:color="auto"/>
        <w:right w:val="none" w:sz="0" w:space="0" w:color="auto"/>
      </w:divBdr>
    </w:div>
    <w:div w:id="799541469">
      <w:bodyDiv w:val="1"/>
      <w:marLeft w:val="0"/>
      <w:marRight w:val="0"/>
      <w:marTop w:val="0"/>
      <w:marBottom w:val="0"/>
      <w:divBdr>
        <w:top w:val="none" w:sz="0" w:space="0" w:color="auto"/>
        <w:left w:val="none" w:sz="0" w:space="0" w:color="auto"/>
        <w:bottom w:val="none" w:sz="0" w:space="0" w:color="auto"/>
        <w:right w:val="none" w:sz="0" w:space="0" w:color="auto"/>
      </w:divBdr>
    </w:div>
    <w:div w:id="849638149">
      <w:bodyDiv w:val="1"/>
      <w:marLeft w:val="0"/>
      <w:marRight w:val="0"/>
      <w:marTop w:val="0"/>
      <w:marBottom w:val="0"/>
      <w:divBdr>
        <w:top w:val="none" w:sz="0" w:space="0" w:color="auto"/>
        <w:left w:val="none" w:sz="0" w:space="0" w:color="auto"/>
        <w:bottom w:val="none" w:sz="0" w:space="0" w:color="auto"/>
        <w:right w:val="none" w:sz="0" w:space="0" w:color="auto"/>
      </w:divBdr>
    </w:div>
    <w:div w:id="87438840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0209347">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4910270">
      <w:bodyDiv w:val="1"/>
      <w:marLeft w:val="0"/>
      <w:marRight w:val="0"/>
      <w:marTop w:val="0"/>
      <w:marBottom w:val="0"/>
      <w:divBdr>
        <w:top w:val="none" w:sz="0" w:space="0" w:color="auto"/>
        <w:left w:val="none" w:sz="0" w:space="0" w:color="auto"/>
        <w:bottom w:val="none" w:sz="0" w:space="0" w:color="auto"/>
        <w:right w:val="none" w:sz="0" w:space="0" w:color="auto"/>
      </w:divBdr>
    </w:div>
    <w:div w:id="1168250939">
      <w:bodyDiv w:val="1"/>
      <w:marLeft w:val="0"/>
      <w:marRight w:val="0"/>
      <w:marTop w:val="0"/>
      <w:marBottom w:val="0"/>
      <w:divBdr>
        <w:top w:val="none" w:sz="0" w:space="0" w:color="auto"/>
        <w:left w:val="none" w:sz="0" w:space="0" w:color="auto"/>
        <w:bottom w:val="none" w:sz="0" w:space="0" w:color="auto"/>
        <w:right w:val="none" w:sz="0" w:space="0" w:color="auto"/>
      </w:divBdr>
    </w:div>
    <w:div w:id="1276014846">
      <w:bodyDiv w:val="1"/>
      <w:marLeft w:val="0"/>
      <w:marRight w:val="0"/>
      <w:marTop w:val="0"/>
      <w:marBottom w:val="0"/>
      <w:divBdr>
        <w:top w:val="none" w:sz="0" w:space="0" w:color="auto"/>
        <w:left w:val="none" w:sz="0" w:space="0" w:color="auto"/>
        <w:bottom w:val="none" w:sz="0" w:space="0" w:color="auto"/>
        <w:right w:val="none" w:sz="0" w:space="0" w:color="auto"/>
      </w:divBdr>
    </w:div>
    <w:div w:id="1287082513">
      <w:bodyDiv w:val="1"/>
      <w:marLeft w:val="0"/>
      <w:marRight w:val="0"/>
      <w:marTop w:val="0"/>
      <w:marBottom w:val="0"/>
      <w:divBdr>
        <w:top w:val="none" w:sz="0" w:space="0" w:color="auto"/>
        <w:left w:val="none" w:sz="0" w:space="0" w:color="auto"/>
        <w:bottom w:val="none" w:sz="0" w:space="0" w:color="auto"/>
        <w:right w:val="none" w:sz="0" w:space="0" w:color="auto"/>
      </w:divBdr>
    </w:div>
    <w:div w:id="1315336397">
      <w:bodyDiv w:val="1"/>
      <w:marLeft w:val="0"/>
      <w:marRight w:val="0"/>
      <w:marTop w:val="0"/>
      <w:marBottom w:val="0"/>
      <w:divBdr>
        <w:top w:val="none" w:sz="0" w:space="0" w:color="auto"/>
        <w:left w:val="none" w:sz="0" w:space="0" w:color="auto"/>
        <w:bottom w:val="none" w:sz="0" w:space="0" w:color="auto"/>
        <w:right w:val="none" w:sz="0" w:space="0" w:color="auto"/>
      </w:divBdr>
    </w:div>
    <w:div w:id="1375614712">
      <w:bodyDiv w:val="1"/>
      <w:marLeft w:val="0"/>
      <w:marRight w:val="0"/>
      <w:marTop w:val="0"/>
      <w:marBottom w:val="0"/>
      <w:divBdr>
        <w:top w:val="none" w:sz="0" w:space="0" w:color="auto"/>
        <w:left w:val="none" w:sz="0" w:space="0" w:color="auto"/>
        <w:bottom w:val="none" w:sz="0" w:space="0" w:color="auto"/>
        <w:right w:val="none" w:sz="0" w:space="0" w:color="auto"/>
      </w:divBdr>
    </w:div>
    <w:div w:id="1397049497">
      <w:bodyDiv w:val="1"/>
      <w:marLeft w:val="0"/>
      <w:marRight w:val="0"/>
      <w:marTop w:val="0"/>
      <w:marBottom w:val="0"/>
      <w:divBdr>
        <w:top w:val="none" w:sz="0" w:space="0" w:color="auto"/>
        <w:left w:val="none" w:sz="0" w:space="0" w:color="auto"/>
        <w:bottom w:val="none" w:sz="0" w:space="0" w:color="auto"/>
        <w:right w:val="none" w:sz="0" w:space="0" w:color="auto"/>
      </w:divBdr>
    </w:div>
    <w:div w:id="1521505533">
      <w:bodyDiv w:val="1"/>
      <w:marLeft w:val="0"/>
      <w:marRight w:val="0"/>
      <w:marTop w:val="0"/>
      <w:marBottom w:val="0"/>
      <w:divBdr>
        <w:top w:val="none" w:sz="0" w:space="0" w:color="auto"/>
        <w:left w:val="none" w:sz="0" w:space="0" w:color="auto"/>
        <w:bottom w:val="none" w:sz="0" w:space="0" w:color="auto"/>
        <w:right w:val="none" w:sz="0" w:space="0" w:color="auto"/>
      </w:divBdr>
    </w:div>
    <w:div w:id="1690907965">
      <w:bodyDiv w:val="1"/>
      <w:marLeft w:val="0"/>
      <w:marRight w:val="0"/>
      <w:marTop w:val="0"/>
      <w:marBottom w:val="0"/>
      <w:divBdr>
        <w:top w:val="none" w:sz="0" w:space="0" w:color="auto"/>
        <w:left w:val="none" w:sz="0" w:space="0" w:color="auto"/>
        <w:bottom w:val="none" w:sz="0" w:space="0" w:color="auto"/>
        <w:right w:val="none" w:sz="0" w:space="0" w:color="auto"/>
      </w:divBdr>
    </w:div>
    <w:div w:id="172582922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2765164">
      <w:bodyDiv w:val="1"/>
      <w:marLeft w:val="0"/>
      <w:marRight w:val="0"/>
      <w:marTop w:val="0"/>
      <w:marBottom w:val="0"/>
      <w:divBdr>
        <w:top w:val="none" w:sz="0" w:space="0" w:color="auto"/>
        <w:left w:val="none" w:sz="0" w:space="0" w:color="auto"/>
        <w:bottom w:val="none" w:sz="0" w:space="0" w:color="auto"/>
        <w:right w:val="none" w:sz="0" w:space="0" w:color="auto"/>
      </w:divBdr>
    </w:div>
    <w:div w:id="185926866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69755/2995-2212.1287" TargetMode="External"/><Relationship Id="rId21" Type="http://schemas.openxmlformats.org/officeDocument/2006/relationships/hyperlink" Target="https://doi.org/10.47608/jki.v18i1.2024.157-174" TargetMode="External"/><Relationship Id="rId42" Type="http://schemas.openxmlformats.org/officeDocument/2006/relationships/hyperlink" Target="https://doi.org/10.3390/su10010089" TargetMode="External"/><Relationship Id="rId47" Type="http://schemas.openxmlformats.org/officeDocument/2006/relationships/hyperlink" Target="https://doi.org/10.69569/jip.2024.0110" TargetMode="External"/><Relationship Id="rId63" Type="http://schemas.openxmlformats.org/officeDocument/2006/relationships/hyperlink" Target="https://doi.org/10.3390/su9101879" TargetMode="External"/><Relationship Id="rId68" Type="http://schemas.openxmlformats.org/officeDocument/2006/relationships/header" Target="header6.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doi.org/10.3390/w9110868" TargetMode="External"/><Relationship Id="rId11" Type="http://schemas.openxmlformats.org/officeDocument/2006/relationships/footer" Target="footer2.xml"/><Relationship Id="rId24" Type="http://schemas.openxmlformats.org/officeDocument/2006/relationships/hyperlink" Target="https://doi.org/10.1590/S0034-76122010000500008" TargetMode="External"/><Relationship Id="rId32" Type="http://schemas.openxmlformats.org/officeDocument/2006/relationships/hyperlink" Target="https://doi.org/10.18870/hlrc.v2i4.82" TargetMode="External"/><Relationship Id="rId37" Type="http://schemas.openxmlformats.org/officeDocument/2006/relationships/hyperlink" Target="https://doi.org/10.1016/j.forpol.2023.103076" TargetMode="External"/><Relationship Id="rId40" Type="http://schemas.openxmlformats.org/officeDocument/2006/relationships/hyperlink" Target="https://doi.org/10.1142/9789814730914_0014" TargetMode="External"/><Relationship Id="rId45" Type="http://schemas.openxmlformats.org/officeDocument/2006/relationships/hyperlink" Target="https://doi.org/10.46222/ajhtl.19770720-100" TargetMode="External"/><Relationship Id="rId53" Type="http://schemas.openxmlformats.org/officeDocument/2006/relationships/hyperlink" Target="https://doi.org/10.3390/su14052561" TargetMode="External"/><Relationship Id="rId58" Type="http://schemas.openxmlformats.org/officeDocument/2006/relationships/hyperlink" Target="https://doi.org/10.1016/j.resourpol.2023.103359" TargetMode="External"/><Relationship Id="rId66"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hyperlink" Target="https://doi.org/10.46222/ajhtl.19770720-63" TargetMode="External"/><Relationship Id="rId19" Type="http://schemas.openxmlformats.org/officeDocument/2006/relationships/hyperlink" Target="https://gemini.google.com/" TargetMode="External"/><Relationship Id="rId14" Type="http://schemas.openxmlformats.org/officeDocument/2006/relationships/comments" Target="comments.xml"/><Relationship Id="rId22" Type="http://schemas.openxmlformats.org/officeDocument/2006/relationships/hyperlink" Target="https://doi.org/10.34623/pb9h-j789" TargetMode="External"/><Relationship Id="rId27" Type="http://schemas.openxmlformats.org/officeDocument/2006/relationships/hyperlink" Target="https://doi.org/10.3390/su16146082" TargetMode="External"/><Relationship Id="rId30" Type="http://schemas.openxmlformats.org/officeDocument/2006/relationships/hyperlink" Target="https://doi.org/10.1080/09669582.2021.1910281" TargetMode="External"/><Relationship Id="rId35" Type="http://schemas.openxmlformats.org/officeDocument/2006/relationships/hyperlink" Target="https://doi.org/10.22034/gjesm.2022.01.09" TargetMode="External"/><Relationship Id="rId43" Type="http://schemas.openxmlformats.org/officeDocument/2006/relationships/hyperlink" Target="https://doi.org/10.1016/j.progress.2012.06.001" TargetMode="External"/><Relationship Id="rId48" Type="http://schemas.openxmlformats.org/officeDocument/2006/relationships/hyperlink" Target="https://doi.org/10.1016/j.jclepro.2015.01.085" TargetMode="External"/><Relationship Id="rId56" Type="http://schemas.openxmlformats.org/officeDocument/2006/relationships/hyperlink" Target="https://doi.org/10.18235/0006980" TargetMode="External"/><Relationship Id="rId64" Type="http://schemas.openxmlformats.org/officeDocument/2006/relationships/hyperlink" Target="https://research.usq.edu.au/item/q0x0x/green-tourism-futures-climate-change-responses-by-australian-government-tourism-agencies" TargetMode="Externa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48550/arXiv.2311.18453" TargetMode="Externa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1016/j.resourpol.2023.104088" TargetMode="External"/><Relationship Id="rId33" Type="http://schemas.openxmlformats.org/officeDocument/2006/relationships/hyperlink" Target="https://doi.org/10.18848/2325-1115/CGP/v16i02/65-85" TargetMode="External"/><Relationship Id="rId38" Type="http://schemas.openxmlformats.org/officeDocument/2006/relationships/hyperlink" Target="https://doi.org/10.3390/su12145698" TargetMode="External"/><Relationship Id="rId46" Type="http://schemas.openxmlformats.org/officeDocument/2006/relationships/hyperlink" Target="https://doi.org/10.1080/23311886.2024.2330733" TargetMode="External"/><Relationship Id="rId59" Type="http://schemas.openxmlformats.org/officeDocument/2006/relationships/hyperlink" Target="https://doi.org/10.14764/10.ASEAS-0033" TargetMode="External"/><Relationship Id="rId67" Type="http://schemas.openxmlformats.org/officeDocument/2006/relationships/footer" Target="footer4.xml"/><Relationship Id="rId20" Type="http://schemas.openxmlformats.org/officeDocument/2006/relationships/hyperlink" Target="https://chat.openai.com/" TargetMode="External"/><Relationship Id="rId41" Type="http://schemas.openxmlformats.org/officeDocument/2006/relationships/hyperlink" Target="https://doi.org/10.3390/su12083383" TargetMode="External"/><Relationship Id="rId54" Type="http://schemas.openxmlformats.org/officeDocument/2006/relationships/hyperlink" Target="https://doi.org/10.3390/su14073844" TargetMode="External"/><Relationship Id="rId62" Type="http://schemas.openxmlformats.org/officeDocument/2006/relationships/hyperlink" Target="https://doi.org/10.1051/e3sconf/202131101003"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doi.org/10.3390/su152014748" TargetMode="External"/><Relationship Id="rId28" Type="http://schemas.openxmlformats.org/officeDocument/2006/relationships/hyperlink" Target="https://doi.org/10.5751/ES-08924-220104" TargetMode="External"/><Relationship Id="rId36" Type="http://schemas.openxmlformats.org/officeDocument/2006/relationships/hyperlink" Target="https://doi.org/10.1016/j.ijhm.2018.03.012" TargetMode="External"/><Relationship Id="rId49" Type="http://schemas.openxmlformats.org/officeDocument/2006/relationships/hyperlink" Target="https://doi.org/10.1057/palgrave.rlp.5100039" TargetMode="External"/><Relationship Id="rId57" Type="http://schemas.openxmlformats.org/officeDocument/2006/relationships/hyperlink" Target="https://doi.org/10.1111/geoj.12502" TargetMode="External"/><Relationship Id="rId10" Type="http://schemas.openxmlformats.org/officeDocument/2006/relationships/footer" Target="footer1.xml"/><Relationship Id="rId31" Type="http://schemas.openxmlformats.org/officeDocument/2006/relationships/hyperlink" Target="https://doi.org/10.1080/1088937X.2021.1918787" TargetMode="External"/><Relationship Id="rId44" Type="http://schemas.openxmlformats.org/officeDocument/2006/relationships/hyperlink" Target="https://doi.org/10.26481/dis.20091112ml" TargetMode="External"/><Relationship Id="rId52" Type="http://schemas.openxmlformats.org/officeDocument/2006/relationships/hyperlink" Target="https://doi.org/10.1088/1755-1315/1181/1/012018" TargetMode="External"/><Relationship Id="rId60" Type="http://schemas.openxmlformats.org/officeDocument/2006/relationships/hyperlink" Target="https://doi.org/10.1002/sd.2133" TargetMode="External"/><Relationship Id="rId65"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gemini.google.com/" TargetMode="External"/><Relationship Id="rId39" Type="http://schemas.openxmlformats.org/officeDocument/2006/relationships/hyperlink" Target="https://doi.org/10.1375/jhtm.17.1.83" TargetMode="External"/><Relationship Id="rId34" Type="http://schemas.openxmlformats.org/officeDocument/2006/relationships/hyperlink" Target="https://doi.org/10.1016/j.envc.2021.100338" TargetMode="External"/><Relationship Id="rId50" Type="http://schemas.openxmlformats.org/officeDocument/2006/relationships/hyperlink" Target="https://doi.org/10.1079/9780851990514.0000" TargetMode="External"/><Relationship Id="rId55" Type="http://schemas.openxmlformats.org/officeDocument/2006/relationships/hyperlink" Target="https://doi.org/10.1108/MEQ-11-2021-025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83ADF-CC2B-45F1-A88F-A2FFBF6B0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172</TotalTime>
  <Pages>18</Pages>
  <Words>6685</Words>
  <Characters>48234</Characters>
  <Application>Microsoft Office Word</Application>
  <DocSecurity>0</DocSecurity>
  <Lines>401</Lines>
  <Paragraphs>109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54810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Angelica Perez</cp:lastModifiedBy>
  <cp:revision>118</cp:revision>
  <cp:lastPrinted>1999-07-06T11:00:00Z</cp:lastPrinted>
  <dcterms:created xsi:type="dcterms:W3CDTF">2025-05-18T06:03:00Z</dcterms:created>
  <dcterms:modified xsi:type="dcterms:W3CDTF">2025-05-21T07:25:00Z</dcterms:modified>
</cp:coreProperties>
</file>