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DCA7" w14:textId="65E66C09" w:rsidR="00D1222E" w:rsidRPr="00A64AB6" w:rsidRDefault="00D1222E" w:rsidP="00D1222E">
      <w:pPr>
        <w:pStyle w:val="NoSpacing"/>
        <w:rPr>
          <w:rFonts w:ascii="Times New Roman" w:hAnsi="Times New Roman"/>
          <w:b/>
          <w:bCs/>
          <w:sz w:val="32"/>
          <w:szCs w:val="32"/>
        </w:rPr>
      </w:pPr>
      <w:r w:rsidRPr="00F67B22">
        <w:rPr>
          <w:rFonts w:ascii="Times New Roman" w:hAnsi="Times New Roman"/>
          <w:b/>
          <w:bCs/>
          <w:sz w:val="32"/>
          <w:szCs w:val="32"/>
        </w:rPr>
        <w:t xml:space="preserve">Organizational Resilience </w:t>
      </w:r>
      <w:r>
        <w:rPr>
          <w:rFonts w:ascii="Times New Roman" w:hAnsi="Times New Roman"/>
          <w:b/>
          <w:bCs/>
          <w:sz w:val="32"/>
          <w:szCs w:val="32"/>
        </w:rPr>
        <w:t>i</w:t>
      </w:r>
      <w:r w:rsidRPr="00F67B22">
        <w:rPr>
          <w:rFonts w:ascii="Times New Roman" w:hAnsi="Times New Roman"/>
          <w:b/>
          <w:bCs/>
          <w:sz w:val="32"/>
          <w:szCs w:val="32"/>
        </w:rPr>
        <w:t>n Higher Education Institutions</w:t>
      </w:r>
      <w:r w:rsidRPr="00F67B22">
        <w:rPr>
          <w:rFonts w:ascii="Times New Roman" w:hAnsi="Times New Roman"/>
          <w:bCs/>
          <w:sz w:val="32"/>
          <w:szCs w:val="32"/>
        </w:rPr>
        <w:t>:</w:t>
      </w:r>
      <w:r w:rsidR="00965EDD">
        <w:rPr>
          <w:rFonts w:ascii="Times New Roman" w:hAnsi="Times New Roman"/>
          <w:bCs/>
          <w:sz w:val="32"/>
          <w:szCs w:val="32"/>
          <w:lang w:val="id-ID"/>
        </w:rPr>
        <w:t xml:space="preserve"> </w:t>
      </w:r>
      <w:r w:rsidRPr="00F67B22">
        <w:rPr>
          <w:rFonts w:ascii="Times New Roman" w:hAnsi="Times New Roman"/>
          <w:b/>
          <w:bCs/>
          <w:sz w:val="32"/>
          <w:szCs w:val="32"/>
        </w:rPr>
        <w:t>A Systematic Literature Review</w:t>
      </w:r>
    </w:p>
    <w:p w14:paraId="5229DE44" w14:textId="77777777" w:rsidR="00D1222E" w:rsidRDefault="00D1222E" w:rsidP="00D1222E">
      <w:pPr>
        <w:pStyle w:val="NoSpacing"/>
        <w:jc w:val="center"/>
        <w:rPr>
          <w:rFonts w:ascii="Times New Roman" w:hAnsi="Times New Roman"/>
          <w:b/>
          <w:sz w:val="20"/>
          <w:szCs w:val="20"/>
        </w:rPr>
      </w:pPr>
    </w:p>
    <w:p w14:paraId="7295BD4F" w14:textId="67FDFE3C" w:rsidR="00B343BF" w:rsidRPr="000C55A2" w:rsidRDefault="00B343BF" w:rsidP="00D1222E">
      <w:pPr>
        <w:pStyle w:val="NoSpacing"/>
        <w:rPr>
          <w:rFonts w:ascii="Times New Roman" w:hAnsi="Times New Roman"/>
          <w:bCs/>
          <w:sz w:val="20"/>
          <w:szCs w:val="20"/>
        </w:rPr>
      </w:pPr>
      <w:r>
        <w:rPr>
          <w:rFonts w:ascii="Times New Roman" w:hAnsi="Times New Roman"/>
          <w:bCs/>
          <w:sz w:val="20"/>
          <w:szCs w:val="20"/>
        </w:rPr>
        <w:t xml:space="preserve"> </w:t>
      </w:r>
    </w:p>
    <w:p w14:paraId="4D900A32" w14:textId="77777777" w:rsidR="00D1222E" w:rsidRPr="009B30C6" w:rsidRDefault="00D1222E" w:rsidP="00D1222E">
      <w:pPr>
        <w:pStyle w:val="IEEEAbtract"/>
        <w:spacing w:after="120"/>
        <w:rPr>
          <w:rStyle w:val="IEEEAbstractHeadingChar"/>
          <w:sz w:val="20"/>
          <w:szCs w:val="20"/>
        </w:rPr>
      </w:pPr>
    </w:p>
    <w:p w14:paraId="29E3F55C" w14:textId="4BEBE7C0" w:rsidR="00D1222E" w:rsidRPr="00C20641" w:rsidRDefault="00D1222E" w:rsidP="00D1222E">
      <w:pPr>
        <w:pStyle w:val="IEEEAbtract"/>
        <w:pBdr>
          <w:top w:val="single" w:sz="4" w:space="1" w:color="auto"/>
        </w:pBdr>
        <w:spacing w:after="120"/>
        <w:rPr>
          <w:b w:val="0"/>
          <w:sz w:val="20"/>
          <w:szCs w:val="20"/>
        </w:rPr>
      </w:pPr>
      <w:r w:rsidRPr="00E061DD">
        <w:rPr>
          <w:rStyle w:val="IEEEAbstractHeadingChar"/>
          <w:bCs/>
          <w:iCs/>
          <w:sz w:val="20"/>
          <w:szCs w:val="20"/>
        </w:rPr>
        <w:t>ABSTRACT</w:t>
      </w:r>
      <w:r w:rsidRPr="00103C3F">
        <w:rPr>
          <w:rStyle w:val="IEEEAbstractHeadingChar"/>
          <w:bCs/>
          <w:i w:val="0"/>
          <w:iCs/>
          <w:sz w:val="20"/>
          <w:szCs w:val="20"/>
        </w:rPr>
        <w:t>:</w:t>
      </w:r>
      <w:r w:rsidRPr="009B30C6">
        <w:rPr>
          <w:rStyle w:val="IEEEAbstractHeadingChar"/>
          <w:sz w:val="20"/>
          <w:szCs w:val="20"/>
        </w:rPr>
        <w:t xml:space="preserve"> </w:t>
      </w:r>
      <w:r w:rsidR="00986C2E" w:rsidRPr="00986C2E">
        <w:rPr>
          <w:b w:val="0"/>
          <w:sz w:val="20"/>
          <w:szCs w:val="20"/>
        </w:rPr>
        <w:t>The establishment of an organization that is resilient is necessary to support the increasingly strategic environment, which is synonymous with the expansion of information systems and technology. This presents a challenge to higher education institutions, which are the engine of a nation's human capital. The background information on the strategic environment, higher education institutions, and organizational resilience forms the basis of this article's methodical arrangement. It also explains the approach that was applied to this systematic review. A systematic literature study was utilized to identify the components of organizational resilience in higher education institutions through a methodical process of data collection and data removal. In this study, the authors discovered that the strategic environment's dynamic influences organizational resilience in higher education institutions through social, political, economic, and technical changes—external elements that might also validate the research's antecedents. This study effectively demonstrates that both internal and external issues, which are also addressed to improve organizational resilience, impact higher education institutions' current resilience.</w:t>
      </w:r>
    </w:p>
    <w:p w14:paraId="2948920E" w14:textId="4E1B7AA7" w:rsidR="00D1222E" w:rsidRPr="009B30C6" w:rsidRDefault="00D1222E" w:rsidP="00D1222E">
      <w:pPr>
        <w:pStyle w:val="NoSpacing"/>
        <w:pBdr>
          <w:bottom w:val="single" w:sz="4" w:space="1" w:color="auto"/>
        </w:pBdr>
        <w:rPr>
          <w:rFonts w:ascii="Times New Roman" w:hAnsi="Times New Roman"/>
          <w:b/>
          <w:sz w:val="20"/>
          <w:szCs w:val="20"/>
        </w:rPr>
      </w:pPr>
      <w:r w:rsidRPr="009B30C6">
        <w:rPr>
          <w:rStyle w:val="IEEEAbstractHeadingChar"/>
          <w:sz w:val="20"/>
          <w:szCs w:val="20"/>
        </w:rPr>
        <w:t>Keywords-</w:t>
      </w:r>
      <w:r>
        <w:rPr>
          <w:rStyle w:val="IEEEAbtractChar"/>
          <w:sz w:val="20"/>
          <w:szCs w:val="20"/>
        </w:rPr>
        <w:t>Organizational resilience</w:t>
      </w:r>
      <w:r w:rsidRPr="003E252A">
        <w:rPr>
          <w:rStyle w:val="IEEEAbtractChar"/>
          <w:b w:val="0"/>
          <w:sz w:val="20"/>
          <w:szCs w:val="20"/>
        </w:rPr>
        <w:t>,</w:t>
      </w:r>
      <w:r w:rsidR="003E252A">
        <w:rPr>
          <w:rStyle w:val="IEEEAbtractChar"/>
          <w:sz w:val="20"/>
          <w:szCs w:val="20"/>
          <w:lang w:val="id-ID"/>
        </w:rPr>
        <w:t xml:space="preserve"> </w:t>
      </w:r>
      <w:r w:rsidR="003E252A" w:rsidRPr="003E252A">
        <w:rPr>
          <w:rStyle w:val="IEEEAbtractChar"/>
          <w:sz w:val="20"/>
          <w:szCs w:val="20"/>
          <w:lang w:val="id-ID"/>
        </w:rPr>
        <w:t>higher education institutions</w:t>
      </w:r>
      <w:r w:rsidR="003E252A">
        <w:rPr>
          <w:rStyle w:val="IEEEAbtractChar"/>
          <w:b w:val="0"/>
          <w:sz w:val="20"/>
          <w:szCs w:val="20"/>
          <w:lang w:val="id-ID"/>
        </w:rPr>
        <w:t>,</w:t>
      </w:r>
      <w:r>
        <w:rPr>
          <w:rStyle w:val="IEEEAbtractChar"/>
          <w:sz w:val="20"/>
          <w:szCs w:val="20"/>
        </w:rPr>
        <w:t xml:space="preserve"> systematic literature review </w:t>
      </w:r>
    </w:p>
    <w:p w14:paraId="6017EF70" w14:textId="6C2F764D" w:rsidR="00D1222E" w:rsidRPr="009B30C6" w:rsidRDefault="00114CBB" w:rsidP="00D1222E">
      <w:pPr>
        <w:spacing w:after="0"/>
        <w:rPr>
          <w:rFonts w:ascii="Times New Roman" w:hAnsi="Times New Roman"/>
          <w:sz w:val="20"/>
          <w:szCs w:val="20"/>
          <w:lang w:val="en-GB" w:eastAsia="en-GB"/>
        </w:rPr>
        <w:sectPr w:rsidR="00D1222E" w:rsidRPr="009B30C6" w:rsidSect="00CF2A4E">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pgNumType w:start="1"/>
          <w:cols w:space="720"/>
          <w:titlePg/>
          <w:docGrid w:linePitch="360"/>
        </w:sectPr>
      </w:pPr>
      <w:r>
        <w:rPr>
          <w:rFonts w:ascii="Times New Roman" w:hAnsi="Times New Roman"/>
          <w:sz w:val="20"/>
          <w:szCs w:val="20"/>
          <w:lang w:val="en-GB" w:eastAsia="en-GB"/>
        </w:rPr>
        <w:t xml:space="preserve">, </w:t>
      </w:r>
      <w:r w:rsidRPr="00986C2E">
        <w:rPr>
          <w:sz w:val="20"/>
          <w:szCs w:val="20"/>
        </w:rPr>
        <w:t>s</w:t>
      </w:r>
      <w:r w:rsidR="0060168A">
        <w:rPr>
          <w:sz w:val="20"/>
          <w:szCs w:val="20"/>
        </w:rPr>
        <w:t xml:space="preserve">ocial, political, economic, </w:t>
      </w:r>
      <w:r w:rsidRPr="00986C2E">
        <w:rPr>
          <w:sz w:val="20"/>
          <w:szCs w:val="20"/>
        </w:rPr>
        <w:t>technical changes</w:t>
      </w:r>
    </w:p>
    <w:p w14:paraId="1149790D" w14:textId="77777777" w:rsidR="00D1222E" w:rsidRPr="009B30C6" w:rsidRDefault="00D1222E" w:rsidP="00D1222E">
      <w:pPr>
        <w:pBdr>
          <w:bottom w:val="single" w:sz="4" w:space="1" w:color="auto"/>
        </w:pBdr>
        <w:spacing w:after="0" w:line="240" w:lineRule="auto"/>
        <w:rPr>
          <w:rFonts w:ascii="Times New Roman" w:eastAsia="Times New Roman" w:hAnsi="Times New Roman"/>
          <w:spacing w:val="-2"/>
          <w:sz w:val="20"/>
          <w:szCs w:val="20"/>
        </w:rPr>
        <w:sectPr w:rsidR="00D1222E" w:rsidRPr="009B30C6" w:rsidSect="00CF2A4E">
          <w:type w:val="continuous"/>
          <w:pgSz w:w="11907" w:h="16839" w:code="9"/>
          <w:pgMar w:top="720" w:right="720" w:bottom="720" w:left="720" w:header="720" w:footer="720" w:gutter="0"/>
          <w:cols w:space="720"/>
          <w:docGrid w:linePitch="360"/>
        </w:sectPr>
      </w:pPr>
    </w:p>
    <w:p w14:paraId="4AB5A7A3" w14:textId="77777777" w:rsidR="00D1222E" w:rsidRPr="009B30C6" w:rsidRDefault="00D1222E" w:rsidP="00D1222E">
      <w:pPr>
        <w:pStyle w:val="IEEEHeading1"/>
        <w:jc w:val="both"/>
        <w:rPr>
          <w:b/>
          <w:szCs w:val="20"/>
        </w:rPr>
      </w:pPr>
      <w:r w:rsidRPr="009B30C6">
        <w:rPr>
          <w:b/>
          <w:szCs w:val="20"/>
        </w:rPr>
        <w:t>INTRODUCTION</w:t>
      </w:r>
    </w:p>
    <w:p w14:paraId="23EAB57C" w14:textId="3AEA9F50" w:rsidR="00103C3F" w:rsidRPr="00103C3F" w:rsidRDefault="00103C3F" w:rsidP="00103C3F">
      <w:pPr>
        <w:pStyle w:val="IEEEParagraph"/>
        <w:ind w:firstLine="289"/>
        <w:rPr>
          <w:szCs w:val="20"/>
          <w:lang w:val="id-ID"/>
        </w:rPr>
      </w:pPr>
      <w:r w:rsidRPr="0001657C">
        <w:rPr>
          <w:szCs w:val="20"/>
        </w:rPr>
        <w:t>The way that technology, communication, and transportation develop will have a profound impact on how businesses operate. They are among the elements that the national and worldwide strategic environments are altering due to. Organizations, particularly higher education institutions, deal with several shifting demands. The development of technology, communication, and transportation will fundamentally affect the life activities of organizations. They are one of the changing factors of the international and national strategic environment. Organizations, including higher education institutions</w:t>
      </w:r>
      <w:r>
        <w:rPr>
          <w:szCs w:val="20"/>
          <w:lang w:val="id-ID"/>
        </w:rPr>
        <w:t>’</w:t>
      </w:r>
      <w:r w:rsidRPr="0001657C">
        <w:rPr>
          <w:szCs w:val="20"/>
        </w:rPr>
        <w:t xml:space="preserve"> needs change is faced by organizations.</w:t>
      </w:r>
    </w:p>
    <w:p w14:paraId="7E412637" w14:textId="77777777" w:rsidR="00103C3F" w:rsidRDefault="00103C3F" w:rsidP="00103C3F">
      <w:pPr>
        <w:pStyle w:val="IEEEParagraph"/>
        <w:ind w:firstLine="289"/>
        <w:rPr>
          <w:szCs w:val="20"/>
        </w:rPr>
      </w:pPr>
      <w:r>
        <w:rPr>
          <w:szCs w:val="20"/>
        </w:rPr>
        <w:t xml:space="preserve">Both </w:t>
      </w:r>
      <w:r w:rsidRPr="00B046CE">
        <w:rPr>
          <w:szCs w:val="20"/>
        </w:rPr>
        <w:t>good and negative effects are brought about concurrently by the dynamics of the changing national and international strategic environments, and these effects might have a direct or indirect impact on national development. Positive implications include those that support national interests, goals, and ideals; negative implications, on the other hand, increase the potential threat to the national and international strategic environments. As a result, there are always both positive and negative implications present at the same time, which either directly or indirectly affect national development. While negative consequences raise the possibility of dangers to the nation's survival, positive consequences help to advance national interests, principles, and aspirations.</w:t>
      </w:r>
    </w:p>
    <w:p w14:paraId="246419D2" w14:textId="77777777" w:rsidR="00103C3F" w:rsidRPr="00B046CE" w:rsidRDefault="00103C3F" w:rsidP="00103C3F">
      <w:pPr>
        <w:pStyle w:val="IEEEParagraph"/>
        <w:ind w:firstLine="289"/>
        <w:rPr>
          <w:szCs w:val="20"/>
        </w:rPr>
      </w:pPr>
      <w:r w:rsidRPr="00B046CE">
        <w:rPr>
          <w:szCs w:val="20"/>
        </w:rPr>
        <w:t xml:space="preserve">These days, organizational roles are evolving in an increasingly innovative way (Karpova &amp; Proskurina, 2021), and the COVID-19 epidemic has sped up this process (Al-Zubi, 2021). Society 5.0 (Sa </w:t>
      </w:r>
      <w:r w:rsidRPr="00AC5EB3">
        <w:rPr>
          <w:i/>
          <w:szCs w:val="20"/>
        </w:rPr>
        <w:t>et al.</w:t>
      </w:r>
      <w:r w:rsidRPr="00B046CE">
        <w:rPr>
          <w:szCs w:val="20"/>
        </w:rPr>
        <w:t>, 2021) illustrates how the role of people in organizations is evolving. Through Society 5.0, the link between personal potential and technology is enhancing organizatio</w:t>
      </w:r>
      <w:r>
        <w:rPr>
          <w:szCs w:val="20"/>
        </w:rPr>
        <w:t xml:space="preserve">nal society's quality of life. </w:t>
      </w:r>
      <w:r w:rsidRPr="00B046CE">
        <w:rPr>
          <w:szCs w:val="20"/>
        </w:rPr>
        <w:t>The higher education institution</w:t>
      </w:r>
      <w:r>
        <w:rPr>
          <w:szCs w:val="20"/>
          <w:lang w:val="id-ID"/>
        </w:rPr>
        <w:t>s</w:t>
      </w:r>
      <w:r w:rsidRPr="00B046CE">
        <w:rPr>
          <w:szCs w:val="20"/>
        </w:rPr>
        <w:t xml:space="preserve">, which is the engine of a nation's resources, faces a problem in supporting an increasingly evolving strategic environment that is congruent with the expansion of information systems and technology. This requires the development of organizational resilience. Academics frequently explore resilience as a phenomenon (Chen </w:t>
      </w:r>
      <w:r w:rsidRPr="00AC5EB3">
        <w:rPr>
          <w:i/>
          <w:szCs w:val="20"/>
        </w:rPr>
        <w:t>et al</w:t>
      </w:r>
      <w:r w:rsidRPr="00B046CE">
        <w:rPr>
          <w:szCs w:val="20"/>
        </w:rPr>
        <w:t>.</w:t>
      </w:r>
      <w:r>
        <w:rPr>
          <w:szCs w:val="20"/>
        </w:rPr>
        <w:t>,</w:t>
      </w:r>
      <w:r w:rsidRPr="00B046CE">
        <w:rPr>
          <w:szCs w:val="20"/>
        </w:rPr>
        <w:t xml:space="preserve"> 2021). However, research on organizational resilience in general is very limited (Bartuseviien </w:t>
      </w:r>
      <w:r w:rsidRPr="00AC5EB3">
        <w:rPr>
          <w:i/>
          <w:szCs w:val="20"/>
        </w:rPr>
        <w:t>et al</w:t>
      </w:r>
      <w:r w:rsidRPr="00B046CE">
        <w:rPr>
          <w:szCs w:val="20"/>
        </w:rPr>
        <w:t>.</w:t>
      </w:r>
      <w:r>
        <w:rPr>
          <w:szCs w:val="20"/>
        </w:rPr>
        <w:t>,</w:t>
      </w:r>
      <w:r w:rsidRPr="00B046CE">
        <w:rPr>
          <w:szCs w:val="20"/>
        </w:rPr>
        <w:t xml:space="preserve"> 2021). </w:t>
      </w:r>
    </w:p>
    <w:p w14:paraId="03EA6096" w14:textId="1D4C88A1" w:rsidR="00103C3F" w:rsidRPr="00103C3F" w:rsidRDefault="004B0F18" w:rsidP="00103C3F">
      <w:pPr>
        <w:pStyle w:val="IEEEParagraph"/>
        <w:ind w:firstLine="289"/>
        <w:rPr>
          <w:szCs w:val="20"/>
          <w:lang w:val="id-ID"/>
        </w:rPr>
      </w:pPr>
      <w:r>
        <w:rPr>
          <w:szCs w:val="20"/>
        </w:rPr>
        <w:t>“</w:t>
      </w:r>
      <w:r w:rsidR="00103C3F" w:rsidRPr="00B046CE">
        <w:rPr>
          <w:szCs w:val="20"/>
        </w:rPr>
        <w:t>The concept of resilience as a complex variable has yet to be realized</w:t>
      </w:r>
      <w:r>
        <w:rPr>
          <w:szCs w:val="20"/>
        </w:rPr>
        <w:t>”</w:t>
      </w:r>
      <w:r w:rsidR="00103C3F" w:rsidRPr="00B046CE">
        <w:rPr>
          <w:szCs w:val="20"/>
        </w:rPr>
        <w:t xml:space="preserve"> (Chen </w:t>
      </w:r>
      <w:r w:rsidR="00103C3F" w:rsidRPr="00AC5EB3">
        <w:rPr>
          <w:i/>
          <w:szCs w:val="20"/>
        </w:rPr>
        <w:t>et al.</w:t>
      </w:r>
      <w:r w:rsidR="00103C3F">
        <w:rPr>
          <w:szCs w:val="20"/>
        </w:rPr>
        <w:t>,</w:t>
      </w:r>
      <w:r w:rsidR="00103C3F" w:rsidRPr="00B046CE">
        <w:rPr>
          <w:szCs w:val="20"/>
        </w:rPr>
        <w:t xml:space="preserve"> 2021), and </w:t>
      </w:r>
      <w:r>
        <w:rPr>
          <w:szCs w:val="20"/>
        </w:rPr>
        <w:t>“</w:t>
      </w:r>
      <w:r w:rsidR="00103C3F" w:rsidRPr="00B046CE">
        <w:rPr>
          <w:szCs w:val="20"/>
        </w:rPr>
        <w:t>there is insufficient literature in the context of higher education</w:t>
      </w:r>
      <w:r w:rsidR="00103C3F">
        <w:rPr>
          <w:szCs w:val="20"/>
          <w:lang w:val="id-ID"/>
        </w:rPr>
        <w:t xml:space="preserve"> institutions’</w:t>
      </w:r>
      <w:r w:rsidR="00103C3F" w:rsidRPr="00B046CE">
        <w:rPr>
          <w:szCs w:val="20"/>
        </w:rPr>
        <w:t xml:space="preserve"> addressing the impact of the abrupt transition to online modes on business continuity and organizational resilience</w:t>
      </w:r>
      <w:r>
        <w:rPr>
          <w:szCs w:val="20"/>
        </w:rPr>
        <w:t>”</w:t>
      </w:r>
      <w:r w:rsidR="00103C3F" w:rsidRPr="00B046CE">
        <w:rPr>
          <w:szCs w:val="20"/>
        </w:rPr>
        <w:t xml:space="preserve"> (Bartuseviien </w:t>
      </w:r>
      <w:r w:rsidR="00103C3F" w:rsidRPr="00AC5EB3">
        <w:rPr>
          <w:i/>
          <w:szCs w:val="20"/>
        </w:rPr>
        <w:t>et al</w:t>
      </w:r>
      <w:r w:rsidR="00103C3F" w:rsidRPr="00B046CE">
        <w:rPr>
          <w:szCs w:val="20"/>
        </w:rPr>
        <w:t>.</w:t>
      </w:r>
      <w:r w:rsidR="00103C3F">
        <w:rPr>
          <w:szCs w:val="20"/>
        </w:rPr>
        <w:t>,</w:t>
      </w:r>
      <w:r w:rsidR="00103C3F" w:rsidRPr="00B046CE">
        <w:rPr>
          <w:szCs w:val="20"/>
        </w:rPr>
        <w:t xml:space="preserve"> 2021). </w:t>
      </w:r>
      <w:r>
        <w:rPr>
          <w:szCs w:val="20"/>
        </w:rPr>
        <w:t>“</w:t>
      </w:r>
      <w:r w:rsidR="00103C3F" w:rsidRPr="00B046CE">
        <w:rPr>
          <w:szCs w:val="20"/>
        </w:rPr>
        <w:t>There is no agreement in the literature on a comprehensive definition of organizational resilience and its components, and scholars have only attempted to identify significant features, resources, and processes that would reinforce resilience. As a result, organizational resilience is regarded as the ability of companies to recover. However, it is uncertain how organizational resilience is achieved and what behaviours promote resilience</w:t>
      </w:r>
      <w:r>
        <w:rPr>
          <w:szCs w:val="20"/>
        </w:rPr>
        <w:t>”</w:t>
      </w:r>
      <w:r w:rsidR="00103C3F" w:rsidRPr="00B046CE">
        <w:rPr>
          <w:szCs w:val="20"/>
        </w:rPr>
        <w:t xml:space="preserve"> (Duchek 2020). </w:t>
      </w:r>
      <w:r>
        <w:rPr>
          <w:szCs w:val="20"/>
        </w:rPr>
        <w:t>“</w:t>
      </w:r>
      <w:r w:rsidR="00103C3F" w:rsidRPr="00B046CE">
        <w:rPr>
          <w:szCs w:val="20"/>
        </w:rPr>
        <w:t>Furthermore, research on organizational resilience has shown varied results, making it challenging to comprehend why certain companies are more robust to crises and provide relevant recommendations for dealing with adversity</w:t>
      </w:r>
      <w:r>
        <w:rPr>
          <w:szCs w:val="20"/>
        </w:rPr>
        <w:t>”</w:t>
      </w:r>
      <w:r w:rsidR="00103C3F" w:rsidRPr="00B046CE">
        <w:rPr>
          <w:szCs w:val="20"/>
        </w:rPr>
        <w:t xml:space="preserve"> (Chen </w:t>
      </w:r>
      <w:r w:rsidR="00103C3F" w:rsidRPr="002A353B">
        <w:rPr>
          <w:i/>
          <w:szCs w:val="20"/>
        </w:rPr>
        <w:t>et al</w:t>
      </w:r>
      <w:r w:rsidR="00103C3F" w:rsidRPr="00B046CE">
        <w:rPr>
          <w:szCs w:val="20"/>
        </w:rPr>
        <w:t>.</w:t>
      </w:r>
      <w:r w:rsidR="00103C3F">
        <w:rPr>
          <w:szCs w:val="20"/>
          <w:lang w:val="id-ID"/>
        </w:rPr>
        <w:t>,</w:t>
      </w:r>
      <w:r w:rsidR="00103C3F" w:rsidRPr="00B046CE">
        <w:rPr>
          <w:szCs w:val="20"/>
        </w:rPr>
        <w:t xml:space="preserve"> 2021).</w:t>
      </w:r>
    </w:p>
    <w:p w14:paraId="476F79B0" w14:textId="77777777" w:rsidR="00D1222E" w:rsidRDefault="00D1222E" w:rsidP="00D1222E">
      <w:pPr>
        <w:pStyle w:val="IEEEParagraph"/>
        <w:ind w:firstLine="289"/>
        <w:rPr>
          <w:szCs w:val="20"/>
        </w:rPr>
      </w:pPr>
    </w:p>
    <w:p w14:paraId="1A9C39DE" w14:textId="77777777" w:rsidR="00D1222E" w:rsidRPr="009B30C6" w:rsidRDefault="00D1222E" w:rsidP="00D1222E">
      <w:pPr>
        <w:pStyle w:val="IEEEHeading1"/>
        <w:jc w:val="both"/>
        <w:rPr>
          <w:b/>
          <w:szCs w:val="20"/>
        </w:rPr>
      </w:pPr>
      <w:r>
        <w:rPr>
          <w:b/>
          <w:szCs w:val="20"/>
        </w:rPr>
        <w:t>THEORETICAL FRAMEWORK</w:t>
      </w:r>
    </w:p>
    <w:p w14:paraId="7664C6D2" w14:textId="77777777" w:rsidR="00D1222E" w:rsidRPr="00AC5EB3" w:rsidRDefault="00D1222E" w:rsidP="00D1222E">
      <w:pPr>
        <w:pStyle w:val="IEEEHeading2"/>
        <w:jc w:val="both"/>
        <w:rPr>
          <w:b/>
          <w:szCs w:val="20"/>
        </w:rPr>
      </w:pPr>
      <w:r w:rsidRPr="00AC5EB3">
        <w:rPr>
          <w:b/>
          <w:szCs w:val="20"/>
        </w:rPr>
        <w:t>Organizational resilience amid the COVID-19 pandemic</w:t>
      </w:r>
    </w:p>
    <w:p w14:paraId="132C69F1" w14:textId="2980AD9B" w:rsidR="00D1222E" w:rsidRDefault="004B0F18" w:rsidP="00D1222E">
      <w:pPr>
        <w:pStyle w:val="IEEEParagraph"/>
        <w:ind w:firstLine="0"/>
        <w:rPr>
          <w:szCs w:val="20"/>
        </w:rPr>
      </w:pPr>
      <w:r>
        <w:rPr>
          <w:szCs w:val="20"/>
        </w:rPr>
        <w:t>“</w:t>
      </w:r>
      <w:r w:rsidR="00D1222E" w:rsidRPr="00B046CE">
        <w:rPr>
          <w:szCs w:val="20"/>
        </w:rPr>
        <w:t>The term "resilience" has been defined as the ability of an organization, system, or individual to respond to and recover from the stress that threatens their survival with minimal disruption to their stability and functionality. Despite the growing interest in organizational resilience, the literature has a variety of and often contradictory definitions depending on the system under investigation</w:t>
      </w:r>
      <w:r>
        <w:rPr>
          <w:szCs w:val="20"/>
        </w:rPr>
        <w:t>”</w:t>
      </w:r>
      <w:r w:rsidR="00D1222E" w:rsidRPr="00B046CE">
        <w:rPr>
          <w:szCs w:val="20"/>
        </w:rPr>
        <w:t xml:space="preserve"> (Hillmann </w:t>
      </w:r>
      <w:r w:rsidR="00D1222E">
        <w:rPr>
          <w:szCs w:val="20"/>
        </w:rPr>
        <w:t>&amp;</w:t>
      </w:r>
      <w:r w:rsidR="00D1222E" w:rsidRPr="00B046CE">
        <w:rPr>
          <w:szCs w:val="20"/>
        </w:rPr>
        <w:t xml:space="preserve"> Guenther</w:t>
      </w:r>
      <w:r w:rsidR="00D1222E">
        <w:rPr>
          <w:szCs w:val="20"/>
        </w:rPr>
        <w:t>,</w:t>
      </w:r>
      <w:r w:rsidR="00D1222E" w:rsidRPr="00B046CE">
        <w:rPr>
          <w:szCs w:val="20"/>
        </w:rPr>
        <w:t xml:space="preserve"> 2021). </w:t>
      </w:r>
      <w:r w:rsidR="00D1222E" w:rsidRPr="0025546D">
        <w:rPr>
          <w:szCs w:val="20"/>
        </w:rPr>
        <w:t>Organizational resilience is a semantically overloaded term in the sense that it refers to a variety of different elements in different areas, depending on the system under investigation. Organizational resilience is a semantically overloaded term in the sense that it refers to a variety of different elements in different areas, depending on the system under investigation. In that way, the current work seeks to add to this promising research field by offering a unified definition following the COVID-19 impasse.</w:t>
      </w:r>
    </w:p>
    <w:p w14:paraId="29E8FB93" w14:textId="7F18E3FD" w:rsidR="00D1222E" w:rsidRPr="00B046CE" w:rsidRDefault="004B0F18" w:rsidP="00D1222E">
      <w:pPr>
        <w:pStyle w:val="IEEEParagraph"/>
        <w:ind w:firstLine="289"/>
        <w:rPr>
          <w:szCs w:val="20"/>
        </w:rPr>
      </w:pPr>
      <w:r>
        <w:rPr>
          <w:szCs w:val="20"/>
        </w:rPr>
        <w:t>“</w:t>
      </w:r>
      <w:r w:rsidR="00D1222E" w:rsidRPr="00B046CE">
        <w:rPr>
          <w:szCs w:val="20"/>
        </w:rPr>
        <w:t>Organizational resilience is described as an organization's ability to foresee potential risks, react well to unexpected occurrences, and learn and adapt to changing circumstances to promote organizational change</w:t>
      </w:r>
      <w:r>
        <w:rPr>
          <w:szCs w:val="20"/>
        </w:rPr>
        <w:t>”</w:t>
      </w:r>
      <w:r w:rsidR="00D1222E" w:rsidRPr="00B046CE">
        <w:rPr>
          <w:szCs w:val="20"/>
        </w:rPr>
        <w:t xml:space="preserve"> (Duchek</w:t>
      </w:r>
      <w:r w:rsidR="00D1222E">
        <w:rPr>
          <w:szCs w:val="20"/>
        </w:rPr>
        <w:t>,</w:t>
      </w:r>
      <w:r w:rsidR="00D1222E" w:rsidRPr="00B046CE">
        <w:rPr>
          <w:szCs w:val="20"/>
        </w:rPr>
        <w:t xml:space="preserve"> 2020). </w:t>
      </w:r>
      <w:r>
        <w:rPr>
          <w:szCs w:val="20"/>
        </w:rPr>
        <w:t>“</w:t>
      </w:r>
      <w:r w:rsidR="00D1222E" w:rsidRPr="00B046CE">
        <w:rPr>
          <w:szCs w:val="20"/>
        </w:rPr>
        <w:t xml:space="preserve">The literature </w:t>
      </w:r>
      <w:r w:rsidR="00D1222E" w:rsidRPr="00B046CE">
        <w:rPr>
          <w:szCs w:val="20"/>
        </w:rPr>
        <w:lastRenderedPageBreak/>
        <w:t>shows that when COVID-19 spreads, governments, organizations, and people's rational and long-term functioning will change dramatically</w:t>
      </w:r>
      <w:r>
        <w:rPr>
          <w:szCs w:val="20"/>
        </w:rPr>
        <w:t>”</w:t>
      </w:r>
      <w:r w:rsidR="00D1222E" w:rsidRPr="00B046CE">
        <w:rPr>
          <w:szCs w:val="20"/>
        </w:rPr>
        <w:t xml:space="preserve"> (Abdullah </w:t>
      </w:r>
      <w:r w:rsidR="00D1222E" w:rsidRPr="00AC5EB3">
        <w:rPr>
          <w:i/>
          <w:szCs w:val="20"/>
        </w:rPr>
        <w:t>et al</w:t>
      </w:r>
      <w:r w:rsidR="00D1222E" w:rsidRPr="00B046CE">
        <w:rPr>
          <w:szCs w:val="20"/>
        </w:rPr>
        <w:t>.</w:t>
      </w:r>
      <w:r w:rsidR="00D1222E">
        <w:rPr>
          <w:szCs w:val="20"/>
        </w:rPr>
        <w:t>,</w:t>
      </w:r>
      <w:r w:rsidR="00D1222E" w:rsidRPr="00B046CE">
        <w:rPr>
          <w:szCs w:val="20"/>
        </w:rPr>
        <w:t xml:space="preserve"> 2020). </w:t>
      </w:r>
      <w:r>
        <w:rPr>
          <w:szCs w:val="20"/>
        </w:rPr>
        <w:t>“</w:t>
      </w:r>
      <w:r w:rsidR="00D1222E" w:rsidRPr="00B046CE">
        <w:rPr>
          <w:szCs w:val="20"/>
        </w:rPr>
        <w:t>Resilience is a positive psychological concept that emphasizes an organization's and an individual's strengths and virtues in dealing with a crisis</w:t>
      </w:r>
      <w:r>
        <w:rPr>
          <w:szCs w:val="20"/>
        </w:rPr>
        <w:t>”</w:t>
      </w:r>
      <w:r w:rsidR="00D1222E" w:rsidRPr="00B046CE">
        <w:rPr>
          <w:szCs w:val="20"/>
        </w:rPr>
        <w:t xml:space="preserve"> (Ojo </w:t>
      </w:r>
      <w:r w:rsidR="00D1222E" w:rsidRPr="00AC5EB3">
        <w:rPr>
          <w:i/>
          <w:szCs w:val="20"/>
        </w:rPr>
        <w:t>et al</w:t>
      </w:r>
      <w:r w:rsidR="00D1222E" w:rsidRPr="00B046CE">
        <w:rPr>
          <w:szCs w:val="20"/>
        </w:rPr>
        <w:t>.</w:t>
      </w:r>
      <w:r w:rsidR="00D1222E">
        <w:rPr>
          <w:szCs w:val="20"/>
        </w:rPr>
        <w:t>,</w:t>
      </w:r>
      <w:r w:rsidR="00D1222E" w:rsidRPr="00B046CE">
        <w:rPr>
          <w:szCs w:val="20"/>
        </w:rPr>
        <w:t xml:space="preserve"> 2021), which is especially crucial in the present pandemic (Plomecka </w:t>
      </w:r>
      <w:r w:rsidR="00D1222E" w:rsidRPr="00AC5EB3">
        <w:rPr>
          <w:i/>
          <w:szCs w:val="20"/>
        </w:rPr>
        <w:t>et al</w:t>
      </w:r>
      <w:r w:rsidR="00D1222E" w:rsidRPr="00B046CE">
        <w:rPr>
          <w:szCs w:val="20"/>
        </w:rPr>
        <w:t>.</w:t>
      </w:r>
      <w:r w:rsidR="00D1222E">
        <w:rPr>
          <w:szCs w:val="20"/>
        </w:rPr>
        <w:t>,</w:t>
      </w:r>
      <w:r w:rsidR="00D1222E" w:rsidRPr="00B046CE">
        <w:rPr>
          <w:szCs w:val="20"/>
        </w:rPr>
        <w:t xml:space="preserve"> 2020). </w:t>
      </w:r>
      <w:r>
        <w:rPr>
          <w:szCs w:val="20"/>
        </w:rPr>
        <w:t>“</w:t>
      </w:r>
      <w:r w:rsidR="00D1222E" w:rsidRPr="00B046CE">
        <w:rPr>
          <w:szCs w:val="20"/>
        </w:rPr>
        <w:t>As a result, perturbed entities may exacerbate their complexity, putting previously undiscovered people on the verge of extinction</w:t>
      </w:r>
      <w:r>
        <w:rPr>
          <w:szCs w:val="20"/>
        </w:rPr>
        <w:t>”</w:t>
      </w:r>
      <w:r w:rsidR="00D1222E" w:rsidRPr="00B046CE">
        <w:rPr>
          <w:szCs w:val="20"/>
        </w:rPr>
        <w:t xml:space="preserve"> (Abdullah </w:t>
      </w:r>
      <w:r w:rsidR="00D1222E" w:rsidRPr="00AC5EB3">
        <w:rPr>
          <w:i/>
          <w:szCs w:val="20"/>
        </w:rPr>
        <w:t>et al</w:t>
      </w:r>
      <w:r w:rsidR="00D1222E" w:rsidRPr="00B046CE">
        <w:rPr>
          <w:szCs w:val="20"/>
        </w:rPr>
        <w:t>.</w:t>
      </w:r>
      <w:r w:rsidR="00D1222E">
        <w:rPr>
          <w:szCs w:val="20"/>
        </w:rPr>
        <w:t>,</w:t>
      </w:r>
      <w:r w:rsidR="00D1222E" w:rsidRPr="00B046CE">
        <w:rPr>
          <w:szCs w:val="20"/>
        </w:rPr>
        <w:t xml:space="preserve"> 2020). Organizations must operationalize the organizational resilience idea to survive. Organizations must be able to successfully adapt to unplanned occurrences or disruptions, as well as capitalize on events that may harm the organiza</w:t>
      </w:r>
      <w:r w:rsidR="00D1222E">
        <w:rPr>
          <w:szCs w:val="20"/>
        </w:rPr>
        <w:t>tion's long-term sustainability</w:t>
      </w:r>
      <w:r w:rsidR="00D1222E" w:rsidRPr="00B046CE">
        <w:rPr>
          <w:szCs w:val="20"/>
        </w:rPr>
        <w:t>.</w:t>
      </w:r>
    </w:p>
    <w:p w14:paraId="6A07F2A4" w14:textId="77777777" w:rsidR="00D1222E" w:rsidRDefault="00D1222E" w:rsidP="00D1222E">
      <w:pPr>
        <w:pStyle w:val="IEEEParagraph"/>
        <w:ind w:firstLine="289"/>
        <w:rPr>
          <w:szCs w:val="20"/>
        </w:rPr>
      </w:pPr>
    </w:p>
    <w:p w14:paraId="4DF47F47" w14:textId="77777777" w:rsidR="00D1222E" w:rsidRPr="00AC5EB3" w:rsidRDefault="00D1222E" w:rsidP="00D1222E">
      <w:pPr>
        <w:pStyle w:val="IEEEHeading2"/>
        <w:jc w:val="both"/>
        <w:rPr>
          <w:b/>
          <w:szCs w:val="20"/>
        </w:rPr>
      </w:pPr>
      <w:r w:rsidRPr="00AC5EB3">
        <w:rPr>
          <w:b/>
          <w:szCs w:val="20"/>
        </w:rPr>
        <w:t>Conceptual Background Organizational Resilience</w:t>
      </w:r>
    </w:p>
    <w:p w14:paraId="37C3B0BE" w14:textId="5CE6628C" w:rsidR="00D1222E" w:rsidRDefault="00D1222E" w:rsidP="00D1222E">
      <w:pPr>
        <w:pStyle w:val="IEEEParagraph"/>
        <w:ind w:firstLine="0"/>
        <w:rPr>
          <w:szCs w:val="20"/>
        </w:rPr>
      </w:pPr>
      <w:r w:rsidRPr="00B046CE">
        <w:rPr>
          <w:szCs w:val="20"/>
        </w:rPr>
        <w:t xml:space="preserve">Resilient organizations are critical to the development of resilient communities. However, the inability to translate the concept of organizational resilience into actual operating frameworks for firms hinders the task of establishing more resilient organizations. Duchek (2020) created </w:t>
      </w:r>
      <w:r w:rsidR="004B0F18">
        <w:rPr>
          <w:szCs w:val="20"/>
        </w:rPr>
        <w:t>“</w:t>
      </w:r>
      <w:r w:rsidRPr="00B046CE">
        <w:rPr>
          <w:szCs w:val="20"/>
        </w:rPr>
        <w:t>a set of propositions for assessing organizational resilience. The framework depicts the underlying qualities of the three consecutive resilience stages, anticipating, coping, and adaptation</w:t>
      </w:r>
      <w:r w:rsidR="004B0F18">
        <w:rPr>
          <w:szCs w:val="20"/>
        </w:rPr>
        <w:t>”</w:t>
      </w:r>
      <w:r w:rsidRPr="00B046CE">
        <w:rPr>
          <w:szCs w:val="20"/>
        </w:rPr>
        <w:t xml:space="preserve"> (Rangachari </w:t>
      </w:r>
      <w:r>
        <w:rPr>
          <w:szCs w:val="20"/>
        </w:rPr>
        <w:t>&amp;</w:t>
      </w:r>
      <w:r w:rsidRPr="00B046CE">
        <w:rPr>
          <w:szCs w:val="20"/>
        </w:rPr>
        <w:t xml:space="preserve"> Woods 2020; Bartuseviien </w:t>
      </w:r>
      <w:r w:rsidRPr="00AC5EB3">
        <w:rPr>
          <w:i/>
          <w:szCs w:val="20"/>
        </w:rPr>
        <w:t>et al</w:t>
      </w:r>
      <w:r w:rsidRPr="00B046CE">
        <w:rPr>
          <w:szCs w:val="20"/>
        </w:rPr>
        <w:t>.</w:t>
      </w:r>
      <w:r>
        <w:rPr>
          <w:szCs w:val="20"/>
        </w:rPr>
        <w:t>,</w:t>
      </w:r>
      <w:r w:rsidRPr="00B046CE">
        <w:rPr>
          <w:szCs w:val="20"/>
        </w:rPr>
        <w:t xml:space="preserve"> 2021), as well as the relationships and interactions between different resilience stages and antecedents (Fig. 1). Even though other academics have offered numerous theoretical frameworks in the past, Duchek's (2020) model looks to be extremely promising and practicable in terms of creating organizational resilience (i.e., Abdullah </w:t>
      </w:r>
      <w:r w:rsidRPr="00AC5EB3">
        <w:rPr>
          <w:i/>
          <w:szCs w:val="20"/>
        </w:rPr>
        <w:t>et al</w:t>
      </w:r>
      <w:r w:rsidRPr="00B046CE">
        <w:rPr>
          <w:szCs w:val="20"/>
        </w:rPr>
        <w:t>.</w:t>
      </w:r>
      <w:r>
        <w:rPr>
          <w:szCs w:val="20"/>
        </w:rPr>
        <w:t>,</w:t>
      </w:r>
      <w:r w:rsidRPr="00B046CE">
        <w:rPr>
          <w:szCs w:val="20"/>
        </w:rPr>
        <w:t xml:space="preserve"> 2020).</w:t>
      </w:r>
    </w:p>
    <w:p w14:paraId="69603CB7" w14:textId="77777777" w:rsidR="00D1222E" w:rsidRDefault="00D1222E" w:rsidP="00D1222E">
      <w:pPr>
        <w:pStyle w:val="IEEEParagraph"/>
        <w:ind w:firstLine="289"/>
        <w:rPr>
          <w:szCs w:val="20"/>
        </w:rPr>
      </w:pPr>
    </w:p>
    <w:p w14:paraId="2C063490" w14:textId="77777777" w:rsidR="00D1222E" w:rsidRPr="009B30C6" w:rsidRDefault="00D1222E" w:rsidP="00D1222E">
      <w:pPr>
        <w:pStyle w:val="IEEEParagraph"/>
        <w:jc w:val="center"/>
        <w:rPr>
          <w:szCs w:val="20"/>
          <w:lang w:val="en-GB"/>
        </w:rPr>
      </w:pPr>
      <w:r w:rsidRPr="00B046CE">
        <w:rPr>
          <w:noProof/>
          <w:szCs w:val="20"/>
          <w:lang w:val="en-US" w:eastAsia="en-US"/>
        </w:rPr>
        <w:drawing>
          <wp:inline distT="0" distB="0" distL="0" distR="0" wp14:anchorId="3014804C" wp14:editId="1D8AB030">
            <wp:extent cx="4140000" cy="2717695"/>
            <wp:effectExtent l="19050" t="19050" r="13335" b="26035"/>
            <wp:docPr id="210700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0000" cy="2717695"/>
                    </a:xfrm>
                    <a:prstGeom prst="rect">
                      <a:avLst/>
                    </a:prstGeom>
                    <a:noFill/>
                    <a:ln w="6350">
                      <a:solidFill>
                        <a:schemeClr val="tx1"/>
                      </a:solidFill>
                    </a:ln>
                  </pic:spPr>
                </pic:pic>
              </a:graphicData>
            </a:graphic>
          </wp:inline>
        </w:drawing>
      </w:r>
    </w:p>
    <w:p w14:paraId="051B4A5D" w14:textId="77777777" w:rsidR="00D1222E" w:rsidRDefault="00D1222E" w:rsidP="00D1222E">
      <w:pPr>
        <w:pStyle w:val="IEEEHeading2"/>
        <w:numPr>
          <w:ilvl w:val="0"/>
          <w:numId w:val="0"/>
        </w:numPr>
        <w:ind w:left="288"/>
        <w:jc w:val="center"/>
        <w:rPr>
          <w:szCs w:val="20"/>
        </w:rPr>
      </w:pPr>
      <w:r>
        <w:rPr>
          <w:szCs w:val="20"/>
        </w:rPr>
        <w:t xml:space="preserve">Figure 1. </w:t>
      </w:r>
      <w:r w:rsidRPr="00B046CE">
        <w:rPr>
          <w:szCs w:val="20"/>
        </w:rPr>
        <w:t xml:space="preserve">Organizational </w:t>
      </w:r>
      <w:r>
        <w:rPr>
          <w:szCs w:val="20"/>
        </w:rPr>
        <w:t>R</w:t>
      </w:r>
      <w:r w:rsidRPr="00B046CE">
        <w:rPr>
          <w:szCs w:val="20"/>
        </w:rPr>
        <w:t xml:space="preserve">esilience </w:t>
      </w:r>
      <w:r>
        <w:rPr>
          <w:szCs w:val="20"/>
        </w:rPr>
        <w:t>T</w:t>
      </w:r>
      <w:r w:rsidRPr="00B046CE">
        <w:rPr>
          <w:szCs w:val="20"/>
        </w:rPr>
        <w:t xml:space="preserve">heoretical </w:t>
      </w:r>
      <w:r>
        <w:rPr>
          <w:szCs w:val="20"/>
        </w:rPr>
        <w:t>F</w:t>
      </w:r>
      <w:r w:rsidRPr="00B046CE">
        <w:rPr>
          <w:szCs w:val="20"/>
        </w:rPr>
        <w:t xml:space="preserve">ramework </w:t>
      </w:r>
      <w:r w:rsidRPr="00AC5EB3">
        <w:rPr>
          <w:i w:val="0"/>
          <w:szCs w:val="20"/>
        </w:rPr>
        <w:t>(</w:t>
      </w:r>
      <w:r w:rsidRPr="00B046CE">
        <w:rPr>
          <w:szCs w:val="20"/>
        </w:rPr>
        <w:t>Duchek</w:t>
      </w:r>
      <w:r>
        <w:rPr>
          <w:szCs w:val="20"/>
        </w:rPr>
        <w:t>,</w:t>
      </w:r>
      <w:r w:rsidRPr="00B046CE">
        <w:rPr>
          <w:szCs w:val="20"/>
        </w:rPr>
        <w:t xml:space="preserve"> 2020</w:t>
      </w:r>
      <w:r w:rsidRPr="00AC5EB3">
        <w:rPr>
          <w:i w:val="0"/>
          <w:szCs w:val="20"/>
        </w:rPr>
        <w:t>)</w:t>
      </w:r>
    </w:p>
    <w:p w14:paraId="0300814B" w14:textId="77777777" w:rsidR="00D1222E" w:rsidRDefault="00D1222E" w:rsidP="00D1222E">
      <w:pPr>
        <w:pStyle w:val="IEEEParagraph"/>
        <w:ind w:firstLine="289"/>
        <w:rPr>
          <w:szCs w:val="20"/>
        </w:rPr>
      </w:pPr>
    </w:p>
    <w:p w14:paraId="456CD3DE" w14:textId="77777777" w:rsidR="00D1222E" w:rsidRPr="00AC5EB3" w:rsidRDefault="00D1222E" w:rsidP="00D1222E">
      <w:pPr>
        <w:pStyle w:val="IEEEHeading2"/>
        <w:jc w:val="both"/>
        <w:rPr>
          <w:b/>
          <w:szCs w:val="20"/>
        </w:rPr>
      </w:pPr>
      <w:r w:rsidRPr="00AC5EB3">
        <w:rPr>
          <w:b/>
          <w:szCs w:val="20"/>
        </w:rPr>
        <w:t>The Stages of Resilience</w:t>
      </w:r>
    </w:p>
    <w:p w14:paraId="7B08B946"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Organizational resilience is divided into three stages that correspond to different time zones within a crisis anticipation, coping, and adaptation (Duchek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2020; Williams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2017).</w:t>
      </w:r>
    </w:p>
    <w:p w14:paraId="14951F27" w14:textId="353A52C5" w:rsidR="00103C3F" w:rsidRPr="00AC5EB3" w:rsidRDefault="00103C3F" w:rsidP="00103C3F">
      <w:pPr>
        <w:adjustRightInd w:val="0"/>
        <w:snapToGrid w:val="0"/>
        <w:spacing w:before="120" w:after="60" w:line="240" w:lineRule="auto"/>
        <w:ind w:firstLine="216"/>
        <w:jc w:val="both"/>
        <w:rPr>
          <w:rFonts w:ascii="Times New Roman" w:eastAsia="SimSun" w:hAnsi="Times New Roman"/>
          <w:i/>
          <w:sz w:val="20"/>
          <w:szCs w:val="20"/>
          <w:lang w:val="en-AU" w:eastAsia="zh-CN"/>
        </w:rPr>
      </w:pPr>
      <w:r w:rsidRPr="00AC5EB3">
        <w:rPr>
          <w:rFonts w:ascii="Times New Roman" w:hAnsi="Times New Roman"/>
          <w:b/>
          <w:sz w:val="20"/>
          <w:szCs w:val="20"/>
        </w:rPr>
        <w:t>The role of anticipation in organizational resilience</w:t>
      </w:r>
      <w:r w:rsidRPr="00AC5EB3">
        <w:rPr>
          <w:rFonts w:ascii="Times New Roman" w:eastAsia="SimSun" w:hAnsi="Times New Roman"/>
          <w:iCs/>
          <w:sz w:val="20"/>
          <w:szCs w:val="20"/>
          <w:lang w:val="en-AU" w:eastAsia="zh-CN"/>
        </w:rPr>
        <w:t>:</w:t>
      </w:r>
      <w:r w:rsidRPr="009B30C6">
        <w:rPr>
          <w:rFonts w:ascii="Times New Roman" w:eastAsia="SimSun" w:hAnsi="Times New Roman"/>
          <w:iCs/>
          <w:sz w:val="20"/>
          <w:szCs w:val="20"/>
          <w:lang w:val="en-AU" w:eastAsia="zh-CN"/>
        </w:rPr>
        <w:t xml:space="preserve">  </w:t>
      </w:r>
      <w:r w:rsidR="004B0F18">
        <w:rPr>
          <w:rFonts w:ascii="Times New Roman" w:eastAsia="SimSun" w:hAnsi="Times New Roman"/>
          <w:iCs/>
          <w:sz w:val="20"/>
          <w:szCs w:val="20"/>
          <w:lang w:val="en-AU" w:eastAsia="zh-CN"/>
        </w:rPr>
        <w:t>“</w:t>
      </w:r>
      <w:r w:rsidRPr="00B046CE">
        <w:rPr>
          <w:rFonts w:ascii="Times New Roman" w:hAnsi="Times New Roman"/>
          <w:sz w:val="20"/>
          <w:szCs w:val="20"/>
        </w:rPr>
        <w:t xml:space="preserve">Anticipation is described as the ability to detect internal and external changes, foresee potential hazards, and prepare to some extent for unexpected occurrences. </w:t>
      </w:r>
      <w:r w:rsidR="004B0F18">
        <w:rPr>
          <w:rFonts w:ascii="Times New Roman" w:hAnsi="Times New Roman"/>
          <w:sz w:val="20"/>
          <w:szCs w:val="20"/>
        </w:rPr>
        <w:t>“</w:t>
      </w:r>
      <w:r w:rsidRPr="00B046CE">
        <w:rPr>
          <w:rFonts w:ascii="Times New Roman" w:hAnsi="Times New Roman"/>
          <w:sz w:val="20"/>
          <w:szCs w:val="20"/>
        </w:rPr>
        <w:t>This does not suggest that crises can be completely avoided; rather, it means being able to detect and respond to crisis signals as soon as possible to reduce negative repercussions. The anticipation stage includes two main capabilities: observation and identification (the ability to scan the environment to make judgments, take actions, and potentially avoid future disruptions); and preparation for future developments as the crisis unfolds</w:t>
      </w:r>
      <w:r w:rsidR="004B0F18">
        <w:rPr>
          <w:rFonts w:ascii="Times New Roman" w:hAnsi="Times New Roman"/>
          <w:sz w:val="20"/>
          <w:szCs w:val="20"/>
        </w:rPr>
        <w:t>”</w:t>
      </w:r>
      <w:r w:rsidRPr="00B046CE">
        <w:rPr>
          <w:rFonts w:ascii="Times New Roman" w:hAnsi="Times New Roman"/>
          <w:sz w:val="20"/>
          <w:szCs w:val="20"/>
        </w:rPr>
        <w:t xml:space="preserve"> (Bartuseviien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2021). Anticipation and risk assessment are viewed as essential components of the catastrophe cycle and the development of a resilient society. This article analyzes the link between the crisis anticipation stage and higher education institutions' organizational resilience in Jakarta.</w:t>
      </w:r>
    </w:p>
    <w:p w14:paraId="37D8D371" w14:textId="77777777" w:rsidR="00103C3F" w:rsidRDefault="00103C3F" w:rsidP="00103C3F">
      <w:pPr>
        <w:pStyle w:val="IEEEParagraph"/>
        <w:ind w:firstLine="289"/>
        <w:rPr>
          <w:szCs w:val="20"/>
        </w:rPr>
      </w:pPr>
      <w:r w:rsidRPr="00AC5EB3">
        <w:rPr>
          <w:b/>
          <w:szCs w:val="20"/>
        </w:rPr>
        <w:t>The role of the coping stage in organizational resilience</w:t>
      </w:r>
      <w:r w:rsidRPr="00AC5EB3">
        <w:rPr>
          <w:iCs/>
          <w:szCs w:val="20"/>
        </w:rPr>
        <w:t>:</w:t>
      </w:r>
      <w:r w:rsidRPr="009B30C6">
        <w:rPr>
          <w:iCs/>
          <w:szCs w:val="20"/>
        </w:rPr>
        <w:t xml:space="preserve">  </w:t>
      </w:r>
      <w:r w:rsidRPr="00B046CE">
        <w:rPr>
          <w:szCs w:val="20"/>
        </w:rPr>
        <w:t>Coping is defined as the process of developing and executing remedies to a specific adversity. This stage consists of two distinct capabilities: accepting the shifting circumstance and the capacity to seek and implement a solution. These abilities indicate rapid or short-term behaviors in the face of unexpected events. Organizations must have the ability to embrace a problem or a circumstance and make sense of it; only then can they face critical situations and react promptly. Scholars say that embracing the present is a cognitive challenge with serious consequences since it takes organizations a long time to detect and respond to dangers. As a result, the purpose of this research is to learn more about higher education institutions' coping capacities and how they contribute to a successful overall general system reaction, which enhances organizational resilience.</w:t>
      </w:r>
    </w:p>
    <w:p w14:paraId="5E896A2A" w14:textId="13F94C84" w:rsidR="00D1222E" w:rsidRPr="00B046CE" w:rsidRDefault="00103C3F" w:rsidP="00103C3F">
      <w:pPr>
        <w:pStyle w:val="IEEEParagraph"/>
        <w:ind w:firstLine="289"/>
        <w:rPr>
          <w:szCs w:val="20"/>
        </w:rPr>
      </w:pPr>
      <w:r w:rsidRPr="00AC5EB3">
        <w:rPr>
          <w:b/>
          <w:szCs w:val="20"/>
        </w:rPr>
        <w:t>The role of the adaptation stage in organizational resilience</w:t>
      </w:r>
      <w:r w:rsidRPr="00AC5EB3">
        <w:rPr>
          <w:iCs/>
          <w:szCs w:val="20"/>
        </w:rPr>
        <w:t>:</w:t>
      </w:r>
      <w:r>
        <w:rPr>
          <w:iCs/>
          <w:szCs w:val="20"/>
        </w:rPr>
        <w:t xml:space="preserve"> </w:t>
      </w:r>
      <w:r w:rsidR="004B0F18">
        <w:rPr>
          <w:iCs/>
          <w:szCs w:val="20"/>
        </w:rPr>
        <w:t>“</w:t>
      </w:r>
      <w:r w:rsidRPr="00B046CE">
        <w:rPr>
          <w:szCs w:val="20"/>
        </w:rPr>
        <w:t xml:space="preserve">This stage is concerned with post-crisis reforms aimed at organizational growth. The ability of a system to adapt to changing external conditions is described by its ability to adjust, learn, and reorganize its resources in response to the disturbance. Organizations that encourage and expand their adaptable ability </w:t>
      </w:r>
      <w:r w:rsidRPr="00B046CE">
        <w:rPr>
          <w:szCs w:val="20"/>
        </w:rPr>
        <w:lastRenderedPageBreak/>
        <w:t>continuously learn and apply the acquired knowledge in the face of dangerous disruptions. As a result, they can operate in a wider range of environments</w:t>
      </w:r>
      <w:r w:rsidR="004B0F18">
        <w:rPr>
          <w:szCs w:val="20"/>
        </w:rPr>
        <w:t>”</w:t>
      </w:r>
      <w:r w:rsidRPr="00B046CE">
        <w:rPr>
          <w:szCs w:val="20"/>
        </w:rPr>
        <w:t xml:space="preserve"> (Burnard </w:t>
      </w:r>
      <w:r w:rsidRPr="00AC5EB3">
        <w:rPr>
          <w:i/>
          <w:szCs w:val="20"/>
        </w:rPr>
        <w:t>et al</w:t>
      </w:r>
      <w:r w:rsidRPr="00B046CE">
        <w:rPr>
          <w:szCs w:val="20"/>
        </w:rPr>
        <w:t>.</w:t>
      </w:r>
      <w:r>
        <w:rPr>
          <w:szCs w:val="20"/>
        </w:rPr>
        <w:t>,</w:t>
      </w:r>
      <w:r w:rsidRPr="00B046CE">
        <w:rPr>
          <w:szCs w:val="20"/>
        </w:rPr>
        <w:t xml:space="preserve"> 2018). </w:t>
      </w:r>
      <w:r w:rsidR="004B0F18">
        <w:rPr>
          <w:szCs w:val="20"/>
        </w:rPr>
        <w:t>“</w:t>
      </w:r>
      <w:r w:rsidRPr="00B046CE">
        <w:rPr>
          <w:szCs w:val="20"/>
        </w:rPr>
        <w:t>There are two types of adaptation capabilities: reflection and learning capabilities and organizational change capabilities</w:t>
      </w:r>
      <w:r w:rsidR="004B0F18">
        <w:rPr>
          <w:szCs w:val="20"/>
        </w:rPr>
        <w:t>”</w:t>
      </w:r>
      <w:r w:rsidRPr="00B046CE">
        <w:rPr>
          <w:szCs w:val="20"/>
        </w:rPr>
        <w:t xml:space="preserve"> (Duchek</w:t>
      </w:r>
      <w:r>
        <w:rPr>
          <w:szCs w:val="20"/>
        </w:rPr>
        <w:t>,</w:t>
      </w:r>
      <w:r w:rsidRPr="00B046CE">
        <w:rPr>
          <w:szCs w:val="20"/>
        </w:rPr>
        <w:t xml:space="preserve"> 2020). Adaptive behaviors and proactive responses are common in businesses that prioritize resilience in the face of change. Scholars suggest, however, that focusing on acknowledged failures while ignoring hidden problematic elements leads to a hampered ability to integrate new information into profitable long-term practices. In that regard, the purpose of this research is to identify institutional interpretations of previous experience as well as the process of putting new knowledge into practice to enable organizational development while preventing more extreme changes.</w:t>
      </w:r>
    </w:p>
    <w:p w14:paraId="58BAB5C8" w14:textId="77777777" w:rsidR="00D1222E" w:rsidRDefault="00D1222E" w:rsidP="00D1222E">
      <w:pPr>
        <w:pStyle w:val="IEEEParagraph"/>
        <w:ind w:firstLine="289"/>
        <w:rPr>
          <w:szCs w:val="20"/>
        </w:rPr>
      </w:pPr>
    </w:p>
    <w:p w14:paraId="0DDCA269" w14:textId="77777777" w:rsidR="00D1222E" w:rsidRPr="00842B81" w:rsidRDefault="00D1222E" w:rsidP="00D1222E">
      <w:pPr>
        <w:pStyle w:val="IEEEHeading2"/>
        <w:jc w:val="both"/>
        <w:rPr>
          <w:b/>
          <w:szCs w:val="20"/>
        </w:rPr>
      </w:pPr>
      <w:r w:rsidRPr="00842B81">
        <w:rPr>
          <w:b/>
          <w:szCs w:val="20"/>
        </w:rPr>
        <w:t>Antecedents and Drivers of Resilience Stages</w:t>
      </w:r>
    </w:p>
    <w:p w14:paraId="644F4712"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According to Duchek (2020), the four key antecedents to the resilience phases are knowledge base, resource availability, social resources, and power and connections.</w:t>
      </w:r>
    </w:p>
    <w:p w14:paraId="15BB1A9D" w14:textId="69D47C9C" w:rsidR="00103C3F" w:rsidRPr="00B046CE" w:rsidRDefault="00103C3F" w:rsidP="00103C3F">
      <w:pPr>
        <w:pStyle w:val="IEEEParagraph"/>
        <w:ind w:firstLine="289"/>
        <w:rPr>
          <w:szCs w:val="20"/>
        </w:rPr>
      </w:pPr>
      <w:r w:rsidRPr="00842B81">
        <w:rPr>
          <w:b/>
          <w:szCs w:val="20"/>
        </w:rPr>
        <w:t>Knowledge Base</w:t>
      </w:r>
      <w:r w:rsidRPr="00AC5EB3">
        <w:rPr>
          <w:iCs/>
          <w:szCs w:val="20"/>
        </w:rPr>
        <w:t>:</w:t>
      </w:r>
      <w:r>
        <w:rPr>
          <w:iCs/>
          <w:szCs w:val="20"/>
        </w:rPr>
        <w:t xml:space="preserve"> </w:t>
      </w:r>
      <w:r w:rsidR="004B0F18">
        <w:rPr>
          <w:iCs/>
          <w:szCs w:val="20"/>
        </w:rPr>
        <w:t>“</w:t>
      </w:r>
      <w:r w:rsidRPr="00B046CE">
        <w:rPr>
          <w:szCs w:val="20"/>
        </w:rPr>
        <w:t>The knowledge base of the company is crucial to the success of the resilience process. The evidence suggests a favourable association between anticipating ability and knowledge acquisition. To be resilient, businesses should cultivate a broad and diversified knowledge base that enables them to anticipate both internal and external changes—even if they are outside of their main business. Investing in research, investigation, and diversity can help achieve this. As a result, the fundamental antecedent informing the anticipation phase is an organization's current or past knowledge base</w:t>
      </w:r>
      <w:r w:rsidR="004B0F18">
        <w:rPr>
          <w:szCs w:val="20"/>
        </w:rPr>
        <w:t>”</w:t>
      </w:r>
      <w:r w:rsidRPr="00B046CE">
        <w:rPr>
          <w:szCs w:val="20"/>
        </w:rPr>
        <w:t xml:space="preserve"> (Bartuseviien </w:t>
      </w:r>
      <w:r w:rsidRPr="00842B81">
        <w:rPr>
          <w:i/>
          <w:szCs w:val="20"/>
        </w:rPr>
        <w:t>et al</w:t>
      </w:r>
      <w:r w:rsidRPr="00B046CE">
        <w:rPr>
          <w:szCs w:val="20"/>
        </w:rPr>
        <w:t>.</w:t>
      </w:r>
      <w:r>
        <w:rPr>
          <w:szCs w:val="20"/>
        </w:rPr>
        <w:t>,</w:t>
      </w:r>
      <w:r w:rsidRPr="00B046CE">
        <w:rPr>
          <w:szCs w:val="20"/>
        </w:rPr>
        <w:t xml:space="preserve"> 2021). Similarly, knowledge and experience help individuals and organizations apply and manage reactions, choose solutions, and cope, sustain, or restore operations. During a crisis, a variety of talents, personalities, and perspectives can boost creativity and innovation, as well as information sharing and learning, which aid in coping and problem-solving activities and, thus, are associated with greater resilience. At the level of adaptation, the post-crisis era is fertile ground for meaningful corporate learning and system transformation. Given the foregoing, this article investigates the function of an organization's knowledge base as a precursor to the anticipating, coping, and adaption stages, which would favorably affect the organizational resilience of Jakarta's higher education institutions.</w:t>
      </w:r>
    </w:p>
    <w:p w14:paraId="45F8BB1F" w14:textId="51D04596" w:rsidR="00103C3F" w:rsidRDefault="00103C3F" w:rsidP="00103C3F">
      <w:pPr>
        <w:pStyle w:val="IEEEParagraph"/>
        <w:ind w:firstLine="289"/>
        <w:rPr>
          <w:szCs w:val="20"/>
        </w:rPr>
      </w:pPr>
      <w:r w:rsidRPr="00842B81">
        <w:rPr>
          <w:b/>
          <w:szCs w:val="20"/>
        </w:rPr>
        <w:t>Resource Availability</w:t>
      </w:r>
      <w:r w:rsidRPr="00AC5EB3">
        <w:rPr>
          <w:iCs/>
          <w:szCs w:val="20"/>
        </w:rPr>
        <w:t>:</w:t>
      </w:r>
      <w:r>
        <w:rPr>
          <w:iCs/>
          <w:szCs w:val="20"/>
        </w:rPr>
        <w:t xml:space="preserve"> </w:t>
      </w:r>
      <w:r w:rsidR="004B0F18">
        <w:rPr>
          <w:iCs/>
          <w:szCs w:val="20"/>
        </w:rPr>
        <w:t>“</w:t>
      </w:r>
      <w:r w:rsidRPr="00B046CE">
        <w:rPr>
          <w:szCs w:val="20"/>
        </w:rPr>
        <w:t>Financial, technological, and social resources, according to the research, are necessary to develop organizational resilience, particularly during the early phases of anticipation</w:t>
      </w:r>
      <w:r w:rsidR="004B0F18">
        <w:rPr>
          <w:szCs w:val="20"/>
        </w:rPr>
        <w:t>”</w:t>
      </w:r>
      <w:r w:rsidRPr="00B046CE">
        <w:rPr>
          <w:szCs w:val="20"/>
        </w:rPr>
        <w:t xml:space="preserve"> (Andersson 2018). </w:t>
      </w:r>
      <w:r w:rsidR="004B0F18">
        <w:rPr>
          <w:szCs w:val="20"/>
        </w:rPr>
        <w:t>“</w:t>
      </w:r>
      <w:r w:rsidRPr="00B046CE">
        <w:rPr>
          <w:szCs w:val="20"/>
        </w:rPr>
        <w:t>A wide and conveniently available collection of information serves as the foundation for rapid and adequate responses in stressful situations</w:t>
      </w:r>
      <w:r w:rsidR="004B0F18">
        <w:rPr>
          <w:szCs w:val="20"/>
        </w:rPr>
        <w:t>”</w:t>
      </w:r>
      <w:r w:rsidRPr="00B046CE">
        <w:rPr>
          <w:szCs w:val="20"/>
        </w:rPr>
        <w:t xml:space="preserve"> (Ojo </w:t>
      </w:r>
      <w:r w:rsidRPr="00842B81">
        <w:rPr>
          <w:i/>
          <w:szCs w:val="20"/>
        </w:rPr>
        <w:t>et al</w:t>
      </w:r>
      <w:r w:rsidRPr="00B046CE">
        <w:rPr>
          <w:szCs w:val="20"/>
        </w:rPr>
        <w:t>.</w:t>
      </w:r>
      <w:r>
        <w:rPr>
          <w:szCs w:val="20"/>
        </w:rPr>
        <w:t>,</w:t>
      </w:r>
      <w:r w:rsidRPr="00B046CE">
        <w:rPr>
          <w:szCs w:val="20"/>
        </w:rPr>
        <w:t xml:space="preserve"> 2021). As the crisis progresses, both financial and human resources are required as part of the crisis management process. Abdullah </w:t>
      </w:r>
      <w:r w:rsidRPr="00842B81">
        <w:rPr>
          <w:i/>
          <w:szCs w:val="20"/>
        </w:rPr>
        <w:t>et al.</w:t>
      </w:r>
      <w:r w:rsidRPr="00B046CE">
        <w:rPr>
          <w:szCs w:val="20"/>
        </w:rPr>
        <w:t xml:space="preserve"> (2020) discovered that </w:t>
      </w:r>
      <w:r w:rsidR="004B0F18">
        <w:rPr>
          <w:szCs w:val="20"/>
        </w:rPr>
        <w:t>“</w:t>
      </w:r>
      <w:r w:rsidRPr="00B046CE">
        <w:rPr>
          <w:szCs w:val="20"/>
        </w:rPr>
        <w:t>having financial reserves, as evidenced by established information technology (IT) infrastructure, was crucial in coping with the shift to remote learning during the closure of Malaysian schools</w:t>
      </w:r>
      <w:r w:rsidR="004B0F18">
        <w:rPr>
          <w:szCs w:val="20"/>
        </w:rPr>
        <w:t>”</w:t>
      </w:r>
      <w:r w:rsidRPr="00B046CE">
        <w:rPr>
          <w:szCs w:val="20"/>
        </w:rPr>
        <w:t xml:space="preserve"> (Abdullah </w:t>
      </w:r>
      <w:r w:rsidRPr="00842B81">
        <w:rPr>
          <w:i/>
          <w:szCs w:val="20"/>
        </w:rPr>
        <w:t>et al</w:t>
      </w:r>
      <w:r w:rsidRPr="00B046CE">
        <w:rPr>
          <w:szCs w:val="20"/>
        </w:rPr>
        <w:t>.</w:t>
      </w:r>
      <w:r>
        <w:rPr>
          <w:szCs w:val="20"/>
        </w:rPr>
        <w:t>,</w:t>
      </w:r>
      <w:r w:rsidRPr="00B046CE">
        <w:rPr>
          <w:szCs w:val="20"/>
        </w:rPr>
        <w:t xml:space="preserve"> 2020). </w:t>
      </w:r>
      <w:r w:rsidR="004B0F18">
        <w:rPr>
          <w:szCs w:val="20"/>
        </w:rPr>
        <w:t>“</w:t>
      </w:r>
      <w:r w:rsidRPr="00B046CE">
        <w:rPr>
          <w:szCs w:val="20"/>
        </w:rPr>
        <w:t>Similarly, during the adaptation stages, organizational resilience necessitates both financial and human resources to establish recovery plans and educate individuals and leaders to adapt to and implement changes</w:t>
      </w:r>
      <w:r w:rsidR="004B0F18">
        <w:rPr>
          <w:szCs w:val="20"/>
        </w:rPr>
        <w:t>”</w:t>
      </w:r>
      <w:r w:rsidRPr="00B046CE">
        <w:rPr>
          <w:szCs w:val="20"/>
        </w:rPr>
        <w:t xml:space="preserve"> (Duchek </w:t>
      </w:r>
      <w:r w:rsidRPr="00842B81">
        <w:rPr>
          <w:i/>
          <w:szCs w:val="20"/>
        </w:rPr>
        <w:t>et al</w:t>
      </w:r>
      <w:r w:rsidRPr="00B046CE">
        <w:rPr>
          <w:szCs w:val="20"/>
        </w:rPr>
        <w:t>.</w:t>
      </w:r>
      <w:r>
        <w:rPr>
          <w:szCs w:val="20"/>
        </w:rPr>
        <w:t>,</w:t>
      </w:r>
      <w:r w:rsidRPr="00B046CE">
        <w:rPr>
          <w:szCs w:val="20"/>
        </w:rPr>
        <w:t xml:space="preserve"> 2020). As a result, we investigate how JAKARTA higher education institutions</w:t>
      </w:r>
      <w:r>
        <w:rPr>
          <w:szCs w:val="20"/>
          <w:lang w:val="id-ID"/>
        </w:rPr>
        <w:t>’</w:t>
      </w:r>
      <w:r w:rsidRPr="00B046CE">
        <w:rPr>
          <w:szCs w:val="20"/>
        </w:rPr>
        <w:t xml:space="preserve"> use their resources to anticipate, cope with, and respond to adversity challenges to outperform their less affluent counterparts.</w:t>
      </w:r>
    </w:p>
    <w:p w14:paraId="722F760A" w14:textId="77777777" w:rsidR="00103C3F" w:rsidRPr="00B046CE" w:rsidRDefault="00103C3F" w:rsidP="00103C3F">
      <w:pPr>
        <w:pStyle w:val="IEEEParagraph"/>
        <w:ind w:firstLine="289"/>
        <w:rPr>
          <w:szCs w:val="20"/>
        </w:rPr>
      </w:pPr>
      <w:r w:rsidRPr="00842B81">
        <w:rPr>
          <w:b/>
          <w:szCs w:val="20"/>
        </w:rPr>
        <w:t>Social Resources</w:t>
      </w:r>
      <w:r w:rsidRPr="00AC5EB3">
        <w:rPr>
          <w:iCs/>
          <w:szCs w:val="20"/>
        </w:rPr>
        <w:t>:</w:t>
      </w:r>
      <w:r>
        <w:rPr>
          <w:iCs/>
          <w:szCs w:val="20"/>
        </w:rPr>
        <w:t xml:space="preserve"> </w:t>
      </w:r>
      <w:r>
        <w:rPr>
          <w:szCs w:val="20"/>
        </w:rPr>
        <w:t>A</w:t>
      </w:r>
      <w:r w:rsidRPr="00B046CE">
        <w:rPr>
          <w:szCs w:val="20"/>
        </w:rPr>
        <w:t xml:space="preserve">ccording to the literature, survive longer than technical and financial resources, which are dependent on good economic and other transitory conditions. As a result, improved information sharing, resource exchange, common aims and vision, and high levels of support and coordination among employees can all contribute to organizational resilience (Ojo </w:t>
      </w:r>
      <w:r w:rsidRPr="00842B81">
        <w:rPr>
          <w:i/>
          <w:szCs w:val="20"/>
        </w:rPr>
        <w:t>et al</w:t>
      </w:r>
      <w:r w:rsidRPr="00B046CE">
        <w:rPr>
          <w:szCs w:val="20"/>
        </w:rPr>
        <w:t>.</w:t>
      </w:r>
      <w:r>
        <w:rPr>
          <w:szCs w:val="20"/>
        </w:rPr>
        <w:t>,</w:t>
      </w:r>
      <w:r w:rsidRPr="00B046CE">
        <w:rPr>
          <w:szCs w:val="20"/>
        </w:rPr>
        <w:t xml:space="preserve"> 2021). Following the discovery of early warning signs of a threat, companies can function efficiently by harnessing social capital and resources that leverage individual worker participation and employee networks with excellent connections. According to Ojo </w:t>
      </w:r>
      <w:r w:rsidRPr="00842B81">
        <w:rPr>
          <w:i/>
          <w:szCs w:val="20"/>
        </w:rPr>
        <w:t>et al.</w:t>
      </w:r>
      <w:r w:rsidRPr="00B046CE">
        <w:rPr>
          <w:szCs w:val="20"/>
        </w:rPr>
        <w:t xml:space="preserve"> (2021), social support improves employee resilience and increases work engagement, which has a favorable influence on organizational resilience. As a result, this study investigates the importance of social resources in guaranteeing academic institutions' sustainability and resilience throughout the COVID-19 anticipatory period.</w:t>
      </w:r>
    </w:p>
    <w:p w14:paraId="75B1C7F5" w14:textId="21D05F69" w:rsidR="00D1222E" w:rsidRPr="00B046CE" w:rsidRDefault="00103C3F" w:rsidP="00103C3F">
      <w:pPr>
        <w:pStyle w:val="IEEEParagraph"/>
        <w:ind w:firstLine="289"/>
        <w:rPr>
          <w:szCs w:val="20"/>
        </w:rPr>
      </w:pPr>
      <w:r w:rsidRPr="00842B81">
        <w:rPr>
          <w:b/>
          <w:szCs w:val="20"/>
        </w:rPr>
        <w:t>The Influence of Power and Responsibility</w:t>
      </w:r>
      <w:r w:rsidRPr="00AC5EB3">
        <w:rPr>
          <w:iCs/>
          <w:szCs w:val="20"/>
        </w:rPr>
        <w:t>:</w:t>
      </w:r>
      <w:r>
        <w:rPr>
          <w:iCs/>
          <w:szCs w:val="20"/>
        </w:rPr>
        <w:t xml:space="preserve"> </w:t>
      </w:r>
      <w:r w:rsidRPr="00B046CE">
        <w:rPr>
          <w:szCs w:val="20"/>
        </w:rPr>
        <w:t>Following a crisis, influential players can either restrict or obstruct the process of transforming lessons gained into overall good change, directly influencing organizational performance. This illustrates how certain companies are better equipped to apply acquired knowledge while directing organizational goals. According to the literature, one of the most successful techniques in adjusting to a crisis scenario is developing authority based on knowledge rather than hierarchy. This is accomplished through collaborative decision-making, which promotes ambidexterity and enables technical competence to develop corporate plans, reconfigure, and adapt to changing situations. As a result, we are interested in learning how higher education institutions</w:t>
      </w:r>
      <w:r>
        <w:rPr>
          <w:szCs w:val="20"/>
          <w:lang w:val="id-ID"/>
        </w:rPr>
        <w:t>’</w:t>
      </w:r>
      <w:r w:rsidRPr="00B046CE">
        <w:rPr>
          <w:szCs w:val="20"/>
        </w:rPr>
        <w:t xml:space="preserve"> react to catastrophes or new situations based on authority and responsibility, as well as how they learn from prior experiences, actions, failures, and assessments.</w:t>
      </w:r>
    </w:p>
    <w:p w14:paraId="4050FE76" w14:textId="77777777" w:rsidR="00D1222E" w:rsidRDefault="00D1222E" w:rsidP="00D1222E">
      <w:pPr>
        <w:spacing w:after="0" w:line="240" w:lineRule="auto"/>
        <w:jc w:val="both"/>
        <w:rPr>
          <w:rFonts w:ascii="Times New Roman" w:hAnsi="Times New Roman"/>
          <w:sz w:val="20"/>
          <w:szCs w:val="20"/>
        </w:rPr>
      </w:pPr>
    </w:p>
    <w:p w14:paraId="7E3EC377" w14:textId="77777777" w:rsidR="00D1222E" w:rsidRPr="009B30C6" w:rsidRDefault="00D1222E" w:rsidP="00D1222E">
      <w:pPr>
        <w:pStyle w:val="IEEEHeading1"/>
        <w:jc w:val="both"/>
        <w:rPr>
          <w:b/>
          <w:szCs w:val="20"/>
        </w:rPr>
      </w:pPr>
      <w:r>
        <w:rPr>
          <w:b/>
          <w:szCs w:val="20"/>
        </w:rPr>
        <w:t>METHODS</w:t>
      </w:r>
    </w:p>
    <w:p w14:paraId="400BE4A9" w14:textId="1ED3D12C" w:rsidR="00103C3F" w:rsidRPr="00103C3F" w:rsidRDefault="00103C3F" w:rsidP="00103C3F">
      <w:pPr>
        <w:pStyle w:val="IEEEParagraph"/>
        <w:ind w:firstLine="289"/>
        <w:rPr>
          <w:szCs w:val="20"/>
        </w:rPr>
      </w:pPr>
      <w:r w:rsidRPr="00103C3F">
        <w:rPr>
          <w:szCs w:val="20"/>
        </w:rPr>
        <w:t>This study examines publications about organizational resilience in higher education institutions using a methodical literature review technique. The samples used in this study come from a variety of references and data sources, with a global focus. To make this work more thorough, data collection is accomplished by merging viewpoints from diverse empirical results. A researcher must possess a variety of abilities, including the ability to choose research subjects, locate relevant literature, and analyse and synthesize textual material.</w:t>
      </w:r>
    </w:p>
    <w:p w14:paraId="234FEEA7" w14:textId="77777777" w:rsidR="00103C3F" w:rsidRPr="00103C3F" w:rsidRDefault="00103C3F" w:rsidP="00103C3F">
      <w:pPr>
        <w:pStyle w:val="IEEEParagraph"/>
        <w:ind w:firstLine="289"/>
        <w:rPr>
          <w:szCs w:val="20"/>
        </w:rPr>
      </w:pPr>
      <w:r w:rsidRPr="00103C3F">
        <w:rPr>
          <w:szCs w:val="20"/>
        </w:rPr>
        <w:t xml:space="preserve">Through this research, audiences—readers of this article in particular—can learn an overview of recent findings about the factors that specifically affect organizational resilience in higher education institutions around the world. This information can then serve as an indirect benchmark for the development of organizational resilience in higher education. To follow a methodical format, background information on the strategic environment, higher education institutions, and organizational resilience is initially presented. It also explains the systematic review's approach. A discussion of the results and contributing factors to organizational resilience in higher education institutions follows this. The discoveries of both external and internal organizational elements that </w:t>
      </w:r>
      <w:r w:rsidRPr="00103C3F">
        <w:rPr>
          <w:szCs w:val="20"/>
        </w:rPr>
        <w:lastRenderedPageBreak/>
        <w:t>support the research antecedents and contribute to organizational resilience in higher education institutions constitute the article's originality.</w:t>
      </w:r>
    </w:p>
    <w:p w14:paraId="4B5CAEB8" w14:textId="641C3C19" w:rsidR="00D1222E" w:rsidRDefault="00103C3F" w:rsidP="00103C3F">
      <w:pPr>
        <w:pStyle w:val="IEEEParagraph"/>
        <w:ind w:firstLine="289"/>
        <w:rPr>
          <w:szCs w:val="20"/>
        </w:rPr>
      </w:pPr>
      <w:r w:rsidRPr="00103C3F">
        <w:rPr>
          <w:szCs w:val="20"/>
        </w:rPr>
        <w:t>This study adopted the PRISMA protocol methodology, which consists of four phase’s flow searching, screening, extraction, and synthesis as shown in Fig. 2. PRISMA stands for Preferred Reporting Items for Systematic Reviews and Meta-Analyses. It is an evidence-based minimum set of items for reporting in systematic reviews and meta-analyses. The researcher inserted “organizational resilience”, “higher education”, and “education resilience” through the website search engine, i.e., Google Scholar, Research</w:t>
      </w:r>
      <w:r>
        <w:rPr>
          <w:szCs w:val="20"/>
          <w:lang w:val="id-ID"/>
        </w:rPr>
        <w:t xml:space="preserve"> </w:t>
      </w:r>
      <w:r w:rsidRPr="00103C3F">
        <w:rPr>
          <w:szCs w:val="20"/>
        </w:rPr>
        <w:t>Gate, etc. The search narrowed to the journal articles and conference proceedings that were written in English. In the screening phase, thirty-five (35) documents contained the “organizational resilient” AND “higher education” OR “education resilient” to be executed in the next phase. The list of the thirty-five (35) documents that are focused on “organizational resilience” AND “higher education” OR “education resilience” is shown in Table 1. In the third phase, the researchers organized the relevant content from the extracted articles. They identified the authors who published the articles on this topic, the year of the publication, the topic, the source, the methodology, and the type of document.</w:t>
      </w:r>
    </w:p>
    <w:p w14:paraId="3DA7B245" w14:textId="77777777" w:rsidR="00D1222E" w:rsidRDefault="00D1222E" w:rsidP="00D1222E">
      <w:pPr>
        <w:pStyle w:val="IEEEParagraph"/>
        <w:ind w:firstLine="289"/>
        <w:rPr>
          <w:szCs w:val="20"/>
        </w:rPr>
      </w:pPr>
    </w:p>
    <w:p w14:paraId="656ECA58" w14:textId="77777777" w:rsidR="00D1222E" w:rsidRPr="009B30C6" w:rsidRDefault="00D1222E" w:rsidP="00D1222E">
      <w:pPr>
        <w:pStyle w:val="IEEEParagraph"/>
        <w:jc w:val="center"/>
        <w:rPr>
          <w:szCs w:val="20"/>
          <w:lang w:val="en-GB"/>
        </w:rPr>
      </w:pPr>
      <w:r w:rsidRPr="00B046CE">
        <w:rPr>
          <w:noProof/>
          <w:szCs w:val="20"/>
          <w:lang w:val="en-US" w:eastAsia="en-US"/>
        </w:rPr>
        <w:drawing>
          <wp:inline distT="0" distB="0" distL="0" distR="0" wp14:anchorId="6C95ED56" wp14:editId="5BA51F7C">
            <wp:extent cx="5656992" cy="3810000"/>
            <wp:effectExtent l="19050" t="19050" r="20320" b="19050"/>
            <wp:docPr id="137471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4296" cy="3814919"/>
                    </a:xfrm>
                    <a:prstGeom prst="rect">
                      <a:avLst/>
                    </a:prstGeom>
                    <a:noFill/>
                    <a:ln w="6350">
                      <a:solidFill>
                        <a:schemeClr val="tx1"/>
                      </a:solidFill>
                    </a:ln>
                  </pic:spPr>
                </pic:pic>
              </a:graphicData>
            </a:graphic>
          </wp:inline>
        </w:drawing>
      </w:r>
    </w:p>
    <w:p w14:paraId="66558488" w14:textId="77777777" w:rsidR="00D1222E" w:rsidRDefault="00D1222E" w:rsidP="00D1222E">
      <w:pPr>
        <w:pStyle w:val="IEEEHeading2"/>
        <w:numPr>
          <w:ilvl w:val="0"/>
          <w:numId w:val="0"/>
        </w:numPr>
        <w:ind w:left="288"/>
        <w:jc w:val="center"/>
        <w:rPr>
          <w:szCs w:val="20"/>
        </w:rPr>
      </w:pPr>
      <w:r>
        <w:rPr>
          <w:szCs w:val="20"/>
        </w:rPr>
        <w:t xml:space="preserve">Figure 2. </w:t>
      </w:r>
      <w:r w:rsidRPr="00B046CE">
        <w:rPr>
          <w:szCs w:val="20"/>
        </w:rPr>
        <w:t>A PRISMA protocol for systematic analysis</w:t>
      </w:r>
    </w:p>
    <w:p w14:paraId="79CA4B31" w14:textId="77777777" w:rsidR="00D1222E" w:rsidRDefault="00D1222E" w:rsidP="00D1222E">
      <w:pPr>
        <w:pStyle w:val="IEEEParagraph"/>
        <w:ind w:firstLine="289"/>
        <w:rPr>
          <w:szCs w:val="20"/>
        </w:rPr>
      </w:pPr>
    </w:p>
    <w:p w14:paraId="60B38551"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Table. </w:t>
      </w:r>
      <w:r>
        <w:rPr>
          <w:rFonts w:ascii="Times New Roman" w:hAnsi="Times New Roman"/>
          <w:sz w:val="20"/>
          <w:szCs w:val="20"/>
        </w:rPr>
        <w:t>1</w:t>
      </w:r>
      <w:r w:rsidRPr="00B046CE">
        <w:rPr>
          <w:rFonts w:ascii="Times New Roman" w:hAnsi="Times New Roman"/>
          <w:sz w:val="20"/>
          <w:szCs w:val="20"/>
        </w:rPr>
        <w:t xml:space="preserve"> A list of articles that are focused on organizational resilience</w:t>
      </w:r>
    </w:p>
    <w:tbl>
      <w:tblPr>
        <w:tblStyle w:val="TableGrid"/>
        <w:tblW w:w="10485" w:type="dxa"/>
        <w:tblLook w:val="04A0" w:firstRow="1" w:lastRow="0" w:firstColumn="1" w:lastColumn="0" w:noHBand="0" w:noVBand="1"/>
      </w:tblPr>
      <w:tblGrid>
        <w:gridCol w:w="504"/>
        <w:gridCol w:w="4027"/>
        <w:gridCol w:w="2410"/>
        <w:gridCol w:w="2126"/>
        <w:gridCol w:w="1418"/>
      </w:tblGrid>
      <w:tr w:rsidR="00D1222E" w:rsidRPr="00B046CE" w14:paraId="18D7B5CD" w14:textId="77777777" w:rsidTr="00854648">
        <w:trPr>
          <w:tblHeader/>
        </w:trPr>
        <w:tc>
          <w:tcPr>
            <w:tcW w:w="504" w:type="dxa"/>
          </w:tcPr>
          <w:p w14:paraId="620E71A1"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No</w:t>
            </w:r>
          </w:p>
        </w:tc>
        <w:tc>
          <w:tcPr>
            <w:tcW w:w="4027" w:type="dxa"/>
          </w:tcPr>
          <w:p w14:paraId="5F2A1B55"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Author</w:t>
            </w:r>
            <w:r w:rsidRPr="003171C7">
              <w:rPr>
                <w:rFonts w:ascii="Times New Roman" w:hAnsi="Times New Roman"/>
                <w:bCs/>
                <w:sz w:val="20"/>
                <w:szCs w:val="20"/>
              </w:rPr>
              <w:t>,</w:t>
            </w:r>
            <w:r w:rsidRPr="00B046CE">
              <w:rPr>
                <w:rFonts w:ascii="Times New Roman" w:hAnsi="Times New Roman"/>
                <w:b/>
                <w:bCs/>
                <w:sz w:val="20"/>
                <w:szCs w:val="20"/>
              </w:rPr>
              <w:t xml:space="preserve"> Year &amp;Title</w:t>
            </w:r>
          </w:p>
        </w:tc>
        <w:tc>
          <w:tcPr>
            <w:tcW w:w="2410" w:type="dxa"/>
          </w:tcPr>
          <w:p w14:paraId="6D6770A8"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Source Title</w:t>
            </w:r>
          </w:p>
        </w:tc>
        <w:tc>
          <w:tcPr>
            <w:tcW w:w="2126" w:type="dxa"/>
          </w:tcPr>
          <w:p w14:paraId="3459C2A3"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Methodology</w:t>
            </w:r>
          </w:p>
        </w:tc>
        <w:tc>
          <w:tcPr>
            <w:tcW w:w="1418" w:type="dxa"/>
          </w:tcPr>
          <w:p w14:paraId="728CA660"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Document Type</w:t>
            </w:r>
          </w:p>
        </w:tc>
      </w:tr>
      <w:tr w:rsidR="00D1222E" w:rsidRPr="00B046CE" w14:paraId="230F62BF" w14:textId="77777777" w:rsidTr="00854648">
        <w:tc>
          <w:tcPr>
            <w:tcW w:w="504" w:type="dxa"/>
          </w:tcPr>
          <w:p w14:paraId="266635F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w:t>
            </w:r>
          </w:p>
        </w:tc>
        <w:tc>
          <w:tcPr>
            <w:tcW w:w="4027" w:type="dxa"/>
          </w:tcPr>
          <w:p w14:paraId="3A30286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Al Ameri, Khadija Ali Mohammed Abdulrahman. 2023. "Antecedents of Organizational Resilience after COVID-19: The Case of UAE"</w:t>
            </w:r>
          </w:p>
        </w:tc>
        <w:tc>
          <w:tcPr>
            <w:tcW w:w="2410" w:type="dxa"/>
          </w:tcPr>
          <w:p w14:paraId="648BE18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Sustainability Journal</w:t>
            </w:r>
          </w:p>
        </w:tc>
        <w:tc>
          <w:tcPr>
            <w:tcW w:w="2126" w:type="dxa"/>
          </w:tcPr>
          <w:p w14:paraId="65588C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1119BA5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 Article</w:t>
            </w:r>
          </w:p>
        </w:tc>
      </w:tr>
      <w:tr w:rsidR="00D1222E" w:rsidRPr="00B046CE" w14:paraId="424A3D3A" w14:textId="77777777" w:rsidTr="00854648">
        <w:tc>
          <w:tcPr>
            <w:tcW w:w="504" w:type="dxa"/>
          </w:tcPr>
          <w:p w14:paraId="204BEE8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w:t>
            </w:r>
          </w:p>
        </w:tc>
        <w:tc>
          <w:tcPr>
            <w:tcW w:w="4027" w:type="dxa"/>
          </w:tcPr>
          <w:p w14:paraId="1C09E91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Paeffgen, Thea. 2023. "Organisational Resilience during COVID-19 Times: A Bibliometric Literature Review" </w:t>
            </w:r>
          </w:p>
        </w:tc>
        <w:tc>
          <w:tcPr>
            <w:tcW w:w="2410" w:type="dxa"/>
          </w:tcPr>
          <w:p w14:paraId="4340C8F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Sustainability Journal</w:t>
            </w:r>
          </w:p>
        </w:tc>
        <w:tc>
          <w:tcPr>
            <w:tcW w:w="2126" w:type="dxa"/>
          </w:tcPr>
          <w:p w14:paraId="276B686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Literature Review</w:t>
            </w:r>
          </w:p>
          <w:p w14:paraId="5E901C3D" w14:textId="77777777" w:rsidR="00D1222E" w:rsidRPr="00B046CE" w:rsidRDefault="00D1222E" w:rsidP="00854648">
            <w:pPr>
              <w:rPr>
                <w:rFonts w:ascii="Times New Roman" w:hAnsi="Times New Roman"/>
                <w:sz w:val="20"/>
                <w:szCs w:val="20"/>
              </w:rPr>
            </w:pPr>
          </w:p>
        </w:tc>
        <w:tc>
          <w:tcPr>
            <w:tcW w:w="1418" w:type="dxa"/>
          </w:tcPr>
          <w:p w14:paraId="5998498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AE23C2F" w14:textId="77777777" w:rsidTr="00854648">
        <w:tc>
          <w:tcPr>
            <w:tcW w:w="504" w:type="dxa"/>
          </w:tcPr>
          <w:p w14:paraId="351BAAD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w:t>
            </w:r>
          </w:p>
        </w:tc>
        <w:tc>
          <w:tcPr>
            <w:tcW w:w="4027" w:type="dxa"/>
          </w:tcPr>
          <w:p w14:paraId="0175F2F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Lize Borms, Jan Brusselaers, Karl C. Vrancken, Sam Deckmyn, Philip Marynissen. 2023. “Toward resilient organizations after COVID-19: An analysis of circular and less circular companies”</w:t>
            </w:r>
          </w:p>
        </w:tc>
        <w:tc>
          <w:tcPr>
            <w:tcW w:w="2410" w:type="dxa"/>
          </w:tcPr>
          <w:p w14:paraId="24F6C70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Resources, Conservation, and Recycling</w:t>
            </w:r>
          </w:p>
        </w:tc>
        <w:tc>
          <w:tcPr>
            <w:tcW w:w="2126" w:type="dxa"/>
          </w:tcPr>
          <w:p w14:paraId="2A3EDE9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48EF2EC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24580FD" w14:textId="77777777" w:rsidTr="00854648">
        <w:tc>
          <w:tcPr>
            <w:tcW w:w="504" w:type="dxa"/>
          </w:tcPr>
          <w:p w14:paraId="742B959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4</w:t>
            </w:r>
          </w:p>
        </w:tc>
        <w:tc>
          <w:tcPr>
            <w:tcW w:w="4027" w:type="dxa"/>
          </w:tcPr>
          <w:p w14:paraId="4715A1E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Mokline, B., &amp; Abdallah, M. A. B. (2021). Organizational resilience as response to a crisis: Case of COVID-19 crisis</w:t>
            </w:r>
          </w:p>
        </w:tc>
        <w:tc>
          <w:tcPr>
            <w:tcW w:w="2410" w:type="dxa"/>
          </w:tcPr>
          <w:p w14:paraId="23F03C9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Continuity &amp; Resilience Review</w:t>
            </w:r>
          </w:p>
        </w:tc>
        <w:tc>
          <w:tcPr>
            <w:tcW w:w="2126" w:type="dxa"/>
          </w:tcPr>
          <w:p w14:paraId="5251060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09613BF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72E66A" w14:textId="77777777" w:rsidTr="00854648">
        <w:tc>
          <w:tcPr>
            <w:tcW w:w="504" w:type="dxa"/>
          </w:tcPr>
          <w:p w14:paraId="6F724E1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5</w:t>
            </w:r>
          </w:p>
        </w:tc>
        <w:tc>
          <w:tcPr>
            <w:tcW w:w="4027" w:type="dxa"/>
          </w:tcPr>
          <w:p w14:paraId="0F2A9CA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Yang H, Tang M, Chao X, Li P. 2021. “Organisational resilience in the COVID-19: A </w:t>
            </w:r>
            <w:r w:rsidRPr="00B046CE">
              <w:rPr>
                <w:rFonts w:ascii="Times New Roman" w:hAnsi="Times New Roman"/>
                <w:sz w:val="20"/>
                <w:szCs w:val="20"/>
              </w:rPr>
              <w:lastRenderedPageBreak/>
              <w:t>case study from China. Journal of Management &amp; Organization”</w:t>
            </w:r>
          </w:p>
        </w:tc>
        <w:tc>
          <w:tcPr>
            <w:tcW w:w="2410" w:type="dxa"/>
          </w:tcPr>
          <w:p w14:paraId="70C8737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lastRenderedPageBreak/>
              <w:t>Journal of Management &amp; Organization</w:t>
            </w:r>
          </w:p>
        </w:tc>
        <w:tc>
          <w:tcPr>
            <w:tcW w:w="2126" w:type="dxa"/>
          </w:tcPr>
          <w:p w14:paraId="5503141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Case Study</w:t>
            </w:r>
          </w:p>
        </w:tc>
        <w:tc>
          <w:tcPr>
            <w:tcW w:w="1418" w:type="dxa"/>
          </w:tcPr>
          <w:p w14:paraId="7226B17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895EAAD" w14:textId="77777777" w:rsidTr="00854648">
        <w:tc>
          <w:tcPr>
            <w:tcW w:w="504" w:type="dxa"/>
          </w:tcPr>
          <w:p w14:paraId="3FFE55B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6</w:t>
            </w:r>
          </w:p>
        </w:tc>
        <w:tc>
          <w:tcPr>
            <w:tcW w:w="4027" w:type="dxa"/>
          </w:tcPr>
          <w:p w14:paraId="1B2BF65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Ignatowicz, A., Tarrant, C., Mannion, R. 2023. “Organizational resilience in Healthcare: a review and descriptive narrative synthesis of approaches to resilience measurement and assessment in empirical studies”</w:t>
            </w:r>
          </w:p>
        </w:tc>
        <w:tc>
          <w:tcPr>
            <w:tcW w:w="2410" w:type="dxa"/>
          </w:tcPr>
          <w:p w14:paraId="0096812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BMC Health Services Research</w:t>
            </w:r>
          </w:p>
        </w:tc>
        <w:tc>
          <w:tcPr>
            <w:tcW w:w="2126" w:type="dxa"/>
          </w:tcPr>
          <w:p w14:paraId="28E4D62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6DF8B07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D5015F7" w14:textId="77777777" w:rsidTr="00854648">
        <w:tc>
          <w:tcPr>
            <w:tcW w:w="504" w:type="dxa"/>
          </w:tcPr>
          <w:p w14:paraId="2A58EE9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7</w:t>
            </w:r>
          </w:p>
        </w:tc>
        <w:tc>
          <w:tcPr>
            <w:tcW w:w="4027" w:type="dxa"/>
          </w:tcPr>
          <w:p w14:paraId="30C6583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Zhao, R., Li, L. 2023. “Pressure, state, and response: configurational analysis of organizational resilience in tourism businesses following the COVID-19 pandemic crisis”</w:t>
            </w:r>
          </w:p>
        </w:tc>
        <w:tc>
          <w:tcPr>
            <w:tcW w:w="2410" w:type="dxa"/>
          </w:tcPr>
          <w:p w14:paraId="44343B9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Humanities and Social Sciences Communications</w:t>
            </w:r>
          </w:p>
        </w:tc>
        <w:tc>
          <w:tcPr>
            <w:tcW w:w="2126" w:type="dxa"/>
          </w:tcPr>
          <w:p w14:paraId="22DF978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w:t>
            </w:r>
          </w:p>
        </w:tc>
        <w:tc>
          <w:tcPr>
            <w:tcW w:w="1418" w:type="dxa"/>
          </w:tcPr>
          <w:p w14:paraId="76C4F74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738727A" w14:textId="77777777" w:rsidTr="00854648">
        <w:tc>
          <w:tcPr>
            <w:tcW w:w="504" w:type="dxa"/>
          </w:tcPr>
          <w:p w14:paraId="0467B29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8</w:t>
            </w:r>
          </w:p>
        </w:tc>
        <w:tc>
          <w:tcPr>
            <w:tcW w:w="4027" w:type="dxa"/>
          </w:tcPr>
          <w:p w14:paraId="193A5F0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M. Ali., S., Yustina. EPD. 2022. “Analysis of Organizational Resilience Capacity in Accommodation Service Business in Semarang”</w:t>
            </w:r>
          </w:p>
        </w:tc>
        <w:tc>
          <w:tcPr>
            <w:tcW w:w="2410" w:type="dxa"/>
          </w:tcPr>
          <w:p w14:paraId="6F5CA77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Management and Organizational Journal (JMO)</w:t>
            </w:r>
          </w:p>
        </w:tc>
        <w:tc>
          <w:tcPr>
            <w:tcW w:w="2126" w:type="dxa"/>
          </w:tcPr>
          <w:p w14:paraId="50929B1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(Interview)</w:t>
            </w:r>
          </w:p>
        </w:tc>
        <w:tc>
          <w:tcPr>
            <w:tcW w:w="1418" w:type="dxa"/>
          </w:tcPr>
          <w:p w14:paraId="23538C4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95ACC91" w14:textId="77777777" w:rsidTr="00854648">
        <w:tc>
          <w:tcPr>
            <w:tcW w:w="504" w:type="dxa"/>
          </w:tcPr>
          <w:p w14:paraId="2B8C9C7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9</w:t>
            </w:r>
          </w:p>
        </w:tc>
        <w:tc>
          <w:tcPr>
            <w:tcW w:w="4027" w:type="dxa"/>
          </w:tcPr>
          <w:p w14:paraId="4C5C765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Daniela G., Elisa H., Nadine D.M. 2022. “Individual and organizational resilience Insights from healthcare providers in Germany during the COVID-19 pandemic”</w:t>
            </w:r>
          </w:p>
        </w:tc>
        <w:tc>
          <w:tcPr>
            <w:tcW w:w="2410" w:type="dxa"/>
          </w:tcPr>
          <w:p w14:paraId="12360A3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Psychology</w:t>
            </w:r>
          </w:p>
        </w:tc>
        <w:tc>
          <w:tcPr>
            <w:tcW w:w="2126" w:type="dxa"/>
          </w:tcPr>
          <w:p w14:paraId="3E334C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510EA19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637EFD8" w14:textId="77777777" w:rsidTr="00854648">
        <w:tc>
          <w:tcPr>
            <w:tcW w:w="504" w:type="dxa"/>
          </w:tcPr>
          <w:p w14:paraId="6B66A9E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10</w:t>
            </w:r>
          </w:p>
        </w:tc>
        <w:tc>
          <w:tcPr>
            <w:tcW w:w="4027" w:type="dxa"/>
          </w:tcPr>
          <w:p w14:paraId="5C91950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Fatima B., Meriem F. 2021. “Exploratory study on the impact of Covid-19 outbreak on organizational resilience: Case of Moroccan owner-managers”</w:t>
            </w:r>
          </w:p>
        </w:tc>
        <w:tc>
          <w:tcPr>
            <w:tcW w:w="2410" w:type="dxa"/>
          </w:tcPr>
          <w:p w14:paraId="580E324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Revue des Etudes et Recherches en Logistique et Développement (RERLED)</w:t>
            </w:r>
          </w:p>
        </w:tc>
        <w:tc>
          <w:tcPr>
            <w:tcW w:w="2126" w:type="dxa"/>
          </w:tcPr>
          <w:p w14:paraId="33ABFC1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Case Study</w:t>
            </w:r>
          </w:p>
        </w:tc>
        <w:tc>
          <w:tcPr>
            <w:tcW w:w="1418" w:type="dxa"/>
          </w:tcPr>
          <w:p w14:paraId="67F251C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6EFF86FF" w14:textId="77777777" w:rsidTr="00854648">
        <w:tc>
          <w:tcPr>
            <w:tcW w:w="504" w:type="dxa"/>
          </w:tcPr>
          <w:p w14:paraId="3AF9264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11</w:t>
            </w:r>
          </w:p>
        </w:tc>
        <w:tc>
          <w:tcPr>
            <w:tcW w:w="4027" w:type="dxa"/>
          </w:tcPr>
          <w:p w14:paraId="033E78D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Iwan D. P. M., Eko W. 2022. “Building Resilient Micro-Small Enterprises: A Case Study of MSEs in The Midst of The Covid-19 Pandemic</w:t>
            </w:r>
          </w:p>
        </w:tc>
        <w:tc>
          <w:tcPr>
            <w:tcW w:w="2410" w:type="dxa"/>
          </w:tcPr>
          <w:p w14:paraId="0EADA98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Business Administration Journal</w:t>
            </w:r>
          </w:p>
        </w:tc>
        <w:tc>
          <w:tcPr>
            <w:tcW w:w="2126" w:type="dxa"/>
          </w:tcPr>
          <w:p w14:paraId="374DF52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and   Qualitative </w:t>
            </w:r>
          </w:p>
          <w:p w14:paraId="44C24709" w14:textId="77777777" w:rsidR="00D1222E" w:rsidRPr="00B046CE" w:rsidRDefault="00D1222E" w:rsidP="00854648">
            <w:pPr>
              <w:rPr>
                <w:rFonts w:ascii="Times New Roman" w:hAnsi="Times New Roman"/>
                <w:sz w:val="20"/>
                <w:szCs w:val="20"/>
              </w:rPr>
            </w:pPr>
          </w:p>
        </w:tc>
        <w:tc>
          <w:tcPr>
            <w:tcW w:w="1418" w:type="dxa"/>
          </w:tcPr>
          <w:p w14:paraId="6C2BFFC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0F05D61" w14:textId="77777777" w:rsidTr="00854648">
        <w:tc>
          <w:tcPr>
            <w:tcW w:w="504" w:type="dxa"/>
          </w:tcPr>
          <w:p w14:paraId="5BEAD67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12</w:t>
            </w:r>
          </w:p>
        </w:tc>
        <w:tc>
          <w:tcPr>
            <w:tcW w:w="4027" w:type="dxa"/>
          </w:tcPr>
          <w:p w14:paraId="5B31F6A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Ning Ning You, Yitian Lou, Wuke Zhang, Dezhi Chen, Luyao Zeng \. 2023. “Leveraging resources and dynamic capabilities for organizational resilience amid COVID-19”</w:t>
            </w:r>
          </w:p>
        </w:tc>
        <w:tc>
          <w:tcPr>
            <w:tcW w:w="2410" w:type="dxa"/>
          </w:tcPr>
          <w:p w14:paraId="26D1698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South African Journal of Business Management </w:t>
            </w:r>
          </w:p>
        </w:tc>
        <w:tc>
          <w:tcPr>
            <w:tcW w:w="2126" w:type="dxa"/>
          </w:tcPr>
          <w:p w14:paraId="4ACAEEC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6366C9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A0C784" w14:textId="77777777" w:rsidTr="00854648">
        <w:tc>
          <w:tcPr>
            <w:tcW w:w="504" w:type="dxa"/>
          </w:tcPr>
          <w:p w14:paraId="303B367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13</w:t>
            </w:r>
          </w:p>
        </w:tc>
        <w:tc>
          <w:tcPr>
            <w:tcW w:w="4027" w:type="dxa"/>
          </w:tcPr>
          <w:p w14:paraId="6AA65AF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Xuemei Xie , Yonghui Wu, Daniel Palacios-Marqués, Samuel Ribeiro-Navarrete. 2022. “Business Networks and organizational resilience capacity in the digital age during COVID-19: A perspective utilizing organizational information processing theory</w:t>
            </w:r>
          </w:p>
        </w:tc>
        <w:tc>
          <w:tcPr>
            <w:tcW w:w="2410" w:type="dxa"/>
          </w:tcPr>
          <w:p w14:paraId="0AFC6B6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Technological Forecasting and Social Change Journal</w:t>
            </w:r>
          </w:p>
        </w:tc>
        <w:tc>
          <w:tcPr>
            <w:tcW w:w="2126" w:type="dxa"/>
          </w:tcPr>
          <w:p w14:paraId="10B0442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w:t>
            </w:r>
          </w:p>
        </w:tc>
        <w:tc>
          <w:tcPr>
            <w:tcW w:w="1418" w:type="dxa"/>
          </w:tcPr>
          <w:p w14:paraId="5534475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3C25558" w14:textId="77777777" w:rsidTr="00854648">
        <w:tc>
          <w:tcPr>
            <w:tcW w:w="504" w:type="dxa"/>
          </w:tcPr>
          <w:p w14:paraId="2012EBA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14</w:t>
            </w:r>
          </w:p>
        </w:tc>
        <w:tc>
          <w:tcPr>
            <w:tcW w:w="4027" w:type="dxa"/>
          </w:tcPr>
          <w:p w14:paraId="10E7DB5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Folashade Afolabi, Oluwafemi Abayomi Olajuyigbe. 2023. “Building Resilience in Education for Academic Continuity During Disruption”</w:t>
            </w:r>
          </w:p>
        </w:tc>
        <w:tc>
          <w:tcPr>
            <w:tcW w:w="2410" w:type="dxa"/>
          </w:tcPr>
          <w:p w14:paraId="29D722E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Pedagogy and Teacher Education</w:t>
            </w:r>
          </w:p>
        </w:tc>
        <w:tc>
          <w:tcPr>
            <w:tcW w:w="2126" w:type="dxa"/>
          </w:tcPr>
          <w:p w14:paraId="3D62C08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1080AEE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127EA14" w14:textId="77777777" w:rsidTr="00854648">
        <w:tc>
          <w:tcPr>
            <w:tcW w:w="504" w:type="dxa"/>
          </w:tcPr>
          <w:p w14:paraId="4150D5C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15</w:t>
            </w:r>
          </w:p>
        </w:tc>
        <w:tc>
          <w:tcPr>
            <w:tcW w:w="4027" w:type="dxa"/>
          </w:tcPr>
          <w:p w14:paraId="55251D3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Khalilah. 2023. “Personal and contextual factors and academic resilience of lecturers at state and private Islamic universities during pandemic”</w:t>
            </w:r>
          </w:p>
        </w:tc>
        <w:tc>
          <w:tcPr>
            <w:tcW w:w="2410" w:type="dxa"/>
          </w:tcPr>
          <w:p w14:paraId="0BDE812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 Journal Pedagogic</w:t>
            </w:r>
          </w:p>
        </w:tc>
        <w:tc>
          <w:tcPr>
            <w:tcW w:w="2126" w:type="dxa"/>
          </w:tcPr>
          <w:p w14:paraId="720C80A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4B0E40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511DD2A" w14:textId="77777777" w:rsidTr="00854648">
        <w:tc>
          <w:tcPr>
            <w:tcW w:w="504" w:type="dxa"/>
          </w:tcPr>
          <w:p w14:paraId="234BFAC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16</w:t>
            </w:r>
          </w:p>
        </w:tc>
        <w:tc>
          <w:tcPr>
            <w:tcW w:w="4027" w:type="dxa"/>
          </w:tcPr>
          <w:p w14:paraId="34E155E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Nessrin Shaya., Rawan Abu Khait., Rehaf A. Madani., Rehaf A. Madani., Mohammad Nisar Khattak. 2022. “Organizational Resilience of Higher Education Institutions: An Empirical Study during Covid-19 Pandemic”</w:t>
            </w:r>
          </w:p>
        </w:tc>
        <w:tc>
          <w:tcPr>
            <w:tcW w:w="2410" w:type="dxa"/>
          </w:tcPr>
          <w:p w14:paraId="43AA3B9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Higher Education Policy Journal</w:t>
            </w:r>
          </w:p>
        </w:tc>
        <w:tc>
          <w:tcPr>
            <w:tcW w:w="2126" w:type="dxa"/>
          </w:tcPr>
          <w:p w14:paraId="74BBF4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 phenomenological research</w:t>
            </w:r>
          </w:p>
        </w:tc>
        <w:tc>
          <w:tcPr>
            <w:tcW w:w="1418" w:type="dxa"/>
          </w:tcPr>
          <w:p w14:paraId="69A68A3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84A9E78" w14:textId="77777777" w:rsidTr="00854648">
        <w:tc>
          <w:tcPr>
            <w:tcW w:w="504" w:type="dxa"/>
          </w:tcPr>
          <w:p w14:paraId="095E650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17</w:t>
            </w:r>
          </w:p>
        </w:tc>
        <w:tc>
          <w:tcPr>
            <w:tcW w:w="4027" w:type="dxa"/>
          </w:tcPr>
          <w:p w14:paraId="0556B66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Shriram Raghunathan., Abtar Kaur Darshan Singh., Bibhya Sharma. 2022.” Study of Resilience in Learning Environments During the Covid-19 Pandemic”</w:t>
            </w:r>
          </w:p>
        </w:tc>
        <w:tc>
          <w:tcPr>
            <w:tcW w:w="2410" w:type="dxa"/>
          </w:tcPr>
          <w:p w14:paraId="6AA066B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in Education</w:t>
            </w:r>
          </w:p>
        </w:tc>
        <w:tc>
          <w:tcPr>
            <w:tcW w:w="2126" w:type="dxa"/>
          </w:tcPr>
          <w:p w14:paraId="2692018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4A52747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4135894" w14:textId="77777777" w:rsidTr="00854648">
        <w:tc>
          <w:tcPr>
            <w:tcW w:w="504" w:type="dxa"/>
          </w:tcPr>
          <w:p w14:paraId="41AE45F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18</w:t>
            </w:r>
          </w:p>
        </w:tc>
        <w:tc>
          <w:tcPr>
            <w:tcW w:w="4027" w:type="dxa"/>
          </w:tcPr>
          <w:p w14:paraId="55C030C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Muhammad Bukhori Dalimunthe, Ery Tri Djatmika, Heri Pratikto, Puji Handayati, Rosmala Dewi, Siti Salina Mustakim. 2021. “Academic resilience for preservice teachers among a field of sciences: A measurement scale in education”</w:t>
            </w:r>
          </w:p>
        </w:tc>
        <w:tc>
          <w:tcPr>
            <w:tcW w:w="2410" w:type="dxa"/>
          </w:tcPr>
          <w:p w14:paraId="491B7C9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Evaluation and Research in Education (IJERE)</w:t>
            </w:r>
          </w:p>
        </w:tc>
        <w:tc>
          <w:tcPr>
            <w:tcW w:w="2126" w:type="dxa"/>
          </w:tcPr>
          <w:p w14:paraId="3E88495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0D731C5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B92C121" w14:textId="77777777" w:rsidTr="00854648">
        <w:tc>
          <w:tcPr>
            <w:tcW w:w="504" w:type="dxa"/>
          </w:tcPr>
          <w:p w14:paraId="4539DBD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lastRenderedPageBreak/>
              <w:t>19</w:t>
            </w:r>
          </w:p>
        </w:tc>
        <w:tc>
          <w:tcPr>
            <w:tcW w:w="4027" w:type="dxa"/>
          </w:tcPr>
          <w:p w14:paraId="57B48CA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Murat Yıldırım., Fatma Celik. 2020. “Social Support, Resilience and Subjective Well-being in College Students”</w:t>
            </w:r>
          </w:p>
        </w:tc>
        <w:tc>
          <w:tcPr>
            <w:tcW w:w="2410" w:type="dxa"/>
          </w:tcPr>
          <w:p w14:paraId="44855EB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Journal of Positive School Psychology</w:t>
            </w:r>
          </w:p>
        </w:tc>
        <w:tc>
          <w:tcPr>
            <w:tcW w:w="2126" w:type="dxa"/>
          </w:tcPr>
          <w:p w14:paraId="4B8FE0E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9B40E3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1C9D16B" w14:textId="77777777" w:rsidTr="00854648">
        <w:tc>
          <w:tcPr>
            <w:tcW w:w="504" w:type="dxa"/>
          </w:tcPr>
          <w:p w14:paraId="0807E4B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20</w:t>
            </w:r>
          </w:p>
        </w:tc>
        <w:tc>
          <w:tcPr>
            <w:tcW w:w="4027" w:type="dxa"/>
          </w:tcPr>
          <w:p w14:paraId="31DDC5C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Jacqueline Dohaney</w:t>
            </w:r>
            <w:r>
              <w:rPr>
                <w:rFonts w:ascii="Times New Roman" w:hAnsi="Times New Roman"/>
                <w:sz w:val="20"/>
                <w:szCs w:val="20"/>
              </w:rPr>
              <w:t xml:space="preserve">, Mairéad de Róiste, Rhian A. </w:t>
            </w:r>
            <w:r w:rsidRPr="00B046CE">
              <w:rPr>
                <w:rFonts w:ascii="Times New Roman" w:hAnsi="Times New Roman"/>
                <w:sz w:val="20"/>
                <w:szCs w:val="20"/>
              </w:rPr>
              <w:t>Salmon, Kathryn Sutherland. 2020. “Benefits, barriers, and incentives for improved resilience to disruption in university teaching”</w:t>
            </w:r>
          </w:p>
        </w:tc>
        <w:tc>
          <w:tcPr>
            <w:tcW w:w="2410" w:type="dxa"/>
          </w:tcPr>
          <w:p w14:paraId="23FA1F5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Disaster Risk Reduction</w:t>
            </w:r>
          </w:p>
        </w:tc>
        <w:tc>
          <w:tcPr>
            <w:tcW w:w="2126" w:type="dxa"/>
          </w:tcPr>
          <w:p w14:paraId="4D912C9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(Interview)</w:t>
            </w:r>
          </w:p>
        </w:tc>
        <w:tc>
          <w:tcPr>
            <w:tcW w:w="1418" w:type="dxa"/>
          </w:tcPr>
          <w:p w14:paraId="55686A7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827BDB1" w14:textId="77777777" w:rsidTr="00854648">
        <w:tc>
          <w:tcPr>
            <w:tcW w:w="504" w:type="dxa"/>
          </w:tcPr>
          <w:p w14:paraId="5673BC7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21</w:t>
            </w:r>
          </w:p>
        </w:tc>
        <w:tc>
          <w:tcPr>
            <w:tcW w:w="4027" w:type="dxa"/>
          </w:tcPr>
          <w:p w14:paraId="31118C0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Bento, Fabio, Andréa Giglio Bottino, Felipe Cerchiareto Pereira, Janimayri Forastieri de Almeida, and Fabiana Gomes Rodrigues. 2021. "Resilience in Higher Education: A Complex Perspective to Lecturers’ Adaptive Processes in Response to the COVID-19 Pandemic"</w:t>
            </w:r>
          </w:p>
        </w:tc>
        <w:tc>
          <w:tcPr>
            <w:tcW w:w="2410" w:type="dxa"/>
          </w:tcPr>
          <w:p w14:paraId="0935B2E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 Sciences Journal</w:t>
            </w:r>
          </w:p>
        </w:tc>
        <w:tc>
          <w:tcPr>
            <w:tcW w:w="2126" w:type="dxa"/>
          </w:tcPr>
          <w:p w14:paraId="6C1BF60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07BAE67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05ED9894" w14:textId="77777777" w:rsidTr="00854648">
        <w:tc>
          <w:tcPr>
            <w:tcW w:w="504" w:type="dxa"/>
          </w:tcPr>
          <w:p w14:paraId="17A5091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22</w:t>
            </w:r>
          </w:p>
        </w:tc>
        <w:tc>
          <w:tcPr>
            <w:tcW w:w="4027" w:type="dxa"/>
          </w:tcPr>
          <w:p w14:paraId="31599BE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Yi Wang. 2021. “Building Teachers' Resilience: Practical Applications for Teacher Education of China” </w:t>
            </w:r>
          </w:p>
        </w:tc>
        <w:tc>
          <w:tcPr>
            <w:tcW w:w="2410" w:type="dxa"/>
          </w:tcPr>
          <w:p w14:paraId="55BDE43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Psychology</w:t>
            </w:r>
          </w:p>
        </w:tc>
        <w:tc>
          <w:tcPr>
            <w:tcW w:w="2126" w:type="dxa"/>
          </w:tcPr>
          <w:p w14:paraId="70EA391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649D69B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5C4808C" w14:textId="77777777" w:rsidTr="00854648">
        <w:tc>
          <w:tcPr>
            <w:tcW w:w="504" w:type="dxa"/>
          </w:tcPr>
          <w:p w14:paraId="07032C5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23</w:t>
            </w:r>
          </w:p>
        </w:tc>
        <w:tc>
          <w:tcPr>
            <w:tcW w:w="4027" w:type="dxa"/>
          </w:tcPr>
          <w:p w14:paraId="1FC9303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Bartusevičienė, I., Pazaver, A. &amp; Kitada, M. 2021. “Building a resilient university: ensuring academic continuity—transition from face-to-face to online in the COVID-19 pandemic”</w:t>
            </w:r>
          </w:p>
        </w:tc>
        <w:tc>
          <w:tcPr>
            <w:tcW w:w="2410" w:type="dxa"/>
          </w:tcPr>
          <w:p w14:paraId="044B9E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WMU Journal of Maritime Affairs</w:t>
            </w:r>
          </w:p>
        </w:tc>
        <w:tc>
          <w:tcPr>
            <w:tcW w:w="2126" w:type="dxa"/>
          </w:tcPr>
          <w:p w14:paraId="64130D8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49FA636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554F08" w14:textId="77777777" w:rsidTr="00854648">
        <w:tc>
          <w:tcPr>
            <w:tcW w:w="504" w:type="dxa"/>
          </w:tcPr>
          <w:p w14:paraId="7E8446A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24</w:t>
            </w:r>
          </w:p>
        </w:tc>
        <w:tc>
          <w:tcPr>
            <w:tcW w:w="4027" w:type="dxa"/>
          </w:tcPr>
          <w:p w14:paraId="3398A0E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Ye, W., Strietholt, R. &amp; Blömeke, S. 2021. “Academic resilience: underlying norms and validity of definitions”</w:t>
            </w:r>
          </w:p>
        </w:tc>
        <w:tc>
          <w:tcPr>
            <w:tcW w:w="2410" w:type="dxa"/>
          </w:tcPr>
          <w:p w14:paraId="0160DAF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Educational Assessment, Evaluation, and Accountability</w:t>
            </w:r>
          </w:p>
        </w:tc>
        <w:tc>
          <w:tcPr>
            <w:tcW w:w="2126" w:type="dxa"/>
          </w:tcPr>
          <w:p w14:paraId="7BBC050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Systematic Review</w:t>
            </w:r>
          </w:p>
        </w:tc>
        <w:tc>
          <w:tcPr>
            <w:tcW w:w="1418" w:type="dxa"/>
          </w:tcPr>
          <w:p w14:paraId="771A91B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8086B38" w14:textId="77777777" w:rsidTr="00854648">
        <w:tc>
          <w:tcPr>
            <w:tcW w:w="504" w:type="dxa"/>
          </w:tcPr>
          <w:p w14:paraId="50C5C43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25</w:t>
            </w:r>
          </w:p>
        </w:tc>
        <w:tc>
          <w:tcPr>
            <w:tcW w:w="4027" w:type="dxa"/>
          </w:tcPr>
          <w:p w14:paraId="4E064C4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Hapsari, A. D., Rahmawati, H., Puspitasari, D. N., &amp; Suhanti, I. Y. 2021. “Academic Resilience of “Bidik Misi” Grantee Students in Malang During Pandemic Covid-19”</w:t>
            </w:r>
          </w:p>
        </w:tc>
        <w:tc>
          <w:tcPr>
            <w:tcW w:w="2410" w:type="dxa"/>
          </w:tcPr>
          <w:p w14:paraId="62A9EE4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KnE Social Sciences</w:t>
            </w:r>
          </w:p>
        </w:tc>
        <w:tc>
          <w:tcPr>
            <w:tcW w:w="2126" w:type="dxa"/>
          </w:tcPr>
          <w:p w14:paraId="2C26FE8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6EFE2CC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3ED75BCE" w14:textId="77777777" w:rsidTr="00854648">
        <w:tc>
          <w:tcPr>
            <w:tcW w:w="504" w:type="dxa"/>
          </w:tcPr>
          <w:p w14:paraId="6605FB5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26</w:t>
            </w:r>
          </w:p>
        </w:tc>
        <w:tc>
          <w:tcPr>
            <w:tcW w:w="4027" w:type="dxa"/>
          </w:tcPr>
          <w:p w14:paraId="0E87203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Som Naidu. 2021. “Building resilience in education systems post-COVID-19, Distance Education”</w:t>
            </w:r>
          </w:p>
        </w:tc>
        <w:tc>
          <w:tcPr>
            <w:tcW w:w="2410" w:type="dxa"/>
          </w:tcPr>
          <w:p w14:paraId="70EB333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Distance Education Journal</w:t>
            </w:r>
          </w:p>
        </w:tc>
        <w:tc>
          <w:tcPr>
            <w:tcW w:w="2126" w:type="dxa"/>
          </w:tcPr>
          <w:p w14:paraId="0A17E9D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5273C84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E2E04D0" w14:textId="77777777" w:rsidTr="00854648">
        <w:tc>
          <w:tcPr>
            <w:tcW w:w="504" w:type="dxa"/>
          </w:tcPr>
          <w:p w14:paraId="66E9CC0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27</w:t>
            </w:r>
          </w:p>
        </w:tc>
        <w:tc>
          <w:tcPr>
            <w:tcW w:w="4027" w:type="dxa"/>
          </w:tcPr>
          <w:p w14:paraId="3244C20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Monomita Nandy. 2021. “Lessons from Covid-19 and a resilience model for higher education” </w:t>
            </w:r>
          </w:p>
        </w:tc>
        <w:tc>
          <w:tcPr>
            <w:tcW w:w="2410" w:type="dxa"/>
          </w:tcPr>
          <w:p w14:paraId="12D40A5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Industry and Higher Education</w:t>
            </w:r>
          </w:p>
        </w:tc>
        <w:tc>
          <w:tcPr>
            <w:tcW w:w="2126" w:type="dxa"/>
          </w:tcPr>
          <w:p w14:paraId="6B9E75B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3917B95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42BA36B1" w14:textId="77777777" w:rsidTr="00854648">
        <w:tc>
          <w:tcPr>
            <w:tcW w:w="504" w:type="dxa"/>
          </w:tcPr>
          <w:p w14:paraId="267B80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28</w:t>
            </w:r>
          </w:p>
        </w:tc>
        <w:tc>
          <w:tcPr>
            <w:tcW w:w="4027" w:type="dxa"/>
          </w:tcPr>
          <w:p w14:paraId="6B0F890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Ayebi-Arthur, K. 2017. “E-learning, resilience and change in higher education: Helping a university cope after a natural disaster”</w:t>
            </w:r>
          </w:p>
        </w:tc>
        <w:tc>
          <w:tcPr>
            <w:tcW w:w="2410" w:type="dxa"/>
          </w:tcPr>
          <w:p w14:paraId="4E08B0B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E-Learning and Digital Media</w:t>
            </w:r>
          </w:p>
        </w:tc>
        <w:tc>
          <w:tcPr>
            <w:tcW w:w="2126" w:type="dxa"/>
          </w:tcPr>
          <w:p w14:paraId="3E6FB73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 intrinsic</w:t>
            </w:r>
          </w:p>
        </w:tc>
        <w:tc>
          <w:tcPr>
            <w:tcW w:w="1418" w:type="dxa"/>
          </w:tcPr>
          <w:p w14:paraId="5ED594C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9F20BFE" w14:textId="77777777" w:rsidTr="00854648">
        <w:tc>
          <w:tcPr>
            <w:tcW w:w="504" w:type="dxa"/>
          </w:tcPr>
          <w:p w14:paraId="7CD1034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29</w:t>
            </w:r>
          </w:p>
        </w:tc>
        <w:tc>
          <w:tcPr>
            <w:tcW w:w="4027" w:type="dxa"/>
          </w:tcPr>
          <w:p w14:paraId="7978D3D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Folashade Afolabi., Olufemi Olajuyigbe. 2022. “Resilience in Teaching and Learning for Academic Continuity During Disruption for Sustainable Development”</w:t>
            </w:r>
          </w:p>
        </w:tc>
        <w:tc>
          <w:tcPr>
            <w:tcW w:w="2410" w:type="dxa"/>
          </w:tcPr>
          <w:p w14:paraId="2B6335A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Commonwealth of Learning (COL)</w:t>
            </w:r>
          </w:p>
        </w:tc>
        <w:tc>
          <w:tcPr>
            <w:tcW w:w="2126" w:type="dxa"/>
          </w:tcPr>
          <w:p w14:paraId="180ED03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and   Qualitative </w:t>
            </w:r>
          </w:p>
          <w:p w14:paraId="0B579C50" w14:textId="77777777" w:rsidR="00D1222E" w:rsidRPr="00B046CE" w:rsidRDefault="00D1222E" w:rsidP="00854648">
            <w:pPr>
              <w:rPr>
                <w:rFonts w:ascii="Times New Roman" w:hAnsi="Times New Roman"/>
                <w:sz w:val="20"/>
                <w:szCs w:val="20"/>
              </w:rPr>
            </w:pPr>
          </w:p>
        </w:tc>
        <w:tc>
          <w:tcPr>
            <w:tcW w:w="1418" w:type="dxa"/>
          </w:tcPr>
          <w:p w14:paraId="3B146E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01D32638" w14:textId="77777777" w:rsidTr="00854648">
        <w:tc>
          <w:tcPr>
            <w:tcW w:w="504" w:type="dxa"/>
          </w:tcPr>
          <w:p w14:paraId="75C2D85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30</w:t>
            </w:r>
          </w:p>
        </w:tc>
        <w:tc>
          <w:tcPr>
            <w:tcW w:w="4027" w:type="dxa"/>
          </w:tcPr>
          <w:p w14:paraId="4EF1EC2D" w14:textId="77777777" w:rsidR="00D1222E" w:rsidRPr="00B046CE" w:rsidRDefault="00D1222E" w:rsidP="00854648">
            <w:pPr>
              <w:jc w:val="both"/>
              <w:rPr>
                <w:rFonts w:ascii="Times New Roman" w:hAnsi="Times New Roman"/>
                <w:sz w:val="20"/>
                <w:szCs w:val="20"/>
              </w:rPr>
            </w:pPr>
            <w:bookmarkStart w:id="0" w:name="_Hlk150683527"/>
            <w:r w:rsidRPr="00B046CE">
              <w:rPr>
                <w:rFonts w:ascii="Times New Roman" w:hAnsi="Times New Roman"/>
                <w:sz w:val="20"/>
                <w:szCs w:val="20"/>
              </w:rPr>
              <w:t>Duchek, S. 2020. “Organizational resilience: a capability-based conceptualization”</w:t>
            </w:r>
            <w:bookmarkEnd w:id="0"/>
          </w:p>
        </w:tc>
        <w:tc>
          <w:tcPr>
            <w:tcW w:w="2410" w:type="dxa"/>
          </w:tcPr>
          <w:p w14:paraId="31FE564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Business Research</w:t>
            </w:r>
          </w:p>
        </w:tc>
        <w:tc>
          <w:tcPr>
            <w:tcW w:w="2126" w:type="dxa"/>
          </w:tcPr>
          <w:p w14:paraId="0541037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Study Literature</w:t>
            </w:r>
          </w:p>
        </w:tc>
        <w:tc>
          <w:tcPr>
            <w:tcW w:w="1418" w:type="dxa"/>
          </w:tcPr>
          <w:p w14:paraId="2A2FAB8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6BE87BD2" w14:textId="77777777" w:rsidTr="00854648">
        <w:tc>
          <w:tcPr>
            <w:tcW w:w="504" w:type="dxa"/>
          </w:tcPr>
          <w:p w14:paraId="1C6DE83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31</w:t>
            </w:r>
          </w:p>
        </w:tc>
        <w:tc>
          <w:tcPr>
            <w:tcW w:w="4027" w:type="dxa"/>
          </w:tcPr>
          <w:p w14:paraId="3F7276D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Yinghua Wang. 2023. “Reshaping the Resilience in Higher Education Based on Lower-Grade Undergraduate Students’ Performance in Literature Course During Covid-19”</w:t>
            </w:r>
          </w:p>
        </w:tc>
        <w:tc>
          <w:tcPr>
            <w:tcW w:w="2410" w:type="dxa"/>
          </w:tcPr>
          <w:p w14:paraId="25455C4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Springer Nature</w:t>
            </w:r>
          </w:p>
        </w:tc>
        <w:tc>
          <w:tcPr>
            <w:tcW w:w="2126" w:type="dxa"/>
          </w:tcPr>
          <w:p w14:paraId="70F1477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7350556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3E8E5B43" w14:textId="77777777" w:rsidTr="00854648">
        <w:tc>
          <w:tcPr>
            <w:tcW w:w="504" w:type="dxa"/>
          </w:tcPr>
          <w:p w14:paraId="50E324C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32</w:t>
            </w:r>
          </w:p>
        </w:tc>
        <w:tc>
          <w:tcPr>
            <w:tcW w:w="4027" w:type="dxa"/>
          </w:tcPr>
          <w:p w14:paraId="3507632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Sezen-Gültekin, Gözde., Argon., Türkan. 2020. “Examination of the Relationship between Organizational Resilience and Organizational Sustainability at Higher Education Institution”</w:t>
            </w:r>
          </w:p>
        </w:tc>
        <w:tc>
          <w:tcPr>
            <w:tcW w:w="2410" w:type="dxa"/>
          </w:tcPr>
          <w:p w14:paraId="777490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Curriculum and Instruction</w:t>
            </w:r>
          </w:p>
        </w:tc>
        <w:tc>
          <w:tcPr>
            <w:tcW w:w="2126" w:type="dxa"/>
          </w:tcPr>
          <w:p w14:paraId="4DDC93A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2219459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B5BA35D" w14:textId="77777777" w:rsidTr="00854648">
        <w:tc>
          <w:tcPr>
            <w:tcW w:w="504" w:type="dxa"/>
          </w:tcPr>
          <w:p w14:paraId="764FEAC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33</w:t>
            </w:r>
          </w:p>
        </w:tc>
        <w:tc>
          <w:tcPr>
            <w:tcW w:w="4027" w:type="dxa"/>
          </w:tcPr>
          <w:p w14:paraId="72EF0BD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Elizabeth King. 2022. “Building Resilient Education Systems to Mitigate the Adverse Effects of Covid-19 and Future Disruptions of Learning</w:t>
            </w:r>
          </w:p>
        </w:tc>
        <w:tc>
          <w:tcPr>
            <w:tcW w:w="2410" w:type="dxa"/>
          </w:tcPr>
          <w:p w14:paraId="57A71E6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Task Force Sustainable Economic Recovery</w:t>
            </w:r>
          </w:p>
        </w:tc>
        <w:tc>
          <w:tcPr>
            <w:tcW w:w="2126" w:type="dxa"/>
          </w:tcPr>
          <w:p w14:paraId="414594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Study Literature</w:t>
            </w:r>
          </w:p>
        </w:tc>
        <w:tc>
          <w:tcPr>
            <w:tcW w:w="1418" w:type="dxa"/>
          </w:tcPr>
          <w:p w14:paraId="2562D39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0E9321DE" w14:textId="77777777" w:rsidTr="00854648">
        <w:tc>
          <w:tcPr>
            <w:tcW w:w="504" w:type="dxa"/>
          </w:tcPr>
          <w:p w14:paraId="6597156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34</w:t>
            </w:r>
          </w:p>
        </w:tc>
        <w:tc>
          <w:tcPr>
            <w:tcW w:w="4027" w:type="dxa"/>
          </w:tcPr>
          <w:p w14:paraId="701C07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Rómulo Pinheiro, Mitchell Young., 2017. “The University as an Adaptive Resilient Organization: A Complex Systems Perspective”</w:t>
            </w:r>
          </w:p>
        </w:tc>
        <w:tc>
          <w:tcPr>
            <w:tcW w:w="2410" w:type="dxa"/>
          </w:tcPr>
          <w:p w14:paraId="7E6ABE3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Theory and Method in Higher Education Research</w:t>
            </w:r>
          </w:p>
        </w:tc>
        <w:tc>
          <w:tcPr>
            <w:tcW w:w="2126" w:type="dxa"/>
          </w:tcPr>
          <w:p w14:paraId="6010070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Analysis</w:t>
            </w:r>
          </w:p>
        </w:tc>
        <w:tc>
          <w:tcPr>
            <w:tcW w:w="1418" w:type="dxa"/>
          </w:tcPr>
          <w:p w14:paraId="61EAFA5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BCF4C18" w14:textId="77777777" w:rsidTr="00854648">
        <w:tc>
          <w:tcPr>
            <w:tcW w:w="504" w:type="dxa"/>
          </w:tcPr>
          <w:p w14:paraId="3D870CF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35</w:t>
            </w:r>
          </w:p>
        </w:tc>
        <w:tc>
          <w:tcPr>
            <w:tcW w:w="4027" w:type="dxa"/>
          </w:tcPr>
          <w:p w14:paraId="0108B52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Polanco-Lahoz, D. A., &amp; Cross, J. A. 2023. “Systematic Literature Review on Organizational Resilience in the Context of Higher Education Institutions”</w:t>
            </w:r>
          </w:p>
        </w:tc>
        <w:tc>
          <w:tcPr>
            <w:tcW w:w="2410" w:type="dxa"/>
          </w:tcPr>
          <w:p w14:paraId="461B2C3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ASEE Annual Conference &amp; Exposition</w:t>
            </w:r>
          </w:p>
        </w:tc>
        <w:tc>
          <w:tcPr>
            <w:tcW w:w="2126" w:type="dxa"/>
          </w:tcPr>
          <w:p w14:paraId="1B7CA5B5"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Literature Review</w:t>
            </w:r>
          </w:p>
        </w:tc>
        <w:tc>
          <w:tcPr>
            <w:tcW w:w="1418" w:type="dxa"/>
          </w:tcPr>
          <w:p w14:paraId="17EDE0A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bl>
    <w:p w14:paraId="7AA6F2C2" w14:textId="77777777" w:rsidR="00D1222E" w:rsidRPr="00B046CE" w:rsidRDefault="00D1222E" w:rsidP="00D1222E">
      <w:pPr>
        <w:pStyle w:val="IEEEParagraph"/>
        <w:ind w:firstLine="0"/>
        <w:rPr>
          <w:szCs w:val="20"/>
        </w:rPr>
      </w:pPr>
      <w:r>
        <w:rPr>
          <w:i/>
          <w:szCs w:val="20"/>
        </w:rPr>
        <w:lastRenderedPageBreak/>
        <w:t>Source</w:t>
      </w:r>
      <w:r>
        <w:rPr>
          <w:szCs w:val="20"/>
        </w:rPr>
        <w:t>:</w:t>
      </w:r>
      <w:r>
        <w:rPr>
          <w:i/>
          <w:szCs w:val="20"/>
        </w:rPr>
        <w:t xml:space="preserve"> </w:t>
      </w:r>
      <w:r>
        <w:rPr>
          <w:szCs w:val="20"/>
        </w:rPr>
        <w:t>Authors Elaborated (2025)</w:t>
      </w:r>
    </w:p>
    <w:p w14:paraId="71BBE599" w14:textId="77777777" w:rsidR="00D1222E" w:rsidRPr="00B046CE" w:rsidRDefault="00D1222E" w:rsidP="00D1222E">
      <w:pPr>
        <w:spacing w:after="0" w:line="240" w:lineRule="auto"/>
        <w:jc w:val="both"/>
        <w:rPr>
          <w:rFonts w:ascii="Times New Roman" w:hAnsi="Times New Roman"/>
          <w:sz w:val="20"/>
          <w:szCs w:val="20"/>
        </w:rPr>
      </w:pPr>
    </w:p>
    <w:p w14:paraId="506418CA" w14:textId="77777777" w:rsidR="00D1222E" w:rsidRPr="009B30C6" w:rsidRDefault="00D1222E" w:rsidP="00D1222E">
      <w:pPr>
        <w:pStyle w:val="IEEEHeading1"/>
        <w:jc w:val="both"/>
        <w:rPr>
          <w:b/>
          <w:szCs w:val="20"/>
        </w:rPr>
      </w:pPr>
      <w:r>
        <w:rPr>
          <w:b/>
          <w:szCs w:val="20"/>
        </w:rPr>
        <w:t>RESULT AND DISCUSSIONS</w:t>
      </w:r>
    </w:p>
    <w:p w14:paraId="2B17E11D" w14:textId="111973F3" w:rsidR="00D1222E" w:rsidRDefault="00D1222E" w:rsidP="00D1222E">
      <w:pPr>
        <w:pStyle w:val="IEEEParagraph"/>
        <w:ind w:firstLine="289"/>
        <w:rPr>
          <w:szCs w:val="20"/>
        </w:rPr>
      </w:pPr>
      <w:r w:rsidRPr="00B046CE">
        <w:rPr>
          <w:szCs w:val="20"/>
        </w:rPr>
        <w:t xml:space="preserve">Concerning the kind of sample data that was intended to bolster the study's background, the researcher concentrated on earlier research publications about organizational resilience in higher education institutions. By adopting the PRISMA protocol methodology, a systematic literature review analysis was carried out for this study using the keywords “organizational resilient” AND “higher education” OR “education resilient”." Secondary data from related studies served as the basis for the analysis. As per the study scope, the investigator highlights the need to use a systematic literature review analysis utilizing prior research conducted in the last five years to obtain a genuine research image of organizational resilience in higher education </w:t>
      </w:r>
      <w:r w:rsidR="00103C3F">
        <w:rPr>
          <w:szCs w:val="20"/>
          <w:lang w:val="id-ID"/>
        </w:rPr>
        <w:t>institutions</w:t>
      </w:r>
      <w:r w:rsidRPr="00B046CE">
        <w:rPr>
          <w:szCs w:val="20"/>
        </w:rPr>
        <w:t>.</w:t>
      </w:r>
    </w:p>
    <w:p w14:paraId="4E23E64F" w14:textId="77777777" w:rsidR="00D1222E" w:rsidRDefault="00D1222E" w:rsidP="00D1222E">
      <w:pPr>
        <w:pStyle w:val="IEEEParagraph"/>
        <w:ind w:firstLine="289"/>
        <w:rPr>
          <w:szCs w:val="20"/>
        </w:rPr>
      </w:pPr>
    </w:p>
    <w:p w14:paraId="52473732"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Table. 2 Synthesize </w:t>
      </w:r>
      <w:r>
        <w:rPr>
          <w:rFonts w:ascii="Times New Roman" w:hAnsi="Times New Roman"/>
          <w:sz w:val="20"/>
          <w:szCs w:val="20"/>
        </w:rPr>
        <w:t>r</w:t>
      </w:r>
      <w:r w:rsidRPr="00B046CE">
        <w:rPr>
          <w:rFonts w:ascii="Times New Roman" w:hAnsi="Times New Roman"/>
          <w:sz w:val="20"/>
          <w:szCs w:val="20"/>
        </w:rPr>
        <w:t>esult</w:t>
      </w:r>
    </w:p>
    <w:tbl>
      <w:tblPr>
        <w:tblStyle w:val="TableGrid"/>
        <w:tblW w:w="10348" w:type="dxa"/>
        <w:tblLayout w:type="fixed"/>
        <w:tblLook w:val="04A0" w:firstRow="1" w:lastRow="0" w:firstColumn="1" w:lastColumn="0" w:noHBand="0" w:noVBand="1"/>
      </w:tblPr>
      <w:tblGrid>
        <w:gridCol w:w="530"/>
        <w:gridCol w:w="3581"/>
        <w:gridCol w:w="1701"/>
        <w:gridCol w:w="4536"/>
      </w:tblGrid>
      <w:tr w:rsidR="00D1222E" w:rsidRPr="00B046CE" w14:paraId="2FE495EF" w14:textId="77777777" w:rsidTr="00854648">
        <w:tc>
          <w:tcPr>
            <w:tcW w:w="530" w:type="dxa"/>
          </w:tcPr>
          <w:p w14:paraId="111D527B"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No</w:t>
            </w:r>
          </w:p>
        </w:tc>
        <w:tc>
          <w:tcPr>
            <w:tcW w:w="3581" w:type="dxa"/>
          </w:tcPr>
          <w:p w14:paraId="2CF1FFF1"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Author</w:t>
            </w:r>
            <w:r w:rsidRPr="003171C7">
              <w:rPr>
                <w:rFonts w:ascii="Times New Roman" w:hAnsi="Times New Roman"/>
                <w:bCs/>
                <w:sz w:val="20"/>
                <w:szCs w:val="20"/>
              </w:rPr>
              <w:t>,</w:t>
            </w:r>
            <w:r w:rsidRPr="00B046CE">
              <w:rPr>
                <w:rFonts w:ascii="Times New Roman" w:hAnsi="Times New Roman"/>
                <w:b/>
                <w:bCs/>
                <w:sz w:val="20"/>
                <w:szCs w:val="20"/>
              </w:rPr>
              <w:t xml:space="preserve"> Year &amp;Title</w:t>
            </w:r>
          </w:p>
        </w:tc>
        <w:tc>
          <w:tcPr>
            <w:tcW w:w="1701" w:type="dxa"/>
          </w:tcPr>
          <w:p w14:paraId="5AF4906C"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Method</w:t>
            </w:r>
          </w:p>
        </w:tc>
        <w:tc>
          <w:tcPr>
            <w:tcW w:w="4536" w:type="dxa"/>
          </w:tcPr>
          <w:p w14:paraId="73557133"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Results</w:t>
            </w:r>
          </w:p>
        </w:tc>
      </w:tr>
      <w:tr w:rsidR="00D1222E" w:rsidRPr="00B046CE" w14:paraId="5F0DB09E" w14:textId="77777777" w:rsidTr="00854648">
        <w:tc>
          <w:tcPr>
            <w:tcW w:w="530" w:type="dxa"/>
          </w:tcPr>
          <w:p w14:paraId="6F58B49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w:t>
            </w:r>
          </w:p>
        </w:tc>
        <w:tc>
          <w:tcPr>
            <w:tcW w:w="3581" w:type="dxa"/>
          </w:tcPr>
          <w:p w14:paraId="3914B24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Nessrin Shaya., Rawan Abu Khait., Rehaf A. Madani., Rehaf A. Madani., Mohammad Nisar Khattak. 2022. “Organizational Resilience of Higher Education Institutions: An Empirical Study during Covid-19 Pandemic”</w:t>
            </w:r>
          </w:p>
        </w:tc>
        <w:tc>
          <w:tcPr>
            <w:tcW w:w="1701" w:type="dxa"/>
          </w:tcPr>
          <w:p w14:paraId="6A07912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Qualitative phenomenological research</w:t>
            </w:r>
          </w:p>
        </w:tc>
        <w:tc>
          <w:tcPr>
            <w:tcW w:w="4536" w:type="dxa"/>
          </w:tcPr>
          <w:p w14:paraId="3F59473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Organizational resilience was conceptualized as a process that comprises three successive stages (anticipation, coping, and adaptation), five key antecedents (knowledge, resources availability, social resources, power relationships, and innovative culture), and two main moderators (crisis leadership traits and employee resilience)</w:t>
            </w:r>
          </w:p>
        </w:tc>
      </w:tr>
      <w:tr w:rsidR="00D1222E" w:rsidRPr="00B046CE" w14:paraId="10E7CDD9" w14:textId="77777777" w:rsidTr="00854648">
        <w:tc>
          <w:tcPr>
            <w:tcW w:w="530" w:type="dxa"/>
          </w:tcPr>
          <w:p w14:paraId="2B3D7A9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w:t>
            </w:r>
          </w:p>
        </w:tc>
        <w:tc>
          <w:tcPr>
            <w:tcW w:w="3581" w:type="dxa"/>
          </w:tcPr>
          <w:p w14:paraId="70958B0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Sezen-Gültekin, Gözde., Argon., Türkan. 2020. “Examination of the Relationship between Organizational Resilience and Organizational Sustainability at Higher Education Institution”</w:t>
            </w:r>
          </w:p>
        </w:tc>
        <w:tc>
          <w:tcPr>
            <w:tcW w:w="1701" w:type="dxa"/>
          </w:tcPr>
          <w:p w14:paraId="3402D1D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Qualitative</w:t>
            </w:r>
          </w:p>
        </w:tc>
        <w:tc>
          <w:tcPr>
            <w:tcW w:w="4536" w:type="dxa"/>
          </w:tcPr>
          <w:p w14:paraId="6B39511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The importance of both handling organizational resilience and organizational sustainability together and handling this relationship at higher education institutions.</w:t>
            </w:r>
          </w:p>
        </w:tc>
      </w:tr>
      <w:tr w:rsidR="00D1222E" w:rsidRPr="00B046CE" w14:paraId="3D5AE5E7" w14:textId="77777777" w:rsidTr="00854648">
        <w:tc>
          <w:tcPr>
            <w:tcW w:w="530" w:type="dxa"/>
          </w:tcPr>
          <w:p w14:paraId="27D0BB3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w:t>
            </w:r>
          </w:p>
        </w:tc>
        <w:tc>
          <w:tcPr>
            <w:tcW w:w="3581" w:type="dxa"/>
          </w:tcPr>
          <w:p w14:paraId="0DAA644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Rómulo Pinheiro, Mitchell Young., 2017. “The University as an Adaptive Resilient Organization: A Complex Systems Perspective”</w:t>
            </w:r>
          </w:p>
        </w:tc>
        <w:tc>
          <w:tcPr>
            <w:tcW w:w="1701" w:type="dxa"/>
          </w:tcPr>
          <w:p w14:paraId="5CD6B07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Empirical Analysis</w:t>
            </w:r>
          </w:p>
        </w:tc>
        <w:tc>
          <w:tcPr>
            <w:tcW w:w="4536" w:type="dxa"/>
          </w:tcPr>
          <w:p w14:paraId="333CC4E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 resilient university model that considers the complexity associated with the university as an institutional form, as well as the nonlinear ways in which its multiple sub-components interact with its surrounding environment, both embraces change and the maintenance of the unique institutional proﬁle of the university.</w:t>
            </w:r>
          </w:p>
        </w:tc>
      </w:tr>
    </w:tbl>
    <w:p w14:paraId="63329ECA" w14:textId="77777777" w:rsidR="00D1222E" w:rsidRPr="00B046CE" w:rsidRDefault="00D1222E" w:rsidP="00D1222E">
      <w:pPr>
        <w:pStyle w:val="IEEEParagraph"/>
        <w:ind w:firstLine="0"/>
        <w:rPr>
          <w:szCs w:val="20"/>
        </w:rPr>
      </w:pPr>
      <w:r>
        <w:rPr>
          <w:i/>
          <w:szCs w:val="20"/>
        </w:rPr>
        <w:t>Source</w:t>
      </w:r>
      <w:r>
        <w:rPr>
          <w:szCs w:val="20"/>
        </w:rPr>
        <w:t>:</w:t>
      </w:r>
      <w:r>
        <w:rPr>
          <w:i/>
          <w:szCs w:val="20"/>
        </w:rPr>
        <w:t xml:space="preserve"> </w:t>
      </w:r>
      <w:r>
        <w:rPr>
          <w:szCs w:val="20"/>
        </w:rPr>
        <w:t>Authors Elaborated (2025)</w:t>
      </w:r>
    </w:p>
    <w:p w14:paraId="28029D5A" w14:textId="77777777" w:rsidR="00D1222E" w:rsidRDefault="00D1222E" w:rsidP="00D1222E">
      <w:pPr>
        <w:pStyle w:val="IEEEParagraph"/>
        <w:ind w:firstLine="289"/>
        <w:rPr>
          <w:szCs w:val="20"/>
        </w:rPr>
      </w:pPr>
    </w:p>
    <w:p w14:paraId="075B43BD" w14:textId="77777777" w:rsidR="00D1222E" w:rsidRDefault="00D1222E" w:rsidP="00D1222E">
      <w:pPr>
        <w:pStyle w:val="IEEEParagraph"/>
        <w:ind w:firstLine="0"/>
        <w:rPr>
          <w:szCs w:val="20"/>
        </w:rPr>
      </w:pPr>
      <w:r w:rsidRPr="00B046CE">
        <w:rPr>
          <w:szCs w:val="20"/>
        </w:rPr>
        <w:t>Table 2 summarizes the identification results obtained in the form of an overview. Overall, the primary finding of Organizational Resilience in Higher Education Institutions is that are now evolving internationally, and have comparable tendencies based on the key Organizational Resilience in</w:t>
      </w:r>
      <w:r>
        <w:rPr>
          <w:szCs w:val="20"/>
        </w:rPr>
        <w:t xml:space="preserve"> Higher Education Institutions.</w:t>
      </w:r>
    </w:p>
    <w:p w14:paraId="53426C6C" w14:textId="77777777" w:rsidR="00D1222E" w:rsidRDefault="00D1222E" w:rsidP="00D1222E">
      <w:pPr>
        <w:pStyle w:val="IEEEParagraph"/>
        <w:ind w:firstLine="289"/>
        <w:rPr>
          <w:szCs w:val="20"/>
        </w:rPr>
      </w:pPr>
      <w:r w:rsidRPr="00B046CE">
        <w:rPr>
          <w:szCs w:val="20"/>
        </w:rPr>
        <w:t xml:space="preserve">Journal articles were picked based on a search engine database because of their dynamic character, which allows for rapid publishing compared to other types of papers such as books, book chapters, and proceedings. As a result, the materials reviewed in this work are published in the form of journal articles. The researcher was able to obtain the results through the process of searching, screening, extracting, and synthesizing by paying attention to the global top three and the most recent and relevant research found in the literature, resulting in a total of three articles. The title and subjects of the essay correspond to the findings of this study on organizational resilience in higher education institutions. </w:t>
      </w:r>
    </w:p>
    <w:p w14:paraId="36463F01" w14:textId="41C08FCB" w:rsidR="00D1222E" w:rsidRDefault="00D1222E" w:rsidP="00D1222E">
      <w:pPr>
        <w:pStyle w:val="IEEEParagraph"/>
        <w:ind w:firstLine="289"/>
        <w:rPr>
          <w:szCs w:val="20"/>
        </w:rPr>
      </w:pPr>
      <w:r w:rsidRPr="00B046CE">
        <w:rPr>
          <w:szCs w:val="20"/>
        </w:rPr>
        <w:t xml:space="preserve">In the first research by Shaya </w:t>
      </w:r>
      <w:r w:rsidRPr="008A56BC">
        <w:rPr>
          <w:i/>
          <w:szCs w:val="20"/>
        </w:rPr>
        <w:t>et al</w:t>
      </w:r>
      <w:r>
        <w:rPr>
          <w:szCs w:val="20"/>
        </w:rPr>
        <w:t>.</w:t>
      </w:r>
      <w:r w:rsidRPr="00B046CE">
        <w:rPr>
          <w:szCs w:val="20"/>
        </w:rPr>
        <w:t xml:space="preserve"> </w:t>
      </w:r>
      <w:r>
        <w:rPr>
          <w:szCs w:val="20"/>
        </w:rPr>
        <w:t>(</w:t>
      </w:r>
      <w:r w:rsidRPr="00B046CE">
        <w:rPr>
          <w:szCs w:val="20"/>
        </w:rPr>
        <w:t>2022</w:t>
      </w:r>
      <w:r>
        <w:rPr>
          <w:szCs w:val="20"/>
        </w:rPr>
        <w:t>)</w:t>
      </w:r>
      <w:r w:rsidRPr="00B046CE">
        <w:rPr>
          <w:szCs w:val="20"/>
        </w:rPr>
        <w:t xml:space="preserve">. </w:t>
      </w:r>
      <w:r w:rsidR="004B0F18">
        <w:rPr>
          <w:szCs w:val="20"/>
        </w:rPr>
        <w:t>“</w:t>
      </w:r>
      <w:r w:rsidRPr="00B046CE">
        <w:rPr>
          <w:szCs w:val="20"/>
        </w:rPr>
        <w:t>This research adds to the literature on academic institutional resilience in four ways. First, by evaluating existing literature and analysing data, Shaya defines the concept of organizational resilience, proposing an operational definition as a multi-level and complicated process including consecutive stages and several antecedents. Second, the study employs an organizational resilience theory that has proven to be particularly applicable to the higher education environment</w:t>
      </w:r>
      <w:r w:rsidR="004B0F18">
        <w:rPr>
          <w:szCs w:val="20"/>
        </w:rPr>
        <w:t>”</w:t>
      </w:r>
      <w:r w:rsidRPr="00B046CE">
        <w:rPr>
          <w:szCs w:val="20"/>
        </w:rPr>
        <w:t xml:space="preserve"> (Bartuseviien </w:t>
      </w:r>
      <w:r w:rsidRPr="008A56BC">
        <w:rPr>
          <w:i/>
          <w:szCs w:val="20"/>
        </w:rPr>
        <w:t>et al</w:t>
      </w:r>
      <w:r w:rsidRPr="00B046CE">
        <w:rPr>
          <w:szCs w:val="20"/>
        </w:rPr>
        <w:t>.</w:t>
      </w:r>
      <w:r>
        <w:rPr>
          <w:szCs w:val="20"/>
        </w:rPr>
        <w:t>,</w:t>
      </w:r>
      <w:r w:rsidRPr="00B046CE">
        <w:rPr>
          <w:szCs w:val="20"/>
        </w:rPr>
        <w:t xml:space="preserve"> 2021). Then empirically investigate its applicability in the UAE environment. Third, it extends the theoretical boundaries of the adopted model by using a qualitative research design to examine the structure of institutional resilience by selecting the most resilient institutions, as opposed to other studies that test the model while focusing on short-term elements of academic continuity. Fourth, there is a scarcity of qualitative research that examines the ingredients and dynamics of organizational resilience. The current study used thematic analysis to categorize organizational resilience into themes, subthemes (i.e., the three subsequent phases), subtheme components (i.e., resilience skills at each stage), and finally antecedents to resilience. We address the associated gap with the limits of the existing literature in this </w:t>
      </w:r>
      <w:r>
        <w:rPr>
          <w:szCs w:val="20"/>
        </w:rPr>
        <w:t xml:space="preserve">way (Bartuseviien </w:t>
      </w:r>
      <w:r w:rsidRPr="008A56BC">
        <w:rPr>
          <w:i/>
          <w:szCs w:val="20"/>
        </w:rPr>
        <w:t>et al</w:t>
      </w:r>
      <w:r>
        <w:rPr>
          <w:szCs w:val="20"/>
        </w:rPr>
        <w:t>., 2021).</w:t>
      </w:r>
    </w:p>
    <w:p w14:paraId="3FEBE60D" w14:textId="77777777" w:rsidR="00D1222E" w:rsidRDefault="00D1222E" w:rsidP="00D1222E">
      <w:pPr>
        <w:pStyle w:val="IEEEParagraph"/>
        <w:ind w:firstLine="289"/>
        <w:rPr>
          <w:szCs w:val="20"/>
        </w:rPr>
      </w:pPr>
      <w:r w:rsidRPr="00B046CE">
        <w:rPr>
          <w:szCs w:val="20"/>
        </w:rPr>
        <w:t xml:space="preserve">Using organizational resilience theory, Shaya’s study pushed the bounds of the supplied theoretical model into the elements of a resilient organization throughout the COVID-19 experience, with significant practical consequences. It gave a detailed insight into the resilience of higher education institutions in the UAE, as they are shown to be in the early stages of the present crisis's adaption stage, outperforming many other universities across the world. Crisis leadership skills and employee resilience have emerged as essential features necessary in each stage, capable of supporting or weakening the link between related phases and organizational resilience as a whole of the academic institution. The inclusion of participants from institutions with a high level of organizational resilience is one of the study's strengths, enabling the identification of best practices in reacting to the current crisis scenario and beyond. Furthermore, the use of qualitative research methodologies enabled a comprehensive analysis of the phenomena. The interviews were not restricted to a set of specified and stringent question standards, allowing Duchek's (2020) model's theoretical </w:t>
      </w:r>
      <w:r w:rsidRPr="00B046CE">
        <w:rPr>
          <w:szCs w:val="20"/>
        </w:rPr>
        <w:lastRenderedPageBreak/>
        <w:t>bounds to be enlarged. However, focusing on resilient institutions to understand the behaviors and causes of their competitive advantage remains a shortcoming. Innovative culture, crisis leadership characteristics, employee resilience in the workplace, and ultimately managing resilient workers may be explored further with the prospect of establishing a quantitative evaluation tool.</w:t>
      </w:r>
    </w:p>
    <w:p w14:paraId="57E54EA6" w14:textId="77777777" w:rsidR="00D1222E" w:rsidRDefault="00D1222E" w:rsidP="00D1222E">
      <w:pPr>
        <w:pStyle w:val="IEEEParagraph"/>
        <w:ind w:firstLine="289"/>
        <w:rPr>
          <w:szCs w:val="20"/>
        </w:rPr>
      </w:pPr>
      <w:r w:rsidRPr="00B046CE">
        <w:rPr>
          <w:szCs w:val="20"/>
        </w:rPr>
        <w:t xml:space="preserve">In the second study conducted by Gültekin </w:t>
      </w:r>
      <w:r w:rsidRPr="008A56BC">
        <w:rPr>
          <w:i/>
          <w:szCs w:val="20"/>
        </w:rPr>
        <w:t>et al.</w:t>
      </w:r>
      <w:r w:rsidRPr="00B046CE">
        <w:rPr>
          <w:szCs w:val="20"/>
        </w:rPr>
        <w:t>, 2020, sustainability has no shortcuts, and it is a never-ending organizational project. Furthermore, it is uncertain at what rate organizational sustainability will develop, therefore educational institutions must constantly work to ensure their survival. It would be advantageous to act with a robust framework for this attemp</w:t>
      </w:r>
      <w:r>
        <w:rPr>
          <w:szCs w:val="20"/>
        </w:rPr>
        <w:t>t to yield successful outcomes.</w:t>
      </w:r>
    </w:p>
    <w:p w14:paraId="13070C8D" w14:textId="77777777" w:rsidR="00D1222E" w:rsidRDefault="00D1222E" w:rsidP="00D1222E">
      <w:pPr>
        <w:pStyle w:val="IEEEParagraph"/>
        <w:ind w:firstLine="289"/>
        <w:rPr>
          <w:szCs w:val="20"/>
        </w:rPr>
      </w:pPr>
      <w:r w:rsidRPr="00B046CE">
        <w:rPr>
          <w:szCs w:val="20"/>
        </w:rPr>
        <w:t>As observed in Gültekin’s conclusion, organizational structures can promote or reduce resilience; hence, their organizational sustainability may be impacted by this circumstance. Because, according to Hammond, true sustainability is about how work is extended in the future, whereas resilience is about protecting things and preventing issues. As a result, sustainability is a broader and more complete plan that incorporates the notion of resilience. Furthermore, while sustainability alludes to optimism and resilience to reality, both are required for educational institutions. As a result, the goal of this study is to explore these two ideas literally within educational organizations and to evaluate the link between organizational resilience and organizational sustainability at higher education institutions based on the literature.</w:t>
      </w:r>
    </w:p>
    <w:p w14:paraId="10793353" w14:textId="77777777" w:rsidR="00D1222E" w:rsidRDefault="00D1222E" w:rsidP="00D1222E">
      <w:pPr>
        <w:pStyle w:val="IEEEParagraph"/>
        <w:ind w:firstLine="289"/>
        <w:rPr>
          <w:szCs w:val="20"/>
        </w:rPr>
      </w:pPr>
      <w:r w:rsidRPr="00B046CE">
        <w:rPr>
          <w:szCs w:val="20"/>
        </w:rPr>
        <w:t xml:space="preserve">To develop their future, educational institutions should prioritize organizational resilience and organizational sustainability. At this juncture, because of their role as a bridge between research, society, and industry, as well as the potential stated in UNDP 2014, higher education institutions are the most sensitive organizations that can generate a sustainable dynamic. As a result, higher education institutions that seek to provide a dynamic, sustainable structure should also provide organizational resilience. Higher education institutions should act as a whole in this regard, pressing their stakeholders into service to work out the problematic situations encountered in their system or in the system in which they live; benefit from adversity in the interests of the organization; and act quickly by producing different solutions. </w:t>
      </w:r>
    </w:p>
    <w:p w14:paraId="14B2B02D" w14:textId="77777777" w:rsidR="00D1222E" w:rsidRDefault="00D1222E" w:rsidP="00D1222E">
      <w:pPr>
        <w:pStyle w:val="IEEEParagraph"/>
        <w:ind w:firstLine="289"/>
        <w:rPr>
          <w:szCs w:val="20"/>
        </w:rPr>
      </w:pPr>
      <w:r w:rsidRPr="00B046CE">
        <w:rPr>
          <w:szCs w:val="20"/>
        </w:rPr>
        <w:t>A committee can be formed in universities for this purpose. By maintaining a pulse on the university and the systems in which the institution is placed, this committee may detect potential issues not just during times of crisis but also at other times, allowing the university to act as a resilient organization in the event of a potential problem. Furthermore, this committee should promote sustainability awareness across all domains, including the environment, economics, culture, social life, and management practices. As a result, this committee can inform its stakeholders, run information sessions to raise awareness and arrange cultural and social events. This allows the committee to combine resilience and sustainability. As a result, it can deal with the threats to its survival. In this approach, universities that have developed a robust and sustainable structure will be able to continue to exist in the future.</w:t>
      </w:r>
    </w:p>
    <w:p w14:paraId="261D6A98" w14:textId="4C2A9808" w:rsidR="00D1222E" w:rsidRDefault="00D1222E" w:rsidP="00D1222E">
      <w:pPr>
        <w:pStyle w:val="IEEEParagraph"/>
        <w:ind w:firstLine="289"/>
        <w:rPr>
          <w:szCs w:val="20"/>
        </w:rPr>
      </w:pPr>
      <w:r w:rsidRPr="00B046CE">
        <w:rPr>
          <w:szCs w:val="20"/>
        </w:rPr>
        <w:t xml:space="preserve">The third study by Pinheiro </w:t>
      </w:r>
      <w:r w:rsidRPr="008A56BC">
        <w:rPr>
          <w:i/>
          <w:szCs w:val="20"/>
        </w:rPr>
        <w:t>et al.</w:t>
      </w:r>
      <w:r w:rsidRPr="00B046CE">
        <w:rPr>
          <w:szCs w:val="20"/>
        </w:rPr>
        <w:t xml:space="preserve">, </w:t>
      </w:r>
      <w:r w:rsidR="00103C3F">
        <w:rPr>
          <w:szCs w:val="20"/>
          <w:lang w:val="id-ID"/>
        </w:rPr>
        <w:t>(</w:t>
      </w:r>
      <w:r w:rsidRPr="00B046CE">
        <w:rPr>
          <w:szCs w:val="20"/>
        </w:rPr>
        <w:t>2017</w:t>
      </w:r>
      <w:r w:rsidR="00103C3F">
        <w:rPr>
          <w:szCs w:val="20"/>
          <w:lang w:val="id-ID"/>
        </w:rPr>
        <w:t>)</w:t>
      </w:r>
      <w:r w:rsidRPr="00B046CE">
        <w:rPr>
          <w:szCs w:val="20"/>
        </w:rPr>
        <w:t xml:space="preserve">. The major goal is to give a different perspective on universities and the higher education systems in which they function to better understand how such institutions and systems change and sustain themselves throughout time. It conceptually builds on complex systems theory, namely critical insights from the study of complexity. The literature on complex systems begins with the premise that systems are more than the sum of their elements, and hence opposes reductionist approaches to research. It does so by shifting away from a physics-inspired model of understanding and toward a biology-based one, in which the rules of physics are substituted by the dynamics of evolution. </w:t>
      </w:r>
    </w:p>
    <w:p w14:paraId="518EFE31" w14:textId="77777777" w:rsidR="00D1222E" w:rsidRDefault="00D1222E" w:rsidP="00D1222E">
      <w:pPr>
        <w:pStyle w:val="IEEEParagraph"/>
        <w:ind w:firstLine="289"/>
        <w:rPr>
          <w:szCs w:val="20"/>
        </w:rPr>
      </w:pPr>
      <w:r w:rsidRPr="00B046CE">
        <w:rPr>
          <w:szCs w:val="20"/>
        </w:rPr>
        <w:t xml:space="preserve">Systems, biological or otherwise, change when they adapt to new situations, adopting new traits that either promote or restrict their long-term maintenance (survival). "Evolution is a thick and tangled bush of branching, recombination, transformations, and sequential path-dependent trajectories. This literature has recently been applied to social science phenomena like as organizations and markets. Although it has been used in public policy and institutions, </w:t>
      </w:r>
      <w:r>
        <w:rPr>
          <w:szCs w:val="20"/>
        </w:rPr>
        <w:t xml:space="preserve">the </w:t>
      </w:r>
      <w:r w:rsidRPr="00B046CE">
        <w:rPr>
          <w:szCs w:val="20"/>
        </w:rPr>
        <w:t xml:space="preserve">governance systems, nothing has been done with it in higher education. </w:t>
      </w:r>
    </w:p>
    <w:p w14:paraId="75BA87BF" w14:textId="77777777" w:rsidR="00D1222E" w:rsidRDefault="00D1222E" w:rsidP="00D1222E">
      <w:pPr>
        <w:pStyle w:val="IEEEParagraph"/>
        <w:ind w:firstLine="289"/>
        <w:rPr>
          <w:szCs w:val="20"/>
        </w:rPr>
      </w:pPr>
      <w:r w:rsidRPr="00B046CE">
        <w:rPr>
          <w:szCs w:val="20"/>
        </w:rPr>
        <w:t>Complex systems are nonlinear and dynamic, with numerous sub-entities and various links or interconnections between them, and so accurately define the institution and its surroundings. It draws a connection between the university and biological phenomena such as coral reefs since both are multi-level systems, that is, both are actors and serve as venues for other actors. This, in turn, has resulted in improved short-term efficiency benefits, among other things, through the exploitation of existing internal assets and competencies, in the form of resource concentrations and the elimination of redundancies. This strategic position contrasts sharply with the inner workings of complex, developing, and self-organizing systems, which require flexibility (loose coupling), slack, and (required) variety to encourage long-term adaptation and therefore the ability to withstand disturbances.</w:t>
      </w:r>
    </w:p>
    <w:p w14:paraId="0FF6A473" w14:textId="77777777" w:rsidR="00D1222E" w:rsidRDefault="00D1222E" w:rsidP="00D1222E">
      <w:pPr>
        <w:pStyle w:val="IEEEParagraph"/>
        <w:ind w:firstLine="289"/>
        <w:rPr>
          <w:szCs w:val="20"/>
        </w:rPr>
      </w:pPr>
    </w:p>
    <w:p w14:paraId="040F7F36" w14:textId="77777777" w:rsidR="00D1222E" w:rsidRPr="009B30C6" w:rsidRDefault="00D1222E" w:rsidP="00D1222E">
      <w:pPr>
        <w:pStyle w:val="IEEEParagraph"/>
        <w:ind w:firstLine="0"/>
        <w:rPr>
          <w:szCs w:val="20"/>
          <w:lang w:val="en-US"/>
        </w:rPr>
      </w:pPr>
      <w:r w:rsidRPr="009B30C6">
        <w:rPr>
          <w:b/>
          <w:szCs w:val="20"/>
          <w:lang w:val="en-US"/>
        </w:rPr>
        <w:t>CONCLUSIONS</w:t>
      </w:r>
      <w:r w:rsidRPr="009B30C6">
        <w:rPr>
          <w:szCs w:val="20"/>
          <w:lang w:val="en-US"/>
        </w:rPr>
        <w:t xml:space="preserve"> </w:t>
      </w:r>
    </w:p>
    <w:p w14:paraId="618FED44" w14:textId="7F83B718" w:rsidR="00D1222E" w:rsidRDefault="00D1222E" w:rsidP="00D1222E">
      <w:pPr>
        <w:pStyle w:val="IEEEParagraph"/>
        <w:ind w:firstLine="0"/>
        <w:rPr>
          <w:szCs w:val="20"/>
        </w:rPr>
      </w:pPr>
      <w:r>
        <w:rPr>
          <w:szCs w:val="20"/>
          <w:lang w:val="en-US"/>
        </w:rPr>
        <w:t xml:space="preserve">     </w:t>
      </w:r>
      <w:r w:rsidRPr="009B30C6">
        <w:rPr>
          <w:szCs w:val="20"/>
          <w:lang w:val="en-US"/>
        </w:rPr>
        <w:t xml:space="preserve"> </w:t>
      </w:r>
      <w:r w:rsidR="00103C3F" w:rsidRPr="00103C3F">
        <w:rPr>
          <w:szCs w:val="20"/>
        </w:rPr>
        <w:t xml:space="preserve">A systematic literature review was undertaken to identify organizational resilience variables in educational institutions using a structured data gathering and data elimination method. The results of the identification of articles and collected internal organizational characteristics that play a role in organizational resilience in higher education institutions are used to discuss the findings. Higher education institutions and systems should change and sustain themselves over time. The systems are more than the sum of their elements. It does so by shifting away from a physics-inspired model of understanding and toward a biology-based one, in which the rules of physics are substituted by the dynamics of evolution. Systems, biological or otherwise, change when they adapt to new situations, adopting new traits that either promote or restrict their long-term survival. A committee can be formed in higher education institutions for organizational purposes. By maintaining a pulse on the higher education institutions and the systems in which the institution is placed, the committee may detect potential issues not just during times of crisis but also at other times, allowing the higher education institutions to act as a resilient organization in the event of a potential problem. Furthermore, the committee should raise awareness of sustainability in various sectors, such as the environment, economy, culture, social life, and management practices. As a consequence, this committee will be able to inform its stakeholders, offer information sessions to promote awareness, and organize cultural and social activities. As a result, the committee may combine resilience and sustainability, which is capable of dealing with threats to its survival. The higher education institutions that have created a stable and sustainable structure will be able to survive in the future under this method. Innovative culture, crisis leadership attributes, employee resilience </w:t>
      </w:r>
      <w:r w:rsidR="00103C3F" w:rsidRPr="00103C3F">
        <w:rPr>
          <w:szCs w:val="20"/>
        </w:rPr>
        <w:lastRenderedPageBreak/>
        <w:t>in the workplace, and subsequently leading resilient employees, might also be further explored with the possibility of developing a quantitative evaluation instrument.</w:t>
      </w:r>
    </w:p>
    <w:p w14:paraId="009E8C58" w14:textId="5D7AC85C" w:rsidR="006E4318" w:rsidRDefault="006E4318" w:rsidP="00D1222E">
      <w:pPr>
        <w:pStyle w:val="IEEEParagraph"/>
        <w:ind w:firstLine="0"/>
        <w:rPr>
          <w:szCs w:val="20"/>
        </w:rPr>
      </w:pPr>
    </w:p>
    <w:p w14:paraId="4A655AB2" w14:textId="2D554BD6" w:rsidR="006E4318" w:rsidRDefault="006E4318" w:rsidP="00D1222E">
      <w:pPr>
        <w:pStyle w:val="IEEEParagraph"/>
        <w:ind w:firstLine="0"/>
        <w:rPr>
          <w:szCs w:val="20"/>
        </w:rPr>
      </w:pPr>
    </w:p>
    <w:p w14:paraId="28AADEF4" w14:textId="77777777" w:rsidR="006E4318" w:rsidRPr="00394842" w:rsidRDefault="006E4318" w:rsidP="006E4318">
      <w:pPr>
        <w:rPr>
          <w:highlight w:val="yellow"/>
        </w:rPr>
      </w:pPr>
      <w:r w:rsidRPr="00394842">
        <w:rPr>
          <w:highlight w:val="yellow"/>
        </w:rPr>
        <w:t>Disclaimer (Artificial intelligence)</w:t>
      </w:r>
    </w:p>
    <w:p w14:paraId="3E37F26F" w14:textId="77777777" w:rsidR="006E4318" w:rsidRPr="00394842" w:rsidRDefault="006E4318" w:rsidP="006E4318">
      <w:pPr>
        <w:rPr>
          <w:highlight w:val="yellow"/>
        </w:rPr>
      </w:pPr>
    </w:p>
    <w:p w14:paraId="035C6438" w14:textId="77777777" w:rsidR="006E4318" w:rsidRPr="00394842" w:rsidRDefault="006E4318" w:rsidP="006E4318">
      <w:pPr>
        <w:rPr>
          <w:highlight w:val="yellow"/>
        </w:rPr>
      </w:pPr>
      <w:r w:rsidRPr="00394842">
        <w:rPr>
          <w:highlight w:val="yellow"/>
        </w:rPr>
        <w:t xml:space="preserve">Option 1: </w:t>
      </w:r>
    </w:p>
    <w:p w14:paraId="0A7D6E4C" w14:textId="77777777" w:rsidR="006E4318" w:rsidRPr="00394842" w:rsidRDefault="006E4318" w:rsidP="006E4318">
      <w:pPr>
        <w:rPr>
          <w:highlight w:val="yellow"/>
        </w:rPr>
      </w:pPr>
    </w:p>
    <w:p w14:paraId="08FD04B2" w14:textId="77777777" w:rsidR="006E4318" w:rsidRPr="00394842" w:rsidRDefault="006E4318" w:rsidP="006E431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6DA9E525" w14:textId="77777777" w:rsidR="006E4318" w:rsidRPr="00394842" w:rsidRDefault="006E4318" w:rsidP="006E4318">
      <w:pPr>
        <w:rPr>
          <w:highlight w:val="yellow"/>
        </w:rPr>
      </w:pPr>
    </w:p>
    <w:p w14:paraId="3C4B1D2B" w14:textId="77777777" w:rsidR="006E4318" w:rsidRPr="008A56BC" w:rsidRDefault="006E4318" w:rsidP="00D1222E">
      <w:pPr>
        <w:pStyle w:val="IEEEParagraph"/>
        <w:ind w:firstLine="0"/>
        <w:rPr>
          <w:szCs w:val="20"/>
          <w:lang w:val="en-US"/>
        </w:rPr>
      </w:pPr>
    </w:p>
    <w:p w14:paraId="698E41D0" w14:textId="77777777" w:rsidR="00D1222E" w:rsidRPr="009B30C6" w:rsidRDefault="00D1222E" w:rsidP="00D1222E">
      <w:pPr>
        <w:pStyle w:val="Heading1"/>
        <w:numPr>
          <w:ilvl w:val="0"/>
          <w:numId w:val="0"/>
        </w:numPr>
        <w:jc w:val="left"/>
        <w:rPr>
          <w:b/>
        </w:rPr>
      </w:pPr>
      <w:r w:rsidRPr="009B30C6">
        <w:rPr>
          <w:b/>
        </w:rPr>
        <w:t>REFERENCES</w:t>
      </w:r>
    </w:p>
    <w:p w14:paraId="117FA8EC" w14:textId="77777777" w:rsidR="00D1222E" w:rsidRPr="005C057A" w:rsidRDefault="00D1222E" w:rsidP="00D1222E">
      <w:pPr>
        <w:pStyle w:val="References"/>
        <w:numPr>
          <w:ilvl w:val="0"/>
          <w:numId w:val="5"/>
        </w:numPr>
        <w:ind w:left="720"/>
        <w:jc w:val="both"/>
        <w:rPr>
          <w:sz w:val="20"/>
        </w:rPr>
      </w:pPr>
      <w:r w:rsidRPr="005C057A">
        <w:rPr>
          <w:sz w:val="20"/>
        </w:rPr>
        <w:t>Abdullah, M., Husin, N. A. and Haider, A. (2020) ‘Development of post-pandemic COVID19 higher education resilience framework in Malaysia’, Archives of Business Review 8(5). doi:</w:t>
      </w:r>
      <w:hyperlink r:id="rId15" w:history="1">
        <w:r w:rsidRPr="005C057A">
          <w:rPr>
            <w:rStyle w:val="Hyperlink"/>
            <w:rFonts w:eastAsia="PMingLiU"/>
            <w:sz w:val="20"/>
            <w:u w:val="none"/>
            <w:shd w:val="clear" w:color="auto" w:fill="FFFFFF"/>
          </w:rPr>
          <w:t>10.14738/abr.85.8321</w:t>
        </w:r>
      </w:hyperlink>
    </w:p>
    <w:p w14:paraId="69802FD6" w14:textId="77777777" w:rsidR="00D1222E" w:rsidRPr="005C057A" w:rsidRDefault="00D1222E" w:rsidP="00D1222E">
      <w:pPr>
        <w:pStyle w:val="References"/>
        <w:numPr>
          <w:ilvl w:val="0"/>
          <w:numId w:val="5"/>
        </w:numPr>
        <w:ind w:left="720"/>
        <w:jc w:val="both"/>
        <w:rPr>
          <w:sz w:val="20"/>
        </w:rPr>
      </w:pPr>
      <w:r w:rsidRPr="00B046CE">
        <w:rPr>
          <w:sz w:val="20"/>
        </w:rPr>
        <w:t>Al Ameri, Khadija Ali Mohammed Abdulrahman. (2023). "Antecedents of Organizational Resilience after COVID-19: The Case of UAE" Sustainability 15, no. 7: 5841. 1-12. doi</w:t>
      </w:r>
      <w:r>
        <w:rPr>
          <w:sz w:val="20"/>
        </w:rPr>
        <w:t>:</w:t>
      </w:r>
      <w:r w:rsidRPr="005C057A">
        <w:rPr>
          <w:color w:val="0000FF"/>
          <w:sz w:val="20"/>
        </w:rPr>
        <w:t>10.3390/su15075841</w:t>
      </w:r>
    </w:p>
    <w:p w14:paraId="75B8173B" w14:textId="77777777" w:rsidR="00D1222E" w:rsidRPr="005C057A" w:rsidRDefault="00D1222E" w:rsidP="00D1222E">
      <w:pPr>
        <w:pStyle w:val="References"/>
        <w:numPr>
          <w:ilvl w:val="0"/>
          <w:numId w:val="5"/>
        </w:numPr>
        <w:ind w:left="720"/>
        <w:jc w:val="both"/>
        <w:rPr>
          <w:sz w:val="20"/>
        </w:rPr>
      </w:pPr>
      <w:r w:rsidRPr="00B046CE">
        <w:rPr>
          <w:sz w:val="20"/>
        </w:rPr>
        <w:t xml:space="preserve">Bartusevičienė, I., Pazaver, A. &amp; Kitada, M. (2021). “Building a resilient university: ensuring academic continuity—transition from face-to-face to online in the COVID-19 pandemic”. WMU J Marit Affairs 20, 151–172. </w:t>
      </w:r>
      <w:r>
        <w:rPr>
          <w:sz w:val="20"/>
        </w:rPr>
        <w:t>doi:</w:t>
      </w:r>
      <w:r w:rsidRPr="005C057A">
        <w:rPr>
          <w:color w:val="0000FF"/>
          <w:sz w:val="20"/>
        </w:rPr>
        <w:t>10.1007/s13437-021-00239</w:t>
      </w:r>
    </w:p>
    <w:p w14:paraId="32602141" w14:textId="77777777" w:rsidR="00D1222E" w:rsidRPr="005C057A" w:rsidRDefault="00D1222E" w:rsidP="00D1222E">
      <w:pPr>
        <w:pStyle w:val="References"/>
        <w:numPr>
          <w:ilvl w:val="0"/>
          <w:numId w:val="5"/>
        </w:numPr>
        <w:ind w:left="720"/>
        <w:jc w:val="both"/>
        <w:rPr>
          <w:sz w:val="20"/>
        </w:rPr>
      </w:pPr>
      <w:r w:rsidRPr="005C057A">
        <w:rPr>
          <w:sz w:val="20"/>
        </w:rPr>
        <w:t xml:space="preserve">Bechir Mokline, Mohamed Anis Ben Abdallah. (2021). “Organizational resilience as a response to a crisis: case of COVID-19 crisis”. Continuity &amp; Resilience Review. 1-29. </w:t>
      </w:r>
      <w:r>
        <w:rPr>
          <w:sz w:val="20"/>
        </w:rPr>
        <w:t>doi:</w:t>
      </w:r>
      <w:r w:rsidRPr="005C057A">
        <w:rPr>
          <w:color w:val="0000FF"/>
          <w:sz w:val="20"/>
        </w:rPr>
        <w:t xml:space="preserve">10.1108/CRR-03-2021-0008 </w:t>
      </w:r>
    </w:p>
    <w:p w14:paraId="2CE886F7" w14:textId="77777777" w:rsidR="00D1222E" w:rsidRPr="005C057A" w:rsidRDefault="00D1222E" w:rsidP="00D1222E">
      <w:pPr>
        <w:pStyle w:val="References"/>
        <w:numPr>
          <w:ilvl w:val="0"/>
          <w:numId w:val="5"/>
        </w:numPr>
        <w:ind w:left="720"/>
        <w:jc w:val="both"/>
        <w:rPr>
          <w:sz w:val="20"/>
        </w:rPr>
      </w:pPr>
      <w:r w:rsidRPr="00B046CE">
        <w:rPr>
          <w:sz w:val="20"/>
        </w:rPr>
        <w:t xml:space="preserve">Bento, Fabio, Andréa Giglio Bottino, Felipe Cerchiareto Pereira, Janimayri Forastieri de Almeida, and Fabiana Gomes </w:t>
      </w:r>
      <w:r w:rsidRPr="005C057A">
        <w:rPr>
          <w:sz w:val="20"/>
        </w:rPr>
        <w:t>Rodrigues. (2021). "Resilience in Higher Education: A Complex Perspective to Lecturers’ Adaptive Processes in Response to the COVID-19 Pandemic". Education Sciences 11, no. 9: 492. doi:</w:t>
      </w:r>
      <w:r w:rsidRPr="005C057A">
        <w:rPr>
          <w:color w:val="0000FF"/>
          <w:sz w:val="20"/>
        </w:rPr>
        <w:t>10.3390/educsci11090492</w:t>
      </w:r>
    </w:p>
    <w:p w14:paraId="6F8E8F17" w14:textId="77777777" w:rsidR="00D1222E" w:rsidRPr="005C057A" w:rsidRDefault="00D1222E" w:rsidP="00D1222E">
      <w:pPr>
        <w:pStyle w:val="References"/>
        <w:numPr>
          <w:ilvl w:val="0"/>
          <w:numId w:val="5"/>
        </w:numPr>
        <w:ind w:left="720"/>
        <w:jc w:val="both"/>
        <w:rPr>
          <w:sz w:val="20"/>
        </w:rPr>
      </w:pPr>
      <w:r w:rsidRPr="005C057A">
        <w:rPr>
          <w:sz w:val="20"/>
        </w:rPr>
        <w:t>Burnard, K., Bhamra, R. and Tsinopoulos, C. (2018) Building organizational resilience: four Confgurations. IEEE Transactions on Engineering Management 65(3): 351–362 doi:</w:t>
      </w:r>
      <w:hyperlink r:id="rId16" w:tgtFrame="_blank" w:history="1">
        <w:r w:rsidRPr="005C057A">
          <w:rPr>
            <w:rStyle w:val="Hyperlink"/>
            <w:rFonts w:eastAsia="PMingLiU"/>
            <w:sz w:val="20"/>
            <w:u w:val="none"/>
            <w:bdr w:val="none" w:sz="0" w:space="0" w:color="auto" w:frame="1"/>
            <w:shd w:val="clear" w:color="auto" w:fill="FFFFFF"/>
          </w:rPr>
          <w:t>10.1109/TEM.2018.2796181</w:t>
        </w:r>
      </w:hyperlink>
    </w:p>
    <w:p w14:paraId="4B144BA2" w14:textId="77777777" w:rsidR="00D1222E" w:rsidRPr="005C057A" w:rsidRDefault="00D1222E" w:rsidP="00D1222E">
      <w:pPr>
        <w:pStyle w:val="References"/>
        <w:numPr>
          <w:ilvl w:val="0"/>
          <w:numId w:val="5"/>
        </w:numPr>
        <w:ind w:left="720"/>
        <w:jc w:val="both"/>
        <w:rPr>
          <w:sz w:val="20"/>
        </w:rPr>
      </w:pPr>
      <w:r w:rsidRPr="005C057A">
        <w:rPr>
          <w:sz w:val="20"/>
        </w:rPr>
        <w:t>Chen, R., Xie, Y. and Liu, Y. (2021) Defning, Conceptualizing, and Measuring Organizational Resilience: A Multiple Case Study. Sustainability 13(5): 2517. doi:</w:t>
      </w:r>
      <w:r w:rsidRPr="005C057A">
        <w:rPr>
          <w:color w:val="0000FF"/>
          <w:sz w:val="20"/>
        </w:rPr>
        <w:t>10.3390/su13052517</w:t>
      </w:r>
    </w:p>
    <w:p w14:paraId="64A65D71" w14:textId="77777777" w:rsidR="00D1222E" w:rsidRPr="005C057A" w:rsidRDefault="00D1222E" w:rsidP="00D1222E">
      <w:pPr>
        <w:pStyle w:val="References"/>
        <w:numPr>
          <w:ilvl w:val="0"/>
          <w:numId w:val="5"/>
        </w:numPr>
        <w:ind w:left="720"/>
        <w:jc w:val="both"/>
        <w:rPr>
          <w:sz w:val="20"/>
        </w:rPr>
      </w:pPr>
      <w:r w:rsidRPr="005C057A">
        <w:rPr>
          <w:sz w:val="20"/>
        </w:rPr>
        <w:t>Duchek, S. (2020) Organizational resilience: a capability-based conceptualization. Business Research 13(1): 215–246. doi:</w:t>
      </w:r>
      <w:r w:rsidRPr="005C057A">
        <w:rPr>
          <w:color w:val="0000FF"/>
          <w:sz w:val="20"/>
          <w:shd w:val="clear" w:color="auto" w:fill="FFFFFF"/>
        </w:rPr>
        <w:t>10.1007/s40685-019-0085-7</w:t>
      </w:r>
    </w:p>
    <w:p w14:paraId="5D5B9EDA" w14:textId="77777777" w:rsidR="00D1222E" w:rsidRPr="005C057A" w:rsidRDefault="00D1222E" w:rsidP="00D1222E">
      <w:pPr>
        <w:pStyle w:val="References"/>
        <w:numPr>
          <w:ilvl w:val="0"/>
          <w:numId w:val="5"/>
        </w:numPr>
        <w:ind w:left="720"/>
        <w:jc w:val="both"/>
        <w:rPr>
          <w:sz w:val="20"/>
        </w:rPr>
      </w:pPr>
      <w:r w:rsidRPr="005C057A">
        <w:rPr>
          <w:sz w:val="20"/>
        </w:rPr>
        <w:t>Duchek, S., Raetze, S. and Scheuch, I. (2020) The role of diversity in organizational resilience: a theoretical framework. Business Research 13(2): 387–423</w:t>
      </w:r>
      <w:r>
        <w:rPr>
          <w:sz w:val="20"/>
        </w:rPr>
        <w:t xml:space="preserve"> doi:</w:t>
      </w:r>
      <w:r w:rsidRPr="005C057A">
        <w:rPr>
          <w:color w:val="0000FF"/>
          <w:sz w:val="20"/>
        </w:rPr>
        <w:t>10.1007/s40685-019-0084-8</w:t>
      </w:r>
    </w:p>
    <w:p w14:paraId="1EE9F321" w14:textId="77777777" w:rsidR="00D1222E" w:rsidRDefault="00D1222E" w:rsidP="00D1222E">
      <w:pPr>
        <w:pStyle w:val="References"/>
        <w:numPr>
          <w:ilvl w:val="0"/>
          <w:numId w:val="5"/>
        </w:numPr>
        <w:ind w:left="720"/>
        <w:jc w:val="both"/>
        <w:rPr>
          <w:sz w:val="20"/>
        </w:rPr>
      </w:pPr>
      <w:r w:rsidRPr="005C057A">
        <w:rPr>
          <w:sz w:val="20"/>
        </w:rPr>
        <w:t>Elizabeth King. (2022). “Building Resilient Education Systems to Mitigate the Adverse Effects of Covid-19 and Future Disruptions of Learning”. T7 Task Force Sustainable Economic Recovery. 1-14.</w:t>
      </w:r>
    </w:p>
    <w:p w14:paraId="1020FBFA" w14:textId="77777777" w:rsidR="00D1222E" w:rsidRDefault="00D1222E" w:rsidP="00D1222E">
      <w:pPr>
        <w:pStyle w:val="References"/>
        <w:numPr>
          <w:ilvl w:val="0"/>
          <w:numId w:val="5"/>
        </w:numPr>
        <w:ind w:left="720"/>
        <w:jc w:val="both"/>
        <w:rPr>
          <w:sz w:val="20"/>
        </w:rPr>
      </w:pPr>
      <w:r w:rsidRPr="005C057A">
        <w:rPr>
          <w:sz w:val="20"/>
        </w:rPr>
        <w:t>Fatima Boutaleb, Meriem Filali. (2021). “Exploratory study on the impact of Covid-19 outbreak on organizational resilience: Case of Moroccan owner-managers”. Revue des Etudes et Recherches en Logistique et Développement (RERLED). 1-15.</w:t>
      </w:r>
    </w:p>
    <w:p w14:paraId="5C6F6821" w14:textId="77777777" w:rsidR="00D1222E" w:rsidRPr="007C2BBB" w:rsidRDefault="00D1222E" w:rsidP="00D1222E">
      <w:pPr>
        <w:pStyle w:val="References"/>
        <w:numPr>
          <w:ilvl w:val="0"/>
          <w:numId w:val="5"/>
        </w:numPr>
        <w:ind w:left="720"/>
        <w:jc w:val="both"/>
        <w:rPr>
          <w:sz w:val="20"/>
        </w:rPr>
      </w:pPr>
      <w:r w:rsidRPr="005C057A">
        <w:rPr>
          <w:sz w:val="20"/>
        </w:rPr>
        <w:t xml:space="preserve">Folashade </w:t>
      </w:r>
      <w:r w:rsidRPr="007C2BBB">
        <w:rPr>
          <w:sz w:val="20"/>
        </w:rPr>
        <w:t>Afolabi, Oluwafemi Abayomi Olajuyigbe. “Building Resilience in Education for Academic Continuity During Disruption”. International Journal of Pedagogy and Teacher Education. Vol 7, No 1. 1-9. doi:</w:t>
      </w:r>
      <w:r w:rsidRPr="007C2BBB">
        <w:rPr>
          <w:color w:val="0000FF"/>
          <w:sz w:val="20"/>
        </w:rPr>
        <w:t xml:space="preserve">10.20961/ijpte.v7i1.62396 </w:t>
      </w:r>
    </w:p>
    <w:p w14:paraId="38FAB0AD" w14:textId="77777777" w:rsidR="00D1222E" w:rsidRPr="007C2BBB" w:rsidRDefault="00D1222E" w:rsidP="00D1222E">
      <w:pPr>
        <w:pStyle w:val="References"/>
        <w:numPr>
          <w:ilvl w:val="0"/>
          <w:numId w:val="5"/>
        </w:numPr>
        <w:ind w:left="720"/>
        <w:jc w:val="both"/>
        <w:rPr>
          <w:sz w:val="20"/>
        </w:rPr>
      </w:pPr>
      <w:r w:rsidRPr="007C2BBB">
        <w:rPr>
          <w:sz w:val="20"/>
        </w:rPr>
        <w:t>Folashade Afolabi, Olufemi Olajuyigbe. (2022). “Resilience in Teaching and Learning for Academic Continuity During Disruption for Sustainable Development”. Commonwealth of Learning. (COL), 1-12. doi:</w:t>
      </w:r>
      <w:r w:rsidRPr="007C2BBB">
        <w:rPr>
          <w:color w:val="0000FF"/>
          <w:sz w:val="20"/>
        </w:rPr>
        <w:t>10.56059/pcf10.9008</w:t>
      </w:r>
      <w:r w:rsidRPr="007C2BBB">
        <w:rPr>
          <w:sz w:val="20"/>
        </w:rPr>
        <w:t xml:space="preserve"> </w:t>
      </w:r>
    </w:p>
    <w:p w14:paraId="0458ABE7" w14:textId="77777777" w:rsidR="00D1222E" w:rsidRPr="007C2BBB" w:rsidRDefault="00D1222E" w:rsidP="00D1222E">
      <w:pPr>
        <w:pStyle w:val="References"/>
        <w:numPr>
          <w:ilvl w:val="0"/>
          <w:numId w:val="5"/>
        </w:numPr>
        <w:ind w:left="720"/>
        <w:jc w:val="both"/>
        <w:rPr>
          <w:sz w:val="20"/>
        </w:rPr>
      </w:pPr>
      <w:r w:rsidRPr="007C2BBB">
        <w:rPr>
          <w:sz w:val="20"/>
        </w:rPr>
        <w:t>Gröschke D, Hofmann E, Müller ND, Wolf J. (2022). “Individual and organizational resilience-Insights from healthcare providers in Germany during the COVID-19 pandemic”. Front Psychol. 1-17. doi:</w:t>
      </w:r>
      <w:r w:rsidRPr="007C2BBB">
        <w:rPr>
          <w:color w:val="0000FF"/>
          <w:sz w:val="20"/>
        </w:rPr>
        <w:t xml:space="preserve">10.3389/fpsyg.2022.965380 </w:t>
      </w:r>
    </w:p>
    <w:p w14:paraId="58C7623B" w14:textId="77777777" w:rsidR="00D1222E" w:rsidRPr="007C2BBB" w:rsidRDefault="00D1222E" w:rsidP="00D1222E">
      <w:pPr>
        <w:pStyle w:val="References"/>
        <w:numPr>
          <w:ilvl w:val="0"/>
          <w:numId w:val="5"/>
        </w:numPr>
        <w:spacing w:after="0"/>
        <w:ind w:left="720"/>
        <w:jc w:val="both"/>
        <w:rPr>
          <w:sz w:val="20"/>
        </w:rPr>
      </w:pPr>
      <w:r w:rsidRPr="007C2BBB">
        <w:rPr>
          <w:sz w:val="20"/>
        </w:rPr>
        <w:t>Hapsari, A. D., Rahmawati, H., Puspitasari, D. N., &amp; Suhanti, I. Y. (2021). Academic Resilience of “Bidik Misi” Grantee Students in Malang During Pandemic Covid-19. KnE Social Sciences, 4(15), 393–398. doi:</w:t>
      </w:r>
      <w:r w:rsidRPr="007C2BBB">
        <w:rPr>
          <w:color w:val="0000FF"/>
          <w:sz w:val="20"/>
        </w:rPr>
        <w:t>10.18502/kss.v4i15.8228\</w:t>
      </w:r>
    </w:p>
    <w:p w14:paraId="74105CCE" w14:textId="77777777" w:rsidR="00D1222E" w:rsidRPr="007C2BBB" w:rsidRDefault="00D1222E" w:rsidP="00D1222E">
      <w:pPr>
        <w:pStyle w:val="References"/>
        <w:numPr>
          <w:ilvl w:val="0"/>
          <w:numId w:val="5"/>
        </w:numPr>
        <w:spacing w:after="0"/>
        <w:ind w:left="720"/>
        <w:jc w:val="both"/>
        <w:rPr>
          <w:sz w:val="20"/>
        </w:rPr>
      </w:pPr>
      <w:r w:rsidRPr="007C2BBB">
        <w:rPr>
          <w:sz w:val="20"/>
        </w:rPr>
        <w:t>Hillmann, J. and Guenther, E. (2021) Organizational resilience: a valuable construct for management research? International Journal of Management Reviews 23(1): 7–44. doi:</w:t>
      </w:r>
      <w:hyperlink r:id="rId17" w:history="1">
        <w:r w:rsidRPr="007C2BBB">
          <w:rPr>
            <w:rStyle w:val="Hyperlink"/>
            <w:rFonts w:eastAsia="PMingLiU"/>
            <w:bCs/>
            <w:sz w:val="20"/>
            <w:u w:val="none"/>
            <w:shd w:val="clear" w:color="auto" w:fill="FFFFFF"/>
          </w:rPr>
          <w:t>10.1111/ijmr.12239</w:t>
        </w:r>
      </w:hyperlink>
    </w:p>
    <w:p w14:paraId="32C52FD7"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Ignatowicz, A., Tarrant, C., Mannion, R. </w:t>
      </w:r>
      <w:r w:rsidRPr="007C2BBB">
        <w:rPr>
          <w:i/>
          <w:sz w:val="20"/>
        </w:rPr>
        <w:t>et al</w:t>
      </w:r>
      <w:r w:rsidRPr="007C2BBB">
        <w:rPr>
          <w:sz w:val="20"/>
        </w:rPr>
        <w:t>. (2023). “Organizational resilience in healthcare: a review and descriptive narrative synthesis of approaches to resilience measurement and assessment in empirical studies”. BMC Health Serv Res 23, 376. 1-18. doi</w:t>
      </w:r>
      <w:r>
        <w:rPr>
          <w:sz w:val="20"/>
        </w:rPr>
        <w:t>:</w:t>
      </w:r>
      <w:r w:rsidRPr="007C2BBB">
        <w:rPr>
          <w:color w:val="0000FF"/>
          <w:sz w:val="20"/>
        </w:rPr>
        <w:t xml:space="preserve">10.1186/s12913-023-09242-9 </w:t>
      </w:r>
    </w:p>
    <w:p w14:paraId="51C91F40" w14:textId="77777777" w:rsidR="00D1222E" w:rsidRPr="007C2BBB" w:rsidRDefault="00D1222E" w:rsidP="00D1222E">
      <w:pPr>
        <w:pStyle w:val="References"/>
        <w:numPr>
          <w:ilvl w:val="0"/>
          <w:numId w:val="5"/>
        </w:numPr>
        <w:spacing w:after="0"/>
        <w:ind w:left="720"/>
        <w:jc w:val="both"/>
        <w:rPr>
          <w:sz w:val="20"/>
        </w:rPr>
      </w:pPr>
      <w:r w:rsidRPr="007C2BBB">
        <w:rPr>
          <w:sz w:val="20"/>
        </w:rPr>
        <w:lastRenderedPageBreak/>
        <w:t>Iwan Donal Paska Manurung, Eko Widodo. (2022). “Building Resilient Micro-Small Enterprises: A Case Study of MSEs in The Midst of The Covid-19 Pandemic”. Business Administration Journal. Vol. 11. No. 2. 83-94. doi:</w:t>
      </w:r>
      <w:r w:rsidRPr="007C2BBB">
        <w:rPr>
          <w:color w:val="0000FF"/>
          <w:sz w:val="20"/>
        </w:rPr>
        <w:t>10.14710/jab.v11i2.42711</w:t>
      </w:r>
    </w:p>
    <w:p w14:paraId="2BC0B36B" w14:textId="77777777" w:rsidR="00D1222E" w:rsidRDefault="00D1222E" w:rsidP="00D1222E">
      <w:pPr>
        <w:pStyle w:val="References"/>
        <w:numPr>
          <w:ilvl w:val="0"/>
          <w:numId w:val="5"/>
        </w:numPr>
        <w:spacing w:after="0"/>
        <w:ind w:left="720"/>
        <w:jc w:val="both"/>
        <w:rPr>
          <w:sz w:val="20"/>
        </w:rPr>
      </w:pPr>
      <w:r w:rsidRPr="007C2BBB">
        <w:rPr>
          <w:sz w:val="20"/>
        </w:rPr>
        <w:t>Jacqueline Dohaney, Mairéad de Róiste, Rhian A. Salmon, Kathryn Sutherland. (2020). “Benefits, barriers, and incentives for improved resilience to disruption in university teaching, International Journal of Disaster Risk Reduction”. International Journal of Disaster Risk Reduction. Vol. 50. 1-9.  doi:</w:t>
      </w:r>
      <w:r>
        <w:rPr>
          <w:color w:val="0000FF"/>
          <w:sz w:val="20"/>
        </w:rPr>
        <w:t>10.1016/j.ijdrr.2020.101691</w:t>
      </w:r>
    </w:p>
    <w:p w14:paraId="1AAFC932" w14:textId="77777777" w:rsidR="00D1222E" w:rsidRPr="0025546D" w:rsidRDefault="00D1222E" w:rsidP="00D1222E">
      <w:pPr>
        <w:pStyle w:val="References"/>
        <w:numPr>
          <w:ilvl w:val="0"/>
          <w:numId w:val="5"/>
        </w:numPr>
        <w:spacing w:after="0"/>
        <w:ind w:left="720"/>
        <w:jc w:val="both"/>
        <w:rPr>
          <w:sz w:val="20"/>
        </w:rPr>
      </w:pPr>
      <w:r w:rsidRPr="0025546D">
        <w:rPr>
          <w:sz w:val="20"/>
        </w:rPr>
        <w:t>Karpova, D. N. and Proskurina, A. S. (2019). Sociotekhnicheskij povorot v issledovanii riskov cifrovizacii obshchestva. Sbornik materialov III CHernomorskoj mezhmezhdunarodnoj</w:t>
      </w:r>
      <w:r w:rsidRPr="0025546D">
        <w:rPr>
          <w:sz w:val="20"/>
          <w:lang w:val="id-ID"/>
        </w:rPr>
        <w:t xml:space="preserve"> </w:t>
      </w:r>
      <w:r w:rsidRPr="0025546D">
        <w:rPr>
          <w:sz w:val="20"/>
        </w:rPr>
        <w:t>nauchno-prakticheskoj konferencii Moskovskogo gosudarstvennogo universiteta imeni M.V. Lomonosova. Pod redakciej O.A. SHpyrko, V.V. Hapaeva S.I. Rubcovoj, YU.L. Sit’ko: vol.I, pp. 96–97.</w:t>
      </w:r>
    </w:p>
    <w:p w14:paraId="64C634E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Khalilah. </w:t>
      </w:r>
      <w:r>
        <w:rPr>
          <w:sz w:val="20"/>
          <w:lang w:val="id-ID"/>
        </w:rPr>
        <w:t>(</w:t>
      </w:r>
      <w:r w:rsidRPr="007C2BBB">
        <w:rPr>
          <w:sz w:val="20"/>
        </w:rPr>
        <w:t>2023</w:t>
      </w:r>
      <w:r>
        <w:rPr>
          <w:sz w:val="20"/>
          <w:lang w:val="id-ID"/>
        </w:rPr>
        <w:t>)</w:t>
      </w:r>
      <w:r w:rsidRPr="007C2BBB">
        <w:rPr>
          <w:sz w:val="20"/>
        </w:rPr>
        <w:t>. “Personal and contextual factors and academic resilience of lecturers at state and private Islamic universities during pandemic”. Education Journal-Pedagogic. Vol 10, No 1. 15-31. doi</w:t>
      </w:r>
      <w:r>
        <w:rPr>
          <w:sz w:val="20"/>
        </w:rPr>
        <w:t>:</w:t>
      </w:r>
      <w:r w:rsidRPr="007C2BBB">
        <w:rPr>
          <w:color w:val="0000FF"/>
          <w:sz w:val="20"/>
        </w:rPr>
        <w:t xml:space="preserve">10.33650/pjp.v10i1.5773 </w:t>
      </w:r>
    </w:p>
    <w:p w14:paraId="22E8E63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Kofi Ayebi-Arthur. (2017). “E-learning, resilience and change in higher education: Helping a university cope after a natural disaster”. E-Learning and Digital Media. 14(5):259-274. </w:t>
      </w:r>
      <w:r>
        <w:rPr>
          <w:sz w:val="20"/>
        </w:rPr>
        <w:t>doi:</w:t>
      </w:r>
      <w:r w:rsidRPr="007C2BBB">
        <w:rPr>
          <w:color w:val="0000FF"/>
          <w:sz w:val="20"/>
        </w:rPr>
        <w:t>10.1177/2042753017751712</w:t>
      </w:r>
    </w:p>
    <w:p w14:paraId="5BD50427"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Lize Borms, Jan Brusselaers, Karl C. Vrancken, Sam Deckmyn, Philip Marynissen, (2023). “Toward resilient organizations after COVID-19: An analysis of circular and less circular companies, Resources, Conservation and Recycling, Volume 188, 1-15. </w:t>
      </w:r>
      <w:r>
        <w:rPr>
          <w:sz w:val="20"/>
        </w:rPr>
        <w:t>d</w:t>
      </w:r>
      <w:r w:rsidRPr="007C2BBB">
        <w:rPr>
          <w:sz w:val="20"/>
        </w:rPr>
        <w:t>oi</w:t>
      </w:r>
      <w:r>
        <w:rPr>
          <w:sz w:val="20"/>
        </w:rPr>
        <w:t>:</w:t>
      </w:r>
      <w:r w:rsidRPr="007C2BBB">
        <w:rPr>
          <w:color w:val="0000FF"/>
          <w:sz w:val="20"/>
        </w:rPr>
        <w:t>1</w:t>
      </w:r>
      <w:r>
        <w:rPr>
          <w:color w:val="0000FF"/>
          <w:sz w:val="20"/>
        </w:rPr>
        <w:t>0.1016/j.resconrec.2022.106681</w:t>
      </w:r>
    </w:p>
    <w:p w14:paraId="160D3824"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Lu Zhang, Yinghua Wang. (2023). “Reshaping the Resilience in Higher Education Based on Lower-Grade Undergraduate Students’ Performance in Literature Course During Covid-19”. Proceedings of the 2023 2nd International Conference on Educational Innovation and Multimedia Technology (EIMT 2023). </w:t>
      </w:r>
      <w:r>
        <w:rPr>
          <w:sz w:val="20"/>
        </w:rPr>
        <w:t>doi:</w:t>
      </w:r>
      <w:r w:rsidRPr="007C2BBB">
        <w:rPr>
          <w:color w:val="0000FF"/>
          <w:sz w:val="20"/>
        </w:rPr>
        <w:t>10.2991/978-94-6463-192-0_78</w:t>
      </w:r>
    </w:p>
    <w:p w14:paraId="142F8D1B"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Muhammad Alif Setiaji, Yustina Erti Pravitasmara Dewi. (2022). “Analysis of Organizational Resilience Capacity in Accommodation Service Business in Semarang”. Management and Organization Journal. Vol. 13 No. 1. 36-47. </w:t>
      </w:r>
      <w:r>
        <w:rPr>
          <w:sz w:val="20"/>
        </w:rPr>
        <w:t>d</w:t>
      </w:r>
      <w:r w:rsidRPr="007C2BBB">
        <w:rPr>
          <w:sz w:val="20"/>
        </w:rPr>
        <w:t>oi</w:t>
      </w:r>
      <w:r>
        <w:rPr>
          <w:sz w:val="20"/>
        </w:rPr>
        <w:t>:</w:t>
      </w:r>
      <w:r w:rsidRPr="007C2BBB">
        <w:rPr>
          <w:color w:val="0000FF"/>
          <w:sz w:val="20"/>
        </w:rPr>
        <w:t xml:space="preserve">10.29244/jmo.v13i1.38336 </w:t>
      </w:r>
    </w:p>
    <w:p w14:paraId="7F44F7FB" w14:textId="77777777" w:rsidR="00D1222E" w:rsidRPr="007C2BBB" w:rsidRDefault="00D1222E" w:rsidP="00D1222E">
      <w:pPr>
        <w:pStyle w:val="References"/>
        <w:numPr>
          <w:ilvl w:val="0"/>
          <w:numId w:val="5"/>
        </w:numPr>
        <w:spacing w:after="0"/>
        <w:ind w:left="720"/>
        <w:jc w:val="both"/>
        <w:rPr>
          <w:sz w:val="20"/>
        </w:rPr>
      </w:pPr>
      <w:r w:rsidRPr="007C2BBB">
        <w:rPr>
          <w:sz w:val="20"/>
        </w:rPr>
        <w:t>Muhammad Bukhori Dalimunthe, Ery Tri Djatmika, Heri Pratikto, Puji Handayati, Rosmala Dewi, Siti Salina Mustakim. (2021). “Academic resilience for preservice teachers among field of sciences: A measurement scale in education”. International Journal of Evaluation and Research in Education (IJERE). 10(4):1262. 1-10. doi:</w:t>
      </w:r>
      <w:r w:rsidRPr="007C2BBB">
        <w:rPr>
          <w:color w:val="0000FF"/>
          <w:sz w:val="20"/>
        </w:rPr>
        <w:t>10.11591/ijere.v10i4.21859</w:t>
      </w:r>
    </w:p>
    <w:p w14:paraId="13EA5AB6" w14:textId="77777777" w:rsidR="00D1222E" w:rsidRPr="007C2BBB" w:rsidRDefault="00D1222E" w:rsidP="00D1222E">
      <w:pPr>
        <w:pStyle w:val="References"/>
        <w:numPr>
          <w:ilvl w:val="0"/>
          <w:numId w:val="5"/>
        </w:numPr>
        <w:spacing w:after="0"/>
        <w:ind w:left="720"/>
        <w:jc w:val="both"/>
        <w:rPr>
          <w:sz w:val="20"/>
        </w:rPr>
      </w:pPr>
      <w:r w:rsidRPr="007C2BBB">
        <w:rPr>
          <w:sz w:val="20"/>
        </w:rPr>
        <w:t>Murat Yıldırım., Fatma Celik. (2020). “Social Support, Resilience and Subjective Well-being in College Students”. Journal of Positive School Psychology. 5(2):127-135. doi:</w:t>
      </w:r>
      <w:r w:rsidRPr="007C2BBB">
        <w:rPr>
          <w:color w:val="0000FF"/>
          <w:sz w:val="20"/>
        </w:rPr>
        <w:t>10.47602/jpsp.v5i2.229</w:t>
      </w:r>
    </w:p>
    <w:p w14:paraId="20A6BBC8" w14:textId="77777777" w:rsidR="00D1222E" w:rsidRPr="007C2BBB" w:rsidRDefault="00D1222E" w:rsidP="00D1222E">
      <w:pPr>
        <w:pStyle w:val="References"/>
        <w:numPr>
          <w:ilvl w:val="0"/>
          <w:numId w:val="5"/>
        </w:numPr>
        <w:spacing w:after="0"/>
        <w:ind w:left="720"/>
        <w:jc w:val="both"/>
        <w:rPr>
          <w:sz w:val="20"/>
        </w:rPr>
      </w:pPr>
      <w:r w:rsidRPr="007C2BBB">
        <w:rPr>
          <w:sz w:val="20"/>
        </w:rPr>
        <w:t>Ning Ning You, Yitian Lou, Wuke Zhang, Dezhi Chen, Luyao Zeng. (2023). “Leveraging resources and dynamic capabilities for organizational resilience amid COVID-19”. South African Journal of Business Management | Vol 54, No 1 | a3802 |. 1-12. doi:</w:t>
      </w:r>
      <w:r w:rsidRPr="007C2BBB">
        <w:rPr>
          <w:color w:val="0000FF"/>
          <w:sz w:val="20"/>
        </w:rPr>
        <w:t xml:space="preserve">10.4102/sajbm.v54i1.3802 </w:t>
      </w:r>
    </w:p>
    <w:p w14:paraId="377E9BF5" w14:textId="77777777" w:rsidR="00D1222E" w:rsidRPr="007C2BBB" w:rsidRDefault="00D1222E" w:rsidP="00D1222E">
      <w:pPr>
        <w:pStyle w:val="References"/>
        <w:numPr>
          <w:ilvl w:val="0"/>
          <w:numId w:val="5"/>
        </w:numPr>
        <w:spacing w:after="0"/>
        <w:ind w:left="720"/>
        <w:jc w:val="both"/>
        <w:rPr>
          <w:sz w:val="20"/>
        </w:rPr>
      </w:pPr>
      <w:r w:rsidRPr="007C2BBB">
        <w:rPr>
          <w:sz w:val="20"/>
        </w:rPr>
        <w:t>Ojo, A.O., Fawehinmi, O. and Yusliza, M.Y. (2021) Examining the predictors of resilience and work engagement during the COVID-19 pandemic. Sustainability 13(5): 2902. doi:</w:t>
      </w:r>
      <w:r w:rsidRPr="007C2BBB">
        <w:rPr>
          <w:color w:val="0000FF"/>
          <w:sz w:val="20"/>
        </w:rPr>
        <w:t>10.3390/su13052902</w:t>
      </w:r>
    </w:p>
    <w:p w14:paraId="0F31D79B" w14:textId="77777777" w:rsidR="00D1222E" w:rsidRPr="007C2BBB" w:rsidRDefault="00D1222E" w:rsidP="00D1222E">
      <w:pPr>
        <w:pStyle w:val="References"/>
        <w:numPr>
          <w:ilvl w:val="0"/>
          <w:numId w:val="5"/>
        </w:numPr>
        <w:spacing w:after="0"/>
        <w:ind w:left="720"/>
        <w:jc w:val="both"/>
        <w:rPr>
          <w:sz w:val="20"/>
        </w:rPr>
      </w:pPr>
      <w:r w:rsidRPr="007C2BBB">
        <w:rPr>
          <w:sz w:val="20"/>
        </w:rPr>
        <w:t>Paeffgen, Thea. (2023). "Organisational Resilience during COVID-19 Times: A Bibliometric Literature Review" Sustainability 15, no. 1: 367. 1-29. doi:</w:t>
      </w:r>
      <w:r w:rsidRPr="007C2BBB">
        <w:rPr>
          <w:color w:val="0000FF"/>
          <w:sz w:val="20"/>
        </w:rPr>
        <w:t xml:space="preserve">10.3390/su15010367 </w:t>
      </w:r>
    </w:p>
    <w:p w14:paraId="0629015F" w14:textId="77777777" w:rsidR="00D1222E" w:rsidRPr="007C2BBB" w:rsidRDefault="00D1222E" w:rsidP="00D1222E">
      <w:pPr>
        <w:pStyle w:val="References"/>
        <w:numPr>
          <w:ilvl w:val="0"/>
          <w:numId w:val="5"/>
        </w:numPr>
        <w:spacing w:after="0"/>
        <w:ind w:left="720"/>
        <w:jc w:val="both"/>
        <w:rPr>
          <w:sz w:val="20"/>
        </w:rPr>
      </w:pPr>
      <w:r w:rsidRPr="007C2BBB">
        <w:rPr>
          <w:sz w:val="20"/>
        </w:rPr>
        <w:t>Polanco-Lahoz, D. A., &amp; Cross, J. A. (2023). “Systematic Literature Review on Organizational Resilience in the Context of Higher Education Institutions” ASEE Annual Conference &amp; Exposition. doi:</w:t>
      </w:r>
      <w:r w:rsidRPr="007C2BBB">
        <w:rPr>
          <w:color w:val="0000FF"/>
          <w:sz w:val="20"/>
          <w:shd w:val="clear" w:color="auto" w:fill="FFFFFF"/>
        </w:rPr>
        <w:t>10.18260/1-2</w:t>
      </w:r>
      <w:r>
        <w:rPr>
          <w:color w:val="0000FF"/>
          <w:sz w:val="20"/>
          <w:shd w:val="clear" w:color="auto" w:fill="FFFFFF"/>
        </w:rPr>
        <w:t>—</w:t>
      </w:r>
      <w:r w:rsidRPr="007C2BBB">
        <w:rPr>
          <w:color w:val="0000FF"/>
          <w:sz w:val="20"/>
          <w:shd w:val="clear" w:color="auto" w:fill="FFFFFF"/>
        </w:rPr>
        <w:t>43014</w:t>
      </w:r>
    </w:p>
    <w:p w14:paraId="6E26457E"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Rómulo Pinheiro, Mitchell Young., (2017). “The University as an Adaptive Resilient Organization: A Complex Systems Perspective”. Theory and Method in Higher Education Research. 119-136. </w:t>
      </w:r>
      <w:r>
        <w:rPr>
          <w:sz w:val="20"/>
        </w:rPr>
        <w:t>doi:</w:t>
      </w:r>
      <w:r w:rsidRPr="007C2BBB">
        <w:rPr>
          <w:color w:val="0000FF"/>
          <w:sz w:val="20"/>
        </w:rPr>
        <w:t>10.1108/S2056-375220170000003007</w:t>
      </w:r>
    </w:p>
    <w:p w14:paraId="4D44E484" w14:textId="77777777" w:rsidR="00D1222E" w:rsidRDefault="00D1222E" w:rsidP="00D1222E">
      <w:pPr>
        <w:pStyle w:val="References"/>
        <w:numPr>
          <w:ilvl w:val="0"/>
          <w:numId w:val="5"/>
        </w:numPr>
        <w:spacing w:after="0"/>
        <w:ind w:left="720"/>
        <w:jc w:val="both"/>
        <w:rPr>
          <w:sz w:val="20"/>
        </w:rPr>
      </w:pPr>
      <w:r>
        <w:rPr>
          <w:sz w:val="20"/>
        </w:rPr>
        <w:t>Sezen-Gültekin, Gözde, Argon</w:t>
      </w:r>
      <w:r w:rsidRPr="007C2BBB">
        <w:rPr>
          <w:sz w:val="20"/>
        </w:rPr>
        <w:t>, Türkan. (2020). “Examination of the Relationship between Organizational Resilience and Organizational Sustainability at Higher Education Institution”. International Journal of Curriculum and Instruction, Vol. 12. (Special Issue) (2020) 329–343</w:t>
      </w:r>
      <w:r>
        <w:rPr>
          <w:sz w:val="20"/>
        </w:rPr>
        <w:t>.</w:t>
      </w:r>
    </w:p>
    <w:p w14:paraId="66FF6B9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Shaya, N., Abukhait, R., Madani, R. </w:t>
      </w:r>
      <w:r w:rsidRPr="00C20641">
        <w:rPr>
          <w:i/>
          <w:sz w:val="20"/>
        </w:rPr>
        <w:t>et al.</w:t>
      </w:r>
      <w:r w:rsidRPr="007C2BBB">
        <w:rPr>
          <w:sz w:val="20"/>
        </w:rPr>
        <w:t xml:space="preserve"> (2023). “Organizational Resilience of Higher Education Institutions: An Empirical Study during Covid-19 Pandemic”. High Educ Policy 36, 529–555. 1-27. </w:t>
      </w:r>
      <w:r>
        <w:rPr>
          <w:sz w:val="20"/>
        </w:rPr>
        <w:t>d</w:t>
      </w:r>
      <w:r w:rsidRPr="007C2BBB">
        <w:rPr>
          <w:sz w:val="20"/>
        </w:rPr>
        <w:t>oi</w:t>
      </w:r>
      <w:r>
        <w:rPr>
          <w:sz w:val="20"/>
        </w:rPr>
        <w:t>:</w:t>
      </w:r>
      <w:r w:rsidRPr="007C2BBB">
        <w:rPr>
          <w:color w:val="0000FF"/>
          <w:sz w:val="20"/>
        </w:rPr>
        <w:t xml:space="preserve">10.1057/s41307-022-00272-2 </w:t>
      </w:r>
    </w:p>
    <w:p w14:paraId="6FCFD001" w14:textId="77777777" w:rsidR="00D1222E" w:rsidRPr="00F67B22" w:rsidRDefault="00D1222E" w:rsidP="00D1222E">
      <w:pPr>
        <w:pStyle w:val="References"/>
        <w:numPr>
          <w:ilvl w:val="0"/>
          <w:numId w:val="5"/>
        </w:numPr>
        <w:spacing w:after="0"/>
        <w:ind w:left="720"/>
        <w:jc w:val="both"/>
        <w:rPr>
          <w:sz w:val="20"/>
        </w:rPr>
      </w:pPr>
      <w:r w:rsidRPr="007C2BBB">
        <w:rPr>
          <w:sz w:val="20"/>
        </w:rPr>
        <w:t xml:space="preserve">Shriram Raghunathan. (2022). “Study of Resilience in Learning Environments </w:t>
      </w:r>
      <w:r>
        <w:rPr>
          <w:sz w:val="20"/>
        </w:rPr>
        <w:t>d</w:t>
      </w:r>
      <w:r w:rsidRPr="007C2BBB">
        <w:rPr>
          <w:sz w:val="20"/>
        </w:rPr>
        <w:t xml:space="preserve">uring the Covid-19 Pandemic”. Frontiers in Education. Vol 6 - 2021 |i-9.  </w:t>
      </w:r>
      <w:r>
        <w:rPr>
          <w:sz w:val="20"/>
        </w:rPr>
        <w:t>d</w:t>
      </w:r>
      <w:r w:rsidRPr="007C2BBB">
        <w:rPr>
          <w:sz w:val="20"/>
        </w:rPr>
        <w:t>oi</w:t>
      </w:r>
      <w:r>
        <w:rPr>
          <w:sz w:val="20"/>
        </w:rPr>
        <w:t>:</w:t>
      </w:r>
      <w:r w:rsidRPr="00F67B22">
        <w:rPr>
          <w:color w:val="0000FF"/>
          <w:sz w:val="20"/>
        </w:rPr>
        <w:t xml:space="preserve">10.3389/feduc.2021.677625 </w:t>
      </w:r>
    </w:p>
    <w:p w14:paraId="126BA722" w14:textId="77777777" w:rsidR="00D1222E" w:rsidRPr="00F67B22" w:rsidRDefault="00D1222E" w:rsidP="00D1222E">
      <w:pPr>
        <w:pStyle w:val="References"/>
        <w:numPr>
          <w:ilvl w:val="0"/>
          <w:numId w:val="5"/>
        </w:numPr>
        <w:spacing w:after="0"/>
        <w:ind w:left="720"/>
        <w:jc w:val="both"/>
        <w:rPr>
          <w:sz w:val="20"/>
        </w:rPr>
      </w:pPr>
      <w:r w:rsidRPr="00F67B22">
        <w:rPr>
          <w:sz w:val="20"/>
        </w:rPr>
        <w:t xml:space="preserve">Som Naidu. (2021). “Building resilience in education systems post-COVID-19, Distance Education”. Distance Education. Vol. 42, No. 1, 1–4.   </w:t>
      </w:r>
      <w:r>
        <w:rPr>
          <w:sz w:val="20"/>
        </w:rPr>
        <w:t>d</w:t>
      </w:r>
      <w:r w:rsidRPr="00F67B22">
        <w:rPr>
          <w:sz w:val="20"/>
        </w:rPr>
        <w:t>oi</w:t>
      </w:r>
      <w:r>
        <w:rPr>
          <w:sz w:val="20"/>
        </w:rPr>
        <w:t>:</w:t>
      </w:r>
      <w:r w:rsidRPr="00F67B22">
        <w:rPr>
          <w:color w:val="0000FF"/>
          <w:sz w:val="20"/>
        </w:rPr>
        <w:t>10.1080/01587919.2021.1885092.</w:t>
      </w:r>
    </w:p>
    <w:p w14:paraId="46F78510" w14:textId="77777777" w:rsidR="00D1222E" w:rsidRPr="00F67B22" w:rsidRDefault="00D1222E" w:rsidP="00D1222E">
      <w:pPr>
        <w:pStyle w:val="References"/>
        <w:numPr>
          <w:ilvl w:val="0"/>
          <w:numId w:val="5"/>
        </w:numPr>
        <w:spacing w:after="0"/>
        <w:ind w:left="720"/>
        <w:jc w:val="both"/>
        <w:rPr>
          <w:sz w:val="20"/>
        </w:rPr>
      </w:pPr>
      <w:r w:rsidRPr="00F67B22">
        <w:rPr>
          <w:sz w:val="20"/>
        </w:rPr>
        <w:t>Xuemei Xie, Yonghui Wu, Daniel Palacios-Marqués, Samuel Ribeiro-Navarrete. (2022). “Business networks and organizational resilience capacity in the digital age during COVID-19: A perspective utilizing organizational information processing theory”. Technological Forecasting and Social Change. Vol.177, doi</w:t>
      </w:r>
      <w:r>
        <w:rPr>
          <w:sz w:val="20"/>
        </w:rPr>
        <w:t>:</w:t>
      </w:r>
      <w:r>
        <w:rPr>
          <w:color w:val="0000FF"/>
          <w:sz w:val="20"/>
        </w:rPr>
        <w:t>10.1016/j.techfore.2022.121548</w:t>
      </w:r>
    </w:p>
    <w:p w14:paraId="20B89C1E" w14:textId="77777777" w:rsidR="00D1222E" w:rsidRPr="00F67B22" w:rsidRDefault="00D1222E" w:rsidP="00D1222E">
      <w:pPr>
        <w:pStyle w:val="References"/>
        <w:numPr>
          <w:ilvl w:val="0"/>
          <w:numId w:val="5"/>
        </w:numPr>
        <w:spacing w:after="0"/>
        <w:ind w:left="720"/>
        <w:jc w:val="both"/>
        <w:rPr>
          <w:sz w:val="20"/>
        </w:rPr>
      </w:pPr>
      <w:r w:rsidRPr="00F67B22">
        <w:rPr>
          <w:sz w:val="20"/>
        </w:rPr>
        <w:t>Yang H, Tang M, Chao X, Li P. (2021). “Organisational resilience in the COVID-19: A case study from China. Journal of Management &amp; Organization”. Journal of Management &amp; Organization. 1–19. doi:</w:t>
      </w:r>
      <w:r w:rsidRPr="00F67B22">
        <w:rPr>
          <w:color w:val="0000FF"/>
          <w:sz w:val="20"/>
        </w:rPr>
        <w:t>10.1017/jmo.2021.59</w:t>
      </w:r>
    </w:p>
    <w:p w14:paraId="6549F48D" w14:textId="77777777" w:rsidR="00D1222E" w:rsidRDefault="00D1222E" w:rsidP="00D1222E">
      <w:pPr>
        <w:pStyle w:val="References"/>
        <w:numPr>
          <w:ilvl w:val="0"/>
          <w:numId w:val="5"/>
        </w:numPr>
        <w:spacing w:after="0"/>
        <w:ind w:left="720"/>
        <w:jc w:val="both"/>
        <w:rPr>
          <w:sz w:val="20"/>
        </w:rPr>
      </w:pPr>
      <w:r w:rsidRPr="00F67B22">
        <w:rPr>
          <w:sz w:val="20"/>
        </w:rPr>
        <w:t xml:space="preserve">Ye, W., Strietholt, R. &amp; Blömeke, S. Academic resilience: underlying norms and validity of definitions. Educ Asse Eval Acc 33, 169–202 (2021). 1-34. </w:t>
      </w:r>
      <w:r>
        <w:rPr>
          <w:sz w:val="20"/>
        </w:rPr>
        <w:t>doi:</w:t>
      </w:r>
      <w:r w:rsidRPr="00F67B22">
        <w:rPr>
          <w:color w:val="0000FF"/>
          <w:sz w:val="20"/>
        </w:rPr>
        <w:t xml:space="preserve">10.1007/s11092-020-09351-7 </w:t>
      </w:r>
    </w:p>
    <w:p w14:paraId="6137B444" w14:textId="77777777" w:rsidR="00D1222E" w:rsidRDefault="00D1222E" w:rsidP="00D1222E">
      <w:pPr>
        <w:pStyle w:val="References"/>
        <w:numPr>
          <w:ilvl w:val="0"/>
          <w:numId w:val="5"/>
        </w:numPr>
        <w:spacing w:after="0"/>
        <w:ind w:left="720"/>
        <w:jc w:val="both"/>
        <w:rPr>
          <w:sz w:val="20"/>
        </w:rPr>
      </w:pPr>
      <w:r w:rsidRPr="00F67B22">
        <w:rPr>
          <w:sz w:val="20"/>
        </w:rPr>
        <w:t>Yi Wang. (2021). “Building Teachers' Resilience: Practical Applications for Teacher Education of China”. Educ. Sci. 2021, 11, 492. 1-5. doi:</w:t>
      </w:r>
      <w:r w:rsidRPr="00F67B22">
        <w:rPr>
          <w:color w:val="0000FF"/>
          <w:sz w:val="20"/>
        </w:rPr>
        <w:t>10.3390/educsci11090492</w:t>
      </w:r>
    </w:p>
    <w:p w14:paraId="310B75E3" w14:textId="77777777" w:rsidR="00D1222E" w:rsidRPr="00F67B22" w:rsidRDefault="00D1222E" w:rsidP="00D1222E">
      <w:pPr>
        <w:pStyle w:val="References"/>
        <w:numPr>
          <w:ilvl w:val="0"/>
          <w:numId w:val="5"/>
        </w:numPr>
        <w:spacing w:after="0"/>
        <w:ind w:left="720"/>
        <w:jc w:val="both"/>
        <w:rPr>
          <w:sz w:val="20"/>
        </w:rPr>
      </w:pPr>
      <w:r w:rsidRPr="00F67B22">
        <w:rPr>
          <w:sz w:val="20"/>
        </w:rPr>
        <w:t>Zhao, R., Li, L. (2023). “Pressure, state, and response: configurational analysis of organizational resilience in tourism businesses following the COVID-19 pandemic crisis”. Humanit Soc Sci Commun 10, 370. 1-19. doi:</w:t>
      </w:r>
      <w:r w:rsidRPr="00F67B22">
        <w:rPr>
          <w:color w:val="0000FF"/>
          <w:sz w:val="20"/>
        </w:rPr>
        <w:t>10.1057/s41599-023-01788-7</w:t>
      </w:r>
    </w:p>
    <w:p w14:paraId="1FB64F7F" w14:textId="77777777" w:rsidR="00D02915" w:rsidRDefault="00D02915"/>
    <w:sectPr w:rsidR="00D02915" w:rsidSect="00CF2A4E">
      <w:headerReference w:type="even" r:id="rId18"/>
      <w:headerReference w:type="default" r:id="rId19"/>
      <w:headerReference w:type="first" r:id="rId20"/>
      <w:type w:val="continuous"/>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4520" w14:textId="77777777" w:rsidR="00F56EDF" w:rsidRDefault="00F56EDF">
      <w:pPr>
        <w:spacing w:after="0" w:line="240" w:lineRule="auto"/>
      </w:pPr>
      <w:r>
        <w:separator/>
      </w:r>
    </w:p>
  </w:endnote>
  <w:endnote w:type="continuationSeparator" w:id="0">
    <w:p w14:paraId="3B8C53CB" w14:textId="77777777" w:rsidR="00F56EDF" w:rsidRDefault="00F5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D2D3" w14:textId="77777777" w:rsidR="008C15D9" w:rsidRDefault="008C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71E6" w14:textId="77777777" w:rsidR="008C15D9" w:rsidRDefault="008C1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3340" w14:textId="77777777" w:rsidR="008C15D9" w:rsidRDefault="008C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4C0B" w14:textId="77777777" w:rsidR="00F56EDF" w:rsidRDefault="00F56EDF">
      <w:pPr>
        <w:spacing w:after="0" w:line="240" w:lineRule="auto"/>
      </w:pPr>
      <w:r>
        <w:separator/>
      </w:r>
    </w:p>
  </w:footnote>
  <w:footnote w:type="continuationSeparator" w:id="0">
    <w:p w14:paraId="62FDA91A" w14:textId="77777777" w:rsidR="00F56EDF" w:rsidRDefault="00F5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6DD1" w14:textId="7B496EB2" w:rsidR="008C15D9" w:rsidRDefault="004B0F18">
    <w:pPr>
      <w:pStyle w:val="Header"/>
    </w:pPr>
    <w:r>
      <w:rPr>
        <w:noProof/>
      </w:rPr>
      <w:pict w14:anchorId="345D5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7" o:spid="_x0000_s2050" type="#_x0000_t136" style="position:absolute;margin-left:0;margin-top:0;width:621.35pt;height:1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AAE1" w14:textId="587899EB" w:rsidR="00D1222E" w:rsidRPr="00B23803" w:rsidRDefault="004B0F18" w:rsidP="00CF2A4E">
    <w:pPr>
      <w:pStyle w:val="Header"/>
      <w:tabs>
        <w:tab w:val="clear" w:pos="4680"/>
        <w:tab w:val="clear" w:pos="9360"/>
        <w:tab w:val="right" w:pos="10467"/>
      </w:tabs>
      <w:rPr>
        <w:szCs w:val="20"/>
      </w:rPr>
    </w:pPr>
    <w:r>
      <w:rPr>
        <w:noProof/>
      </w:rPr>
      <w:pict w14:anchorId="3C3BA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8" o:spid="_x0000_s2051" type="#_x0000_t136" style="position:absolute;margin-left:0;margin-top:0;width:621.35pt;height:1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1222E">
      <w:rPr>
        <w:rFonts w:ascii="Cambria" w:eastAsia="Times New Roman" w:hAnsi="Cambria" w:cs="Mangal"/>
        <w:sz w:val="24"/>
        <w:szCs w:val="24"/>
      </w:rPr>
      <w:t>Cite as :Paper Title; Vol. …|Issue ….|Pg:102-107</w:t>
    </w:r>
    <w:r w:rsidR="00D1222E" w:rsidRPr="00B23803">
      <w:rPr>
        <w:rFonts w:ascii="Cambria" w:eastAsia="Times New Roman" w:hAnsi="Cambria" w:cs="Mangal"/>
        <w:color w:val="4F81BD"/>
        <w:sz w:val="24"/>
        <w:szCs w:val="24"/>
      </w:rPr>
      <w:tab/>
      <w:t>[Pick the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0BA9" w14:textId="56C95224" w:rsidR="00D1222E" w:rsidRPr="001636D4" w:rsidRDefault="004B0F18" w:rsidP="0080517D">
    <w:pPr>
      <w:tabs>
        <w:tab w:val="center" w:pos="4680"/>
        <w:tab w:val="right" w:pos="9360"/>
      </w:tabs>
      <w:suppressAutoHyphens/>
      <w:rPr>
        <w:rFonts w:ascii="Times New Roman" w:hAnsi="Times New Roman"/>
        <w:noProof/>
        <w:sz w:val="28"/>
        <w:szCs w:val="28"/>
      </w:rPr>
    </w:pPr>
    <w:r>
      <w:rPr>
        <w:noProof/>
      </w:rPr>
      <w:pict w14:anchorId="4B92B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6" o:spid="_x0000_s2049" type="#_x0000_t136" style="position:absolute;margin-left:0;margin-top:0;width:621.35pt;height:1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1222E" w:rsidRPr="001636D4">
      <w:rPr>
        <w:rFonts w:ascii="Times New Roman" w:hAnsi="Times New Roman"/>
        <w:noProof/>
        <w:sz w:val="40"/>
        <w:szCs w:val="4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E1FA" w14:textId="1E18BFA7" w:rsidR="008C15D9" w:rsidRDefault="004B0F18">
    <w:pPr>
      <w:pStyle w:val="Header"/>
    </w:pPr>
    <w:r>
      <w:rPr>
        <w:noProof/>
      </w:rPr>
      <w:pict w14:anchorId="07E2A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10" o:spid="_x0000_s2053" type="#_x0000_t136" style="position:absolute;margin-left:0;margin-top:0;width:621.35pt;height:11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EFBD" w14:textId="3F7F37FC" w:rsidR="0016065B" w:rsidRPr="0023176E" w:rsidRDefault="004B0F18" w:rsidP="00CF2A4E">
    <w:pPr>
      <w:pStyle w:val="Header"/>
      <w:tabs>
        <w:tab w:val="clear" w:pos="4680"/>
        <w:tab w:val="clear" w:pos="9360"/>
        <w:tab w:val="right" w:pos="10467"/>
      </w:tabs>
      <w:spacing w:after="120"/>
      <w:rPr>
        <w:rFonts w:cs="Calibri"/>
        <w:b/>
        <w:sz w:val="20"/>
        <w:szCs w:val="18"/>
      </w:rPr>
    </w:pPr>
    <w:r>
      <w:rPr>
        <w:noProof/>
      </w:rPr>
      <w:pict w14:anchorId="49579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11" o:spid="_x0000_s2054" type="#_x0000_t136" style="position:absolute;margin-left:0;margin-top:0;width:621.35pt;height:11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1222E" w:rsidRPr="0023176E">
      <w:rPr>
        <w:rFonts w:eastAsia="Times New Roman" w:cs="Calibri"/>
        <w:b/>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CAB5" w14:textId="21561492" w:rsidR="008C15D9" w:rsidRDefault="004B0F18">
    <w:pPr>
      <w:pStyle w:val="Header"/>
    </w:pPr>
    <w:r>
      <w:rPr>
        <w:noProof/>
      </w:rPr>
      <w:pict w14:anchorId="3EF03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9" o:spid="_x0000_s2052" type="#_x0000_t136" style="position:absolute;margin-left:0;margin-top:0;width:621.35pt;height:11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3E2E4D"/>
    <w:multiLevelType w:val="multilevel"/>
    <w:tmpl w:val="48B6EB7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CD3E28"/>
    <w:multiLevelType w:val="hybridMultilevel"/>
    <w:tmpl w:val="889413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821584087">
    <w:abstractNumId w:val="0"/>
  </w:num>
  <w:num w:numId="2" w16cid:durableId="1775788888">
    <w:abstractNumId w:val="1"/>
  </w:num>
  <w:num w:numId="3" w16cid:durableId="1808086589">
    <w:abstractNumId w:val="3"/>
  </w:num>
  <w:num w:numId="4" w16cid:durableId="1778523292">
    <w:abstractNumId w:val="4"/>
  </w:num>
  <w:num w:numId="5" w16cid:durableId="230390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0NDE2MDU3s7CwMDJV0lEKTi0uzszPAykwrAUA6WISaywAAAA="/>
  </w:docVars>
  <w:rsids>
    <w:rsidRoot w:val="00D1222E"/>
    <w:rsid w:val="000B42E7"/>
    <w:rsid w:val="000C19BF"/>
    <w:rsid w:val="000C55A2"/>
    <w:rsid w:val="00103C3F"/>
    <w:rsid w:val="00114CBB"/>
    <w:rsid w:val="0016065B"/>
    <w:rsid w:val="003C34A4"/>
    <w:rsid w:val="003E252A"/>
    <w:rsid w:val="004234B3"/>
    <w:rsid w:val="004B0F18"/>
    <w:rsid w:val="004B0F3E"/>
    <w:rsid w:val="00577834"/>
    <w:rsid w:val="0060168A"/>
    <w:rsid w:val="00666828"/>
    <w:rsid w:val="006E4318"/>
    <w:rsid w:val="00846939"/>
    <w:rsid w:val="008C15D9"/>
    <w:rsid w:val="009654D6"/>
    <w:rsid w:val="00965EDD"/>
    <w:rsid w:val="00986C2E"/>
    <w:rsid w:val="00A401A3"/>
    <w:rsid w:val="00A64AB6"/>
    <w:rsid w:val="00B343BF"/>
    <w:rsid w:val="00B77003"/>
    <w:rsid w:val="00D02915"/>
    <w:rsid w:val="00D1222E"/>
    <w:rsid w:val="00ED4481"/>
    <w:rsid w:val="00F30B5D"/>
    <w:rsid w:val="00F56E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6AA8D7"/>
  <w15:chartTrackingRefBased/>
  <w15:docId w15:val="{7A5904F4-16DD-48C4-A6E3-A0EED620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222E"/>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x-none" w:eastAsia="x-none"/>
    </w:rPr>
  </w:style>
  <w:style w:type="paragraph" w:styleId="Heading2">
    <w:name w:val="heading 2"/>
    <w:basedOn w:val="Normal"/>
    <w:next w:val="Normal"/>
    <w:link w:val="Heading2Char"/>
    <w:qFormat/>
    <w:rsid w:val="00D1222E"/>
    <w:pPr>
      <w:keepNext/>
      <w:numPr>
        <w:ilvl w:val="1"/>
        <w:numId w:val="1"/>
      </w:numPr>
      <w:autoSpaceDE w:val="0"/>
      <w:autoSpaceDN w:val="0"/>
      <w:spacing w:before="120" w:after="60" w:line="240" w:lineRule="auto"/>
      <w:ind w:left="144"/>
      <w:outlineLvl w:val="1"/>
    </w:pPr>
    <w:rPr>
      <w:rFonts w:ascii="Times New Roman" w:eastAsia="PMingLiU" w:hAnsi="Times New Roman" w:cs="Times New Roman"/>
      <w:i/>
      <w:iCs/>
      <w:sz w:val="20"/>
      <w:szCs w:val="20"/>
      <w:lang w:val="x-none" w:eastAsia="x-none"/>
    </w:rPr>
  </w:style>
  <w:style w:type="paragraph" w:styleId="Heading3">
    <w:name w:val="heading 3"/>
    <w:basedOn w:val="Normal"/>
    <w:next w:val="Normal"/>
    <w:link w:val="Heading3Char"/>
    <w:qFormat/>
    <w:rsid w:val="00D1222E"/>
    <w:pPr>
      <w:keepNext/>
      <w:numPr>
        <w:ilvl w:val="2"/>
        <w:numId w:val="1"/>
      </w:numPr>
      <w:autoSpaceDE w:val="0"/>
      <w:autoSpaceDN w:val="0"/>
      <w:spacing w:after="0" w:line="240" w:lineRule="auto"/>
      <w:ind w:left="288"/>
      <w:outlineLvl w:val="2"/>
    </w:pPr>
    <w:rPr>
      <w:rFonts w:ascii="Times New Roman" w:eastAsia="PMingLiU" w:hAnsi="Times New Roman" w:cs="Times New Roman"/>
      <w:i/>
      <w:iCs/>
      <w:sz w:val="20"/>
      <w:szCs w:val="20"/>
      <w:lang w:val="x-none" w:eastAsia="x-none"/>
    </w:rPr>
  </w:style>
  <w:style w:type="paragraph" w:styleId="Heading4">
    <w:name w:val="heading 4"/>
    <w:basedOn w:val="Normal"/>
    <w:next w:val="Normal"/>
    <w:link w:val="Heading4Char"/>
    <w:qFormat/>
    <w:rsid w:val="00D1222E"/>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lang w:val="x-none" w:eastAsia="x-none"/>
    </w:rPr>
  </w:style>
  <w:style w:type="paragraph" w:styleId="Heading5">
    <w:name w:val="heading 5"/>
    <w:basedOn w:val="Normal"/>
    <w:next w:val="Normal"/>
    <w:link w:val="Heading5Char"/>
    <w:qFormat/>
    <w:rsid w:val="00D1222E"/>
    <w:pPr>
      <w:numPr>
        <w:ilvl w:val="4"/>
        <w:numId w:val="1"/>
      </w:numPr>
      <w:autoSpaceDE w:val="0"/>
      <w:autoSpaceDN w:val="0"/>
      <w:spacing w:before="240" w:after="60" w:line="240" w:lineRule="auto"/>
      <w:outlineLvl w:val="4"/>
    </w:pPr>
    <w:rPr>
      <w:rFonts w:ascii="Times New Roman" w:eastAsia="PMingLiU" w:hAnsi="Times New Roman" w:cs="Times New Roman"/>
      <w:sz w:val="18"/>
      <w:szCs w:val="18"/>
      <w:lang w:val="x-none" w:eastAsia="x-none"/>
    </w:rPr>
  </w:style>
  <w:style w:type="paragraph" w:styleId="Heading6">
    <w:name w:val="heading 6"/>
    <w:basedOn w:val="Normal"/>
    <w:next w:val="Normal"/>
    <w:link w:val="Heading6Char"/>
    <w:qFormat/>
    <w:rsid w:val="00D1222E"/>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lang w:val="x-none" w:eastAsia="x-none"/>
    </w:rPr>
  </w:style>
  <w:style w:type="paragraph" w:styleId="Heading7">
    <w:name w:val="heading 7"/>
    <w:basedOn w:val="Normal"/>
    <w:next w:val="Normal"/>
    <w:link w:val="Heading7Char"/>
    <w:qFormat/>
    <w:rsid w:val="00D1222E"/>
    <w:pPr>
      <w:numPr>
        <w:ilvl w:val="6"/>
        <w:numId w:val="1"/>
      </w:numPr>
      <w:autoSpaceDE w:val="0"/>
      <w:autoSpaceDN w:val="0"/>
      <w:spacing w:before="240" w:after="60" w:line="240" w:lineRule="auto"/>
      <w:outlineLvl w:val="6"/>
    </w:pPr>
    <w:rPr>
      <w:rFonts w:ascii="Times New Roman" w:eastAsia="PMingLiU" w:hAnsi="Times New Roman" w:cs="Times New Roman"/>
      <w:sz w:val="16"/>
      <w:szCs w:val="16"/>
      <w:lang w:val="x-none" w:eastAsia="x-none"/>
    </w:rPr>
  </w:style>
  <w:style w:type="paragraph" w:styleId="Heading8">
    <w:name w:val="heading 8"/>
    <w:basedOn w:val="Normal"/>
    <w:next w:val="Normal"/>
    <w:link w:val="Heading8Char"/>
    <w:qFormat/>
    <w:rsid w:val="00D1222E"/>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lang w:val="x-none" w:eastAsia="x-none"/>
    </w:rPr>
  </w:style>
  <w:style w:type="paragraph" w:styleId="Heading9">
    <w:name w:val="heading 9"/>
    <w:basedOn w:val="Normal"/>
    <w:next w:val="Normal"/>
    <w:link w:val="Heading9Char"/>
    <w:qFormat/>
    <w:rsid w:val="00D1222E"/>
    <w:pPr>
      <w:numPr>
        <w:ilvl w:val="8"/>
        <w:numId w:val="1"/>
      </w:numPr>
      <w:autoSpaceDE w:val="0"/>
      <w:autoSpaceDN w:val="0"/>
      <w:spacing w:before="240" w:after="60" w:line="240" w:lineRule="auto"/>
      <w:outlineLvl w:val="8"/>
    </w:pPr>
    <w:rPr>
      <w:rFonts w:ascii="Times New Roman" w:eastAsia="PMingLiU" w:hAnsi="Times New Roman" w:cs="Times New Roman"/>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22E"/>
    <w:rPr>
      <w:rFonts w:ascii="Times New Roman" w:eastAsia="PMingLiU" w:hAnsi="Times New Roman" w:cs="Times New Roman"/>
      <w:smallCaps/>
      <w:kern w:val="28"/>
      <w:sz w:val="20"/>
      <w:szCs w:val="20"/>
      <w:lang w:val="x-none" w:eastAsia="x-none"/>
    </w:rPr>
  </w:style>
  <w:style w:type="character" w:customStyle="1" w:styleId="Heading2Char">
    <w:name w:val="Heading 2 Char"/>
    <w:basedOn w:val="DefaultParagraphFont"/>
    <w:link w:val="Heading2"/>
    <w:rsid w:val="00D1222E"/>
    <w:rPr>
      <w:rFonts w:ascii="Times New Roman" w:eastAsia="PMingLiU" w:hAnsi="Times New Roman" w:cs="Times New Roman"/>
      <w:i/>
      <w:iCs/>
      <w:sz w:val="20"/>
      <w:szCs w:val="20"/>
      <w:lang w:val="x-none" w:eastAsia="x-none"/>
    </w:rPr>
  </w:style>
  <w:style w:type="character" w:customStyle="1" w:styleId="Heading3Char">
    <w:name w:val="Heading 3 Char"/>
    <w:basedOn w:val="DefaultParagraphFont"/>
    <w:link w:val="Heading3"/>
    <w:rsid w:val="00D1222E"/>
    <w:rPr>
      <w:rFonts w:ascii="Times New Roman" w:eastAsia="PMingLiU" w:hAnsi="Times New Roman" w:cs="Times New Roman"/>
      <w:i/>
      <w:iCs/>
      <w:sz w:val="20"/>
      <w:szCs w:val="20"/>
      <w:lang w:val="x-none" w:eastAsia="x-none"/>
    </w:rPr>
  </w:style>
  <w:style w:type="character" w:customStyle="1" w:styleId="Heading4Char">
    <w:name w:val="Heading 4 Char"/>
    <w:basedOn w:val="DefaultParagraphFont"/>
    <w:link w:val="Heading4"/>
    <w:rsid w:val="00D1222E"/>
    <w:rPr>
      <w:rFonts w:ascii="Times New Roman" w:eastAsia="PMingLiU" w:hAnsi="Times New Roman" w:cs="Times New Roman"/>
      <w:i/>
      <w:iCs/>
      <w:sz w:val="18"/>
      <w:szCs w:val="18"/>
      <w:lang w:val="x-none" w:eastAsia="x-none"/>
    </w:rPr>
  </w:style>
  <w:style w:type="character" w:customStyle="1" w:styleId="Heading5Char">
    <w:name w:val="Heading 5 Char"/>
    <w:basedOn w:val="DefaultParagraphFont"/>
    <w:link w:val="Heading5"/>
    <w:rsid w:val="00D1222E"/>
    <w:rPr>
      <w:rFonts w:ascii="Times New Roman" w:eastAsia="PMingLiU" w:hAnsi="Times New Roman" w:cs="Times New Roman"/>
      <w:sz w:val="18"/>
      <w:szCs w:val="18"/>
      <w:lang w:val="x-none" w:eastAsia="x-none"/>
    </w:rPr>
  </w:style>
  <w:style w:type="character" w:customStyle="1" w:styleId="Heading6Char">
    <w:name w:val="Heading 6 Char"/>
    <w:basedOn w:val="DefaultParagraphFont"/>
    <w:link w:val="Heading6"/>
    <w:rsid w:val="00D1222E"/>
    <w:rPr>
      <w:rFonts w:ascii="Times New Roman" w:eastAsia="PMingLiU" w:hAnsi="Times New Roman" w:cs="Times New Roman"/>
      <w:i/>
      <w:iCs/>
      <w:sz w:val="16"/>
      <w:szCs w:val="16"/>
      <w:lang w:val="x-none" w:eastAsia="x-none"/>
    </w:rPr>
  </w:style>
  <w:style w:type="character" w:customStyle="1" w:styleId="Heading7Char">
    <w:name w:val="Heading 7 Char"/>
    <w:basedOn w:val="DefaultParagraphFont"/>
    <w:link w:val="Heading7"/>
    <w:rsid w:val="00D1222E"/>
    <w:rPr>
      <w:rFonts w:ascii="Times New Roman" w:eastAsia="PMingLiU" w:hAnsi="Times New Roman" w:cs="Times New Roman"/>
      <w:sz w:val="16"/>
      <w:szCs w:val="16"/>
      <w:lang w:val="x-none" w:eastAsia="x-none"/>
    </w:rPr>
  </w:style>
  <w:style w:type="character" w:customStyle="1" w:styleId="Heading8Char">
    <w:name w:val="Heading 8 Char"/>
    <w:basedOn w:val="DefaultParagraphFont"/>
    <w:link w:val="Heading8"/>
    <w:rsid w:val="00D1222E"/>
    <w:rPr>
      <w:rFonts w:ascii="Times New Roman" w:eastAsia="PMingLiU" w:hAnsi="Times New Roman" w:cs="Times New Roman"/>
      <w:i/>
      <w:iCs/>
      <w:sz w:val="16"/>
      <w:szCs w:val="16"/>
      <w:lang w:val="x-none" w:eastAsia="x-none"/>
    </w:rPr>
  </w:style>
  <w:style w:type="character" w:customStyle="1" w:styleId="Heading9Char">
    <w:name w:val="Heading 9 Char"/>
    <w:basedOn w:val="DefaultParagraphFont"/>
    <w:link w:val="Heading9"/>
    <w:rsid w:val="00D1222E"/>
    <w:rPr>
      <w:rFonts w:ascii="Times New Roman" w:eastAsia="PMingLiU" w:hAnsi="Times New Roman" w:cs="Times New Roman"/>
      <w:sz w:val="16"/>
      <w:szCs w:val="16"/>
      <w:lang w:val="x-none" w:eastAsia="x-none"/>
    </w:rPr>
  </w:style>
  <w:style w:type="character" w:styleId="Hyperlink">
    <w:name w:val="Hyperlink"/>
    <w:uiPriority w:val="99"/>
    <w:unhideWhenUsed/>
    <w:rsid w:val="00D1222E"/>
    <w:rPr>
      <w:color w:val="0000FF"/>
      <w:u w:val="single"/>
    </w:rPr>
  </w:style>
  <w:style w:type="paragraph" w:styleId="Header">
    <w:name w:val="header"/>
    <w:basedOn w:val="Normal"/>
    <w:link w:val="HeaderChar"/>
    <w:uiPriority w:val="99"/>
    <w:unhideWhenUsed/>
    <w:rsid w:val="00D1222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D1222E"/>
    <w:rPr>
      <w:rFonts w:ascii="Calibri" w:eastAsia="Calibri" w:hAnsi="Calibri" w:cs="Times New Roman"/>
      <w:lang w:val="en-US"/>
    </w:rPr>
  </w:style>
  <w:style w:type="paragraph" w:customStyle="1" w:styleId="IEEEHeading1">
    <w:name w:val="IEEE Heading 1"/>
    <w:basedOn w:val="Normal"/>
    <w:next w:val="Normal"/>
    <w:rsid w:val="00D1222E"/>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Heading2">
    <w:name w:val="IEEE Heading 2"/>
    <w:basedOn w:val="Normal"/>
    <w:next w:val="IEEEParagraph"/>
    <w:rsid w:val="00D1222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D1222E"/>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D1222E"/>
    <w:rPr>
      <w:rFonts w:ascii="Times New Roman" w:eastAsia="SimSun" w:hAnsi="Times New Roman" w:cs="Times New Roman"/>
      <w:sz w:val="20"/>
      <w:szCs w:val="24"/>
      <w:lang w:val="en-AU" w:eastAsia="zh-CN"/>
    </w:rPr>
  </w:style>
  <w:style w:type="paragraph" w:customStyle="1" w:styleId="References">
    <w:name w:val="References"/>
    <w:basedOn w:val="Normal"/>
    <w:rsid w:val="00D1222E"/>
    <w:pPr>
      <w:numPr>
        <w:numId w:val="4"/>
      </w:numPr>
      <w:spacing w:after="80" w:line="240" w:lineRule="auto"/>
    </w:pPr>
    <w:rPr>
      <w:rFonts w:ascii="Times New Roman" w:eastAsia="Times New Roman" w:hAnsi="Times New Roman" w:cs="Times New Roman"/>
      <w:sz w:val="18"/>
      <w:szCs w:val="20"/>
      <w:lang w:val="en-US"/>
    </w:rPr>
  </w:style>
  <w:style w:type="paragraph" w:styleId="NoSpacing">
    <w:name w:val="No Spacing"/>
    <w:link w:val="NoSpacingChar"/>
    <w:uiPriority w:val="1"/>
    <w:qFormat/>
    <w:rsid w:val="00D1222E"/>
    <w:pPr>
      <w:spacing w:after="0" w:line="240" w:lineRule="auto"/>
    </w:pPr>
    <w:rPr>
      <w:rFonts w:ascii="Calibri" w:eastAsia="Calibri" w:hAnsi="Calibri" w:cs="Times New Roman"/>
      <w:lang w:val="en-US"/>
    </w:rPr>
  </w:style>
  <w:style w:type="paragraph" w:customStyle="1" w:styleId="IEEEAbstractHeading">
    <w:name w:val="IEEE Abstract Heading"/>
    <w:basedOn w:val="IEEEAbtract"/>
    <w:next w:val="IEEEAbtract"/>
    <w:link w:val="IEEEAbstractHeadingChar"/>
    <w:rsid w:val="00D1222E"/>
    <w:rPr>
      <w:i/>
    </w:rPr>
  </w:style>
  <w:style w:type="character" w:customStyle="1" w:styleId="IEEEAbstractHeadingChar">
    <w:name w:val="IEEE Abstract Heading Char"/>
    <w:link w:val="IEEEAbstractHeading"/>
    <w:rsid w:val="00D1222E"/>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1222E"/>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1222E"/>
    <w:rPr>
      <w:rFonts w:ascii="Times New Roman" w:eastAsia="SimSun" w:hAnsi="Times New Roman" w:cs="Times New Roman"/>
      <w:b/>
      <w:sz w:val="18"/>
      <w:szCs w:val="24"/>
      <w:lang w:val="en-GB" w:eastAsia="en-GB"/>
    </w:rPr>
  </w:style>
  <w:style w:type="character" w:customStyle="1" w:styleId="NoSpacingChar">
    <w:name w:val="No Spacing Char"/>
    <w:link w:val="NoSpacing"/>
    <w:uiPriority w:val="1"/>
    <w:rsid w:val="00D1222E"/>
    <w:rPr>
      <w:rFonts w:ascii="Calibri" w:eastAsia="Calibri" w:hAnsi="Calibri" w:cs="Times New Roman"/>
      <w:lang w:val="en-US"/>
    </w:rPr>
  </w:style>
  <w:style w:type="table" w:styleId="TableGrid">
    <w:name w:val="Table Grid"/>
    <w:basedOn w:val="TableNormal"/>
    <w:uiPriority w:val="39"/>
    <w:rsid w:val="00D1222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343BF"/>
    <w:rPr>
      <w:color w:val="605E5C"/>
      <w:shd w:val="clear" w:color="auto" w:fill="E1DFDD"/>
    </w:rPr>
  </w:style>
  <w:style w:type="paragraph" w:styleId="Footer">
    <w:name w:val="footer"/>
    <w:basedOn w:val="Normal"/>
    <w:link w:val="FooterChar"/>
    <w:uiPriority w:val="99"/>
    <w:unhideWhenUsed/>
    <w:rsid w:val="00F30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B5D"/>
  </w:style>
  <w:style w:type="character" w:styleId="CommentReference">
    <w:name w:val="annotation reference"/>
    <w:basedOn w:val="DefaultParagraphFont"/>
    <w:uiPriority w:val="99"/>
    <w:semiHidden/>
    <w:unhideWhenUsed/>
    <w:rsid w:val="000B42E7"/>
    <w:rPr>
      <w:sz w:val="16"/>
      <w:szCs w:val="16"/>
    </w:rPr>
  </w:style>
  <w:style w:type="paragraph" w:styleId="CommentText">
    <w:name w:val="annotation text"/>
    <w:basedOn w:val="Normal"/>
    <w:link w:val="CommentTextChar"/>
    <w:uiPriority w:val="99"/>
    <w:semiHidden/>
    <w:unhideWhenUsed/>
    <w:rsid w:val="000B42E7"/>
    <w:pPr>
      <w:spacing w:line="240" w:lineRule="auto"/>
    </w:pPr>
    <w:rPr>
      <w:sz w:val="20"/>
      <w:szCs w:val="20"/>
    </w:rPr>
  </w:style>
  <w:style w:type="character" w:customStyle="1" w:styleId="CommentTextChar">
    <w:name w:val="Comment Text Char"/>
    <w:basedOn w:val="DefaultParagraphFont"/>
    <w:link w:val="CommentText"/>
    <w:uiPriority w:val="99"/>
    <w:semiHidden/>
    <w:rsid w:val="000B42E7"/>
    <w:rPr>
      <w:sz w:val="20"/>
      <w:szCs w:val="20"/>
    </w:rPr>
  </w:style>
  <w:style w:type="paragraph" w:styleId="BalloonText">
    <w:name w:val="Balloon Text"/>
    <w:basedOn w:val="Normal"/>
    <w:link w:val="BalloonTextChar"/>
    <w:uiPriority w:val="99"/>
    <w:semiHidden/>
    <w:unhideWhenUsed/>
    <w:rsid w:val="000B4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ijmr.12239" TargetMode="External"/><Relationship Id="rId2" Type="http://schemas.openxmlformats.org/officeDocument/2006/relationships/styles" Target="styles.xml"/><Relationship Id="rId16" Type="http://schemas.openxmlformats.org/officeDocument/2006/relationships/hyperlink" Target="http://dx.doi.org/10.1109/TEM.2018.2796181"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4738/abr.85.8321"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6802</Words>
  <Characters>43558</Characters>
  <Application>Microsoft Office Word</Application>
  <DocSecurity>0</DocSecurity>
  <Lines>362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FARHANA2</dc:creator>
  <cp:keywords/>
  <dc:description/>
  <cp:lastModifiedBy>Editor GP 005</cp:lastModifiedBy>
  <cp:revision>9</cp:revision>
  <dcterms:created xsi:type="dcterms:W3CDTF">2025-05-14T15:57:00Z</dcterms:created>
  <dcterms:modified xsi:type="dcterms:W3CDTF">2025-05-20T09:07:00Z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39356105-2377-4a00-add6-c790f239d364</vt:lpwstr>
  </property>
</Properties>
</file>