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628B2" w14:textId="5BF59EA4" w:rsidR="00163BC4" w:rsidRPr="001A125F" w:rsidRDefault="00956072" w:rsidP="00441B6F">
      <w:pPr>
        <w:pStyle w:val="Author"/>
        <w:spacing w:line="240" w:lineRule="auto"/>
        <w:rPr>
          <w:rFonts w:ascii="Arial" w:hAnsi="Arial" w:cs="Arial"/>
          <w:bCs/>
          <w:iCs/>
          <w:kern w:val="28"/>
          <w:sz w:val="36"/>
        </w:rPr>
      </w:pPr>
      <w:r>
        <w:rPr>
          <w:rFonts w:ascii="Arial" w:hAnsi="Arial" w:cs="Arial"/>
          <w:bCs/>
          <w:iCs/>
          <w:kern w:val="28"/>
          <w:sz w:val="36"/>
        </w:rPr>
        <w:t xml:space="preserve">Analysis of Poverty in </w:t>
      </w:r>
      <w:proofErr w:type="spellStart"/>
      <w:r>
        <w:rPr>
          <w:rFonts w:ascii="Arial" w:hAnsi="Arial" w:cs="Arial"/>
          <w:bCs/>
          <w:iCs/>
          <w:kern w:val="28"/>
          <w:sz w:val="36"/>
        </w:rPr>
        <w:t>Gunungkidul</w:t>
      </w:r>
      <w:proofErr w:type="spellEnd"/>
      <w:r>
        <w:rPr>
          <w:rFonts w:ascii="Arial" w:hAnsi="Arial" w:cs="Arial"/>
          <w:bCs/>
          <w:iCs/>
          <w:kern w:val="28"/>
          <w:sz w:val="36"/>
        </w:rPr>
        <w:t xml:space="preserve"> Regency, Indonesia in The Context of the Region’s Macroeconomic Performance</w:t>
      </w:r>
    </w:p>
    <w:p w14:paraId="0553E85E" w14:textId="77777777" w:rsidR="00A258C3" w:rsidRPr="001A125F" w:rsidRDefault="00A258C3" w:rsidP="00441B6F">
      <w:pPr>
        <w:pStyle w:val="Author"/>
        <w:spacing w:line="240" w:lineRule="auto"/>
        <w:jc w:val="both"/>
        <w:rPr>
          <w:rFonts w:ascii="Arial" w:hAnsi="Arial" w:cs="Arial"/>
          <w:sz w:val="36"/>
        </w:rPr>
      </w:pPr>
    </w:p>
    <w:p w14:paraId="1994343A" w14:textId="77777777" w:rsidR="00790ADA" w:rsidRPr="001A125F" w:rsidRDefault="00790ADA" w:rsidP="00441B6F">
      <w:pPr>
        <w:pStyle w:val="Affiliation"/>
        <w:spacing w:after="0" w:line="240" w:lineRule="auto"/>
        <w:jc w:val="both"/>
        <w:rPr>
          <w:rFonts w:ascii="Arial" w:hAnsi="Arial" w:cs="Arial"/>
        </w:rPr>
      </w:pPr>
    </w:p>
    <w:p w14:paraId="65A45B20" w14:textId="77777777" w:rsidR="002C57D2" w:rsidRPr="001A125F" w:rsidRDefault="002C57D2" w:rsidP="00441B6F">
      <w:pPr>
        <w:pStyle w:val="Affiliation"/>
        <w:spacing w:after="0" w:line="240" w:lineRule="auto"/>
        <w:jc w:val="both"/>
        <w:rPr>
          <w:rFonts w:ascii="Arial" w:hAnsi="Arial" w:cs="Arial"/>
        </w:rPr>
      </w:pPr>
    </w:p>
    <w:p w14:paraId="6D48D475" w14:textId="59BCDDFC" w:rsidR="00B01FCD" w:rsidRPr="001A125F" w:rsidRDefault="009932DF" w:rsidP="00441B6F">
      <w:pPr>
        <w:pStyle w:val="Copyright"/>
        <w:spacing w:after="0" w:line="240" w:lineRule="auto"/>
        <w:jc w:val="both"/>
        <w:rPr>
          <w:rFonts w:ascii="Arial" w:hAnsi="Arial" w:cs="Arial"/>
        </w:rPr>
        <w:sectPr w:rsidR="00B01FCD" w:rsidRPr="001A125F"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sidRPr="001A125F">
        <w:rPr>
          <w:rFonts w:ascii="Arial" w:hAnsi="Arial" w:cs="Arial"/>
          <w:noProof/>
        </w:rPr>
        <mc:AlternateContent>
          <mc:Choice Requires="wps">
            <w:drawing>
              <wp:inline distT="0" distB="0" distL="0" distR="0" wp14:anchorId="50FAA6A2" wp14:editId="08B66E94">
                <wp:extent cx="5173980" cy="635"/>
                <wp:effectExtent l="13335" t="14605" r="1333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3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F66E34C" id="_x0000_t32" coordsize="21600,21600" o:spt="32" o:oned="t" path="m,l21600,21600e" filled="f">
                <v:path arrowok="t" fillok="f" o:connecttype="none"/>
                <o:lock v:ext="edit" shapetype="t"/>
              </v:shapetype>
              <v:shape id="AutoShape 2" o:spid="_x0000_s1026" type="#_x0000_t32" style="width:407.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" strokeweight="1.5pt">
                <w10:anchorlock/>
              </v:shape>
            </w:pict>
          </mc:Fallback>
        </mc:AlternateContent>
      </w:r>
      <w:r w:rsidR="00FB3A86" w:rsidRPr="001A125F">
        <w:rPr>
          <w:rFonts w:ascii="Arial" w:hAnsi="Arial" w:cs="Arial"/>
        </w:rPr>
        <w:t>.</w:t>
      </w:r>
    </w:p>
    <w:p w14:paraId="1E0B73AF" w14:textId="5270B006" w:rsidR="00B01FCD" w:rsidRPr="001A125F" w:rsidRDefault="00B01FCD" w:rsidP="00441B6F">
      <w:pPr>
        <w:pStyle w:val="AbstHead"/>
        <w:spacing w:after="0"/>
        <w:jc w:val="both"/>
        <w:rPr>
          <w:rFonts w:ascii="Arial" w:hAnsi="Arial" w:cs="Arial"/>
        </w:rPr>
      </w:pPr>
      <w:r w:rsidRPr="001A125F">
        <w:rPr>
          <w:rFonts w:ascii="Arial" w:hAnsi="Arial" w:cs="Arial"/>
        </w:rPr>
        <w:t xml:space="preserve">ABSTRACT </w:t>
      </w:r>
    </w:p>
    <w:p w14:paraId="3861B8B2" w14:textId="77777777" w:rsidR="00790ADA" w:rsidRPr="001A125F" w:rsidRDefault="00790ADA" w:rsidP="00441B6F">
      <w:pPr>
        <w:pStyle w:val="AbstHead"/>
        <w:spacing w:after="0"/>
        <w:jc w:val="both"/>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3"/>
      </w:tblGrid>
      <w:tr w:rsidR="001A125F" w:rsidRPr="001A125F" w14:paraId="2DBD3BD8" w14:textId="77777777" w:rsidTr="0096392A">
        <w:tc>
          <w:tcPr>
            <w:tcW w:w="8203" w:type="dxa"/>
            <w:shd w:val="clear" w:color="auto" w:fill="F2F2F2"/>
          </w:tcPr>
          <w:p w14:paraId="0FBEAA29" w14:textId="0D6D5B19" w:rsidR="004332BD" w:rsidRPr="001A125F" w:rsidRDefault="004332BD" w:rsidP="004332BD">
            <w:pPr>
              <w:jc w:val="both"/>
              <w:rPr>
                <w:rFonts w:ascii="Arial" w:hAnsi="Arial" w:cs="Arial"/>
                <w:sz w:val="22"/>
                <w:szCs w:val="22"/>
              </w:rPr>
            </w:pPr>
            <w:r w:rsidRPr="001A125F">
              <w:rPr>
                <w:rFonts w:ascii="Arial" w:hAnsi="Arial" w:cs="Arial"/>
                <w:sz w:val="22"/>
                <w:szCs w:val="22"/>
              </w:rPr>
              <w:t xml:space="preserve">Poverty is a global issue faced by all countries, both developed and developing countries. In general, poverty is measured based on income levels and an individual's ability to meet minimum basic needs. This study aims to identify poverty conditions in the </w:t>
            </w:r>
            <w:proofErr w:type="spellStart"/>
            <w:r w:rsidRPr="001A125F">
              <w:rPr>
                <w:rFonts w:ascii="Arial" w:hAnsi="Arial" w:cs="Arial"/>
                <w:sz w:val="22"/>
                <w:szCs w:val="22"/>
              </w:rPr>
              <w:t>kapanewon</w:t>
            </w:r>
            <w:proofErr w:type="spellEnd"/>
            <w:r w:rsidRPr="001A125F">
              <w:rPr>
                <w:rFonts w:ascii="Arial" w:hAnsi="Arial" w:cs="Arial"/>
                <w:sz w:val="22"/>
                <w:szCs w:val="22"/>
              </w:rPr>
              <w:t xml:space="preserve"> area that are priorities in poverty alleviation programs</w:t>
            </w:r>
            <w:r w:rsidR="00634529" w:rsidRPr="001A125F">
              <w:rPr>
                <w:rFonts w:ascii="Arial" w:hAnsi="Arial" w:cs="Arial"/>
                <w:sz w:val="22"/>
                <w:szCs w:val="22"/>
              </w:rPr>
              <w:t>,</w:t>
            </w:r>
            <w:r w:rsidRPr="001A125F">
              <w:rPr>
                <w:rFonts w:ascii="Arial" w:hAnsi="Arial" w:cs="Arial"/>
                <w:sz w:val="22"/>
                <w:szCs w:val="22"/>
              </w:rPr>
              <w:t xml:space="preserve"> as well as formulate a handling model that is tailored to the characteristics of the region. This research was carried out in </w:t>
            </w:r>
            <w:proofErr w:type="spellStart"/>
            <w:r w:rsidRPr="001A125F">
              <w:rPr>
                <w:rFonts w:ascii="Arial" w:hAnsi="Arial" w:cs="Arial"/>
                <w:sz w:val="22"/>
                <w:szCs w:val="22"/>
              </w:rPr>
              <w:t>Gunungkidul</w:t>
            </w:r>
            <w:proofErr w:type="spellEnd"/>
            <w:r w:rsidRPr="001A125F">
              <w:rPr>
                <w:rFonts w:ascii="Arial" w:hAnsi="Arial" w:cs="Arial"/>
                <w:sz w:val="22"/>
                <w:szCs w:val="22"/>
              </w:rPr>
              <w:t xml:space="preserve"> Regency, Special Region of Yogyakarta, Indonesia. In addition, secondary data </w:t>
            </w:r>
            <w:r w:rsidR="00634529" w:rsidRPr="001A125F">
              <w:rPr>
                <w:rFonts w:ascii="Arial" w:hAnsi="Arial" w:cs="Arial"/>
                <w:sz w:val="22"/>
                <w:szCs w:val="22"/>
              </w:rPr>
              <w:t>was</w:t>
            </w:r>
            <w:r w:rsidRPr="001A125F">
              <w:rPr>
                <w:rFonts w:ascii="Arial" w:hAnsi="Arial" w:cs="Arial"/>
                <w:sz w:val="22"/>
                <w:szCs w:val="22"/>
              </w:rPr>
              <w:t xml:space="preserve"> used from the Central Statistics Agency (BPS). The analysis methods applied include descriptive statistical analysis as well as quantitative and qualitative approaches.</w:t>
            </w:r>
          </w:p>
          <w:p w14:paraId="09AC3015" w14:textId="0B4AF64C" w:rsidR="00505F06" w:rsidRPr="001A125F" w:rsidRDefault="007F5448" w:rsidP="004332BD">
            <w:pPr>
              <w:ind w:firstLine="567"/>
              <w:jc w:val="both"/>
              <w:rPr>
                <w:rFonts w:ascii="Arial" w:hAnsi="Arial" w:cs="Arial"/>
                <w:lang w:val="nb-NO"/>
              </w:rPr>
            </w:pPr>
            <w:r w:rsidRPr="001A125F">
              <w:rPr>
                <w:rFonts w:ascii="Arial" w:hAnsi="Arial" w:cs="Arial"/>
                <w:sz w:val="22"/>
                <w:szCs w:val="22"/>
              </w:rPr>
              <w:t xml:space="preserve">The poverty depth index in </w:t>
            </w:r>
            <w:proofErr w:type="spellStart"/>
            <w:r w:rsidRPr="001A125F">
              <w:rPr>
                <w:rFonts w:ascii="Arial" w:hAnsi="Arial" w:cs="Arial"/>
                <w:sz w:val="22"/>
                <w:szCs w:val="22"/>
              </w:rPr>
              <w:t>Gunungkidul</w:t>
            </w:r>
            <w:proofErr w:type="spellEnd"/>
            <w:r w:rsidRPr="001A125F">
              <w:rPr>
                <w:rFonts w:ascii="Arial" w:hAnsi="Arial" w:cs="Arial"/>
                <w:sz w:val="22"/>
                <w:szCs w:val="22"/>
              </w:rPr>
              <w:t xml:space="preserve"> Regency has</w:t>
            </w:r>
            <w:r w:rsidR="00634529" w:rsidRPr="001A125F">
              <w:rPr>
                <w:rFonts w:ascii="Arial" w:hAnsi="Arial" w:cs="Arial"/>
                <w:sz w:val="22"/>
                <w:szCs w:val="22"/>
              </w:rPr>
              <w:t xml:space="preserve"> </w:t>
            </w:r>
            <w:r w:rsidRPr="001A125F">
              <w:rPr>
                <w:rFonts w:ascii="Arial" w:hAnsi="Arial" w:cs="Arial"/>
                <w:sz w:val="22"/>
                <w:szCs w:val="22"/>
              </w:rPr>
              <w:t xml:space="preserve">been the highest compared to DIY Province, and even in 2023 there has been a small increase in depth, from 2.63 to 2.71. This increase </w:t>
            </w:r>
            <w:r w:rsidR="00634529" w:rsidRPr="001A125F">
              <w:rPr>
                <w:rFonts w:ascii="Arial" w:hAnsi="Arial" w:cs="Arial"/>
                <w:sz w:val="22"/>
                <w:szCs w:val="22"/>
              </w:rPr>
              <w:t>was</w:t>
            </w:r>
            <w:r w:rsidRPr="001A125F">
              <w:rPr>
                <w:rFonts w:ascii="Arial" w:hAnsi="Arial" w:cs="Arial"/>
                <w:sz w:val="22"/>
                <w:szCs w:val="22"/>
              </w:rPr>
              <w:t xml:space="preserve"> a sign</w:t>
            </w:r>
            <w:r w:rsidR="00634529" w:rsidRPr="001A125F">
              <w:rPr>
                <w:rFonts w:ascii="Arial" w:hAnsi="Arial" w:cs="Arial"/>
                <w:sz w:val="22"/>
                <w:szCs w:val="22"/>
              </w:rPr>
              <w:t>ed</w:t>
            </w:r>
            <w:r w:rsidRPr="001A125F">
              <w:rPr>
                <w:rFonts w:ascii="Arial" w:hAnsi="Arial" w:cs="Arial"/>
                <w:sz w:val="22"/>
                <w:szCs w:val="22"/>
              </w:rPr>
              <w:t xml:space="preserve"> that the depth index still a serious matter, and it also show</w:t>
            </w:r>
            <w:r w:rsidR="00634529" w:rsidRPr="001A125F">
              <w:rPr>
                <w:rFonts w:ascii="Arial" w:hAnsi="Arial" w:cs="Arial"/>
                <w:sz w:val="22"/>
                <w:szCs w:val="22"/>
              </w:rPr>
              <w:t>n</w:t>
            </w:r>
            <w:r w:rsidRPr="001A125F">
              <w:rPr>
                <w:rFonts w:ascii="Arial" w:hAnsi="Arial" w:cs="Arial"/>
                <w:sz w:val="22"/>
                <w:szCs w:val="22"/>
              </w:rPr>
              <w:t xml:space="preserve"> an indication that there is still a lot of extreme poverty in </w:t>
            </w:r>
            <w:proofErr w:type="spellStart"/>
            <w:r w:rsidRPr="001A125F">
              <w:rPr>
                <w:rFonts w:ascii="Arial" w:hAnsi="Arial" w:cs="Arial"/>
                <w:sz w:val="22"/>
                <w:szCs w:val="22"/>
              </w:rPr>
              <w:t>Gunungkidul</w:t>
            </w:r>
            <w:proofErr w:type="spellEnd"/>
            <w:r w:rsidRPr="001A125F">
              <w:rPr>
                <w:rFonts w:ascii="Arial" w:hAnsi="Arial" w:cs="Arial"/>
                <w:sz w:val="22"/>
                <w:szCs w:val="22"/>
              </w:rPr>
              <w:t xml:space="preserve">. The results of the research found that poverty in </w:t>
            </w:r>
            <w:proofErr w:type="spellStart"/>
            <w:r w:rsidRPr="001A125F">
              <w:rPr>
                <w:rFonts w:ascii="Arial" w:hAnsi="Arial" w:cs="Arial"/>
                <w:sz w:val="22"/>
                <w:szCs w:val="22"/>
              </w:rPr>
              <w:t>Gunungkidul</w:t>
            </w:r>
            <w:proofErr w:type="spellEnd"/>
            <w:r w:rsidRPr="001A125F">
              <w:rPr>
                <w:rFonts w:ascii="Arial" w:hAnsi="Arial" w:cs="Arial"/>
                <w:sz w:val="22"/>
                <w:szCs w:val="22"/>
              </w:rPr>
              <w:t xml:space="preserve"> Regency </w:t>
            </w:r>
            <w:r w:rsidR="00634529" w:rsidRPr="001A125F">
              <w:rPr>
                <w:rFonts w:ascii="Arial" w:hAnsi="Arial" w:cs="Arial"/>
                <w:sz w:val="22"/>
                <w:szCs w:val="22"/>
              </w:rPr>
              <w:t>was</w:t>
            </w:r>
            <w:r w:rsidRPr="001A125F">
              <w:rPr>
                <w:rFonts w:ascii="Arial" w:hAnsi="Arial" w:cs="Arial"/>
                <w:sz w:val="22"/>
                <w:szCs w:val="22"/>
              </w:rPr>
              <w:t xml:space="preserve"> basically natural poverty, namely poverty that arises due to existing natural and geophysical conditions. Likewise, part of the </w:t>
            </w:r>
            <w:proofErr w:type="spellStart"/>
            <w:r w:rsidRPr="001A125F">
              <w:rPr>
                <w:rFonts w:ascii="Arial" w:hAnsi="Arial" w:cs="Arial"/>
                <w:sz w:val="22"/>
                <w:szCs w:val="22"/>
              </w:rPr>
              <w:t>Gununkidul</w:t>
            </w:r>
            <w:proofErr w:type="spellEnd"/>
            <w:r w:rsidRPr="001A125F">
              <w:rPr>
                <w:rFonts w:ascii="Arial" w:hAnsi="Arial" w:cs="Arial"/>
                <w:sz w:val="22"/>
                <w:szCs w:val="22"/>
              </w:rPr>
              <w:t xml:space="preserve"> area </w:t>
            </w:r>
            <w:r w:rsidR="00634529" w:rsidRPr="001A125F">
              <w:rPr>
                <w:rFonts w:ascii="Arial" w:hAnsi="Arial" w:cs="Arial"/>
                <w:sz w:val="22"/>
                <w:szCs w:val="22"/>
              </w:rPr>
              <w:t>was</w:t>
            </w:r>
            <w:r w:rsidRPr="001A125F">
              <w:rPr>
                <w:rFonts w:ascii="Arial" w:hAnsi="Arial" w:cs="Arial"/>
                <w:sz w:val="22"/>
                <w:szCs w:val="22"/>
              </w:rPr>
              <w:t xml:space="preserve"> the </w:t>
            </w:r>
            <w:proofErr w:type="spellStart"/>
            <w:r w:rsidRPr="001A125F">
              <w:rPr>
                <w:rFonts w:ascii="Arial" w:hAnsi="Arial" w:cs="Arial"/>
                <w:sz w:val="22"/>
                <w:szCs w:val="22"/>
              </w:rPr>
              <w:t>Gunungsewu</w:t>
            </w:r>
            <w:proofErr w:type="spellEnd"/>
            <w:r w:rsidRPr="001A125F">
              <w:rPr>
                <w:rFonts w:ascii="Arial" w:hAnsi="Arial" w:cs="Arial"/>
                <w:sz w:val="22"/>
                <w:szCs w:val="22"/>
              </w:rPr>
              <w:t xml:space="preserve"> Karts area which </w:t>
            </w:r>
            <w:r w:rsidR="00634529" w:rsidRPr="001A125F">
              <w:rPr>
                <w:rFonts w:ascii="Arial" w:hAnsi="Arial" w:cs="Arial"/>
                <w:sz w:val="22"/>
                <w:szCs w:val="22"/>
              </w:rPr>
              <w:t>was</w:t>
            </w:r>
            <w:r w:rsidRPr="001A125F">
              <w:rPr>
                <w:rFonts w:ascii="Arial" w:hAnsi="Arial" w:cs="Arial"/>
                <w:sz w:val="22"/>
                <w:szCs w:val="22"/>
              </w:rPr>
              <w:t xml:space="preserve"> a conserva</w:t>
            </w:r>
            <w:r w:rsidR="00634529" w:rsidRPr="001A125F">
              <w:rPr>
                <w:rFonts w:ascii="Arial" w:hAnsi="Arial" w:cs="Arial"/>
                <w:sz w:val="22"/>
                <w:szCs w:val="22"/>
              </w:rPr>
              <w:t>ted</w:t>
            </w:r>
            <w:r w:rsidRPr="001A125F">
              <w:rPr>
                <w:rFonts w:ascii="Arial" w:hAnsi="Arial" w:cs="Arial"/>
                <w:sz w:val="22"/>
                <w:szCs w:val="22"/>
              </w:rPr>
              <w:t xml:space="preserve"> land. The condition of some poor households </w:t>
            </w:r>
            <w:r w:rsidR="00634529" w:rsidRPr="001A125F">
              <w:rPr>
                <w:rFonts w:ascii="Arial" w:hAnsi="Arial" w:cs="Arial"/>
                <w:sz w:val="22"/>
                <w:szCs w:val="22"/>
              </w:rPr>
              <w:t>was</w:t>
            </w:r>
            <w:r w:rsidRPr="001A125F">
              <w:rPr>
                <w:rFonts w:ascii="Arial" w:hAnsi="Arial" w:cs="Arial"/>
                <w:sz w:val="22"/>
                <w:szCs w:val="22"/>
              </w:rPr>
              <w:t xml:space="preserve"> </w:t>
            </w:r>
            <w:r w:rsidR="00C20F0D" w:rsidRPr="001A125F">
              <w:rPr>
                <w:rFonts w:ascii="Arial" w:hAnsi="Arial" w:cs="Arial"/>
                <w:sz w:val="22"/>
                <w:szCs w:val="22"/>
              </w:rPr>
              <w:t>unhealthy and</w:t>
            </w:r>
            <w:r w:rsidRPr="001A125F">
              <w:rPr>
                <w:rFonts w:ascii="Arial" w:hAnsi="Arial" w:cs="Arial"/>
                <w:sz w:val="22"/>
                <w:szCs w:val="22"/>
              </w:rPr>
              <w:t xml:space="preserve"> requires treatment. Including poor household skills in general</w:t>
            </w:r>
            <w:r w:rsidR="00013CFC" w:rsidRPr="001A125F">
              <w:rPr>
                <w:rFonts w:ascii="Arial" w:hAnsi="Arial" w:cs="Arial"/>
                <w:sz w:val="22"/>
                <w:szCs w:val="22"/>
              </w:rPr>
              <w:t>, such as</w:t>
            </w:r>
            <w:r w:rsidRPr="001A125F">
              <w:rPr>
                <w:rFonts w:ascii="Arial" w:hAnsi="Arial" w:cs="Arial"/>
                <w:sz w:val="22"/>
                <w:szCs w:val="22"/>
              </w:rPr>
              <w:t xml:space="preserve"> farming, livestock, and agriculture. Then</w:t>
            </w:r>
            <w:r w:rsidR="00634529" w:rsidRPr="001A125F">
              <w:rPr>
                <w:rFonts w:ascii="Arial" w:hAnsi="Arial" w:cs="Arial"/>
                <w:sz w:val="22"/>
                <w:szCs w:val="22"/>
              </w:rPr>
              <w:t>,</w:t>
            </w:r>
            <w:r w:rsidRPr="001A125F">
              <w:rPr>
                <w:rFonts w:ascii="Arial" w:hAnsi="Arial" w:cs="Arial"/>
                <w:sz w:val="22"/>
                <w:szCs w:val="22"/>
              </w:rPr>
              <w:t xml:space="preserve"> poor households </w:t>
            </w:r>
            <w:r w:rsidR="00634529" w:rsidRPr="001A125F">
              <w:rPr>
                <w:rFonts w:ascii="Arial" w:hAnsi="Arial" w:cs="Arial"/>
                <w:sz w:val="22"/>
                <w:szCs w:val="22"/>
              </w:rPr>
              <w:t>were</w:t>
            </w:r>
            <w:r w:rsidRPr="001A125F">
              <w:rPr>
                <w:rFonts w:ascii="Arial" w:hAnsi="Arial" w:cs="Arial"/>
                <w:sz w:val="22"/>
                <w:szCs w:val="22"/>
              </w:rPr>
              <w:t xml:space="preserve"> more interested in providing job opportunities than business opportunities. It </w:t>
            </w:r>
            <w:r w:rsidR="00634529" w:rsidRPr="001A125F">
              <w:rPr>
                <w:rFonts w:ascii="Arial" w:hAnsi="Arial" w:cs="Arial"/>
                <w:sz w:val="22"/>
                <w:szCs w:val="22"/>
              </w:rPr>
              <w:t>was</w:t>
            </w:r>
            <w:r w:rsidRPr="001A125F">
              <w:rPr>
                <w:rFonts w:ascii="Arial" w:hAnsi="Arial" w:cs="Arial"/>
                <w:sz w:val="22"/>
                <w:szCs w:val="22"/>
              </w:rPr>
              <w:t xml:space="preserve"> necessary to carry out technological engineering to </w:t>
            </w:r>
            <w:r w:rsidR="00634529" w:rsidRPr="001A125F">
              <w:rPr>
                <w:rFonts w:ascii="Arial" w:hAnsi="Arial" w:cs="Arial"/>
                <w:sz w:val="22"/>
                <w:szCs w:val="22"/>
              </w:rPr>
              <w:t>increase</w:t>
            </w:r>
            <w:r w:rsidRPr="001A125F">
              <w:rPr>
                <w:rFonts w:ascii="Arial" w:hAnsi="Arial" w:cs="Arial"/>
                <w:sz w:val="22"/>
                <w:szCs w:val="22"/>
              </w:rPr>
              <w:t xml:space="preserve"> the productivity of dry land through the development of water availability infrastructure and the engineering.</w:t>
            </w:r>
          </w:p>
        </w:tc>
      </w:tr>
    </w:tbl>
    <w:p w14:paraId="4FAD995F" w14:textId="77777777" w:rsidR="00636EB2" w:rsidRPr="001A125F" w:rsidRDefault="00636EB2" w:rsidP="00441B6F">
      <w:pPr>
        <w:pStyle w:val="Body"/>
        <w:spacing w:after="0"/>
        <w:rPr>
          <w:rFonts w:ascii="Arial" w:hAnsi="Arial" w:cs="Arial"/>
          <w:i/>
        </w:rPr>
      </w:pPr>
    </w:p>
    <w:p w14:paraId="7EAFF23A" w14:textId="3FAF891A" w:rsidR="0024282C" w:rsidRPr="001A125F" w:rsidRDefault="00A24E7E" w:rsidP="00441B6F">
      <w:pPr>
        <w:pStyle w:val="Body"/>
        <w:spacing w:after="0"/>
        <w:rPr>
          <w:rFonts w:ascii="Arial" w:hAnsi="Arial" w:cs="Arial"/>
          <w:i/>
        </w:rPr>
      </w:pPr>
      <w:r w:rsidRPr="001A125F">
        <w:rPr>
          <w:rFonts w:ascii="Arial" w:hAnsi="Arial" w:cs="Arial"/>
          <w:i/>
        </w:rPr>
        <w:t xml:space="preserve">Keywords: Poverty, </w:t>
      </w:r>
      <w:proofErr w:type="spellStart"/>
      <w:r w:rsidRPr="001A125F">
        <w:rPr>
          <w:rFonts w:ascii="Arial" w:hAnsi="Arial" w:cs="Arial"/>
          <w:i/>
        </w:rPr>
        <w:t>Gunungkidul</w:t>
      </w:r>
      <w:proofErr w:type="spellEnd"/>
      <w:r w:rsidRPr="001A125F">
        <w:rPr>
          <w:rFonts w:ascii="Arial" w:hAnsi="Arial" w:cs="Arial"/>
          <w:i/>
        </w:rPr>
        <w:t xml:space="preserve"> Regency, Natural Poverty, Technology Engineering</w:t>
      </w:r>
    </w:p>
    <w:p w14:paraId="3EECA431" w14:textId="77777777" w:rsidR="00505F06" w:rsidRPr="001A125F" w:rsidRDefault="00505F06" w:rsidP="00441B6F">
      <w:pPr>
        <w:pStyle w:val="Body"/>
        <w:spacing w:after="0"/>
        <w:rPr>
          <w:rFonts w:ascii="Arial" w:hAnsi="Arial" w:cs="Arial"/>
          <w:i/>
        </w:rPr>
      </w:pPr>
    </w:p>
    <w:p w14:paraId="66381D90" w14:textId="44CC6AE2" w:rsidR="00790ADA" w:rsidRPr="001A125F" w:rsidRDefault="00902823" w:rsidP="00441B6F">
      <w:pPr>
        <w:pStyle w:val="AbstHead"/>
        <w:spacing w:after="0"/>
        <w:jc w:val="both"/>
        <w:rPr>
          <w:rFonts w:ascii="Arial" w:hAnsi="Arial" w:cs="Arial"/>
        </w:rPr>
      </w:pPr>
      <w:r w:rsidRPr="001A125F">
        <w:rPr>
          <w:rFonts w:ascii="Arial" w:hAnsi="Arial" w:cs="Arial"/>
        </w:rPr>
        <w:t xml:space="preserve">1. INTRODUCTION </w:t>
      </w:r>
    </w:p>
    <w:p w14:paraId="16E62916" w14:textId="4B0F58DD" w:rsidR="00C4316B" w:rsidRPr="001A125F" w:rsidRDefault="00E545C8" w:rsidP="00C4316B">
      <w:pPr>
        <w:spacing w:line="360" w:lineRule="auto"/>
        <w:ind w:firstLine="567"/>
        <w:jc w:val="both"/>
        <w:rPr>
          <w:rFonts w:ascii="Arial" w:hAnsi="Arial" w:cs="Arial"/>
          <w:lang w:val="nb-NO"/>
        </w:rPr>
      </w:pPr>
      <w:r w:rsidRPr="001A125F">
        <w:rPr>
          <w:rFonts w:ascii="Arial" w:hAnsi="Arial" w:cs="Arial"/>
        </w:rPr>
        <w:t xml:space="preserve">Poverty is a critical global challenge with 9.3 percent of the world's population living in extreme poverty </w:t>
      </w:r>
      <w:r w:rsidRPr="001A125F">
        <w:rPr>
          <w:rFonts w:ascii="Arial" w:hAnsi="Arial" w:cs="Arial"/>
        </w:rPr>
        <w:fldChar w:fldCharType="begin" w:fldLock="1"/>
      </w:r>
      <w:r w:rsidR="00BD0DFB" w:rsidRPr="001A125F">
        <w:rPr>
          <w:rFonts w:ascii="Arial" w:hAnsi="Arial" w:cs="Arial"/>
        </w:rPr>
        <w:instrText>ADDIN CSL_CITATION {"citationItems":[{"id":"ITEM-1","itemData":{"DOI":"10.1016/j.jpubeco.2025.105334","ISSN":"00472727","abstract":"This paper investigates the spillover effects of peer poverty on student outcomes using data from a nationally representative, randomly assigned sample of junior high school classes in China. We find that higher classroom poverty rates significantly reduce students’ academic performance, non-cognitive skills, and the likelihood of high school and college enrollment. These effects are particularly pronounced among students from lower-income families, while the presence of wealthier peers provides yields little benefit. Mechanisms driving these outcomes include diminished student motivation, poorer classroom climates, reduced parental involvement, and lower teacher attention. Our findings provide new evidence on the impact of peer socio-economic status on student achievement and long-term educational trajectories.","author":[{"dropping-particle":"","family":"Huang","given":"Wei","non-dropping-particle":"","parse-names":false,"suffix":""},{"dropping-particle":"","family":"Luo","given":"Mi","non-dropping-particle":"","parse-names":false,"suffix":""},{"dropping-particle":"","family":"Song","given":"Yueping","non-dropping-particle":"","parse-names":false,"suffix":""},{"dropping-particle":"","family":"Wang","given":"Yiping","non-dropping-particle":"","parse-names":false,"suffix":""},{"dropping-particle":"","family":"Wu","given":"Hantao","non-dropping-particle":"","parse-names":false,"suffix":""}],"container-title":"Journal of Public Economics","id":"ITEM-1","issue":"October 2023","issued":{"date-parts":[["2025"]]},"page":"105334","publisher":"Elsevier B.V.","title":"Poverty spillovers in human capital Formation: Evidence from randomized class assignments in China","type":"article-journal","volume":"244"},"uris":["http://www.mendeley.com/documents/?uuid=cf9f027c-067b-4ff2-9e11-9e2ebf6e6a04"]}],"mendeley":{"formattedCitation":"(Huang et al., 2025)","plainTextFormattedCitation":"(Huang et al., 2025)","previouslyFormattedCitation":"(Huang et al., 2025)"},"properties":{"noteIndex":0},"schema":"https://github.com/citation-style-language/schema/raw/master/csl-citation.json"}</w:instrText>
      </w:r>
      <w:r w:rsidRPr="001A125F">
        <w:rPr>
          <w:rFonts w:ascii="Arial" w:hAnsi="Arial" w:cs="Arial"/>
        </w:rPr>
        <w:fldChar w:fldCharType="separate"/>
      </w:r>
      <w:r w:rsidRPr="001A125F">
        <w:rPr>
          <w:rFonts w:ascii="Arial" w:hAnsi="Arial" w:cs="Arial"/>
          <w:noProof/>
        </w:rPr>
        <w:t>(Huang et al., 2025)</w:t>
      </w:r>
      <w:r w:rsidRPr="001A125F">
        <w:rPr>
          <w:rFonts w:ascii="Arial" w:hAnsi="Arial" w:cs="Arial"/>
        </w:rPr>
        <w:fldChar w:fldCharType="end"/>
      </w:r>
      <w:r w:rsidRPr="001A125F">
        <w:rPr>
          <w:rFonts w:ascii="Arial" w:hAnsi="Arial" w:cs="Arial"/>
        </w:rPr>
        <w:t xml:space="preserve">. In the social and political system, poverty is one of the indicators of the success of regional leaders, both state and regional. One of the indicators of the success of the government, whether it is the Central Government or the Regional Government, is the reduction of the poverty rate. Therefore, poverty has always been a Key Performance Indicator (KPI) in any development planning, whether long-term, </w:t>
      </w:r>
      <w:r w:rsidR="0096392A" w:rsidRPr="001A125F">
        <w:rPr>
          <w:rFonts w:ascii="Arial" w:hAnsi="Arial" w:cs="Arial"/>
        </w:rPr>
        <w:t>medium-term,</w:t>
      </w:r>
      <w:r w:rsidRPr="001A125F">
        <w:rPr>
          <w:rFonts w:ascii="Arial" w:hAnsi="Arial" w:cs="Arial"/>
        </w:rPr>
        <w:t xml:space="preserve"> or even short-term planning. Poverty rates around the world have seen a significant increase </w:t>
      </w:r>
      <w:r w:rsidRPr="001A125F">
        <w:rPr>
          <w:rFonts w:ascii="Arial" w:hAnsi="Arial" w:cs="Arial"/>
        </w:rPr>
        <w:lastRenderedPageBreak/>
        <w:t xml:space="preserve">since 2020 despite historical declines between 2015 and 2018. Rising food costs and the impact of the Ukraine crisis could increase the number of poverty </w:t>
      </w:r>
      <w:r w:rsidR="00A52861" w:rsidRPr="001A125F">
        <w:rPr>
          <w:rFonts w:ascii="Arial" w:hAnsi="Arial" w:cs="Arial"/>
        </w:rPr>
        <w:fldChar w:fldCharType="begin" w:fldLock="1"/>
      </w:r>
      <w:r w:rsidR="00C927C4" w:rsidRPr="001A125F">
        <w:rPr>
          <w:rFonts w:ascii="Arial" w:hAnsi="Arial" w:cs="Arial"/>
        </w:rPr>
        <w:instrText>ADDIN CSL_CITATION {"citationItems":[{"id":"ITEM-1","itemData":{"DOI":"10.1016/j.sftr.2025.100625","ISSN":"2666-1888","author":[{"dropping-particle":"","family":"Ayiku","given":"Andrews","non-dropping-particle":"","parse-names":false,"suffix":""}],"container-title":"Sustainable Futures","id":"ITEM-1","issued":{"date-parts":[["2025"]]},"page":"100625","publisher":"Elsevier Ltd","title":"WOMEN'S ECONOMIC EMPOWERMENT AND POVERTY: SPECIFICATION EMPIRICS EXAMINING GLOBAL DATA","type":"article-journal"},"uris":["http://www.mendeley.com/documents/?uuid=0096c3fd-f300-4815-b94a-ea89d4c5f008"]}],"mendeley":{"formattedCitation":"(Ayiku, 2025)","plainTextFormattedCitation":"(Ayiku, 2025)","previouslyFormattedCitation":"(Ayiku, 2025)"},"properties":{"noteIndex":0},"schema":"https://github.com/citation-style-language/schema/raw/master/csl-citation.json"}</w:instrText>
      </w:r>
      <w:r w:rsidR="00A52861" w:rsidRPr="001A125F">
        <w:rPr>
          <w:rFonts w:ascii="Arial" w:hAnsi="Arial" w:cs="Arial"/>
        </w:rPr>
        <w:fldChar w:fldCharType="separate"/>
      </w:r>
      <w:r w:rsidR="00A52861" w:rsidRPr="001A125F">
        <w:rPr>
          <w:rFonts w:ascii="Arial" w:hAnsi="Arial" w:cs="Arial"/>
          <w:noProof/>
        </w:rPr>
        <w:t>(Ayiku, 2025)</w:t>
      </w:r>
      <w:r w:rsidR="00A52861" w:rsidRPr="001A125F">
        <w:rPr>
          <w:rFonts w:ascii="Arial" w:hAnsi="Arial" w:cs="Arial"/>
        </w:rPr>
        <w:fldChar w:fldCharType="end"/>
      </w:r>
      <w:r w:rsidR="00A52861" w:rsidRPr="001A125F">
        <w:rPr>
          <w:rFonts w:ascii="Arial" w:hAnsi="Arial" w:cs="Arial"/>
        </w:rPr>
        <w:t xml:space="preserve">. Poverty has existed for a long time among the people so data and methods must be available for public consumption to reduce poverty and encourage economic development </w:t>
      </w:r>
      <w:r w:rsidR="000121E3" w:rsidRPr="001A125F">
        <w:rPr>
          <w:rFonts w:ascii="Arial" w:hAnsi="Arial" w:cs="Arial"/>
        </w:rPr>
        <w:fldChar w:fldCharType="begin" w:fldLock="1"/>
      </w:r>
      <w:r w:rsidR="000121E3" w:rsidRPr="001A125F">
        <w:rPr>
          <w:rFonts w:ascii="Arial" w:hAnsi="Arial" w:cs="Arial"/>
        </w:rPr>
        <w:instrText>ADDIN CSL_CITATION {"citationItems":[{"id":"ITEM-1","itemData":{"DOI":"10.1016/j.heliyon.2024.e41076","ISSN":"2405-8440","author":[{"dropping-particle":"","family":"Onsay","given":"Emmanuel A","non-dropping-particle":"","parse-names":false,"suffix":""},{"dropping-particle":"","family":"Rabajante","given":"Jomar F","non-dropping-particle":"","parse-names":false,"suffix":""}],"container-title":"Heliyon","id":"ITEM-1","issue":"3","issued":{"date-parts":[["2025"]]},"page":"e41076","publisher":"Elsevier Ltd","title":"Heliyon Do indigenous people get left behind ? An innovative methodology for measuring the unmeasurable economic conditions and poverty from the poorest region of Luzon , Philippines","type":"article-journal","volume":"11"},"uris":["http://www.mendeley.com/documents/?uuid=fd8b0d68-db38-495b-b3a7-8e8a36b25b15"]}],"mendeley":{"formattedCitation":"(Onsay &amp; Rabajante, 2025)","plainTextFormattedCitation":"(Onsay &amp; Rabajante, 2025)","previouslyFormattedCitation":"(Onsay &amp; Rabajante, 2025)"},"properties":{"noteIndex":0},"schema":"https://github.com/citation-style-language/schema/raw/master/csl-citation.json"}</w:instrText>
      </w:r>
      <w:r w:rsidR="000121E3" w:rsidRPr="001A125F">
        <w:rPr>
          <w:rFonts w:ascii="Arial" w:hAnsi="Arial" w:cs="Arial"/>
        </w:rPr>
        <w:fldChar w:fldCharType="separate"/>
      </w:r>
      <w:r w:rsidR="000121E3" w:rsidRPr="001A125F">
        <w:rPr>
          <w:rFonts w:ascii="Arial" w:hAnsi="Arial" w:cs="Arial"/>
          <w:noProof/>
        </w:rPr>
        <w:t>(Onsay &amp; Rabajante, 2025)</w:t>
      </w:r>
      <w:r w:rsidR="000121E3" w:rsidRPr="001A125F">
        <w:rPr>
          <w:rFonts w:ascii="Arial" w:hAnsi="Arial" w:cs="Arial"/>
        </w:rPr>
        <w:fldChar w:fldCharType="end"/>
      </w:r>
      <w:r w:rsidR="000121E3" w:rsidRPr="001A125F">
        <w:rPr>
          <w:rFonts w:ascii="Arial" w:hAnsi="Arial" w:cs="Arial"/>
        </w:rPr>
        <w:t xml:space="preserve">. Widespread poverty is not only a lack of income but also a lack of financial resources, access to services such as nutrition, clothing, and housing </w:t>
      </w:r>
      <w:r w:rsidR="000121E3" w:rsidRPr="001A125F">
        <w:rPr>
          <w:rFonts w:ascii="Arial" w:hAnsi="Arial" w:cs="Arial"/>
        </w:rPr>
        <w:fldChar w:fldCharType="begin" w:fldLock="1"/>
      </w:r>
      <w:r w:rsidR="00807408" w:rsidRPr="001A125F">
        <w:rPr>
          <w:rFonts w:ascii="Arial" w:hAnsi="Arial" w:cs="Arial"/>
        </w:rPr>
        <w:instrText>ADDIN CSL_CITATION {"citationItems":[{"id":"ITEM-1","itemData":{"DOI":"10.1016/j.resglo.2025.100272","ISSN":"2590051X","abstract":"The discussion around globalization often overlooks historical context and real-world dynamics, especially in the context of global development. This study examines the relationship between information and communication technology (ICT), geopolitical risks (GPR), and globalization in Pakistan from 1980 to 2022, with a focus on their impact on poverty. Using the Non-linear Autoregressive Distributive Lag (NARDL) model, the findings reveal that improvements in ICT infrastructure (ICT_POS) significantly reduce poverty, while setbacks in ICT (ICT_NEG) have minimal impact. On the other hand, rising geopolitical risks (GPR_POS) worsen poverty by reducing economic activity, investment, and trade, with negative geopolitical events (GPR_NEG) further exacerbating the issue. Positive economic globalization (EGB_POS) also plays a key role in reducing poverty, while the effects of negative globalization (EGB_NEG) remain unclear. The study recommends enhancing ICT infrastructure and accessibility, particularly in poverty-stricken regions, and addressing geopolitical risks through political stability and conflict resolution. These measures are essential for promoting economic growth and reducing poverty.","author":[{"dropping-particle":"","family":"Khurshid","given":"Nabila","non-dropping-particle":"","parse-names":false,"suffix":""},{"dropping-particle":"","family":"Akram","given":"Nabila","non-dropping-particle":"","parse-names":false,"suffix":""},{"dropping-particle":"","family":"Rashid","given":"Mudassar","non-dropping-particle":"","parse-names":false,"suffix":""}],"container-title":"Research in Globalization","id":"ITEM-1","issue":"September 2024","issued":{"date-parts":[["2025"]]},"page":"100272","publisher":"Elsevier Ltd","title":"Exploring the non-linear impact of information and communication technology, globalization, and geopolitical risks on poverty in Pakistan","type":"article-journal","volume":"10"},"uris":["http://www.mendeley.com/documents/?uuid=56d84932-dfd8-454f-b848-b100b0ff6583"]}],"mendeley":{"formattedCitation":"(Khurshid et al., 2025)","plainTextFormattedCitation":"(Khurshid et al., 2025)","previouslyFormattedCitation":"(Khurshid et al., 2025)"},"properties":{"noteIndex":0},"schema":"https://github.com/citation-style-language/schema/raw/master/csl-citation.json"}</w:instrText>
      </w:r>
      <w:r w:rsidR="000121E3" w:rsidRPr="001A125F">
        <w:rPr>
          <w:rFonts w:ascii="Arial" w:hAnsi="Arial" w:cs="Arial"/>
        </w:rPr>
        <w:fldChar w:fldCharType="separate"/>
      </w:r>
      <w:r w:rsidR="000121E3" w:rsidRPr="001A125F">
        <w:rPr>
          <w:rFonts w:ascii="Arial" w:hAnsi="Arial" w:cs="Arial"/>
          <w:noProof/>
        </w:rPr>
        <w:t>(Khurshid et al., 2025)</w:t>
      </w:r>
      <w:r w:rsidR="000121E3" w:rsidRPr="001A125F">
        <w:rPr>
          <w:rFonts w:ascii="Arial" w:hAnsi="Arial" w:cs="Arial"/>
        </w:rPr>
        <w:fldChar w:fldCharType="end"/>
      </w:r>
      <w:r w:rsidR="000121E3" w:rsidRPr="001A125F">
        <w:rPr>
          <w:rFonts w:ascii="Arial" w:hAnsi="Arial" w:cs="Arial"/>
        </w:rPr>
        <w:t xml:space="preserve">. Meanwhile, if you look at Eurostat data in 2022, more than 72 people are considered at risk of experiencing poverty or social exclusion in a group of 27 European Union countries </w:t>
      </w:r>
      <w:r w:rsidR="00BD0DFB" w:rsidRPr="001A125F">
        <w:rPr>
          <w:rFonts w:ascii="Arial" w:hAnsi="Arial" w:cs="Arial"/>
        </w:rPr>
        <w:fldChar w:fldCharType="begin" w:fldLock="1"/>
      </w:r>
      <w:r w:rsidR="00BD0DFB" w:rsidRPr="001A125F">
        <w:rPr>
          <w:rFonts w:ascii="Arial" w:hAnsi="Arial" w:cs="Arial"/>
        </w:rPr>
        <w:instrText>ADDIN CSL_CITATION {"citationItems":[{"id":"ITEM-1","itemData":{"DOI":"10.1016/j.inteco.2024.100551","ISSN":"21107017","abstract":"This paper investigates whether higher economic freedom and/or lower government intervention in the economy contribute to poverty reduction. Connecting the percentage of people at risk of poverty with the economic freedom index elaborated by the Fraser Institute, and focusing on 12 Eurozone countries in the period between 2000 and 2019, it appears that both higher economic freedom and a lower level of government intervention in the economy (mostly lower spending in government consumption, investment and transfers and subsidies) are associated with an increase in poverty, which stands in contrast to the predictions of neoliberal economic theory.","author":[{"dropping-particle":"","family":"Giorgio","given":"Liotti","non-dropping-particle":"","parse-names":false,"suffix":""}],"container-title":"International Economics","id":"ITEM-1","issue":"September","issued":{"date-parts":[["2024"]]},"page":"100551","publisher":"Elsevier B.V.","title":"Economic freedom and people at risk of poverty in selected Eurozone countries","type":"article-journal","volume":"180"},"uris":["http://www.mendeley.com/documents/?uuid=11b7c5bd-6090-414c-a96d-28eb82a2ceb0"]}],"mendeley":{"formattedCitation":"(Giorgio, 2024)","plainTextFormattedCitation":"(Giorgio, 2024)","previouslyFormattedCitation":"(Giorgio, 2024)"},"properties":{"noteIndex":0},"schema":"https://github.com/citation-style-language/schema/raw/master/csl-citation.json"}</w:instrText>
      </w:r>
      <w:r w:rsidR="00BD0DFB" w:rsidRPr="001A125F">
        <w:rPr>
          <w:rFonts w:ascii="Arial" w:hAnsi="Arial" w:cs="Arial"/>
        </w:rPr>
        <w:fldChar w:fldCharType="separate"/>
      </w:r>
      <w:r w:rsidR="00BD0DFB" w:rsidRPr="001A125F">
        <w:rPr>
          <w:rFonts w:ascii="Arial" w:hAnsi="Arial" w:cs="Arial"/>
          <w:noProof/>
        </w:rPr>
        <w:t>(Giorgio, 2024)</w:t>
      </w:r>
      <w:r w:rsidR="00BD0DFB" w:rsidRPr="001A125F">
        <w:rPr>
          <w:rFonts w:ascii="Arial" w:hAnsi="Arial" w:cs="Arial"/>
        </w:rPr>
        <w:fldChar w:fldCharType="end"/>
      </w:r>
      <w:r w:rsidR="00BD0DFB" w:rsidRPr="001A125F">
        <w:rPr>
          <w:rFonts w:ascii="Arial" w:hAnsi="Arial" w:cs="Arial"/>
        </w:rPr>
        <w:t>.</w:t>
      </w:r>
    </w:p>
    <w:p w14:paraId="3296706D" w14:textId="1E071412" w:rsidR="00C4316B" w:rsidRPr="001A125F" w:rsidRDefault="00C4316B" w:rsidP="00C4316B">
      <w:pPr>
        <w:spacing w:line="360" w:lineRule="auto"/>
        <w:ind w:firstLine="567"/>
        <w:jc w:val="both"/>
        <w:rPr>
          <w:rFonts w:ascii="Arial" w:hAnsi="Arial" w:cs="Arial"/>
          <w:lang w:val="nb-NO"/>
        </w:rPr>
      </w:pPr>
      <w:r w:rsidRPr="001A125F">
        <w:rPr>
          <w:rFonts w:ascii="Arial" w:hAnsi="Arial" w:cs="Arial"/>
        </w:rPr>
        <w:t xml:space="preserve">The </w:t>
      </w:r>
      <w:proofErr w:type="spellStart"/>
      <w:r w:rsidRPr="001A125F">
        <w:rPr>
          <w:rFonts w:ascii="Arial" w:hAnsi="Arial" w:cs="Arial"/>
        </w:rPr>
        <w:t>Gunungkidul</w:t>
      </w:r>
      <w:proofErr w:type="spellEnd"/>
      <w:r w:rsidRPr="001A125F">
        <w:rPr>
          <w:rFonts w:ascii="Arial" w:hAnsi="Arial" w:cs="Arial"/>
        </w:rPr>
        <w:t xml:space="preserve"> Regency Government has made various efforts to alleviate poverty, one of which is by issuing Regent Regulation Number 100 of 2022 concerning the Regional Poverty Alleviation Plan for 2022 – 2026. Through these regulations, priority efforts and programs have been described, but until 2023 poverty cannot be reduced optimally, so it is necessary to conduct research on "Region-Specific Poverty Management Model in </w:t>
      </w:r>
      <w:proofErr w:type="spellStart"/>
      <w:r w:rsidRPr="001A125F">
        <w:rPr>
          <w:rFonts w:ascii="Arial" w:hAnsi="Arial" w:cs="Arial"/>
        </w:rPr>
        <w:t>Gunungkidul</w:t>
      </w:r>
      <w:proofErr w:type="spellEnd"/>
      <w:r w:rsidRPr="001A125F">
        <w:rPr>
          <w:rFonts w:ascii="Arial" w:hAnsi="Arial" w:cs="Arial"/>
        </w:rPr>
        <w:t xml:space="preserve"> Regency in 2024", so that the government's efforts in overcoming poverty can be carried out optimally and significantly reduce the poverty rate. </w:t>
      </w:r>
      <w:r w:rsidR="0096392A" w:rsidRPr="001A125F">
        <w:rPr>
          <w:rFonts w:ascii="Arial" w:hAnsi="Arial" w:cs="Arial"/>
        </w:rPr>
        <w:t>Based on</w:t>
      </w:r>
      <w:r w:rsidRPr="001A125F">
        <w:rPr>
          <w:rFonts w:ascii="Arial" w:hAnsi="Arial" w:cs="Arial"/>
        </w:rPr>
        <w:t xml:space="preserve"> the background described above, this study seeks to analyze what causes poverty in </w:t>
      </w:r>
      <w:proofErr w:type="spellStart"/>
      <w:r w:rsidRPr="001A125F">
        <w:rPr>
          <w:rFonts w:ascii="Arial" w:hAnsi="Arial" w:cs="Arial"/>
        </w:rPr>
        <w:t>Gunungkidul</w:t>
      </w:r>
      <w:proofErr w:type="spellEnd"/>
      <w:r w:rsidRPr="001A125F">
        <w:rPr>
          <w:rFonts w:ascii="Arial" w:hAnsi="Arial" w:cs="Arial"/>
        </w:rPr>
        <w:t xml:space="preserve"> Regency, both from the economic aspect, the socio-institutional aspect, and the regulatory aspect. With this multi-aspect approach, it is hoped that recommendations for a specific handling model for </w:t>
      </w:r>
      <w:proofErr w:type="spellStart"/>
      <w:r w:rsidRPr="001A125F">
        <w:rPr>
          <w:rFonts w:ascii="Arial" w:hAnsi="Arial" w:cs="Arial"/>
        </w:rPr>
        <w:t>Gunungkidul</w:t>
      </w:r>
      <w:proofErr w:type="spellEnd"/>
      <w:r w:rsidRPr="001A125F">
        <w:rPr>
          <w:rFonts w:ascii="Arial" w:hAnsi="Arial" w:cs="Arial"/>
        </w:rPr>
        <w:t xml:space="preserve"> Regency will be formulated. In terms of concept, poverty is indeed multi-dimensional, where the causes of poverty can be natural (natural), cultural (cultural), social, and structural (system and institutional). Each cause requires different treatment or requires </w:t>
      </w:r>
      <w:r w:rsidRPr="001A125F">
        <w:rPr>
          <w:rFonts w:ascii="Arial" w:hAnsi="Arial" w:cs="Arial"/>
          <w:i/>
          <w:iCs/>
        </w:rPr>
        <w:t>Socio-engineering</w:t>
      </w:r>
      <w:r w:rsidRPr="001A125F">
        <w:rPr>
          <w:rFonts w:ascii="Arial" w:hAnsi="Arial" w:cs="Arial"/>
        </w:rPr>
        <w:t xml:space="preserve"> which is specific based on the causes of poverty. Therefore, policymakers find it difficult to target policies when implementing poverty alleviation initiatives </w:t>
      </w:r>
      <w:r w:rsidR="00807408" w:rsidRPr="001A125F">
        <w:rPr>
          <w:rFonts w:ascii="Arial" w:hAnsi="Arial" w:cs="Arial"/>
        </w:rPr>
        <w:fldChar w:fldCharType="begin" w:fldLock="1"/>
      </w:r>
      <w:r w:rsidR="00E545C8" w:rsidRPr="001A125F">
        <w:rPr>
          <w:rFonts w:ascii="Arial" w:hAnsi="Arial" w:cs="Arial"/>
        </w:rPr>
        <w:instrText>ADDIN CSL_CITATION {"citationItems":[{"id":"ITEM-1","itemData":{"DOI":"10.1016/j.sctalk.2024.100387","ISSN":"27725693","author":[{"dropping-particle":"","family":"Onsay","given":"Emmanuel A.","non-dropping-particle":"","parse-names":false,"suffix":""},{"dropping-particle":"","family":"Rabajante","given":"Jomar F.","non-dropping-particle":"","parse-names":false,"suffix":""}],"container-title":"Science Talks","id":"ITEM-1","issue":"July","issued":{"date-parts":[["2024"]]},"page":"100387","publisher":"The Authors","title":"When machine learning meets econometrics: Can it build a better measure to predict multidimensional poverty and examine unmeasurable economic conditions?","type":"article-journal","volume":"11"},"uris":["http://www.mendeley.com/documents/?uuid=3d9e2c95-f0a4-4845-95ee-811a9935d652"]}],"mendeley":{"formattedCitation":"(Onsay &amp; Rabajante, 2024)","plainTextFormattedCitation":"(Onsay &amp; Rabajante, 2024)","previouslyFormattedCitation":"(Onsay &amp; Rabajante, 2024)"},"properties":{"noteIndex":0},"schema":"https://github.com/citation-style-language/schema/raw/master/csl-citation.json"}</w:instrText>
      </w:r>
      <w:r w:rsidR="00807408" w:rsidRPr="001A125F">
        <w:rPr>
          <w:rFonts w:ascii="Arial" w:hAnsi="Arial" w:cs="Arial"/>
        </w:rPr>
        <w:fldChar w:fldCharType="separate"/>
      </w:r>
      <w:r w:rsidR="00807408" w:rsidRPr="001A125F">
        <w:rPr>
          <w:rFonts w:ascii="Arial" w:hAnsi="Arial" w:cs="Arial"/>
          <w:noProof/>
        </w:rPr>
        <w:t>(Onsay &amp; Rabajante, 2024)</w:t>
      </w:r>
      <w:r w:rsidR="00807408" w:rsidRPr="001A125F">
        <w:rPr>
          <w:rFonts w:ascii="Arial" w:hAnsi="Arial" w:cs="Arial"/>
        </w:rPr>
        <w:fldChar w:fldCharType="end"/>
      </w:r>
      <w:r w:rsidR="00807408" w:rsidRPr="001A125F">
        <w:rPr>
          <w:rFonts w:ascii="Arial" w:hAnsi="Arial" w:cs="Arial"/>
        </w:rPr>
        <w:t>.</w:t>
      </w:r>
    </w:p>
    <w:p w14:paraId="51897B7D" w14:textId="07480964" w:rsidR="00EF6580" w:rsidRPr="001A125F" w:rsidRDefault="00F163E5" w:rsidP="00EF6580">
      <w:pPr>
        <w:spacing w:line="360" w:lineRule="auto"/>
        <w:ind w:firstLine="567"/>
        <w:jc w:val="both"/>
        <w:rPr>
          <w:rFonts w:ascii="Arial" w:hAnsi="Arial" w:cs="Arial"/>
          <w:lang w:val="nb-NO"/>
        </w:rPr>
      </w:pPr>
      <w:bookmarkStart w:id="0" w:name="_Hlk173917585"/>
      <w:r w:rsidRPr="001A125F">
        <w:rPr>
          <w:rFonts w:ascii="Arial" w:hAnsi="Arial" w:cs="Arial"/>
        </w:rPr>
        <w:t xml:space="preserve">There is empirical evidence indicating that poverty has a negative effect on long-term economic growth. According to the IMF Working Paper "Links Between Growth, Inequality, and Poverty," an analysis of 85 countries from 1960 to 2000 found that a 10-percentage point increase in poverty rates leads to a one percentage point decrease in per capita GDP growth. Notably, rising poverty rates tend to lower investment levels, especially in countries with underdeveloped financial sectors. Furthermore, the adverse impact of poverty on economic growth also depends on the initial level of poverty within a country. </w:t>
      </w:r>
      <w:r w:rsidRPr="001A125F">
        <w:t xml:space="preserve">In their study of 156 countries from 1960 to 2010, Marrero and </w:t>
      </w:r>
      <w:proofErr w:type="spellStart"/>
      <w:r w:rsidRPr="001A125F">
        <w:t>Servén</w:t>
      </w:r>
      <w:proofErr w:type="spellEnd"/>
      <w:r w:rsidRPr="001A125F">
        <w:t xml:space="preserve"> (2018) discovered that when poverty rates are low (below the median), poverty has little to no effect on economic growth. However, in situations where poverty rates are high, reducing poverty by 10 percentage points is linked to an increase in annual economic growth of between 1 and 2 percent. Additional evidence highlights that despite global declines in poverty rates, there remains a lack of convergence </w:t>
      </w:r>
      <w:r w:rsidRPr="001A125F">
        <w:lastRenderedPageBreak/>
        <w:t xml:space="preserve">across countries. </w:t>
      </w:r>
      <w:proofErr w:type="spellStart"/>
      <w:r w:rsidRPr="001A125F">
        <w:t>Ravallion’s</w:t>
      </w:r>
      <w:proofErr w:type="spellEnd"/>
      <w:r w:rsidRPr="001A125F">
        <w:t xml:space="preserve"> analysis of 90 developing nations between 1991 and 2004 identified two main factors hindering this convergence: first, higher levels of poverty tend to slow down economic growth; second, when initial poverty is high, the benefits of growth for reducing poverty are diminished. These two mechanisms together make it especially challenging for the poorest countries to lower their own poverty rates </w:t>
      </w:r>
      <w:r w:rsidR="007026E7" w:rsidRPr="001A125F">
        <w:rPr>
          <w:rFonts w:ascii="Arial" w:hAnsi="Arial" w:cs="Arial"/>
        </w:rPr>
        <w:fldChar w:fldCharType="begin" w:fldLock="1"/>
      </w:r>
      <w:r w:rsidR="00F6723F" w:rsidRPr="001A125F">
        <w:rPr>
          <w:rFonts w:ascii="Arial" w:hAnsi="Arial" w:cs="Arial"/>
        </w:rPr>
        <w:instrText>ADDIN CSL_CITATION {"citationItems":[{"id":"ITEM-1","itemData":{"DOI":"10.5089/9781513572666.001","ISSN":"1018-5941","abstract":"Is there a tradeoff between raising growth and reducing inequality and poverty? This paper reviews the theoretical and empirical literature on the complex links between growth, inequality, and poverty, with causation going in both directions. The evidence suggests that growth can be effective in reducing poverty, but its impact on inequality is ambiguous and depends on the underlying sources of growth. The impact of poverty and inequality on growth is likewise ambiguous, as several channels mediate the relationship. But most plausible mechanisms suggest that poverty and inequality reduce growth, at least in the long run. Policies play a role in shaping these relationships and those designed to improve equality of opportunity can simultaneously improve inclusiveness and growth","author":[{"dropping-particle":"","family":"Cerra","given":"Valerie","non-dropping-particle":"","parse-names":false,"suffix":""},{"dropping-particle":"","family":"Loayza","given":"Norman","non-dropping-particle":"","parse-names":false,"suffix":""},{"dropping-particle":"","family":"Lama","given":"Ruy","non-dropping-particle":"","parse-names":false,"suffix":""}],"container-title":"IMF Working Papers","id":"ITEM-1","issue":"068","issued":{"date-parts":[["2021"]]},"page":"1","title":"Links Between Growth, Inequality, and Poverty: A Survey","type":"article-journal","volume":"2021"},"uris":["http://www.mendeley.com/documents/?uuid=1820dd77-112f-4356-9a6b-b14a099aa659"]}],"mendeley":{"formattedCitation":"(Cerra et al., 2021)","plainTextFormattedCitation":"(Cerra et al., 2021)","previouslyFormattedCitation":"(Cerra et al., 2021)"},"properties":{"noteIndex":0},"schema":"https://github.com/citation-style-language/schema/raw/master/csl-citation.json"}</w:instrText>
      </w:r>
      <w:r w:rsidR="007026E7" w:rsidRPr="001A125F">
        <w:rPr>
          <w:rFonts w:ascii="Arial" w:hAnsi="Arial" w:cs="Arial"/>
        </w:rPr>
        <w:fldChar w:fldCharType="separate"/>
      </w:r>
      <w:r w:rsidR="007026E7" w:rsidRPr="001A125F">
        <w:rPr>
          <w:rFonts w:ascii="Arial" w:hAnsi="Arial" w:cs="Arial"/>
          <w:noProof/>
        </w:rPr>
        <w:t>(Cerra et al., 2021)</w:t>
      </w:r>
      <w:r w:rsidR="007026E7" w:rsidRPr="001A125F">
        <w:rPr>
          <w:rFonts w:ascii="Arial" w:hAnsi="Arial" w:cs="Arial"/>
        </w:rPr>
        <w:fldChar w:fldCharType="end"/>
      </w:r>
      <w:r w:rsidR="007026E7" w:rsidRPr="001A125F">
        <w:rPr>
          <w:rFonts w:ascii="Arial" w:hAnsi="Arial" w:cs="Arial"/>
        </w:rPr>
        <w:t>.</w:t>
      </w:r>
    </w:p>
    <w:p w14:paraId="2788586C" w14:textId="57DEF9EB" w:rsidR="004332BD" w:rsidRPr="001A125F" w:rsidRDefault="004332BD" w:rsidP="00351295">
      <w:pPr>
        <w:spacing w:line="360" w:lineRule="auto"/>
        <w:ind w:firstLine="567"/>
        <w:jc w:val="both"/>
        <w:rPr>
          <w:rFonts w:ascii="Arial" w:hAnsi="Arial" w:cs="Arial"/>
        </w:rPr>
      </w:pPr>
      <w:bookmarkStart w:id="1" w:name="_Hlk173920701"/>
      <w:r w:rsidRPr="001A125F">
        <w:rPr>
          <w:rFonts w:ascii="Arial" w:hAnsi="Arial" w:cs="Arial"/>
        </w:rPr>
        <w:t xml:space="preserve">The World Bank has updated the global poverty line standard by referring to the 2017 Purchasing Power Parities (PPP). Based on this update, the extreme poverty limit is set at US$2.15 or around Rp32,757.4 per person per day (referring to the exchange rate of Rp15,236 per US dollar). This figure has increased compared to the previous standard in the 2011 PPP which was US$1.90 or around Rp28,948.4 per person per day. In the last two decades, aid and development funds from traditional donors have continued to increase but the growth rate has declined drastically which has made global poverty reduction increasingly difficult due to economic pressures </w:t>
      </w:r>
      <w:r w:rsidR="00BD0DFB" w:rsidRPr="001A125F">
        <w:rPr>
          <w:rFonts w:ascii="Arial" w:hAnsi="Arial" w:cs="Arial"/>
        </w:rPr>
        <w:fldChar w:fldCharType="begin" w:fldLock="1"/>
      </w:r>
      <w:r w:rsidR="005B6DE5" w:rsidRPr="001A125F">
        <w:rPr>
          <w:rFonts w:ascii="Arial" w:hAnsi="Arial" w:cs="Arial"/>
        </w:rPr>
        <w:instrText>ADDIN CSL_CITATION {"citationItems":[{"id":"ITEM-1","itemData":{"DOI":"10.1016/j.econmod.2022.106065","ISSN":"02649993","abstract":"To what extent can World Bank (WB) aid reduce poverty to achieve the sustainable development goals? Recent literature suggests that the WB prefers to target affluent areas, prompting speculation about its ineffectiveness in poverty reduction. We contribute to the literature by examining whether WB aid alleviates poverty at the project level under the traditional motivations of aid flows. Combining geo-coded project data (2000–2014) with the individual multidimensional poverty index in 31 sub-Saharan African countries, we employ difference-in-differences and instrumental variable estimation strategies to address endogeneity. We demonstrate that WB aid significantly alleviated multidimensional poverty where projects were implemented by increasing public resources rather than economic activities, but only for the poor in more developed areas. The principal-agent problem and aid conditionality could weaken overall effectiveness. Our results suggest that enhancing multilateral cooperation can avoid the WB's drawbacks in incentive structures and amplify its advantages in improving social welfare.","author":[{"dropping-particle":"","family":"Zhang","given":"Liyunpeng","non-dropping-particle":"","parse-names":false,"suffix":""},{"dropping-particle":"","family":"Li","given":"Xiao","non-dropping-particle":"","parse-names":false,"suffix":""},{"dropping-particle":"","family":"Zhuang","given":"Yuhang","non-dropping-particle":"","parse-names":false,"suffix":""},{"dropping-particle":"","family":"Li","given":"Ningning","non-dropping-particle":"","parse-names":false,"suffix":""}],"container-title":"Economic Modelling","id":"ITEM-1","issue":"February","issued":{"date-parts":[["2022"]]},"page":"106065","publisher":"Elsevier B.V.","title":"World Bank aid and local multidimensional poverty in Sub-Saharan Africa","type":"article-journal","volume":"117"},"uris":["http://www.mendeley.com/documents/?uuid=d7e37f9f-877a-47ed-b4e7-f9a72f500aec"]}],"mendeley":{"formattedCitation":"(Zhang et al., 2022)","plainTextFormattedCitation":"(Zhang et al., 2022)","previouslyFormattedCitation":"(Zhang et al., 2022)"},"properties":{"noteIndex":0},"schema":"https://github.com/citation-style-language/schema/raw/master/csl-citation.json"}</w:instrText>
      </w:r>
      <w:r w:rsidR="00BD0DFB" w:rsidRPr="001A125F">
        <w:rPr>
          <w:rFonts w:ascii="Arial" w:hAnsi="Arial" w:cs="Arial"/>
        </w:rPr>
        <w:fldChar w:fldCharType="separate"/>
      </w:r>
      <w:r w:rsidR="00BD0DFB" w:rsidRPr="001A125F">
        <w:rPr>
          <w:rFonts w:ascii="Arial" w:hAnsi="Arial" w:cs="Arial"/>
          <w:noProof/>
        </w:rPr>
        <w:t>(Zhang et al., 2022)</w:t>
      </w:r>
      <w:r w:rsidR="00BD0DFB" w:rsidRPr="001A125F">
        <w:rPr>
          <w:rFonts w:ascii="Arial" w:hAnsi="Arial" w:cs="Arial"/>
        </w:rPr>
        <w:fldChar w:fldCharType="end"/>
      </w:r>
      <w:r w:rsidR="00BD0DFB" w:rsidRPr="001A125F">
        <w:rPr>
          <w:rFonts w:ascii="Arial" w:hAnsi="Arial" w:cs="Arial"/>
        </w:rPr>
        <w:t>.</w:t>
      </w:r>
    </w:p>
    <w:p w14:paraId="3F5B1F4C" w14:textId="77749456" w:rsidR="00351295" w:rsidRPr="001A125F" w:rsidRDefault="00351295" w:rsidP="00351295">
      <w:pPr>
        <w:spacing w:line="360" w:lineRule="auto"/>
        <w:ind w:firstLine="567"/>
        <w:jc w:val="both"/>
        <w:rPr>
          <w:rFonts w:ascii="Arial" w:hAnsi="Arial" w:cs="Arial"/>
        </w:rPr>
      </w:pPr>
      <w:r w:rsidRPr="001A125F">
        <w:rPr>
          <w:rFonts w:ascii="Arial" w:hAnsi="Arial" w:cs="Arial"/>
        </w:rPr>
        <w:t>In addition, the World Bank also updated the poverty line limit for other income categories to better reflect the conditions of countries in the Asia Pacific region. This adjustment is made by calculating the median of the national poverty line in lower-middle-income countries. As a result, the poverty line for this group increased from US$3.20 (about Rp48,748.8) in the 2011 PPP to US$3.65 (about Rp55,605.6) in the 2017 PPP. As for the upper-middle income group, the poverty line was adjusted from US$5.50 (Rp83,801.6) to US$6.85 (Rp104,379.4) per person per day.</w:t>
      </w:r>
    </w:p>
    <w:p w14:paraId="1AFA957D" w14:textId="0856AA70" w:rsidR="004332BD" w:rsidRPr="001A125F" w:rsidRDefault="004332BD" w:rsidP="004332BD">
      <w:pPr>
        <w:spacing w:line="360" w:lineRule="auto"/>
        <w:ind w:firstLine="567"/>
        <w:jc w:val="both"/>
        <w:rPr>
          <w:rFonts w:ascii="Arial" w:hAnsi="Arial" w:cs="Arial"/>
        </w:rPr>
      </w:pPr>
      <w:r w:rsidRPr="001A125F">
        <w:rPr>
          <w:rFonts w:ascii="Arial" w:hAnsi="Arial" w:cs="Arial"/>
        </w:rPr>
        <w:t xml:space="preserve">The World Bank said that the change in the extreme poverty line standard based on the 2017 PPP has a major impact on countries in the Asia Pacific. Although the region's extreme poverty rate is generally relatively low, the implementation of the new standard has led to a surge in the number of children classified as poor: an increase of 33 million people for lower-middle income groups and 174 million people for upper-middle income groups. Along with the development of financial globalization, globalization plays an important role for developing countries, but this trend also has socio-economic impacts, especially related to poverty and inequality </w:t>
      </w:r>
      <w:r w:rsidR="00C927C4" w:rsidRPr="001A125F">
        <w:rPr>
          <w:rFonts w:ascii="Arial" w:hAnsi="Arial" w:cs="Arial"/>
        </w:rPr>
        <w:fldChar w:fldCharType="begin" w:fldLock="1"/>
      </w:r>
      <w:r w:rsidR="00E95EEA" w:rsidRPr="001A125F">
        <w:rPr>
          <w:rFonts w:ascii="Arial" w:hAnsi="Arial" w:cs="Arial"/>
        </w:rPr>
        <w:instrText>ADDIN CSL_CITATION {"citationItems":[{"id":"ITEM-1","itemData":{"DOI":"10.1080/2157930X.2025.2467515","ISSN":"21579318","abstract":"This study explores the intertwined roles of Fintech and financial inclusion in addressing poverty and inequality in developing countries. Utilizing panel regression models with PCSE and FGLS methodologies, we analyze data from 108 low to upper-middle-income countries spanning 2011, 2014, 2017, and 2021. The study findings highlight Fintech's transformative impact on financial inclusion, with mobile banking complementing traditional banking in reducing poverty rates. However, the relationship with income inequality reveals a dual nature: while promoting broader access to financial services, it also poses risks of substituting conventional solutions. This underscores the necessity for policymakers to weave Fintech innovations into existing financial systems thoughtfully, promoting socioeconomic equity and sustainable development. By harmonizing modern financial technologies with traditional frameworks, our research addresses the pressing challenges of poverty (SDG 1) and income inequality (SDG 10), offering fresh insights for creating equitable financial ecosystems in emerging economies.","author":[{"dropping-particle":"","family":"Azmeh","given":"Chadi","non-dropping-particle":"","parse-names":false,"suffix":""}],"container-title":"Innovation and Development","id":"ITEM-1","issue":"December 2024","issued":{"date-parts":[["2025"]]},"page":"100277","publisher":"Elsevier Ltd","title":"Bridging divides: the role of Fintech and financial inclusion in reducing poverty and inequality in developing countries","type":"article-journal","volume":"10"},"uris":["http://www.mendeley.com/documents/?uuid=431a6e8d-8c9b-4a57-a150-d00cb2034cf6"]}],"mendeley":{"formattedCitation":"(Azmeh, 2025)","plainTextFormattedCitation":"(Azmeh, 2025)","previouslyFormattedCitation":"(Azmeh, 2025)"},"properties":{"noteIndex":0},"schema":"https://github.com/citation-style-language/schema/raw/master/csl-citation.json"}</w:instrText>
      </w:r>
      <w:r w:rsidR="00C927C4" w:rsidRPr="001A125F">
        <w:rPr>
          <w:rFonts w:ascii="Arial" w:hAnsi="Arial" w:cs="Arial"/>
        </w:rPr>
        <w:fldChar w:fldCharType="separate"/>
      </w:r>
      <w:r w:rsidR="00C927C4" w:rsidRPr="001A125F">
        <w:rPr>
          <w:rFonts w:ascii="Arial" w:hAnsi="Arial" w:cs="Arial"/>
          <w:noProof/>
        </w:rPr>
        <w:t>(Azmeh, 2025)</w:t>
      </w:r>
      <w:r w:rsidR="00C927C4" w:rsidRPr="001A125F">
        <w:rPr>
          <w:rFonts w:ascii="Arial" w:hAnsi="Arial" w:cs="Arial"/>
        </w:rPr>
        <w:fldChar w:fldCharType="end"/>
      </w:r>
      <w:r w:rsidR="00C927C4" w:rsidRPr="001A125F">
        <w:rPr>
          <w:rFonts w:ascii="Arial" w:hAnsi="Arial" w:cs="Arial"/>
        </w:rPr>
        <w:t>.</w:t>
      </w:r>
    </w:p>
    <w:bookmarkEnd w:id="1"/>
    <w:p w14:paraId="743B6F6F" w14:textId="562F7DF3" w:rsidR="009E7AC0" w:rsidRPr="001A125F" w:rsidRDefault="00F163E5" w:rsidP="009E7AC0">
      <w:pPr>
        <w:pStyle w:val="ListParagraph"/>
        <w:spacing w:after="0" w:line="360" w:lineRule="auto"/>
        <w:ind w:left="0" w:firstLine="567"/>
        <w:jc w:val="both"/>
        <w:rPr>
          <w:rFonts w:ascii="Arial" w:hAnsi="Arial" w:cs="Arial"/>
          <w:sz w:val="20"/>
          <w:szCs w:val="20"/>
        </w:rPr>
      </w:pPr>
      <w:r w:rsidRPr="001A125F">
        <w:rPr>
          <w:rFonts w:ascii="Arial" w:hAnsi="Arial" w:cs="Arial"/>
          <w:sz w:val="20"/>
          <w:szCs w:val="20"/>
        </w:rPr>
        <w:t xml:space="preserve">Sen (1976) explained that the conventional method for measuring poverty in a single dimension involves two main steps: first, identifying which individuals are poor, and second, combining this information to produce an overall poverty measure. In contrast, assessing poverty from a multidimensional perspective requires three distinct stages. The first step is to determine whether an individual or household is deprived with respect to each specific variable under consideration. Next, it must be established how many of these variables need to show deprivation for someone to be classified as "poor." Finally, the third stage involves aggregating </w:t>
      </w:r>
      <w:r w:rsidRPr="001A125F">
        <w:rPr>
          <w:rFonts w:ascii="Arial" w:hAnsi="Arial" w:cs="Arial"/>
          <w:sz w:val="20"/>
          <w:szCs w:val="20"/>
        </w:rPr>
        <w:lastRenderedPageBreak/>
        <w:t>this information across all individuals or households to arrive at a comprehensive measure of multidimensional poverty</w:t>
      </w:r>
      <w:r w:rsidRPr="001A125F">
        <w:rPr>
          <w:rFonts w:ascii="Arial" w:hAnsi="Arial" w:cs="Arial"/>
          <w:sz w:val="18"/>
          <w:szCs w:val="18"/>
        </w:rPr>
        <w:t xml:space="preserve"> </w:t>
      </w:r>
      <w:r w:rsidR="001B792D" w:rsidRPr="001A125F">
        <w:rPr>
          <w:rFonts w:ascii="Arial" w:hAnsi="Arial" w:cs="Arial"/>
          <w:sz w:val="20"/>
          <w:szCs w:val="20"/>
        </w:rPr>
        <w:fldChar w:fldCharType="begin" w:fldLock="1"/>
      </w:r>
      <w:r w:rsidR="007026E7" w:rsidRPr="001A125F">
        <w:rPr>
          <w:rFonts w:ascii="Arial" w:hAnsi="Arial" w:cs="Arial"/>
          <w:sz w:val="20"/>
          <w:szCs w:val="20"/>
        </w:rPr>
        <w:instrText>ADDIN CSL_CITATION {"citationItems":[{"id":"ITEM-1","itemData":{"DOI":"10.1016/j.asieco.2020.101220","ISSN":"10490078","abstract":"Using data on household consumer durables from the Asian Barometer Survey, this paper examines the evolution of inequality, poverty and welfare in six countries of South East Asia: Cambodia, Indonesia, Malaysia, the Philippines, Thailand and Vietnam. We start by deriving the most common order of acquisition of these durables, using first an algorithm proposed by Paroush (1965), and then Item Response Theory. We also compute the frequency distribution of the number of durables owned by households. We then use these results to compute inequality, poverty and achievement or welfare indices adapted to the case of ordinal variables. Our empirical results confirm the existence of an order of acquisition. The results show that inequality was higher in Cambodia, Indonesia and the Philippines and lower in Vietnam, Thailand and Malaysia. A similar classification of countries was obtained when computing multidimensional poverty indices. Finally, using the welfare or achievement index recently introduced by Apouey et al. (2019), we found that welfare was generally higher in Vietnam, Thailand and Malaysia and lower in Cambodia, Indonesia and the Philippines.","author":[{"dropping-particle":"","family":"Deutsch","given":"Joseph","non-dropping-particle":"","parse-names":false,"suffix":""},{"dropping-particle":"","family":"Silber","given":"Jacques","non-dropping-particle":"","parse-names":false,"suffix":""},{"dropping-particle":"","family":"Wan","given":"Guanghua","non-dropping-particle":"","parse-names":false,"suffix":""},{"dropping-particle":"","family":"Zhao","given":"Mengxue","non-dropping-particle":"","parse-names":false,"suffix":""}],"container-title":"Journal of Asian Economics","id":"ITEM-1","issued":{"date-parts":[["2020"]]},"page":"101220","publisher":"Elsevier Inc.","title":"Asset indexes and the measurement of poverty, inequality and welfare in Southeast Asia","type":"article-journal","volume":"70"},"uris":["http://www.mendeley.com/documents/?uuid=8c9ad3b5-0f5a-4caf-96ec-0e579eee5779"]}],"mendeley":{"formattedCitation":"(Deutsch et al., 2020)","plainTextFormattedCitation":"(Deutsch et al., 2020)","previouslyFormattedCitation":"(Deutsch et al., 2020)"},"properties":{"noteIndex":0},"schema":"https://github.com/citation-style-language/schema/raw/master/csl-citation.json"}</w:instrText>
      </w:r>
      <w:r w:rsidR="001B792D" w:rsidRPr="001A125F">
        <w:rPr>
          <w:rFonts w:ascii="Arial" w:hAnsi="Arial" w:cs="Arial"/>
          <w:sz w:val="20"/>
          <w:szCs w:val="20"/>
        </w:rPr>
        <w:fldChar w:fldCharType="separate"/>
      </w:r>
      <w:r w:rsidR="001B792D" w:rsidRPr="001A125F">
        <w:rPr>
          <w:rFonts w:ascii="Arial" w:hAnsi="Arial" w:cs="Arial"/>
          <w:noProof/>
          <w:sz w:val="20"/>
          <w:szCs w:val="20"/>
        </w:rPr>
        <w:t>(Deutsch et al., 2020)</w:t>
      </w:r>
      <w:r w:rsidR="001B792D" w:rsidRPr="001A125F">
        <w:rPr>
          <w:rFonts w:ascii="Arial" w:hAnsi="Arial" w:cs="Arial"/>
          <w:sz w:val="20"/>
          <w:szCs w:val="20"/>
        </w:rPr>
        <w:fldChar w:fldCharType="end"/>
      </w:r>
      <w:r w:rsidR="001B792D" w:rsidRPr="001A125F">
        <w:rPr>
          <w:rFonts w:ascii="Arial" w:hAnsi="Arial" w:cs="Arial"/>
          <w:sz w:val="20"/>
          <w:szCs w:val="20"/>
        </w:rPr>
        <w:t>.</w:t>
      </w:r>
      <w:r w:rsidR="008A0A06" w:rsidRPr="001A125F">
        <w:rPr>
          <w:rFonts w:ascii="Arial" w:hAnsi="Arial" w:cs="Arial"/>
          <w:sz w:val="20"/>
          <w:szCs w:val="20"/>
        </w:rPr>
        <w:t xml:space="preserve"> </w:t>
      </w:r>
    </w:p>
    <w:p w14:paraId="20FBDFB0" w14:textId="0CAA4E03" w:rsidR="001A125F" w:rsidRPr="001A125F" w:rsidRDefault="001A125F" w:rsidP="001A125F">
      <w:pPr>
        <w:spacing w:line="360" w:lineRule="auto"/>
        <w:ind w:firstLine="567"/>
        <w:jc w:val="both"/>
      </w:pPr>
      <w:r w:rsidRPr="001A125F">
        <w:rPr>
          <w:rFonts w:ascii="Arial" w:hAnsi="Arial" w:cs="Arial"/>
        </w:rPr>
        <w:t>This research is of particular importance to the scientific community because it sheds light on region-specific poverty analysis that is often overlooked in favor of a national approach. This research contributes to a deeper understanding of how geographical and environmental conditions affect the dynamics of extreme poverty in a region. In addition, this paper explains the need for policy interventions and technological solutions that serve as valuable references for other regions facing similar problems.</w:t>
      </w:r>
    </w:p>
    <w:bookmarkEnd w:id="0"/>
    <w:p w14:paraId="49E6EA46" w14:textId="77777777" w:rsidR="00790ADA" w:rsidRPr="001A125F" w:rsidRDefault="00790ADA" w:rsidP="00441B6F">
      <w:pPr>
        <w:pStyle w:val="Body"/>
        <w:spacing w:after="0"/>
        <w:rPr>
          <w:rFonts w:ascii="Arial" w:hAnsi="Arial" w:cs="Arial"/>
        </w:rPr>
      </w:pPr>
    </w:p>
    <w:p w14:paraId="027FA73D" w14:textId="11E576C7" w:rsidR="00790ADA" w:rsidRPr="001A125F" w:rsidRDefault="00902823" w:rsidP="00441B6F">
      <w:pPr>
        <w:pStyle w:val="AbstHead"/>
        <w:spacing w:after="0"/>
        <w:jc w:val="both"/>
        <w:rPr>
          <w:rFonts w:ascii="Arial" w:hAnsi="Arial" w:cs="Arial"/>
        </w:rPr>
      </w:pPr>
      <w:r w:rsidRPr="001A125F">
        <w:rPr>
          <w:rFonts w:ascii="Arial" w:hAnsi="Arial" w:cs="Arial"/>
        </w:rPr>
        <w:t xml:space="preserve">2. material and methods / experimental details / methodology </w:t>
      </w:r>
    </w:p>
    <w:p w14:paraId="3810B32C" w14:textId="77777777" w:rsidR="00EF6580" w:rsidRPr="001A125F" w:rsidRDefault="00EF6580" w:rsidP="00EF6580">
      <w:pPr>
        <w:pStyle w:val="ListParagraph"/>
        <w:tabs>
          <w:tab w:val="left" w:pos="0"/>
        </w:tabs>
        <w:spacing w:after="0" w:line="360" w:lineRule="auto"/>
        <w:ind w:left="0" w:firstLine="567"/>
        <w:jc w:val="both"/>
        <w:rPr>
          <w:rFonts w:ascii="Arial" w:hAnsi="Arial" w:cs="Arial"/>
          <w:sz w:val="20"/>
          <w:szCs w:val="20"/>
          <w:lang w:val="nb-NO"/>
        </w:rPr>
      </w:pPr>
      <w:r w:rsidRPr="001A125F">
        <w:rPr>
          <w:rFonts w:ascii="Arial" w:hAnsi="Arial" w:cs="Arial"/>
          <w:sz w:val="20"/>
          <w:szCs w:val="20"/>
        </w:rPr>
        <w:t xml:space="preserve">From the sample data, it was then analyzed with several analysis methods, which in the end was to formulate how to handle specific poverty in the </w:t>
      </w:r>
      <w:proofErr w:type="spellStart"/>
      <w:r w:rsidRPr="001A125F">
        <w:rPr>
          <w:rFonts w:ascii="Arial" w:hAnsi="Arial" w:cs="Arial"/>
          <w:sz w:val="20"/>
          <w:szCs w:val="20"/>
        </w:rPr>
        <w:t>Gunungkidul</w:t>
      </w:r>
      <w:proofErr w:type="spellEnd"/>
      <w:r w:rsidRPr="001A125F">
        <w:rPr>
          <w:rFonts w:ascii="Arial" w:hAnsi="Arial" w:cs="Arial"/>
          <w:sz w:val="20"/>
          <w:szCs w:val="20"/>
        </w:rPr>
        <w:t xml:space="preserve"> Regency area. Some of the analysis methods that will be used in this study are as follows:</w:t>
      </w:r>
    </w:p>
    <w:p w14:paraId="73B676DF" w14:textId="77777777" w:rsidR="00EF6580" w:rsidRPr="001A125F" w:rsidRDefault="00EF6580" w:rsidP="00EF6580">
      <w:pPr>
        <w:tabs>
          <w:tab w:val="left" w:pos="0"/>
        </w:tabs>
        <w:spacing w:line="360" w:lineRule="auto"/>
        <w:jc w:val="both"/>
        <w:outlineLvl w:val="2"/>
        <w:rPr>
          <w:rFonts w:ascii="Arial" w:hAnsi="Arial" w:cs="Arial"/>
          <w:b/>
          <w:bCs/>
        </w:rPr>
      </w:pPr>
      <w:bookmarkStart w:id="2" w:name="_Toc174911440"/>
      <w:r w:rsidRPr="001A125F">
        <w:rPr>
          <w:rFonts w:ascii="Arial" w:hAnsi="Arial" w:cs="Arial"/>
          <w:b/>
          <w:bCs/>
        </w:rPr>
        <w:t>2.1. Descriptive Statistical Analysis</w:t>
      </w:r>
      <w:bookmarkEnd w:id="2"/>
    </w:p>
    <w:p w14:paraId="69E0E6D6" w14:textId="3A0B4855" w:rsidR="004332BD" w:rsidRPr="001A125F" w:rsidRDefault="004332BD" w:rsidP="004332BD">
      <w:pPr>
        <w:spacing w:line="360" w:lineRule="auto"/>
        <w:ind w:firstLine="567"/>
        <w:jc w:val="both"/>
        <w:rPr>
          <w:rFonts w:ascii="Arial" w:hAnsi="Arial" w:cs="Arial"/>
        </w:rPr>
      </w:pPr>
      <w:r w:rsidRPr="001A125F">
        <w:rPr>
          <w:rFonts w:ascii="Arial" w:hAnsi="Arial" w:cs="Arial"/>
        </w:rPr>
        <w:t xml:space="preserve">Descriptive statistics are statistical methods used to process and present data by describing or explaining the data that has been collected, without the aim of drawing general conclusions or </w:t>
      </w:r>
      <w:r w:rsidR="00516D16" w:rsidRPr="001A125F">
        <w:rPr>
          <w:rFonts w:ascii="Arial" w:hAnsi="Arial" w:cs="Arial"/>
        </w:rPr>
        <w:t>generalizing</w:t>
      </w:r>
      <w:r w:rsidRPr="001A125F">
        <w:rPr>
          <w:rFonts w:ascii="Arial" w:hAnsi="Arial" w:cs="Arial"/>
        </w:rPr>
        <w:t>.</w:t>
      </w:r>
    </w:p>
    <w:p w14:paraId="2273F885" w14:textId="5037D237" w:rsidR="00EF6580" w:rsidRPr="001A125F" w:rsidRDefault="00EF6580" w:rsidP="00EF6580">
      <w:pPr>
        <w:pStyle w:val="ListParagraph"/>
        <w:numPr>
          <w:ilvl w:val="1"/>
          <w:numId w:val="34"/>
        </w:numPr>
        <w:tabs>
          <w:tab w:val="left" w:pos="0"/>
        </w:tabs>
        <w:spacing w:after="0" w:line="360" w:lineRule="auto"/>
        <w:jc w:val="both"/>
        <w:outlineLvl w:val="2"/>
        <w:rPr>
          <w:rFonts w:ascii="Arial" w:hAnsi="Arial" w:cs="Arial"/>
          <w:b/>
          <w:bCs/>
          <w:sz w:val="20"/>
          <w:szCs w:val="20"/>
        </w:rPr>
      </w:pPr>
      <w:bookmarkStart w:id="3" w:name="_Toc174911441"/>
      <w:r w:rsidRPr="001A125F">
        <w:rPr>
          <w:rFonts w:ascii="Arial" w:hAnsi="Arial" w:cs="Arial"/>
          <w:b/>
          <w:bCs/>
          <w:sz w:val="20"/>
          <w:szCs w:val="20"/>
        </w:rPr>
        <w:t>Quantitative analysis</w:t>
      </w:r>
      <w:bookmarkEnd w:id="3"/>
    </w:p>
    <w:p w14:paraId="5611B884" w14:textId="4A1091CA" w:rsidR="00EF6580" w:rsidRPr="001A125F" w:rsidRDefault="00EF6580" w:rsidP="00EF6580">
      <w:pPr>
        <w:tabs>
          <w:tab w:val="left" w:pos="0"/>
        </w:tabs>
        <w:spacing w:line="360" w:lineRule="auto"/>
        <w:jc w:val="both"/>
        <w:rPr>
          <w:rFonts w:ascii="Arial" w:hAnsi="Arial" w:cs="Arial"/>
          <w:lang w:val="nb-NO"/>
        </w:rPr>
      </w:pPr>
      <w:r w:rsidRPr="001A125F">
        <w:rPr>
          <w:rFonts w:ascii="Arial" w:hAnsi="Arial" w:cs="Arial"/>
        </w:rPr>
        <w:tab/>
        <w:t xml:space="preserve">Quantitative analysis was carried out to observe whether poverty in </w:t>
      </w:r>
      <w:proofErr w:type="spellStart"/>
      <w:r w:rsidRPr="001A125F">
        <w:rPr>
          <w:rFonts w:ascii="Arial" w:hAnsi="Arial" w:cs="Arial"/>
        </w:rPr>
        <w:t>Gunungkidul</w:t>
      </w:r>
      <w:proofErr w:type="spellEnd"/>
      <w:r w:rsidRPr="001A125F">
        <w:rPr>
          <w:rFonts w:ascii="Arial" w:hAnsi="Arial" w:cs="Arial"/>
        </w:rPr>
        <w:t xml:space="preserve"> Regency is related to macroeconomic performance or not. If there is a positive correlation between poverty and macroeconomic performance, then the higher the macroeconomic performance, the higher the poverty. On the other hand, if it is negatively correlated, it means that the higher the macroeconomic performance, the lower the poverty. </w:t>
      </w:r>
    </w:p>
    <w:p w14:paraId="00E0949F" w14:textId="77777777" w:rsidR="00EF6580" w:rsidRPr="001A125F" w:rsidRDefault="00EF6580" w:rsidP="00EF6580">
      <w:pPr>
        <w:tabs>
          <w:tab w:val="left" w:pos="0"/>
        </w:tabs>
        <w:spacing w:line="360" w:lineRule="auto"/>
        <w:jc w:val="both"/>
        <w:rPr>
          <w:rFonts w:ascii="Arial" w:hAnsi="Arial" w:cs="Arial"/>
        </w:rPr>
      </w:pPr>
      <w:r w:rsidRPr="001A125F">
        <w:rPr>
          <w:rFonts w:ascii="Arial" w:hAnsi="Arial" w:cs="Arial"/>
        </w:rPr>
        <w:tab/>
        <w:t>To calculate the correlation coefficient, this study used the Pearson correlation analysis tool. Technically, the correlation calculation uses the variables between poverty and the variables of GDP per capita and GDP growth. Therefore, 4 correlation equations will be used, namely:</w:t>
      </w:r>
    </w:p>
    <w:p w14:paraId="42B2441F" w14:textId="77777777" w:rsidR="00EF6580" w:rsidRPr="001A125F" w:rsidRDefault="00EF6580" w:rsidP="00EF6580">
      <w:pPr>
        <w:pStyle w:val="ListParagraph"/>
        <w:numPr>
          <w:ilvl w:val="0"/>
          <w:numId w:val="35"/>
        </w:numPr>
        <w:tabs>
          <w:tab w:val="left" w:pos="0"/>
        </w:tabs>
        <w:spacing w:after="0" w:line="360" w:lineRule="auto"/>
        <w:ind w:left="567"/>
        <w:jc w:val="both"/>
        <w:rPr>
          <w:rFonts w:ascii="Arial" w:hAnsi="Arial" w:cs="Arial"/>
          <w:sz w:val="20"/>
          <w:szCs w:val="20"/>
          <w:lang w:val="nb-NO"/>
        </w:rPr>
      </w:pPr>
      <w:r w:rsidRPr="001A125F">
        <w:rPr>
          <w:rFonts w:ascii="Arial" w:hAnsi="Arial" w:cs="Arial"/>
          <w:sz w:val="20"/>
          <w:szCs w:val="20"/>
        </w:rPr>
        <w:t xml:space="preserve">Correlation of the number of poor people in </w:t>
      </w:r>
      <w:proofErr w:type="spellStart"/>
      <w:r w:rsidRPr="001A125F">
        <w:rPr>
          <w:rFonts w:ascii="Arial" w:hAnsi="Arial" w:cs="Arial"/>
          <w:sz w:val="20"/>
          <w:szCs w:val="20"/>
        </w:rPr>
        <w:t>Gunungkidul</w:t>
      </w:r>
      <w:proofErr w:type="spellEnd"/>
      <w:r w:rsidRPr="001A125F">
        <w:rPr>
          <w:rFonts w:ascii="Arial" w:hAnsi="Arial" w:cs="Arial"/>
          <w:sz w:val="20"/>
          <w:szCs w:val="20"/>
        </w:rPr>
        <w:t xml:space="preserve"> Regency with GDP per capita</w:t>
      </w:r>
    </w:p>
    <w:p w14:paraId="4BEC211E" w14:textId="77777777" w:rsidR="00EF6580" w:rsidRPr="001A125F" w:rsidRDefault="00EF6580" w:rsidP="00EF6580">
      <w:pPr>
        <w:pStyle w:val="ListParagraph"/>
        <w:numPr>
          <w:ilvl w:val="0"/>
          <w:numId w:val="35"/>
        </w:numPr>
        <w:tabs>
          <w:tab w:val="left" w:pos="0"/>
        </w:tabs>
        <w:spacing w:after="0" w:line="360" w:lineRule="auto"/>
        <w:ind w:left="567"/>
        <w:jc w:val="both"/>
        <w:rPr>
          <w:rFonts w:ascii="Arial" w:hAnsi="Arial" w:cs="Arial"/>
          <w:sz w:val="20"/>
          <w:szCs w:val="20"/>
          <w:lang w:val="nb-NO"/>
        </w:rPr>
      </w:pPr>
      <w:r w:rsidRPr="001A125F">
        <w:rPr>
          <w:rFonts w:ascii="Arial" w:hAnsi="Arial" w:cs="Arial"/>
          <w:sz w:val="20"/>
          <w:szCs w:val="20"/>
        </w:rPr>
        <w:t xml:space="preserve">Correlation of the percentage of poor people in </w:t>
      </w:r>
      <w:proofErr w:type="spellStart"/>
      <w:r w:rsidRPr="001A125F">
        <w:rPr>
          <w:rFonts w:ascii="Arial" w:hAnsi="Arial" w:cs="Arial"/>
          <w:sz w:val="20"/>
          <w:szCs w:val="20"/>
        </w:rPr>
        <w:t>Gunungkidul</w:t>
      </w:r>
      <w:proofErr w:type="spellEnd"/>
      <w:r w:rsidRPr="001A125F">
        <w:rPr>
          <w:rFonts w:ascii="Arial" w:hAnsi="Arial" w:cs="Arial"/>
          <w:sz w:val="20"/>
          <w:szCs w:val="20"/>
        </w:rPr>
        <w:t xml:space="preserve"> Regency with GDP per capita</w:t>
      </w:r>
    </w:p>
    <w:p w14:paraId="3CBF689F" w14:textId="77777777" w:rsidR="00EF6580" w:rsidRPr="001A125F" w:rsidRDefault="00EF6580" w:rsidP="00EF6580">
      <w:pPr>
        <w:pStyle w:val="ListParagraph"/>
        <w:numPr>
          <w:ilvl w:val="0"/>
          <w:numId w:val="35"/>
        </w:numPr>
        <w:tabs>
          <w:tab w:val="left" w:pos="0"/>
        </w:tabs>
        <w:spacing w:after="0" w:line="360" w:lineRule="auto"/>
        <w:ind w:left="567"/>
        <w:jc w:val="both"/>
        <w:rPr>
          <w:rFonts w:ascii="Arial" w:hAnsi="Arial" w:cs="Arial"/>
          <w:sz w:val="20"/>
          <w:szCs w:val="20"/>
          <w:lang w:val="nb-NO"/>
        </w:rPr>
      </w:pPr>
      <w:r w:rsidRPr="001A125F">
        <w:rPr>
          <w:rFonts w:ascii="Arial" w:hAnsi="Arial" w:cs="Arial"/>
          <w:sz w:val="20"/>
          <w:szCs w:val="20"/>
        </w:rPr>
        <w:t xml:space="preserve">Correlation of the number of poor people in </w:t>
      </w:r>
      <w:proofErr w:type="spellStart"/>
      <w:r w:rsidRPr="001A125F">
        <w:rPr>
          <w:rFonts w:ascii="Arial" w:hAnsi="Arial" w:cs="Arial"/>
          <w:sz w:val="20"/>
          <w:szCs w:val="20"/>
        </w:rPr>
        <w:t>Gunungkidul</w:t>
      </w:r>
      <w:proofErr w:type="spellEnd"/>
      <w:r w:rsidRPr="001A125F">
        <w:rPr>
          <w:rFonts w:ascii="Arial" w:hAnsi="Arial" w:cs="Arial"/>
          <w:sz w:val="20"/>
          <w:szCs w:val="20"/>
        </w:rPr>
        <w:t xml:space="preserve"> Regency with GDP growth </w:t>
      </w:r>
    </w:p>
    <w:p w14:paraId="161D64BF" w14:textId="77777777" w:rsidR="00EF6580" w:rsidRPr="001A125F" w:rsidRDefault="00EF6580" w:rsidP="00EF6580">
      <w:pPr>
        <w:pStyle w:val="ListParagraph"/>
        <w:numPr>
          <w:ilvl w:val="0"/>
          <w:numId w:val="35"/>
        </w:numPr>
        <w:tabs>
          <w:tab w:val="left" w:pos="0"/>
        </w:tabs>
        <w:spacing w:after="0" w:line="360" w:lineRule="auto"/>
        <w:ind w:left="567"/>
        <w:jc w:val="both"/>
        <w:rPr>
          <w:rFonts w:ascii="Arial" w:hAnsi="Arial" w:cs="Arial"/>
          <w:sz w:val="20"/>
          <w:szCs w:val="20"/>
          <w:lang w:val="nb-NO"/>
        </w:rPr>
      </w:pPr>
      <w:r w:rsidRPr="001A125F">
        <w:rPr>
          <w:rFonts w:ascii="Arial" w:hAnsi="Arial" w:cs="Arial"/>
          <w:sz w:val="20"/>
          <w:szCs w:val="20"/>
        </w:rPr>
        <w:t xml:space="preserve">Correlation of the percentage of poor people in </w:t>
      </w:r>
      <w:proofErr w:type="spellStart"/>
      <w:r w:rsidRPr="001A125F">
        <w:rPr>
          <w:rFonts w:ascii="Arial" w:hAnsi="Arial" w:cs="Arial"/>
          <w:sz w:val="20"/>
          <w:szCs w:val="20"/>
        </w:rPr>
        <w:t>Gunungkidul</w:t>
      </w:r>
      <w:proofErr w:type="spellEnd"/>
      <w:r w:rsidRPr="001A125F">
        <w:rPr>
          <w:rFonts w:ascii="Arial" w:hAnsi="Arial" w:cs="Arial"/>
          <w:sz w:val="20"/>
          <w:szCs w:val="20"/>
        </w:rPr>
        <w:t xml:space="preserve"> Regency with GDP growth </w:t>
      </w:r>
    </w:p>
    <w:p w14:paraId="00AEA3B8" w14:textId="77777777" w:rsidR="00EF6580" w:rsidRPr="001A125F" w:rsidRDefault="00EF6580" w:rsidP="00EF6580">
      <w:pPr>
        <w:spacing w:line="360" w:lineRule="auto"/>
        <w:jc w:val="both"/>
        <w:rPr>
          <w:rFonts w:ascii="Arial" w:hAnsi="Arial" w:cs="Arial"/>
          <w:lang w:val="nb-NO"/>
        </w:rPr>
      </w:pPr>
      <w:r w:rsidRPr="001A125F">
        <w:rPr>
          <w:rFonts w:ascii="Arial" w:hAnsi="Arial" w:cs="Arial"/>
        </w:rPr>
        <w:t>The formula used to calculate the correlation is shown as follows:</w:t>
      </w:r>
    </w:p>
    <w:p w14:paraId="46CB8363" w14:textId="77777777" w:rsidR="00EF6580" w:rsidRPr="001A125F" w:rsidRDefault="00EF6580" w:rsidP="00EF6580">
      <w:pPr>
        <w:rPr>
          <w:rFonts w:ascii="Arial" w:eastAsia="DengXian" w:hAnsi="Arial" w:cs="Arial"/>
        </w:rPr>
      </w:pPr>
      <m:oMathPara>
        <m:oMath>
          <m:r>
            <w:rPr>
              <w:rFonts w:ascii="Cambria Math" w:hAnsi="Cambria Math" w:cs="Arial"/>
            </w:rPr>
            <m:t>r=</m:t>
          </m:r>
          <m:f>
            <m:fPr>
              <m:ctrlPr>
                <w:rPr>
                  <w:rFonts w:ascii="Cambria Math" w:hAnsi="Cambria Math" w:cs="Arial"/>
                  <w:i/>
                </w:rPr>
              </m:ctrlPr>
            </m:fPr>
            <m:num>
              <m:r>
                <w:rPr>
                  <w:rFonts w:ascii="Cambria Math" w:hAnsi="Cambria Math" w:cs="Arial"/>
                </w:rPr>
                <m:t>n</m:t>
              </m:r>
              <m:nary>
                <m:naryPr>
                  <m:chr m:val="∑"/>
                  <m:limLoc m:val="undOvr"/>
                  <m:subHide m:val="1"/>
                  <m:supHide m:val="1"/>
                  <m:ctrlPr>
                    <w:rPr>
                      <w:rFonts w:ascii="Cambria Math" w:hAnsi="Cambria Math" w:cs="Arial"/>
                      <w:i/>
                    </w:rPr>
                  </m:ctrlPr>
                </m:naryPr>
                <m:sub/>
                <m:sup/>
                <m:e>
                  <m:r>
                    <w:rPr>
                      <w:rFonts w:ascii="Cambria Math" w:hAnsi="Cambria Math" w:cs="Arial"/>
                    </w:rPr>
                    <m:t>xy-(</m:t>
                  </m:r>
                  <m:nary>
                    <m:naryPr>
                      <m:chr m:val="∑"/>
                      <m:limLoc m:val="undOvr"/>
                      <m:subHide m:val="1"/>
                      <m:supHide m:val="1"/>
                      <m:ctrlPr>
                        <w:rPr>
                          <w:rFonts w:ascii="Cambria Math" w:hAnsi="Cambria Math" w:cs="Arial"/>
                          <w:i/>
                        </w:rPr>
                      </m:ctrlPr>
                    </m:naryPr>
                    <m:sub/>
                    <m:sup/>
                    <m:e>
                      <m:r>
                        <w:rPr>
                          <w:rFonts w:ascii="Cambria Math" w:hAnsi="Cambria Math" w:cs="Arial"/>
                        </w:rPr>
                        <m:t>x)(</m:t>
                      </m:r>
                      <m:nary>
                        <m:naryPr>
                          <m:chr m:val="∑"/>
                          <m:limLoc m:val="undOvr"/>
                          <m:subHide m:val="1"/>
                          <m:supHide m:val="1"/>
                          <m:ctrlPr>
                            <w:rPr>
                              <w:rFonts w:ascii="Cambria Math" w:hAnsi="Cambria Math" w:cs="Arial"/>
                              <w:i/>
                            </w:rPr>
                          </m:ctrlPr>
                        </m:naryPr>
                        <m:sub/>
                        <m:sup/>
                        <m:e>
                          <m:r>
                            <w:rPr>
                              <w:rFonts w:ascii="Cambria Math" w:hAnsi="Cambria Math" w:cs="Arial"/>
                            </w:rPr>
                            <m:t>y)</m:t>
                          </m:r>
                        </m:e>
                      </m:nary>
                    </m:e>
                  </m:nary>
                </m:e>
              </m:nary>
            </m:num>
            <m:den>
              <m:rad>
                <m:radPr>
                  <m:degHide m:val="1"/>
                  <m:ctrlPr>
                    <w:rPr>
                      <w:rFonts w:ascii="Cambria Math" w:hAnsi="Cambria Math" w:cs="Arial"/>
                      <w:i/>
                    </w:rPr>
                  </m:ctrlPr>
                </m:radPr>
                <m:deg/>
                <m:e>
                  <m:r>
                    <w:rPr>
                      <w:rFonts w:ascii="Cambria Math" w:hAnsi="Cambria Math" w:cs="Arial"/>
                    </w:rPr>
                    <m:t>[n</m:t>
                  </m:r>
                  <m:nary>
                    <m:naryPr>
                      <m:chr m:val="∑"/>
                      <m:limLoc m:val="undOvr"/>
                      <m:subHide m:val="1"/>
                      <m:supHide m:val="1"/>
                      <m:ctrlPr>
                        <w:rPr>
                          <w:rFonts w:ascii="Cambria Math" w:hAnsi="Cambria Math" w:cs="Arial"/>
                          <w:i/>
                        </w:rPr>
                      </m:ctrlPr>
                    </m:naryPr>
                    <m:sub/>
                    <m:sup/>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e>
                  </m:nary>
                  <m:r>
                    <w:rPr>
                      <w:rFonts w:ascii="Cambria Math" w:hAnsi="Cambria Math" w:cs="Arial"/>
                    </w:rPr>
                    <m:t>-(</m:t>
                  </m:r>
                  <m:nary>
                    <m:naryPr>
                      <m:chr m:val="∑"/>
                      <m:limLoc m:val="undOvr"/>
                      <m:subHide m:val="1"/>
                      <m:supHide m:val="1"/>
                      <m:ctrlPr>
                        <w:rPr>
                          <w:rFonts w:ascii="Cambria Math" w:hAnsi="Cambria Math" w:cs="Arial"/>
                          <w:i/>
                        </w:rPr>
                      </m:ctrlPr>
                    </m:naryPr>
                    <m:sub/>
                    <m:sup/>
                    <m:e>
                      <m:r>
                        <w:rPr>
                          <w:rFonts w:ascii="Cambria Math" w:hAnsi="Cambria Math" w:cs="Arial"/>
                        </w:rPr>
                        <m:t>x</m:t>
                      </m:r>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r>
                        <w:rPr>
                          <w:rFonts w:ascii="Cambria Math" w:hAnsi="Cambria Math" w:cs="Arial"/>
                        </w:rPr>
                        <m:t>][n</m:t>
                      </m:r>
                      <m:nary>
                        <m:naryPr>
                          <m:chr m:val="∑"/>
                          <m:limLoc m:val="undOvr"/>
                          <m:subHide m:val="1"/>
                          <m:supHide m:val="1"/>
                          <m:ctrlPr>
                            <w:rPr>
                              <w:rFonts w:ascii="Cambria Math" w:hAnsi="Cambria Math" w:cs="Arial"/>
                              <w:i/>
                            </w:rPr>
                          </m:ctrlPr>
                        </m:naryPr>
                        <m:sub/>
                        <m:sup/>
                        <m:e>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e>
                      </m:nary>
                      <m:r>
                        <w:rPr>
                          <w:rFonts w:ascii="Cambria Math" w:hAnsi="Cambria Math" w:cs="Arial"/>
                        </w:rPr>
                        <m:t>-(</m:t>
                      </m:r>
                      <m:nary>
                        <m:naryPr>
                          <m:chr m:val="∑"/>
                          <m:limLoc m:val="undOvr"/>
                          <m:subHide m:val="1"/>
                          <m:supHide m:val="1"/>
                          <m:ctrlPr>
                            <w:rPr>
                              <w:rFonts w:ascii="Cambria Math" w:hAnsi="Cambria Math" w:cs="Arial"/>
                              <w:i/>
                            </w:rPr>
                          </m:ctrlPr>
                        </m:naryPr>
                        <m:sub/>
                        <m:sup/>
                        <m:e>
                          <m:r>
                            <w:rPr>
                              <w:rFonts w:ascii="Cambria Math" w:hAnsi="Cambria Math" w:cs="Arial"/>
                            </w:rPr>
                            <m:t>y</m:t>
                          </m:r>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r>
                            <w:rPr>
                              <w:rFonts w:ascii="Cambria Math" w:hAnsi="Cambria Math" w:cs="Arial"/>
                            </w:rPr>
                            <m:t>]</m:t>
                          </m:r>
                        </m:e>
                      </m:nary>
                    </m:e>
                  </m:nary>
                </m:e>
              </m:rad>
            </m:den>
          </m:f>
        </m:oMath>
      </m:oMathPara>
    </w:p>
    <w:p w14:paraId="087C59FE" w14:textId="77777777" w:rsidR="00EF6580" w:rsidRPr="001A125F" w:rsidRDefault="00EF6580" w:rsidP="00EF6580">
      <w:pPr>
        <w:spacing w:line="360" w:lineRule="auto"/>
        <w:jc w:val="both"/>
        <w:rPr>
          <w:rFonts w:ascii="Arial" w:hAnsi="Arial" w:cs="Arial"/>
          <w:lang w:val="nb-NO"/>
        </w:rPr>
      </w:pPr>
      <w:r w:rsidRPr="001A125F">
        <w:rPr>
          <w:rFonts w:ascii="Arial" w:hAnsi="Arial" w:cs="Arial"/>
        </w:rPr>
        <w:t>Where:</w:t>
      </w:r>
    </w:p>
    <w:p w14:paraId="259508DE" w14:textId="4D6F6A13" w:rsidR="00EF6580" w:rsidRPr="001A125F" w:rsidRDefault="00956072" w:rsidP="00EF6580">
      <w:pPr>
        <w:spacing w:line="360" w:lineRule="auto"/>
        <w:ind w:left="426"/>
        <w:jc w:val="both"/>
        <w:rPr>
          <w:rFonts w:ascii="Arial" w:hAnsi="Arial" w:cs="Arial"/>
          <w:lang w:val="nb-NO"/>
        </w:rPr>
      </w:pPr>
      <w:r w:rsidRPr="001A125F">
        <w:rPr>
          <w:rFonts w:ascii="Arial" w:hAnsi="Arial" w:cs="Arial"/>
        </w:rPr>
        <w:t>R:</w:t>
      </w:r>
      <w:r w:rsidR="00EF6580" w:rsidRPr="001A125F">
        <w:rPr>
          <w:rFonts w:ascii="Arial" w:hAnsi="Arial" w:cs="Arial"/>
        </w:rPr>
        <w:t xml:space="preserve"> Correlation Coefficient</w:t>
      </w:r>
    </w:p>
    <w:p w14:paraId="6181EAD6" w14:textId="1D1FEEB6" w:rsidR="00EF6580" w:rsidRPr="001A125F" w:rsidRDefault="00956072" w:rsidP="00EF6580">
      <w:pPr>
        <w:spacing w:line="360" w:lineRule="auto"/>
        <w:ind w:left="426"/>
        <w:jc w:val="both"/>
        <w:rPr>
          <w:rFonts w:ascii="Arial" w:hAnsi="Arial" w:cs="Arial"/>
          <w:lang w:val="nb-NO"/>
        </w:rPr>
      </w:pPr>
      <w:r w:rsidRPr="001A125F">
        <w:rPr>
          <w:rFonts w:ascii="Arial" w:hAnsi="Arial" w:cs="Arial"/>
        </w:rPr>
        <w:lastRenderedPageBreak/>
        <w:t>n:</w:t>
      </w:r>
      <w:r w:rsidR="00EF6580" w:rsidRPr="001A125F">
        <w:rPr>
          <w:rFonts w:ascii="Arial" w:hAnsi="Arial" w:cs="Arial"/>
        </w:rPr>
        <w:t xml:space="preserve"> The number of data series is 14 years, namely from 2010 to 2023</w:t>
      </w:r>
    </w:p>
    <w:p w14:paraId="501B0ACD" w14:textId="7CE46F81" w:rsidR="00EF6580" w:rsidRPr="001A125F" w:rsidRDefault="00956072" w:rsidP="00EF6580">
      <w:pPr>
        <w:spacing w:line="360" w:lineRule="auto"/>
        <w:ind w:left="426"/>
        <w:jc w:val="both"/>
        <w:rPr>
          <w:rFonts w:ascii="Arial" w:hAnsi="Arial" w:cs="Arial"/>
          <w:lang w:val="nb-NO"/>
        </w:rPr>
      </w:pPr>
      <w:r w:rsidRPr="001A125F">
        <w:rPr>
          <w:rFonts w:ascii="Arial" w:hAnsi="Arial" w:cs="Arial"/>
        </w:rPr>
        <w:t>x:</w:t>
      </w:r>
      <w:r w:rsidR="00EF6580" w:rsidRPr="001A125F">
        <w:rPr>
          <w:rFonts w:ascii="Arial" w:hAnsi="Arial" w:cs="Arial"/>
        </w:rPr>
        <w:t xml:space="preserve"> the chemical skin</w:t>
      </w:r>
    </w:p>
    <w:p w14:paraId="387A4C5D" w14:textId="268F3560" w:rsidR="00EF6580" w:rsidRPr="001A125F" w:rsidRDefault="00956072" w:rsidP="00EF6580">
      <w:pPr>
        <w:spacing w:line="360" w:lineRule="auto"/>
        <w:ind w:left="426"/>
        <w:jc w:val="both"/>
        <w:rPr>
          <w:rFonts w:ascii="Arial" w:hAnsi="Arial" w:cs="Arial"/>
          <w:lang w:val="nb-NO"/>
        </w:rPr>
      </w:pPr>
      <w:r w:rsidRPr="001A125F">
        <w:rPr>
          <w:rFonts w:ascii="Arial" w:hAnsi="Arial" w:cs="Arial"/>
        </w:rPr>
        <w:t>and:</w:t>
      </w:r>
      <w:r w:rsidR="00EF6580" w:rsidRPr="001A125F">
        <w:rPr>
          <w:rFonts w:ascii="Arial" w:hAnsi="Arial" w:cs="Arial"/>
        </w:rPr>
        <w:t xml:space="preserve"> GDP</w:t>
      </w:r>
    </w:p>
    <w:p w14:paraId="46D06938" w14:textId="77777777" w:rsidR="00EF6580" w:rsidRPr="001A125F" w:rsidRDefault="00EF6580" w:rsidP="00EF6580">
      <w:pPr>
        <w:spacing w:line="360" w:lineRule="auto"/>
        <w:jc w:val="both"/>
        <w:rPr>
          <w:rFonts w:ascii="Arial" w:hAnsi="Arial" w:cs="Arial"/>
          <w:lang w:val="nb-NO"/>
        </w:rPr>
      </w:pPr>
      <w:r w:rsidRPr="001A125F">
        <w:rPr>
          <w:rFonts w:ascii="Arial" w:hAnsi="Arial" w:cs="Arial"/>
        </w:rPr>
        <w:t>The interpretation of the value of the Pearson correlation coefficient (</w:t>
      </w:r>
      <w:r w:rsidRPr="001A125F">
        <w:rPr>
          <w:rStyle w:val="Emphasis"/>
          <w:rFonts w:ascii="Arial" w:hAnsi="Arial" w:cs="Arial"/>
        </w:rPr>
        <w:t>r</w:t>
      </w:r>
      <w:r w:rsidRPr="001A125F">
        <w:rPr>
          <w:rFonts w:ascii="Arial" w:hAnsi="Arial" w:cs="Arial"/>
        </w:rPr>
        <w:t xml:space="preserve">) is as follows: </w:t>
      </w:r>
    </w:p>
    <w:p w14:paraId="44617697" w14:textId="77777777" w:rsidR="00EF6580" w:rsidRPr="001A125F" w:rsidRDefault="00EF6580" w:rsidP="00EF6580">
      <w:pPr>
        <w:pStyle w:val="ListParagraph"/>
        <w:numPr>
          <w:ilvl w:val="0"/>
          <w:numId w:val="33"/>
        </w:numPr>
        <w:spacing w:after="0" w:line="360" w:lineRule="auto"/>
        <w:ind w:left="709"/>
        <w:jc w:val="both"/>
        <w:rPr>
          <w:rFonts w:ascii="Arial" w:hAnsi="Arial" w:cs="Arial"/>
          <w:sz w:val="20"/>
          <w:szCs w:val="20"/>
          <w:lang w:val="nb-NO"/>
        </w:rPr>
      </w:pPr>
      <w:r w:rsidRPr="001A125F">
        <w:rPr>
          <w:rFonts w:ascii="Arial" w:hAnsi="Arial" w:cs="Arial"/>
          <w:sz w:val="20"/>
          <w:szCs w:val="20"/>
        </w:rPr>
        <w:t>Greater than 0.5 strong positive</w:t>
      </w:r>
    </w:p>
    <w:p w14:paraId="6A0F5240" w14:textId="77777777" w:rsidR="00EF6580" w:rsidRPr="001A125F" w:rsidRDefault="00EF6580" w:rsidP="00EF6580">
      <w:pPr>
        <w:pStyle w:val="ListParagraph"/>
        <w:numPr>
          <w:ilvl w:val="0"/>
          <w:numId w:val="33"/>
        </w:numPr>
        <w:spacing w:after="0" w:line="360" w:lineRule="auto"/>
        <w:ind w:left="709"/>
        <w:jc w:val="both"/>
        <w:rPr>
          <w:rFonts w:ascii="Arial" w:hAnsi="Arial" w:cs="Arial"/>
          <w:sz w:val="20"/>
          <w:szCs w:val="20"/>
        </w:rPr>
      </w:pPr>
      <w:r w:rsidRPr="001A125F">
        <w:rPr>
          <w:rFonts w:ascii="Arial" w:hAnsi="Arial" w:cs="Arial"/>
          <w:sz w:val="20"/>
          <w:szCs w:val="20"/>
        </w:rPr>
        <w:t>Between 0.3 and 0.5 are positive</w:t>
      </w:r>
    </w:p>
    <w:p w14:paraId="68D34175" w14:textId="77777777" w:rsidR="00EF6580" w:rsidRPr="001A125F" w:rsidRDefault="00EF6580" w:rsidP="00EF6580">
      <w:pPr>
        <w:pStyle w:val="ListParagraph"/>
        <w:numPr>
          <w:ilvl w:val="0"/>
          <w:numId w:val="33"/>
        </w:numPr>
        <w:spacing w:after="0" w:line="360" w:lineRule="auto"/>
        <w:ind w:left="709"/>
        <w:jc w:val="both"/>
        <w:rPr>
          <w:rFonts w:ascii="Arial" w:hAnsi="Arial" w:cs="Arial"/>
          <w:sz w:val="20"/>
          <w:szCs w:val="20"/>
        </w:rPr>
      </w:pPr>
      <w:r w:rsidRPr="001A125F">
        <w:rPr>
          <w:rFonts w:ascii="Arial" w:hAnsi="Arial" w:cs="Arial"/>
          <w:sz w:val="20"/>
          <w:szCs w:val="20"/>
        </w:rPr>
        <w:t>Between 0 and 0,3 weak positive</w:t>
      </w:r>
    </w:p>
    <w:p w14:paraId="0B83080A" w14:textId="77777777" w:rsidR="00EF6580" w:rsidRPr="001A125F" w:rsidRDefault="00EF6580" w:rsidP="00EF6580">
      <w:pPr>
        <w:pStyle w:val="ListParagraph"/>
        <w:numPr>
          <w:ilvl w:val="0"/>
          <w:numId w:val="33"/>
        </w:numPr>
        <w:spacing w:after="0" w:line="360" w:lineRule="auto"/>
        <w:ind w:left="709"/>
        <w:jc w:val="both"/>
        <w:rPr>
          <w:rFonts w:ascii="Arial" w:hAnsi="Arial" w:cs="Arial"/>
          <w:sz w:val="20"/>
          <w:szCs w:val="20"/>
        </w:rPr>
      </w:pPr>
      <w:r w:rsidRPr="001A125F">
        <w:rPr>
          <w:rFonts w:ascii="Arial" w:hAnsi="Arial" w:cs="Arial"/>
          <w:sz w:val="20"/>
          <w:szCs w:val="20"/>
        </w:rPr>
        <w:t>0 no correlation</w:t>
      </w:r>
    </w:p>
    <w:p w14:paraId="3CD815A4" w14:textId="77777777" w:rsidR="00EF6580" w:rsidRPr="001A125F" w:rsidRDefault="00EF6580" w:rsidP="00EF6580">
      <w:pPr>
        <w:pStyle w:val="ListParagraph"/>
        <w:numPr>
          <w:ilvl w:val="0"/>
          <w:numId w:val="33"/>
        </w:numPr>
        <w:spacing w:after="0" w:line="360" w:lineRule="auto"/>
        <w:ind w:left="709"/>
        <w:jc w:val="both"/>
        <w:rPr>
          <w:rFonts w:ascii="Arial" w:hAnsi="Arial" w:cs="Arial"/>
          <w:sz w:val="20"/>
          <w:szCs w:val="20"/>
        </w:rPr>
      </w:pPr>
      <w:r w:rsidRPr="001A125F">
        <w:rPr>
          <w:rFonts w:ascii="Arial" w:hAnsi="Arial" w:cs="Arial"/>
          <w:sz w:val="20"/>
          <w:szCs w:val="20"/>
        </w:rPr>
        <w:t xml:space="preserve">Between 0 and –0.3 weak negative </w:t>
      </w:r>
    </w:p>
    <w:p w14:paraId="48C2FC49" w14:textId="77777777" w:rsidR="00EF6580" w:rsidRPr="001A125F" w:rsidRDefault="00EF6580" w:rsidP="00EF6580">
      <w:pPr>
        <w:pStyle w:val="ListParagraph"/>
        <w:numPr>
          <w:ilvl w:val="0"/>
          <w:numId w:val="33"/>
        </w:numPr>
        <w:spacing w:after="0" w:line="360" w:lineRule="auto"/>
        <w:ind w:left="709"/>
        <w:jc w:val="both"/>
        <w:rPr>
          <w:rFonts w:ascii="Arial" w:hAnsi="Arial" w:cs="Arial"/>
          <w:sz w:val="20"/>
          <w:szCs w:val="20"/>
        </w:rPr>
      </w:pPr>
      <w:r w:rsidRPr="001A125F">
        <w:rPr>
          <w:rFonts w:ascii="Arial" w:hAnsi="Arial" w:cs="Arial"/>
          <w:sz w:val="20"/>
          <w:szCs w:val="20"/>
        </w:rPr>
        <w:t>Between –0.3 and –0.5 is negative</w:t>
      </w:r>
    </w:p>
    <w:p w14:paraId="79261379" w14:textId="3938D5BD" w:rsidR="00EF6580" w:rsidRPr="001A125F" w:rsidRDefault="00EF6580" w:rsidP="00441B6F">
      <w:pPr>
        <w:pStyle w:val="ListParagraph"/>
        <w:numPr>
          <w:ilvl w:val="0"/>
          <w:numId w:val="33"/>
        </w:numPr>
        <w:spacing w:after="0" w:line="360" w:lineRule="auto"/>
        <w:ind w:left="709"/>
        <w:jc w:val="both"/>
        <w:rPr>
          <w:rFonts w:ascii="Arial" w:hAnsi="Arial" w:cs="Arial"/>
          <w:sz w:val="20"/>
          <w:szCs w:val="20"/>
        </w:rPr>
      </w:pPr>
      <w:r w:rsidRPr="001A125F">
        <w:rPr>
          <w:rFonts w:ascii="Arial" w:hAnsi="Arial" w:cs="Arial"/>
          <w:sz w:val="20"/>
          <w:szCs w:val="20"/>
        </w:rPr>
        <w:t>Less than -0.5 strong negative</w:t>
      </w:r>
    </w:p>
    <w:p w14:paraId="1FF706CD" w14:textId="77777777" w:rsidR="00275DCD" w:rsidRPr="001A125F" w:rsidRDefault="00275DCD" w:rsidP="00275DCD">
      <w:pPr>
        <w:tabs>
          <w:tab w:val="left" w:pos="270"/>
        </w:tabs>
        <w:spacing w:line="360" w:lineRule="auto"/>
        <w:ind w:left="270"/>
        <w:jc w:val="both"/>
        <w:rPr>
          <w:rFonts w:ascii="Arial" w:hAnsi="Arial" w:cs="Arial"/>
        </w:rPr>
      </w:pPr>
    </w:p>
    <w:p w14:paraId="49C3C983" w14:textId="618CDA61" w:rsidR="00081E27" w:rsidRPr="001A125F" w:rsidRDefault="00000F8F" w:rsidP="00081E27">
      <w:pPr>
        <w:pStyle w:val="Head1"/>
        <w:spacing w:after="0"/>
        <w:jc w:val="both"/>
        <w:rPr>
          <w:rFonts w:ascii="Arial" w:hAnsi="Arial" w:cs="Arial"/>
        </w:rPr>
      </w:pPr>
      <w:r w:rsidRPr="001A125F">
        <w:rPr>
          <w:rFonts w:ascii="Arial" w:hAnsi="Arial" w:cs="Arial"/>
        </w:rPr>
        <w:t>3. results and discussion</w:t>
      </w:r>
      <w:bookmarkStart w:id="4" w:name="_Hlk170241484"/>
      <w:bookmarkStart w:id="5" w:name="_Toc176939932"/>
    </w:p>
    <w:p w14:paraId="29861295" w14:textId="06E33408" w:rsidR="00081E27" w:rsidRPr="001A125F" w:rsidRDefault="005B6DE5" w:rsidP="00081E27">
      <w:pPr>
        <w:spacing w:line="360" w:lineRule="auto"/>
        <w:ind w:firstLine="567"/>
        <w:jc w:val="both"/>
        <w:rPr>
          <w:rFonts w:ascii="Arial" w:hAnsi="Arial" w:cs="Arial"/>
        </w:rPr>
      </w:pPr>
      <w:r w:rsidRPr="001A125F">
        <w:rPr>
          <w:rFonts w:ascii="Arial" w:hAnsi="Arial" w:cs="Arial"/>
        </w:rPr>
        <w:t xml:space="preserve">The demographic and economic analysis that is largely informed by big data frameworks is closely related to the geographical factors that have historically shaped population distribution and density </w:t>
      </w:r>
      <w:r w:rsidRPr="001A125F">
        <w:rPr>
          <w:rFonts w:ascii="Arial" w:hAnsi="Arial" w:cs="Arial"/>
        </w:rPr>
        <w:fldChar w:fldCharType="begin" w:fldLock="1"/>
      </w:r>
      <w:r w:rsidRPr="001A125F">
        <w:rPr>
          <w:rFonts w:ascii="Arial" w:hAnsi="Arial" w:cs="Arial"/>
        </w:rPr>
        <w:instrText>ADDIN CSL_CITATION {"citationItems":[{"id":"ITEM-1","itemData":{"DOI":"10.1016/j.bdr.2025.100525","ISSN":"2214-5796","author":[{"dropping-particle":"","family":"Salvucci","given":"Gianluigi","non-dropping-particle":"","parse-names":false,"suffix":""},{"dropping-particle":"","family":"Salvati","given":"Luca","non-dropping-particle":"","parse-names":false,"suffix":""},{"dropping-particle":"","family":"Alaimo","given":"Leonardo Salvatore","non-dropping-particle":"","parse-names":false,"suffix":""},{"dropping-particle":"","family":"Vardopoulos","given":"Ioannis","non-dropping-particle":"","parse-names":false,"suffix":""}],"container-title":"Big Data Research","id":"ITEM-1","issued":{"date-parts":[["2025"]]},"page":"100525","publisher":"Elsevier Inc.","title":"Settlement patterns , Official statistics and geo-economic dynamics : Evidence from a LADISC approach to Italy","type":"article-journal"},"uris":["http://www.mendeley.com/documents/?uuid=bd56a414-743c-43fd-bbf9-f05232d6adcb"]}],"mendeley":{"formattedCitation":"(Salvucci et al., 2025)","plainTextFormattedCitation":"(Salvucci et al., 2025)","previouslyFormattedCitation":"(Salvucci et al., 2025)"},"properties":{"noteIndex":0},"schema":"https://github.com/citation-style-language/schema/raw/master/csl-citation.json"}</w:instrText>
      </w:r>
      <w:r w:rsidRPr="001A125F">
        <w:rPr>
          <w:rFonts w:ascii="Arial" w:hAnsi="Arial" w:cs="Arial"/>
        </w:rPr>
        <w:fldChar w:fldCharType="separate"/>
      </w:r>
      <w:r w:rsidRPr="001A125F">
        <w:rPr>
          <w:rFonts w:ascii="Arial" w:hAnsi="Arial" w:cs="Arial"/>
          <w:noProof/>
        </w:rPr>
        <w:t>(Salvucci et al., 2025)</w:t>
      </w:r>
      <w:r w:rsidRPr="001A125F">
        <w:rPr>
          <w:rFonts w:ascii="Arial" w:hAnsi="Arial" w:cs="Arial"/>
        </w:rPr>
        <w:fldChar w:fldCharType="end"/>
      </w:r>
      <w:r w:rsidRPr="001A125F">
        <w:rPr>
          <w:rFonts w:ascii="Arial" w:hAnsi="Arial" w:cs="Arial"/>
        </w:rPr>
        <w:t xml:space="preserve">. Reducing poverty can improve well-being and expand employment opportunities </w:t>
      </w:r>
      <w:r w:rsidRPr="001A125F">
        <w:rPr>
          <w:rFonts w:ascii="Arial" w:hAnsi="Arial" w:cs="Arial"/>
        </w:rPr>
        <w:fldChar w:fldCharType="begin" w:fldLock="1"/>
      </w:r>
      <w:r w:rsidR="00395FF1" w:rsidRPr="001A125F">
        <w:rPr>
          <w:rFonts w:ascii="Arial" w:hAnsi="Arial" w:cs="Arial"/>
        </w:rPr>
        <w:instrText>ADDIN CSL_CITATION {"citationItems":[{"id":"ITEM-1","itemData":{"DOI":"10.1016/j.trip.2025.101340","ISSN":"25901982","abstract":"Reducing transport poverty can improve well-being and expand employment opportunities. This study investigates the relevance of socio-demographic and urban density predictors in relation to transport poverty contributor metrics for neighborhoods in the Amsterdam metropolitan area. Utilizing a spatial econometric framework, we assess the relevance of these predictors across three dimensions of transport poverty: mobility, accessibility, and affordability. Contrary to existing literature, our findings indicate that the demographic factors of gender and younger age are not significant predictors at the neighborhood level. Furthermore, the research identified a correlation between higher urban density and transport poverty. While higher urban density is associated with decreased car ownership rates and increased accessibility, it simultaneously correlates with higher public transport costs relative to income. Additionally, the method revealed a high cumulative spatial effect of income in connection with transport affordability, indicating spatially extensive income-related transport affordability disparities. Our research offers new insights into factors related to neighborhood-level transport poverty. The observed spatial dynamics call for targeted strategies that address the unique challenges for implementing equitable transport policies in both densely populated urban areas and less urbanized regions.","author":[{"dropping-particle":"","family":"Bon","given":"Thijs","non-dropping-particle":"","parse-names":false,"suffix":""},{"dropping-particle":"","family":"Bruno","given":"Matthew","non-dropping-particle":"","parse-names":false,"suffix":""},{"dropping-particle":"","family":"Oort","given":"Niels","non-dropping-particle":"van","parse-names":false,"suffix":""}],"container-title":"Transportation Research Interdisciplinary Perspectives","id":"ITEM-1","issue":"January","issued":{"date-parts":[["2025"]]},"page":"101340","publisher":"Elsevier Ltd","title":"Three-dimensional transport poverty and its socio-demographic and urban density predictors: Spatial regression analyses of neighborhoods in the Amsterdam metropolitan area","type":"article-journal","volume":"29"},"uris":["http://www.mendeley.com/documents/?uuid=701b31c2-91fd-405b-9415-1aecd3fc690c"]}],"mendeley":{"formattedCitation":"(Bon et al., 2025)","plainTextFormattedCitation":"(Bon et al., 2025)","previouslyFormattedCitation":"(Bon et al., 2025)"},"properties":{"noteIndex":0},"schema":"https://github.com/citation-style-language/schema/raw/master/csl-citation.json"}</w:instrText>
      </w:r>
      <w:r w:rsidRPr="001A125F">
        <w:rPr>
          <w:rFonts w:ascii="Arial" w:hAnsi="Arial" w:cs="Arial"/>
        </w:rPr>
        <w:fldChar w:fldCharType="separate"/>
      </w:r>
      <w:r w:rsidRPr="001A125F">
        <w:rPr>
          <w:rFonts w:ascii="Arial" w:hAnsi="Arial" w:cs="Arial"/>
          <w:noProof/>
        </w:rPr>
        <w:t>(Bon et al., 2025)</w:t>
      </w:r>
      <w:r w:rsidRPr="001A125F">
        <w:rPr>
          <w:rFonts w:ascii="Arial" w:hAnsi="Arial" w:cs="Arial"/>
        </w:rPr>
        <w:fldChar w:fldCharType="end"/>
      </w:r>
      <w:r w:rsidRPr="001A125F">
        <w:rPr>
          <w:rFonts w:ascii="Arial" w:hAnsi="Arial" w:cs="Arial"/>
        </w:rPr>
        <w:t xml:space="preserve">. According to the indicators used by BPS, the poor are defined as individuals who have a per capita income per month below the predetermined poverty line. Each region has a different poverty line value, depending on the minimum spending standards in the region. Table 1 presents poverty line data at the district/city level in the Special Region of Yogyakarta (DIY) and nationally. This poverty line is calculated based on the </w:t>
      </w:r>
      <w:r w:rsidR="00660A29" w:rsidRPr="001A125F">
        <w:rPr>
          <w:rFonts w:ascii="Arial" w:hAnsi="Arial" w:cs="Arial"/>
        </w:rPr>
        <w:t>number</w:t>
      </w:r>
      <w:r w:rsidRPr="001A125F">
        <w:rPr>
          <w:rFonts w:ascii="Arial" w:hAnsi="Arial" w:cs="Arial"/>
        </w:rPr>
        <w:t xml:space="preserve"> of rupiah needed to meet basic daily needs, both food and non-food consumption needs. Through Table 1, the value of the per capita poverty line can be seen in each district/city in the DIY area.</w:t>
      </w:r>
    </w:p>
    <w:p w14:paraId="04207998" w14:textId="58A99EA4" w:rsidR="00275DCD" w:rsidRPr="001A125F" w:rsidRDefault="00275DCD" w:rsidP="00275DCD">
      <w:pPr>
        <w:pStyle w:val="Caption"/>
        <w:spacing w:after="0"/>
        <w:jc w:val="center"/>
        <w:rPr>
          <w:rFonts w:ascii="Times New Roman" w:eastAsia="Calibri" w:hAnsi="Times New Roman" w:cs="Times New Roman"/>
          <w:b/>
          <w:bCs/>
          <w:i w:val="0"/>
          <w:iCs w:val="0"/>
          <w:color w:val="auto"/>
          <w:sz w:val="22"/>
          <w:szCs w:val="22"/>
          <w:lang w:val="nb-NO" w:eastAsia="zh-CN"/>
        </w:rPr>
      </w:pPr>
      <w:r w:rsidRPr="001A125F">
        <w:rPr>
          <w:rFonts w:ascii="Times New Roman" w:hAnsi="Times New Roman" w:cs="Times New Roman"/>
          <w:b/>
          <w:bCs/>
          <w:i w:val="0"/>
          <w:iCs w:val="0"/>
          <w:color w:val="auto"/>
          <w:sz w:val="22"/>
          <w:szCs w:val="22"/>
        </w:rPr>
        <w:t xml:space="preserve">Table 1. </w:t>
      </w:r>
      <w:r w:rsidRPr="001A125F">
        <w:rPr>
          <w:rFonts w:ascii="Times New Roman" w:eastAsia="Calibri" w:hAnsi="Times New Roman" w:cs="Times New Roman"/>
          <w:b/>
          <w:bCs/>
          <w:i w:val="0"/>
          <w:iCs w:val="0"/>
          <w:color w:val="auto"/>
          <w:sz w:val="22"/>
          <w:szCs w:val="22"/>
          <w:lang w:eastAsia="zh-CN"/>
        </w:rPr>
        <w:t>Poverty Line Per Capita/month of City Regencies in Yogyakarta and National in 2012-2023 (Rp/Capita/Month)</w:t>
      </w:r>
      <w:bookmarkEnd w:id="4"/>
      <w:bookmarkEnd w:id="5"/>
    </w:p>
    <w:tbl>
      <w:tblPr>
        <w:tblW w:w="5000" w:type="pct"/>
        <w:tblLook w:val="04A0" w:firstRow="1" w:lastRow="0" w:firstColumn="1" w:lastColumn="0" w:noHBand="0" w:noVBand="1"/>
      </w:tblPr>
      <w:tblGrid>
        <w:gridCol w:w="1067"/>
        <w:gridCol w:w="595"/>
        <w:gridCol w:w="595"/>
        <w:gridCol w:w="595"/>
        <w:gridCol w:w="594"/>
        <w:gridCol w:w="594"/>
        <w:gridCol w:w="594"/>
        <w:gridCol w:w="594"/>
        <w:gridCol w:w="594"/>
        <w:gridCol w:w="594"/>
        <w:gridCol w:w="594"/>
        <w:gridCol w:w="594"/>
        <w:gridCol w:w="594"/>
      </w:tblGrid>
      <w:tr w:rsidR="001A125F" w:rsidRPr="001A125F" w14:paraId="7C7E7DD9" w14:textId="77777777" w:rsidTr="002F77F1">
        <w:trPr>
          <w:trHeight w:val="220"/>
          <w:tblHeader/>
        </w:trPr>
        <w:tc>
          <w:tcPr>
            <w:tcW w:w="668" w:type="pct"/>
            <w:tcBorders>
              <w:top w:val="single" w:sz="4" w:space="0" w:color="auto"/>
              <w:left w:val="single" w:sz="4" w:space="0" w:color="auto"/>
              <w:bottom w:val="single" w:sz="4" w:space="0" w:color="auto"/>
              <w:right w:val="single" w:sz="4" w:space="0" w:color="auto"/>
            </w:tcBorders>
            <w:shd w:val="clear" w:color="000000" w:fill="FFC000"/>
            <w:noWrap/>
            <w:vAlign w:val="center"/>
          </w:tcPr>
          <w:p w14:paraId="6CE57E14" w14:textId="77777777" w:rsidR="00275DCD" w:rsidRPr="001A125F" w:rsidRDefault="00275DCD" w:rsidP="00751082">
            <w:pPr>
              <w:jc w:val="center"/>
              <w:rPr>
                <w:rFonts w:ascii="Times New Roman" w:hAnsi="Times New Roman"/>
                <w:b/>
                <w:bCs/>
                <w:sz w:val="16"/>
                <w:szCs w:val="16"/>
              </w:rPr>
            </w:pPr>
            <w:proofErr w:type="spellStart"/>
            <w:r w:rsidRPr="001A125F">
              <w:rPr>
                <w:rFonts w:ascii="Times New Roman" w:hAnsi="Times New Roman"/>
                <w:b/>
                <w:bCs/>
                <w:sz w:val="16"/>
                <w:szCs w:val="16"/>
              </w:rPr>
              <w:t>Kabupaten</w:t>
            </w:r>
            <w:proofErr w:type="spellEnd"/>
            <w:r w:rsidRPr="001A125F">
              <w:rPr>
                <w:rFonts w:ascii="Times New Roman" w:hAnsi="Times New Roman"/>
                <w:b/>
                <w:bCs/>
                <w:sz w:val="16"/>
                <w:szCs w:val="16"/>
              </w:rPr>
              <w:t>/Kota</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3B22C401" w14:textId="77777777" w:rsidR="00275DCD" w:rsidRPr="001A125F" w:rsidRDefault="00275DCD" w:rsidP="00751082">
            <w:pPr>
              <w:jc w:val="center"/>
              <w:rPr>
                <w:rFonts w:ascii="Times New Roman" w:hAnsi="Times New Roman"/>
                <w:b/>
                <w:bCs/>
                <w:sz w:val="16"/>
                <w:szCs w:val="16"/>
              </w:rPr>
            </w:pPr>
            <w:r w:rsidRPr="001A125F">
              <w:rPr>
                <w:rFonts w:ascii="Times New Roman" w:hAnsi="Times New Roman"/>
                <w:b/>
                <w:bCs/>
                <w:sz w:val="16"/>
                <w:szCs w:val="16"/>
              </w:rPr>
              <w:t>2012</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3FC622D2" w14:textId="77777777" w:rsidR="00275DCD" w:rsidRPr="001A125F" w:rsidRDefault="00275DCD" w:rsidP="00751082">
            <w:pPr>
              <w:jc w:val="center"/>
              <w:rPr>
                <w:rFonts w:ascii="Times New Roman" w:hAnsi="Times New Roman"/>
                <w:b/>
                <w:bCs/>
                <w:sz w:val="16"/>
                <w:szCs w:val="16"/>
              </w:rPr>
            </w:pPr>
            <w:r w:rsidRPr="001A125F">
              <w:rPr>
                <w:rFonts w:ascii="Times New Roman" w:hAnsi="Times New Roman"/>
                <w:b/>
                <w:bCs/>
                <w:sz w:val="16"/>
                <w:szCs w:val="16"/>
              </w:rPr>
              <w:t>2013</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2F329E91" w14:textId="77777777" w:rsidR="00275DCD" w:rsidRPr="001A125F" w:rsidRDefault="00275DCD" w:rsidP="00751082">
            <w:pPr>
              <w:jc w:val="center"/>
              <w:rPr>
                <w:rFonts w:ascii="Times New Roman" w:hAnsi="Times New Roman"/>
                <w:b/>
                <w:bCs/>
                <w:sz w:val="16"/>
                <w:szCs w:val="16"/>
              </w:rPr>
            </w:pPr>
            <w:r w:rsidRPr="001A125F">
              <w:rPr>
                <w:rFonts w:ascii="Times New Roman" w:hAnsi="Times New Roman"/>
                <w:b/>
                <w:bCs/>
                <w:sz w:val="16"/>
                <w:szCs w:val="16"/>
              </w:rPr>
              <w:t>2014</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43F9F711" w14:textId="77777777" w:rsidR="00275DCD" w:rsidRPr="001A125F" w:rsidRDefault="00275DCD" w:rsidP="00751082">
            <w:pPr>
              <w:jc w:val="center"/>
              <w:rPr>
                <w:rFonts w:ascii="Times New Roman" w:hAnsi="Times New Roman"/>
                <w:b/>
                <w:bCs/>
                <w:sz w:val="16"/>
                <w:szCs w:val="16"/>
              </w:rPr>
            </w:pPr>
            <w:r w:rsidRPr="001A125F">
              <w:rPr>
                <w:rFonts w:ascii="Times New Roman" w:hAnsi="Times New Roman"/>
                <w:b/>
                <w:bCs/>
                <w:sz w:val="16"/>
                <w:szCs w:val="16"/>
              </w:rPr>
              <w:t>2015</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67883192" w14:textId="77777777" w:rsidR="00275DCD" w:rsidRPr="001A125F" w:rsidRDefault="00275DCD" w:rsidP="00751082">
            <w:pPr>
              <w:jc w:val="center"/>
              <w:rPr>
                <w:rFonts w:ascii="Times New Roman" w:hAnsi="Times New Roman"/>
                <w:b/>
                <w:bCs/>
                <w:sz w:val="16"/>
                <w:szCs w:val="16"/>
              </w:rPr>
            </w:pPr>
            <w:r w:rsidRPr="001A125F">
              <w:rPr>
                <w:rFonts w:ascii="Times New Roman" w:hAnsi="Times New Roman"/>
                <w:b/>
                <w:bCs/>
                <w:sz w:val="16"/>
                <w:szCs w:val="16"/>
              </w:rPr>
              <w:t>2016</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6EE2AB8B" w14:textId="77777777" w:rsidR="00275DCD" w:rsidRPr="001A125F" w:rsidRDefault="00275DCD" w:rsidP="00751082">
            <w:pPr>
              <w:jc w:val="center"/>
              <w:rPr>
                <w:rFonts w:ascii="Times New Roman" w:hAnsi="Times New Roman"/>
                <w:b/>
                <w:bCs/>
                <w:sz w:val="16"/>
                <w:szCs w:val="16"/>
              </w:rPr>
            </w:pPr>
            <w:r w:rsidRPr="001A125F">
              <w:rPr>
                <w:rFonts w:ascii="Times New Roman" w:hAnsi="Times New Roman"/>
                <w:b/>
                <w:bCs/>
                <w:sz w:val="16"/>
                <w:szCs w:val="16"/>
              </w:rPr>
              <w:t>2017</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08DBD6DB" w14:textId="77777777" w:rsidR="00275DCD" w:rsidRPr="001A125F" w:rsidRDefault="00275DCD" w:rsidP="00751082">
            <w:pPr>
              <w:jc w:val="center"/>
              <w:rPr>
                <w:rFonts w:ascii="Times New Roman" w:hAnsi="Times New Roman"/>
                <w:b/>
                <w:bCs/>
                <w:sz w:val="16"/>
                <w:szCs w:val="16"/>
              </w:rPr>
            </w:pPr>
            <w:r w:rsidRPr="001A125F">
              <w:rPr>
                <w:rFonts w:ascii="Times New Roman" w:hAnsi="Times New Roman"/>
                <w:b/>
                <w:bCs/>
                <w:sz w:val="16"/>
                <w:szCs w:val="16"/>
              </w:rPr>
              <w:t>2018</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74CE3DA3" w14:textId="77777777" w:rsidR="00275DCD" w:rsidRPr="001A125F" w:rsidRDefault="00275DCD" w:rsidP="00751082">
            <w:pPr>
              <w:jc w:val="center"/>
              <w:rPr>
                <w:rFonts w:ascii="Times New Roman" w:hAnsi="Times New Roman"/>
                <w:b/>
                <w:bCs/>
                <w:sz w:val="16"/>
                <w:szCs w:val="16"/>
              </w:rPr>
            </w:pPr>
            <w:r w:rsidRPr="001A125F">
              <w:rPr>
                <w:rFonts w:ascii="Times New Roman" w:hAnsi="Times New Roman"/>
                <w:b/>
                <w:bCs/>
                <w:sz w:val="16"/>
                <w:szCs w:val="16"/>
              </w:rPr>
              <w:t>2019</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271F8B41" w14:textId="77777777" w:rsidR="00275DCD" w:rsidRPr="001A125F" w:rsidRDefault="00275DCD" w:rsidP="00751082">
            <w:pPr>
              <w:jc w:val="center"/>
              <w:rPr>
                <w:rFonts w:ascii="Times New Roman" w:hAnsi="Times New Roman"/>
                <w:b/>
                <w:bCs/>
                <w:sz w:val="16"/>
                <w:szCs w:val="16"/>
              </w:rPr>
            </w:pPr>
            <w:r w:rsidRPr="001A125F">
              <w:rPr>
                <w:rFonts w:ascii="Times New Roman" w:hAnsi="Times New Roman"/>
                <w:b/>
                <w:bCs/>
                <w:sz w:val="16"/>
                <w:szCs w:val="16"/>
              </w:rPr>
              <w:t>2020</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002E0BF7" w14:textId="77777777" w:rsidR="00275DCD" w:rsidRPr="001A125F" w:rsidRDefault="00275DCD" w:rsidP="00751082">
            <w:pPr>
              <w:jc w:val="center"/>
              <w:rPr>
                <w:rFonts w:ascii="Times New Roman" w:hAnsi="Times New Roman"/>
                <w:b/>
                <w:bCs/>
                <w:sz w:val="16"/>
                <w:szCs w:val="16"/>
              </w:rPr>
            </w:pPr>
            <w:r w:rsidRPr="001A125F">
              <w:rPr>
                <w:rFonts w:ascii="Times New Roman" w:hAnsi="Times New Roman"/>
                <w:b/>
                <w:bCs/>
                <w:sz w:val="16"/>
                <w:szCs w:val="16"/>
              </w:rPr>
              <w:t>2021</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018DC3EC" w14:textId="77777777" w:rsidR="00275DCD" w:rsidRPr="001A125F" w:rsidRDefault="00275DCD" w:rsidP="00751082">
            <w:pPr>
              <w:jc w:val="center"/>
              <w:rPr>
                <w:rFonts w:ascii="Times New Roman" w:hAnsi="Times New Roman"/>
                <w:b/>
                <w:bCs/>
                <w:sz w:val="16"/>
                <w:szCs w:val="16"/>
              </w:rPr>
            </w:pPr>
            <w:r w:rsidRPr="001A125F">
              <w:rPr>
                <w:rFonts w:ascii="Times New Roman" w:hAnsi="Times New Roman"/>
                <w:b/>
                <w:bCs/>
                <w:sz w:val="16"/>
                <w:szCs w:val="16"/>
              </w:rPr>
              <w:t>2022</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36A1E943" w14:textId="77777777" w:rsidR="00275DCD" w:rsidRPr="001A125F" w:rsidRDefault="00275DCD" w:rsidP="00751082">
            <w:pPr>
              <w:jc w:val="center"/>
              <w:rPr>
                <w:rFonts w:ascii="Times New Roman" w:hAnsi="Times New Roman"/>
                <w:b/>
                <w:bCs/>
                <w:sz w:val="16"/>
                <w:szCs w:val="16"/>
              </w:rPr>
            </w:pPr>
            <w:r w:rsidRPr="001A125F">
              <w:rPr>
                <w:rFonts w:ascii="Times New Roman" w:hAnsi="Times New Roman"/>
                <w:b/>
                <w:bCs/>
                <w:sz w:val="16"/>
                <w:szCs w:val="16"/>
              </w:rPr>
              <w:t>2023</w:t>
            </w:r>
          </w:p>
        </w:tc>
      </w:tr>
      <w:tr w:rsidR="001A125F" w:rsidRPr="001A125F" w14:paraId="1169CEEE" w14:textId="77777777" w:rsidTr="002F77F1">
        <w:trPr>
          <w:trHeight w:val="220"/>
        </w:trPr>
        <w:tc>
          <w:tcPr>
            <w:tcW w:w="668" w:type="pct"/>
            <w:tcBorders>
              <w:top w:val="nil"/>
              <w:left w:val="single" w:sz="4" w:space="0" w:color="auto"/>
              <w:bottom w:val="single" w:sz="4" w:space="0" w:color="auto"/>
              <w:right w:val="single" w:sz="4" w:space="0" w:color="auto"/>
            </w:tcBorders>
            <w:shd w:val="clear" w:color="auto" w:fill="auto"/>
            <w:noWrap/>
            <w:vAlign w:val="bottom"/>
          </w:tcPr>
          <w:p w14:paraId="1BAEF06F" w14:textId="77777777" w:rsidR="00275DCD" w:rsidRPr="001A125F" w:rsidRDefault="00275DCD" w:rsidP="00751082">
            <w:pPr>
              <w:rPr>
                <w:rFonts w:ascii="Times New Roman" w:hAnsi="Times New Roman"/>
                <w:sz w:val="16"/>
                <w:szCs w:val="16"/>
              </w:rPr>
            </w:pPr>
            <w:r w:rsidRPr="001A125F">
              <w:rPr>
                <w:rFonts w:ascii="Times New Roman" w:hAnsi="Times New Roman"/>
                <w:sz w:val="16"/>
                <w:szCs w:val="16"/>
              </w:rPr>
              <w:t>Yogyakarta City</w:t>
            </w:r>
          </w:p>
        </w:tc>
        <w:tc>
          <w:tcPr>
            <w:tcW w:w="361" w:type="pct"/>
            <w:tcBorders>
              <w:top w:val="nil"/>
              <w:left w:val="nil"/>
              <w:bottom w:val="single" w:sz="4" w:space="0" w:color="auto"/>
              <w:right w:val="single" w:sz="4" w:space="0" w:color="auto"/>
            </w:tcBorders>
            <w:shd w:val="clear" w:color="auto" w:fill="auto"/>
            <w:noWrap/>
            <w:vAlign w:val="bottom"/>
          </w:tcPr>
          <w:p w14:paraId="214A9CE1"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333.232</w:t>
            </w:r>
          </w:p>
        </w:tc>
        <w:tc>
          <w:tcPr>
            <w:tcW w:w="361" w:type="pct"/>
            <w:tcBorders>
              <w:top w:val="nil"/>
              <w:left w:val="nil"/>
              <w:bottom w:val="single" w:sz="4" w:space="0" w:color="auto"/>
              <w:right w:val="single" w:sz="4" w:space="0" w:color="auto"/>
            </w:tcBorders>
            <w:shd w:val="clear" w:color="auto" w:fill="auto"/>
            <w:noWrap/>
            <w:vAlign w:val="bottom"/>
          </w:tcPr>
          <w:p w14:paraId="46713350"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353.602</w:t>
            </w:r>
          </w:p>
        </w:tc>
        <w:tc>
          <w:tcPr>
            <w:tcW w:w="361" w:type="pct"/>
            <w:tcBorders>
              <w:top w:val="nil"/>
              <w:left w:val="nil"/>
              <w:bottom w:val="single" w:sz="4" w:space="0" w:color="auto"/>
              <w:right w:val="single" w:sz="4" w:space="0" w:color="auto"/>
            </w:tcBorders>
            <w:shd w:val="clear" w:color="auto" w:fill="auto"/>
            <w:noWrap/>
            <w:vAlign w:val="bottom"/>
          </w:tcPr>
          <w:p w14:paraId="7FCA5A27"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366.520</w:t>
            </w:r>
          </w:p>
        </w:tc>
        <w:tc>
          <w:tcPr>
            <w:tcW w:w="361" w:type="pct"/>
            <w:tcBorders>
              <w:top w:val="nil"/>
              <w:left w:val="nil"/>
              <w:bottom w:val="single" w:sz="4" w:space="0" w:color="auto"/>
              <w:right w:val="single" w:sz="4" w:space="0" w:color="auto"/>
            </w:tcBorders>
            <w:shd w:val="clear" w:color="auto" w:fill="auto"/>
            <w:noWrap/>
            <w:vAlign w:val="bottom"/>
          </w:tcPr>
          <w:p w14:paraId="10F17F0F"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383.966</w:t>
            </w:r>
          </w:p>
        </w:tc>
        <w:tc>
          <w:tcPr>
            <w:tcW w:w="361" w:type="pct"/>
            <w:tcBorders>
              <w:top w:val="nil"/>
              <w:left w:val="nil"/>
              <w:bottom w:val="single" w:sz="4" w:space="0" w:color="auto"/>
              <w:right w:val="single" w:sz="4" w:space="0" w:color="auto"/>
            </w:tcBorders>
            <w:shd w:val="clear" w:color="auto" w:fill="auto"/>
            <w:noWrap/>
            <w:vAlign w:val="bottom"/>
          </w:tcPr>
          <w:p w14:paraId="1BA423B7"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401.193</w:t>
            </w:r>
          </w:p>
        </w:tc>
        <w:tc>
          <w:tcPr>
            <w:tcW w:w="361" w:type="pct"/>
            <w:tcBorders>
              <w:top w:val="nil"/>
              <w:left w:val="nil"/>
              <w:bottom w:val="single" w:sz="4" w:space="0" w:color="auto"/>
              <w:right w:val="single" w:sz="4" w:space="0" w:color="auto"/>
            </w:tcBorders>
            <w:shd w:val="clear" w:color="auto" w:fill="auto"/>
            <w:noWrap/>
            <w:vAlign w:val="bottom"/>
          </w:tcPr>
          <w:p w14:paraId="02FADEFA"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423.815</w:t>
            </w:r>
          </w:p>
        </w:tc>
        <w:tc>
          <w:tcPr>
            <w:tcW w:w="361" w:type="pct"/>
            <w:tcBorders>
              <w:top w:val="nil"/>
              <w:left w:val="nil"/>
              <w:bottom w:val="single" w:sz="4" w:space="0" w:color="auto"/>
              <w:right w:val="single" w:sz="4" w:space="0" w:color="auto"/>
            </w:tcBorders>
            <w:shd w:val="clear" w:color="auto" w:fill="auto"/>
            <w:noWrap/>
            <w:vAlign w:val="bottom"/>
          </w:tcPr>
          <w:p w14:paraId="6D48D8D6"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467.061</w:t>
            </w:r>
          </w:p>
        </w:tc>
        <w:tc>
          <w:tcPr>
            <w:tcW w:w="361" w:type="pct"/>
            <w:tcBorders>
              <w:top w:val="nil"/>
              <w:left w:val="nil"/>
              <w:bottom w:val="single" w:sz="4" w:space="0" w:color="auto"/>
              <w:right w:val="single" w:sz="4" w:space="0" w:color="auto"/>
            </w:tcBorders>
            <w:shd w:val="clear" w:color="auto" w:fill="auto"/>
            <w:noWrap/>
            <w:vAlign w:val="bottom"/>
          </w:tcPr>
          <w:p w14:paraId="1EB3768B"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495.562</w:t>
            </w:r>
          </w:p>
        </w:tc>
        <w:tc>
          <w:tcPr>
            <w:tcW w:w="361" w:type="pct"/>
            <w:tcBorders>
              <w:top w:val="nil"/>
              <w:left w:val="nil"/>
              <w:bottom w:val="single" w:sz="4" w:space="0" w:color="auto"/>
              <w:right w:val="single" w:sz="4" w:space="0" w:color="auto"/>
            </w:tcBorders>
            <w:shd w:val="clear" w:color="auto" w:fill="auto"/>
            <w:noWrap/>
            <w:vAlign w:val="bottom"/>
          </w:tcPr>
          <w:p w14:paraId="65D77328"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533.423</w:t>
            </w:r>
          </w:p>
        </w:tc>
        <w:tc>
          <w:tcPr>
            <w:tcW w:w="361" w:type="pct"/>
            <w:tcBorders>
              <w:top w:val="nil"/>
              <w:left w:val="nil"/>
              <w:bottom w:val="single" w:sz="4" w:space="0" w:color="auto"/>
              <w:right w:val="single" w:sz="4" w:space="0" w:color="auto"/>
            </w:tcBorders>
            <w:shd w:val="clear" w:color="auto" w:fill="auto"/>
            <w:noWrap/>
            <w:vAlign w:val="bottom"/>
          </w:tcPr>
          <w:p w14:paraId="1569BC5F"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556.674</w:t>
            </w:r>
          </w:p>
        </w:tc>
        <w:tc>
          <w:tcPr>
            <w:tcW w:w="361" w:type="pct"/>
            <w:tcBorders>
              <w:top w:val="nil"/>
              <w:left w:val="nil"/>
              <w:bottom w:val="single" w:sz="4" w:space="0" w:color="auto"/>
              <w:right w:val="single" w:sz="4" w:space="0" w:color="auto"/>
            </w:tcBorders>
            <w:shd w:val="clear" w:color="auto" w:fill="auto"/>
            <w:noWrap/>
            <w:vAlign w:val="bottom"/>
          </w:tcPr>
          <w:p w14:paraId="146C3F23"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601.905</w:t>
            </w:r>
          </w:p>
        </w:tc>
        <w:tc>
          <w:tcPr>
            <w:tcW w:w="361" w:type="pct"/>
            <w:tcBorders>
              <w:top w:val="nil"/>
              <w:left w:val="nil"/>
              <w:bottom w:val="single" w:sz="4" w:space="0" w:color="auto"/>
              <w:right w:val="single" w:sz="4" w:space="0" w:color="auto"/>
            </w:tcBorders>
            <w:shd w:val="clear" w:color="auto" w:fill="auto"/>
            <w:noWrap/>
            <w:vAlign w:val="bottom"/>
          </w:tcPr>
          <w:p w14:paraId="17BEE527"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662.267</w:t>
            </w:r>
          </w:p>
        </w:tc>
      </w:tr>
      <w:tr w:rsidR="001A125F" w:rsidRPr="001A125F" w14:paraId="4D6684F2" w14:textId="77777777" w:rsidTr="002F77F1">
        <w:trPr>
          <w:trHeight w:val="220"/>
        </w:trPr>
        <w:tc>
          <w:tcPr>
            <w:tcW w:w="668" w:type="pct"/>
            <w:tcBorders>
              <w:top w:val="nil"/>
              <w:left w:val="single" w:sz="4" w:space="0" w:color="auto"/>
              <w:bottom w:val="single" w:sz="4" w:space="0" w:color="auto"/>
              <w:right w:val="single" w:sz="4" w:space="0" w:color="auto"/>
            </w:tcBorders>
            <w:shd w:val="clear" w:color="auto" w:fill="auto"/>
            <w:noWrap/>
            <w:vAlign w:val="bottom"/>
          </w:tcPr>
          <w:p w14:paraId="2334380F" w14:textId="77777777" w:rsidR="00275DCD" w:rsidRPr="001A125F" w:rsidRDefault="00275DCD" w:rsidP="00751082">
            <w:pPr>
              <w:rPr>
                <w:rFonts w:ascii="Times New Roman" w:hAnsi="Times New Roman"/>
                <w:sz w:val="16"/>
                <w:szCs w:val="16"/>
              </w:rPr>
            </w:pPr>
            <w:r w:rsidRPr="001A125F">
              <w:rPr>
                <w:rFonts w:ascii="Times New Roman" w:hAnsi="Times New Roman"/>
                <w:sz w:val="16"/>
                <w:szCs w:val="16"/>
              </w:rPr>
              <w:t>Bantul Regency</w:t>
            </w:r>
          </w:p>
        </w:tc>
        <w:tc>
          <w:tcPr>
            <w:tcW w:w="361" w:type="pct"/>
            <w:tcBorders>
              <w:top w:val="nil"/>
              <w:left w:val="nil"/>
              <w:bottom w:val="nil"/>
              <w:right w:val="nil"/>
            </w:tcBorders>
            <w:shd w:val="clear" w:color="auto" w:fill="auto"/>
            <w:noWrap/>
            <w:vAlign w:val="bottom"/>
          </w:tcPr>
          <w:p w14:paraId="255768C0"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277.792</w:t>
            </w:r>
          </w:p>
        </w:tc>
        <w:tc>
          <w:tcPr>
            <w:tcW w:w="361" w:type="pct"/>
            <w:tcBorders>
              <w:top w:val="nil"/>
              <w:left w:val="single" w:sz="4" w:space="0" w:color="auto"/>
              <w:bottom w:val="single" w:sz="4" w:space="0" w:color="auto"/>
              <w:right w:val="single" w:sz="4" w:space="0" w:color="auto"/>
            </w:tcBorders>
            <w:shd w:val="clear" w:color="auto" w:fill="auto"/>
            <w:noWrap/>
            <w:vAlign w:val="bottom"/>
          </w:tcPr>
          <w:p w14:paraId="255A444D"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292.639</w:t>
            </w:r>
          </w:p>
        </w:tc>
        <w:tc>
          <w:tcPr>
            <w:tcW w:w="361" w:type="pct"/>
            <w:tcBorders>
              <w:top w:val="nil"/>
              <w:left w:val="nil"/>
              <w:bottom w:val="single" w:sz="4" w:space="0" w:color="auto"/>
              <w:right w:val="single" w:sz="4" w:space="0" w:color="auto"/>
            </w:tcBorders>
            <w:shd w:val="clear" w:color="auto" w:fill="auto"/>
            <w:noWrap/>
            <w:vAlign w:val="bottom"/>
          </w:tcPr>
          <w:p w14:paraId="12FAFA71"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301.986</w:t>
            </w:r>
          </w:p>
        </w:tc>
        <w:tc>
          <w:tcPr>
            <w:tcW w:w="361" w:type="pct"/>
            <w:tcBorders>
              <w:top w:val="nil"/>
              <w:left w:val="nil"/>
              <w:bottom w:val="single" w:sz="4" w:space="0" w:color="auto"/>
              <w:right w:val="single" w:sz="4" w:space="0" w:color="auto"/>
            </w:tcBorders>
            <w:shd w:val="clear" w:color="auto" w:fill="auto"/>
            <w:noWrap/>
            <w:vAlign w:val="bottom"/>
          </w:tcPr>
          <w:p w14:paraId="41668AEE"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312.514</w:t>
            </w:r>
          </w:p>
        </w:tc>
        <w:tc>
          <w:tcPr>
            <w:tcW w:w="361" w:type="pct"/>
            <w:tcBorders>
              <w:top w:val="nil"/>
              <w:left w:val="nil"/>
              <w:bottom w:val="single" w:sz="4" w:space="0" w:color="auto"/>
              <w:right w:val="single" w:sz="4" w:space="0" w:color="auto"/>
            </w:tcBorders>
            <w:shd w:val="clear" w:color="auto" w:fill="auto"/>
            <w:noWrap/>
            <w:vAlign w:val="bottom"/>
          </w:tcPr>
          <w:p w14:paraId="15ECAA0D"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332.057</w:t>
            </w:r>
          </w:p>
        </w:tc>
        <w:tc>
          <w:tcPr>
            <w:tcW w:w="361" w:type="pct"/>
            <w:tcBorders>
              <w:top w:val="nil"/>
              <w:left w:val="nil"/>
              <w:bottom w:val="single" w:sz="4" w:space="0" w:color="auto"/>
              <w:right w:val="single" w:sz="4" w:space="0" w:color="auto"/>
            </w:tcBorders>
            <w:shd w:val="clear" w:color="auto" w:fill="auto"/>
            <w:noWrap/>
            <w:vAlign w:val="bottom"/>
          </w:tcPr>
          <w:p w14:paraId="3344632E"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347.476</w:t>
            </w:r>
          </w:p>
        </w:tc>
        <w:tc>
          <w:tcPr>
            <w:tcW w:w="361" w:type="pct"/>
            <w:tcBorders>
              <w:top w:val="nil"/>
              <w:left w:val="nil"/>
              <w:bottom w:val="single" w:sz="4" w:space="0" w:color="auto"/>
              <w:right w:val="single" w:sz="4" w:space="0" w:color="auto"/>
            </w:tcBorders>
            <w:shd w:val="clear" w:color="auto" w:fill="auto"/>
            <w:noWrap/>
            <w:vAlign w:val="bottom"/>
          </w:tcPr>
          <w:p w14:paraId="619DA6DD"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369.480</w:t>
            </w:r>
          </w:p>
        </w:tc>
        <w:tc>
          <w:tcPr>
            <w:tcW w:w="361" w:type="pct"/>
            <w:tcBorders>
              <w:top w:val="nil"/>
              <w:left w:val="nil"/>
              <w:bottom w:val="single" w:sz="4" w:space="0" w:color="auto"/>
              <w:right w:val="single" w:sz="4" w:space="0" w:color="auto"/>
            </w:tcBorders>
            <w:shd w:val="clear" w:color="auto" w:fill="auto"/>
            <w:noWrap/>
            <w:vAlign w:val="bottom"/>
          </w:tcPr>
          <w:p w14:paraId="78174D3D"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381.538</w:t>
            </w:r>
          </w:p>
        </w:tc>
        <w:tc>
          <w:tcPr>
            <w:tcW w:w="361" w:type="pct"/>
            <w:tcBorders>
              <w:top w:val="nil"/>
              <w:left w:val="nil"/>
              <w:bottom w:val="single" w:sz="4" w:space="0" w:color="auto"/>
              <w:right w:val="single" w:sz="4" w:space="0" w:color="auto"/>
            </w:tcBorders>
            <w:shd w:val="clear" w:color="auto" w:fill="auto"/>
            <w:noWrap/>
            <w:vAlign w:val="bottom"/>
          </w:tcPr>
          <w:p w14:paraId="30FB1F03"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405.613</w:t>
            </w:r>
          </w:p>
        </w:tc>
        <w:tc>
          <w:tcPr>
            <w:tcW w:w="361" w:type="pct"/>
            <w:tcBorders>
              <w:top w:val="nil"/>
              <w:left w:val="nil"/>
              <w:bottom w:val="single" w:sz="4" w:space="0" w:color="auto"/>
              <w:right w:val="single" w:sz="4" w:space="0" w:color="auto"/>
            </w:tcBorders>
            <w:shd w:val="clear" w:color="auto" w:fill="auto"/>
            <w:noWrap/>
            <w:vAlign w:val="bottom"/>
          </w:tcPr>
          <w:p w14:paraId="2CE187B0"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418.265</w:t>
            </w:r>
          </w:p>
        </w:tc>
        <w:tc>
          <w:tcPr>
            <w:tcW w:w="361" w:type="pct"/>
            <w:tcBorders>
              <w:top w:val="nil"/>
              <w:left w:val="nil"/>
              <w:bottom w:val="single" w:sz="4" w:space="0" w:color="auto"/>
              <w:right w:val="single" w:sz="4" w:space="0" w:color="auto"/>
            </w:tcBorders>
            <w:shd w:val="clear" w:color="auto" w:fill="auto"/>
            <w:noWrap/>
            <w:vAlign w:val="bottom"/>
          </w:tcPr>
          <w:p w14:paraId="631F3D5B"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445.511</w:t>
            </w:r>
          </w:p>
        </w:tc>
        <w:tc>
          <w:tcPr>
            <w:tcW w:w="361" w:type="pct"/>
            <w:tcBorders>
              <w:top w:val="nil"/>
              <w:left w:val="nil"/>
              <w:bottom w:val="single" w:sz="4" w:space="0" w:color="auto"/>
              <w:right w:val="single" w:sz="4" w:space="0" w:color="auto"/>
            </w:tcBorders>
            <w:shd w:val="clear" w:color="auto" w:fill="auto"/>
            <w:noWrap/>
            <w:vAlign w:val="bottom"/>
          </w:tcPr>
          <w:p w14:paraId="4081C4C5"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488.340</w:t>
            </w:r>
          </w:p>
        </w:tc>
      </w:tr>
      <w:tr w:rsidR="001A125F" w:rsidRPr="001A125F" w14:paraId="1C198346" w14:textId="77777777" w:rsidTr="002F77F1">
        <w:trPr>
          <w:trHeight w:val="220"/>
        </w:trPr>
        <w:tc>
          <w:tcPr>
            <w:tcW w:w="668" w:type="pct"/>
            <w:tcBorders>
              <w:top w:val="nil"/>
              <w:left w:val="single" w:sz="4" w:space="0" w:color="auto"/>
              <w:bottom w:val="single" w:sz="4" w:space="0" w:color="auto"/>
              <w:right w:val="single" w:sz="4" w:space="0" w:color="auto"/>
            </w:tcBorders>
            <w:shd w:val="clear" w:color="000000" w:fill="FFF2CC"/>
            <w:noWrap/>
            <w:vAlign w:val="bottom"/>
          </w:tcPr>
          <w:p w14:paraId="71070769" w14:textId="77777777" w:rsidR="00275DCD" w:rsidRPr="001A125F" w:rsidRDefault="00275DCD" w:rsidP="00751082">
            <w:pPr>
              <w:rPr>
                <w:rFonts w:ascii="Times New Roman" w:hAnsi="Times New Roman"/>
                <w:sz w:val="16"/>
                <w:szCs w:val="16"/>
              </w:rPr>
            </w:pPr>
            <w:r w:rsidRPr="001A125F">
              <w:rPr>
                <w:rFonts w:ascii="Times New Roman" w:hAnsi="Times New Roman"/>
                <w:sz w:val="16"/>
                <w:szCs w:val="16"/>
              </w:rPr>
              <w:t>Mountain Resort</w:t>
            </w:r>
          </w:p>
        </w:tc>
        <w:tc>
          <w:tcPr>
            <w:tcW w:w="361" w:type="pct"/>
            <w:tcBorders>
              <w:top w:val="single" w:sz="4" w:space="0" w:color="auto"/>
              <w:left w:val="nil"/>
              <w:bottom w:val="single" w:sz="4" w:space="0" w:color="auto"/>
              <w:right w:val="single" w:sz="4" w:space="0" w:color="auto"/>
            </w:tcBorders>
            <w:shd w:val="clear" w:color="000000" w:fill="FFF2CC"/>
            <w:noWrap/>
            <w:vAlign w:val="bottom"/>
          </w:tcPr>
          <w:p w14:paraId="35B43CA2"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228.745</w:t>
            </w:r>
          </w:p>
        </w:tc>
        <w:tc>
          <w:tcPr>
            <w:tcW w:w="361" w:type="pct"/>
            <w:tcBorders>
              <w:top w:val="nil"/>
              <w:left w:val="nil"/>
              <w:bottom w:val="single" w:sz="4" w:space="0" w:color="auto"/>
              <w:right w:val="single" w:sz="4" w:space="0" w:color="auto"/>
            </w:tcBorders>
            <w:shd w:val="clear" w:color="000000" w:fill="FFF2CC"/>
            <w:noWrap/>
            <w:vAlign w:val="bottom"/>
          </w:tcPr>
          <w:p w14:paraId="5E86E57F"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238.056</w:t>
            </w:r>
          </w:p>
        </w:tc>
        <w:tc>
          <w:tcPr>
            <w:tcW w:w="361" w:type="pct"/>
            <w:tcBorders>
              <w:top w:val="nil"/>
              <w:left w:val="nil"/>
              <w:bottom w:val="single" w:sz="4" w:space="0" w:color="auto"/>
              <w:right w:val="single" w:sz="4" w:space="0" w:color="auto"/>
            </w:tcBorders>
            <w:shd w:val="clear" w:color="000000" w:fill="FFF2CC"/>
            <w:noWrap/>
            <w:vAlign w:val="bottom"/>
          </w:tcPr>
          <w:p w14:paraId="781F2063"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243.847</w:t>
            </w:r>
          </w:p>
        </w:tc>
        <w:tc>
          <w:tcPr>
            <w:tcW w:w="361" w:type="pct"/>
            <w:tcBorders>
              <w:top w:val="nil"/>
              <w:left w:val="nil"/>
              <w:bottom w:val="single" w:sz="4" w:space="0" w:color="auto"/>
              <w:right w:val="single" w:sz="4" w:space="0" w:color="auto"/>
            </w:tcBorders>
            <w:shd w:val="clear" w:color="000000" w:fill="FFF2CC"/>
            <w:noWrap/>
            <w:vAlign w:val="bottom"/>
          </w:tcPr>
          <w:p w14:paraId="5D2A5B57"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250.630</w:t>
            </w:r>
          </w:p>
        </w:tc>
        <w:tc>
          <w:tcPr>
            <w:tcW w:w="361" w:type="pct"/>
            <w:tcBorders>
              <w:top w:val="nil"/>
              <w:left w:val="nil"/>
              <w:bottom w:val="single" w:sz="4" w:space="0" w:color="auto"/>
              <w:right w:val="single" w:sz="4" w:space="0" w:color="auto"/>
            </w:tcBorders>
            <w:shd w:val="clear" w:color="000000" w:fill="FFF2CC"/>
            <w:noWrap/>
            <w:vAlign w:val="bottom"/>
          </w:tcPr>
          <w:p w14:paraId="3CFF0FAB"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264.637</w:t>
            </w:r>
          </w:p>
        </w:tc>
        <w:tc>
          <w:tcPr>
            <w:tcW w:w="361" w:type="pct"/>
            <w:tcBorders>
              <w:top w:val="nil"/>
              <w:left w:val="nil"/>
              <w:bottom w:val="single" w:sz="4" w:space="0" w:color="auto"/>
              <w:right w:val="single" w:sz="4" w:space="0" w:color="auto"/>
            </w:tcBorders>
            <w:shd w:val="clear" w:color="000000" w:fill="FFF2CC"/>
            <w:noWrap/>
            <w:vAlign w:val="bottom"/>
          </w:tcPr>
          <w:p w14:paraId="2008DEA7"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277.261</w:t>
            </w:r>
          </w:p>
        </w:tc>
        <w:tc>
          <w:tcPr>
            <w:tcW w:w="361" w:type="pct"/>
            <w:tcBorders>
              <w:top w:val="nil"/>
              <w:left w:val="nil"/>
              <w:bottom w:val="single" w:sz="4" w:space="0" w:color="auto"/>
              <w:right w:val="single" w:sz="4" w:space="0" w:color="auto"/>
            </w:tcBorders>
            <w:shd w:val="clear" w:color="000000" w:fill="FFF2CC"/>
            <w:noWrap/>
            <w:vAlign w:val="bottom"/>
          </w:tcPr>
          <w:p w14:paraId="0F5263BE"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288.748</w:t>
            </w:r>
          </w:p>
        </w:tc>
        <w:tc>
          <w:tcPr>
            <w:tcW w:w="361" w:type="pct"/>
            <w:tcBorders>
              <w:top w:val="nil"/>
              <w:left w:val="nil"/>
              <w:bottom w:val="single" w:sz="4" w:space="0" w:color="auto"/>
              <w:right w:val="single" w:sz="4" w:space="0" w:color="auto"/>
            </w:tcBorders>
            <w:shd w:val="clear" w:color="000000" w:fill="FFF2CC"/>
            <w:noWrap/>
            <w:vAlign w:val="bottom"/>
          </w:tcPr>
          <w:p w14:paraId="66C936E7"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301.125</w:t>
            </w:r>
          </w:p>
        </w:tc>
        <w:tc>
          <w:tcPr>
            <w:tcW w:w="361" w:type="pct"/>
            <w:tcBorders>
              <w:top w:val="nil"/>
              <w:left w:val="nil"/>
              <w:bottom w:val="single" w:sz="4" w:space="0" w:color="auto"/>
              <w:right w:val="single" w:sz="4" w:space="0" w:color="auto"/>
            </w:tcBorders>
            <w:shd w:val="clear" w:color="000000" w:fill="FFF2CC"/>
            <w:noWrap/>
            <w:vAlign w:val="bottom"/>
          </w:tcPr>
          <w:p w14:paraId="504C35AD"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319.851</w:t>
            </w:r>
          </w:p>
        </w:tc>
        <w:tc>
          <w:tcPr>
            <w:tcW w:w="361" w:type="pct"/>
            <w:tcBorders>
              <w:top w:val="nil"/>
              <w:left w:val="nil"/>
              <w:bottom w:val="single" w:sz="4" w:space="0" w:color="auto"/>
              <w:right w:val="single" w:sz="4" w:space="0" w:color="auto"/>
            </w:tcBorders>
            <w:shd w:val="clear" w:color="000000" w:fill="FFF2CC"/>
            <w:noWrap/>
            <w:vAlign w:val="bottom"/>
          </w:tcPr>
          <w:p w14:paraId="16B40E0F"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325.907</w:t>
            </w:r>
          </w:p>
        </w:tc>
        <w:tc>
          <w:tcPr>
            <w:tcW w:w="361" w:type="pct"/>
            <w:tcBorders>
              <w:top w:val="nil"/>
              <w:left w:val="nil"/>
              <w:bottom w:val="single" w:sz="4" w:space="0" w:color="auto"/>
              <w:right w:val="single" w:sz="4" w:space="0" w:color="auto"/>
            </w:tcBorders>
            <w:shd w:val="clear" w:color="000000" w:fill="FFF2CC"/>
            <w:noWrap/>
            <w:vAlign w:val="bottom"/>
          </w:tcPr>
          <w:p w14:paraId="148C119F"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350.739</w:t>
            </w:r>
          </w:p>
        </w:tc>
        <w:tc>
          <w:tcPr>
            <w:tcW w:w="361" w:type="pct"/>
            <w:tcBorders>
              <w:top w:val="nil"/>
              <w:left w:val="nil"/>
              <w:bottom w:val="single" w:sz="4" w:space="0" w:color="auto"/>
              <w:right w:val="single" w:sz="4" w:space="0" w:color="auto"/>
            </w:tcBorders>
            <w:shd w:val="clear" w:color="000000" w:fill="FFF2CC"/>
            <w:noWrap/>
            <w:vAlign w:val="bottom"/>
          </w:tcPr>
          <w:p w14:paraId="5C8CAEC4"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382.249</w:t>
            </w:r>
          </w:p>
        </w:tc>
      </w:tr>
      <w:tr w:rsidR="001A125F" w:rsidRPr="001A125F" w14:paraId="72312B42" w14:textId="77777777" w:rsidTr="002F77F1">
        <w:trPr>
          <w:trHeight w:val="220"/>
        </w:trPr>
        <w:tc>
          <w:tcPr>
            <w:tcW w:w="668" w:type="pct"/>
            <w:tcBorders>
              <w:top w:val="nil"/>
              <w:left w:val="single" w:sz="4" w:space="0" w:color="auto"/>
              <w:bottom w:val="single" w:sz="4" w:space="0" w:color="auto"/>
              <w:right w:val="single" w:sz="4" w:space="0" w:color="auto"/>
            </w:tcBorders>
            <w:shd w:val="clear" w:color="auto" w:fill="auto"/>
            <w:noWrap/>
            <w:vAlign w:val="bottom"/>
          </w:tcPr>
          <w:p w14:paraId="19CDE7C1" w14:textId="77777777" w:rsidR="00275DCD" w:rsidRPr="001A125F" w:rsidRDefault="00275DCD" w:rsidP="00751082">
            <w:pPr>
              <w:rPr>
                <w:rFonts w:ascii="Times New Roman" w:hAnsi="Times New Roman"/>
                <w:sz w:val="16"/>
                <w:szCs w:val="16"/>
              </w:rPr>
            </w:pPr>
            <w:proofErr w:type="spellStart"/>
            <w:r w:rsidRPr="001A125F">
              <w:rPr>
                <w:rFonts w:ascii="Times New Roman" w:hAnsi="Times New Roman"/>
                <w:sz w:val="16"/>
                <w:szCs w:val="16"/>
              </w:rPr>
              <w:t>Kab</w:t>
            </w:r>
            <w:proofErr w:type="spellEnd"/>
            <w:r w:rsidRPr="001A125F">
              <w:rPr>
                <w:rFonts w:ascii="Times New Roman" w:hAnsi="Times New Roman"/>
                <w:sz w:val="16"/>
                <w:szCs w:val="16"/>
              </w:rPr>
              <w:t xml:space="preserve">. </w:t>
            </w:r>
            <w:proofErr w:type="spellStart"/>
            <w:r w:rsidRPr="001A125F">
              <w:rPr>
                <w:rFonts w:ascii="Times New Roman" w:hAnsi="Times New Roman"/>
                <w:sz w:val="16"/>
                <w:szCs w:val="16"/>
              </w:rPr>
              <w:t>Kulon</w:t>
            </w:r>
            <w:proofErr w:type="spellEnd"/>
            <w:r w:rsidRPr="001A125F">
              <w:rPr>
                <w:rFonts w:ascii="Times New Roman" w:hAnsi="Times New Roman"/>
                <w:sz w:val="16"/>
                <w:szCs w:val="16"/>
              </w:rPr>
              <w:t xml:space="preserve"> </w:t>
            </w:r>
            <w:proofErr w:type="spellStart"/>
            <w:r w:rsidRPr="001A125F">
              <w:rPr>
                <w:rFonts w:ascii="Times New Roman" w:hAnsi="Times New Roman"/>
                <w:sz w:val="16"/>
                <w:szCs w:val="16"/>
              </w:rPr>
              <w:t>Progo</w:t>
            </w:r>
            <w:proofErr w:type="spellEnd"/>
          </w:p>
        </w:tc>
        <w:tc>
          <w:tcPr>
            <w:tcW w:w="361" w:type="pct"/>
            <w:tcBorders>
              <w:top w:val="nil"/>
              <w:left w:val="nil"/>
              <w:bottom w:val="nil"/>
              <w:right w:val="nil"/>
            </w:tcBorders>
            <w:shd w:val="clear" w:color="auto" w:fill="auto"/>
            <w:noWrap/>
            <w:vAlign w:val="bottom"/>
          </w:tcPr>
          <w:p w14:paraId="0B4089FE"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250.854</w:t>
            </w:r>
          </w:p>
        </w:tc>
        <w:tc>
          <w:tcPr>
            <w:tcW w:w="361" w:type="pct"/>
            <w:tcBorders>
              <w:top w:val="nil"/>
              <w:left w:val="single" w:sz="4" w:space="0" w:color="auto"/>
              <w:bottom w:val="single" w:sz="4" w:space="0" w:color="auto"/>
              <w:right w:val="single" w:sz="4" w:space="0" w:color="auto"/>
            </w:tcBorders>
            <w:shd w:val="clear" w:color="auto" w:fill="auto"/>
            <w:noWrap/>
            <w:vAlign w:val="bottom"/>
          </w:tcPr>
          <w:p w14:paraId="45FA9590"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259.945</w:t>
            </w:r>
          </w:p>
        </w:tc>
        <w:tc>
          <w:tcPr>
            <w:tcW w:w="361" w:type="pct"/>
            <w:tcBorders>
              <w:top w:val="nil"/>
              <w:left w:val="nil"/>
              <w:bottom w:val="single" w:sz="4" w:space="0" w:color="auto"/>
              <w:right w:val="single" w:sz="4" w:space="0" w:color="auto"/>
            </w:tcBorders>
            <w:shd w:val="clear" w:color="auto" w:fill="auto"/>
            <w:noWrap/>
            <w:vAlign w:val="bottom"/>
          </w:tcPr>
          <w:p w14:paraId="3948894F"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265.575</w:t>
            </w:r>
          </w:p>
        </w:tc>
        <w:tc>
          <w:tcPr>
            <w:tcW w:w="361" w:type="pct"/>
            <w:tcBorders>
              <w:top w:val="nil"/>
              <w:left w:val="nil"/>
              <w:bottom w:val="single" w:sz="4" w:space="0" w:color="auto"/>
              <w:right w:val="single" w:sz="4" w:space="0" w:color="auto"/>
            </w:tcBorders>
            <w:shd w:val="clear" w:color="auto" w:fill="auto"/>
            <w:noWrap/>
            <w:vAlign w:val="bottom"/>
          </w:tcPr>
          <w:p w14:paraId="2EC866EE"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273.436</w:t>
            </w:r>
          </w:p>
        </w:tc>
        <w:tc>
          <w:tcPr>
            <w:tcW w:w="361" w:type="pct"/>
            <w:tcBorders>
              <w:top w:val="nil"/>
              <w:left w:val="nil"/>
              <w:bottom w:val="single" w:sz="4" w:space="0" w:color="auto"/>
              <w:right w:val="single" w:sz="4" w:space="0" w:color="auto"/>
            </w:tcBorders>
            <w:shd w:val="clear" w:color="auto" w:fill="auto"/>
            <w:noWrap/>
            <w:vAlign w:val="bottom"/>
          </w:tcPr>
          <w:p w14:paraId="59217A06"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297.353</w:t>
            </w:r>
          </w:p>
        </w:tc>
        <w:tc>
          <w:tcPr>
            <w:tcW w:w="361" w:type="pct"/>
            <w:tcBorders>
              <w:top w:val="nil"/>
              <w:left w:val="nil"/>
              <w:bottom w:val="single" w:sz="4" w:space="0" w:color="auto"/>
              <w:right w:val="single" w:sz="4" w:space="0" w:color="auto"/>
            </w:tcBorders>
            <w:shd w:val="clear" w:color="auto" w:fill="auto"/>
            <w:noWrap/>
            <w:vAlign w:val="bottom"/>
          </w:tcPr>
          <w:p w14:paraId="74530F8B"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312.403</w:t>
            </w:r>
          </w:p>
        </w:tc>
        <w:tc>
          <w:tcPr>
            <w:tcW w:w="361" w:type="pct"/>
            <w:tcBorders>
              <w:top w:val="nil"/>
              <w:left w:val="nil"/>
              <w:bottom w:val="single" w:sz="4" w:space="0" w:color="auto"/>
              <w:right w:val="single" w:sz="4" w:space="0" w:color="auto"/>
            </w:tcBorders>
            <w:shd w:val="clear" w:color="auto" w:fill="auto"/>
            <w:noWrap/>
            <w:vAlign w:val="bottom"/>
          </w:tcPr>
          <w:p w14:paraId="31883FC2"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323.105</w:t>
            </w:r>
          </w:p>
        </w:tc>
        <w:tc>
          <w:tcPr>
            <w:tcW w:w="361" w:type="pct"/>
            <w:tcBorders>
              <w:top w:val="nil"/>
              <w:left w:val="nil"/>
              <w:bottom w:val="single" w:sz="4" w:space="0" w:color="auto"/>
              <w:right w:val="single" w:sz="4" w:space="0" w:color="auto"/>
            </w:tcBorders>
            <w:shd w:val="clear" w:color="auto" w:fill="auto"/>
            <w:noWrap/>
            <w:vAlign w:val="bottom"/>
          </w:tcPr>
          <w:p w14:paraId="5302BD7B"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333.105</w:t>
            </w:r>
          </w:p>
        </w:tc>
        <w:tc>
          <w:tcPr>
            <w:tcW w:w="361" w:type="pct"/>
            <w:tcBorders>
              <w:top w:val="nil"/>
              <w:left w:val="nil"/>
              <w:bottom w:val="single" w:sz="4" w:space="0" w:color="auto"/>
              <w:right w:val="single" w:sz="4" w:space="0" w:color="auto"/>
            </w:tcBorders>
            <w:shd w:val="clear" w:color="auto" w:fill="auto"/>
            <w:noWrap/>
            <w:vAlign w:val="bottom"/>
          </w:tcPr>
          <w:p w14:paraId="2B2C06E1"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353.807</w:t>
            </w:r>
          </w:p>
        </w:tc>
        <w:tc>
          <w:tcPr>
            <w:tcW w:w="361" w:type="pct"/>
            <w:tcBorders>
              <w:top w:val="nil"/>
              <w:left w:val="nil"/>
              <w:bottom w:val="single" w:sz="4" w:space="0" w:color="auto"/>
              <w:right w:val="single" w:sz="4" w:space="0" w:color="auto"/>
            </w:tcBorders>
            <w:shd w:val="clear" w:color="auto" w:fill="auto"/>
            <w:noWrap/>
            <w:vAlign w:val="bottom"/>
          </w:tcPr>
          <w:p w14:paraId="5310AE7E"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360.202</w:t>
            </w:r>
          </w:p>
        </w:tc>
        <w:tc>
          <w:tcPr>
            <w:tcW w:w="361" w:type="pct"/>
            <w:tcBorders>
              <w:top w:val="nil"/>
              <w:left w:val="nil"/>
              <w:bottom w:val="single" w:sz="4" w:space="0" w:color="auto"/>
              <w:right w:val="single" w:sz="4" w:space="0" w:color="auto"/>
            </w:tcBorders>
            <w:shd w:val="clear" w:color="auto" w:fill="auto"/>
            <w:noWrap/>
            <w:vAlign w:val="bottom"/>
          </w:tcPr>
          <w:p w14:paraId="4202FFED"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381.666</w:t>
            </w:r>
          </w:p>
        </w:tc>
        <w:tc>
          <w:tcPr>
            <w:tcW w:w="361" w:type="pct"/>
            <w:tcBorders>
              <w:top w:val="nil"/>
              <w:left w:val="nil"/>
              <w:bottom w:val="single" w:sz="4" w:space="0" w:color="auto"/>
              <w:right w:val="single" w:sz="4" w:space="0" w:color="auto"/>
            </w:tcBorders>
            <w:shd w:val="clear" w:color="auto" w:fill="auto"/>
            <w:noWrap/>
            <w:vAlign w:val="bottom"/>
          </w:tcPr>
          <w:p w14:paraId="0820ED02"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416.870</w:t>
            </w:r>
          </w:p>
        </w:tc>
      </w:tr>
      <w:tr w:rsidR="001A125F" w:rsidRPr="001A125F" w14:paraId="08E12914" w14:textId="77777777" w:rsidTr="002F77F1">
        <w:trPr>
          <w:trHeight w:val="220"/>
        </w:trPr>
        <w:tc>
          <w:tcPr>
            <w:tcW w:w="668" w:type="pct"/>
            <w:tcBorders>
              <w:top w:val="nil"/>
              <w:left w:val="single" w:sz="4" w:space="0" w:color="auto"/>
              <w:bottom w:val="single" w:sz="4" w:space="0" w:color="auto"/>
              <w:right w:val="single" w:sz="4" w:space="0" w:color="auto"/>
            </w:tcBorders>
            <w:shd w:val="clear" w:color="auto" w:fill="auto"/>
            <w:noWrap/>
            <w:vAlign w:val="bottom"/>
          </w:tcPr>
          <w:p w14:paraId="63557265" w14:textId="77777777" w:rsidR="00275DCD" w:rsidRPr="001A125F" w:rsidRDefault="00275DCD" w:rsidP="00751082">
            <w:pPr>
              <w:rPr>
                <w:rFonts w:ascii="Times New Roman" w:hAnsi="Times New Roman"/>
                <w:sz w:val="16"/>
                <w:szCs w:val="16"/>
              </w:rPr>
            </w:pPr>
            <w:r w:rsidRPr="001A125F">
              <w:rPr>
                <w:rFonts w:ascii="Times New Roman" w:hAnsi="Times New Roman"/>
                <w:sz w:val="16"/>
                <w:szCs w:val="16"/>
              </w:rPr>
              <w:t>Sleman Regency</w:t>
            </w:r>
          </w:p>
        </w:tc>
        <w:tc>
          <w:tcPr>
            <w:tcW w:w="361" w:type="pct"/>
            <w:tcBorders>
              <w:top w:val="single" w:sz="4" w:space="0" w:color="auto"/>
              <w:left w:val="nil"/>
              <w:bottom w:val="single" w:sz="4" w:space="0" w:color="auto"/>
              <w:right w:val="single" w:sz="4" w:space="0" w:color="auto"/>
            </w:tcBorders>
            <w:shd w:val="clear" w:color="auto" w:fill="auto"/>
            <w:noWrap/>
            <w:vAlign w:val="bottom"/>
          </w:tcPr>
          <w:p w14:paraId="60126A6D"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281.644</w:t>
            </w:r>
          </w:p>
        </w:tc>
        <w:tc>
          <w:tcPr>
            <w:tcW w:w="361" w:type="pct"/>
            <w:tcBorders>
              <w:top w:val="nil"/>
              <w:left w:val="nil"/>
              <w:bottom w:val="single" w:sz="4" w:space="0" w:color="auto"/>
              <w:right w:val="single" w:sz="4" w:space="0" w:color="auto"/>
            </w:tcBorders>
            <w:shd w:val="clear" w:color="auto" w:fill="auto"/>
            <w:noWrap/>
            <w:vAlign w:val="bottom"/>
          </w:tcPr>
          <w:p w14:paraId="3D89BA5B"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297.170</w:t>
            </w:r>
          </w:p>
        </w:tc>
        <w:tc>
          <w:tcPr>
            <w:tcW w:w="361" w:type="pct"/>
            <w:tcBorders>
              <w:top w:val="nil"/>
              <w:left w:val="nil"/>
              <w:bottom w:val="single" w:sz="4" w:space="0" w:color="auto"/>
              <w:right w:val="single" w:sz="4" w:space="0" w:color="auto"/>
            </w:tcBorders>
            <w:shd w:val="clear" w:color="auto" w:fill="auto"/>
            <w:noWrap/>
            <w:vAlign w:val="bottom"/>
          </w:tcPr>
          <w:p w14:paraId="67BEF7F8"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306.961</w:t>
            </w:r>
          </w:p>
        </w:tc>
        <w:tc>
          <w:tcPr>
            <w:tcW w:w="361" w:type="pct"/>
            <w:tcBorders>
              <w:top w:val="nil"/>
              <w:left w:val="nil"/>
              <w:bottom w:val="single" w:sz="4" w:space="0" w:color="auto"/>
              <w:right w:val="single" w:sz="4" w:space="0" w:color="auto"/>
            </w:tcBorders>
            <w:shd w:val="clear" w:color="auto" w:fill="auto"/>
            <w:noWrap/>
            <w:vAlign w:val="bottom"/>
          </w:tcPr>
          <w:p w14:paraId="243BC6CD"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318.312</w:t>
            </w:r>
          </w:p>
        </w:tc>
        <w:tc>
          <w:tcPr>
            <w:tcW w:w="361" w:type="pct"/>
            <w:tcBorders>
              <w:top w:val="nil"/>
              <w:left w:val="nil"/>
              <w:bottom w:val="single" w:sz="4" w:space="0" w:color="auto"/>
              <w:right w:val="single" w:sz="4" w:space="0" w:color="auto"/>
            </w:tcBorders>
            <w:shd w:val="clear" w:color="auto" w:fill="auto"/>
            <w:noWrap/>
            <w:vAlign w:val="bottom"/>
          </w:tcPr>
          <w:p w14:paraId="24467AEB"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334.406</w:t>
            </w:r>
          </w:p>
        </w:tc>
        <w:tc>
          <w:tcPr>
            <w:tcW w:w="361" w:type="pct"/>
            <w:tcBorders>
              <w:top w:val="nil"/>
              <w:left w:val="nil"/>
              <w:bottom w:val="single" w:sz="4" w:space="0" w:color="auto"/>
              <w:right w:val="single" w:sz="4" w:space="0" w:color="auto"/>
            </w:tcBorders>
            <w:shd w:val="clear" w:color="auto" w:fill="auto"/>
            <w:noWrap/>
            <w:vAlign w:val="bottom"/>
          </w:tcPr>
          <w:p w14:paraId="3EE6580C"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351.331</w:t>
            </w:r>
          </w:p>
        </w:tc>
        <w:tc>
          <w:tcPr>
            <w:tcW w:w="361" w:type="pct"/>
            <w:tcBorders>
              <w:top w:val="nil"/>
              <w:left w:val="nil"/>
              <w:bottom w:val="single" w:sz="4" w:space="0" w:color="auto"/>
              <w:right w:val="single" w:sz="4" w:space="0" w:color="auto"/>
            </w:tcBorders>
            <w:shd w:val="clear" w:color="auto" w:fill="auto"/>
            <w:noWrap/>
            <w:vAlign w:val="bottom"/>
          </w:tcPr>
          <w:p w14:paraId="25CC938F"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370.127</w:t>
            </w:r>
          </w:p>
        </w:tc>
        <w:tc>
          <w:tcPr>
            <w:tcW w:w="361" w:type="pct"/>
            <w:tcBorders>
              <w:top w:val="nil"/>
              <w:left w:val="nil"/>
              <w:bottom w:val="single" w:sz="4" w:space="0" w:color="auto"/>
              <w:right w:val="single" w:sz="4" w:space="0" w:color="auto"/>
            </w:tcBorders>
            <w:shd w:val="clear" w:color="auto" w:fill="auto"/>
            <w:noWrap/>
            <w:vAlign w:val="bottom"/>
          </w:tcPr>
          <w:p w14:paraId="3445AE91"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382.868</w:t>
            </w:r>
          </w:p>
        </w:tc>
        <w:tc>
          <w:tcPr>
            <w:tcW w:w="361" w:type="pct"/>
            <w:tcBorders>
              <w:top w:val="nil"/>
              <w:left w:val="nil"/>
              <w:bottom w:val="single" w:sz="4" w:space="0" w:color="auto"/>
              <w:right w:val="single" w:sz="4" w:space="0" w:color="auto"/>
            </w:tcBorders>
            <w:shd w:val="clear" w:color="auto" w:fill="auto"/>
            <w:noWrap/>
            <w:vAlign w:val="bottom"/>
          </w:tcPr>
          <w:p w14:paraId="7046AD71"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411.610</w:t>
            </w:r>
          </w:p>
        </w:tc>
        <w:tc>
          <w:tcPr>
            <w:tcW w:w="361" w:type="pct"/>
            <w:tcBorders>
              <w:top w:val="nil"/>
              <w:left w:val="nil"/>
              <w:bottom w:val="single" w:sz="4" w:space="0" w:color="auto"/>
              <w:right w:val="single" w:sz="4" w:space="0" w:color="auto"/>
            </w:tcBorders>
            <w:shd w:val="clear" w:color="auto" w:fill="auto"/>
            <w:noWrap/>
            <w:vAlign w:val="bottom"/>
          </w:tcPr>
          <w:p w14:paraId="6278ADCD"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422.933</w:t>
            </w:r>
          </w:p>
        </w:tc>
        <w:tc>
          <w:tcPr>
            <w:tcW w:w="361" w:type="pct"/>
            <w:tcBorders>
              <w:top w:val="nil"/>
              <w:left w:val="nil"/>
              <w:bottom w:val="single" w:sz="4" w:space="0" w:color="auto"/>
              <w:right w:val="single" w:sz="4" w:space="0" w:color="auto"/>
            </w:tcBorders>
            <w:shd w:val="clear" w:color="auto" w:fill="auto"/>
            <w:noWrap/>
            <w:vAlign w:val="bottom"/>
          </w:tcPr>
          <w:p w14:paraId="4AB08516"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450.763</w:t>
            </w:r>
          </w:p>
        </w:tc>
        <w:tc>
          <w:tcPr>
            <w:tcW w:w="361" w:type="pct"/>
            <w:tcBorders>
              <w:top w:val="nil"/>
              <w:left w:val="nil"/>
              <w:bottom w:val="single" w:sz="4" w:space="0" w:color="auto"/>
              <w:right w:val="single" w:sz="4" w:space="0" w:color="auto"/>
            </w:tcBorders>
            <w:shd w:val="clear" w:color="auto" w:fill="auto"/>
            <w:noWrap/>
            <w:vAlign w:val="bottom"/>
          </w:tcPr>
          <w:p w14:paraId="70EE813E"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491.652</w:t>
            </w:r>
          </w:p>
        </w:tc>
      </w:tr>
      <w:tr w:rsidR="001A125F" w:rsidRPr="001A125F" w14:paraId="0582AB6C" w14:textId="77777777" w:rsidTr="002F77F1">
        <w:trPr>
          <w:trHeight w:val="220"/>
        </w:trPr>
        <w:tc>
          <w:tcPr>
            <w:tcW w:w="668" w:type="pct"/>
            <w:tcBorders>
              <w:top w:val="nil"/>
              <w:left w:val="single" w:sz="4" w:space="0" w:color="auto"/>
              <w:bottom w:val="single" w:sz="4" w:space="0" w:color="auto"/>
              <w:right w:val="single" w:sz="4" w:space="0" w:color="auto"/>
            </w:tcBorders>
            <w:shd w:val="clear" w:color="auto" w:fill="auto"/>
            <w:noWrap/>
            <w:vAlign w:val="bottom"/>
          </w:tcPr>
          <w:p w14:paraId="40F199FD" w14:textId="77777777" w:rsidR="00275DCD" w:rsidRPr="001A125F" w:rsidRDefault="00275DCD" w:rsidP="00751082">
            <w:pPr>
              <w:rPr>
                <w:rFonts w:ascii="Times New Roman" w:hAnsi="Times New Roman"/>
                <w:sz w:val="16"/>
                <w:szCs w:val="16"/>
              </w:rPr>
            </w:pPr>
            <w:r w:rsidRPr="001A125F">
              <w:rPr>
                <w:rFonts w:ascii="Times New Roman" w:hAnsi="Times New Roman"/>
                <w:sz w:val="16"/>
                <w:szCs w:val="16"/>
              </w:rPr>
              <w:t>DIY</w:t>
            </w:r>
          </w:p>
        </w:tc>
        <w:tc>
          <w:tcPr>
            <w:tcW w:w="361" w:type="pct"/>
            <w:tcBorders>
              <w:top w:val="nil"/>
              <w:left w:val="nil"/>
              <w:bottom w:val="single" w:sz="4" w:space="0" w:color="auto"/>
              <w:right w:val="single" w:sz="4" w:space="0" w:color="auto"/>
            </w:tcBorders>
            <w:shd w:val="clear" w:color="auto" w:fill="auto"/>
            <w:noWrap/>
            <w:vAlign w:val="bottom"/>
          </w:tcPr>
          <w:p w14:paraId="0FAD61D2"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270.110</w:t>
            </w:r>
          </w:p>
        </w:tc>
        <w:tc>
          <w:tcPr>
            <w:tcW w:w="361" w:type="pct"/>
            <w:tcBorders>
              <w:top w:val="nil"/>
              <w:left w:val="nil"/>
              <w:bottom w:val="single" w:sz="4" w:space="0" w:color="auto"/>
              <w:right w:val="single" w:sz="4" w:space="0" w:color="auto"/>
            </w:tcBorders>
            <w:shd w:val="clear" w:color="auto" w:fill="auto"/>
            <w:noWrap/>
            <w:vAlign w:val="bottom"/>
          </w:tcPr>
          <w:p w14:paraId="098E5FC7"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303.843</w:t>
            </w:r>
          </w:p>
        </w:tc>
        <w:tc>
          <w:tcPr>
            <w:tcW w:w="361" w:type="pct"/>
            <w:tcBorders>
              <w:top w:val="nil"/>
              <w:left w:val="nil"/>
              <w:bottom w:val="single" w:sz="4" w:space="0" w:color="auto"/>
              <w:right w:val="single" w:sz="4" w:space="0" w:color="auto"/>
            </w:tcBorders>
            <w:shd w:val="clear" w:color="auto" w:fill="auto"/>
            <w:noWrap/>
            <w:vAlign w:val="bottom"/>
          </w:tcPr>
          <w:p w14:paraId="35FD0865"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321.056</w:t>
            </w:r>
          </w:p>
        </w:tc>
        <w:tc>
          <w:tcPr>
            <w:tcW w:w="361" w:type="pct"/>
            <w:tcBorders>
              <w:top w:val="nil"/>
              <w:left w:val="nil"/>
              <w:bottom w:val="single" w:sz="4" w:space="0" w:color="auto"/>
              <w:right w:val="single" w:sz="4" w:space="0" w:color="auto"/>
            </w:tcBorders>
            <w:shd w:val="clear" w:color="auto" w:fill="auto"/>
            <w:noWrap/>
            <w:vAlign w:val="bottom"/>
          </w:tcPr>
          <w:p w14:paraId="4737DFE2"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335.886</w:t>
            </w:r>
          </w:p>
        </w:tc>
        <w:tc>
          <w:tcPr>
            <w:tcW w:w="361" w:type="pct"/>
            <w:tcBorders>
              <w:top w:val="nil"/>
              <w:left w:val="nil"/>
              <w:bottom w:val="single" w:sz="4" w:space="0" w:color="auto"/>
              <w:right w:val="single" w:sz="4" w:space="0" w:color="auto"/>
            </w:tcBorders>
            <w:shd w:val="clear" w:color="auto" w:fill="auto"/>
            <w:noWrap/>
            <w:vAlign w:val="bottom"/>
          </w:tcPr>
          <w:p w14:paraId="4594CF19"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354.084</w:t>
            </w:r>
          </w:p>
        </w:tc>
        <w:tc>
          <w:tcPr>
            <w:tcW w:w="361" w:type="pct"/>
            <w:tcBorders>
              <w:top w:val="nil"/>
              <w:left w:val="nil"/>
              <w:bottom w:val="single" w:sz="4" w:space="0" w:color="auto"/>
              <w:right w:val="single" w:sz="4" w:space="0" w:color="auto"/>
            </w:tcBorders>
            <w:shd w:val="clear" w:color="auto" w:fill="auto"/>
            <w:noWrap/>
            <w:vAlign w:val="bottom"/>
          </w:tcPr>
          <w:p w14:paraId="78D9BE6E"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374.009</w:t>
            </w:r>
          </w:p>
        </w:tc>
        <w:tc>
          <w:tcPr>
            <w:tcW w:w="361" w:type="pct"/>
            <w:tcBorders>
              <w:top w:val="nil"/>
              <w:left w:val="nil"/>
              <w:bottom w:val="single" w:sz="4" w:space="0" w:color="auto"/>
              <w:right w:val="single" w:sz="4" w:space="0" w:color="auto"/>
            </w:tcBorders>
            <w:shd w:val="clear" w:color="auto" w:fill="auto"/>
            <w:noWrap/>
            <w:vAlign w:val="bottom"/>
          </w:tcPr>
          <w:p w14:paraId="546B85AF"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409.744</w:t>
            </w:r>
          </w:p>
        </w:tc>
        <w:tc>
          <w:tcPr>
            <w:tcW w:w="361" w:type="pct"/>
            <w:tcBorders>
              <w:top w:val="nil"/>
              <w:left w:val="nil"/>
              <w:bottom w:val="single" w:sz="4" w:space="0" w:color="auto"/>
              <w:right w:val="single" w:sz="4" w:space="0" w:color="auto"/>
            </w:tcBorders>
            <w:shd w:val="clear" w:color="auto" w:fill="auto"/>
            <w:noWrap/>
            <w:vAlign w:val="bottom"/>
          </w:tcPr>
          <w:p w14:paraId="3BF47100"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432.026</w:t>
            </w:r>
          </w:p>
        </w:tc>
        <w:tc>
          <w:tcPr>
            <w:tcW w:w="361" w:type="pct"/>
            <w:tcBorders>
              <w:top w:val="nil"/>
              <w:left w:val="nil"/>
              <w:bottom w:val="single" w:sz="4" w:space="0" w:color="auto"/>
              <w:right w:val="single" w:sz="4" w:space="0" w:color="auto"/>
            </w:tcBorders>
            <w:shd w:val="clear" w:color="auto" w:fill="auto"/>
            <w:noWrap/>
            <w:vAlign w:val="bottom"/>
          </w:tcPr>
          <w:p w14:paraId="2B9FF274"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463.479</w:t>
            </w:r>
          </w:p>
        </w:tc>
        <w:tc>
          <w:tcPr>
            <w:tcW w:w="361" w:type="pct"/>
            <w:tcBorders>
              <w:top w:val="nil"/>
              <w:left w:val="nil"/>
              <w:bottom w:val="single" w:sz="4" w:space="0" w:color="auto"/>
              <w:right w:val="single" w:sz="4" w:space="0" w:color="auto"/>
            </w:tcBorders>
            <w:shd w:val="clear" w:color="auto" w:fill="auto"/>
            <w:noWrap/>
            <w:vAlign w:val="bottom"/>
          </w:tcPr>
          <w:p w14:paraId="322523BC"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482.855</w:t>
            </w:r>
          </w:p>
        </w:tc>
        <w:tc>
          <w:tcPr>
            <w:tcW w:w="361" w:type="pct"/>
            <w:tcBorders>
              <w:top w:val="nil"/>
              <w:left w:val="nil"/>
              <w:bottom w:val="single" w:sz="4" w:space="0" w:color="auto"/>
              <w:right w:val="single" w:sz="4" w:space="0" w:color="auto"/>
            </w:tcBorders>
            <w:shd w:val="clear" w:color="auto" w:fill="auto"/>
            <w:noWrap/>
            <w:vAlign w:val="bottom"/>
          </w:tcPr>
          <w:p w14:paraId="55D8A3BC"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521.673</w:t>
            </w:r>
          </w:p>
        </w:tc>
        <w:tc>
          <w:tcPr>
            <w:tcW w:w="361" w:type="pct"/>
            <w:tcBorders>
              <w:top w:val="nil"/>
              <w:left w:val="nil"/>
              <w:bottom w:val="single" w:sz="4" w:space="0" w:color="auto"/>
              <w:right w:val="single" w:sz="4" w:space="0" w:color="auto"/>
            </w:tcBorders>
            <w:shd w:val="clear" w:color="auto" w:fill="auto"/>
            <w:noWrap/>
            <w:vAlign w:val="bottom"/>
          </w:tcPr>
          <w:p w14:paraId="730E453A"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573.022</w:t>
            </w:r>
          </w:p>
        </w:tc>
      </w:tr>
      <w:tr w:rsidR="001A125F" w:rsidRPr="001A125F" w14:paraId="0CB78723" w14:textId="77777777" w:rsidTr="002F77F1">
        <w:trPr>
          <w:trHeight w:val="220"/>
        </w:trPr>
        <w:tc>
          <w:tcPr>
            <w:tcW w:w="668" w:type="pct"/>
            <w:tcBorders>
              <w:top w:val="nil"/>
              <w:left w:val="single" w:sz="4" w:space="0" w:color="auto"/>
              <w:bottom w:val="single" w:sz="4" w:space="0" w:color="auto"/>
              <w:right w:val="single" w:sz="4" w:space="0" w:color="auto"/>
            </w:tcBorders>
            <w:shd w:val="clear" w:color="auto" w:fill="auto"/>
            <w:noWrap/>
            <w:vAlign w:val="bottom"/>
          </w:tcPr>
          <w:p w14:paraId="00F710B3" w14:textId="77777777" w:rsidR="00275DCD" w:rsidRPr="001A125F" w:rsidRDefault="00275DCD" w:rsidP="00751082">
            <w:pPr>
              <w:rPr>
                <w:rFonts w:ascii="Times New Roman" w:hAnsi="Times New Roman"/>
                <w:sz w:val="16"/>
                <w:szCs w:val="16"/>
              </w:rPr>
            </w:pPr>
            <w:r w:rsidRPr="001A125F">
              <w:rPr>
                <w:rFonts w:ascii="Times New Roman" w:hAnsi="Times New Roman"/>
                <w:sz w:val="16"/>
                <w:szCs w:val="16"/>
              </w:rPr>
              <w:t>National</w:t>
            </w:r>
          </w:p>
        </w:tc>
        <w:tc>
          <w:tcPr>
            <w:tcW w:w="361" w:type="pct"/>
            <w:tcBorders>
              <w:top w:val="nil"/>
              <w:left w:val="nil"/>
              <w:bottom w:val="single" w:sz="4" w:space="0" w:color="auto"/>
              <w:right w:val="single" w:sz="4" w:space="0" w:color="auto"/>
            </w:tcBorders>
            <w:shd w:val="clear" w:color="auto" w:fill="auto"/>
            <w:noWrap/>
            <w:vAlign w:val="bottom"/>
          </w:tcPr>
          <w:p w14:paraId="21485AED"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259.520</w:t>
            </w:r>
          </w:p>
        </w:tc>
        <w:tc>
          <w:tcPr>
            <w:tcW w:w="361" w:type="pct"/>
            <w:tcBorders>
              <w:top w:val="nil"/>
              <w:left w:val="nil"/>
              <w:bottom w:val="single" w:sz="4" w:space="0" w:color="auto"/>
              <w:right w:val="single" w:sz="4" w:space="0" w:color="auto"/>
            </w:tcBorders>
            <w:shd w:val="clear" w:color="auto" w:fill="auto"/>
            <w:noWrap/>
            <w:vAlign w:val="bottom"/>
          </w:tcPr>
          <w:p w14:paraId="6FD4FCE7"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289.042</w:t>
            </w:r>
          </w:p>
        </w:tc>
        <w:tc>
          <w:tcPr>
            <w:tcW w:w="361" w:type="pct"/>
            <w:tcBorders>
              <w:top w:val="nil"/>
              <w:left w:val="nil"/>
              <w:bottom w:val="single" w:sz="4" w:space="0" w:color="auto"/>
              <w:right w:val="single" w:sz="4" w:space="0" w:color="auto"/>
            </w:tcBorders>
            <w:shd w:val="clear" w:color="auto" w:fill="auto"/>
            <w:noWrap/>
            <w:vAlign w:val="bottom"/>
          </w:tcPr>
          <w:p w14:paraId="58F72835"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302,735</w:t>
            </w:r>
          </w:p>
        </w:tc>
        <w:tc>
          <w:tcPr>
            <w:tcW w:w="361" w:type="pct"/>
            <w:tcBorders>
              <w:top w:val="nil"/>
              <w:left w:val="nil"/>
              <w:bottom w:val="single" w:sz="4" w:space="0" w:color="auto"/>
              <w:right w:val="single" w:sz="4" w:space="0" w:color="auto"/>
            </w:tcBorders>
            <w:shd w:val="clear" w:color="auto" w:fill="auto"/>
            <w:noWrap/>
            <w:vAlign w:val="bottom"/>
          </w:tcPr>
          <w:p w14:paraId="1CCE6C45"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330.776</w:t>
            </w:r>
          </w:p>
        </w:tc>
        <w:tc>
          <w:tcPr>
            <w:tcW w:w="361" w:type="pct"/>
            <w:tcBorders>
              <w:top w:val="nil"/>
              <w:left w:val="nil"/>
              <w:bottom w:val="single" w:sz="4" w:space="0" w:color="auto"/>
              <w:right w:val="single" w:sz="4" w:space="0" w:color="auto"/>
            </w:tcBorders>
            <w:shd w:val="clear" w:color="auto" w:fill="auto"/>
            <w:noWrap/>
            <w:vAlign w:val="bottom"/>
          </w:tcPr>
          <w:p w14:paraId="361C65F0"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361.990</w:t>
            </w:r>
          </w:p>
        </w:tc>
        <w:tc>
          <w:tcPr>
            <w:tcW w:w="361" w:type="pct"/>
            <w:tcBorders>
              <w:top w:val="nil"/>
              <w:left w:val="nil"/>
              <w:bottom w:val="single" w:sz="4" w:space="0" w:color="auto"/>
              <w:right w:val="single" w:sz="4" w:space="0" w:color="auto"/>
            </w:tcBorders>
            <w:shd w:val="clear" w:color="auto" w:fill="auto"/>
            <w:noWrap/>
            <w:vAlign w:val="bottom"/>
          </w:tcPr>
          <w:p w14:paraId="7A7F7DFA"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374.478</w:t>
            </w:r>
          </w:p>
        </w:tc>
        <w:tc>
          <w:tcPr>
            <w:tcW w:w="361" w:type="pct"/>
            <w:tcBorders>
              <w:top w:val="nil"/>
              <w:left w:val="nil"/>
              <w:bottom w:val="single" w:sz="4" w:space="0" w:color="auto"/>
              <w:right w:val="single" w:sz="4" w:space="0" w:color="auto"/>
            </w:tcBorders>
            <w:shd w:val="clear" w:color="auto" w:fill="auto"/>
            <w:noWrap/>
            <w:vAlign w:val="bottom"/>
          </w:tcPr>
          <w:p w14:paraId="0810DF34"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401.220</w:t>
            </w:r>
          </w:p>
        </w:tc>
        <w:tc>
          <w:tcPr>
            <w:tcW w:w="361" w:type="pct"/>
            <w:tcBorders>
              <w:top w:val="nil"/>
              <w:left w:val="nil"/>
              <w:bottom w:val="single" w:sz="4" w:space="0" w:color="auto"/>
              <w:right w:val="single" w:sz="4" w:space="0" w:color="auto"/>
            </w:tcBorders>
            <w:shd w:val="clear" w:color="auto" w:fill="auto"/>
            <w:noWrap/>
            <w:vAlign w:val="bottom"/>
          </w:tcPr>
          <w:p w14:paraId="0A4F7947"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425.250</w:t>
            </w:r>
          </w:p>
        </w:tc>
        <w:tc>
          <w:tcPr>
            <w:tcW w:w="361" w:type="pct"/>
            <w:tcBorders>
              <w:top w:val="nil"/>
              <w:left w:val="nil"/>
              <w:bottom w:val="single" w:sz="4" w:space="0" w:color="auto"/>
              <w:right w:val="single" w:sz="4" w:space="0" w:color="auto"/>
            </w:tcBorders>
            <w:shd w:val="clear" w:color="auto" w:fill="auto"/>
            <w:noWrap/>
            <w:vAlign w:val="bottom"/>
          </w:tcPr>
          <w:p w14:paraId="25EC52CA"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454.652</w:t>
            </w:r>
          </w:p>
        </w:tc>
        <w:tc>
          <w:tcPr>
            <w:tcW w:w="361" w:type="pct"/>
            <w:tcBorders>
              <w:top w:val="nil"/>
              <w:left w:val="nil"/>
              <w:bottom w:val="single" w:sz="4" w:space="0" w:color="auto"/>
              <w:right w:val="single" w:sz="4" w:space="0" w:color="auto"/>
            </w:tcBorders>
            <w:shd w:val="clear" w:color="auto" w:fill="auto"/>
            <w:noWrap/>
            <w:vAlign w:val="bottom"/>
          </w:tcPr>
          <w:p w14:paraId="7630D97C"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472.525</w:t>
            </w:r>
          </w:p>
        </w:tc>
        <w:tc>
          <w:tcPr>
            <w:tcW w:w="361" w:type="pct"/>
            <w:tcBorders>
              <w:top w:val="nil"/>
              <w:left w:val="nil"/>
              <w:bottom w:val="single" w:sz="4" w:space="0" w:color="auto"/>
              <w:right w:val="single" w:sz="4" w:space="0" w:color="auto"/>
            </w:tcBorders>
            <w:shd w:val="clear" w:color="auto" w:fill="auto"/>
            <w:noWrap/>
            <w:vAlign w:val="bottom"/>
          </w:tcPr>
          <w:p w14:paraId="4B145C89"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535.547</w:t>
            </w:r>
          </w:p>
        </w:tc>
        <w:tc>
          <w:tcPr>
            <w:tcW w:w="361" w:type="pct"/>
            <w:tcBorders>
              <w:top w:val="nil"/>
              <w:left w:val="nil"/>
              <w:bottom w:val="single" w:sz="4" w:space="0" w:color="auto"/>
              <w:right w:val="single" w:sz="4" w:space="0" w:color="auto"/>
            </w:tcBorders>
            <w:shd w:val="clear" w:color="auto" w:fill="auto"/>
            <w:noWrap/>
            <w:vAlign w:val="bottom"/>
          </w:tcPr>
          <w:p w14:paraId="672EE296" w14:textId="77777777" w:rsidR="00275DCD" w:rsidRPr="001A125F" w:rsidRDefault="00275DCD" w:rsidP="00751082">
            <w:pPr>
              <w:jc w:val="right"/>
              <w:rPr>
                <w:rFonts w:ascii="Times New Roman" w:hAnsi="Times New Roman"/>
                <w:sz w:val="16"/>
                <w:szCs w:val="16"/>
              </w:rPr>
            </w:pPr>
            <w:r w:rsidRPr="001A125F">
              <w:rPr>
                <w:rFonts w:ascii="Times New Roman" w:hAnsi="Times New Roman"/>
                <w:sz w:val="16"/>
                <w:szCs w:val="16"/>
              </w:rPr>
              <w:t>550.458</w:t>
            </w:r>
          </w:p>
        </w:tc>
      </w:tr>
    </w:tbl>
    <w:p w14:paraId="29C59264" w14:textId="5F46EFB6" w:rsidR="00081E27" w:rsidRPr="001A125F" w:rsidRDefault="00275DCD" w:rsidP="00081E27">
      <w:pPr>
        <w:spacing w:line="360" w:lineRule="auto"/>
        <w:jc w:val="both"/>
        <w:rPr>
          <w:rFonts w:ascii="Times New Roman" w:eastAsia="Calibri" w:hAnsi="Times New Roman"/>
          <w:lang w:val="nb-NO" w:eastAsia="zh-CN"/>
        </w:rPr>
      </w:pPr>
      <w:r w:rsidRPr="001A125F">
        <w:rPr>
          <w:rFonts w:ascii="Times New Roman" w:eastAsia="Calibri" w:hAnsi="Times New Roman"/>
          <w:lang w:eastAsia="zh-CN"/>
        </w:rPr>
        <w:t>Source: BPS, 2023</w:t>
      </w:r>
    </w:p>
    <w:p w14:paraId="190998E8" w14:textId="6D821FD4" w:rsidR="00081E27" w:rsidRPr="001A125F" w:rsidRDefault="00081E27" w:rsidP="00081E27">
      <w:pPr>
        <w:spacing w:line="360" w:lineRule="auto"/>
        <w:ind w:firstLine="567"/>
        <w:jc w:val="both"/>
        <w:rPr>
          <w:rFonts w:ascii="Arial" w:hAnsi="Arial" w:cs="Arial"/>
          <w:lang w:val="nb-NO"/>
        </w:rPr>
      </w:pPr>
      <w:r w:rsidRPr="001A125F">
        <w:rPr>
          <w:rFonts w:ascii="Arial" w:hAnsi="Arial" w:cs="Arial"/>
        </w:rPr>
        <w:lastRenderedPageBreak/>
        <w:t xml:space="preserve">As explained in the methodology section, one of the approaches used in this study is quantitative analysis. To measure macroeconomic performance, the variables of GDP per capita and economic growth rate are used, which are calculated based on GDP growth on a constant price basis. Meanwhile, the poverty indicator used consists of two variables, namely the number of poor people (in units of population) and the percentage of poor people (in the form of percentages). Recently, a new type of dataset has been widely used to investigate countries with limited statistical capabilities, namely nightlight data </w:t>
      </w:r>
      <w:r w:rsidR="00E47BDC" w:rsidRPr="001A125F">
        <w:rPr>
          <w:rFonts w:ascii="Arial" w:hAnsi="Arial" w:cs="Arial"/>
        </w:rPr>
        <w:fldChar w:fldCharType="begin" w:fldLock="1"/>
      </w:r>
      <w:r w:rsidR="00E47BDC" w:rsidRPr="001A125F">
        <w:rPr>
          <w:rFonts w:ascii="Arial" w:hAnsi="Arial" w:cs="Arial"/>
        </w:rPr>
        <w:instrText>ADDIN CSL_CITATION {"citationItems":[{"id":"ITEM-1","itemData":{"DOI":"10.1016/j.aglobe.2022.100046","ISSN":"26671115","abstract":"North Korea is one of the most restrictive countries in terms of data accessibility, especially at the regional level. This research assesses the regional economy in North Korea using the nighttime light data. It estimates GRDP per capita at the county level in 2012–2020, the Kim Jong-Un era, and assesses the inequality of North Korean regions. The results reveal that cities such as Sinuiju have a comparable level of GRDP per capita with Pyongyang and that the spatial distribution of low-income counties changes from regions near South Korean borders to regions near Chinese borders as sanctions are implemented. Also, it appears that substantial county-level inequality exists. It calls for a need for the county-level economic research of North Korea despite the lack of regional data.","author":[{"dropping-particle":"","family":"Kim","given":"Dawool","non-dropping-particle":"","parse-names":false,"suffix":""}],"container-title":"Asia and the Global Economy","id":"ITEM-1","issue":"3","issued":{"date-parts":[["2022"]]},"page":"100046","publisher":"Elsevier B.V.","title":"Assessing regional economy in North Korea using nighttime light","type":"article-journal","volume":"2"},"uris":["http://www.mendeley.com/documents/?uuid=1f3e68a3-53ce-431d-bc44-5a8513b37de7"]}],"mendeley":{"formattedCitation":"(Kim, 2022)","plainTextFormattedCitation":"(Kim, 2022)"},"properties":{"noteIndex":0},"schema":"https://github.com/citation-style-language/schema/raw/master/csl-citation.json"}</w:instrText>
      </w:r>
      <w:r w:rsidR="00E47BDC" w:rsidRPr="001A125F">
        <w:rPr>
          <w:rFonts w:ascii="Arial" w:hAnsi="Arial" w:cs="Arial"/>
        </w:rPr>
        <w:fldChar w:fldCharType="separate"/>
      </w:r>
      <w:r w:rsidR="00E47BDC" w:rsidRPr="001A125F">
        <w:rPr>
          <w:rFonts w:ascii="Arial" w:hAnsi="Arial" w:cs="Arial"/>
          <w:noProof/>
        </w:rPr>
        <w:t>(Kim, 2022)</w:t>
      </w:r>
      <w:r w:rsidR="00E47BDC" w:rsidRPr="001A125F">
        <w:rPr>
          <w:rFonts w:ascii="Arial" w:hAnsi="Arial" w:cs="Arial"/>
        </w:rPr>
        <w:fldChar w:fldCharType="end"/>
      </w:r>
      <w:r w:rsidR="00E47BDC" w:rsidRPr="001A125F">
        <w:rPr>
          <w:rFonts w:ascii="Arial" w:hAnsi="Arial" w:cs="Arial"/>
        </w:rPr>
        <w:t>. However, this study focuses on data on GDP per capita and the number of poor people.</w:t>
      </w:r>
    </w:p>
    <w:p w14:paraId="2E05FC59" w14:textId="570D4B29" w:rsidR="00275DCD" w:rsidRPr="001A125F" w:rsidRDefault="00275DCD" w:rsidP="00275DCD">
      <w:pPr>
        <w:spacing w:line="360" w:lineRule="auto"/>
        <w:ind w:firstLine="567"/>
        <w:jc w:val="both"/>
        <w:rPr>
          <w:rFonts w:ascii="Arial" w:hAnsi="Arial" w:cs="Arial"/>
          <w:lang w:val="nb-NO"/>
        </w:rPr>
      </w:pPr>
      <w:r w:rsidRPr="001A125F">
        <w:rPr>
          <w:rFonts w:ascii="Arial" w:hAnsi="Arial" w:cs="Arial"/>
        </w:rPr>
        <w:t xml:space="preserve">This correlation analysis uses time series data, taking samples over the last twelve years, or from 2012 to 2023. Time series sampling for 12 years is expected to be quite </w:t>
      </w:r>
      <w:r w:rsidR="00956072" w:rsidRPr="001A125F">
        <w:rPr>
          <w:rFonts w:ascii="Arial" w:hAnsi="Arial" w:cs="Arial"/>
        </w:rPr>
        <w:t>stable and</w:t>
      </w:r>
      <w:r w:rsidRPr="001A125F">
        <w:rPr>
          <w:rFonts w:ascii="Arial" w:hAnsi="Arial" w:cs="Arial"/>
        </w:rPr>
        <w:t xml:space="preserve"> meet the requirements of the time series correlation analysis method. To calculate the correlation, it is not done using lag, but directly on the same n. The basic correlation model used is as follows:</w:t>
      </w:r>
    </w:p>
    <w:p w14:paraId="36AEA53E" w14:textId="77777777" w:rsidR="00275DCD" w:rsidRPr="001A125F" w:rsidRDefault="00275DCD" w:rsidP="00275DCD">
      <w:pPr>
        <w:rPr>
          <w:rFonts w:ascii="Arial" w:eastAsia="DengXian" w:hAnsi="Arial" w:cs="Arial"/>
        </w:rPr>
      </w:pPr>
      <m:oMathPara>
        <m:oMath>
          <m:r>
            <w:rPr>
              <w:rFonts w:ascii="Cambria Math" w:hAnsi="Cambria Math" w:cs="Arial"/>
            </w:rPr>
            <m:t>r=</m:t>
          </m:r>
          <m:f>
            <m:fPr>
              <m:ctrlPr>
                <w:rPr>
                  <w:rFonts w:ascii="Cambria Math" w:hAnsi="Cambria Math" w:cs="Arial"/>
                  <w:i/>
                </w:rPr>
              </m:ctrlPr>
            </m:fPr>
            <m:num>
              <m:r>
                <w:rPr>
                  <w:rFonts w:ascii="Cambria Math" w:hAnsi="Cambria Math" w:cs="Arial"/>
                </w:rPr>
                <m:t>n</m:t>
              </m:r>
              <m:nary>
                <m:naryPr>
                  <m:chr m:val="∑"/>
                  <m:limLoc m:val="undOvr"/>
                  <m:subHide m:val="1"/>
                  <m:supHide m:val="1"/>
                  <m:ctrlPr>
                    <w:rPr>
                      <w:rFonts w:ascii="Cambria Math" w:hAnsi="Cambria Math" w:cs="Arial"/>
                      <w:i/>
                    </w:rPr>
                  </m:ctrlPr>
                </m:naryPr>
                <m:sub/>
                <m:sup/>
                <m:e>
                  <m:r>
                    <w:rPr>
                      <w:rFonts w:ascii="Cambria Math" w:hAnsi="Cambria Math" w:cs="Arial"/>
                    </w:rPr>
                    <m:t>xy-(</m:t>
                  </m:r>
                  <m:nary>
                    <m:naryPr>
                      <m:chr m:val="∑"/>
                      <m:limLoc m:val="undOvr"/>
                      <m:subHide m:val="1"/>
                      <m:supHide m:val="1"/>
                      <m:ctrlPr>
                        <w:rPr>
                          <w:rFonts w:ascii="Cambria Math" w:hAnsi="Cambria Math" w:cs="Arial"/>
                          <w:i/>
                        </w:rPr>
                      </m:ctrlPr>
                    </m:naryPr>
                    <m:sub/>
                    <m:sup/>
                    <m:e>
                      <m:r>
                        <w:rPr>
                          <w:rFonts w:ascii="Cambria Math" w:hAnsi="Cambria Math" w:cs="Arial"/>
                        </w:rPr>
                        <m:t>x)(</m:t>
                      </m:r>
                      <m:nary>
                        <m:naryPr>
                          <m:chr m:val="∑"/>
                          <m:limLoc m:val="undOvr"/>
                          <m:subHide m:val="1"/>
                          <m:supHide m:val="1"/>
                          <m:ctrlPr>
                            <w:rPr>
                              <w:rFonts w:ascii="Cambria Math" w:hAnsi="Cambria Math" w:cs="Arial"/>
                              <w:i/>
                            </w:rPr>
                          </m:ctrlPr>
                        </m:naryPr>
                        <m:sub/>
                        <m:sup/>
                        <m:e>
                          <m:r>
                            <w:rPr>
                              <w:rFonts w:ascii="Cambria Math" w:hAnsi="Cambria Math" w:cs="Arial"/>
                            </w:rPr>
                            <m:t>y)</m:t>
                          </m:r>
                        </m:e>
                      </m:nary>
                    </m:e>
                  </m:nary>
                </m:e>
              </m:nary>
            </m:num>
            <m:den>
              <m:rad>
                <m:radPr>
                  <m:degHide m:val="1"/>
                  <m:ctrlPr>
                    <w:rPr>
                      <w:rFonts w:ascii="Cambria Math" w:hAnsi="Cambria Math" w:cs="Arial"/>
                      <w:i/>
                    </w:rPr>
                  </m:ctrlPr>
                </m:radPr>
                <m:deg/>
                <m:e>
                  <m:r>
                    <w:rPr>
                      <w:rFonts w:ascii="Cambria Math" w:hAnsi="Cambria Math" w:cs="Arial"/>
                    </w:rPr>
                    <m:t>[n</m:t>
                  </m:r>
                  <m:nary>
                    <m:naryPr>
                      <m:chr m:val="∑"/>
                      <m:limLoc m:val="undOvr"/>
                      <m:subHide m:val="1"/>
                      <m:supHide m:val="1"/>
                      <m:ctrlPr>
                        <w:rPr>
                          <w:rFonts w:ascii="Cambria Math" w:hAnsi="Cambria Math" w:cs="Arial"/>
                          <w:i/>
                        </w:rPr>
                      </m:ctrlPr>
                    </m:naryPr>
                    <m:sub/>
                    <m:sup/>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e>
                  </m:nary>
                  <m:r>
                    <w:rPr>
                      <w:rFonts w:ascii="Cambria Math" w:hAnsi="Cambria Math" w:cs="Arial"/>
                    </w:rPr>
                    <m:t>-(</m:t>
                  </m:r>
                  <m:nary>
                    <m:naryPr>
                      <m:chr m:val="∑"/>
                      <m:limLoc m:val="undOvr"/>
                      <m:subHide m:val="1"/>
                      <m:supHide m:val="1"/>
                      <m:ctrlPr>
                        <w:rPr>
                          <w:rFonts w:ascii="Cambria Math" w:hAnsi="Cambria Math" w:cs="Arial"/>
                          <w:i/>
                        </w:rPr>
                      </m:ctrlPr>
                    </m:naryPr>
                    <m:sub/>
                    <m:sup/>
                    <m:e>
                      <m:r>
                        <w:rPr>
                          <w:rFonts w:ascii="Cambria Math" w:hAnsi="Cambria Math" w:cs="Arial"/>
                        </w:rPr>
                        <m:t>x</m:t>
                      </m:r>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r>
                        <w:rPr>
                          <w:rFonts w:ascii="Cambria Math" w:hAnsi="Cambria Math" w:cs="Arial"/>
                        </w:rPr>
                        <m:t>][n</m:t>
                      </m:r>
                      <m:nary>
                        <m:naryPr>
                          <m:chr m:val="∑"/>
                          <m:limLoc m:val="undOvr"/>
                          <m:subHide m:val="1"/>
                          <m:supHide m:val="1"/>
                          <m:ctrlPr>
                            <w:rPr>
                              <w:rFonts w:ascii="Cambria Math" w:hAnsi="Cambria Math" w:cs="Arial"/>
                              <w:i/>
                            </w:rPr>
                          </m:ctrlPr>
                        </m:naryPr>
                        <m:sub/>
                        <m:sup/>
                        <m:e>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e>
                      </m:nary>
                      <m:r>
                        <w:rPr>
                          <w:rFonts w:ascii="Cambria Math" w:hAnsi="Cambria Math" w:cs="Arial"/>
                        </w:rPr>
                        <m:t>-(</m:t>
                      </m:r>
                      <m:nary>
                        <m:naryPr>
                          <m:chr m:val="∑"/>
                          <m:limLoc m:val="undOvr"/>
                          <m:subHide m:val="1"/>
                          <m:supHide m:val="1"/>
                          <m:ctrlPr>
                            <w:rPr>
                              <w:rFonts w:ascii="Cambria Math" w:hAnsi="Cambria Math" w:cs="Arial"/>
                              <w:i/>
                            </w:rPr>
                          </m:ctrlPr>
                        </m:naryPr>
                        <m:sub/>
                        <m:sup/>
                        <m:e>
                          <m:r>
                            <w:rPr>
                              <w:rFonts w:ascii="Cambria Math" w:hAnsi="Cambria Math" w:cs="Arial"/>
                            </w:rPr>
                            <m:t>y</m:t>
                          </m:r>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r>
                            <w:rPr>
                              <w:rFonts w:ascii="Cambria Math" w:hAnsi="Cambria Math" w:cs="Arial"/>
                            </w:rPr>
                            <m:t>]</m:t>
                          </m:r>
                        </m:e>
                      </m:nary>
                    </m:e>
                  </m:nary>
                </m:e>
              </m:rad>
            </m:den>
          </m:f>
        </m:oMath>
      </m:oMathPara>
    </w:p>
    <w:p w14:paraId="65061D3A" w14:textId="77777777" w:rsidR="00275DCD" w:rsidRPr="001A125F" w:rsidRDefault="00275DCD" w:rsidP="00275DCD">
      <w:pPr>
        <w:spacing w:line="360" w:lineRule="auto"/>
        <w:jc w:val="both"/>
        <w:rPr>
          <w:rFonts w:ascii="Arial" w:hAnsi="Arial" w:cs="Arial"/>
          <w:lang w:val="nb-NO"/>
        </w:rPr>
      </w:pPr>
      <w:r w:rsidRPr="001A125F">
        <w:rPr>
          <w:rFonts w:ascii="Arial" w:hAnsi="Arial" w:cs="Arial"/>
        </w:rPr>
        <w:t>Where:</w:t>
      </w:r>
    </w:p>
    <w:p w14:paraId="369C34E1" w14:textId="77777777" w:rsidR="00275DCD" w:rsidRPr="001A125F" w:rsidRDefault="00275DCD" w:rsidP="00275DCD">
      <w:pPr>
        <w:spacing w:line="360" w:lineRule="auto"/>
        <w:ind w:left="426"/>
        <w:jc w:val="both"/>
        <w:rPr>
          <w:rFonts w:ascii="Arial" w:hAnsi="Arial" w:cs="Arial"/>
          <w:lang w:val="nb-NO"/>
        </w:rPr>
      </w:pPr>
      <w:r w:rsidRPr="001A125F">
        <w:rPr>
          <w:rFonts w:ascii="Arial" w:hAnsi="Arial" w:cs="Arial"/>
        </w:rPr>
        <w:t xml:space="preserve">r </w:t>
      </w:r>
      <w:r w:rsidRPr="001A125F">
        <w:rPr>
          <w:rFonts w:ascii="Arial" w:hAnsi="Arial" w:cs="Arial"/>
        </w:rPr>
        <w:tab/>
        <w:t>: correlation coefficient</w:t>
      </w:r>
    </w:p>
    <w:p w14:paraId="21A56A6A" w14:textId="77777777" w:rsidR="00275DCD" w:rsidRPr="001A125F" w:rsidRDefault="00275DCD" w:rsidP="00275DCD">
      <w:pPr>
        <w:spacing w:line="360" w:lineRule="auto"/>
        <w:ind w:left="426"/>
        <w:jc w:val="both"/>
        <w:rPr>
          <w:rFonts w:ascii="Arial" w:hAnsi="Arial" w:cs="Arial"/>
          <w:lang w:val="nb-NO"/>
        </w:rPr>
      </w:pPr>
      <w:r w:rsidRPr="001A125F">
        <w:rPr>
          <w:rFonts w:ascii="Arial" w:hAnsi="Arial" w:cs="Arial"/>
        </w:rPr>
        <w:t xml:space="preserve">n </w:t>
      </w:r>
      <w:r w:rsidRPr="001A125F">
        <w:rPr>
          <w:rFonts w:ascii="Arial" w:hAnsi="Arial" w:cs="Arial"/>
        </w:rPr>
        <w:tab/>
        <w:t>: The number of data series is 12 years, namely from 2012 to 2023</w:t>
      </w:r>
    </w:p>
    <w:p w14:paraId="61F033B5" w14:textId="77777777" w:rsidR="00275DCD" w:rsidRPr="001A125F" w:rsidRDefault="00275DCD" w:rsidP="00275DCD">
      <w:pPr>
        <w:spacing w:line="360" w:lineRule="auto"/>
        <w:ind w:left="426"/>
        <w:jc w:val="both"/>
        <w:rPr>
          <w:rFonts w:ascii="Arial" w:hAnsi="Arial" w:cs="Arial"/>
          <w:lang w:val="nb-NO"/>
        </w:rPr>
      </w:pPr>
      <w:r w:rsidRPr="001A125F">
        <w:rPr>
          <w:rFonts w:ascii="Arial" w:hAnsi="Arial" w:cs="Arial"/>
        </w:rPr>
        <w:t xml:space="preserve">x1 </w:t>
      </w:r>
      <w:r w:rsidRPr="001A125F">
        <w:rPr>
          <w:rFonts w:ascii="Arial" w:hAnsi="Arial" w:cs="Arial"/>
          <w:vertAlign w:val="subscript"/>
        </w:rPr>
        <w:tab/>
      </w:r>
      <w:r w:rsidRPr="001A125F">
        <w:rPr>
          <w:rFonts w:ascii="Arial" w:hAnsi="Arial" w:cs="Arial"/>
        </w:rPr>
        <w:t>: number of poor people</w:t>
      </w:r>
    </w:p>
    <w:p w14:paraId="56FC805E" w14:textId="77777777" w:rsidR="00275DCD" w:rsidRPr="001A125F" w:rsidRDefault="00275DCD" w:rsidP="00275DCD">
      <w:pPr>
        <w:spacing w:line="360" w:lineRule="auto"/>
        <w:ind w:left="426"/>
        <w:jc w:val="both"/>
        <w:rPr>
          <w:rFonts w:ascii="Arial" w:hAnsi="Arial" w:cs="Arial"/>
          <w:lang w:val="nb-NO"/>
        </w:rPr>
      </w:pPr>
      <w:r w:rsidRPr="001A125F">
        <w:rPr>
          <w:rFonts w:ascii="Arial" w:hAnsi="Arial" w:cs="Arial"/>
        </w:rPr>
        <w:t>x2</w:t>
      </w:r>
      <w:r w:rsidRPr="001A125F">
        <w:rPr>
          <w:rFonts w:ascii="Arial" w:hAnsi="Arial" w:cs="Arial"/>
        </w:rPr>
        <w:tab/>
        <w:t>: percentage of poor population</w:t>
      </w:r>
    </w:p>
    <w:p w14:paraId="2FD57948" w14:textId="77777777" w:rsidR="00275DCD" w:rsidRPr="001A125F" w:rsidRDefault="00275DCD" w:rsidP="00275DCD">
      <w:pPr>
        <w:spacing w:line="360" w:lineRule="auto"/>
        <w:ind w:left="426"/>
        <w:jc w:val="both"/>
        <w:rPr>
          <w:rFonts w:ascii="Arial" w:hAnsi="Arial" w:cs="Arial"/>
          <w:lang w:val="nb-NO"/>
        </w:rPr>
      </w:pPr>
      <w:r w:rsidRPr="001A125F">
        <w:rPr>
          <w:rFonts w:ascii="Arial" w:hAnsi="Arial" w:cs="Arial"/>
        </w:rPr>
        <w:t>y1</w:t>
      </w:r>
      <w:r w:rsidRPr="001A125F">
        <w:rPr>
          <w:rFonts w:ascii="Arial" w:hAnsi="Arial" w:cs="Arial"/>
        </w:rPr>
        <w:tab/>
        <w:t xml:space="preserve">: PDRB per </w:t>
      </w:r>
      <w:proofErr w:type="spellStart"/>
      <w:r w:rsidRPr="001A125F">
        <w:rPr>
          <w:rFonts w:ascii="Arial" w:hAnsi="Arial" w:cs="Arial"/>
        </w:rPr>
        <w:t>kapita</w:t>
      </w:r>
      <w:proofErr w:type="spellEnd"/>
    </w:p>
    <w:p w14:paraId="2B9A7E8C" w14:textId="77777777" w:rsidR="00275DCD" w:rsidRPr="001A125F" w:rsidRDefault="00275DCD" w:rsidP="00275DCD">
      <w:pPr>
        <w:spacing w:line="360" w:lineRule="auto"/>
        <w:ind w:left="426"/>
        <w:jc w:val="both"/>
        <w:rPr>
          <w:rFonts w:ascii="Arial" w:hAnsi="Arial" w:cs="Arial"/>
          <w:lang w:val="nb-NO"/>
        </w:rPr>
      </w:pPr>
      <w:r w:rsidRPr="001A125F">
        <w:rPr>
          <w:rFonts w:ascii="Arial" w:hAnsi="Arial" w:cs="Arial"/>
        </w:rPr>
        <w:t>y</w:t>
      </w:r>
      <w:proofErr w:type="gramStart"/>
      <w:r w:rsidRPr="001A125F">
        <w:rPr>
          <w:rFonts w:ascii="Arial" w:hAnsi="Arial" w:cs="Arial"/>
        </w:rPr>
        <w:t>2 :</w:t>
      </w:r>
      <w:proofErr w:type="gramEnd"/>
      <w:r w:rsidRPr="001A125F">
        <w:rPr>
          <w:rFonts w:ascii="Arial" w:hAnsi="Arial" w:cs="Arial"/>
        </w:rPr>
        <w:t xml:space="preserve"> GDP growth</w:t>
      </w:r>
    </w:p>
    <w:p w14:paraId="60F58DF5" w14:textId="77777777" w:rsidR="00275DCD" w:rsidRPr="001A125F" w:rsidRDefault="00275DCD" w:rsidP="00275DCD">
      <w:pPr>
        <w:spacing w:line="360" w:lineRule="auto"/>
        <w:jc w:val="both"/>
        <w:rPr>
          <w:rFonts w:ascii="Arial" w:hAnsi="Arial" w:cs="Arial"/>
          <w:lang w:val="nb-NO"/>
        </w:rPr>
      </w:pPr>
      <w:r w:rsidRPr="001A125F">
        <w:rPr>
          <w:rFonts w:ascii="Arial" w:hAnsi="Arial" w:cs="Arial"/>
        </w:rPr>
        <w:t>r _x1 y1</w:t>
      </w:r>
      <w:r w:rsidRPr="001A125F">
        <w:rPr>
          <w:rFonts w:ascii="Arial" w:hAnsi="Arial" w:cs="Arial"/>
          <w:vertAlign w:val="subscript"/>
        </w:rPr>
        <w:tab/>
      </w:r>
      <w:r w:rsidRPr="001A125F">
        <w:rPr>
          <w:rFonts w:ascii="Arial" w:hAnsi="Arial" w:cs="Arial"/>
        </w:rPr>
        <w:t>: correlation between the number of poor people and GDP per capita</w:t>
      </w:r>
    </w:p>
    <w:p w14:paraId="4753ECAF" w14:textId="77777777" w:rsidR="00275DCD" w:rsidRPr="001A125F" w:rsidRDefault="00275DCD" w:rsidP="00275DCD">
      <w:pPr>
        <w:spacing w:line="360" w:lineRule="auto"/>
        <w:jc w:val="both"/>
        <w:rPr>
          <w:rFonts w:ascii="Arial" w:hAnsi="Arial" w:cs="Arial"/>
          <w:lang w:val="nb-NO"/>
        </w:rPr>
      </w:pPr>
      <w:r w:rsidRPr="001A125F">
        <w:rPr>
          <w:rFonts w:ascii="Arial" w:hAnsi="Arial" w:cs="Arial"/>
        </w:rPr>
        <w:t xml:space="preserve">r _x1 y2: correlation between the number of poor people and GDP growth </w:t>
      </w:r>
    </w:p>
    <w:p w14:paraId="79ABD900" w14:textId="77777777" w:rsidR="00275DCD" w:rsidRPr="001A125F" w:rsidRDefault="00275DCD" w:rsidP="00275DCD">
      <w:pPr>
        <w:spacing w:line="360" w:lineRule="auto"/>
        <w:jc w:val="both"/>
        <w:rPr>
          <w:rFonts w:ascii="Arial" w:hAnsi="Arial" w:cs="Arial"/>
          <w:lang w:val="nb-NO"/>
        </w:rPr>
      </w:pPr>
      <w:r w:rsidRPr="001A125F">
        <w:rPr>
          <w:rFonts w:ascii="Arial" w:hAnsi="Arial" w:cs="Arial"/>
        </w:rPr>
        <w:t>r _x2 y1</w:t>
      </w:r>
      <w:r w:rsidRPr="001A125F">
        <w:rPr>
          <w:rFonts w:ascii="Arial" w:hAnsi="Arial" w:cs="Arial"/>
          <w:vertAlign w:val="subscript"/>
        </w:rPr>
        <w:tab/>
      </w:r>
      <w:r w:rsidRPr="001A125F">
        <w:rPr>
          <w:rFonts w:ascii="Arial" w:hAnsi="Arial" w:cs="Arial"/>
        </w:rPr>
        <w:t>: correlation between the percentage of the poor population and the GDP per capita</w:t>
      </w:r>
    </w:p>
    <w:p w14:paraId="50B0D6A0" w14:textId="77777777" w:rsidR="00275DCD" w:rsidRPr="001A125F" w:rsidRDefault="00275DCD" w:rsidP="00275DCD">
      <w:pPr>
        <w:spacing w:line="360" w:lineRule="auto"/>
        <w:jc w:val="both"/>
        <w:rPr>
          <w:rFonts w:ascii="Arial" w:hAnsi="Arial" w:cs="Arial"/>
          <w:lang w:val="nb-NO"/>
        </w:rPr>
      </w:pPr>
      <w:r w:rsidRPr="001A125F">
        <w:rPr>
          <w:rFonts w:ascii="Arial" w:hAnsi="Arial" w:cs="Arial"/>
        </w:rPr>
        <w:t xml:space="preserve">r _x2 y2: correlation between the percentage of the poor population and GDP growth </w:t>
      </w:r>
    </w:p>
    <w:p w14:paraId="2B269B42" w14:textId="5A1D2C4F" w:rsidR="00275DCD" w:rsidRPr="001A125F" w:rsidRDefault="00275DCD" w:rsidP="00275DCD">
      <w:pPr>
        <w:spacing w:line="360" w:lineRule="auto"/>
        <w:ind w:firstLine="567"/>
        <w:jc w:val="both"/>
        <w:rPr>
          <w:rFonts w:ascii="Arial" w:hAnsi="Arial" w:cs="Arial"/>
          <w:lang w:val="nb-NO"/>
        </w:rPr>
      </w:pPr>
      <w:r w:rsidRPr="001A125F">
        <w:rPr>
          <w:rFonts w:ascii="Arial" w:hAnsi="Arial" w:cs="Arial"/>
        </w:rPr>
        <w:t>Based on the theoretical concept discussed earlier, the hypothesis proposed is that, in general, the correlation between poverty and the performance of economic variables is negative. In fact, the higher the macroeconomic inequality, the lower the poverty rate. In detail, the hypotheses of the correlation analysis in this study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057"/>
      </w:tblGrid>
      <w:tr w:rsidR="001A125F" w:rsidRPr="001A125F" w14:paraId="40A82E75" w14:textId="77777777" w:rsidTr="00956072">
        <w:tc>
          <w:tcPr>
            <w:tcW w:w="4151" w:type="dxa"/>
          </w:tcPr>
          <w:p w14:paraId="7E873AC6" w14:textId="660544B8" w:rsidR="00275DCD" w:rsidRPr="001A125F" w:rsidRDefault="00275DCD" w:rsidP="00275DCD">
            <w:pPr>
              <w:ind w:firstLine="720"/>
              <w:jc w:val="both"/>
              <w:rPr>
                <w:rFonts w:ascii="Arial" w:hAnsi="Arial" w:cs="Arial"/>
                <w:sz w:val="20"/>
                <w:szCs w:val="20"/>
              </w:rPr>
            </w:pPr>
            <w:r w:rsidRPr="001A125F">
              <w:rPr>
                <w:rFonts w:ascii="Arial" w:hAnsi="Arial" w:cs="Arial"/>
                <w:sz w:val="20"/>
                <w:szCs w:val="20"/>
              </w:rPr>
              <w:t xml:space="preserve">With: </w:t>
            </w:r>
            <w:r w:rsidRPr="001A125F">
              <w:rPr>
                <w:rFonts w:ascii="Arial" w:hAnsi="Arial" w:cs="Arial"/>
                <w:sz w:val="20"/>
                <w:szCs w:val="20"/>
              </w:rPr>
              <w:tab/>
              <w:t>r _x1 y</w:t>
            </w:r>
            <w:r w:rsidR="00956072" w:rsidRPr="001A125F">
              <w:rPr>
                <w:rFonts w:ascii="Arial" w:hAnsi="Arial" w:cs="Arial"/>
                <w:sz w:val="20"/>
                <w:szCs w:val="20"/>
              </w:rPr>
              <w:t>1 =</w:t>
            </w:r>
            <w:r w:rsidRPr="001A125F">
              <w:rPr>
                <w:rFonts w:ascii="Arial" w:hAnsi="Arial" w:cs="Arial"/>
                <w:sz w:val="20"/>
                <w:szCs w:val="20"/>
              </w:rPr>
              <w:t xml:space="preserve"> 0</w:t>
            </w:r>
          </w:p>
          <w:p w14:paraId="24E6AF00" w14:textId="77777777" w:rsidR="00275DCD" w:rsidRPr="001A125F" w:rsidRDefault="00275DCD" w:rsidP="00275DCD">
            <w:pPr>
              <w:ind w:left="720" w:firstLine="720"/>
              <w:jc w:val="both"/>
              <w:rPr>
                <w:rFonts w:ascii="Arial" w:hAnsi="Arial" w:cs="Arial"/>
                <w:sz w:val="20"/>
                <w:szCs w:val="20"/>
              </w:rPr>
            </w:pPr>
            <w:r w:rsidRPr="001A125F">
              <w:rPr>
                <w:rFonts w:ascii="Arial" w:hAnsi="Arial" w:cs="Arial"/>
                <w:sz w:val="20"/>
                <w:szCs w:val="20"/>
              </w:rPr>
              <w:t>r _x1 y2 = 0</w:t>
            </w:r>
          </w:p>
          <w:p w14:paraId="40D44A39" w14:textId="77777777" w:rsidR="00275DCD" w:rsidRPr="001A125F" w:rsidRDefault="00275DCD" w:rsidP="00275DCD">
            <w:pPr>
              <w:ind w:left="720" w:firstLine="720"/>
              <w:jc w:val="both"/>
              <w:rPr>
                <w:rFonts w:ascii="Arial" w:hAnsi="Arial" w:cs="Arial"/>
                <w:sz w:val="20"/>
                <w:szCs w:val="20"/>
              </w:rPr>
            </w:pPr>
            <w:r w:rsidRPr="001A125F">
              <w:rPr>
                <w:rFonts w:ascii="Arial" w:hAnsi="Arial" w:cs="Arial"/>
                <w:sz w:val="20"/>
                <w:szCs w:val="20"/>
              </w:rPr>
              <w:t>r _x2 y1</w:t>
            </w:r>
            <w:r w:rsidRPr="001A125F">
              <w:rPr>
                <w:rFonts w:ascii="Arial" w:hAnsi="Arial" w:cs="Arial"/>
                <w:sz w:val="20"/>
                <w:szCs w:val="20"/>
                <w:vertAlign w:val="subscript"/>
              </w:rPr>
              <w:tab/>
            </w:r>
            <w:r w:rsidRPr="001A125F">
              <w:rPr>
                <w:rFonts w:ascii="Arial" w:hAnsi="Arial" w:cs="Arial"/>
                <w:sz w:val="20"/>
                <w:szCs w:val="20"/>
              </w:rPr>
              <w:t xml:space="preserve"> = 0</w:t>
            </w:r>
          </w:p>
          <w:p w14:paraId="48AC4D09" w14:textId="3279C472" w:rsidR="00275DCD" w:rsidRPr="001A125F" w:rsidRDefault="00275DCD" w:rsidP="00275DCD">
            <w:pPr>
              <w:ind w:left="720" w:firstLine="720"/>
              <w:jc w:val="both"/>
              <w:rPr>
                <w:rFonts w:ascii="Arial" w:hAnsi="Arial" w:cs="Arial"/>
                <w:sz w:val="20"/>
                <w:szCs w:val="20"/>
                <w:lang w:val="nb-NO"/>
              </w:rPr>
            </w:pPr>
            <w:r w:rsidRPr="001A125F">
              <w:rPr>
                <w:rFonts w:ascii="Arial" w:hAnsi="Arial" w:cs="Arial"/>
                <w:sz w:val="20"/>
                <w:szCs w:val="20"/>
              </w:rPr>
              <w:t>r _x2 y2 = 0</w:t>
            </w:r>
          </w:p>
        </w:tc>
        <w:tc>
          <w:tcPr>
            <w:tcW w:w="4057" w:type="dxa"/>
          </w:tcPr>
          <w:p w14:paraId="2FFDFA22" w14:textId="77777777" w:rsidR="00275DCD" w:rsidRPr="001A125F" w:rsidRDefault="00275DCD" w:rsidP="00275DCD">
            <w:pPr>
              <w:ind w:firstLine="567"/>
              <w:jc w:val="both"/>
              <w:rPr>
                <w:rFonts w:ascii="Arial" w:hAnsi="Arial" w:cs="Arial"/>
                <w:sz w:val="20"/>
                <w:szCs w:val="20"/>
                <w:lang w:val="nb-NO"/>
              </w:rPr>
            </w:pPr>
            <w:r w:rsidRPr="001A125F">
              <w:rPr>
                <w:rFonts w:ascii="Arial" w:hAnsi="Arial" w:cs="Arial"/>
                <w:sz w:val="20"/>
                <w:szCs w:val="20"/>
              </w:rPr>
              <w:tab/>
              <w:t xml:space="preserve">Has: </w:t>
            </w:r>
            <w:r w:rsidRPr="001A125F">
              <w:rPr>
                <w:rFonts w:ascii="Arial" w:hAnsi="Arial" w:cs="Arial"/>
                <w:sz w:val="20"/>
                <w:szCs w:val="20"/>
              </w:rPr>
              <w:tab/>
              <w:t>R _x1 Y1 &lt; 0</w:t>
            </w:r>
          </w:p>
          <w:p w14:paraId="3D71AD7D" w14:textId="77777777" w:rsidR="00275DCD" w:rsidRPr="001A125F" w:rsidRDefault="00275DCD" w:rsidP="00275DCD">
            <w:pPr>
              <w:ind w:left="720" w:firstLine="720"/>
              <w:jc w:val="both"/>
              <w:rPr>
                <w:rFonts w:ascii="Arial" w:hAnsi="Arial" w:cs="Arial"/>
                <w:sz w:val="20"/>
                <w:szCs w:val="20"/>
                <w:lang w:val="nb-NO"/>
              </w:rPr>
            </w:pPr>
            <w:r w:rsidRPr="001A125F">
              <w:rPr>
                <w:rFonts w:ascii="Arial" w:hAnsi="Arial" w:cs="Arial"/>
                <w:sz w:val="20"/>
                <w:szCs w:val="20"/>
              </w:rPr>
              <w:t>r _x1 y2 &lt; 0</w:t>
            </w:r>
          </w:p>
          <w:p w14:paraId="4D1964A8" w14:textId="54E662D4" w:rsidR="00275DCD" w:rsidRPr="001A125F" w:rsidRDefault="00275DCD" w:rsidP="00275DCD">
            <w:pPr>
              <w:ind w:left="720" w:firstLine="720"/>
              <w:jc w:val="both"/>
              <w:rPr>
                <w:rFonts w:ascii="Arial" w:hAnsi="Arial" w:cs="Arial"/>
                <w:sz w:val="20"/>
                <w:szCs w:val="20"/>
                <w:lang w:val="nb-NO"/>
              </w:rPr>
            </w:pPr>
            <w:r w:rsidRPr="001A125F">
              <w:rPr>
                <w:rFonts w:ascii="Arial" w:hAnsi="Arial" w:cs="Arial"/>
                <w:sz w:val="20"/>
                <w:szCs w:val="20"/>
              </w:rPr>
              <w:t>r _x2 y1</w:t>
            </w:r>
            <w:r w:rsidR="00956072" w:rsidRPr="001A125F">
              <w:rPr>
                <w:rFonts w:ascii="Arial" w:hAnsi="Arial" w:cs="Arial"/>
                <w:sz w:val="20"/>
                <w:szCs w:val="20"/>
                <w:vertAlign w:val="subscript"/>
              </w:rPr>
              <w:tab/>
            </w:r>
            <w:r w:rsidR="00956072" w:rsidRPr="001A125F">
              <w:rPr>
                <w:rFonts w:ascii="Arial" w:hAnsi="Arial" w:cs="Arial"/>
                <w:sz w:val="20"/>
                <w:szCs w:val="20"/>
              </w:rPr>
              <w:t xml:space="preserve"> &lt;</w:t>
            </w:r>
            <w:r w:rsidRPr="001A125F">
              <w:rPr>
                <w:rFonts w:ascii="Arial" w:hAnsi="Arial" w:cs="Arial"/>
                <w:sz w:val="20"/>
                <w:szCs w:val="20"/>
              </w:rPr>
              <w:t xml:space="preserve"> 0</w:t>
            </w:r>
          </w:p>
          <w:p w14:paraId="151423A5" w14:textId="6DAC59C0" w:rsidR="00275DCD" w:rsidRPr="001A125F" w:rsidRDefault="00275DCD" w:rsidP="00275DCD">
            <w:pPr>
              <w:ind w:left="720" w:firstLine="720"/>
              <w:jc w:val="both"/>
              <w:rPr>
                <w:rFonts w:ascii="Arial" w:hAnsi="Arial" w:cs="Arial"/>
                <w:sz w:val="20"/>
                <w:szCs w:val="20"/>
                <w:lang w:val="nb-NO"/>
              </w:rPr>
            </w:pPr>
            <w:r w:rsidRPr="001A125F">
              <w:rPr>
                <w:rFonts w:ascii="Arial" w:hAnsi="Arial" w:cs="Arial"/>
                <w:sz w:val="20"/>
                <w:szCs w:val="20"/>
              </w:rPr>
              <w:t>r _x2 y2 &lt; 0</w:t>
            </w:r>
          </w:p>
        </w:tc>
      </w:tr>
    </w:tbl>
    <w:p w14:paraId="18E0D9B7" w14:textId="4C323AEC" w:rsidR="00275DCD" w:rsidRDefault="00275DCD" w:rsidP="00275DCD">
      <w:pPr>
        <w:spacing w:line="360" w:lineRule="auto"/>
        <w:ind w:firstLine="567"/>
        <w:jc w:val="both"/>
        <w:rPr>
          <w:rFonts w:ascii="Arial" w:hAnsi="Arial" w:cs="Arial"/>
        </w:rPr>
      </w:pPr>
      <w:r w:rsidRPr="001A125F">
        <w:rPr>
          <w:rFonts w:ascii="Arial" w:hAnsi="Arial" w:cs="Arial"/>
        </w:rPr>
        <w:t>In detail, the data used for the estimation for the four variables can be shown in table 2. next:</w:t>
      </w:r>
    </w:p>
    <w:p w14:paraId="61BF469C" w14:textId="77777777" w:rsidR="006957CA" w:rsidRPr="001A125F" w:rsidRDefault="006957CA" w:rsidP="00275DCD">
      <w:pPr>
        <w:spacing w:line="360" w:lineRule="auto"/>
        <w:ind w:firstLine="567"/>
        <w:jc w:val="both"/>
        <w:rPr>
          <w:rFonts w:ascii="Arial" w:hAnsi="Arial" w:cs="Arial"/>
          <w:lang w:val="nb-NO"/>
        </w:rPr>
      </w:pPr>
    </w:p>
    <w:p w14:paraId="050D01D9" w14:textId="757E0DF5" w:rsidR="00275DCD" w:rsidRPr="001A125F" w:rsidRDefault="00275DCD" w:rsidP="00275DCD">
      <w:pPr>
        <w:pStyle w:val="Caption"/>
        <w:spacing w:after="0"/>
        <w:jc w:val="center"/>
        <w:rPr>
          <w:rFonts w:ascii="Arial" w:hAnsi="Arial" w:cs="Arial"/>
          <w:b/>
          <w:bCs/>
          <w:i w:val="0"/>
          <w:iCs w:val="0"/>
          <w:color w:val="auto"/>
          <w:sz w:val="20"/>
          <w:szCs w:val="20"/>
          <w:lang w:val="nb-NO"/>
        </w:rPr>
      </w:pPr>
      <w:bookmarkStart w:id="6" w:name="_Toc176939937"/>
      <w:r w:rsidRPr="001A125F">
        <w:rPr>
          <w:rFonts w:ascii="Arial" w:hAnsi="Arial" w:cs="Arial"/>
          <w:b/>
          <w:bCs/>
          <w:i w:val="0"/>
          <w:iCs w:val="0"/>
          <w:color w:val="auto"/>
          <w:sz w:val="20"/>
          <w:szCs w:val="20"/>
        </w:rPr>
        <w:lastRenderedPageBreak/>
        <w:t>Table 2. Data Analysis</w:t>
      </w:r>
      <w:bookmarkEnd w:id="6"/>
    </w:p>
    <w:tbl>
      <w:tblPr>
        <w:tblW w:w="9130" w:type="dxa"/>
        <w:tblInd w:w="108" w:type="dxa"/>
        <w:tblLook w:val="04A0" w:firstRow="1" w:lastRow="0" w:firstColumn="1" w:lastColumn="0" w:noHBand="0" w:noVBand="1"/>
      </w:tblPr>
      <w:tblGrid>
        <w:gridCol w:w="1057"/>
        <w:gridCol w:w="1800"/>
        <w:gridCol w:w="1980"/>
        <w:gridCol w:w="1980"/>
        <w:gridCol w:w="2313"/>
      </w:tblGrid>
      <w:tr w:rsidR="001A125F" w:rsidRPr="001A125F" w14:paraId="1D69482D" w14:textId="77777777" w:rsidTr="00081E27">
        <w:trPr>
          <w:trHeight w:val="293"/>
          <w:tblHeader/>
        </w:trPr>
        <w:tc>
          <w:tcPr>
            <w:tcW w:w="1057" w:type="dxa"/>
            <w:tcBorders>
              <w:top w:val="single" w:sz="4" w:space="0" w:color="auto"/>
              <w:left w:val="single" w:sz="4" w:space="0" w:color="auto"/>
              <w:bottom w:val="single" w:sz="4" w:space="0" w:color="auto"/>
              <w:right w:val="single" w:sz="4" w:space="0" w:color="auto"/>
            </w:tcBorders>
            <w:shd w:val="clear" w:color="auto" w:fill="FFC000"/>
            <w:noWrap/>
            <w:hideMark/>
          </w:tcPr>
          <w:p w14:paraId="5F0C966E" w14:textId="77777777" w:rsidR="00275DCD" w:rsidRPr="001A125F" w:rsidRDefault="00275DCD" w:rsidP="00751082">
            <w:pPr>
              <w:jc w:val="center"/>
              <w:rPr>
                <w:rFonts w:ascii="Arial" w:hAnsi="Arial" w:cs="Arial"/>
                <w:b/>
                <w:bCs/>
              </w:rPr>
            </w:pPr>
            <w:r w:rsidRPr="001A125F">
              <w:rPr>
                <w:rFonts w:ascii="Arial" w:hAnsi="Arial" w:cs="Arial"/>
                <w:b/>
                <w:bCs/>
              </w:rPr>
              <w:t>Year</w:t>
            </w:r>
          </w:p>
          <w:p w14:paraId="00F3E76F" w14:textId="77777777" w:rsidR="00275DCD" w:rsidRPr="001A125F" w:rsidRDefault="00275DCD" w:rsidP="00751082">
            <w:pPr>
              <w:jc w:val="center"/>
              <w:rPr>
                <w:rFonts w:ascii="Arial" w:hAnsi="Arial" w:cs="Arial"/>
                <w:b/>
                <w:bCs/>
              </w:rPr>
            </w:pPr>
          </w:p>
          <w:p w14:paraId="28024F43" w14:textId="77777777" w:rsidR="00275DCD" w:rsidRPr="001A125F" w:rsidRDefault="00275DCD" w:rsidP="00751082">
            <w:pPr>
              <w:jc w:val="center"/>
              <w:rPr>
                <w:rFonts w:ascii="Arial" w:hAnsi="Arial" w:cs="Arial"/>
                <w:b/>
                <w:bCs/>
              </w:rPr>
            </w:pPr>
          </w:p>
        </w:tc>
        <w:tc>
          <w:tcPr>
            <w:tcW w:w="1800" w:type="dxa"/>
            <w:tcBorders>
              <w:top w:val="single" w:sz="4" w:space="0" w:color="auto"/>
              <w:left w:val="nil"/>
              <w:bottom w:val="single" w:sz="4" w:space="0" w:color="auto"/>
              <w:right w:val="single" w:sz="4" w:space="0" w:color="auto"/>
            </w:tcBorders>
            <w:shd w:val="clear" w:color="auto" w:fill="FFC000"/>
            <w:noWrap/>
            <w:hideMark/>
          </w:tcPr>
          <w:p w14:paraId="7BA7912F" w14:textId="77777777" w:rsidR="00275DCD" w:rsidRPr="001A125F" w:rsidRDefault="00275DCD" w:rsidP="00751082">
            <w:pPr>
              <w:jc w:val="center"/>
              <w:rPr>
                <w:rFonts w:ascii="Arial" w:hAnsi="Arial" w:cs="Arial"/>
                <w:b/>
                <w:bCs/>
              </w:rPr>
            </w:pPr>
            <w:r w:rsidRPr="001A125F">
              <w:rPr>
                <w:rFonts w:ascii="Arial" w:hAnsi="Arial" w:cs="Arial"/>
                <w:b/>
                <w:bCs/>
              </w:rPr>
              <w:t>GDP Per Capita (Thousand Rupiah)</w:t>
            </w:r>
          </w:p>
          <w:p w14:paraId="6679A73A" w14:textId="77777777" w:rsidR="00275DCD" w:rsidRPr="001A125F" w:rsidRDefault="00275DCD" w:rsidP="00751082">
            <w:pPr>
              <w:jc w:val="center"/>
              <w:rPr>
                <w:rFonts w:ascii="Arial" w:hAnsi="Arial" w:cs="Arial"/>
                <w:b/>
                <w:bCs/>
              </w:rPr>
            </w:pPr>
          </w:p>
        </w:tc>
        <w:tc>
          <w:tcPr>
            <w:tcW w:w="1980" w:type="dxa"/>
            <w:tcBorders>
              <w:top w:val="single" w:sz="4" w:space="0" w:color="auto"/>
              <w:left w:val="nil"/>
              <w:bottom w:val="single" w:sz="4" w:space="0" w:color="auto"/>
              <w:right w:val="single" w:sz="4" w:space="0" w:color="auto"/>
            </w:tcBorders>
            <w:shd w:val="clear" w:color="auto" w:fill="FFC000"/>
            <w:noWrap/>
            <w:hideMark/>
          </w:tcPr>
          <w:p w14:paraId="64115AEC" w14:textId="77777777" w:rsidR="00275DCD" w:rsidRPr="001A125F" w:rsidRDefault="00275DCD" w:rsidP="00751082">
            <w:pPr>
              <w:jc w:val="center"/>
              <w:rPr>
                <w:rFonts w:ascii="Arial" w:hAnsi="Arial" w:cs="Arial"/>
                <w:b/>
                <w:bCs/>
              </w:rPr>
            </w:pPr>
            <w:r w:rsidRPr="001A125F">
              <w:rPr>
                <w:rFonts w:ascii="Arial" w:hAnsi="Arial" w:cs="Arial"/>
                <w:b/>
                <w:bCs/>
              </w:rPr>
              <w:t>GDP growth (%)</w:t>
            </w:r>
          </w:p>
          <w:p w14:paraId="08D9FD6F" w14:textId="77777777" w:rsidR="00275DCD" w:rsidRPr="001A125F" w:rsidRDefault="00275DCD" w:rsidP="00751082">
            <w:pPr>
              <w:jc w:val="center"/>
              <w:rPr>
                <w:rFonts w:ascii="Arial" w:hAnsi="Arial" w:cs="Arial"/>
                <w:b/>
                <w:bCs/>
              </w:rPr>
            </w:pPr>
          </w:p>
        </w:tc>
        <w:tc>
          <w:tcPr>
            <w:tcW w:w="1980" w:type="dxa"/>
            <w:tcBorders>
              <w:top w:val="single" w:sz="4" w:space="0" w:color="auto"/>
              <w:left w:val="nil"/>
              <w:bottom w:val="single" w:sz="4" w:space="0" w:color="auto"/>
              <w:right w:val="single" w:sz="4" w:space="0" w:color="auto"/>
            </w:tcBorders>
            <w:shd w:val="clear" w:color="auto" w:fill="FFC000"/>
            <w:noWrap/>
            <w:hideMark/>
          </w:tcPr>
          <w:p w14:paraId="2DDC3BCE" w14:textId="77777777" w:rsidR="00275DCD" w:rsidRPr="001A125F" w:rsidRDefault="00275DCD" w:rsidP="00751082">
            <w:pPr>
              <w:jc w:val="center"/>
              <w:rPr>
                <w:rFonts w:ascii="Arial" w:hAnsi="Arial" w:cs="Arial"/>
                <w:b/>
                <w:bCs/>
              </w:rPr>
            </w:pPr>
            <w:r w:rsidRPr="001A125F">
              <w:rPr>
                <w:rFonts w:ascii="Arial" w:hAnsi="Arial" w:cs="Arial"/>
                <w:b/>
                <w:bCs/>
              </w:rPr>
              <w:t>Total Poor Population (Soul)</w:t>
            </w:r>
          </w:p>
          <w:p w14:paraId="74EF1551" w14:textId="77777777" w:rsidR="00275DCD" w:rsidRPr="001A125F" w:rsidRDefault="00275DCD" w:rsidP="00751082">
            <w:pPr>
              <w:jc w:val="center"/>
              <w:rPr>
                <w:rFonts w:ascii="Arial" w:hAnsi="Arial" w:cs="Arial"/>
                <w:b/>
                <w:bCs/>
              </w:rPr>
            </w:pPr>
          </w:p>
        </w:tc>
        <w:tc>
          <w:tcPr>
            <w:tcW w:w="2313" w:type="dxa"/>
            <w:tcBorders>
              <w:top w:val="single" w:sz="4" w:space="0" w:color="auto"/>
              <w:left w:val="nil"/>
              <w:bottom w:val="single" w:sz="4" w:space="0" w:color="auto"/>
              <w:right w:val="single" w:sz="4" w:space="0" w:color="auto"/>
            </w:tcBorders>
            <w:shd w:val="clear" w:color="auto" w:fill="FFC000"/>
            <w:noWrap/>
            <w:hideMark/>
          </w:tcPr>
          <w:p w14:paraId="1311A935" w14:textId="77777777" w:rsidR="00275DCD" w:rsidRPr="001A125F" w:rsidRDefault="00275DCD" w:rsidP="00751082">
            <w:pPr>
              <w:jc w:val="center"/>
              <w:rPr>
                <w:rFonts w:ascii="Arial" w:hAnsi="Arial" w:cs="Arial"/>
                <w:b/>
                <w:bCs/>
              </w:rPr>
            </w:pPr>
            <w:r w:rsidRPr="001A125F">
              <w:rPr>
                <w:rFonts w:ascii="Arial" w:hAnsi="Arial" w:cs="Arial"/>
                <w:b/>
                <w:bCs/>
              </w:rPr>
              <w:t>Percentage of Poor Population (%)</w:t>
            </w:r>
          </w:p>
          <w:p w14:paraId="27951592" w14:textId="77777777" w:rsidR="00275DCD" w:rsidRPr="001A125F" w:rsidRDefault="00275DCD" w:rsidP="00751082">
            <w:pPr>
              <w:jc w:val="center"/>
              <w:rPr>
                <w:rFonts w:ascii="Arial" w:hAnsi="Arial" w:cs="Arial"/>
                <w:b/>
                <w:bCs/>
              </w:rPr>
            </w:pPr>
          </w:p>
        </w:tc>
      </w:tr>
      <w:tr w:rsidR="001A125F" w:rsidRPr="001A125F" w14:paraId="41F00900"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6B029A6C" w14:textId="77777777" w:rsidR="00275DCD" w:rsidRPr="001A125F" w:rsidRDefault="00275DCD" w:rsidP="00751082">
            <w:pPr>
              <w:jc w:val="center"/>
              <w:rPr>
                <w:rFonts w:ascii="Arial" w:hAnsi="Arial" w:cs="Arial"/>
              </w:rPr>
            </w:pPr>
            <w:r w:rsidRPr="001A125F">
              <w:rPr>
                <w:rFonts w:ascii="Arial" w:hAnsi="Arial" w:cs="Arial"/>
              </w:rPr>
              <w:t>2012</w:t>
            </w:r>
          </w:p>
        </w:tc>
        <w:tc>
          <w:tcPr>
            <w:tcW w:w="1800" w:type="dxa"/>
            <w:tcBorders>
              <w:top w:val="nil"/>
              <w:left w:val="nil"/>
              <w:bottom w:val="single" w:sz="4" w:space="0" w:color="auto"/>
              <w:right w:val="single" w:sz="4" w:space="0" w:color="auto"/>
            </w:tcBorders>
            <w:shd w:val="clear" w:color="auto" w:fill="auto"/>
            <w:noWrap/>
            <w:vAlign w:val="bottom"/>
            <w:hideMark/>
          </w:tcPr>
          <w:p w14:paraId="5DEB044A" w14:textId="77777777" w:rsidR="00275DCD" w:rsidRPr="001A125F" w:rsidRDefault="00275DCD" w:rsidP="00751082">
            <w:pPr>
              <w:jc w:val="center"/>
              <w:rPr>
                <w:rFonts w:ascii="Arial" w:hAnsi="Arial" w:cs="Arial"/>
              </w:rPr>
            </w:pPr>
            <w:r w:rsidRPr="001A125F">
              <w:rPr>
                <w:rFonts w:ascii="Arial" w:hAnsi="Arial" w:cs="Arial"/>
              </w:rPr>
              <w:t>15.230</w:t>
            </w:r>
          </w:p>
        </w:tc>
        <w:tc>
          <w:tcPr>
            <w:tcW w:w="1980" w:type="dxa"/>
            <w:tcBorders>
              <w:top w:val="nil"/>
              <w:left w:val="nil"/>
              <w:bottom w:val="single" w:sz="4" w:space="0" w:color="auto"/>
              <w:right w:val="single" w:sz="4" w:space="0" w:color="auto"/>
            </w:tcBorders>
            <w:shd w:val="clear" w:color="auto" w:fill="auto"/>
            <w:noWrap/>
            <w:vAlign w:val="bottom"/>
            <w:hideMark/>
          </w:tcPr>
          <w:p w14:paraId="1C1069D2" w14:textId="77777777" w:rsidR="00275DCD" w:rsidRPr="001A125F" w:rsidRDefault="00275DCD" w:rsidP="00751082">
            <w:pPr>
              <w:jc w:val="center"/>
              <w:rPr>
                <w:rFonts w:ascii="Arial" w:hAnsi="Arial" w:cs="Arial"/>
              </w:rPr>
            </w:pPr>
            <w:r w:rsidRPr="001A125F">
              <w:rPr>
                <w:rFonts w:ascii="Arial" w:hAnsi="Arial" w:cs="Arial"/>
              </w:rPr>
              <w:t>4,84</w:t>
            </w:r>
          </w:p>
        </w:tc>
        <w:tc>
          <w:tcPr>
            <w:tcW w:w="1980" w:type="dxa"/>
            <w:tcBorders>
              <w:top w:val="nil"/>
              <w:left w:val="nil"/>
              <w:bottom w:val="single" w:sz="4" w:space="0" w:color="auto"/>
              <w:right w:val="single" w:sz="4" w:space="0" w:color="auto"/>
            </w:tcBorders>
            <w:shd w:val="clear" w:color="auto" w:fill="auto"/>
            <w:noWrap/>
            <w:vAlign w:val="bottom"/>
            <w:hideMark/>
          </w:tcPr>
          <w:p w14:paraId="3CB85616" w14:textId="77777777" w:rsidR="00275DCD" w:rsidRPr="001A125F" w:rsidRDefault="00275DCD" w:rsidP="00751082">
            <w:pPr>
              <w:jc w:val="center"/>
              <w:rPr>
                <w:rFonts w:ascii="Arial" w:hAnsi="Arial" w:cs="Arial"/>
              </w:rPr>
            </w:pPr>
            <w:r w:rsidRPr="001A125F">
              <w:rPr>
                <w:rFonts w:ascii="Arial" w:hAnsi="Arial" w:cs="Arial"/>
              </w:rPr>
              <w:t>156.490</w:t>
            </w:r>
          </w:p>
        </w:tc>
        <w:tc>
          <w:tcPr>
            <w:tcW w:w="2313" w:type="dxa"/>
            <w:tcBorders>
              <w:top w:val="nil"/>
              <w:left w:val="nil"/>
              <w:bottom w:val="single" w:sz="4" w:space="0" w:color="auto"/>
              <w:right w:val="single" w:sz="4" w:space="0" w:color="auto"/>
            </w:tcBorders>
            <w:shd w:val="clear" w:color="auto" w:fill="auto"/>
            <w:noWrap/>
            <w:vAlign w:val="bottom"/>
            <w:hideMark/>
          </w:tcPr>
          <w:p w14:paraId="06CB57B2" w14:textId="77777777" w:rsidR="00275DCD" w:rsidRPr="001A125F" w:rsidRDefault="00275DCD" w:rsidP="00751082">
            <w:pPr>
              <w:jc w:val="center"/>
              <w:rPr>
                <w:rFonts w:ascii="Arial" w:hAnsi="Arial" w:cs="Arial"/>
              </w:rPr>
            </w:pPr>
            <w:r w:rsidRPr="001A125F">
              <w:rPr>
                <w:rFonts w:ascii="Arial" w:hAnsi="Arial" w:cs="Arial"/>
              </w:rPr>
              <w:t>22,72</w:t>
            </w:r>
          </w:p>
        </w:tc>
      </w:tr>
      <w:tr w:rsidR="001A125F" w:rsidRPr="001A125F" w14:paraId="3402AB56"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30962DD3" w14:textId="77777777" w:rsidR="00275DCD" w:rsidRPr="001A125F" w:rsidRDefault="00275DCD" w:rsidP="00751082">
            <w:pPr>
              <w:jc w:val="center"/>
              <w:rPr>
                <w:rFonts w:ascii="Arial" w:hAnsi="Arial" w:cs="Arial"/>
              </w:rPr>
            </w:pPr>
            <w:r w:rsidRPr="001A125F">
              <w:rPr>
                <w:rFonts w:ascii="Arial" w:hAnsi="Arial" w:cs="Arial"/>
              </w:rPr>
              <w:t>2013</w:t>
            </w:r>
          </w:p>
        </w:tc>
        <w:tc>
          <w:tcPr>
            <w:tcW w:w="1800" w:type="dxa"/>
            <w:tcBorders>
              <w:top w:val="nil"/>
              <w:left w:val="nil"/>
              <w:bottom w:val="single" w:sz="4" w:space="0" w:color="auto"/>
              <w:right w:val="single" w:sz="4" w:space="0" w:color="auto"/>
            </w:tcBorders>
            <w:shd w:val="clear" w:color="auto" w:fill="auto"/>
            <w:noWrap/>
            <w:vAlign w:val="bottom"/>
            <w:hideMark/>
          </w:tcPr>
          <w:p w14:paraId="0C68D5EA" w14:textId="77777777" w:rsidR="00275DCD" w:rsidRPr="001A125F" w:rsidRDefault="00275DCD" w:rsidP="00751082">
            <w:pPr>
              <w:jc w:val="center"/>
              <w:rPr>
                <w:rFonts w:ascii="Arial" w:hAnsi="Arial" w:cs="Arial"/>
              </w:rPr>
            </w:pPr>
            <w:r w:rsidRPr="001A125F">
              <w:rPr>
                <w:rFonts w:ascii="Arial" w:hAnsi="Arial" w:cs="Arial"/>
              </w:rPr>
              <w:t>16.470</w:t>
            </w:r>
          </w:p>
        </w:tc>
        <w:tc>
          <w:tcPr>
            <w:tcW w:w="1980" w:type="dxa"/>
            <w:tcBorders>
              <w:top w:val="nil"/>
              <w:left w:val="nil"/>
              <w:bottom w:val="single" w:sz="4" w:space="0" w:color="auto"/>
              <w:right w:val="single" w:sz="4" w:space="0" w:color="auto"/>
            </w:tcBorders>
            <w:shd w:val="clear" w:color="auto" w:fill="auto"/>
            <w:noWrap/>
            <w:vAlign w:val="bottom"/>
            <w:hideMark/>
          </w:tcPr>
          <w:p w14:paraId="2CE338D1" w14:textId="77777777" w:rsidR="00275DCD" w:rsidRPr="001A125F" w:rsidRDefault="00275DCD" w:rsidP="00751082">
            <w:pPr>
              <w:jc w:val="center"/>
              <w:rPr>
                <w:rFonts w:ascii="Arial" w:hAnsi="Arial" w:cs="Arial"/>
              </w:rPr>
            </w:pPr>
            <w:r w:rsidRPr="001A125F">
              <w:rPr>
                <w:rFonts w:ascii="Arial" w:hAnsi="Arial" w:cs="Arial"/>
              </w:rPr>
              <w:t>4,97</w:t>
            </w:r>
          </w:p>
        </w:tc>
        <w:tc>
          <w:tcPr>
            <w:tcW w:w="1980" w:type="dxa"/>
            <w:tcBorders>
              <w:top w:val="nil"/>
              <w:left w:val="nil"/>
              <w:bottom w:val="single" w:sz="4" w:space="0" w:color="auto"/>
              <w:right w:val="single" w:sz="4" w:space="0" w:color="auto"/>
            </w:tcBorders>
            <w:shd w:val="clear" w:color="auto" w:fill="auto"/>
            <w:noWrap/>
            <w:vAlign w:val="bottom"/>
            <w:hideMark/>
          </w:tcPr>
          <w:p w14:paraId="2407765B" w14:textId="77777777" w:rsidR="00275DCD" w:rsidRPr="001A125F" w:rsidRDefault="00275DCD" w:rsidP="00751082">
            <w:pPr>
              <w:jc w:val="center"/>
              <w:rPr>
                <w:rFonts w:ascii="Arial" w:hAnsi="Arial" w:cs="Arial"/>
              </w:rPr>
            </w:pPr>
            <w:r w:rsidRPr="001A125F">
              <w:rPr>
                <w:rFonts w:ascii="Arial" w:hAnsi="Arial" w:cs="Arial"/>
              </w:rPr>
              <w:t>152.380</w:t>
            </w:r>
          </w:p>
        </w:tc>
        <w:tc>
          <w:tcPr>
            <w:tcW w:w="2313" w:type="dxa"/>
            <w:tcBorders>
              <w:top w:val="nil"/>
              <w:left w:val="nil"/>
              <w:bottom w:val="single" w:sz="4" w:space="0" w:color="auto"/>
              <w:right w:val="single" w:sz="4" w:space="0" w:color="auto"/>
            </w:tcBorders>
            <w:shd w:val="clear" w:color="auto" w:fill="auto"/>
            <w:noWrap/>
            <w:vAlign w:val="bottom"/>
            <w:hideMark/>
          </w:tcPr>
          <w:p w14:paraId="4D543F06" w14:textId="77777777" w:rsidR="00275DCD" w:rsidRPr="001A125F" w:rsidRDefault="00275DCD" w:rsidP="00751082">
            <w:pPr>
              <w:jc w:val="center"/>
              <w:rPr>
                <w:rFonts w:ascii="Arial" w:hAnsi="Arial" w:cs="Arial"/>
              </w:rPr>
            </w:pPr>
            <w:r w:rsidRPr="001A125F">
              <w:rPr>
                <w:rFonts w:ascii="Arial" w:hAnsi="Arial" w:cs="Arial"/>
              </w:rPr>
              <w:t>21,70</w:t>
            </w:r>
          </w:p>
        </w:tc>
      </w:tr>
      <w:tr w:rsidR="001A125F" w:rsidRPr="001A125F" w14:paraId="7027149E"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6573DA22" w14:textId="77777777" w:rsidR="00275DCD" w:rsidRPr="001A125F" w:rsidRDefault="00275DCD" w:rsidP="00751082">
            <w:pPr>
              <w:jc w:val="center"/>
              <w:rPr>
                <w:rFonts w:ascii="Arial" w:hAnsi="Arial" w:cs="Arial"/>
              </w:rPr>
            </w:pPr>
            <w:r w:rsidRPr="001A125F">
              <w:rPr>
                <w:rFonts w:ascii="Arial" w:hAnsi="Arial" w:cs="Arial"/>
              </w:rPr>
              <w:t>2014</w:t>
            </w:r>
          </w:p>
        </w:tc>
        <w:tc>
          <w:tcPr>
            <w:tcW w:w="1800" w:type="dxa"/>
            <w:tcBorders>
              <w:top w:val="nil"/>
              <w:left w:val="nil"/>
              <w:bottom w:val="single" w:sz="4" w:space="0" w:color="auto"/>
              <w:right w:val="single" w:sz="4" w:space="0" w:color="auto"/>
            </w:tcBorders>
            <w:shd w:val="clear" w:color="auto" w:fill="auto"/>
            <w:noWrap/>
            <w:vAlign w:val="bottom"/>
            <w:hideMark/>
          </w:tcPr>
          <w:p w14:paraId="288426AA" w14:textId="77777777" w:rsidR="00275DCD" w:rsidRPr="001A125F" w:rsidRDefault="00275DCD" w:rsidP="00751082">
            <w:pPr>
              <w:jc w:val="center"/>
              <w:rPr>
                <w:rFonts w:ascii="Arial" w:hAnsi="Arial" w:cs="Arial"/>
              </w:rPr>
            </w:pPr>
            <w:r w:rsidRPr="001A125F">
              <w:rPr>
                <w:rFonts w:ascii="Arial" w:hAnsi="Arial" w:cs="Arial"/>
              </w:rPr>
              <w:t>17.970</w:t>
            </w:r>
          </w:p>
        </w:tc>
        <w:tc>
          <w:tcPr>
            <w:tcW w:w="1980" w:type="dxa"/>
            <w:tcBorders>
              <w:top w:val="nil"/>
              <w:left w:val="nil"/>
              <w:bottom w:val="single" w:sz="4" w:space="0" w:color="auto"/>
              <w:right w:val="single" w:sz="4" w:space="0" w:color="auto"/>
            </w:tcBorders>
            <w:shd w:val="clear" w:color="auto" w:fill="auto"/>
            <w:noWrap/>
            <w:vAlign w:val="bottom"/>
            <w:hideMark/>
          </w:tcPr>
          <w:p w14:paraId="70CC1934" w14:textId="77777777" w:rsidR="00275DCD" w:rsidRPr="001A125F" w:rsidRDefault="00275DCD" w:rsidP="00751082">
            <w:pPr>
              <w:jc w:val="center"/>
              <w:rPr>
                <w:rFonts w:ascii="Arial" w:hAnsi="Arial" w:cs="Arial"/>
              </w:rPr>
            </w:pPr>
            <w:r w:rsidRPr="001A125F">
              <w:rPr>
                <w:rFonts w:ascii="Arial" w:hAnsi="Arial" w:cs="Arial"/>
              </w:rPr>
              <w:t>4,54</w:t>
            </w:r>
          </w:p>
        </w:tc>
        <w:tc>
          <w:tcPr>
            <w:tcW w:w="1980" w:type="dxa"/>
            <w:tcBorders>
              <w:top w:val="nil"/>
              <w:left w:val="nil"/>
              <w:bottom w:val="single" w:sz="4" w:space="0" w:color="auto"/>
              <w:right w:val="single" w:sz="4" w:space="0" w:color="auto"/>
            </w:tcBorders>
            <w:shd w:val="clear" w:color="auto" w:fill="auto"/>
            <w:noWrap/>
            <w:vAlign w:val="bottom"/>
            <w:hideMark/>
          </w:tcPr>
          <w:p w14:paraId="60EFCABD" w14:textId="77777777" w:rsidR="00275DCD" w:rsidRPr="001A125F" w:rsidRDefault="00275DCD" w:rsidP="00751082">
            <w:pPr>
              <w:jc w:val="center"/>
              <w:rPr>
                <w:rFonts w:ascii="Arial" w:hAnsi="Arial" w:cs="Arial"/>
              </w:rPr>
            </w:pPr>
            <w:r w:rsidRPr="001A125F">
              <w:rPr>
                <w:rFonts w:ascii="Arial" w:hAnsi="Arial" w:cs="Arial"/>
              </w:rPr>
              <w:t>148.390</w:t>
            </w:r>
          </w:p>
        </w:tc>
        <w:tc>
          <w:tcPr>
            <w:tcW w:w="2313" w:type="dxa"/>
            <w:tcBorders>
              <w:top w:val="nil"/>
              <w:left w:val="nil"/>
              <w:bottom w:val="single" w:sz="4" w:space="0" w:color="auto"/>
              <w:right w:val="single" w:sz="4" w:space="0" w:color="auto"/>
            </w:tcBorders>
            <w:shd w:val="clear" w:color="auto" w:fill="auto"/>
            <w:noWrap/>
            <w:vAlign w:val="bottom"/>
            <w:hideMark/>
          </w:tcPr>
          <w:p w14:paraId="6A418F65" w14:textId="77777777" w:rsidR="00275DCD" w:rsidRPr="001A125F" w:rsidRDefault="00275DCD" w:rsidP="00751082">
            <w:pPr>
              <w:jc w:val="center"/>
              <w:rPr>
                <w:rFonts w:ascii="Arial" w:hAnsi="Arial" w:cs="Arial"/>
              </w:rPr>
            </w:pPr>
            <w:r w:rsidRPr="001A125F">
              <w:rPr>
                <w:rFonts w:ascii="Arial" w:hAnsi="Arial" w:cs="Arial"/>
              </w:rPr>
              <w:t>20,83</w:t>
            </w:r>
          </w:p>
        </w:tc>
      </w:tr>
      <w:tr w:rsidR="001A125F" w:rsidRPr="001A125F" w14:paraId="17A7505B"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264EE610" w14:textId="77777777" w:rsidR="00275DCD" w:rsidRPr="001A125F" w:rsidRDefault="00275DCD" w:rsidP="00751082">
            <w:pPr>
              <w:jc w:val="center"/>
              <w:rPr>
                <w:rFonts w:ascii="Arial" w:hAnsi="Arial" w:cs="Arial"/>
              </w:rPr>
            </w:pPr>
            <w:r w:rsidRPr="001A125F">
              <w:rPr>
                <w:rFonts w:ascii="Arial" w:hAnsi="Arial" w:cs="Arial"/>
              </w:rPr>
              <w:t>2015</w:t>
            </w:r>
          </w:p>
        </w:tc>
        <w:tc>
          <w:tcPr>
            <w:tcW w:w="1800" w:type="dxa"/>
            <w:tcBorders>
              <w:top w:val="nil"/>
              <w:left w:val="nil"/>
              <w:bottom w:val="single" w:sz="4" w:space="0" w:color="auto"/>
              <w:right w:val="single" w:sz="4" w:space="0" w:color="auto"/>
            </w:tcBorders>
            <w:shd w:val="clear" w:color="auto" w:fill="auto"/>
            <w:noWrap/>
            <w:vAlign w:val="bottom"/>
            <w:hideMark/>
          </w:tcPr>
          <w:p w14:paraId="3BDCC69C" w14:textId="77777777" w:rsidR="00275DCD" w:rsidRPr="001A125F" w:rsidRDefault="00275DCD" w:rsidP="00751082">
            <w:pPr>
              <w:jc w:val="center"/>
              <w:rPr>
                <w:rFonts w:ascii="Arial" w:hAnsi="Arial" w:cs="Arial"/>
              </w:rPr>
            </w:pPr>
            <w:r w:rsidRPr="001A125F">
              <w:rPr>
                <w:rFonts w:ascii="Arial" w:hAnsi="Arial" w:cs="Arial"/>
              </w:rPr>
              <w:t>19.291</w:t>
            </w:r>
          </w:p>
        </w:tc>
        <w:tc>
          <w:tcPr>
            <w:tcW w:w="1980" w:type="dxa"/>
            <w:tcBorders>
              <w:top w:val="nil"/>
              <w:left w:val="nil"/>
              <w:bottom w:val="single" w:sz="4" w:space="0" w:color="auto"/>
              <w:right w:val="single" w:sz="4" w:space="0" w:color="auto"/>
            </w:tcBorders>
            <w:shd w:val="clear" w:color="auto" w:fill="auto"/>
            <w:noWrap/>
            <w:vAlign w:val="bottom"/>
            <w:hideMark/>
          </w:tcPr>
          <w:p w14:paraId="1FBC1D80" w14:textId="77777777" w:rsidR="00275DCD" w:rsidRPr="001A125F" w:rsidRDefault="00275DCD" w:rsidP="00751082">
            <w:pPr>
              <w:jc w:val="center"/>
              <w:rPr>
                <w:rFonts w:ascii="Arial" w:hAnsi="Arial" w:cs="Arial"/>
              </w:rPr>
            </w:pPr>
            <w:r w:rsidRPr="001A125F">
              <w:rPr>
                <w:rFonts w:ascii="Arial" w:hAnsi="Arial" w:cs="Arial"/>
              </w:rPr>
              <w:t>4,82</w:t>
            </w:r>
          </w:p>
        </w:tc>
        <w:tc>
          <w:tcPr>
            <w:tcW w:w="1980" w:type="dxa"/>
            <w:tcBorders>
              <w:top w:val="nil"/>
              <w:left w:val="nil"/>
              <w:bottom w:val="single" w:sz="4" w:space="0" w:color="auto"/>
              <w:right w:val="single" w:sz="4" w:space="0" w:color="auto"/>
            </w:tcBorders>
            <w:shd w:val="clear" w:color="auto" w:fill="auto"/>
            <w:noWrap/>
            <w:vAlign w:val="bottom"/>
            <w:hideMark/>
          </w:tcPr>
          <w:p w14:paraId="0EC46E47" w14:textId="77777777" w:rsidR="00275DCD" w:rsidRPr="001A125F" w:rsidRDefault="00275DCD" w:rsidP="00751082">
            <w:pPr>
              <w:jc w:val="center"/>
              <w:rPr>
                <w:rFonts w:ascii="Arial" w:hAnsi="Arial" w:cs="Arial"/>
              </w:rPr>
            </w:pPr>
            <w:r w:rsidRPr="001A125F">
              <w:rPr>
                <w:rFonts w:ascii="Arial" w:hAnsi="Arial" w:cs="Arial"/>
              </w:rPr>
              <w:t>155.000</w:t>
            </w:r>
          </w:p>
        </w:tc>
        <w:tc>
          <w:tcPr>
            <w:tcW w:w="2313" w:type="dxa"/>
            <w:tcBorders>
              <w:top w:val="nil"/>
              <w:left w:val="nil"/>
              <w:bottom w:val="single" w:sz="4" w:space="0" w:color="auto"/>
              <w:right w:val="single" w:sz="4" w:space="0" w:color="auto"/>
            </w:tcBorders>
            <w:shd w:val="clear" w:color="auto" w:fill="auto"/>
            <w:noWrap/>
            <w:vAlign w:val="bottom"/>
            <w:hideMark/>
          </w:tcPr>
          <w:p w14:paraId="20C744CE" w14:textId="77777777" w:rsidR="00275DCD" w:rsidRPr="001A125F" w:rsidRDefault="00275DCD" w:rsidP="00751082">
            <w:pPr>
              <w:jc w:val="center"/>
              <w:rPr>
                <w:rFonts w:ascii="Arial" w:hAnsi="Arial" w:cs="Arial"/>
              </w:rPr>
            </w:pPr>
            <w:r w:rsidRPr="001A125F">
              <w:rPr>
                <w:rFonts w:ascii="Arial" w:hAnsi="Arial" w:cs="Arial"/>
              </w:rPr>
              <w:t>19,34</w:t>
            </w:r>
          </w:p>
        </w:tc>
      </w:tr>
      <w:tr w:rsidR="001A125F" w:rsidRPr="001A125F" w14:paraId="18B67AC2"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08C26B69" w14:textId="77777777" w:rsidR="00275DCD" w:rsidRPr="001A125F" w:rsidRDefault="00275DCD" w:rsidP="00751082">
            <w:pPr>
              <w:jc w:val="center"/>
              <w:rPr>
                <w:rFonts w:ascii="Arial" w:hAnsi="Arial" w:cs="Arial"/>
              </w:rPr>
            </w:pPr>
            <w:r w:rsidRPr="001A125F">
              <w:rPr>
                <w:rFonts w:ascii="Arial" w:hAnsi="Arial" w:cs="Arial"/>
              </w:rPr>
              <w:t>2016</w:t>
            </w:r>
          </w:p>
        </w:tc>
        <w:tc>
          <w:tcPr>
            <w:tcW w:w="1800" w:type="dxa"/>
            <w:tcBorders>
              <w:top w:val="nil"/>
              <w:left w:val="nil"/>
              <w:bottom w:val="single" w:sz="4" w:space="0" w:color="auto"/>
              <w:right w:val="single" w:sz="4" w:space="0" w:color="auto"/>
            </w:tcBorders>
            <w:shd w:val="clear" w:color="auto" w:fill="auto"/>
            <w:noWrap/>
            <w:vAlign w:val="bottom"/>
            <w:hideMark/>
          </w:tcPr>
          <w:p w14:paraId="259F3F0A" w14:textId="77777777" w:rsidR="00275DCD" w:rsidRPr="001A125F" w:rsidRDefault="00275DCD" w:rsidP="00751082">
            <w:pPr>
              <w:jc w:val="center"/>
              <w:rPr>
                <w:rFonts w:ascii="Arial" w:hAnsi="Arial" w:cs="Arial"/>
              </w:rPr>
            </w:pPr>
            <w:r w:rsidRPr="001A125F">
              <w:rPr>
                <w:rFonts w:ascii="Arial" w:hAnsi="Arial" w:cs="Arial"/>
              </w:rPr>
              <w:t>20.735</w:t>
            </w:r>
          </w:p>
        </w:tc>
        <w:tc>
          <w:tcPr>
            <w:tcW w:w="1980" w:type="dxa"/>
            <w:tcBorders>
              <w:top w:val="nil"/>
              <w:left w:val="nil"/>
              <w:bottom w:val="single" w:sz="4" w:space="0" w:color="auto"/>
              <w:right w:val="single" w:sz="4" w:space="0" w:color="auto"/>
            </w:tcBorders>
            <w:shd w:val="clear" w:color="auto" w:fill="auto"/>
            <w:noWrap/>
            <w:vAlign w:val="bottom"/>
            <w:hideMark/>
          </w:tcPr>
          <w:p w14:paraId="69421655" w14:textId="77777777" w:rsidR="00275DCD" w:rsidRPr="001A125F" w:rsidRDefault="00275DCD" w:rsidP="00751082">
            <w:pPr>
              <w:jc w:val="center"/>
              <w:rPr>
                <w:rFonts w:ascii="Arial" w:hAnsi="Arial" w:cs="Arial"/>
              </w:rPr>
            </w:pPr>
            <w:r w:rsidRPr="001A125F">
              <w:rPr>
                <w:rFonts w:ascii="Arial" w:hAnsi="Arial" w:cs="Arial"/>
              </w:rPr>
              <w:t>4,88</w:t>
            </w:r>
          </w:p>
        </w:tc>
        <w:tc>
          <w:tcPr>
            <w:tcW w:w="1980" w:type="dxa"/>
            <w:tcBorders>
              <w:top w:val="nil"/>
              <w:left w:val="nil"/>
              <w:bottom w:val="single" w:sz="4" w:space="0" w:color="auto"/>
              <w:right w:val="single" w:sz="4" w:space="0" w:color="auto"/>
            </w:tcBorders>
            <w:shd w:val="clear" w:color="auto" w:fill="auto"/>
            <w:noWrap/>
            <w:vAlign w:val="bottom"/>
            <w:hideMark/>
          </w:tcPr>
          <w:p w14:paraId="275FA175" w14:textId="77777777" w:rsidR="00275DCD" w:rsidRPr="001A125F" w:rsidRDefault="00275DCD" w:rsidP="00751082">
            <w:pPr>
              <w:jc w:val="center"/>
              <w:rPr>
                <w:rFonts w:ascii="Arial" w:hAnsi="Arial" w:cs="Arial"/>
              </w:rPr>
            </w:pPr>
            <w:r w:rsidRPr="001A125F">
              <w:rPr>
                <w:rFonts w:ascii="Arial" w:hAnsi="Arial" w:cs="Arial"/>
              </w:rPr>
              <w:t>139.150</w:t>
            </w:r>
          </w:p>
        </w:tc>
        <w:tc>
          <w:tcPr>
            <w:tcW w:w="2313" w:type="dxa"/>
            <w:tcBorders>
              <w:top w:val="nil"/>
              <w:left w:val="nil"/>
              <w:bottom w:val="single" w:sz="4" w:space="0" w:color="auto"/>
              <w:right w:val="single" w:sz="4" w:space="0" w:color="auto"/>
            </w:tcBorders>
            <w:shd w:val="clear" w:color="auto" w:fill="auto"/>
            <w:noWrap/>
            <w:vAlign w:val="bottom"/>
            <w:hideMark/>
          </w:tcPr>
          <w:p w14:paraId="1AC1D288" w14:textId="77777777" w:rsidR="00275DCD" w:rsidRPr="001A125F" w:rsidRDefault="00275DCD" w:rsidP="00751082">
            <w:pPr>
              <w:jc w:val="center"/>
              <w:rPr>
                <w:rFonts w:ascii="Arial" w:hAnsi="Arial" w:cs="Arial"/>
              </w:rPr>
            </w:pPr>
            <w:r w:rsidRPr="001A125F">
              <w:rPr>
                <w:rFonts w:ascii="Arial" w:hAnsi="Arial" w:cs="Arial"/>
              </w:rPr>
              <w:t>19,34</w:t>
            </w:r>
          </w:p>
        </w:tc>
      </w:tr>
      <w:tr w:rsidR="001A125F" w:rsidRPr="001A125F" w14:paraId="004B25C7"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2B9025AA" w14:textId="77777777" w:rsidR="00275DCD" w:rsidRPr="001A125F" w:rsidRDefault="00275DCD" w:rsidP="00751082">
            <w:pPr>
              <w:jc w:val="center"/>
              <w:rPr>
                <w:rFonts w:ascii="Arial" w:hAnsi="Arial" w:cs="Arial"/>
              </w:rPr>
            </w:pPr>
            <w:r w:rsidRPr="001A125F">
              <w:rPr>
                <w:rFonts w:ascii="Arial" w:hAnsi="Arial" w:cs="Arial"/>
              </w:rPr>
              <w:t>2017</w:t>
            </w:r>
          </w:p>
        </w:tc>
        <w:tc>
          <w:tcPr>
            <w:tcW w:w="1800" w:type="dxa"/>
            <w:tcBorders>
              <w:top w:val="nil"/>
              <w:left w:val="nil"/>
              <w:bottom w:val="single" w:sz="4" w:space="0" w:color="auto"/>
              <w:right w:val="single" w:sz="4" w:space="0" w:color="auto"/>
            </w:tcBorders>
            <w:shd w:val="clear" w:color="auto" w:fill="auto"/>
            <w:noWrap/>
            <w:vAlign w:val="bottom"/>
            <w:hideMark/>
          </w:tcPr>
          <w:p w14:paraId="5401C5A5" w14:textId="77777777" w:rsidR="00275DCD" w:rsidRPr="001A125F" w:rsidRDefault="00275DCD" w:rsidP="00751082">
            <w:pPr>
              <w:jc w:val="center"/>
              <w:rPr>
                <w:rFonts w:ascii="Arial" w:hAnsi="Arial" w:cs="Arial"/>
              </w:rPr>
            </w:pPr>
            <w:r w:rsidRPr="001A125F">
              <w:rPr>
                <w:rFonts w:ascii="Arial" w:hAnsi="Arial" w:cs="Arial"/>
              </w:rPr>
              <w:t>22.211</w:t>
            </w:r>
          </w:p>
        </w:tc>
        <w:tc>
          <w:tcPr>
            <w:tcW w:w="1980" w:type="dxa"/>
            <w:tcBorders>
              <w:top w:val="nil"/>
              <w:left w:val="nil"/>
              <w:bottom w:val="single" w:sz="4" w:space="0" w:color="auto"/>
              <w:right w:val="single" w:sz="4" w:space="0" w:color="auto"/>
            </w:tcBorders>
            <w:shd w:val="clear" w:color="auto" w:fill="auto"/>
            <w:noWrap/>
            <w:vAlign w:val="bottom"/>
            <w:hideMark/>
          </w:tcPr>
          <w:p w14:paraId="63083171" w14:textId="77777777" w:rsidR="00275DCD" w:rsidRPr="001A125F" w:rsidRDefault="00275DCD" w:rsidP="00751082">
            <w:pPr>
              <w:jc w:val="center"/>
              <w:rPr>
                <w:rFonts w:ascii="Arial" w:hAnsi="Arial" w:cs="Arial"/>
              </w:rPr>
            </w:pPr>
            <w:r w:rsidRPr="001A125F">
              <w:rPr>
                <w:rFonts w:ascii="Arial" w:hAnsi="Arial" w:cs="Arial"/>
              </w:rPr>
              <w:t>5,01</w:t>
            </w:r>
          </w:p>
        </w:tc>
        <w:tc>
          <w:tcPr>
            <w:tcW w:w="1980" w:type="dxa"/>
            <w:tcBorders>
              <w:top w:val="nil"/>
              <w:left w:val="nil"/>
              <w:bottom w:val="single" w:sz="4" w:space="0" w:color="auto"/>
              <w:right w:val="single" w:sz="4" w:space="0" w:color="auto"/>
            </w:tcBorders>
            <w:shd w:val="clear" w:color="auto" w:fill="auto"/>
            <w:noWrap/>
            <w:vAlign w:val="bottom"/>
            <w:hideMark/>
          </w:tcPr>
          <w:p w14:paraId="4C5DA879" w14:textId="77777777" w:rsidR="00275DCD" w:rsidRPr="001A125F" w:rsidRDefault="00275DCD" w:rsidP="00751082">
            <w:pPr>
              <w:jc w:val="center"/>
              <w:rPr>
                <w:rFonts w:ascii="Arial" w:hAnsi="Arial" w:cs="Arial"/>
              </w:rPr>
            </w:pPr>
            <w:r w:rsidRPr="001A125F">
              <w:rPr>
                <w:rFonts w:ascii="Arial" w:hAnsi="Arial" w:cs="Arial"/>
              </w:rPr>
              <w:t>135.740</w:t>
            </w:r>
          </w:p>
        </w:tc>
        <w:tc>
          <w:tcPr>
            <w:tcW w:w="2313" w:type="dxa"/>
            <w:tcBorders>
              <w:top w:val="nil"/>
              <w:left w:val="nil"/>
              <w:bottom w:val="single" w:sz="4" w:space="0" w:color="auto"/>
              <w:right w:val="single" w:sz="4" w:space="0" w:color="auto"/>
            </w:tcBorders>
            <w:shd w:val="clear" w:color="auto" w:fill="auto"/>
            <w:noWrap/>
            <w:vAlign w:val="bottom"/>
            <w:hideMark/>
          </w:tcPr>
          <w:p w14:paraId="4014FD6D" w14:textId="77777777" w:rsidR="00275DCD" w:rsidRPr="001A125F" w:rsidRDefault="00275DCD" w:rsidP="00751082">
            <w:pPr>
              <w:jc w:val="center"/>
              <w:rPr>
                <w:rFonts w:ascii="Arial" w:hAnsi="Arial" w:cs="Arial"/>
              </w:rPr>
            </w:pPr>
            <w:r w:rsidRPr="001A125F">
              <w:rPr>
                <w:rFonts w:ascii="Arial" w:hAnsi="Arial" w:cs="Arial"/>
              </w:rPr>
              <w:t>18,65</w:t>
            </w:r>
          </w:p>
        </w:tc>
      </w:tr>
      <w:tr w:rsidR="001A125F" w:rsidRPr="001A125F" w14:paraId="36DD2D9C"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5DF4FB56" w14:textId="77777777" w:rsidR="00275DCD" w:rsidRPr="001A125F" w:rsidRDefault="00275DCD" w:rsidP="00751082">
            <w:pPr>
              <w:jc w:val="center"/>
              <w:rPr>
                <w:rFonts w:ascii="Arial" w:hAnsi="Arial" w:cs="Arial"/>
              </w:rPr>
            </w:pPr>
            <w:r w:rsidRPr="001A125F">
              <w:rPr>
                <w:rFonts w:ascii="Arial" w:hAnsi="Arial" w:cs="Arial"/>
              </w:rPr>
              <w:t>2018</w:t>
            </w:r>
          </w:p>
        </w:tc>
        <w:tc>
          <w:tcPr>
            <w:tcW w:w="1800" w:type="dxa"/>
            <w:tcBorders>
              <w:top w:val="nil"/>
              <w:left w:val="nil"/>
              <w:bottom w:val="single" w:sz="4" w:space="0" w:color="auto"/>
              <w:right w:val="single" w:sz="4" w:space="0" w:color="auto"/>
            </w:tcBorders>
            <w:shd w:val="clear" w:color="auto" w:fill="auto"/>
            <w:noWrap/>
            <w:vAlign w:val="bottom"/>
            <w:hideMark/>
          </w:tcPr>
          <w:p w14:paraId="1A5B0D5A" w14:textId="77777777" w:rsidR="00275DCD" w:rsidRPr="001A125F" w:rsidRDefault="00275DCD" w:rsidP="00751082">
            <w:pPr>
              <w:jc w:val="center"/>
              <w:rPr>
                <w:rFonts w:ascii="Arial" w:hAnsi="Arial" w:cs="Arial"/>
              </w:rPr>
            </w:pPr>
            <w:r w:rsidRPr="001A125F">
              <w:rPr>
                <w:rFonts w:ascii="Arial" w:hAnsi="Arial" w:cs="Arial"/>
              </w:rPr>
              <w:t>23.825</w:t>
            </w:r>
          </w:p>
        </w:tc>
        <w:tc>
          <w:tcPr>
            <w:tcW w:w="1980" w:type="dxa"/>
            <w:tcBorders>
              <w:top w:val="nil"/>
              <w:left w:val="nil"/>
              <w:bottom w:val="single" w:sz="4" w:space="0" w:color="auto"/>
              <w:right w:val="single" w:sz="4" w:space="0" w:color="auto"/>
            </w:tcBorders>
            <w:shd w:val="clear" w:color="auto" w:fill="auto"/>
            <w:noWrap/>
            <w:vAlign w:val="bottom"/>
            <w:hideMark/>
          </w:tcPr>
          <w:p w14:paraId="321C0844" w14:textId="77777777" w:rsidR="00275DCD" w:rsidRPr="001A125F" w:rsidRDefault="00275DCD" w:rsidP="00751082">
            <w:pPr>
              <w:jc w:val="center"/>
              <w:rPr>
                <w:rFonts w:ascii="Arial" w:hAnsi="Arial" w:cs="Arial"/>
              </w:rPr>
            </w:pPr>
            <w:r w:rsidRPr="001A125F">
              <w:rPr>
                <w:rFonts w:ascii="Arial" w:hAnsi="Arial" w:cs="Arial"/>
              </w:rPr>
              <w:t>5,16</w:t>
            </w:r>
          </w:p>
        </w:tc>
        <w:tc>
          <w:tcPr>
            <w:tcW w:w="1980" w:type="dxa"/>
            <w:tcBorders>
              <w:top w:val="nil"/>
              <w:left w:val="nil"/>
              <w:bottom w:val="single" w:sz="4" w:space="0" w:color="auto"/>
              <w:right w:val="single" w:sz="4" w:space="0" w:color="auto"/>
            </w:tcBorders>
            <w:shd w:val="clear" w:color="auto" w:fill="auto"/>
            <w:noWrap/>
            <w:vAlign w:val="bottom"/>
            <w:hideMark/>
          </w:tcPr>
          <w:p w14:paraId="7875F8FC" w14:textId="77777777" w:rsidR="00275DCD" w:rsidRPr="001A125F" w:rsidRDefault="00275DCD" w:rsidP="00751082">
            <w:pPr>
              <w:jc w:val="center"/>
              <w:rPr>
                <w:rFonts w:ascii="Arial" w:hAnsi="Arial" w:cs="Arial"/>
              </w:rPr>
            </w:pPr>
            <w:r w:rsidRPr="001A125F">
              <w:rPr>
                <w:rFonts w:ascii="Arial" w:hAnsi="Arial" w:cs="Arial"/>
              </w:rPr>
              <w:t>125.760</w:t>
            </w:r>
          </w:p>
        </w:tc>
        <w:tc>
          <w:tcPr>
            <w:tcW w:w="2313" w:type="dxa"/>
            <w:tcBorders>
              <w:top w:val="nil"/>
              <w:left w:val="nil"/>
              <w:bottom w:val="single" w:sz="4" w:space="0" w:color="auto"/>
              <w:right w:val="single" w:sz="4" w:space="0" w:color="auto"/>
            </w:tcBorders>
            <w:shd w:val="clear" w:color="auto" w:fill="auto"/>
            <w:noWrap/>
            <w:vAlign w:val="bottom"/>
            <w:hideMark/>
          </w:tcPr>
          <w:p w14:paraId="60DDC50B" w14:textId="77777777" w:rsidR="00275DCD" w:rsidRPr="001A125F" w:rsidRDefault="00275DCD" w:rsidP="00751082">
            <w:pPr>
              <w:jc w:val="center"/>
              <w:rPr>
                <w:rFonts w:ascii="Arial" w:hAnsi="Arial" w:cs="Arial"/>
              </w:rPr>
            </w:pPr>
            <w:r w:rsidRPr="001A125F">
              <w:rPr>
                <w:rFonts w:ascii="Arial" w:hAnsi="Arial" w:cs="Arial"/>
              </w:rPr>
              <w:t>17,12</w:t>
            </w:r>
          </w:p>
        </w:tc>
      </w:tr>
      <w:tr w:rsidR="001A125F" w:rsidRPr="001A125F" w14:paraId="0B68A854"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5E2B81C0" w14:textId="77777777" w:rsidR="00275DCD" w:rsidRPr="001A125F" w:rsidRDefault="00275DCD" w:rsidP="00751082">
            <w:pPr>
              <w:jc w:val="center"/>
              <w:rPr>
                <w:rFonts w:ascii="Arial" w:hAnsi="Arial" w:cs="Arial"/>
              </w:rPr>
            </w:pPr>
            <w:r w:rsidRPr="001A125F">
              <w:rPr>
                <w:rFonts w:ascii="Arial" w:hAnsi="Arial" w:cs="Arial"/>
              </w:rPr>
              <w:t>2019</w:t>
            </w:r>
          </w:p>
        </w:tc>
        <w:tc>
          <w:tcPr>
            <w:tcW w:w="1800" w:type="dxa"/>
            <w:tcBorders>
              <w:top w:val="nil"/>
              <w:left w:val="nil"/>
              <w:bottom w:val="single" w:sz="4" w:space="0" w:color="auto"/>
              <w:right w:val="single" w:sz="4" w:space="0" w:color="auto"/>
            </w:tcBorders>
            <w:shd w:val="clear" w:color="auto" w:fill="auto"/>
            <w:noWrap/>
            <w:vAlign w:val="bottom"/>
            <w:hideMark/>
          </w:tcPr>
          <w:p w14:paraId="461D98E9" w14:textId="77777777" w:rsidR="00275DCD" w:rsidRPr="001A125F" w:rsidRDefault="00275DCD" w:rsidP="00751082">
            <w:pPr>
              <w:jc w:val="center"/>
              <w:rPr>
                <w:rFonts w:ascii="Arial" w:hAnsi="Arial" w:cs="Arial"/>
              </w:rPr>
            </w:pPr>
            <w:r w:rsidRPr="001A125F">
              <w:rPr>
                <w:rFonts w:ascii="Arial" w:hAnsi="Arial" w:cs="Arial"/>
              </w:rPr>
              <w:t>25.372</w:t>
            </w:r>
          </w:p>
        </w:tc>
        <w:tc>
          <w:tcPr>
            <w:tcW w:w="1980" w:type="dxa"/>
            <w:tcBorders>
              <w:top w:val="nil"/>
              <w:left w:val="nil"/>
              <w:bottom w:val="single" w:sz="4" w:space="0" w:color="auto"/>
              <w:right w:val="single" w:sz="4" w:space="0" w:color="auto"/>
            </w:tcBorders>
            <w:shd w:val="clear" w:color="auto" w:fill="auto"/>
            <w:noWrap/>
            <w:vAlign w:val="bottom"/>
            <w:hideMark/>
          </w:tcPr>
          <w:p w14:paraId="78800DA4" w14:textId="77777777" w:rsidR="00275DCD" w:rsidRPr="001A125F" w:rsidRDefault="00275DCD" w:rsidP="00751082">
            <w:pPr>
              <w:jc w:val="center"/>
              <w:rPr>
                <w:rFonts w:ascii="Arial" w:hAnsi="Arial" w:cs="Arial"/>
              </w:rPr>
            </w:pPr>
            <w:r w:rsidRPr="001A125F">
              <w:rPr>
                <w:rFonts w:ascii="Arial" w:hAnsi="Arial" w:cs="Arial"/>
              </w:rPr>
              <w:t>5,34</w:t>
            </w:r>
          </w:p>
        </w:tc>
        <w:tc>
          <w:tcPr>
            <w:tcW w:w="1980" w:type="dxa"/>
            <w:tcBorders>
              <w:top w:val="nil"/>
              <w:left w:val="nil"/>
              <w:bottom w:val="single" w:sz="4" w:space="0" w:color="auto"/>
              <w:right w:val="single" w:sz="4" w:space="0" w:color="auto"/>
            </w:tcBorders>
            <w:shd w:val="clear" w:color="auto" w:fill="auto"/>
            <w:noWrap/>
            <w:vAlign w:val="bottom"/>
            <w:hideMark/>
          </w:tcPr>
          <w:p w14:paraId="6398351A" w14:textId="77777777" w:rsidR="00275DCD" w:rsidRPr="001A125F" w:rsidRDefault="00275DCD" w:rsidP="00751082">
            <w:pPr>
              <w:jc w:val="center"/>
              <w:rPr>
                <w:rFonts w:ascii="Arial" w:hAnsi="Arial" w:cs="Arial"/>
              </w:rPr>
            </w:pPr>
            <w:r w:rsidRPr="001A125F">
              <w:rPr>
                <w:rFonts w:ascii="Arial" w:hAnsi="Arial" w:cs="Arial"/>
              </w:rPr>
              <w:t>123.080</w:t>
            </w:r>
          </w:p>
        </w:tc>
        <w:tc>
          <w:tcPr>
            <w:tcW w:w="2313" w:type="dxa"/>
            <w:tcBorders>
              <w:top w:val="nil"/>
              <w:left w:val="nil"/>
              <w:bottom w:val="single" w:sz="4" w:space="0" w:color="auto"/>
              <w:right w:val="single" w:sz="4" w:space="0" w:color="auto"/>
            </w:tcBorders>
            <w:shd w:val="clear" w:color="auto" w:fill="auto"/>
            <w:noWrap/>
            <w:vAlign w:val="bottom"/>
            <w:hideMark/>
          </w:tcPr>
          <w:p w14:paraId="613A0F45" w14:textId="77777777" w:rsidR="00275DCD" w:rsidRPr="001A125F" w:rsidRDefault="00275DCD" w:rsidP="00751082">
            <w:pPr>
              <w:jc w:val="center"/>
              <w:rPr>
                <w:rFonts w:ascii="Arial" w:hAnsi="Arial" w:cs="Arial"/>
              </w:rPr>
            </w:pPr>
            <w:r w:rsidRPr="001A125F">
              <w:rPr>
                <w:rFonts w:ascii="Arial" w:hAnsi="Arial" w:cs="Arial"/>
              </w:rPr>
              <w:t>16,61</w:t>
            </w:r>
          </w:p>
        </w:tc>
      </w:tr>
      <w:tr w:rsidR="001A125F" w:rsidRPr="001A125F" w14:paraId="3387D304"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490E6553" w14:textId="77777777" w:rsidR="00275DCD" w:rsidRPr="001A125F" w:rsidRDefault="00275DCD" w:rsidP="00751082">
            <w:pPr>
              <w:jc w:val="center"/>
              <w:rPr>
                <w:rFonts w:ascii="Arial" w:hAnsi="Arial" w:cs="Arial"/>
              </w:rPr>
            </w:pPr>
            <w:r w:rsidRPr="001A125F">
              <w:rPr>
                <w:rFonts w:ascii="Arial" w:hAnsi="Arial" w:cs="Arial"/>
              </w:rPr>
              <w:t>2020</w:t>
            </w:r>
          </w:p>
        </w:tc>
        <w:tc>
          <w:tcPr>
            <w:tcW w:w="1800" w:type="dxa"/>
            <w:tcBorders>
              <w:top w:val="nil"/>
              <w:left w:val="nil"/>
              <w:bottom w:val="single" w:sz="4" w:space="0" w:color="auto"/>
              <w:right w:val="single" w:sz="4" w:space="0" w:color="auto"/>
            </w:tcBorders>
            <w:shd w:val="clear" w:color="auto" w:fill="auto"/>
            <w:noWrap/>
            <w:vAlign w:val="bottom"/>
            <w:hideMark/>
          </w:tcPr>
          <w:p w14:paraId="4851ED94" w14:textId="77777777" w:rsidR="00275DCD" w:rsidRPr="001A125F" w:rsidRDefault="00275DCD" w:rsidP="00751082">
            <w:pPr>
              <w:jc w:val="center"/>
              <w:rPr>
                <w:rFonts w:ascii="Arial" w:hAnsi="Arial" w:cs="Arial"/>
              </w:rPr>
            </w:pPr>
            <w:r w:rsidRPr="001A125F">
              <w:rPr>
                <w:rFonts w:ascii="Arial" w:hAnsi="Arial" w:cs="Arial"/>
              </w:rPr>
              <w:t>25.359</w:t>
            </w:r>
          </w:p>
        </w:tc>
        <w:tc>
          <w:tcPr>
            <w:tcW w:w="1980" w:type="dxa"/>
            <w:tcBorders>
              <w:top w:val="nil"/>
              <w:left w:val="nil"/>
              <w:bottom w:val="single" w:sz="4" w:space="0" w:color="auto"/>
              <w:right w:val="single" w:sz="4" w:space="0" w:color="auto"/>
            </w:tcBorders>
            <w:shd w:val="clear" w:color="auto" w:fill="auto"/>
            <w:noWrap/>
            <w:vAlign w:val="bottom"/>
            <w:hideMark/>
          </w:tcPr>
          <w:p w14:paraId="0A142B19" w14:textId="77777777" w:rsidR="00275DCD" w:rsidRPr="001A125F" w:rsidRDefault="00275DCD" w:rsidP="00751082">
            <w:pPr>
              <w:jc w:val="center"/>
              <w:rPr>
                <w:rFonts w:ascii="Arial" w:hAnsi="Arial" w:cs="Arial"/>
              </w:rPr>
            </w:pPr>
            <w:r w:rsidRPr="001A125F">
              <w:rPr>
                <w:rFonts w:ascii="Arial" w:hAnsi="Arial" w:cs="Arial"/>
              </w:rPr>
              <w:t>-0,68</w:t>
            </w:r>
          </w:p>
        </w:tc>
        <w:tc>
          <w:tcPr>
            <w:tcW w:w="1980" w:type="dxa"/>
            <w:tcBorders>
              <w:top w:val="nil"/>
              <w:left w:val="nil"/>
              <w:bottom w:val="single" w:sz="4" w:space="0" w:color="auto"/>
              <w:right w:val="single" w:sz="4" w:space="0" w:color="auto"/>
            </w:tcBorders>
            <w:shd w:val="clear" w:color="auto" w:fill="auto"/>
            <w:noWrap/>
            <w:vAlign w:val="bottom"/>
            <w:hideMark/>
          </w:tcPr>
          <w:p w14:paraId="42C619E0" w14:textId="77777777" w:rsidR="00275DCD" w:rsidRPr="001A125F" w:rsidRDefault="00275DCD" w:rsidP="00751082">
            <w:pPr>
              <w:jc w:val="center"/>
              <w:rPr>
                <w:rFonts w:ascii="Arial" w:hAnsi="Arial" w:cs="Arial"/>
              </w:rPr>
            </w:pPr>
            <w:r w:rsidRPr="001A125F">
              <w:rPr>
                <w:rFonts w:ascii="Arial" w:hAnsi="Arial" w:cs="Arial"/>
              </w:rPr>
              <w:t>127.610</w:t>
            </w:r>
          </w:p>
        </w:tc>
        <w:tc>
          <w:tcPr>
            <w:tcW w:w="2313" w:type="dxa"/>
            <w:tcBorders>
              <w:top w:val="nil"/>
              <w:left w:val="nil"/>
              <w:bottom w:val="single" w:sz="4" w:space="0" w:color="auto"/>
              <w:right w:val="single" w:sz="4" w:space="0" w:color="auto"/>
            </w:tcBorders>
            <w:shd w:val="clear" w:color="auto" w:fill="auto"/>
            <w:noWrap/>
            <w:vAlign w:val="bottom"/>
            <w:hideMark/>
          </w:tcPr>
          <w:p w14:paraId="44DB7E44" w14:textId="77777777" w:rsidR="00275DCD" w:rsidRPr="001A125F" w:rsidRDefault="00275DCD" w:rsidP="00751082">
            <w:pPr>
              <w:jc w:val="center"/>
              <w:rPr>
                <w:rFonts w:ascii="Arial" w:hAnsi="Arial" w:cs="Arial"/>
              </w:rPr>
            </w:pPr>
            <w:r w:rsidRPr="001A125F">
              <w:rPr>
                <w:rFonts w:ascii="Arial" w:hAnsi="Arial" w:cs="Arial"/>
              </w:rPr>
              <w:t>17,07</w:t>
            </w:r>
          </w:p>
        </w:tc>
      </w:tr>
      <w:tr w:rsidR="001A125F" w:rsidRPr="001A125F" w14:paraId="0E03BB53"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7CB711E6" w14:textId="77777777" w:rsidR="00275DCD" w:rsidRPr="001A125F" w:rsidRDefault="00275DCD" w:rsidP="00751082">
            <w:pPr>
              <w:jc w:val="center"/>
              <w:rPr>
                <w:rFonts w:ascii="Arial" w:hAnsi="Arial" w:cs="Arial"/>
              </w:rPr>
            </w:pPr>
            <w:r w:rsidRPr="001A125F">
              <w:rPr>
                <w:rFonts w:ascii="Arial" w:hAnsi="Arial" w:cs="Arial"/>
              </w:rPr>
              <w:t>2021</w:t>
            </w:r>
          </w:p>
        </w:tc>
        <w:tc>
          <w:tcPr>
            <w:tcW w:w="1800" w:type="dxa"/>
            <w:tcBorders>
              <w:top w:val="nil"/>
              <w:left w:val="nil"/>
              <w:bottom w:val="single" w:sz="4" w:space="0" w:color="auto"/>
              <w:right w:val="single" w:sz="4" w:space="0" w:color="auto"/>
            </w:tcBorders>
            <w:shd w:val="clear" w:color="auto" w:fill="auto"/>
            <w:noWrap/>
            <w:vAlign w:val="bottom"/>
            <w:hideMark/>
          </w:tcPr>
          <w:p w14:paraId="16368F68" w14:textId="77777777" w:rsidR="00275DCD" w:rsidRPr="001A125F" w:rsidRDefault="00275DCD" w:rsidP="00751082">
            <w:pPr>
              <w:jc w:val="center"/>
              <w:rPr>
                <w:rFonts w:ascii="Arial" w:hAnsi="Arial" w:cs="Arial"/>
              </w:rPr>
            </w:pPr>
            <w:r w:rsidRPr="001A125F">
              <w:rPr>
                <w:rFonts w:ascii="Arial" w:hAnsi="Arial" w:cs="Arial"/>
              </w:rPr>
              <w:t>27.304</w:t>
            </w:r>
          </w:p>
        </w:tc>
        <w:tc>
          <w:tcPr>
            <w:tcW w:w="1980" w:type="dxa"/>
            <w:tcBorders>
              <w:top w:val="nil"/>
              <w:left w:val="nil"/>
              <w:bottom w:val="single" w:sz="4" w:space="0" w:color="auto"/>
              <w:right w:val="single" w:sz="4" w:space="0" w:color="auto"/>
            </w:tcBorders>
            <w:shd w:val="clear" w:color="auto" w:fill="auto"/>
            <w:noWrap/>
            <w:vAlign w:val="bottom"/>
            <w:hideMark/>
          </w:tcPr>
          <w:p w14:paraId="46283D28" w14:textId="77777777" w:rsidR="00275DCD" w:rsidRPr="001A125F" w:rsidRDefault="00275DCD" w:rsidP="00751082">
            <w:pPr>
              <w:jc w:val="center"/>
              <w:rPr>
                <w:rFonts w:ascii="Arial" w:hAnsi="Arial" w:cs="Arial"/>
              </w:rPr>
            </w:pPr>
            <w:r w:rsidRPr="001A125F">
              <w:rPr>
                <w:rFonts w:ascii="Arial" w:hAnsi="Arial" w:cs="Arial"/>
              </w:rPr>
              <w:t>5,31</w:t>
            </w:r>
          </w:p>
        </w:tc>
        <w:tc>
          <w:tcPr>
            <w:tcW w:w="1980" w:type="dxa"/>
            <w:tcBorders>
              <w:top w:val="nil"/>
              <w:left w:val="nil"/>
              <w:bottom w:val="single" w:sz="4" w:space="0" w:color="auto"/>
              <w:right w:val="single" w:sz="4" w:space="0" w:color="auto"/>
            </w:tcBorders>
            <w:shd w:val="clear" w:color="auto" w:fill="auto"/>
            <w:noWrap/>
            <w:vAlign w:val="bottom"/>
            <w:hideMark/>
          </w:tcPr>
          <w:p w14:paraId="10BF001A" w14:textId="77777777" w:rsidR="00275DCD" w:rsidRPr="001A125F" w:rsidRDefault="00275DCD" w:rsidP="00751082">
            <w:pPr>
              <w:jc w:val="center"/>
              <w:rPr>
                <w:rFonts w:ascii="Arial" w:hAnsi="Arial" w:cs="Arial"/>
              </w:rPr>
            </w:pPr>
            <w:r w:rsidRPr="001A125F">
              <w:rPr>
                <w:rFonts w:ascii="Arial" w:hAnsi="Arial" w:cs="Arial"/>
              </w:rPr>
              <w:t>135.330</w:t>
            </w:r>
          </w:p>
        </w:tc>
        <w:tc>
          <w:tcPr>
            <w:tcW w:w="2313" w:type="dxa"/>
            <w:tcBorders>
              <w:top w:val="nil"/>
              <w:left w:val="nil"/>
              <w:bottom w:val="single" w:sz="4" w:space="0" w:color="auto"/>
              <w:right w:val="single" w:sz="4" w:space="0" w:color="auto"/>
            </w:tcBorders>
            <w:shd w:val="clear" w:color="auto" w:fill="auto"/>
            <w:noWrap/>
            <w:vAlign w:val="bottom"/>
            <w:hideMark/>
          </w:tcPr>
          <w:p w14:paraId="0A738D63" w14:textId="77777777" w:rsidR="00275DCD" w:rsidRPr="001A125F" w:rsidRDefault="00275DCD" w:rsidP="00751082">
            <w:pPr>
              <w:jc w:val="center"/>
              <w:rPr>
                <w:rFonts w:ascii="Arial" w:hAnsi="Arial" w:cs="Arial"/>
              </w:rPr>
            </w:pPr>
            <w:r w:rsidRPr="001A125F">
              <w:rPr>
                <w:rFonts w:ascii="Arial" w:hAnsi="Arial" w:cs="Arial"/>
              </w:rPr>
              <w:t>17,69</w:t>
            </w:r>
          </w:p>
        </w:tc>
      </w:tr>
      <w:tr w:rsidR="001A125F" w:rsidRPr="001A125F" w14:paraId="6A74F07F"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40362702" w14:textId="77777777" w:rsidR="00275DCD" w:rsidRPr="001A125F" w:rsidRDefault="00275DCD" w:rsidP="00751082">
            <w:pPr>
              <w:jc w:val="center"/>
              <w:rPr>
                <w:rFonts w:ascii="Arial" w:hAnsi="Arial" w:cs="Arial"/>
              </w:rPr>
            </w:pPr>
            <w:r w:rsidRPr="001A125F">
              <w:rPr>
                <w:rFonts w:ascii="Arial" w:hAnsi="Arial" w:cs="Arial"/>
              </w:rPr>
              <w:t>2022</w:t>
            </w:r>
          </w:p>
        </w:tc>
        <w:tc>
          <w:tcPr>
            <w:tcW w:w="1800" w:type="dxa"/>
            <w:tcBorders>
              <w:top w:val="nil"/>
              <w:left w:val="nil"/>
              <w:bottom w:val="single" w:sz="4" w:space="0" w:color="auto"/>
              <w:right w:val="single" w:sz="4" w:space="0" w:color="auto"/>
            </w:tcBorders>
            <w:shd w:val="clear" w:color="auto" w:fill="auto"/>
            <w:noWrap/>
            <w:vAlign w:val="bottom"/>
            <w:hideMark/>
          </w:tcPr>
          <w:p w14:paraId="788358FB" w14:textId="77777777" w:rsidR="00275DCD" w:rsidRPr="001A125F" w:rsidRDefault="00275DCD" w:rsidP="00751082">
            <w:pPr>
              <w:jc w:val="center"/>
              <w:rPr>
                <w:rFonts w:ascii="Arial" w:hAnsi="Arial" w:cs="Arial"/>
              </w:rPr>
            </w:pPr>
            <w:r w:rsidRPr="001A125F">
              <w:rPr>
                <w:rFonts w:ascii="Arial" w:hAnsi="Arial" w:cs="Arial"/>
              </w:rPr>
              <w:t>30.344</w:t>
            </w:r>
          </w:p>
        </w:tc>
        <w:tc>
          <w:tcPr>
            <w:tcW w:w="1980" w:type="dxa"/>
            <w:tcBorders>
              <w:top w:val="nil"/>
              <w:left w:val="nil"/>
              <w:bottom w:val="single" w:sz="4" w:space="0" w:color="auto"/>
              <w:right w:val="single" w:sz="4" w:space="0" w:color="auto"/>
            </w:tcBorders>
            <w:shd w:val="clear" w:color="auto" w:fill="auto"/>
            <w:noWrap/>
            <w:vAlign w:val="bottom"/>
            <w:hideMark/>
          </w:tcPr>
          <w:p w14:paraId="61F98C8B" w14:textId="77777777" w:rsidR="00275DCD" w:rsidRPr="001A125F" w:rsidRDefault="00275DCD" w:rsidP="00751082">
            <w:pPr>
              <w:jc w:val="center"/>
              <w:rPr>
                <w:rFonts w:ascii="Arial" w:hAnsi="Arial" w:cs="Arial"/>
              </w:rPr>
            </w:pPr>
            <w:r w:rsidRPr="001A125F">
              <w:rPr>
                <w:rFonts w:ascii="Arial" w:hAnsi="Arial" w:cs="Arial"/>
              </w:rPr>
              <w:t>5,37</w:t>
            </w:r>
          </w:p>
        </w:tc>
        <w:tc>
          <w:tcPr>
            <w:tcW w:w="1980" w:type="dxa"/>
            <w:tcBorders>
              <w:top w:val="nil"/>
              <w:left w:val="nil"/>
              <w:bottom w:val="single" w:sz="4" w:space="0" w:color="auto"/>
              <w:right w:val="single" w:sz="4" w:space="0" w:color="auto"/>
            </w:tcBorders>
            <w:shd w:val="clear" w:color="auto" w:fill="auto"/>
            <w:noWrap/>
            <w:vAlign w:val="bottom"/>
            <w:hideMark/>
          </w:tcPr>
          <w:p w14:paraId="3D9197F9" w14:textId="77777777" w:rsidR="00275DCD" w:rsidRPr="001A125F" w:rsidRDefault="00275DCD" w:rsidP="00751082">
            <w:pPr>
              <w:jc w:val="center"/>
              <w:rPr>
                <w:rFonts w:ascii="Arial" w:hAnsi="Arial" w:cs="Arial"/>
              </w:rPr>
            </w:pPr>
            <w:r w:rsidRPr="001A125F">
              <w:rPr>
                <w:rFonts w:ascii="Arial" w:hAnsi="Arial" w:cs="Arial"/>
              </w:rPr>
              <w:t>122.820</w:t>
            </w:r>
          </w:p>
        </w:tc>
        <w:tc>
          <w:tcPr>
            <w:tcW w:w="2313" w:type="dxa"/>
            <w:tcBorders>
              <w:top w:val="nil"/>
              <w:left w:val="nil"/>
              <w:bottom w:val="single" w:sz="4" w:space="0" w:color="auto"/>
              <w:right w:val="single" w:sz="4" w:space="0" w:color="auto"/>
            </w:tcBorders>
            <w:shd w:val="clear" w:color="auto" w:fill="auto"/>
            <w:noWrap/>
            <w:vAlign w:val="bottom"/>
            <w:hideMark/>
          </w:tcPr>
          <w:p w14:paraId="157FFF61" w14:textId="77777777" w:rsidR="00275DCD" w:rsidRPr="001A125F" w:rsidRDefault="00275DCD" w:rsidP="00751082">
            <w:pPr>
              <w:jc w:val="center"/>
              <w:rPr>
                <w:rFonts w:ascii="Arial" w:hAnsi="Arial" w:cs="Arial"/>
              </w:rPr>
            </w:pPr>
            <w:r w:rsidRPr="001A125F">
              <w:rPr>
                <w:rFonts w:ascii="Arial" w:hAnsi="Arial" w:cs="Arial"/>
              </w:rPr>
              <w:t>15,86</w:t>
            </w:r>
          </w:p>
        </w:tc>
      </w:tr>
      <w:tr w:rsidR="001A125F" w:rsidRPr="001A125F" w14:paraId="473CB3B7"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233B242F" w14:textId="77777777" w:rsidR="00275DCD" w:rsidRPr="001A125F" w:rsidRDefault="00275DCD" w:rsidP="00751082">
            <w:pPr>
              <w:jc w:val="center"/>
              <w:rPr>
                <w:rFonts w:ascii="Arial" w:hAnsi="Arial" w:cs="Arial"/>
              </w:rPr>
            </w:pPr>
            <w:r w:rsidRPr="001A125F">
              <w:rPr>
                <w:rFonts w:ascii="Arial" w:hAnsi="Arial" w:cs="Arial"/>
              </w:rPr>
              <w:t>2023</w:t>
            </w:r>
          </w:p>
        </w:tc>
        <w:tc>
          <w:tcPr>
            <w:tcW w:w="1800" w:type="dxa"/>
            <w:tcBorders>
              <w:top w:val="nil"/>
              <w:left w:val="nil"/>
              <w:bottom w:val="single" w:sz="4" w:space="0" w:color="auto"/>
              <w:right w:val="single" w:sz="4" w:space="0" w:color="auto"/>
            </w:tcBorders>
            <w:shd w:val="clear" w:color="auto" w:fill="auto"/>
            <w:noWrap/>
            <w:vAlign w:val="bottom"/>
            <w:hideMark/>
          </w:tcPr>
          <w:p w14:paraId="2EE7F611" w14:textId="77777777" w:rsidR="00275DCD" w:rsidRPr="001A125F" w:rsidRDefault="00275DCD" w:rsidP="00751082">
            <w:pPr>
              <w:jc w:val="center"/>
              <w:rPr>
                <w:rFonts w:ascii="Arial" w:hAnsi="Arial" w:cs="Arial"/>
              </w:rPr>
            </w:pPr>
            <w:r w:rsidRPr="001A125F">
              <w:rPr>
                <w:rFonts w:ascii="Arial" w:hAnsi="Arial" w:cs="Arial"/>
              </w:rPr>
              <w:t>33.257</w:t>
            </w:r>
          </w:p>
        </w:tc>
        <w:tc>
          <w:tcPr>
            <w:tcW w:w="1980" w:type="dxa"/>
            <w:tcBorders>
              <w:top w:val="nil"/>
              <w:left w:val="nil"/>
              <w:bottom w:val="single" w:sz="4" w:space="0" w:color="auto"/>
              <w:right w:val="single" w:sz="4" w:space="0" w:color="auto"/>
            </w:tcBorders>
            <w:shd w:val="clear" w:color="auto" w:fill="auto"/>
            <w:noWrap/>
            <w:vAlign w:val="bottom"/>
            <w:hideMark/>
          </w:tcPr>
          <w:p w14:paraId="13D7BF99" w14:textId="77777777" w:rsidR="00275DCD" w:rsidRPr="001A125F" w:rsidRDefault="00275DCD" w:rsidP="00751082">
            <w:pPr>
              <w:jc w:val="center"/>
              <w:rPr>
                <w:rFonts w:ascii="Arial" w:hAnsi="Arial" w:cs="Arial"/>
              </w:rPr>
            </w:pPr>
            <w:r w:rsidRPr="001A125F">
              <w:rPr>
                <w:rFonts w:ascii="Arial" w:hAnsi="Arial" w:cs="Arial"/>
              </w:rPr>
              <w:t>5,04</w:t>
            </w:r>
          </w:p>
        </w:tc>
        <w:tc>
          <w:tcPr>
            <w:tcW w:w="1980" w:type="dxa"/>
            <w:tcBorders>
              <w:top w:val="nil"/>
              <w:left w:val="nil"/>
              <w:bottom w:val="single" w:sz="4" w:space="0" w:color="auto"/>
              <w:right w:val="single" w:sz="4" w:space="0" w:color="auto"/>
            </w:tcBorders>
            <w:shd w:val="clear" w:color="auto" w:fill="auto"/>
            <w:noWrap/>
            <w:vAlign w:val="bottom"/>
            <w:hideMark/>
          </w:tcPr>
          <w:p w14:paraId="56DE06C1" w14:textId="77777777" w:rsidR="00275DCD" w:rsidRPr="001A125F" w:rsidRDefault="00275DCD" w:rsidP="00751082">
            <w:pPr>
              <w:jc w:val="center"/>
              <w:rPr>
                <w:rFonts w:ascii="Arial" w:hAnsi="Arial" w:cs="Arial"/>
              </w:rPr>
            </w:pPr>
            <w:r w:rsidRPr="001A125F">
              <w:rPr>
                <w:rFonts w:ascii="Arial" w:hAnsi="Arial" w:cs="Arial"/>
              </w:rPr>
              <w:t>122.540</w:t>
            </w:r>
          </w:p>
        </w:tc>
        <w:tc>
          <w:tcPr>
            <w:tcW w:w="2313" w:type="dxa"/>
            <w:tcBorders>
              <w:top w:val="nil"/>
              <w:left w:val="nil"/>
              <w:bottom w:val="single" w:sz="4" w:space="0" w:color="auto"/>
              <w:right w:val="single" w:sz="4" w:space="0" w:color="auto"/>
            </w:tcBorders>
            <w:shd w:val="clear" w:color="auto" w:fill="auto"/>
            <w:noWrap/>
            <w:vAlign w:val="bottom"/>
            <w:hideMark/>
          </w:tcPr>
          <w:p w14:paraId="1EB60078" w14:textId="77777777" w:rsidR="00275DCD" w:rsidRPr="001A125F" w:rsidRDefault="00275DCD" w:rsidP="00751082">
            <w:pPr>
              <w:jc w:val="center"/>
              <w:rPr>
                <w:rFonts w:ascii="Arial" w:hAnsi="Arial" w:cs="Arial"/>
              </w:rPr>
            </w:pPr>
            <w:r w:rsidRPr="001A125F">
              <w:rPr>
                <w:rFonts w:ascii="Arial" w:hAnsi="Arial" w:cs="Arial"/>
              </w:rPr>
              <w:t>15,60</w:t>
            </w:r>
          </w:p>
        </w:tc>
      </w:tr>
    </w:tbl>
    <w:p w14:paraId="3F35F13A" w14:textId="289EF513" w:rsidR="00275DCD" w:rsidRPr="001A125F" w:rsidRDefault="00275DCD" w:rsidP="00275DCD">
      <w:pPr>
        <w:spacing w:line="360" w:lineRule="auto"/>
        <w:jc w:val="both"/>
        <w:rPr>
          <w:rFonts w:ascii="Arial" w:hAnsi="Arial" w:cs="Arial"/>
        </w:rPr>
      </w:pPr>
      <w:r w:rsidRPr="001A125F">
        <w:rPr>
          <w:rFonts w:ascii="Arial" w:hAnsi="Arial" w:cs="Arial"/>
        </w:rPr>
        <w:t>Source: BPS, 2024</w:t>
      </w:r>
    </w:p>
    <w:p w14:paraId="1374239A" w14:textId="72EA021B" w:rsidR="00275DCD" w:rsidRPr="001A125F" w:rsidRDefault="00275DCD" w:rsidP="00275DCD">
      <w:pPr>
        <w:spacing w:line="360" w:lineRule="auto"/>
        <w:jc w:val="both"/>
        <w:rPr>
          <w:rFonts w:ascii="Arial" w:hAnsi="Arial" w:cs="Arial"/>
          <w:lang w:val="nb-NO"/>
        </w:rPr>
      </w:pPr>
      <w:r w:rsidRPr="001A125F">
        <w:rPr>
          <w:rFonts w:ascii="Arial" w:hAnsi="Arial" w:cs="Arial"/>
        </w:rPr>
        <w:t xml:space="preserve">To obtain the correlation figure, the data in table 3. The above is then processed with the </w:t>
      </w:r>
      <w:proofErr w:type="spellStart"/>
      <w:r w:rsidRPr="001A125F">
        <w:rPr>
          <w:rFonts w:ascii="Arial" w:hAnsi="Arial" w:cs="Arial"/>
        </w:rPr>
        <w:t>eViews</w:t>
      </w:r>
      <w:proofErr w:type="spellEnd"/>
      <w:r w:rsidRPr="001A125F">
        <w:rPr>
          <w:rFonts w:ascii="Arial" w:hAnsi="Arial" w:cs="Arial"/>
        </w:rPr>
        <w:t xml:space="preserve"> program. The results can be shown in Table 3. next:</w:t>
      </w:r>
    </w:p>
    <w:p w14:paraId="69868324" w14:textId="6FCAF6E0" w:rsidR="00275DCD" w:rsidRPr="001A125F" w:rsidRDefault="00275DCD" w:rsidP="00275DCD">
      <w:pPr>
        <w:pStyle w:val="Caption"/>
        <w:spacing w:after="0"/>
        <w:jc w:val="center"/>
        <w:rPr>
          <w:rFonts w:ascii="Arial" w:hAnsi="Arial" w:cs="Arial"/>
          <w:b/>
          <w:bCs/>
          <w:i w:val="0"/>
          <w:iCs w:val="0"/>
          <w:color w:val="auto"/>
          <w:sz w:val="20"/>
          <w:szCs w:val="20"/>
          <w:lang w:val="nb-NO"/>
        </w:rPr>
      </w:pPr>
      <w:bookmarkStart w:id="7" w:name="_Toc176939938"/>
      <w:r w:rsidRPr="001A125F">
        <w:rPr>
          <w:rFonts w:ascii="Arial" w:hAnsi="Arial" w:cs="Arial"/>
          <w:b/>
          <w:bCs/>
          <w:i w:val="0"/>
          <w:iCs w:val="0"/>
          <w:color w:val="auto"/>
          <w:sz w:val="20"/>
          <w:szCs w:val="20"/>
        </w:rPr>
        <w:t>Table 3. Correlation Estimation Results</w:t>
      </w:r>
      <w:bookmarkEnd w:id="7"/>
    </w:p>
    <w:tbl>
      <w:tblPr>
        <w:tblW w:w="9259" w:type="dxa"/>
        <w:tblInd w:w="30" w:type="dxa"/>
        <w:tblLayout w:type="fixed"/>
        <w:tblCellMar>
          <w:left w:w="0" w:type="dxa"/>
          <w:right w:w="0" w:type="dxa"/>
        </w:tblCellMar>
        <w:tblLook w:val="04A0" w:firstRow="1" w:lastRow="0" w:firstColumn="1" w:lastColumn="0" w:noHBand="0" w:noVBand="1"/>
      </w:tblPr>
      <w:tblGrid>
        <w:gridCol w:w="1943"/>
        <w:gridCol w:w="1388"/>
        <w:gridCol w:w="1413"/>
        <w:gridCol w:w="1428"/>
        <w:gridCol w:w="1398"/>
        <w:gridCol w:w="1689"/>
      </w:tblGrid>
      <w:tr w:rsidR="001A125F" w:rsidRPr="001A125F" w14:paraId="7E48C617" w14:textId="77777777" w:rsidTr="00956072">
        <w:trPr>
          <w:trHeight w:val="255"/>
        </w:trPr>
        <w:tc>
          <w:tcPr>
            <w:tcW w:w="6172" w:type="dxa"/>
            <w:gridSpan w:val="4"/>
            <w:tcBorders>
              <w:top w:val="nil"/>
              <w:left w:val="nil"/>
              <w:bottom w:val="nil"/>
              <w:right w:val="nil"/>
            </w:tcBorders>
            <w:vAlign w:val="bottom"/>
          </w:tcPr>
          <w:p w14:paraId="6861DEC2" w14:textId="77777777" w:rsidR="00275DCD" w:rsidRPr="001A125F" w:rsidRDefault="00275DCD" w:rsidP="00751082">
            <w:pPr>
              <w:autoSpaceDE w:val="0"/>
              <w:autoSpaceDN w:val="0"/>
              <w:adjustRightInd w:val="0"/>
              <w:rPr>
                <w:rFonts w:ascii="Arial" w:hAnsi="Arial" w:cs="Arial"/>
              </w:rPr>
            </w:pPr>
            <w:r w:rsidRPr="001A125F">
              <w:rPr>
                <w:rFonts w:ascii="Arial" w:hAnsi="Arial" w:cs="Arial"/>
              </w:rPr>
              <w:t>Covariance Analysis: Ordinary</w:t>
            </w:r>
          </w:p>
        </w:tc>
        <w:tc>
          <w:tcPr>
            <w:tcW w:w="1398" w:type="dxa"/>
            <w:tcBorders>
              <w:top w:val="nil"/>
              <w:left w:val="nil"/>
              <w:bottom w:val="nil"/>
              <w:right w:val="nil"/>
            </w:tcBorders>
            <w:vAlign w:val="bottom"/>
          </w:tcPr>
          <w:p w14:paraId="0DAB9AC9" w14:textId="77777777" w:rsidR="00275DCD" w:rsidRPr="001A125F" w:rsidRDefault="00275DCD" w:rsidP="00751082">
            <w:pPr>
              <w:autoSpaceDE w:val="0"/>
              <w:autoSpaceDN w:val="0"/>
              <w:adjustRightInd w:val="0"/>
              <w:jc w:val="center"/>
              <w:rPr>
                <w:rFonts w:ascii="Arial" w:hAnsi="Arial" w:cs="Arial"/>
              </w:rPr>
            </w:pPr>
          </w:p>
        </w:tc>
        <w:tc>
          <w:tcPr>
            <w:tcW w:w="1689" w:type="dxa"/>
            <w:tcBorders>
              <w:top w:val="nil"/>
              <w:left w:val="nil"/>
              <w:bottom w:val="nil"/>
              <w:right w:val="nil"/>
            </w:tcBorders>
            <w:vAlign w:val="bottom"/>
          </w:tcPr>
          <w:p w14:paraId="0B5DD07D" w14:textId="77777777" w:rsidR="00275DCD" w:rsidRPr="001A125F" w:rsidRDefault="00275DCD" w:rsidP="00751082">
            <w:pPr>
              <w:autoSpaceDE w:val="0"/>
              <w:autoSpaceDN w:val="0"/>
              <w:adjustRightInd w:val="0"/>
              <w:jc w:val="center"/>
              <w:rPr>
                <w:rFonts w:ascii="Arial" w:hAnsi="Arial" w:cs="Arial"/>
              </w:rPr>
            </w:pPr>
          </w:p>
        </w:tc>
      </w:tr>
      <w:tr w:rsidR="001A125F" w:rsidRPr="001A125F" w14:paraId="38965043" w14:textId="77777777" w:rsidTr="00956072">
        <w:trPr>
          <w:trHeight w:val="255"/>
        </w:trPr>
        <w:tc>
          <w:tcPr>
            <w:tcW w:w="6172" w:type="dxa"/>
            <w:gridSpan w:val="4"/>
            <w:tcBorders>
              <w:top w:val="nil"/>
              <w:left w:val="nil"/>
              <w:bottom w:val="nil"/>
              <w:right w:val="nil"/>
            </w:tcBorders>
            <w:vAlign w:val="bottom"/>
          </w:tcPr>
          <w:p w14:paraId="48E46A86" w14:textId="77777777" w:rsidR="00275DCD" w:rsidRPr="001A125F" w:rsidRDefault="00275DCD" w:rsidP="00751082">
            <w:pPr>
              <w:autoSpaceDE w:val="0"/>
              <w:autoSpaceDN w:val="0"/>
              <w:adjustRightInd w:val="0"/>
              <w:rPr>
                <w:rFonts w:ascii="Arial" w:hAnsi="Arial" w:cs="Arial"/>
              </w:rPr>
            </w:pPr>
            <w:r w:rsidRPr="001A125F">
              <w:rPr>
                <w:rFonts w:ascii="Arial" w:hAnsi="Arial" w:cs="Arial"/>
              </w:rPr>
              <w:t>Date: 08/01/24 Time: 19:04</w:t>
            </w:r>
          </w:p>
        </w:tc>
        <w:tc>
          <w:tcPr>
            <w:tcW w:w="1398" w:type="dxa"/>
            <w:tcBorders>
              <w:top w:val="nil"/>
              <w:left w:val="nil"/>
              <w:bottom w:val="nil"/>
              <w:right w:val="nil"/>
            </w:tcBorders>
            <w:vAlign w:val="bottom"/>
          </w:tcPr>
          <w:p w14:paraId="7DD76E6B" w14:textId="77777777" w:rsidR="00275DCD" w:rsidRPr="001A125F" w:rsidRDefault="00275DCD" w:rsidP="00751082">
            <w:pPr>
              <w:autoSpaceDE w:val="0"/>
              <w:autoSpaceDN w:val="0"/>
              <w:adjustRightInd w:val="0"/>
              <w:jc w:val="center"/>
              <w:rPr>
                <w:rFonts w:ascii="Arial" w:hAnsi="Arial" w:cs="Arial"/>
              </w:rPr>
            </w:pPr>
          </w:p>
        </w:tc>
        <w:tc>
          <w:tcPr>
            <w:tcW w:w="1689" w:type="dxa"/>
            <w:tcBorders>
              <w:top w:val="nil"/>
              <w:left w:val="nil"/>
              <w:bottom w:val="nil"/>
              <w:right w:val="nil"/>
            </w:tcBorders>
            <w:vAlign w:val="bottom"/>
          </w:tcPr>
          <w:p w14:paraId="4CB3F39C" w14:textId="77777777" w:rsidR="00275DCD" w:rsidRPr="001A125F" w:rsidRDefault="00275DCD" w:rsidP="00751082">
            <w:pPr>
              <w:autoSpaceDE w:val="0"/>
              <w:autoSpaceDN w:val="0"/>
              <w:adjustRightInd w:val="0"/>
              <w:jc w:val="center"/>
              <w:rPr>
                <w:rFonts w:ascii="Arial" w:hAnsi="Arial" w:cs="Arial"/>
              </w:rPr>
            </w:pPr>
          </w:p>
        </w:tc>
      </w:tr>
      <w:tr w:rsidR="001A125F" w:rsidRPr="001A125F" w14:paraId="79F1A40A" w14:textId="77777777" w:rsidTr="00956072">
        <w:trPr>
          <w:trHeight w:val="255"/>
        </w:trPr>
        <w:tc>
          <w:tcPr>
            <w:tcW w:w="4744" w:type="dxa"/>
            <w:gridSpan w:val="3"/>
            <w:tcBorders>
              <w:top w:val="nil"/>
              <w:left w:val="nil"/>
              <w:bottom w:val="nil"/>
              <w:right w:val="nil"/>
            </w:tcBorders>
            <w:vAlign w:val="bottom"/>
          </w:tcPr>
          <w:p w14:paraId="7991F3BA" w14:textId="77777777" w:rsidR="00275DCD" w:rsidRPr="001A125F" w:rsidRDefault="00275DCD" w:rsidP="00751082">
            <w:pPr>
              <w:autoSpaceDE w:val="0"/>
              <w:autoSpaceDN w:val="0"/>
              <w:adjustRightInd w:val="0"/>
              <w:rPr>
                <w:rFonts w:ascii="Arial" w:hAnsi="Arial" w:cs="Arial"/>
              </w:rPr>
            </w:pPr>
            <w:r w:rsidRPr="001A125F">
              <w:rPr>
                <w:rFonts w:ascii="Arial" w:hAnsi="Arial" w:cs="Arial"/>
              </w:rPr>
              <w:t>Sample: 2012 2023</w:t>
            </w:r>
          </w:p>
        </w:tc>
        <w:tc>
          <w:tcPr>
            <w:tcW w:w="1428" w:type="dxa"/>
            <w:tcBorders>
              <w:top w:val="nil"/>
              <w:left w:val="nil"/>
              <w:bottom w:val="nil"/>
              <w:right w:val="nil"/>
            </w:tcBorders>
            <w:vAlign w:val="bottom"/>
          </w:tcPr>
          <w:p w14:paraId="6F401B28" w14:textId="77777777" w:rsidR="00275DCD" w:rsidRPr="001A125F" w:rsidRDefault="00275DCD" w:rsidP="00751082">
            <w:pPr>
              <w:autoSpaceDE w:val="0"/>
              <w:autoSpaceDN w:val="0"/>
              <w:adjustRightInd w:val="0"/>
              <w:jc w:val="center"/>
              <w:rPr>
                <w:rFonts w:ascii="Arial" w:hAnsi="Arial" w:cs="Arial"/>
              </w:rPr>
            </w:pPr>
          </w:p>
        </w:tc>
        <w:tc>
          <w:tcPr>
            <w:tcW w:w="1398" w:type="dxa"/>
            <w:tcBorders>
              <w:top w:val="nil"/>
              <w:left w:val="nil"/>
              <w:bottom w:val="nil"/>
              <w:right w:val="nil"/>
            </w:tcBorders>
            <w:vAlign w:val="bottom"/>
          </w:tcPr>
          <w:p w14:paraId="095EBFA7" w14:textId="77777777" w:rsidR="00275DCD" w:rsidRPr="001A125F" w:rsidRDefault="00275DCD" w:rsidP="00751082">
            <w:pPr>
              <w:autoSpaceDE w:val="0"/>
              <w:autoSpaceDN w:val="0"/>
              <w:adjustRightInd w:val="0"/>
              <w:jc w:val="center"/>
              <w:rPr>
                <w:rFonts w:ascii="Arial" w:hAnsi="Arial" w:cs="Arial"/>
              </w:rPr>
            </w:pPr>
          </w:p>
        </w:tc>
        <w:tc>
          <w:tcPr>
            <w:tcW w:w="1689" w:type="dxa"/>
            <w:tcBorders>
              <w:top w:val="nil"/>
              <w:left w:val="nil"/>
              <w:bottom w:val="nil"/>
              <w:right w:val="nil"/>
            </w:tcBorders>
            <w:vAlign w:val="bottom"/>
          </w:tcPr>
          <w:p w14:paraId="12EB0F5C" w14:textId="77777777" w:rsidR="00275DCD" w:rsidRPr="001A125F" w:rsidRDefault="00275DCD" w:rsidP="00751082">
            <w:pPr>
              <w:autoSpaceDE w:val="0"/>
              <w:autoSpaceDN w:val="0"/>
              <w:adjustRightInd w:val="0"/>
              <w:jc w:val="center"/>
              <w:rPr>
                <w:rFonts w:ascii="Arial" w:hAnsi="Arial" w:cs="Arial"/>
              </w:rPr>
            </w:pPr>
          </w:p>
        </w:tc>
      </w:tr>
      <w:tr w:rsidR="001A125F" w:rsidRPr="001A125F" w14:paraId="0173B298" w14:textId="77777777" w:rsidTr="00956072">
        <w:trPr>
          <w:trHeight w:val="255"/>
        </w:trPr>
        <w:tc>
          <w:tcPr>
            <w:tcW w:w="6172" w:type="dxa"/>
            <w:gridSpan w:val="4"/>
            <w:tcBorders>
              <w:top w:val="nil"/>
              <w:left w:val="nil"/>
              <w:bottom w:val="nil"/>
              <w:right w:val="nil"/>
            </w:tcBorders>
            <w:vAlign w:val="bottom"/>
          </w:tcPr>
          <w:p w14:paraId="462F1004" w14:textId="77777777" w:rsidR="00275DCD" w:rsidRPr="001A125F" w:rsidRDefault="00275DCD" w:rsidP="00751082">
            <w:pPr>
              <w:autoSpaceDE w:val="0"/>
              <w:autoSpaceDN w:val="0"/>
              <w:adjustRightInd w:val="0"/>
              <w:rPr>
                <w:rFonts w:ascii="Arial" w:hAnsi="Arial" w:cs="Arial"/>
              </w:rPr>
            </w:pPr>
            <w:r w:rsidRPr="001A125F">
              <w:rPr>
                <w:rFonts w:ascii="Arial" w:hAnsi="Arial" w:cs="Arial"/>
              </w:rPr>
              <w:t>Included observations: 12</w:t>
            </w:r>
          </w:p>
        </w:tc>
        <w:tc>
          <w:tcPr>
            <w:tcW w:w="1398" w:type="dxa"/>
            <w:tcBorders>
              <w:top w:val="nil"/>
              <w:left w:val="nil"/>
              <w:bottom w:val="nil"/>
              <w:right w:val="nil"/>
            </w:tcBorders>
            <w:vAlign w:val="bottom"/>
          </w:tcPr>
          <w:p w14:paraId="16863103" w14:textId="77777777" w:rsidR="00275DCD" w:rsidRPr="001A125F" w:rsidRDefault="00275DCD" w:rsidP="00751082">
            <w:pPr>
              <w:autoSpaceDE w:val="0"/>
              <w:autoSpaceDN w:val="0"/>
              <w:adjustRightInd w:val="0"/>
              <w:jc w:val="center"/>
              <w:rPr>
                <w:rFonts w:ascii="Arial" w:hAnsi="Arial" w:cs="Arial"/>
              </w:rPr>
            </w:pPr>
          </w:p>
        </w:tc>
        <w:tc>
          <w:tcPr>
            <w:tcW w:w="1689" w:type="dxa"/>
            <w:tcBorders>
              <w:top w:val="nil"/>
              <w:left w:val="nil"/>
              <w:bottom w:val="nil"/>
              <w:right w:val="nil"/>
            </w:tcBorders>
            <w:vAlign w:val="bottom"/>
          </w:tcPr>
          <w:p w14:paraId="35130579" w14:textId="77777777" w:rsidR="00275DCD" w:rsidRPr="001A125F" w:rsidRDefault="00275DCD" w:rsidP="00751082">
            <w:pPr>
              <w:autoSpaceDE w:val="0"/>
              <w:autoSpaceDN w:val="0"/>
              <w:adjustRightInd w:val="0"/>
              <w:jc w:val="center"/>
              <w:rPr>
                <w:rFonts w:ascii="Arial" w:hAnsi="Arial" w:cs="Arial"/>
              </w:rPr>
            </w:pPr>
          </w:p>
        </w:tc>
      </w:tr>
      <w:tr w:rsidR="001A125F" w:rsidRPr="001A125F" w14:paraId="41C1E976" w14:textId="77777777" w:rsidTr="00956072">
        <w:trPr>
          <w:trHeight w:hRule="exact" w:val="101"/>
        </w:trPr>
        <w:tc>
          <w:tcPr>
            <w:tcW w:w="1943" w:type="dxa"/>
            <w:tcBorders>
              <w:top w:val="nil"/>
              <w:left w:val="nil"/>
              <w:bottom w:val="double" w:sz="6" w:space="0" w:color="auto"/>
              <w:right w:val="nil"/>
            </w:tcBorders>
            <w:vAlign w:val="bottom"/>
          </w:tcPr>
          <w:p w14:paraId="4E9725E5" w14:textId="77777777" w:rsidR="00275DCD" w:rsidRPr="001A125F" w:rsidRDefault="00275DCD" w:rsidP="00751082">
            <w:pPr>
              <w:autoSpaceDE w:val="0"/>
              <w:autoSpaceDN w:val="0"/>
              <w:adjustRightInd w:val="0"/>
              <w:rPr>
                <w:rFonts w:ascii="Arial" w:hAnsi="Arial" w:cs="Arial"/>
              </w:rPr>
            </w:pPr>
          </w:p>
        </w:tc>
        <w:tc>
          <w:tcPr>
            <w:tcW w:w="1387" w:type="dxa"/>
            <w:tcBorders>
              <w:top w:val="nil"/>
              <w:left w:val="nil"/>
              <w:bottom w:val="double" w:sz="6" w:space="0" w:color="auto"/>
              <w:right w:val="nil"/>
            </w:tcBorders>
            <w:vAlign w:val="bottom"/>
          </w:tcPr>
          <w:p w14:paraId="17959045" w14:textId="77777777" w:rsidR="00275DCD" w:rsidRPr="001A125F" w:rsidRDefault="00275DCD" w:rsidP="00751082">
            <w:pPr>
              <w:autoSpaceDE w:val="0"/>
              <w:autoSpaceDN w:val="0"/>
              <w:adjustRightInd w:val="0"/>
              <w:rPr>
                <w:rFonts w:ascii="Arial" w:hAnsi="Arial" w:cs="Arial"/>
              </w:rPr>
            </w:pPr>
          </w:p>
        </w:tc>
        <w:tc>
          <w:tcPr>
            <w:tcW w:w="1413" w:type="dxa"/>
            <w:tcBorders>
              <w:top w:val="nil"/>
              <w:left w:val="nil"/>
              <w:bottom w:val="double" w:sz="6" w:space="0" w:color="auto"/>
              <w:right w:val="nil"/>
            </w:tcBorders>
            <w:vAlign w:val="bottom"/>
          </w:tcPr>
          <w:p w14:paraId="5FCC7058" w14:textId="77777777" w:rsidR="00275DCD" w:rsidRPr="001A125F" w:rsidRDefault="00275DCD" w:rsidP="00751082">
            <w:pPr>
              <w:autoSpaceDE w:val="0"/>
              <w:autoSpaceDN w:val="0"/>
              <w:adjustRightInd w:val="0"/>
              <w:rPr>
                <w:rFonts w:ascii="Arial" w:hAnsi="Arial" w:cs="Arial"/>
              </w:rPr>
            </w:pPr>
          </w:p>
        </w:tc>
        <w:tc>
          <w:tcPr>
            <w:tcW w:w="1428" w:type="dxa"/>
            <w:tcBorders>
              <w:top w:val="nil"/>
              <w:left w:val="nil"/>
              <w:bottom w:val="double" w:sz="6" w:space="0" w:color="auto"/>
              <w:right w:val="nil"/>
            </w:tcBorders>
            <w:vAlign w:val="bottom"/>
          </w:tcPr>
          <w:p w14:paraId="40FED289" w14:textId="77777777" w:rsidR="00275DCD" w:rsidRPr="001A125F" w:rsidRDefault="00275DCD" w:rsidP="00751082">
            <w:pPr>
              <w:autoSpaceDE w:val="0"/>
              <w:autoSpaceDN w:val="0"/>
              <w:adjustRightInd w:val="0"/>
              <w:rPr>
                <w:rFonts w:ascii="Arial" w:hAnsi="Arial" w:cs="Arial"/>
              </w:rPr>
            </w:pPr>
          </w:p>
        </w:tc>
        <w:tc>
          <w:tcPr>
            <w:tcW w:w="1398" w:type="dxa"/>
            <w:tcBorders>
              <w:top w:val="nil"/>
              <w:left w:val="nil"/>
              <w:bottom w:val="double" w:sz="6" w:space="0" w:color="auto"/>
              <w:right w:val="nil"/>
            </w:tcBorders>
            <w:vAlign w:val="bottom"/>
          </w:tcPr>
          <w:p w14:paraId="0ADFA132" w14:textId="77777777" w:rsidR="00275DCD" w:rsidRPr="001A125F" w:rsidRDefault="00275DCD" w:rsidP="00751082">
            <w:pPr>
              <w:autoSpaceDE w:val="0"/>
              <w:autoSpaceDN w:val="0"/>
              <w:adjustRightInd w:val="0"/>
              <w:rPr>
                <w:rFonts w:ascii="Arial" w:hAnsi="Arial" w:cs="Arial"/>
              </w:rPr>
            </w:pPr>
          </w:p>
        </w:tc>
        <w:tc>
          <w:tcPr>
            <w:tcW w:w="1689" w:type="dxa"/>
            <w:tcBorders>
              <w:top w:val="nil"/>
              <w:left w:val="nil"/>
              <w:bottom w:val="double" w:sz="6" w:space="0" w:color="auto"/>
              <w:right w:val="nil"/>
            </w:tcBorders>
            <w:vAlign w:val="bottom"/>
          </w:tcPr>
          <w:p w14:paraId="4037C352" w14:textId="77777777" w:rsidR="00275DCD" w:rsidRPr="001A125F" w:rsidRDefault="00275DCD" w:rsidP="00751082">
            <w:pPr>
              <w:autoSpaceDE w:val="0"/>
              <w:autoSpaceDN w:val="0"/>
              <w:adjustRightInd w:val="0"/>
              <w:rPr>
                <w:rFonts w:ascii="Arial" w:hAnsi="Arial" w:cs="Arial"/>
              </w:rPr>
            </w:pPr>
          </w:p>
        </w:tc>
      </w:tr>
      <w:tr w:rsidR="001A125F" w:rsidRPr="001A125F" w14:paraId="3EFB8DCC" w14:textId="77777777" w:rsidTr="00956072">
        <w:trPr>
          <w:trHeight w:hRule="exact" w:val="226"/>
        </w:trPr>
        <w:tc>
          <w:tcPr>
            <w:tcW w:w="1943" w:type="dxa"/>
            <w:tcBorders>
              <w:top w:val="nil"/>
              <w:left w:val="nil"/>
              <w:bottom w:val="nil"/>
              <w:right w:val="nil"/>
            </w:tcBorders>
            <w:vAlign w:val="bottom"/>
          </w:tcPr>
          <w:p w14:paraId="47263CC4" w14:textId="77777777" w:rsidR="00275DCD" w:rsidRPr="001A125F" w:rsidRDefault="00275DCD" w:rsidP="00751082">
            <w:pPr>
              <w:autoSpaceDE w:val="0"/>
              <w:autoSpaceDN w:val="0"/>
              <w:adjustRightInd w:val="0"/>
              <w:rPr>
                <w:rFonts w:ascii="Arial" w:hAnsi="Arial" w:cs="Arial"/>
              </w:rPr>
            </w:pPr>
          </w:p>
        </w:tc>
        <w:tc>
          <w:tcPr>
            <w:tcW w:w="1387" w:type="dxa"/>
            <w:tcBorders>
              <w:top w:val="nil"/>
              <w:left w:val="nil"/>
              <w:bottom w:val="nil"/>
              <w:right w:val="nil"/>
            </w:tcBorders>
            <w:vAlign w:val="bottom"/>
          </w:tcPr>
          <w:p w14:paraId="20F6106F" w14:textId="77777777" w:rsidR="00275DCD" w:rsidRPr="001A125F" w:rsidRDefault="00275DCD" w:rsidP="00751082">
            <w:pPr>
              <w:autoSpaceDE w:val="0"/>
              <w:autoSpaceDN w:val="0"/>
              <w:adjustRightInd w:val="0"/>
              <w:rPr>
                <w:rFonts w:ascii="Arial" w:hAnsi="Arial" w:cs="Arial"/>
              </w:rPr>
            </w:pPr>
          </w:p>
        </w:tc>
        <w:tc>
          <w:tcPr>
            <w:tcW w:w="1413" w:type="dxa"/>
            <w:tcBorders>
              <w:top w:val="nil"/>
              <w:left w:val="nil"/>
              <w:bottom w:val="nil"/>
              <w:right w:val="nil"/>
            </w:tcBorders>
            <w:vAlign w:val="bottom"/>
          </w:tcPr>
          <w:p w14:paraId="1AE13503" w14:textId="77777777" w:rsidR="00275DCD" w:rsidRPr="001A125F" w:rsidRDefault="00275DCD" w:rsidP="00751082">
            <w:pPr>
              <w:autoSpaceDE w:val="0"/>
              <w:autoSpaceDN w:val="0"/>
              <w:adjustRightInd w:val="0"/>
              <w:rPr>
                <w:rFonts w:ascii="Arial" w:hAnsi="Arial" w:cs="Arial"/>
              </w:rPr>
            </w:pPr>
          </w:p>
        </w:tc>
        <w:tc>
          <w:tcPr>
            <w:tcW w:w="1428" w:type="dxa"/>
            <w:tcBorders>
              <w:top w:val="nil"/>
              <w:left w:val="nil"/>
              <w:bottom w:val="nil"/>
              <w:right w:val="nil"/>
            </w:tcBorders>
            <w:vAlign w:val="bottom"/>
          </w:tcPr>
          <w:p w14:paraId="4CBB80E4" w14:textId="77777777" w:rsidR="00275DCD" w:rsidRPr="001A125F" w:rsidRDefault="00275DCD" w:rsidP="00751082">
            <w:pPr>
              <w:autoSpaceDE w:val="0"/>
              <w:autoSpaceDN w:val="0"/>
              <w:adjustRightInd w:val="0"/>
              <w:rPr>
                <w:rFonts w:ascii="Arial" w:hAnsi="Arial" w:cs="Arial"/>
              </w:rPr>
            </w:pPr>
          </w:p>
        </w:tc>
        <w:tc>
          <w:tcPr>
            <w:tcW w:w="1398" w:type="dxa"/>
            <w:tcBorders>
              <w:top w:val="nil"/>
              <w:left w:val="nil"/>
              <w:bottom w:val="nil"/>
              <w:right w:val="nil"/>
            </w:tcBorders>
            <w:vAlign w:val="bottom"/>
          </w:tcPr>
          <w:p w14:paraId="504C8BA3" w14:textId="77777777" w:rsidR="00275DCD" w:rsidRPr="001A125F" w:rsidRDefault="00275DCD" w:rsidP="00751082">
            <w:pPr>
              <w:autoSpaceDE w:val="0"/>
              <w:autoSpaceDN w:val="0"/>
              <w:adjustRightInd w:val="0"/>
              <w:rPr>
                <w:rFonts w:ascii="Arial" w:hAnsi="Arial" w:cs="Arial"/>
              </w:rPr>
            </w:pPr>
          </w:p>
        </w:tc>
        <w:tc>
          <w:tcPr>
            <w:tcW w:w="1689" w:type="dxa"/>
            <w:tcBorders>
              <w:top w:val="nil"/>
              <w:left w:val="nil"/>
              <w:bottom w:val="nil"/>
              <w:right w:val="nil"/>
            </w:tcBorders>
            <w:vAlign w:val="bottom"/>
          </w:tcPr>
          <w:p w14:paraId="2395B9C5" w14:textId="77777777" w:rsidR="00275DCD" w:rsidRPr="001A125F" w:rsidRDefault="00275DCD" w:rsidP="00751082">
            <w:pPr>
              <w:autoSpaceDE w:val="0"/>
              <w:autoSpaceDN w:val="0"/>
              <w:adjustRightInd w:val="0"/>
              <w:rPr>
                <w:rFonts w:ascii="Arial" w:hAnsi="Arial" w:cs="Arial"/>
              </w:rPr>
            </w:pPr>
          </w:p>
        </w:tc>
      </w:tr>
      <w:tr w:rsidR="001A125F" w:rsidRPr="001A125F" w14:paraId="2E235B8C" w14:textId="77777777" w:rsidTr="00956072">
        <w:trPr>
          <w:trHeight w:val="255"/>
        </w:trPr>
        <w:tc>
          <w:tcPr>
            <w:tcW w:w="3331" w:type="dxa"/>
            <w:gridSpan w:val="2"/>
            <w:tcBorders>
              <w:top w:val="nil"/>
              <w:left w:val="nil"/>
              <w:bottom w:val="nil"/>
              <w:right w:val="nil"/>
            </w:tcBorders>
            <w:vAlign w:val="bottom"/>
          </w:tcPr>
          <w:p w14:paraId="537BA89E" w14:textId="77777777" w:rsidR="00275DCD" w:rsidRPr="001A125F" w:rsidRDefault="00275DCD" w:rsidP="00751082">
            <w:pPr>
              <w:autoSpaceDE w:val="0"/>
              <w:autoSpaceDN w:val="0"/>
              <w:adjustRightInd w:val="0"/>
              <w:rPr>
                <w:rFonts w:ascii="Arial" w:hAnsi="Arial" w:cs="Arial"/>
              </w:rPr>
            </w:pPr>
            <w:r w:rsidRPr="001A125F">
              <w:rPr>
                <w:rFonts w:ascii="Arial" w:hAnsi="Arial" w:cs="Arial"/>
              </w:rPr>
              <w:t>Correlation</w:t>
            </w:r>
          </w:p>
        </w:tc>
        <w:tc>
          <w:tcPr>
            <w:tcW w:w="1413" w:type="dxa"/>
            <w:tcBorders>
              <w:top w:val="nil"/>
              <w:left w:val="nil"/>
              <w:bottom w:val="nil"/>
              <w:right w:val="nil"/>
            </w:tcBorders>
            <w:vAlign w:val="bottom"/>
          </w:tcPr>
          <w:p w14:paraId="4A00A99D" w14:textId="77777777" w:rsidR="00275DCD" w:rsidRPr="001A125F" w:rsidRDefault="00275DCD" w:rsidP="00751082">
            <w:pPr>
              <w:autoSpaceDE w:val="0"/>
              <w:autoSpaceDN w:val="0"/>
              <w:adjustRightInd w:val="0"/>
              <w:jc w:val="center"/>
              <w:rPr>
                <w:rFonts w:ascii="Arial" w:hAnsi="Arial" w:cs="Arial"/>
              </w:rPr>
            </w:pPr>
          </w:p>
        </w:tc>
        <w:tc>
          <w:tcPr>
            <w:tcW w:w="1428" w:type="dxa"/>
            <w:tcBorders>
              <w:top w:val="nil"/>
              <w:left w:val="nil"/>
              <w:bottom w:val="nil"/>
              <w:right w:val="nil"/>
            </w:tcBorders>
            <w:vAlign w:val="bottom"/>
          </w:tcPr>
          <w:p w14:paraId="1677BB50" w14:textId="77777777" w:rsidR="00275DCD" w:rsidRPr="001A125F" w:rsidRDefault="00275DCD" w:rsidP="00751082">
            <w:pPr>
              <w:autoSpaceDE w:val="0"/>
              <w:autoSpaceDN w:val="0"/>
              <w:adjustRightInd w:val="0"/>
              <w:jc w:val="center"/>
              <w:rPr>
                <w:rFonts w:ascii="Arial" w:hAnsi="Arial" w:cs="Arial"/>
              </w:rPr>
            </w:pPr>
          </w:p>
        </w:tc>
        <w:tc>
          <w:tcPr>
            <w:tcW w:w="1398" w:type="dxa"/>
            <w:tcBorders>
              <w:top w:val="nil"/>
              <w:left w:val="nil"/>
              <w:bottom w:val="nil"/>
              <w:right w:val="nil"/>
            </w:tcBorders>
            <w:vAlign w:val="bottom"/>
          </w:tcPr>
          <w:p w14:paraId="0A59A649" w14:textId="77777777" w:rsidR="00275DCD" w:rsidRPr="001A125F" w:rsidRDefault="00275DCD" w:rsidP="00751082">
            <w:pPr>
              <w:autoSpaceDE w:val="0"/>
              <w:autoSpaceDN w:val="0"/>
              <w:adjustRightInd w:val="0"/>
              <w:jc w:val="center"/>
              <w:rPr>
                <w:rFonts w:ascii="Arial" w:hAnsi="Arial" w:cs="Arial"/>
              </w:rPr>
            </w:pPr>
          </w:p>
        </w:tc>
        <w:tc>
          <w:tcPr>
            <w:tcW w:w="1689" w:type="dxa"/>
            <w:tcBorders>
              <w:top w:val="nil"/>
              <w:left w:val="nil"/>
              <w:bottom w:val="nil"/>
              <w:right w:val="nil"/>
            </w:tcBorders>
            <w:vAlign w:val="bottom"/>
          </w:tcPr>
          <w:p w14:paraId="2C4CF72B" w14:textId="77777777" w:rsidR="00275DCD" w:rsidRPr="001A125F" w:rsidRDefault="00275DCD" w:rsidP="00751082">
            <w:pPr>
              <w:autoSpaceDE w:val="0"/>
              <w:autoSpaceDN w:val="0"/>
              <w:adjustRightInd w:val="0"/>
              <w:jc w:val="center"/>
              <w:rPr>
                <w:rFonts w:ascii="Arial" w:hAnsi="Arial" w:cs="Arial"/>
              </w:rPr>
            </w:pPr>
          </w:p>
        </w:tc>
      </w:tr>
      <w:tr w:rsidR="001A125F" w:rsidRPr="001A125F" w14:paraId="3AABCD49" w14:textId="77777777" w:rsidTr="00956072">
        <w:trPr>
          <w:trHeight w:val="255"/>
        </w:trPr>
        <w:tc>
          <w:tcPr>
            <w:tcW w:w="1943" w:type="dxa"/>
            <w:tcBorders>
              <w:top w:val="nil"/>
              <w:left w:val="nil"/>
              <w:bottom w:val="single" w:sz="6" w:space="0" w:color="auto"/>
              <w:right w:val="single" w:sz="6" w:space="0" w:color="auto"/>
            </w:tcBorders>
            <w:vAlign w:val="bottom"/>
          </w:tcPr>
          <w:p w14:paraId="1D7BCB93" w14:textId="77777777" w:rsidR="00275DCD" w:rsidRPr="001A125F" w:rsidRDefault="00275DCD" w:rsidP="00751082">
            <w:pPr>
              <w:autoSpaceDE w:val="0"/>
              <w:autoSpaceDN w:val="0"/>
              <w:adjustRightInd w:val="0"/>
              <w:rPr>
                <w:rFonts w:ascii="Arial" w:hAnsi="Arial" w:cs="Arial"/>
              </w:rPr>
            </w:pPr>
            <w:r w:rsidRPr="001A125F">
              <w:rPr>
                <w:rFonts w:ascii="Arial" w:hAnsi="Arial" w:cs="Arial"/>
              </w:rPr>
              <w:t>Probability</w:t>
            </w:r>
          </w:p>
        </w:tc>
        <w:tc>
          <w:tcPr>
            <w:tcW w:w="1387" w:type="dxa"/>
            <w:tcBorders>
              <w:top w:val="nil"/>
              <w:left w:val="single" w:sz="6" w:space="0" w:color="auto"/>
              <w:bottom w:val="single" w:sz="6" w:space="0" w:color="auto"/>
              <w:right w:val="nil"/>
            </w:tcBorders>
            <w:vAlign w:val="bottom"/>
          </w:tcPr>
          <w:p w14:paraId="313D8558"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PDB ADHK</w:t>
            </w:r>
          </w:p>
          <w:p w14:paraId="20314AA0"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 </w:t>
            </w:r>
          </w:p>
        </w:tc>
        <w:tc>
          <w:tcPr>
            <w:tcW w:w="1413" w:type="dxa"/>
            <w:tcBorders>
              <w:top w:val="nil"/>
              <w:left w:val="nil"/>
              <w:bottom w:val="single" w:sz="6" w:space="0" w:color="auto"/>
              <w:right w:val="nil"/>
            </w:tcBorders>
            <w:vAlign w:val="bottom"/>
          </w:tcPr>
          <w:p w14:paraId="1E08A4CF"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Y1</w:t>
            </w:r>
          </w:p>
          <w:p w14:paraId="4CA75404" w14:textId="77777777" w:rsidR="00275DCD" w:rsidRPr="001A125F" w:rsidRDefault="00275DCD" w:rsidP="00751082">
            <w:pPr>
              <w:autoSpaceDE w:val="0"/>
              <w:autoSpaceDN w:val="0"/>
              <w:adjustRightInd w:val="0"/>
              <w:ind w:right="20"/>
              <w:jc w:val="right"/>
              <w:rPr>
                <w:rFonts w:ascii="Arial" w:hAnsi="Arial" w:cs="Arial"/>
              </w:rPr>
            </w:pPr>
          </w:p>
        </w:tc>
        <w:tc>
          <w:tcPr>
            <w:tcW w:w="1428" w:type="dxa"/>
            <w:tcBorders>
              <w:top w:val="nil"/>
              <w:left w:val="nil"/>
              <w:bottom w:val="single" w:sz="6" w:space="0" w:color="auto"/>
              <w:right w:val="nil"/>
            </w:tcBorders>
            <w:vAlign w:val="bottom"/>
          </w:tcPr>
          <w:p w14:paraId="4A4F0DD8"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Y2</w:t>
            </w:r>
          </w:p>
          <w:p w14:paraId="55D302FD" w14:textId="77777777" w:rsidR="00275DCD" w:rsidRPr="001A125F" w:rsidRDefault="00275DCD" w:rsidP="00751082">
            <w:pPr>
              <w:autoSpaceDE w:val="0"/>
              <w:autoSpaceDN w:val="0"/>
              <w:adjustRightInd w:val="0"/>
              <w:ind w:right="20"/>
              <w:jc w:val="right"/>
              <w:rPr>
                <w:rFonts w:ascii="Arial" w:hAnsi="Arial" w:cs="Arial"/>
              </w:rPr>
            </w:pPr>
          </w:p>
        </w:tc>
        <w:tc>
          <w:tcPr>
            <w:tcW w:w="1398" w:type="dxa"/>
            <w:tcBorders>
              <w:top w:val="nil"/>
              <w:left w:val="nil"/>
              <w:bottom w:val="single" w:sz="6" w:space="0" w:color="auto"/>
              <w:right w:val="nil"/>
            </w:tcBorders>
            <w:vAlign w:val="bottom"/>
          </w:tcPr>
          <w:p w14:paraId="1B2696DA"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X1</w:t>
            </w:r>
          </w:p>
          <w:p w14:paraId="3275F519" w14:textId="77777777" w:rsidR="00275DCD" w:rsidRPr="001A125F" w:rsidRDefault="00275DCD" w:rsidP="00751082">
            <w:pPr>
              <w:autoSpaceDE w:val="0"/>
              <w:autoSpaceDN w:val="0"/>
              <w:adjustRightInd w:val="0"/>
              <w:ind w:right="20"/>
              <w:jc w:val="right"/>
              <w:rPr>
                <w:rFonts w:ascii="Arial" w:hAnsi="Arial" w:cs="Arial"/>
              </w:rPr>
            </w:pPr>
          </w:p>
        </w:tc>
        <w:tc>
          <w:tcPr>
            <w:tcW w:w="1689" w:type="dxa"/>
            <w:tcBorders>
              <w:top w:val="nil"/>
              <w:left w:val="nil"/>
              <w:bottom w:val="single" w:sz="6" w:space="0" w:color="auto"/>
              <w:right w:val="nil"/>
            </w:tcBorders>
            <w:vAlign w:val="bottom"/>
          </w:tcPr>
          <w:p w14:paraId="724899FE"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X2</w:t>
            </w:r>
          </w:p>
          <w:p w14:paraId="6648A446" w14:textId="77777777" w:rsidR="00275DCD" w:rsidRPr="001A125F" w:rsidRDefault="00275DCD" w:rsidP="00751082">
            <w:pPr>
              <w:autoSpaceDE w:val="0"/>
              <w:autoSpaceDN w:val="0"/>
              <w:adjustRightInd w:val="0"/>
              <w:ind w:right="20"/>
              <w:jc w:val="right"/>
              <w:rPr>
                <w:rFonts w:ascii="Arial" w:hAnsi="Arial" w:cs="Arial"/>
              </w:rPr>
            </w:pPr>
          </w:p>
        </w:tc>
      </w:tr>
      <w:tr w:rsidR="001A125F" w:rsidRPr="001A125F" w14:paraId="5ADE9E24" w14:textId="77777777" w:rsidTr="00956072">
        <w:trPr>
          <w:trHeight w:val="255"/>
        </w:trPr>
        <w:tc>
          <w:tcPr>
            <w:tcW w:w="1943" w:type="dxa"/>
            <w:tcBorders>
              <w:top w:val="single" w:sz="6" w:space="0" w:color="auto"/>
              <w:left w:val="nil"/>
              <w:bottom w:val="nil"/>
              <w:right w:val="single" w:sz="6" w:space="0" w:color="auto"/>
            </w:tcBorders>
            <w:vAlign w:val="bottom"/>
          </w:tcPr>
          <w:p w14:paraId="6BEF2DA1" w14:textId="77777777" w:rsidR="00275DCD" w:rsidRPr="001A125F" w:rsidRDefault="00275DCD" w:rsidP="00751082">
            <w:pPr>
              <w:autoSpaceDE w:val="0"/>
              <w:autoSpaceDN w:val="0"/>
              <w:adjustRightInd w:val="0"/>
              <w:ind w:right="332"/>
              <w:jc w:val="right"/>
              <w:rPr>
                <w:rFonts w:ascii="Arial" w:hAnsi="Arial" w:cs="Arial"/>
              </w:rPr>
            </w:pPr>
            <w:r w:rsidRPr="001A125F">
              <w:rPr>
                <w:rFonts w:ascii="Arial" w:hAnsi="Arial" w:cs="Arial"/>
              </w:rPr>
              <w:t>PDB ADHK</w:t>
            </w:r>
          </w:p>
        </w:tc>
        <w:tc>
          <w:tcPr>
            <w:tcW w:w="1387" w:type="dxa"/>
            <w:tcBorders>
              <w:top w:val="single" w:sz="6" w:space="0" w:color="auto"/>
              <w:left w:val="single" w:sz="6" w:space="0" w:color="auto"/>
              <w:bottom w:val="nil"/>
              <w:right w:val="nil"/>
            </w:tcBorders>
            <w:vAlign w:val="bottom"/>
          </w:tcPr>
          <w:p w14:paraId="51B65799"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1.000000</w:t>
            </w:r>
          </w:p>
        </w:tc>
        <w:tc>
          <w:tcPr>
            <w:tcW w:w="1413" w:type="dxa"/>
            <w:tcBorders>
              <w:top w:val="single" w:sz="6" w:space="0" w:color="auto"/>
              <w:left w:val="nil"/>
              <w:bottom w:val="nil"/>
              <w:right w:val="nil"/>
            </w:tcBorders>
            <w:vAlign w:val="bottom"/>
          </w:tcPr>
          <w:p w14:paraId="5B4B67D1" w14:textId="77777777" w:rsidR="00275DCD" w:rsidRPr="001A125F" w:rsidRDefault="00275DCD" w:rsidP="00751082">
            <w:pPr>
              <w:autoSpaceDE w:val="0"/>
              <w:autoSpaceDN w:val="0"/>
              <w:adjustRightInd w:val="0"/>
              <w:ind w:right="20"/>
              <w:jc w:val="center"/>
              <w:rPr>
                <w:rFonts w:ascii="Arial" w:hAnsi="Arial" w:cs="Arial"/>
              </w:rPr>
            </w:pPr>
          </w:p>
        </w:tc>
        <w:tc>
          <w:tcPr>
            <w:tcW w:w="1428" w:type="dxa"/>
            <w:tcBorders>
              <w:top w:val="single" w:sz="6" w:space="0" w:color="auto"/>
              <w:left w:val="nil"/>
              <w:bottom w:val="nil"/>
              <w:right w:val="nil"/>
            </w:tcBorders>
            <w:vAlign w:val="bottom"/>
          </w:tcPr>
          <w:p w14:paraId="76DA9197" w14:textId="77777777" w:rsidR="00275DCD" w:rsidRPr="001A125F" w:rsidRDefault="00275DCD" w:rsidP="00751082">
            <w:pPr>
              <w:autoSpaceDE w:val="0"/>
              <w:autoSpaceDN w:val="0"/>
              <w:adjustRightInd w:val="0"/>
              <w:ind w:right="20"/>
              <w:jc w:val="center"/>
              <w:rPr>
                <w:rFonts w:ascii="Arial" w:hAnsi="Arial" w:cs="Arial"/>
              </w:rPr>
            </w:pPr>
          </w:p>
        </w:tc>
        <w:tc>
          <w:tcPr>
            <w:tcW w:w="1398" w:type="dxa"/>
            <w:tcBorders>
              <w:top w:val="single" w:sz="6" w:space="0" w:color="auto"/>
              <w:left w:val="nil"/>
              <w:bottom w:val="nil"/>
              <w:right w:val="nil"/>
            </w:tcBorders>
            <w:vAlign w:val="bottom"/>
          </w:tcPr>
          <w:p w14:paraId="3A1057CD" w14:textId="77777777" w:rsidR="00275DCD" w:rsidRPr="001A125F" w:rsidRDefault="00275DCD" w:rsidP="00751082">
            <w:pPr>
              <w:autoSpaceDE w:val="0"/>
              <w:autoSpaceDN w:val="0"/>
              <w:adjustRightInd w:val="0"/>
              <w:ind w:right="20"/>
              <w:jc w:val="center"/>
              <w:rPr>
                <w:rFonts w:ascii="Arial" w:hAnsi="Arial" w:cs="Arial"/>
              </w:rPr>
            </w:pPr>
          </w:p>
        </w:tc>
        <w:tc>
          <w:tcPr>
            <w:tcW w:w="1689" w:type="dxa"/>
            <w:tcBorders>
              <w:top w:val="single" w:sz="6" w:space="0" w:color="auto"/>
              <w:left w:val="nil"/>
              <w:bottom w:val="nil"/>
              <w:right w:val="nil"/>
            </w:tcBorders>
            <w:vAlign w:val="bottom"/>
          </w:tcPr>
          <w:p w14:paraId="20051663" w14:textId="77777777" w:rsidR="00275DCD" w:rsidRPr="001A125F" w:rsidRDefault="00275DCD" w:rsidP="00751082">
            <w:pPr>
              <w:autoSpaceDE w:val="0"/>
              <w:autoSpaceDN w:val="0"/>
              <w:adjustRightInd w:val="0"/>
              <w:ind w:right="20"/>
              <w:jc w:val="center"/>
              <w:rPr>
                <w:rFonts w:ascii="Arial" w:hAnsi="Arial" w:cs="Arial"/>
              </w:rPr>
            </w:pPr>
          </w:p>
        </w:tc>
      </w:tr>
      <w:tr w:rsidR="001A125F" w:rsidRPr="001A125F" w14:paraId="6FF519B1" w14:textId="77777777" w:rsidTr="00956072">
        <w:trPr>
          <w:trHeight w:val="255"/>
        </w:trPr>
        <w:tc>
          <w:tcPr>
            <w:tcW w:w="1943" w:type="dxa"/>
            <w:tcBorders>
              <w:top w:val="nil"/>
              <w:left w:val="nil"/>
              <w:bottom w:val="nil"/>
              <w:right w:val="single" w:sz="6" w:space="0" w:color="auto"/>
            </w:tcBorders>
            <w:vAlign w:val="bottom"/>
          </w:tcPr>
          <w:p w14:paraId="2965C031" w14:textId="77777777" w:rsidR="00275DCD" w:rsidRPr="001A125F" w:rsidRDefault="00275DCD" w:rsidP="00751082">
            <w:pPr>
              <w:autoSpaceDE w:val="0"/>
              <w:autoSpaceDN w:val="0"/>
              <w:adjustRightInd w:val="0"/>
              <w:ind w:right="332"/>
              <w:jc w:val="right"/>
              <w:rPr>
                <w:rFonts w:ascii="Arial" w:hAnsi="Arial" w:cs="Arial"/>
              </w:rPr>
            </w:pPr>
          </w:p>
        </w:tc>
        <w:tc>
          <w:tcPr>
            <w:tcW w:w="1387" w:type="dxa"/>
            <w:tcBorders>
              <w:top w:val="nil"/>
              <w:left w:val="single" w:sz="6" w:space="0" w:color="auto"/>
              <w:bottom w:val="nil"/>
              <w:right w:val="nil"/>
            </w:tcBorders>
            <w:vAlign w:val="bottom"/>
          </w:tcPr>
          <w:p w14:paraId="3F8AEDF8"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w:t>
            </w:r>
          </w:p>
        </w:tc>
        <w:tc>
          <w:tcPr>
            <w:tcW w:w="1413" w:type="dxa"/>
            <w:tcBorders>
              <w:top w:val="nil"/>
              <w:left w:val="nil"/>
              <w:bottom w:val="nil"/>
              <w:right w:val="nil"/>
            </w:tcBorders>
            <w:vAlign w:val="bottom"/>
          </w:tcPr>
          <w:p w14:paraId="4FD81896" w14:textId="77777777" w:rsidR="00275DCD" w:rsidRPr="001A125F" w:rsidRDefault="00275DCD" w:rsidP="00751082">
            <w:pPr>
              <w:autoSpaceDE w:val="0"/>
              <w:autoSpaceDN w:val="0"/>
              <w:adjustRightInd w:val="0"/>
              <w:ind w:right="20"/>
              <w:jc w:val="center"/>
              <w:rPr>
                <w:rFonts w:ascii="Arial" w:hAnsi="Arial" w:cs="Arial"/>
              </w:rPr>
            </w:pPr>
          </w:p>
        </w:tc>
        <w:tc>
          <w:tcPr>
            <w:tcW w:w="1428" w:type="dxa"/>
            <w:tcBorders>
              <w:top w:val="nil"/>
              <w:left w:val="nil"/>
              <w:bottom w:val="nil"/>
              <w:right w:val="nil"/>
            </w:tcBorders>
            <w:vAlign w:val="bottom"/>
          </w:tcPr>
          <w:p w14:paraId="30341600" w14:textId="77777777" w:rsidR="00275DCD" w:rsidRPr="001A125F" w:rsidRDefault="00275DCD" w:rsidP="00751082">
            <w:pPr>
              <w:autoSpaceDE w:val="0"/>
              <w:autoSpaceDN w:val="0"/>
              <w:adjustRightInd w:val="0"/>
              <w:ind w:right="20"/>
              <w:jc w:val="center"/>
              <w:rPr>
                <w:rFonts w:ascii="Arial" w:hAnsi="Arial" w:cs="Arial"/>
              </w:rPr>
            </w:pPr>
          </w:p>
        </w:tc>
        <w:tc>
          <w:tcPr>
            <w:tcW w:w="1398" w:type="dxa"/>
            <w:tcBorders>
              <w:top w:val="nil"/>
              <w:left w:val="nil"/>
              <w:bottom w:val="nil"/>
              <w:right w:val="nil"/>
            </w:tcBorders>
            <w:vAlign w:val="bottom"/>
          </w:tcPr>
          <w:p w14:paraId="593CB9DE" w14:textId="77777777" w:rsidR="00275DCD" w:rsidRPr="001A125F" w:rsidRDefault="00275DCD" w:rsidP="00751082">
            <w:pPr>
              <w:autoSpaceDE w:val="0"/>
              <w:autoSpaceDN w:val="0"/>
              <w:adjustRightInd w:val="0"/>
              <w:ind w:right="20"/>
              <w:jc w:val="center"/>
              <w:rPr>
                <w:rFonts w:ascii="Arial" w:hAnsi="Arial" w:cs="Arial"/>
              </w:rPr>
            </w:pPr>
          </w:p>
        </w:tc>
        <w:tc>
          <w:tcPr>
            <w:tcW w:w="1689" w:type="dxa"/>
            <w:tcBorders>
              <w:top w:val="nil"/>
              <w:left w:val="nil"/>
              <w:bottom w:val="nil"/>
              <w:right w:val="nil"/>
            </w:tcBorders>
            <w:vAlign w:val="bottom"/>
          </w:tcPr>
          <w:p w14:paraId="09B35883" w14:textId="77777777" w:rsidR="00275DCD" w:rsidRPr="001A125F" w:rsidRDefault="00275DCD" w:rsidP="00751082">
            <w:pPr>
              <w:autoSpaceDE w:val="0"/>
              <w:autoSpaceDN w:val="0"/>
              <w:adjustRightInd w:val="0"/>
              <w:ind w:right="20"/>
              <w:jc w:val="center"/>
              <w:rPr>
                <w:rFonts w:ascii="Arial" w:hAnsi="Arial" w:cs="Arial"/>
              </w:rPr>
            </w:pPr>
          </w:p>
        </w:tc>
      </w:tr>
      <w:tr w:rsidR="001A125F" w:rsidRPr="001A125F" w14:paraId="2BBFF5C4" w14:textId="77777777" w:rsidTr="00956072">
        <w:trPr>
          <w:trHeight w:val="255"/>
        </w:trPr>
        <w:tc>
          <w:tcPr>
            <w:tcW w:w="1943" w:type="dxa"/>
            <w:tcBorders>
              <w:top w:val="nil"/>
              <w:left w:val="nil"/>
              <w:bottom w:val="nil"/>
              <w:right w:val="single" w:sz="6" w:space="0" w:color="auto"/>
            </w:tcBorders>
            <w:vAlign w:val="bottom"/>
          </w:tcPr>
          <w:p w14:paraId="28E782A1" w14:textId="211EDD0C" w:rsidR="00275DCD" w:rsidRPr="001A125F" w:rsidRDefault="00275DCD" w:rsidP="00275DCD">
            <w:pPr>
              <w:autoSpaceDE w:val="0"/>
              <w:autoSpaceDN w:val="0"/>
              <w:adjustRightInd w:val="0"/>
              <w:ind w:right="332"/>
              <w:rPr>
                <w:rFonts w:ascii="Arial" w:hAnsi="Arial" w:cs="Arial"/>
              </w:rPr>
            </w:pPr>
            <w:r w:rsidRPr="001A125F">
              <w:rPr>
                <w:rFonts w:ascii="Arial" w:hAnsi="Arial" w:cs="Arial"/>
              </w:rPr>
              <w:t xml:space="preserve">Y1 (PDRB </w:t>
            </w:r>
            <w:proofErr w:type="spellStart"/>
            <w:r w:rsidRPr="001A125F">
              <w:rPr>
                <w:rFonts w:ascii="Arial" w:hAnsi="Arial" w:cs="Arial"/>
              </w:rPr>
              <w:t>Pkpt</w:t>
            </w:r>
            <w:proofErr w:type="spellEnd"/>
            <w:r w:rsidRPr="001A125F">
              <w:rPr>
                <w:rFonts w:ascii="Arial" w:hAnsi="Arial" w:cs="Arial"/>
              </w:rPr>
              <w:t>)</w:t>
            </w:r>
          </w:p>
        </w:tc>
        <w:tc>
          <w:tcPr>
            <w:tcW w:w="1387" w:type="dxa"/>
            <w:tcBorders>
              <w:top w:val="nil"/>
              <w:left w:val="single" w:sz="6" w:space="0" w:color="auto"/>
              <w:bottom w:val="nil"/>
              <w:right w:val="nil"/>
            </w:tcBorders>
            <w:vAlign w:val="bottom"/>
          </w:tcPr>
          <w:p w14:paraId="548B208C"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0.996476</w:t>
            </w:r>
          </w:p>
        </w:tc>
        <w:tc>
          <w:tcPr>
            <w:tcW w:w="1413" w:type="dxa"/>
            <w:tcBorders>
              <w:top w:val="nil"/>
              <w:left w:val="nil"/>
              <w:bottom w:val="nil"/>
              <w:right w:val="nil"/>
            </w:tcBorders>
            <w:vAlign w:val="bottom"/>
          </w:tcPr>
          <w:p w14:paraId="786C6E54"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1.000000</w:t>
            </w:r>
          </w:p>
        </w:tc>
        <w:tc>
          <w:tcPr>
            <w:tcW w:w="1428" w:type="dxa"/>
            <w:tcBorders>
              <w:top w:val="nil"/>
              <w:left w:val="nil"/>
              <w:bottom w:val="nil"/>
              <w:right w:val="nil"/>
            </w:tcBorders>
            <w:vAlign w:val="bottom"/>
          </w:tcPr>
          <w:p w14:paraId="72D173B0" w14:textId="77777777" w:rsidR="00275DCD" w:rsidRPr="001A125F" w:rsidRDefault="00275DCD" w:rsidP="00751082">
            <w:pPr>
              <w:autoSpaceDE w:val="0"/>
              <w:autoSpaceDN w:val="0"/>
              <w:adjustRightInd w:val="0"/>
              <w:ind w:right="20"/>
              <w:jc w:val="center"/>
              <w:rPr>
                <w:rFonts w:ascii="Arial" w:hAnsi="Arial" w:cs="Arial"/>
              </w:rPr>
            </w:pPr>
          </w:p>
        </w:tc>
        <w:tc>
          <w:tcPr>
            <w:tcW w:w="1398" w:type="dxa"/>
            <w:tcBorders>
              <w:top w:val="nil"/>
              <w:left w:val="nil"/>
              <w:bottom w:val="nil"/>
              <w:right w:val="nil"/>
            </w:tcBorders>
            <w:vAlign w:val="bottom"/>
          </w:tcPr>
          <w:p w14:paraId="68502BC9" w14:textId="77777777" w:rsidR="00275DCD" w:rsidRPr="001A125F" w:rsidRDefault="00275DCD" w:rsidP="00751082">
            <w:pPr>
              <w:autoSpaceDE w:val="0"/>
              <w:autoSpaceDN w:val="0"/>
              <w:adjustRightInd w:val="0"/>
              <w:ind w:right="20"/>
              <w:jc w:val="center"/>
              <w:rPr>
                <w:rFonts w:ascii="Arial" w:hAnsi="Arial" w:cs="Arial"/>
              </w:rPr>
            </w:pPr>
          </w:p>
        </w:tc>
        <w:tc>
          <w:tcPr>
            <w:tcW w:w="1689" w:type="dxa"/>
            <w:tcBorders>
              <w:top w:val="nil"/>
              <w:left w:val="nil"/>
              <w:bottom w:val="nil"/>
              <w:right w:val="nil"/>
            </w:tcBorders>
            <w:vAlign w:val="bottom"/>
          </w:tcPr>
          <w:p w14:paraId="66AC99CE" w14:textId="77777777" w:rsidR="00275DCD" w:rsidRPr="001A125F" w:rsidRDefault="00275DCD" w:rsidP="00751082">
            <w:pPr>
              <w:autoSpaceDE w:val="0"/>
              <w:autoSpaceDN w:val="0"/>
              <w:adjustRightInd w:val="0"/>
              <w:ind w:right="20"/>
              <w:jc w:val="center"/>
              <w:rPr>
                <w:rFonts w:ascii="Arial" w:hAnsi="Arial" w:cs="Arial"/>
              </w:rPr>
            </w:pPr>
          </w:p>
        </w:tc>
      </w:tr>
      <w:tr w:rsidR="001A125F" w:rsidRPr="001A125F" w14:paraId="7FD0B522" w14:textId="77777777" w:rsidTr="00956072">
        <w:trPr>
          <w:trHeight w:val="255"/>
        </w:trPr>
        <w:tc>
          <w:tcPr>
            <w:tcW w:w="1943" w:type="dxa"/>
            <w:tcBorders>
              <w:top w:val="nil"/>
              <w:left w:val="nil"/>
              <w:bottom w:val="nil"/>
              <w:right w:val="single" w:sz="6" w:space="0" w:color="auto"/>
            </w:tcBorders>
            <w:vAlign w:val="bottom"/>
          </w:tcPr>
          <w:p w14:paraId="7E44382A" w14:textId="77777777" w:rsidR="00275DCD" w:rsidRPr="001A125F" w:rsidRDefault="00275DCD" w:rsidP="00751082">
            <w:pPr>
              <w:autoSpaceDE w:val="0"/>
              <w:autoSpaceDN w:val="0"/>
              <w:adjustRightInd w:val="0"/>
              <w:ind w:right="332"/>
              <w:jc w:val="right"/>
              <w:rPr>
                <w:rFonts w:ascii="Arial" w:hAnsi="Arial" w:cs="Arial"/>
              </w:rPr>
            </w:pPr>
          </w:p>
        </w:tc>
        <w:tc>
          <w:tcPr>
            <w:tcW w:w="1387" w:type="dxa"/>
            <w:tcBorders>
              <w:top w:val="nil"/>
              <w:left w:val="single" w:sz="6" w:space="0" w:color="auto"/>
              <w:bottom w:val="nil"/>
              <w:right w:val="nil"/>
            </w:tcBorders>
            <w:vAlign w:val="bottom"/>
          </w:tcPr>
          <w:p w14:paraId="1A2BACE7"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0.0000</w:t>
            </w:r>
          </w:p>
        </w:tc>
        <w:tc>
          <w:tcPr>
            <w:tcW w:w="1413" w:type="dxa"/>
            <w:tcBorders>
              <w:top w:val="nil"/>
              <w:left w:val="nil"/>
              <w:bottom w:val="nil"/>
              <w:right w:val="nil"/>
            </w:tcBorders>
            <w:vAlign w:val="bottom"/>
          </w:tcPr>
          <w:p w14:paraId="1894E752"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w:t>
            </w:r>
          </w:p>
        </w:tc>
        <w:tc>
          <w:tcPr>
            <w:tcW w:w="1428" w:type="dxa"/>
            <w:tcBorders>
              <w:top w:val="nil"/>
              <w:left w:val="nil"/>
              <w:bottom w:val="nil"/>
              <w:right w:val="nil"/>
            </w:tcBorders>
            <w:vAlign w:val="bottom"/>
          </w:tcPr>
          <w:p w14:paraId="237B009E" w14:textId="77777777" w:rsidR="00275DCD" w:rsidRPr="001A125F" w:rsidRDefault="00275DCD" w:rsidP="00751082">
            <w:pPr>
              <w:autoSpaceDE w:val="0"/>
              <w:autoSpaceDN w:val="0"/>
              <w:adjustRightInd w:val="0"/>
              <w:ind w:right="20"/>
              <w:jc w:val="center"/>
              <w:rPr>
                <w:rFonts w:ascii="Arial" w:hAnsi="Arial" w:cs="Arial"/>
              </w:rPr>
            </w:pPr>
          </w:p>
        </w:tc>
        <w:tc>
          <w:tcPr>
            <w:tcW w:w="1398" w:type="dxa"/>
            <w:tcBorders>
              <w:top w:val="nil"/>
              <w:left w:val="nil"/>
              <w:bottom w:val="nil"/>
              <w:right w:val="nil"/>
            </w:tcBorders>
            <w:vAlign w:val="bottom"/>
          </w:tcPr>
          <w:p w14:paraId="40D38058" w14:textId="77777777" w:rsidR="00275DCD" w:rsidRPr="001A125F" w:rsidRDefault="00275DCD" w:rsidP="00751082">
            <w:pPr>
              <w:autoSpaceDE w:val="0"/>
              <w:autoSpaceDN w:val="0"/>
              <w:adjustRightInd w:val="0"/>
              <w:ind w:right="20"/>
              <w:jc w:val="center"/>
              <w:rPr>
                <w:rFonts w:ascii="Arial" w:hAnsi="Arial" w:cs="Arial"/>
              </w:rPr>
            </w:pPr>
          </w:p>
        </w:tc>
        <w:tc>
          <w:tcPr>
            <w:tcW w:w="1689" w:type="dxa"/>
            <w:tcBorders>
              <w:top w:val="nil"/>
              <w:left w:val="nil"/>
              <w:bottom w:val="nil"/>
              <w:right w:val="nil"/>
            </w:tcBorders>
            <w:vAlign w:val="bottom"/>
          </w:tcPr>
          <w:p w14:paraId="0CEF8CBC" w14:textId="77777777" w:rsidR="00275DCD" w:rsidRPr="001A125F" w:rsidRDefault="00275DCD" w:rsidP="00751082">
            <w:pPr>
              <w:autoSpaceDE w:val="0"/>
              <w:autoSpaceDN w:val="0"/>
              <w:adjustRightInd w:val="0"/>
              <w:ind w:right="20"/>
              <w:jc w:val="center"/>
              <w:rPr>
                <w:rFonts w:ascii="Arial" w:hAnsi="Arial" w:cs="Arial"/>
              </w:rPr>
            </w:pPr>
          </w:p>
        </w:tc>
      </w:tr>
      <w:tr w:rsidR="001A125F" w:rsidRPr="001A125F" w14:paraId="3296E668" w14:textId="77777777" w:rsidTr="00956072">
        <w:trPr>
          <w:trHeight w:val="255"/>
        </w:trPr>
        <w:tc>
          <w:tcPr>
            <w:tcW w:w="1943" w:type="dxa"/>
            <w:tcBorders>
              <w:top w:val="nil"/>
              <w:left w:val="nil"/>
              <w:bottom w:val="nil"/>
              <w:right w:val="single" w:sz="6" w:space="0" w:color="auto"/>
            </w:tcBorders>
            <w:vAlign w:val="bottom"/>
          </w:tcPr>
          <w:p w14:paraId="04C1DC8E" w14:textId="77777777" w:rsidR="00275DCD" w:rsidRPr="001A125F" w:rsidRDefault="00275DCD" w:rsidP="00751082">
            <w:pPr>
              <w:autoSpaceDE w:val="0"/>
              <w:autoSpaceDN w:val="0"/>
              <w:adjustRightInd w:val="0"/>
              <w:ind w:right="332"/>
              <w:jc w:val="right"/>
              <w:rPr>
                <w:rFonts w:ascii="Arial" w:hAnsi="Arial" w:cs="Arial"/>
              </w:rPr>
            </w:pPr>
            <w:r w:rsidRPr="001A125F">
              <w:rPr>
                <w:rFonts w:ascii="Arial" w:hAnsi="Arial" w:cs="Arial"/>
              </w:rPr>
              <w:t>Y2 (growth PDRB)</w:t>
            </w:r>
          </w:p>
        </w:tc>
        <w:tc>
          <w:tcPr>
            <w:tcW w:w="1387" w:type="dxa"/>
            <w:tcBorders>
              <w:top w:val="nil"/>
              <w:left w:val="single" w:sz="6" w:space="0" w:color="auto"/>
              <w:bottom w:val="nil"/>
              <w:right w:val="nil"/>
            </w:tcBorders>
            <w:vAlign w:val="bottom"/>
          </w:tcPr>
          <w:p w14:paraId="1C36E92A"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-0.048315</w:t>
            </w:r>
          </w:p>
        </w:tc>
        <w:tc>
          <w:tcPr>
            <w:tcW w:w="1413" w:type="dxa"/>
            <w:tcBorders>
              <w:top w:val="nil"/>
              <w:left w:val="nil"/>
              <w:bottom w:val="nil"/>
              <w:right w:val="nil"/>
            </w:tcBorders>
            <w:vAlign w:val="bottom"/>
          </w:tcPr>
          <w:p w14:paraId="019B9EDE"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-0.039983</w:t>
            </w:r>
          </w:p>
        </w:tc>
        <w:tc>
          <w:tcPr>
            <w:tcW w:w="1428" w:type="dxa"/>
            <w:tcBorders>
              <w:top w:val="nil"/>
              <w:left w:val="nil"/>
              <w:bottom w:val="nil"/>
              <w:right w:val="nil"/>
            </w:tcBorders>
            <w:vAlign w:val="bottom"/>
          </w:tcPr>
          <w:p w14:paraId="4A2A5D60"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1.000000</w:t>
            </w:r>
          </w:p>
        </w:tc>
        <w:tc>
          <w:tcPr>
            <w:tcW w:w="1398" w:type="dxa"/>
            <w:tcBorders>
              <w:top w:val="nil"/>
              <w:left w:val="nil"/>
              <w:bottom w:val="nil"/>
              <w:right w:val="nil"/>
            </w:tcBorders>
            <w:vAlign w:val="bottom"/>
          </w:tcPr>
          <w:p w14:paraId="564D0497" w14:textId="77777777" w:rsidR="00275DCD" w:rsidRPr="001A125F" w:rsidRDefault="00275DCD" w:rsidP="00751082">
            <w:pPr>
              <w:autoSpaceDE w:val="0"/>
              <w:autoSpaceDN w:val="0"/>
              <w:adjustRightInd w:val="0"/>
              <w:ind w:right="20"/>
              <w:jc w:val="center"/>
              <w:rPr>
                <w:rFonts w:ascii="Arial" w:hAnsi="Arial" w:cs="Arial"/>
              </w:rPr>
            </w:pPr>
          </w:p>
        </w:tc>
        <w:tc>
          <w:tcPr>
            <w:tcW w:w="1689" w:type="dxa"/>
            <w:tcBorders>
              <w:top w:val="nil"/>
              <w:left w:val="nil"/>
              <w:bottom w:val="nil"/>
              <w:right w:val="nil"/>
            </w:tcBorders>
            <w:vAlign w:val="bottom"/>
          </w:tcPr>
          <w:p w14:paraId="63B5FC8E" w14:textId="77777777" w:rsidR="00275DCD" w:rsidRPr="001A125F" w:rsidRDefault="00275DCD" w:rsidP="00751082">
            <w:pPr>
              <w:autoSpaceDE w:val="0"/>
              <w:autoSpaceDN w:val="0"/>
              <w:adjustRightInd w:val="0"/>
              <w:ind w:right="20"/>
              <w:jc w:val="center"/>
              <w:rPr>
                <w:rFonts w:ascii="Arial" w:hAnsi="Arial" w:cs="Arial"/>
              </w:rPr>
            </w:pPr>
          </w:p>
        </w:tc>
      </w:tr>
      <w:tr w:rsidR="001A125F" w:rsidRPr="001A125F" w14:paraId="3FA079FB" w14:textId="77777777" w:rsidTr="00956072">
        <w:trPr>
          <w:trHeight w:val="255"/>
        </w:trPr>
        <w:tc>
          <w:tcPr>
            <w:tcW w:w="1943" w:type="dxa"/>
            <w:tcBorders>
              <w:top w:val="nil"/>
              <w:left w:val="nil"/>
              <w:bottom w:val="nil"/>
              <w:right w:val="single" w:sz="6" w:space="0" w:color="auto"/>
            </w:tcBorders>
            <w:vAlign w:val="bottom"/>
          </w:tcPr>
          <w:p w14:paraId="6211EA96" w14:textId="77777777" w:rsidR="00275DCD" w:rsidRPr="001A125F" w:rsidRDefault="00275DCD" w:rsidP="00751082">
            <w:pPr>
              <w:autoSpaceDE w:val="0"/>
              <w:autoSpaceDN w:val="0"/>
              <w:adjustRightInd w:val="0"/>
              <w:ind w:right="332"/>
              <w:jc w:val="right"/>
              <w:rPr>
                <w:rFonts w:ascii="Arial" w:hAnsi="Arial" w:cs="Arial"/>
              </w:rPr>
            </w:pPr>
          </w:p>
        </w:tc>
        <w:tc>
          <w:tcPr>
            <w:tcW w:w="1387" w:type="dxa"/>
            <w:tcBorders>
              <w:top w:val="nil"/>
              <w:left w:val="single" w:sz="6" w:space="0" w:color="auto"/>
              <w:bottom w:val="nil"/>
              <w:right w:val="nil"/>
            </w:tcBorders>
            <w:vAlign w:val="bottom"/>
          </w:tcPr>
          <w:p w14:paraId="64616F48"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0.8815</w:t>
            </w:r>
          </w:p>
        </w:tc>
        <w:tc>
          <w:tcPr>
            <w:tcW w:w="1413" w:type="dxa"/>
            <w:tcBorders>
              <w:top w:val="nil"/>
              <w:left w:val="nil"/>
              <w:bottom w:val="nil"/>
              <w:right w:val="nil"/>
            </w:tcBorders>
            <w:vAlign w:val="bottom"/>
          </w:tcPr>
          <w:p w14:paraId="08F7017D"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0.9018</w:t>
            </w:r>
          </w:p>
        </w:tc>
        <w:tc>
          <w:tcPr>
            <w:tcW w:w="1428" w:type="dxa"/>
            <w:tcBorders>
              <w:top w:val="nil"/>
              <w:left w:val="nil"/>
              <w:bottom w:val="nil"/>
              <w:right w:val="nil"/>
            </w:tcBorders>
            <w:vAlign w:val="bottom"/>
          </w:tcPr>
          <w:p w14:paraId="0700D435"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w:t>
            </w:r>
          </w:p>
        </w:tc>
        <w:tc>
          <w:tcPr>
            <w:tcW w:w="1398" w:type="dxa"/>
            <w:tcBorders>
              <w:top w:val="nil"/>
              <w:left w:val="nil"/>
              <w:bottom w:val="nil"/>
              <w:right w:val="nil"/>
            </w:tcBorders>
            <w:vAlign w:val="bottom"/>
          </w:tcPr>
          <w:p w14:paraId="45D9A6C8" w14:textId="77777777" w:rsidR="00275DCD" w:rsidRPr="001A125F" w:rsidRDefault="00275DCD" w:rsidP="00751082">
            <w:pPr>
              <w:autoSpaceDE w:val="0"/>
              <w:autoSpaceDN w:val="0"/>
              <w:adjustRightInd w:val="0"/>
              <w:ind w:right="20"/>
              <w:jc w:val="center"/>
              <w:rPr>
                <w:rFonts w:ascii="Arial" w:hAnsi="Arial" w:cs="Arial"/>
              </w:rPr>
            </w:pPr>
          </w:p>
        </w:tc>
        <w:tc>
          <w:tcPr>
            <w:tcW w:w="1689" w:type="dxa"/>
            <w:tcBorders>
              <w:top w:val="nil"/>
              <w:left w:val="nil"/>
              <w:bottom w:val="nil"/>
              <w:right w:val="nil"/>
            </w:tcBorders>
            <w:vAlign w:val="bottom"/>
          </w:tcPr>
          <w:p w14:paraId="49E022F8" w14:textId="77777777" w:rsidR="00275DCD" w:rsidRPr="001A125F" w:rsidRDefault="00275DCD" w:rsidP="00751082">
            <w:pPr>
              <w:autoSpaceDE w:val="0"/>
              <w:autoSpaceDN w:val="0"/>
              <w:adjustRightInd w:val="0"/>
              <w:ind w:right="20"/>
              <w:jc w:val="center"/>
              <w:rPr>
                <w:rFonts w:ascii="Arial" w:hAnsi="Arial" w:cs="Arial"/>
              </w:rPr>
            </w:pPr>
          </w:p>
        </w:tc>
      </w:tr>
      <w:tr w:rsidR="001A125F" w:rsidRPr="001A125F" w14:paraId="78B60F04" w14:textId="77777777" w:rsidTr="00956072">
        <w:trPr>
          <w:trHeight w:val="255"/>
        </w:trPr>
        <w:tc>
          <w:tcPr>
            <w:tcW w:w="1943" w:type="dxa"/>
            <w:tcBorders>
              <w:top w:val="nil"/>
              <w:left w:val="nil"/>
              <w:bottom w:val="nil"/>
              <w:right w:val="single" w:sz="6" w:space="0" w:color="auto"/>
            </w:tcBorders>
            <w:vAlign w:val="bottom"/>
          </w:tcPr>
          <w:p w14:paraId="0A746CC7" w14:textId="52F54365" w:rsidR="00275DCD" w:rsidRPr="001A125F" w:rsidRDefault="00275DCD" w:rsidP="00275DCD">
            <w:pPr>
              <w:autoSpaceDE w:val="0"/>
              <w:autoSpaceDN w:val="0"/>
              <w:adjustRightInd w:val="0"/>
              <w:ind w:right="-17"/>
              <w:rPr>
                <w:rFonts w:ascii="Arial" w:hAnsi="Arial" w:cs="Arial"/>
              </w:rPr>
            </w:pPr>
            <w:r w:rsidRPr="001A125F">
              <w:rPr>
                <w:rFonts w:ascii="Arial" w:hAnsi="Arial" w:cs="Arial"/>
              </w:rPr>
              <w:t>X1 (</w:t>
            </w:r>
            <w:proofErr w:type="spellStart"/>
            <w:r w:rsidRPr="001A125F">
              <w:rPr>
                <w:rFonts w:ascii="Arial" w:hAnsi="Arial" w:cs="Arial"/>
              </w:rPr>
              <w:t>Jml</w:t>
            </w:r>
            <w:proofErr w:type="spellEnd"/>
            <w:r w:rsidRPr="001A125F">
              <w:rPr>
                <w:rFonts w:ascii="Arial" w:hAnsi="Arial" w:cs="Arial"/>
              </w:rPr>
              <w:t xml:space="preserve"> </w:t>
            </w:r>
            <w:proofErr w:type="spellStart"/>
            <w:r w:rsidRPr="001A125F">
              <w:rPr>
                <w:rFonts w:ascii="Arial" w:hAnsi="Arial" w:cs="Arial"/>
              </w:rPr>
              <w:t>Pddk</w:t>
            </w:r>
            <w:proofErr w:type="spellEnd"/>
            <w:r w:rsidRPr="001A125F">
              <w:rPr>
                <w:rFonts w:ascii="Arial" w:hAnsi="Arial" w:cs="Arial"/>
              </w:rPr>
              <w:t xml:space="preserve"> </w:t>
            </w:r>
            <w:proofErr w:type="spellStart"/>
            <w:r w:rsidRPr="001A125F">
              <w:rPr>
                <w:rFonts w:ascii="Arial" w:hAnsi="Arial" w:cs="Arial"/>
              </w:rPr>
              <w:t>miskin</w:t>
            </w:r>
            <w:proofErr w:type="spellEnd"/>
            <w:r w:rsidRPr="001A125F">
              <w:rPr>
                <w:rFonts w:ascii="Arial" w:hAnsi="Arial" w:cs="Arial"/>
              </w:rPr>
              <w:t>)</w:t>
            </w:r>
          </w:p>
        </w:tc>
        <w:tc>
          <w:tcPr>
            <w:tcW w:w="1387" w:type="dxa"/>
            <w:tcBorders>
              <w:top w:val="nil"/>
              <w:left w:val="single" w:sz="6" w:space="0" w:color="auto"/>
              <w:bottom w:val="nil"/>
              <w:right w:val="nil"/>
            </w:tcBorders>
            <w:vAlign w:val="bottom"/>
          </w:tcPr>
          <w:p w14:paraId="2F7DB28F"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-0.899562</w:t>
            </w:r>
          </w:p>
        </w:tc>
        <w:tc>
          <w:tcPr>
            <w:tcW w:w="1413" w:type="dxa"/>
            <w:tcBorders>
              <w:top w:val="nil"/>
              <w:left w:val="nil"/>
              <w:bottom w:val="nil"/>
              <w:right w:val="nil"/>
            </w:tcBorders>
            <w:shd w:val="clear" w:color="auto" w:fill="FABF8F" w:themeFill="accent6" w:themeFillTint="99"/>
            <w:vAlign w:val="bottom"/>
          </w:tcPr>
          <w:p w14:paraId="0437EE7F"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-0.889786</w:t>
            </w:r>
          </w:p>
        </w:tc>
        <w:tc>
          <w:tcPr>
            <w:tcW w:w="1428" w:type="dxa"/>
            <w:tcBorders>
              <w:top w:val="nil"/>
              <w:left w:val="nil"/>
              <w:bottom w:val="nil"/>
              <w:right w:val="nil"/>
            </w:tcBorders>
            <w:shd w:val="clear" w:color="auto" w:fill="FABF8F" w:themeFill="accent6" w:themeFillTint="99"/>
            <w:vAlign w:val="bottom"/>
          </w:tcPr>
          <w:p w14:paraId="70C529BE"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0.117490</w:t>
            </w:r>
          </w:p>
        </w:tc>
        <w:tc>
          <w:tcPr>
            <w:tcW w:w="1398" w:type="dxa"/>
            <w:tcBorders>
              <w:top w:val="nil"/>
              <w:left w:val="nil"/>
              <w:bottom w:val="nil"/>
              <w:right w:val="nil"/>
            </w:tcBorders>
            <w:vAlign w:val="bottom"/>
          </w:tcPr>
          <w:p w14:paraId="56DF5349"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1.000000</w:t>
            </w:r>
          </w:p>
        </w:tc>
        <w:tc>
          <w:tcPr>
            <w:tcW w:w="1689" w:type="dxa"/>
            <w:tcBorders>
              <w:top w:val="nil"/>
              <w:left w:val="nil"/>
              <w:bottom w:val="nil"/>
              <w:right w:val="nil"/>
            </w:tcBorders>
            <w:vAlign w:val="bottom"/>
          </w:tcPr>
          <w:p w14:paraId="508AFBB3" w14:textId="77777777" w:rsidR="00275DCD" w:rsidRPr="001A125F" w:rsidRDefault="00275DCD" w:rsidP="00751082">
            <w:pPr>
              <w:autoSpaceDE w:val="0"/>
              <w:autoSpaceDN w:val="0"/>
              <w:adjustRightInd w:val="0"/>
              <w:ind w:right="20"/>
              <w:jc w:val="center"/>
              <w:rPr>
                <w:rFonts w:ascii="Arial" w:hAnsi="Arial" w:cs="Arial"/>
              </w:rPr>
            </w:pPr>
          </w:p>
        </w:tc>
      </w:tr>
      <w:tr w:rsidR="001A125F" w:rsidRPr="001A125F" w14:paraId="79D9B24A" w14:textId="77777777" w:rsidTr="00956072">
        <w:trPr>
          <w:trHeight w:val="255"/>
        </w:trPr>
        <w:tc>
          <w:tcPr>
            <w:tcW w:w="1943" w:type="dxa"/>
            <w:tcBorders>
              <w:top w:val="nil"/>
              <w:left w:val="nil"/>
              <w:bottom w:val="nil"/>
              <w:right w:val="single" w:sz="6" w:space="0" w:color="auto"/>
            </w:tcBorders>
            <w:vAlign w:val="bottom"/>
          </w:tcPr>
          <w:p w14:paraId="7B6B0E73" w14:textId="77777777" w:rsidR="00275DCD" w:rsidRPr="001A125F" w:rsidRDefault="00275DCD" w:rsidP="00751082">
            <w:pPr>
              <w:autoSpaceDE w:val="0"/>
              <w:autoSpaceDN w:val="0"/>
              <w:adjustRightInd w:val="0"/>
              <w:ind w:right="332"/>
              <w:jc w:val="right"/>
              <w:rPr>
                <w:rFonts w:ascii="Arial" w:hAnsi="Arial" w:cs="Arial"/>
              </w:rPr>
            </w:pPr>
          </w:p>
        </w:tc>
        <w:tc>
          <w:tcPr>
            <w:tcW w:w="1387" w:type="dxa"/>
            <w:tcBorders>
              <w:top w:val="nil"/>
              <w:left w:val="single" w:sz="6" w:space="0" w:color="auto"/>
              <w:bottom w:val="nil"/>
              <w:right w:val="nil"/>
            </w:tcBorders>
            <w:vAlign w:val="bottom"/>
          </w:tcPr>
          <w:p w14:paraId="551657AC"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0.0001</w:t>
            </w:r>
          </w:p>
        </w:tc>
        <w:tc>
          <w:tcPr>
            <w:tcW w:w="1413" w:type="dxa"/>
            <w:tcBorders>
              <w:top w:val="nil"/>
              <w:left w:val="nil"/>
              <w:bottom w:val="nil"/>
              <w:right w:val="nil"/>
            </w:tcBorders>
            <w:shd w:val="clear" w:color="auto" w:fill="FABF8F" w:themeFill="accent6" w:themeFillTint="99"/>
            <w:vAlign w:val="bottom"/>
          </w:tcPr>
          <w:p w14:paraId="552E521A"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0.0001</w:t>
            </w:r>
          </w:p>
        </w:tc>
        <w:tc>
          <w:tcPr>
            <w:tcW w:w="1428" w:type="dxa"/>
            <w:tcBorders>
              <w:top w:val="nil"/>
              <w:left w:val="nil"/>
              <w:bottom w:val="nil"/>
              <w:right w:val="nil"/>
            </w:tcBorders>
            <w:shd w:val="clear" w:color="auto" w:fill="FABF8F" w:themeFill="accent6" w:themeFillTint="99"/>
            <w:vAlign w:val="bottom"/>
          </w:tcPr>
          <w:p w14:paraId="6D108982"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0.7161</w:t>
            </w:r>
          </w:p>
        </w:tc>
        <w:tc>
          <w:tcPr>
            <w:tcW w:w="1398" w:type="dxa"/>
            <w:tcBorders>
              <w:top w:val="nil"/>
              <w:left w:val="nil"/>
              <w:bottom w:val="nil"/>
              <w:right w:val="nil"/>
            </w:tcBorders>
            <w:vAlign w:val="bottom"/>
          </w:tcPr>
          <w:p w14:paraId="2E7826CE"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w:t>
            </w:r>
          </w:p>
        </w:tc>
        <w:tc>
          <w:tcPr>
            <w:tcW w:w="1689" w:type="dxa"/>
            <w:tcBorders>
              <w:top w:val="nil"/>
              <w:left w:val="nil"/>
              <w:bottom w:val="nil"/>
              <w:right w:val="nil"/>
            </w:tcBorders>
            <w:vAlign w:val="bottom"/>
          </w:tcPr>
          <w:p w14:paraId="527579F0" w14:textId="77777777" w:rsidR="00275DCD" w:rsidRPr="001A125F" w:rsidRDefault="00275DCD" w:rsidP="00751082">
            <w:pPr>
              <w:autoSpaceDE w:val="0"/>
              <w:autoSpaceDN w:val="0"/>
              <w:adjustRightInd w:val="0"/>
              <w:ind w:right="20"/>
              <w:jc w:val="center"/>
              <w:rPr>
                <w:rFonts w:ascii="Arial" w:hAnsi="Arial" w:cs="Arial"/>
              </w:rPr>
            </w:pPr>
          </w:p>
        </w:tc>
      </w:tr>
      <w:tr w:rsidR="001A125F" w:rsidRPr="001A125F" w14:paraId="1D7110D4" w14:textId="77777777" w:rsidTr="00956072">
        <w:trPr>
          <w:trHeight w:val="255"/>
        </w:trPr>
        <w:tc>
          <w:tcPr>
            <w:tcW w:w="1943" w:type="dxa"/>
            <w:tcBorders>
              <w:top w:val="nil"/>
              <w:left w:val="nil"/>
              <w:bottom w:val="nil"/>
              <w:right w:val="single" w:sz="6" w:space="0" w:color="auto"/>
            </w:tcBorders>
            <w:vAlign w:val="bottom"/>
          </w:tcPr>
          <w:p w14:paraId="2F99C296" w14:textId="77777777" w:rsidR="00275DCD" w:rsidRPr="001A125F" w:rsidRDefault="00275DCD" w:rsidP="00751082">
            <w:pPr>
              <w:autoSpaceDE w:val="0"/>
              <w:autoSpaceDN w:val="0"/>
              <w:adjustRightInd w:val="0"/>
              <w:jc w:val="center"/>
              <w:rPr>
                <w:rFonts w:ascii="Arial" w:hAnsi="Arial" w:cs="Arial"/>
              </w:rPr>
            </w:pPr>
          </w:p>
        </w:tc>
        <w:tc>
          <w:tcPr>
            <w:tcW w:w="1387" w:type="dxa"/>
            <w:tcBorders>
              <w:top w:val="nil"/>
              <w:left w:val="single" w:sz="6" w:space="0" w:color="auto"/>
              <w:bottom w:val="nil"/>
              <w:right w:val="nil"/>
            </w:tcBorders>
            <w:shd w:val="clear" w:color="auto" w:fill="FFFFFF" w:themeFill="background1"/>
            <w:vAlign w:val="bottom"/>
          </w:tcPr>
          <w:p w14:paraId="38CAB827"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0.0000</w:t>
            </w:r>
          </w:p>
        </w:tc>
        <w:tc>
          <w:tcPr>
            <w:tcW w:w="1413" w:type="dxa"/>
            <w:tcBorders>
              <w:top w:val="nil"/>
              <w:left w:val="nil"/>
              <w:bottom w:val="nil"/>
              <w:right w:val="nil"/>
            </w:tcBorders>
            <w:shd w:val="clear" w:color="auto" w:fill="FFC000"/>
            <w:vAlign w:val="bottom"/>
          </w:tcPr>
          <w:p w14:paraId="54078AD5"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0.0000</w:t>
            </w:r>
          </w:p>
        </w:tc>
        <w:tc>
          <w:tcPr>
            <w:tcW w:w="1428" w:type="dxa"/>
            <w:tcBorders>
              <w:top w:val="nil"/>
              <w:left w:val="nil"/>
              <w:bottom w:val="nil"/>
              <w:right w:val="nil"/>
            </w:tcBorders>
            <w:shd w:val="clear" w:color="auto" w:fill="FFC000"/>
            <w:vAlign w:val="bottom"/>
          </w:tcPr>
          <w:p w14:paraId="4065DEFA"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0.7662</w:t>
            </w:r>
          </w:p>
        </w:tc>
        <w:tc>
          <w:tcPr>
            <w:tcW w:w="1398" w:type="dxa"/>
            <w:tcBorders>
              <w:top w:val="nil"/>
              <w:left w:val="nil"/>
              <w:bottom w:val="nil"/>
              <w:right w:val="nil"/>
            </w:tcBorders>
            <w:shd w:val="clear" w:color="auto" w:fill="FFFFFF" w:themeFill="background1"/>
            <w:vAlign w:val="bottom"/>
          </w:tcPr>
          <w:p w14:paraId="1F27EF3E"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0.0000</w:t>
            </w:r>
          </w:p>
        </w:tc>
        <w:tc>
          <w:tcPr>
            <w:tcW w:w="1689" w:type="dxa"/>
            <w:tcBorders>
              <w:top w:val="nil"/>
              <w:left w:val="nil"/>
              <w:bottom w:val="nil"/>
              <w:right w:val="nil"/>
            </w:tcBorders>
            <w:shd w:val="clear" w:color="auto" w:fill="FFFFFF" w:themeFill="background1"/>
            <w:vAlign w:val="bottom"/>
          </w:tcPr>
          <w:p w14:paraId="5A11EFDE" w14:textId="77777777" w:rsidR="00275DCD" w:rsidRPr="001A125F" w:rsidRDefault="00275DCD" w:rsidP="00751082">
            <w:pPr>
              <w:autoSpaceDE w:val="0"/>
              <w:autoSpaceDN w:val="0"/>
              <w:adjustRightInd w:val="0"/>
              <w:ind w:right="20"/>
              <w:jc w:val="right"/>
              <w:rPr>
                <w:rFonts w:ascii="Arial" w:hAnsi="Arial" w:cs="Arial"/>
              </w:rPr>
            </w:pPr>
            <w:r w:rsidRPr="001A125F">
              <w:rPr>
                <w:rFonts w:ascii="Arial" w:hAnsi="Arial" w:cs="Arial"/>
              </w:rPr>
              <w:t>-----</w:t>
            </w:r>
          </w:p>
        </w:tc>
      </w:tr>
      <w:tr w:rsidR="001A125F" w:rsidRPr="001A125F" w14:paraId="3107EF4B" w14:textId="77777777" w:rsidTr="00956072">
        <w:trPr>
          <w:trHeight w:hRule="exact" w:val="101"/>
        </w:trPr>
        <w:tc>
          <w:tcPr>
            <w:tcW w:w="1943" w:type="dxa"/>
            <w:tcBorders>
              <w:top w:val="nil"/>
              <w:left w:val="nil"/>
              <w:bottom w:val="double" w:sz="6" w:space="0" w:color="auto"/>
              <w:right w:val="nil"/>
            </w:tcBorders>
            <w:vAlign w:val="bottom"/>
          </w:tcPr>
          <w:p w14:paraId="159F6438" w14:textId="77777777" w:rsidR="00275DCD" w:rsidRPr="001A125F" w:rsidRDefault="00275DCD" w:rsidP="00751082">
            <w:pPr>
              <w:autoSpaceDE w:val="0"/>
              <w:autoSpaceDN w:val="0"/>
              <w:adjustRightInd w:val="0"/>
              <w:rPr>
                <w:rFonts w:ascii="Arial" w:hAnsi="Arial" w:cs="Arial"/>
              </w:rPr>
            </w:pPr>
          </w:p>
        </w:tc>
        <w:tc>
          <w:tcPr>
            <w:tcW w:w="1387" w:type="dxa"/>
            <w:tcBorders>
              <w:top w:val="nil"/>
              <w:left w:val="nil"/>
              <w:bottom w:val="double" w:sz="6" w:space="0" w:color="auto"/>
              <w:right w:val="nil"/>
            </w:tcBorders>
            <w:vAlign w:val="bottom"/>
          </w:tcPr>
          <w:p w14:paraId="1ED46B99" w14:textId="77777777" w:rsidR="00275DCD" w:rsidRPr="001A125F" w:rsidRDefault="00275DCD" w:rsidP="00751082">
            <w:pPr>
              <w:autoSpaceDE w:val="0"/>
              <w:autoSpaceDN w:val="0"/>
              <w:adjustRightInd w:val="0"/>
              <w:rPr>
                <w:rFonts w:ascii="Arial" w:hAnsi="Arial" w:cs="Arial"/>
              </w:rPr>
            </w:pPr>
          </w:p>
        </w:tc>
        <w:tc>
          <w:tcPr>
            <w:tcW w:w="1413" w:type="dxa"/>
            <w:tcBorders>
              <w:top w:val="nil"/>
              <w:left w:val="nil"/>
              <w:bottom w:val="double" w:sz="6" w:space="0" w:color="auto"/>
              <w:right w:val="nil"/>
            </w:tcBorders>
            <w:vAlign w:val="bottom"/>
          </w:tcPr>
          <w:p w14:paraId="56308959" w14:textId="77777777" w:rsidR="00275DCD" w:rsidRPr="001A125F" w:rsidRDefault="00275DCD" w:rsidP="00751082">
            <w:pPr>
              <w:autoSpaceDE w:val="0"/>
              <w:autoSpaceDN w:val="0"/>
              <w:adjustRightInd w:val="0"/>
              <w:rPr>
                <w:rFonts w:ascii="Arial" w:hAnsi="Arial" w:cs="Arial"/>
              </w:rPr>
            </w:pPr>
          </w:p>
        </w:tc>
        <w:tc>
          <w:tcPr>
            <w:tcW w:w="1428" w:type="dxa"/>
            <w:tcBorders>
              <w:top w:val="nil"/>
              <w:left w:val="nil"/>
              <w:bottom w:val="double" w:sz="6" w:space="0" w:color="auto"/>
              <w:right w:val="nil"/>
            </w:tcBorders>
            <w:vAlign w:val="bottom"/>
          </w:tcPr>
          <w:p w14:paraId="1F120116" w14:textId="77777777" w:rsidR="00275DCD" w:rsidRPr="001A125F" w:rsidRDefault="00275DCD" w:rsidP="00751082">
            <w:pPr>
              <w:autoSpaceDE w:val="0"/>
              <w:autoSpaceDN w:val="0"/>
              <w:adjustRightInd w:val="0"/>
              <w:rPr>
                <w:rFonts w:ascii="Arial" w:hAnsi="Arial" w:cs="Arial"/>
              </w:rPr>
            </w:pPr>
          </w:p>
        </w:tc>
        <w:tc>
          <w:tcPr>
            <w:tcW w:w="1398" w:type="dxa"/>
            <w:tcBorders>
              <w:top w:val="nil"/>
              <w:left w:val="nil"/>
              <w:bottom w:val="double" w:sz="6" w:space="0" w:color="auto"/>
              <w:right w:val="nil"/>
            </w:tcBorders>
            <w:vAlign w:val="bottom"/>
          </w:tcPr>
          <w:p w14:paraId="10C07619" w14:textId="77777777" w:rsidR="00275DCD" w:rsidRPr="001A125F" w:rsidRDefault="00275DCD" w:rsidP="00751082">
            <w:pPr>
              <w:autoSpaceDE w:val="0"/>
              <w:autoSpaceDN w:val="0"/>
              <w:adjustRightInd w:val="0"/>
              <w:rPr>
                <w:rFonts w:ascii="Arial" w:hAnsi="Arial" w:cs="Arial"/>
              </w:rPr>
            </w:pPr>
          </w:p>
        </w:tc>
        <w:tc>
          <w:tcPr>
            <w:tcW w:w="1689" w:type="dxa"/>
            <w:tcBorders>
              <w:top w:val="nil"/>
              <w:left w:val="nil"/>
              <w:bottom w:val="double" w:sz="6" w:space="0" w:color="auto"/>
              <w:right w:val="nil"/>
            </w:tcBorders>
            <w:vAlign w:val="bottom"/>
          </w:tcPr>
          <w:p w14:paraId="427F4D09" w14:textId="77777777" w:rsidR="00275DCD" w:rsidRPr="001A125F" w:rsidRDefault="00275DCD" w:rsidP="00751082">
            <w:pPr>
              <w:autoSpaceDE w:val="0"/>
              <w:autoSpaceDN w:val="0"/>
              <w:adjustRightInd w:val="0"/>
              <w:rPr>
                <w:rFonts w:ascii="Arial" w:hAnsi="Arial" w:cs="Arial"/>
              </w:rPr>
            </w:pPr>
          </w:p>
        </w:tc>
      </w:tr>
      <w:tr w:rsidR="001A125F" w:rsidRPr="001A125F" w14:paraId="57CDBB33" w14:textId="77777777" w:rsidTr="00956072">
        <w:trPr>
          <w:trHeight w:hRule="exact" w:val="152"/>
        </w:trPr>
        <w:tc>
          <w:tcPr>
            <w:tcW w:w="1943" w:type="dxa"/>
            <w:tcBorders>
              <w:top w:val="nil"/>
              <w:left w:val="nil"/>
              <w:bottom w:val="nil"/>
              <w:right w:val="nil"/>
            </w:tcBorders>
            <w:vAlign w:val="bottom"/>
          </w:tcPr>
          <w:p w14:paraId="1873CCDE" w14:textId="77777777" w:rsidR="00275DCD" w:rsidRPr="001A125F" w:rsidRDefault="00275DCD" w:rsidP="00751082">
            <w:pPr>
              <w:autoSpaceDE w:val="0"/>
              <w:autoSpaceDN w:val="0"/>
              <w:adjustRightInd w:val="0"/>
              <w:rPr>
                <w:rFonts w:ascii="Arial" w:hAnsi="Arial" w:cs="Arial"/>
              </w:rPr>
            </w:pPr>
          </w:p>
        </w:tc>
        <w:tc>
          <w:tcPr>
            <w:tcW w:w="1387" w:type="dxa"/>
            <w:tcBorders>
              <w:top w:val="nil"/>
              <w:left w:val="nil"/>
              <w:bottom w:val="nil"/>
              <w:right w:val="nil"/>
            </w:tcBorders>
            <w:vAlign w:val="bottom"/>
          </w:tcPr>
          <w:p w14:paraId="2D87121A" w14:textId="77777777" w:rsidR="00275DCD" w:rsidRPr="001A125F" w:rsidRDefault="00275DCD" w:rsidP="00751082">
            <w:pPr>
              <w:autoSpaceDE w:val="0"/>
              <w:autoSpaceDN w:val="0"/>
              <w:adjustRightInd w:val="0"/>
              <w:rPr>
                <w:rFonts w:ascii="Arial" w:hAnsi="Arial" w:cs="Arial"/>
              </w:rPr>
            </w:pPr>
          </w:p>
        </w:tc>
        <w:tc>
          <w:tcPr>
            <w:tcW w:w="1413" w:type="dxa"/>
            <w:tcBorders>
              <w:top w:val="nil"/>
              <w:left w:val="nil"/>
              <w:bottom w:val="nil"/>
              <w:right w:val="nil"/>
            </w:tcBorders>
            <w:vAlign w:val="bottom"/>
          </w:tcPr>
          <w:p w14:paraId="31CE44CA" w14:textId="77777777" w:rsidR="00275DCD" w:rsidRPr="001A125F" w:rsidRDefault="00275DCD" w:rsidP="00751082">
            <w:pPr>
              <w:autoSpaceDE w:val="0"/>
              <w:autoSpaceDN w:val="0"/>
              <w:adjustRightInd w:val="0"/>
              <w:rPr>
                <w:rFonts w:ascii="Arial" w:hAnsi="Arial" w:cs="Arial"/>
              </w:rPr>
            </w:pPr>
          </w:p>
        </w:tc>
        <w:tc>
          <w:tcPr>
            <w:tcW w:w="1428" w:type="dxa"/>
            <w:tcBorders>
              <w:top w:val="nil"/>
              <w:left w:val="nil"/>
              <w:bottom w:val="nil"/>
              <w:right w:val="nil"/>
            </w:tcBorders>
            <w:vAlign w:val="bottom"/>
          </w:tcPr>
          <w:p w14:paraId="5131CEF3" w14:textId="77777777" w:rsidR="00275DCD" w:rsidRPr="001A125F" w:rsidRDefault="00275DCD" w:rsidP="00751082">
            <w:pPr>
              <w:autoSpaceDE w:val="0"/>
              <w:autoSpaceDN w:val="0"/>
              <w:adjustRightInd w:val="0"/>
              <w:rPr>
                <w:rFonts w:ascii="Arial" w:hAnsi="Arial" w:cs="Arial"/>
              </w:rPr>
            </w:pPr>
          </w:p>
        </w:tc>
        <w:tc>
          <w:tcPr>
            <w:tcW w:w="1398" w:type="dxa"/>
            <w:tcBorders>
              <w:top w:val="nil"/>
              <w:left w:val="nil"/>
              <w:bottom w:val="nil"/>
              <w:right w:val="nil"/>
            </w:tcBorders>
            <w:vAlign w:val="bottom"/>
          </w:tcPr>
          <w:p w14:paraId="7EDD2ABF" w14:textId="77777777" w:rsidR="00275DCD" w:rsidRPr="001A125F" w:rsidRDefault="00275DCD" w:rsidP="00751082">
            <w:pPr>
              <w:autoSpaceDE w:val="0"/>
              <w:autoSpaceDN w:val="0"/>
              <w:adjustRightInd w:val="0"/>
              <w:rPr>
                <w:rFonts w:ascii="Arial" w:hAnsi="Arial" w:cs="Arial"/>
              </w:rPr>
            </w:pPr>
          </w:p>
        </w:tc>
        <w:tc>
          <w:tcPr>
            <w:tcW w:w="1689" w:type="dxa"/>
            <w:tcBorders>
              <w:top w:val="nil"/>
              <w:left w:val="nil"/>
              <w:bottom w:val="nil"/>
              <w:right w:val="nil"/>
            </w:tcBorders>
            <w:vAlign w:val="bottom"/>
          </w:tcPr>
          <w:p w14:paraId="05BDE5DD" w14:textId="77777777" w:rsidR="00275DCD" w:rsidRPr="001A125F" w:rsidRDefault="00275DCD" w:rsidP="00751082">
            <w:pPr>
              <w:autoSpaceDE w:val="0"/>
              <w:autoSpaceDN w:val="0"/>
              <w:adjustRightInd w:val="0"/>
              <w:rPr>
                <w:rFonts w:ascii="Arial" w:hAnsi="Arial" w:cs="Arial"/>
              </w:rPr>
            </w:pPr>
          </w:p>
        </w:tc>
      </w:tr>
    </w:tbl>
    <w:p w14:paraId="564D3002" w14:textId="3DAAE01E" w:rsidR="00275DCD" w:rsidRPr="001A125F" w:rsidRDefault="00275DCD" w:rsidP="00275DCD">
      <w:pPr>
        <w:jc w:val="both"/>
        <w:rPr>
          <w:rFonts w:ascii="Arial" w:hAnsi="Arial" w:cs="Arial"/>
        </w:rPr>
      </w:pPr>
      <w:r w:rsidRPr="001A125F">
        <w:rPr>
          <w:rFonts w:ascii="Arial" w:hAnsi="Arial" w:cs="Arial"/>
        </w:rPr>
        <w:t xml:space="preserve">Source: </w:t>
      </w:r>
      <w:proofErr w:type="spellStart"/>
      <w:r w:rsidRPr="001A125F">
        <w:rPr>
          <w:rFonts w:ascii="Arial" w:hAnsi="Arial" w:cs="Arial"/>
        </w:rPr>
        <w:t>Eviews</w:t>
      </w:r>
      <w:proofErr w:type="spellEnd"/>
      <w:r w:rsidRPr="001A125F">
        <w:rPr>
          <w:rFonts w:ascii="Arial" w:hAnsi="Arial" w:cs="Arial"/>
        </w:rPr>
        <w:t xml:space="preserve"> Data Processing Results, 2024</w:t>
      </w:r>
    </w:p>
    <w:p w14:paraId="6A379776" w14:textId="03B2876E" w:rsidR="00275DCD" w:rsidRPr="001A125F" w:rsidRDefault="00275DCD" w:rsidP="00275DCD">
      <w:pPr>
        <w:spacing w:line="360" w:lineRule="auto"/>
        <w:ind w:firstLine="567"/>
        <w:jc w:val="both"/>
        <w:rPr>
          <w:rFonts w:ascii="Arial" w:hAnsi="Arial" w:cs="Arial"/>
          <w:lang w:val="nb-NO"/>
        </w:rPr>
      </w:pPr>
      <w:r w:rsidRPr="001A125F">
        <w:rPr>
          <w:rFonts w:ascii="Arial" w:hAnsi="Arial" w:cs="Arial"/>
        </w:rPr>
        <w:t>From table 3 above, it can be stated that the value of the correlation coefficient between macroeconomic variables and poverty levels is as follows:</w:t>
      </w:r>
    </w:p>
    <w:p w14:paraId="2A0D121A" w14:textId="23216835" w:rsidR="00EB50DC" w:rsidRPr="001A125F" w:rsidRDefault="00275DCD" w:rsidP="00EB50DC">
      <w:pPr>
        <w:pStyle w:val="ListParagraph"/>
        <w:numPr>
          <w:ilvl w:val="0"/>
          <w:numId w:val="37"/>
        </w:numPr>
        <w:spacing w:after="0" w:line="360" w:lineRule="auto"/>
        <w:jc w:val="both"/>
        <w:rPr>
          <w:rFonts w:ascii="Arial" w:hAnsi="Arial" w:cs="Arial"/>
          <w:sz w:val="20"/>
          <w:szCs w:val="20"/>
          <w:lang w:val="nb-NO"/>
        </w:rPr>
      </w:pPr>
      <w:r w:rsidRPr="001A125F">
        <w:rPr>
          <w:rFonts w:ascii="Arial" w:hAnsi="Arial" w:cs="Arial"/>
          <w:sz w:val="20"/>
          <w:szCs w:val="20"/>
        </w:rPr>
        <w:t>The correlation coefficient between GDP per capita and the number of poor people r _x1 y1 = -0.889786 with a prob value of 0.0001, or significant at α 5%.</w:t>
      </w:r>
    </w:p>
    <w:p w14:paraId="1ED94268" w14:textId="30FA4824" w:rsidR="00EB50DC" w:rsidRPr="001A125F" w:rsidRDefault="00EB50DC" w:rsidP="00EB50DC">
      <w:pPr>
        <w:spacing w:line="360" w:lineRule="auto"/>
        <w:ind w:left="720"/>
        <w:jc w:val="both"/>
        <w:rPr>
          <w:rFonts w:ascii="Arial" w:hAnsi="Arial" w:cs="Arial"/>
          <w:lang w:val="nb-NO"/>
        </w:rPr>
      </w:pPr>
      <w:r w:rsidRPr="001A125F">
        <w:rPr>
          <w:rFonts w:ascii="Arial" w:hAnsi="Arial" w:cs="Arial"/>
        </w:rPr>
        <w:lastRenderedPageBreak/>
        <w:t xml:space="preserve">Based on these results, it can be concluded that there is a negative correlation between GDP per capita and the number of poor people in </w:t>
      </w:r>
      <w:proofErr w:type="spellStart"/>
      <w:r w:rsidRPr="001A125F">
        <w:rPr>
          <w:rFonts w:ascii="Arial" w:hAnsi="Arial" w:cs="Arial"/>
        </w:rPr>
        <w:t>Gunungkidul</w:t>
      </w:r>
      <w:proofErr w:type="spellEnd"/>
      <w:r w:rsidRPr="001A125F">
        <w:rPr>
          <w:rFonts w:ascii="Arial" w:hAnsi="Arial" w:cs="Arial"/>
        </w:rPr>
        <w:t xml:space="preserve"> Regency. This means that when the GDP per capita increases, the number of poor people tends to decrease. These findings are in line with the hypothesis proposed, namely that the relationship between GDP per capita and the number of poor people is negative.</w:t>
      </w:r>
    </w:p>
    <w:p w14:paraId="0CADCA2B" w14:textId="4F4C2227" w:rsidR="004332BD" w:rsidRPr="001A125F" w:rsidRDefault="00275DCD" w:rsidP="004332BD">
      <w:pPr>
        <w:pStyle w:val="ListParagraph"/>
        <w:numPr>
          <w:ilvl w:val="0"/>
          <w:numId w:val="37"/>
        </w:numPr>
        <w:spacing w:after="0" w:line="360" w:lineRule="auto"/>
        <w:jc w:val="both"/>
        <w:rPr>
          <w:rFonts w:ascii="Arial" w:hAnsi="Arial" w:cs="Arial"/>
          <w:sz w:val="20"/>
          <w:szCs w:val="20"/>
          <w:lang w:val="nb-NO"/>
        </w:rPr>
      </w:pPr>
      <w:r w:rsidRPr="001A125F">
        <w:rPr>
          <w:rFonts w:ascii="Arial" w:hAnsi="Arial" w:cs="Arial"/>
          <w:sz w:val="20"/>
          <w:szCs w:val="20"/>
        </w:rPr>
        <w:t>The correlation coefficient between GDP per capita and the percentage of poor r _x</w:t>
      </w:r>
      <w:r w:rsidRPr="001A125F">
        <w:rPr>
          <w:rFonts w:ascii="Arial" w:hAnsi="Arial" w:cs="Arial"/>
          <w:sz w:val="20"/>
          <w:szCs w:val="20"/>
          <w:vertAlign w:val="subscript"/>
        </w:rPr>
        <w:t>1</w:t>
      </w:r>
      <w:r w:rsidRPr="001A125F">
        <w:rPr>
          <w:rFonts w:ascii="Arial" w:hAnsi="Arial" w:cs="Arial"/>
          <w:sz w:val="20"/>
          <w:szCs w:val="20"/>
        </w:rPr>
        <w:t xml:space="preserve"> y2 = -0.955868 with a prob value of 0.0000, or significant at α 5%.</w:t>
      </w:r>
    </w:p>
    <w:p w14:paraId="418B9695" w14:textId="58F3DBE3" w:rsidR="004332BD" w:rsidRPr="001A125F" w:rsidRDefault="004332BD" w:rsidP="004332BD">
      <w:pPr>
        <w:spacing w:line="360" w:lineRule="auto"/>
        <w:ind w:left="709"/>
        <w:jc w:val="both"/>
        <w:rPr>
          <w:rFonts w:ascii="Arial" w:hAnsi="Arial" w:cs="Arial"/>
        </w:rPr>
      </w:pPr>
      <w:r w:rsidRPr="001A125F">
        <w:rPr>
          <w:rFonts w:ascii="Arial" w:hAnsi="Arial" w:cs="Arial"/>
        </w:rPr>
        <w:t>As with the relationship between GDP per capita and the number of poor people, the correlation between GDP per capita and the percentage of poor people also shows a parallel pattern. The correlation is negative, according to the initial hypothesis, but has a greater absolute value and a higher level of significance. This shows that the relationship between GDP per capita and the percentage of the poor is stronger than the relationship between the number of poor people.</w:t>
      </w:r>
    </w:p>
    <w:p w14:paraId="00046204" w14:textId="77777777" w:rsidR="00275DCD" w:rsidRPr="001A125F" w:rsidRDefault="00275DCD" w:rsidP="00275DCD">
      <w:pPr>
        <w:pStyle w:val="ListParagraph"/>
        <w:numPr>
          <w:ilvl w:val="0"/>
          <w:numId w:val="37"/>
        </w:numPr>
        <w:spacing w:after="0" w:line="360" w:lineRule="auto"/>
        <w:jc w:val="both"/>
        <w:rPr>
          <w:rFonts w:ascii="Arial" w:hAnsi="Arial" w:cs="Arial"/>
          <w:sz w:val="20"/>
          <w:szCs w:val="20"/>
          <w:lang w:val="nb-NO"/>
        </w:rPr>
      </w:pPr>
      <w:r w:rsidRPr="001A125F">
        <w:rPr>
          <w:rFonts w:ascii="Arial" w:hAnsi="Arial" w:cs="Arial"/>
          <w:sz w:val="20"/>
          <w:szCs w:val="20"/>
        </w:rPr>
        <w:t>The correlation coefficient between GDP growth and the number of poor people r _x</w:t>
      </w:r>
      <w:r w:rsidRPr="001A125F">
        <w:rPr>
          <w:rFonts w:ascii="Arial" w:hAnsi="Arial" w:cs="Arial"/>
          <w:sz w:val="20"/>
          <w:szCs w:val="20"/>
          <w:vertAlign w:val="subscript"/>
        </w:rPr>
        <w:t>2</w:t>
      </w:r>
      <w:r w:rsidRPr="001A125F">
        <w:rPr>
          <w:rFonts w:ascii="Arial" w:hAnsi="Arial" w:cs="Arial"/>
          <w:sz w:val="20"/>
          <w:szCs w:val="20"/>
        </w:rPr>
        <w:t xml:space="preserve"> y1 = 0.117490 with a prob value of 0.7161, or insignificant at α 5%.</w:t>
      </w:r>
    </w:p>
    <w:p w14:paraId="4330DE76" w14:textId="77777777" w:rsidR="00275DCD" w:rsidRPr="001A125F" w:rsidRDefault="00275DCD" w:rsidP="00275DCD">
      <w:pPr>
        <w:pStyle w:val="ListParagraph"/>
        <w:spacing w:after="0" w:line="360" w:lineRule="auto"/>
        <w:jc w:val="both"/>
        <w:rPr>
          <w:rFonts w:ascii="Arial" w:hAnsi="Arial" w:cs="Arial"/>
          <w:sz w:val="20"/>
          <w:szCs w:val="20"/>
          <w:lang w:val="nb-NO"/>
        </w:rPr>
      </w:pPr>
      <w:r w:rsidRPr="001A125F">
        <w:rPr>
          <w:rFonts w:ascii="Arial" w:hAnsi="Arial" w:cs="Arial"/>
          <w:sz w:val="20"/>
          <w:szCs w:val="20"/>
        </w:rPr>
        <w:t xml:space="preserve">In contrast to the correlation coefficient of GDP per capita to poverty, the correlation coefficient between GDP growth and the percentage of poor people in </w:t>
      </w:r>
      <w:proofErr w:type="spellStart"/>
      <w:r w:rsidRPr="001A125F">
        <w:rPr>
          <w:rFonts w:ascii="Arial" w:hAnsi="Arial" w:cs="Arial"/>
          <w:sz w:val="20"/>
          <w:szCs w:val="20"/>
        </w:rPr>
        <w:t>Gunungkidul</w:t>
      </w:r>
      <w:proofErr w:type="spellEnd"/>
      <w:r w:rsidRPr="001A125F">
        <w:rPr>
          <w:rFonts w:ascii="Arial" w:hAnsi="Arial" w:cs="Arial"/>
          <w:sz w:val="20"/>
          <w:szCs w:val="20"/>
        </w:rPr>
        <w:t xml:space="preserve"> is positive, but not significant. Although not significant, this is not in line with what the theory hypothesizes. Practically, it can be interpreted that GDP growth is not strongly related to the decline in the number of poor people in </w:t>
      </w:r>
      <w:proofErr w:type="spellStart"/>
      <w:r w:rsidRPr="001A125F">
        <w:rPr>
          <w:rFonts w:ascii="Arial" w:hAnsi="Arial" w:cs="Arial"/>
          <w:sz w:val="20"/>
          <w:szCs w:val="20"/>
        </w:rPr>
        <w:t>Gunungkidul</w:t>
      </w:r>
      <w:proofErr w:type="spellEnd"/>
      <w:r w:rsidRPr="001A125F">
        <w:rPr>
          <w:rFonts w:ascii="Arial" w:hAnsi="Arial" w:cs="Arial"/>
          <w:sz w:val="20"/>
          <w:szCs w:val="20"/>
        </w:rPr>
        <w:t xml:space="preserve"> Regency. There are even indications that there is a positive relationship between GDP growth and the number of poor people.</w:t>
      </w:r>
    </w:p>
    <w:p w14:paraId="44D338BF" w14:textId="77777777" w:rsidR="00275DCD" w:rsidRPr="001A125F" w:rsidRDefault="00275DCD" w:rsidP="00275DCD">
      <w:pPr>
        <w:pStyle w:val="ListParagraph"/>
        <w:numPr>
          <w:ilvl w:val="0"/>
          <w:numId w:val="37"/>
        </w:numPr>
        <w:spacing w:after="0" w:line="360" w:lineRule="auto"/>
        <w:jc w:val="both"/>
        <w:rPr>
          <w:rFonts w:ascii="Arial" w:hAnsi="Arial" w:cs="Arial"/>
          <w:sz w:val="20"/>
          <w:szCs w:val="20"/>
          <w:lang w:val="nb-NO"/>
        </w:rPr>
      </w:pPr>
      <w:r w:rsidRPr="001A125F">
        <w:rPr>
          <w:rFonts w:ascii="Arial" w:hAnsi="Arial" w:cs="Arial"/>
          <w:sz w:val="20"/>
          <w:szCs w:val="20"/>
        </w:rPr>
        <w:t>The correlation coefficient between GDP growth and the percentage of poor people r _x</w:t>
      </w:r>
      <w:r w:rsidRPr="001A125F">
        <w:rPr>
          <w:rFonts w:ascii="Arial" w:hAnsi="Arial" w:cs="Arial"/>
          <w:sz w:val="20"/>
          <w:szCs w:val="20"/>
          <w:vertAlign w:val="subscript"/>
        </w:rPr>
        <w:t>2</w:t>
      </w:r>
      <w:r w:rsidRPr="001A125F">
        <w:rPr>
          <w:rFonts w:ascii="Arial" w:hAnsi="Arial" w:cs="Arial"/>
          <w:sz w:val="20"/>
          <w:szCs w:val="20"/>
        </w:rPr>
        <w:t xml:space="preserve"> y2 = 0.096175 with a prob value of 0.7662, or insignificant at α 5%.</w:t>
      </w:r>
    </w:p>
    <w:p w14:paraId="7634E3F4" w14:textId="77777777" w:rsidR="00275DCD" w:rsidRPr="001A125F" w:rsidRDefault="00275DCD" w:rsidP="00275DCD">
      <w:pPr>
        <w:pStyle w:val="ListParagraph"/>
        <w:spacing w:after="0" w:line="360" w:lineRule="auto"/>
        <w:jc w:val="both"/>
        <w:rPr>
          <w:rFonts w:ascii="Arial" w:hAnsi="Arial" w:cs="Arial"/>
          <w:sz w:val="20"/>
          <w:szCs w:val="20"/>
          <w:lang w:val="nb-NO"/>
        </w:rPr>
      </w:pPr>
      <w:r w:rsidRPr="001A125F">
        <w:rPr>
          <w:rFonts w:ascii="Arial" w:hAnsi="Arial" w:cs="Arial"/>
          <w:sz w:val="20"/>
          <w:szCs w:val="20"/>
        </w:rPr>
        <w:t xml:space="preserve">The same thing is the correlation coefficient for the number of poor people, shown by the correlation coefficient between GDP growth and the percentage of poor population. The correlation of GDP growth with the percentage of poor people is also positive and insignificant at α 5%. This further strengthens the indication that poverty reduction in </w:t>
      </w:r>
      <w:proofErr w:type="spellStart"/>
      <w:r w:rsidRPr="001A125F">
        <w:rPr>
          <w:rFonts w:ascii="Arial" w:hAnsi="Arial" w:cs="Arial"/>
          <w:sz w:val="20"/>
          <w:szCs w:val="20"/>
        </w:rPr>
        <w:t>Gunungkidul</w:t>
      </w:r>
      <w:proofErr w:type="spellEnd"/>
      <w:r w:rsidRPr="001A125F">
        <w:rPr>
          <w:rFonts w:ascii="Arial" w:hAnsi="Arial" w:cs="Arial"/>
          <w:sz w:val="20"/>
          <w:szCs w:val="20"/>
        </w:rPr>
        <w:t xml:space="preserve"> Regency is less related to GDP growth.</w:t>
      </w:r>
    </w:p>
    <w:p w14:paraId="661A0F69" w14:textId="1AB89E10" w:rsidR="00275DCD" w:rsidRPr="001A125F" w:rsidRDefault="00275DCD" w:rsidP="00275DCD">
      <w:pPr>
        <w:spacing w:line="360" w:lineRule="auto"/>
        <w:ind w:firstLine="567"/>
        <w:jc w:val="both"/>
        <w:rPr>
          <w:rFonts w:ascii="Arial" w:hAnsi="Arial" w:cs="Arial"/>
          <w:lang w:val="nb-NO"/>
        </w:rPr>
      </w:pPr>
      <w:r w:rsidRPr="001A125F">
        <w:rPr>
          <w:rFonts w:ascii="Arial" w:hAnsi="Arial" w:cs="Arial"/>
        </w:rPr>
        <w:t xml:space="preserve">From the four correlation coefficient values that have been analyzed above, it can be stated in general that the macro variable income (GDP) per capita has a strong correlation in reducing poverty in </w:t>
      </w:r>
      <w:proofErr w:type="spellStart"/>
      <w:r w:rsidRPr="001A125F">
        <w:rPr>
          <w:rFonts w:ascii="Arial" w:hAnsi="Arial" w:cs="Arial"/>
        </w:rPr>
        <w:t>Gunungkidul</w:t>
      </w:r>
      <w:proofErr w:type="spellEnd"/>
      <w:r w:rsidRPr="001A125F">
        <w:rPr>
          <w:rFonts w:ascii="Arial" w:hAnsi="Arial" w:cs="Arial"/>
        </w:rPr>
        <w:t xml:space="preserve"> Regency, on the number of poor people and also the number of poor people. This can be one of the policy considerations, that to reduce poverty, programs that are oriented towards increasing income (GDP) per capita can be used. Worse still, transportation poverty is a major challenge to community development which is revealed in several ways </w:t>
      </w:r>
      <w:r w:rsidR="00E95EEA" w:rsidRPr="001A125F">
        <w:rPr>
          <w:rFonts w:ascii="Arial" w:hAnsi="Arial" w:cs="Arial"/>
        </w:rPr>
        <w:fldChar w:fldCharType="begin" w:fldLock="1"/>
      </w:r>
      <w:r w:rsidR="000121E3" w:rsidRPr="001A125F">
        <w:rPr>
          <w:rFonts w:ascii="Arial" w:hAnsi="Arial" w:cs="Arial"/>
        </w:rPr>
        <w:instrText>ADDIN CSL_CITATION {"citationItems":[{"id":"ITEM-1","itemData":{"DOI":"10.1016/j.erss.2025.104041","ISSN":"22146326","abstract":"Despite its importance for socio-economic equity and urban planning, transport poverty is a complex issue that lacks clear measurement tools. The paper seeks to bridge this gap by introducing a composite indicator to assess transport poverty vulnerability in the European Union. The newly constructed vulnerability index for transport poverty, which includes direct and indirect dimensions of affordability, accessibility and mobility from Eurostat and the World Bank, identifies EU-27 countries facing the greatest challenges. Further, the new index is compared with an augmented index that adjusts for externalities such as environmental impacts and demographic factors, providing a more nuanced analysis. The findings reveal a shift in the ranking of countries when the augmented index is considered. While Slovenia, Luxembourg and Austria initially ranked highest (indicating lower transport poverty vulnerability), with the augmented index Denmark, the Netherlands, Czech Republic and Germany emerge as the least transport vulnerable countries. The augmented index generally indicates that countries which invest heavily in transport infrastructure and maintain a balance between annual earnings and transport costs exhibit the least transport poverty vulnerability. Notably, approximately 90 to 125 million people in the EU-27 experience some form of transport poverty, driving the need for targeted policy interventions to address this pervasive issue.","author":[{"dropping-particle":"","family":"Primc","given":"Kaja","non-dropping-particle":"","parse-names":false,"suffix":""},{"dropping-particle":"","family":"Zabavnik","given":"Darja","non-dropping-particle":"","parse-names":false,"suffix":""},{"dropping-particle":"","family":"Slabe-Erker","given":"Renata","non-dropping-particle":"","parse-names":false,"suffix":""},{"dropping-particle":"","family":"Dominko","given":"Miha","non-dropping-particle":"","parse-names":false,"suffix":""}],"container-title":"Energy Research and Social Science","id":"ITEM-1","issue":"March","issued":{"date-parts":[["2025"]]},"page":"104041","publisher":"Elsevier Ltd","title":"Transport poverty vulnerability index: Making use of standardised databases","type":"article-journal","volume":"123"},"uris":["http://www.mendeley.com/documents/?uuid=a0edbb5b-1ffe-4619-bdd9-31c05e0fb1ef"]}],"mendeley":{"formattedCitation":"(Primc et al., 2025)","plainTextFormattedCitation":"(Primc et al., 2025)","previouslyFormattedCitation":"(Primc et al., 2025)"},"properties":{"noteIndex":0},"schema":"https://github.com/citation-style-language/schema/raw/master/csl-citation.json"}</w:instrText>
      </w:r>
      <w:r w:rsidR="00E95EEA" w:rsidRPr="001A125F">
        <w:rPr>
          <w:rFonts w:ascii="Arial" w:hAnsi="Arial" w:cs="Arial"/>
        </w:rPr>
        <w:fldChar w:fldCharType="separate"/>
      </w:r>
      <w:r w:rsidR="00E95EEA" w:rsidRPr="001A125F">
        <w:rPr>
          <w:rFonts w:ascii="Arial" w:hAnsi="Arial" w:cs="Arial"/>
          <w:noProof/>
        </w:rPr>
        <w:t>(Primc et al., 2025)</w:t>
      </w:r>
      <w:r w:rsidR="00E95EEA" w:rsidRPr="001A125F">
        <w:rPr>
          <w:rFonts w:ascii="Arial" w:hAnsi="Arial" w:cs="Arial"/>
        </w:rPr>
        <w:fldChar w:fldCharType="end"/>
      </w:r>
      <w:r w:rsidR="00E95EEA" w:rsidRPr="001A125F">
        <w:rPr>
          <w:rFonts w:ascii="Arial" w:hAnsi="Arial" w:cs="Arial"/>
        </w:rPr>
        <w:t>.</w:t>
      </w:r>
    </w:p>
    <w:p w14:paraId="10CE0E15" w14:textId="62E864CC" w:rsidR="00275DCD" w:rsidRPr="001A125F" w:rsidRDefault="00275DCD" w:rsidP="00275DCD">
      <w:pPr>
        <w:spacing w:line="360" w:lineRule="auto"/>
        <w:ind w:firstLine="540"/>
        <w:jc w:val="both"/>
        <w:rPr>
          <w:rFonts w:ascii="Arial" w:hAnsi="Arial" w:cs="Arial"/>
          <w:lang w:val="nb-NO"/>
        </w:rPr>
      </w:pPr>
      <w:r w:rsidRPr="001A125F">
        <w:rPr>
          <w:rFonts w:ascii="Arial" w:hAnsi="Arial" w:cs="Arial"/>
        </w:rPr>
        <w:lastRenderedPageBreak/>
        <w:t xml:space="preserve">On the other hand, the correlation coefficient of GDP growth to poverty is not very visible, or insignificant. Although it is not significant, the results of the calculation of the absolute value show a positive correlation coefficient value. This means that there are indications (although weak) that higher GDP growth can actually be related to an increase in poverty. This means, to reduce poverty, it cannot rely on programs that are oriented towards GDP growth. Education as a form of goodness, especially with intensive training. Quality education at a low cost is successfully done by the Vietnamese state </w:t>
      </w:r>
      <w:r w:rsidR="00395FF1" w:rsidRPr="001A125F">
        <w:rPr>
          <w:rFonts w:ascii="Arial" w:hAnsi="Arial" w:cs="Arial"/>
        </w:rPr>
        <w:fldChar w:fldCharType="begin" w:fldLock="1"/>
      </w:r>
      <w:r w:rsidR="00E47BDC" w:rsidRPr="001A125F">
        <w:rPr>
          <w:rFonts w:ascii="Arial" w:hAnsi="Arial" w:cs="Arial"/>
        </w:rPr>
        <w:instrText>ADDIN CSL_CITATION {"citationItems":[{"id":"ITEM-1","itemData":{"DOI":"10.1016/j.ijedudev.2023.102947","ISSN":"07380593","abstract":"This study considers the impact of economic growth on the quality of K-12 education in a transitional country over the 2016–2019 period, utilizing sub-national-level data. The study employs two-stage least squares for the panel-data model, confirming that (i) a one percentage point rise in per capita income increases national test scores in Vietnam by around 0.4–1.83%, and (ii) this nexus is influenced by the quality of institutions and by poverty levels. Notably, we find a non-linear relationship between economic growth and education: economic growth exhibits a U-shaped relationship with English scores, while its association with mathematics scores follows an inverse U-shaped pattern. The current study thus adds to the body of evidence supporting the link between educational quality and economic growth. As a result, policymakers in transitional nations can use the forces of economic growth to advance social objectives, rather than concentrating primarily on changing the educational system through increased government spending. In order to maximize the benefits of economic growth for the education system, the government policies should focus on assuring institutional quality improvement and multidimensional poverty reduction.","author":[{"dropping-particle":"","family":"Le","given":"Dao","non-dropping-particle":"Van","parse-names":false,"suffix":""},{"dropping-particle":"","family":"Tran","given":"Tuyen Quang","non-dropping-particle":"","parse-names":false,"suffix":""}],"container-title":"International Journal of Educational Development","id":"ITEM-1","issue":"June 2023","issued":{"date-parts":[["2024"]]},"page":"102947","publisher":"Elsevier Ltd","title":"Economic growth and quality of education: Evidence from the national high school exam in Vietnam","type":"article-journal","volume":"104"},"uris":["http://www.mendeley.com/documents/?uuid=45e52783-06f2-422f-96a1-7a288fed185b"]}],"mendeley":{"formattedCitation":"(Van Le &amp; Tran, 2024)","plainTextFormattedCitation":"(Van Le &amp; Tran, 2024)","previouslyFormattedCitation":"(Van Le &amp; Tran, 2024)"},"properties":{"noteIndex":0},"schema":"https://github.com/citation-style-language/schema/raw/master/csl-citation.json"}</w:instrText>
      </w:r>
      <w:r w:rsidR="00395FF1" w:rsidRPr="001A125F">
        <w:rPr>
          <w:rFonts w:ascii="Arial" w:hAnsi="Arial" w:cs="Arial"/>
        </w:rPr>
        <w:fldChar w:fldCharType="separate"/>
      </w:r>
      <w:r w:rsidR="00395FF1" w:rsidRPr="001A125F">
        <w:rPr>
          <w:rFonts w:ascii="Arial" w:hAnsi="Arial" w:cs="Arial"/>
          <w:noProof/>
        </w:rPr>
        <w:t>(Van Le &amp; Tran, 2024)</w:t>
      </w:r>
      <w:r w:rsidR="00395FF1" w:rsidRPr="001A125F">
        <w:rPr>
          <w:rFonts w:ascii="Arial" w:hAnsi="Arial" w:cs="Arial"/>
        </w:rPr>
        <w:fldChar w:fldCharType="end"/>
      </w:r>
      <w:r w:rsidR="00395FF1" w:rsidRPr="001A125F">
        <w:rPr>
          <w:rFonts w:ascii="Arial" w:hAnsi="Arial" w:cs="Arial"/>
        </w:rPr>
        <w:t>.</w:t>
      </w:r>
    </w:p>
    <w:p w14:paraId="05A32F1D" w14:textId="77777777" w:rsidR="00790ADA" w:rsidRPr="001A125F" w:rsidRDefault="00790ADA" w:rsidP="00441B6F">
      <w:pPr>
        <w:pStyle w:val="Body"/>
        <w:spacing w:after="0"/>
        <w:rPr>
          <w:rFonts w:ascii="Arial" w:hAnsi="Arial" w:cs="Arial"/>
        </w:rPr>
      </w:pPr>
    </w:p>
    <w:p w14:paraId="7223ED60" w14:textId="5DF0E095" w:rsidR="00790ADA" w:rsidRPr="001A125F" w:rsidRDefault="00000F8F" w:rsidP="00441B6F">
      <w:pPr>
        <w:pStyle w:val="ConcHead"/>
        <w:spacing w:after="0"/>
        <w:jc w:val="both"/>
        <w:rPr>
          <w:rFonts w:ascii="Arial" w:hAnsi="Arial" w:cs="Arial"/>
        </w:rPr>
      </w:pPr>
      <w:r w:rsidRPr="001A125F">
        <w:rPr>
          <w:rFonts w:ascii="Arial" w:hAnsi="Arial" w:cs="Arial"/>
        </w:rPr>
        <w:t>4. Conclusion</w:t>
      </w:r>
    </w:p>
    <w:p w14:paraId="600F0DFE" w14:textId="77777777" w:rsidR="00BC026E" w:rsidRPr="001A125F" w:rsidRDefault="00BC026E" w:rsidP="00BC026E">
      <w:pPr>
        <w:spacing w:line="360" w:lineRule="auto"/>
        <w:ind w:firstLine="567"/>
        <w:jc w:val="both"/>
        <w:rPr>
          <w:rFonts w:ascii="Arial" w:hAnsi="Arial" w:cs="Arial"/>
          <w:b/>
          <w:lang w:val="nb-NO"/>
        </w:rPr>
      </w:pPr>
      <w:r w:rsidRPr="001A125F">
        <w:rPr>
          <w:rFonts w:ascii="Arial" w:hAnsi="Arial" w:cs="Arial"/>
        </w:rPr>
        <w:t xml:space="preserve">Poverty in </w:t>
      </w:r>
      <w:proofErr w:type="spellStart"/>
      <w:r w:rsidRPr="001A125F">
        <w:rPr>
          <w:rFonts w:ascii="Arial" w:hAnsi="Arial" w:cs="Arial"/>
        </w:rPr>
        <w:t>Gunungkidul</w:t>
      </w:r>
      <w:proofErr w:type="spellEnd"/>
      <w:r w:rsidRPr="001A125F">
        <w:rPr>
          <w:rFonts w:ascii="Arial" w:hAnsi="Arial" w:cs="Arial"/>
        </w:rPr>
        <w:t xml:space="preserve"> Regency is basically natural poverty, which is poverty that arises due to existing natural and geographical conditions. Dry natural conditions, less fertile land, land with high slopes, dry rivers in the dry season, and many rocks cause low land productivity and subsequently cause poverty. Cultural and other poverty is basically just a consequent impact of natural poverty.</w:t>
      </w:r>
    </w:p>
    <w:p w14:paraId="3C98A151" w14:textId="047F18FE" w:rsidR="00BC026E" w:rsidRPr="001A125F" w:rsidRDefault="00BC026E" w:rsidP="00BC026E">
      <w:pPr>
        <w:spacing w:line="360" w:lineRule="auto"/>
        <w:ind w:firstLine="567"/>
        <w:jc w:val="both"/>
        <w:rPr>
          <w:rFonts w:ascii="Arial" w:hAnsi="Arial" w:cs="Arial"/>
          <w:b/>
          <w:lang w:val="nb-NO"/>
        </w:rPr>
      </w:pPr>
      <w:r w:rsidRPr="001A125F">
        <w:rPr>
          <w:rFonts w:ascii="Arial" w:hAnsi="Arial" w:cs="Arial"/>
        </w:rPr>
        <w:t xml:space="preserve">Part of the </w:t>
      </w:r>
      <w:proofErr w:type="spellStart"/>
      <w:r w:rsidRPr="001A125F">
        <w:rPr>
          <w:rFonts w:ascii="Arial" w:hAnsi="Arial" w:cs="Arial"/>
        </w:rPr>
        <w:t>Gunungkidul</w:t>
      </w:r>
      <w:proofErr w:type="spellEnd"/>
      <w:r w:rsidRPr="001A125F">
        <w:rPr>
          <w:rFonts w:ascii="Arial" w:hAnsi="Arial" w:cs="Arial"/>
        </w:rPr>
        <w:t xml:space="preserve"> Regency area is the </w:t>
      </w:r>
      <w:proofErr w:type="spellStart"/>
      <w:r w:rsidRPr="001A125F">
        <w:rPr>
          <w:rFonts w:ascii="Arial" w:hAnsi="Arial" w:cs="Arial"/>
        </w:rPr>
        <w:t>Gunungsewu</w:t>
      </w:r>
      <w:proofErr w:type="spellEnd"/>
      <w:r w:rsidRPr="001A125F">
        <w:rPr>
          <w:rFonts w:ascii="Arial" w:hAnsi="Arial" w:cs="Arial"/>
        </w:rPr>
        <w:t xml:space="preserve"> Karst area which is a conservation land. This results in a low potential for space utilization for utilization outside the agricultural sector, especially for investment. The tourism potential for nature owned by </w:t>
      </w:r>
      <w:proofErr w:type="spellStart"/>
      <w:r w:rsidRPr="001A125F">
        <w:rPr>
          <w:rFonts w:ascii="Arial" w:hAnsi="Arial" w:cs="Arial"/>
        </w:rPr>
        <w:t>Gunungkidul</w:t>
      </w:r>
      <w:proofErr w:type="spellEnd"/>
      <w:r w:rsidRPr="001A125F">
        <w:rPr>
          <w:rFonts w:ascii="Arial" w:hAnsi="Arial" w:cs="Arial"/>
        </w:rPr>
        <w:t xml:space="preserve"> Regency does not </w:t>
      </w:r>
      <w:r w:rsidR="001A125F" w:rsidRPr="001A125F">
        <w:rPr>
          <w:rFonts w:ascii="Arial" w:hAnsi="Arial" w:cs="Arial"/>
        </w:rPr>
        <w:t>produce a</w:t>
      </w:r>
      <w:r w:rsidRPr="001A125F">
        <w:rPr>
          <w:rFonts w:ascii="Arial" w:hAnsi="Arial" w:cs="Arial"/>
        </w:rPr>
        <w:t xml:space="preserve"> </w:t>
      </w:r>
      <w:r w:rsidRPr="001A125F">
        <w:rPr>
          <w:rFonts w:ascii="Arial" w:hAnsi="Arial" w:cs="Arial"/>
          <w:i/>
          <w:iCs/>
        </w:rPr>
        <w:t>multiplier effect</w:t>
      </w:r>
      <w:r w:rsidRPr="001A125F">
        <w:rPr>
          <w:rFonts w:ascii="Arial" w:hAnsi="Arial" w:cs="Arial"/>
        </w:rPr>
        <w:t xml:space="preserve"> that can reduce poverty if there is no touch of investment.</w:t>
      </w:r>
    </w:p>
    <w:p w14:paraId="7C501818" w14:textId="61CCF2D0" w:rsidR="00790ADA" w:rsidRDefault="00BC026E" w:rsidP="009932DF">
      <w:pPr>
        <w:spacing w:line="360" w:lineRule="auto"/>
        <w:ind w:firstLine="567"/>
        <w:jc w:val="both"/>
        <w:rPr>
          <w:rFonts w:ascii="Arial" w:hAnsi="Arial" w:cs="Arial"/>
        </w:rPr>
      </w:pPr>
      <w:r w:rsidRPr="001A125F">
        <w:rPr>
          <w:rFonts w:ascii="Arial" w:hAnsi="Arial" w:cs="Arial"/>
        </w:rPr>
        <w:t>Another conservation problem that is quite detrimental to poor household farmers is the long-tailed ape pest. Farmers cannot cope because of the existence of monkey conservation regulations, thus further worsening the condition of poverty.</w:t>
      </w:r>
    </w:p>
    <w:p w14:paraId="0E8C0AAE" w14:textId="77777777" w:rsidR="001A125F" w:rsidRPr="001A125F" w:rsidRDefault="001A125F" w:rsidP="009932DF">
      <w:pPr>
        <w:spacing w:line="360" w:lineRule="auto"/>
        <w:ind w:firstLine="567"/>
        <w:jc w:val="both"/>
        <w:rPr>
          <w:rFonts w:ascii="Arial" w:hAnsi="Arial" w:cs="Arial"/>
          <w:b/>
          <w:lang w:val="nb-NO"/>
        </w:rPr>
      </w:pPr>
    </w:p>
    <w:p w14:paraId="0BE39997" w14:textId="68E02C40" w:rsidR="00790ADA" w:rsidRPr="001A125F" w:rsidRDefault="00B01FCD" w:rsidP="00441B6F">
      <w:pPr>
        <w:pStyle w:val="AcknHead"/>
        <w:spacing w:after="0"/>
        <w:jc w:val="both"/>
        <w:rPr>
          <w:rFonts w:ascii="Arial" w:hAnsi="Arial" w:cs="Arial"/>
        </w:rPr>
      </w:pPr>
      <w:r w:rsidRPr="001A125F">
        <w:rPr>
          <w:rFonts w:ascii="Arial" w:hAnsi="Arial" w:cs="Arial"/>
        </w:rPr>
        <w:t>AcknowledgEments</w:t>
      </w:r>
    </w:p>
    <w:p w14:paraId="3587EF40" w14:textId="3ED27E94" w:rsidR="00315186" w:rsidRDefault="00BC026E" w:rsidP="00441B6F">
      <w:pPr>
        <w:pStyle w:val="Body"/>
        <w:spacing w:after="0"/>
      </w:pPr>
      <w:r w:rsidRPr="001A125F">
        <w:t xml:space="preserve">This research is supported by funding from the </w:t>
      </w:r>
      <w:proofErr w:type="spellStart"/>
      <w:r w:rsidRPr="001A125F">
        <w:t>Gunungkidul</w:t>
      </w:r>
      <w:proofErr w:type="spellEnd"/>
      <w:r w:rsidRPr="001A125F">
        <w:t xml:space="preserve"> Regency BAPPEDA.</w:t>
      </w:r>
    </w:p>
    <w:p w14:paraId="051A56AA" w14:textId="77777777" w:rsidR="002F77F1" w:rsidRPr="007A4135" w:rsidRDefault="002F77F1" w:rsidP="002F77F1">
      <w:pPr>
        <w:rPr>
          <w:highlight w:val="yellow"/>
        </w:rPr>
      </w:pPr>
      <w:r w:rsidRPr="007A4135">
        <w:rPr>
          <w:highlight w:val="yellow"/>
        </w:rPr>
        <w:t>Disclaimer (Artificial intelligence)</w:t>
      </w:r>
    </w:p>
    <w:p w14:paraId="5E7B5F8B" w14:textId="77777777" w:rsidR="002F77F1" w:rsidRPr="007A4135" w:rsidRDefault="002F77F1" w:rsidP="002F77F1">
      <w:pPr>
        <w:rPr>
          <w:highlight w:val="yellow"/>
        </w:rPr>
      </w:pPr>
      <w:r w:rsidRPr="007A4135">
        <w:rPr>
          <w:highlight w:val="yellow"/>
        </w:rPr>
        <w:t xml:space="preserve">Option 1: </w:t>
      </w:r>
    </w:p>
    <w:p w14:paraId="3E0D42A5" w14:textId="77777777" w:rsidR="002F77F1" w:rsidRPr="007A4135" w:rsidRDefault="002F77F1" w:rsidP="002F77F1">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1DC2840B" w14:textId="77777777" w:rsidR="002F77F1" w:rsidRPr="007A4135" w:rsidRDefault="002F77F1" w:rsidP="002F77F1">
      <w:pPr>
        <w:rPr>
          <w:highlight w:val="yellow"/>
        </w:rPr>
      </w:pPr>
      <w:r w:rsidRPr="007A4135">
        <w:rPr>
          <w:highlight w:val="yellow"/>
        </w:rPr>
        <w:t xml:space="preserve">Option 2: </w:t>
      </w:r>
    </w:p>
    <w:p w14:paraId="4A505424" w14:textId="77777777" w:rsidR="002F77F1" w:rsidRPr="007A4135" w:rsidRDefault="002F77F1" w:rsidP="002F77F1">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B8C11F" w14:textId="77777777" w:rsidR="002F77F1" w:rsidRPr="007A4135" w:rsidRDefault="002F77F1" w:rsidP="002F77F1">
      <w:pPr>
        <w:rPr>
          <w:highlight w:val="yellow"/>
        </w:rPr>
      </w:pPr>
      <w:r w:rsidRPr="007A4135">
        <w:rPr>
          <w:highlight w:val="yellow"/>
        </w:rPr>
        <w:t>Details of the AI usage are given below:</w:t>
      </w:r>
    </w:p>
    <w:p w14:paraId="78D58625" w14:textId="77777777" w:rsidR="002F77F1" w:rsidRPr="007A4135" w:rsidRDefault="002F77F1" w:rsidP="002F77F1">
      <w:pPr>
        <w:rPr>
          <w:highlight w:val="yellow"/>
        </w:rPr>
      </w:pPr>
      <w:r w:rsidRPr="007A4135">
        <w:rPr>
          <w:highlight w:val="yellow"/>
        </w:rPr>
        <w:t>1.</w:t>
      </w:r>
    </w:p>
    <w:p w14:paraId="32882903" w14:textId="77777777" w:rsidR="002F77F1" w:rsidRPr="007A4135" w:rsidRDefault="002F77F1" w:rsidP="002F77F1">
      <w:pPr>
        <w:rPr>
          <w:highlight w:val="yellow"/>
        </w:rPr>
      </w:pPr>
      <w:r w:rsidRPr="007A4135">
        <w:rPr>
          <w:highlight w:val="yellow"/>
        </w:rPr>
        <w:t>2.</w:t>
      </w:r>
    </w:p>
    <w:p w14:paraId="2C9A1D66" w14:textId="77777777" w:rsidR="002F77F1" w:rsidRPr="00D047BB" w:rsidRDefault="002F77F1" w:rsidP="002F77F1">
      <w:r w:rsidRPr="007A4135">
        <w:rPr>
          <w:highlight w:val="yellow"/>
        </w:rPr>
        <w:t>3.</w:t>
      </w:r>
    </w:p>
    <w:p w14:paraId="2C4ED027" w14:textId="77777777" w:rsidR="002F77F1" w:rsidRPr="001A125F" w:rsidRDefault="002F77F1" w:rsidP="00441B6F">
      <w:pPr>
        <w:pStyle w:val="Body"/>
        <w:spacing w:after="0"/>
        <w:rPr>
          <w:rFonts w:ascii="Arial" w:hAnsi="Arial" w:cs="Arial"/>
        </w:rPr>
      </w:pPr>
      <w:bookmarkStart w:id="8" w:name="_GoBack"/>
      <w:bookmarkEnd w:id="8"/>
    </w:p>
    <w:p w14:paraId="325C1E7A" w14:textId="77777777" w:rsidR="00860000" w:rsidRPr="001A125F" w:rsidRDefault="00860000" w:rsidP="00441B6F">
      <w:pPr>
        <w:pStyle w:val="ReferHead"/>
        <w:spacing w:after="0"/>
        <w:jc w:val="both"/>
        <w:rPr>
          <w:rFonts w:ascii="Arial" w:hAnsi="Arial" w:cs="Arial"/>
        </w:rPr>
      </w:pPr>
    </w:p>
    <w:p w14:paraId="00279E41" w14:textId="4B50472F" w:rsidR="00790ADA" w:rsidRPr="001A125F" w:rsidRDefault="00B01FCD" w:rsidP="00441B6F">
      <w:pPr>
        <w:pStyle w:val="ReferHead"/>
        <w:spacing w:after="0"/>
        <w:jc w:val="both"/>
        <w:rPr>
          <w:rFonts w:ascii="Arial" w:hAnsi="Arial" w:cs="Arial"/>
        </w:rPr>
      </w:pPr>
      <w:r w:rsidRPr="001A125F">
        <w:rPr>
          <w:rFonts w:ascii="Arial" w:hAnsi="Arial" w:cs="Arial"/>
        </w:rPr>
        <w:t>References</w:t>
      </w:r>
    </w:p>
    <w:p w14:paraId="3BBACD13" w14:textId="734AEA1B" w:rsidR="00E47BDC" w:rsidRPr="001A125F" w:rsidRDefault="00F6723F" w:rsidP="009932DF">
      <w:pPr>
        <w:widowControl w:val="0"/>
        <w:autoSpaceDE w:val="0"/>
        <w:autoSpaceDN w:val="0"/>
        <w:adjustRightInd w:val="0"/>
        <w:ind w:left="480" w:hanging="480"/>
        <w:jc w:val="both"/>
        <w:rPr>
          <w:rFonts w:ascii="Arial" w:hAnsi="Arial" w:cs="Arial"/>
          <w:noProof/>
          <w:szCs w:val="24"/>
        </w:rPr>
      </w:pPr>
      <w:r w:rsidRPr="001A125F">
        <w:rPr>
          <w:rFonts w:ascii="Arial" w:hAnsi="Arial" w:cs="Arial"/>
        </w:rPr>
        <w:fldChar w:fldCharType="begin" w:fldLock="1"/>
      </w:r>
      <w:r w:rsidRPr="001A125F">
        <w:rPr>
          <w:rFonts w:ascii="Arial" w:hAnsi="Arial" w:cs="Arial"/>
        </w:rPr>
        <w:instrText xml:space="preserve">ADDIN Mendeley Bibliography CSL_BIBLIOGRAPHY </w:instrText>
      </w:r>
      <w:r w:rsidRPr="001A125F">
        <w:rPr>
          <w:rFonts w:ascii="Arial" w:hAnsi="Arial" w:cs="Arial"/>
        </w:rPr>
        <w:fldChar w:fldCharType="separate"/>
      </w:r>
      <w:r w:rsidR="00E47BDC" w:rsidRPr="001A125F">
        <w:rPr>
          <w:rFonts w:ascii="Arial" w:hAnsi="Arial" w:cs="Arial"/>
          <w:noProof/>
          <w:szCs w:val="24"/>
        </w:rPr>
        <w:t xml:space="preserve">Ayiku, A. (2025). </w:t>
      </w:r>
      <w:r w:rsidR="001A125F" w:rsidRPr="001A125F">
        <w:rPr>
          <w:rFonts w:ascii="Arial" w:hAnsi="Arial" w:cs="Arial"/>
          <w:noProof/>
          <w:szCs w:val="24"/>
        </w:rPr>
        <w:t>Women’s Economic Empowerment And Poverty: Specification Empirics Examining Global Data.</w:t>
      </w:r>
      <w:r w:rsidR="00E47BDC" w:rsidRPr="001A125F">
        <w:rPr>
          <w:rFonts w:ascii="Arial" w:hAnsi="Arial" w:cs="Arial"/>
          <w:noProof/>
          <w:szCs w:val="24"/>
        </w:rPr>
        <w:t xml:space="preserve"> </w:t>
      </w:r>
      <w:r w:rsidR="00E47BDC" w:rsidRPr="001A125F">
        <w:rPr>
          <w:rFonts w:ascii="Arial" w:hAnsi="Arial" w:cs="Arial"/>
          <w:i/>
          <w:iCs/>
          <w:noProof/>
          <w:szCs w:val="24"/>
        </w:rPr>
        <w:t>Sustainable Futures</w:t>
      </w:r>
      <w:r w:rsidR="00E47BDC" w:rsidRPr="001A125F">
        <w:rPr>
          <w:rFonts w:ascii="Arial" w:hAnsi="Arial" w:cs="Arial"/>
          <w:noProof/>
          <w:szCs w:val="24"/>
        </w:rPr>
        <w:t>, 100625. https://doi.org/10.1016/j.sftr.2025.100625</w:t>
      </w:r>
    </w:p>
    <w:p w14:paraId="085A25C0" w14:textId="77777777" w:rsidR="00E47BDC" w:rsidRPr="001A125F" w:rsidRDefault="00E47BDC" w:rsidP="009932DF">
      <w:pPr>
        <w:widowControl w:val="0"/>
        <w:autoSpaceDE w:val="0"/>
        <w:autoSpaceDN w:val="0"/>
        <w:adjustRightInd w:val="0"/>
        <w:ind w:left="480" w:hanging="480"/>
        <w:jc w:val="both"/>
        <w:rPr>
          <w:rFonts w:ascii="Arial" w:hAnsi="Arial" w:cs="Arial"/>
          <w:noProof/>
          <w:szCs w:val="24"/>
        </w:rPr>
      </w:pPr>
      <w:r w:rsidRPr="001A125F">
        <w:rPr>
          <w:rFonts w:ascii="Arial" w:hAnsi="Arial" w:cs="Arial"/>
          <w:noProof/>
          <w:szCs w:val="24"/>
        </w:rPr>
        <w:t xml:space="preserve">Azmeh, C. (2025). Bridging divides: the role of Fintech and financial inclusion in reducing poverty and inequality in developing countries. </w:t>
      </w:r>
      <w:r w:rsidRPr="001A125F">
        <w:rPr>
          <w:rFonts w:ascii="Arial" w:hAnsi="Arial" w:cs="Arial"/>
          <w:i/>
          <w:iCs/>
          <w:noProof/>
          <w:szCs w:val="24"/>
        </w:rPr>
        <w:t>Innovation and Development</w:t>
      </w:r>
      <w:r w:rsidRPr="001A125F">
        <w:rPr>
          <w:rFonts w:ascii="Arial" w:hAnsi="Arial" w:cs="Arial"/>
          <w:noProof/>
          <w:szCs w:val="24"/>
        </w:rPr>
        <w:t xml:space="preserve">, </w:t>
      </w:r>
      <w:r w:rsidRPr="001A125F">
        <w:rPr>
          <w:rFonts w:ascii="Arial" w:hAnsi="Arial" w:cs="Arial"/>
          <w:i/>
          <w:iCs/>
          <w:noProof/>
          <w:szCs w:val="24"/>
        </w:rPr>
        <w:t>10</w:t>
      </w:r>
      <w:r w:rsidRPr="001A125F">
        <w:rPr>
          <w:rFonts w:ascii="Arial" w:hAnsi="Arial" w:cs="Arial"/>
          <w:noProof/>
          <w:szCs w:val="24"/>
        </w:rPr>
        <w:t>(December 2024), 100277. https://doi.org/10.1080/2157930X.2025.2467515</w:t>
      </w:r>
    </w:p>
    <w:p w14:paraId="0566F40C" w14:textId="77777777" w:rsidR="00E47BDC" w:rsidRPr="001A125F" w:rsidRDefault="00E47BDC" w:rsidP="009932DF">
      <w:pPr>
        <w:widowControl w:val="0"/>
        <w:autoSpaceDE w:val="0"/>
        <w:autoSpaceDN w:val="0"/>
        <w:adjustRightInd w:val="0"/>
        <w:ind w:left="480" w:hanging="480"/>
        <w:jc w:val="both"/>
        <w:rPr>
          <w:rFonts w:ascii="Arial" w:hAnsi="Arial" w:cs="Arial"/>
          <w:noProof/>
          <w:szCs w:val="24"/>
        </w:rPr>
      </w:pPr>
      <w:r w:rsidRPr="001A125F">
        <w:rPr>
          <w:rFonts w:ascii="Arial" w:hAnsi="Arial" w:cs="Arial"/>
          <w:noProof/>
          <w:szCs w:val="24"/>
        </w:rPr>
        <w:t xml:space="preserve">Bon, T., Bruno, M., &amp; van Oort, N. (2025). Three-dimensional transport poverty and its socio-demographic and urban density predictors: Spatial regression analyses of neighborhoods in the Amsterdam metropolitan area. </w:t>
      </w:r>
      <w:r w:rsidRPr="001A125F">
        <w:rPr>
          <w:rFonts w:ascii="Arial" w:hAnsi="Arial" w:cs="Arial"/>
          <w:i/>
          <w:iCs/>
          <w:noProof/>
          <w:szCs w:val="24"/>
        </w:rPr>
        <w:t>Transportation Research Interdisciplinary Perspectives</w:t>
      </w:r>
      <w:r w:rsidRPr="001A125F">
        <w:rPr>
          <w:rFonts w:ascii="Arial" w:hAnsi="Arial" w:cs="Arial"/>
          <w:noProof/>
          <w:szCs w:val="24"/>
        </w:rPr>
        <w:t xml:space="preserve">, </w:t>
      </w:r>
      <w:r w:rsidRPr="001A125F">
        <w:rPr>
          <w:rFonts w:ascii="Arial" w:hAnsi="Arial" w:cs="Arial"/>
          <w:i/>
          <w:iCs/>
          <w:noProof/>
          <w:szCs w:val="24"/>
        </w:rPr>
        <w:t>29</w:t>
      </w:r>
      <w:r w:rsidRPr="001A125F">
        <w:rPr>
          <w:rFonts w:ascii="Arial" w:hAnsi="Arial" w:cs="Arial"/>
          <w:noProof/>
          <w:szCs w:val="24"/>
        </w:rPr>
        <w:t>(January), 101340. https://doi.org/10.1016/j.trip.2025.101340</w:t>
      </w:r>
    </w:p>
    <w:p w14:paraId="59AD13CD" w14:textId="77777777" w:rsidR="00E47BDC" w:rsidRPr="001A125F" w:rsidRDefault="00E47BDC" w:rsidP="009932DF">
      <w:pPr>
        <w:widowControl w:val="0"/>
        <w:autoSpaceDE w:val="0"/>
        <w:autoSpaceDN w:val="0"/>
        <w:adjustRightInd w:val="0"/>
        <w:ind w:left="480" w:hanging="480"/>
        <w:jc w:val="both"/>
        <w:rPr>
          <w:rFonts w:ascii="Arial" w:hAnsi="Arial" w:cs="Arial"/>
          <w:noProof/>
          <w:szCs w:val="24"/>
        </w:rPr>
      </w:pPr>
      <w:r w:rsidRPr="001A125F">
        <w:rPr>
          <w:rFonts w:ascii="Arial" w:hAnsi="Arial" w:cs="Arial"/>
          <w:noProof/>
          <w:szCs w:val="24"/>
        </w:rPr>
        <w:t xml:space="preserve">Cerra, V., Loayza, N., &amp; Lama, R. (2021). Links Between Growth, Inequality, and Poverty: A Survey. </w:t>
      </w:r>
      <w:r w:rsidRPr="001A125F">
        <w:rPr>
          <w:rFonts w:ascii="Arial" w:hAnsi="Arial" w:cs="Arial"/>
          <w:i/>
          <w:iCs/>
          <w:noProof/>
          <w:szCs w:val="24"/>
        </w:rPr>
        <w:t>IMF Working Papers</w:t>
      </w:r>
      <w:r w:rsidRPr="001A125F">
        <w:rPr>
          <w:rFonts w:ascii="Arial" w:hAnsi="Arial" w:cs="Arial"/>
          <w:noProof/>
          <w:szCs w:val="24"/>
        </w:rPr>
        <w:t xml:space="preserve">, </w:t>
      </w:r>
      <w:r w:rsidRPr="001A125F">
        <w:rPr>
          <w:rFonts w:ascii="Arial" w:hAnsi="Arial" w:cs="Arial"/>
          <w:i/>
          <w:iCs/>
          <w:noProof/>
          <w:szCs w:val="24"/>
        </w:rPr>
        <w:t>2021</w:t>
      </w:r>
      <w:r w:rsidRPr="001A125F">
        <w:rPr>
          <w:rFonts w:ascii="Arial" w:hAnsi="Arial" w:cs="Arial"/>
          <w:noProof/>
          <w:szCs w:val="24"/>
        </w:rPr>
        <w:t>(068), 1. https://doi.org/10.5089/9781513572666.001</w:t>
      </w:r>
    </w:p>
    <w:p w14:paraId="5FDD7617" w14:textId="77777777" w:rsidR="00E47BDC" w:rsidRPr="001A125F" w:rsidRDefault="00E47BDC" w:rsidP="009932DF">
      <w:pPr>
        <w:widowControl w:val="0"/>
        <w:autoSpaceDE w:val="0"/>
        <w:autoSpaceDN w:val="0"/>
        <w:adjustRightInd w:val="0"/>
        <w:ind w:left="480" w:hanging="480"/>
        <w:jc w:val="both"/>
        <w:rPr>
          <w:rFonts w:ascii="Arial" w:hAnsi="Arial" w:cs="Arial"/>
          <w:noProof/>
          <w:szCs w:val="24"/>
        </w:rPr>
      </w:pPr>
      <w:r w:rsidRPr="001A125F">
        <w:rPr>
          <w:rFonts w:ascii="Arial" w:hAnsi="Arial" w:cs="Arial"/>
          <w:noProof/>
          <w:szCs w:val="24"/>
        </w:rPr>
        <w:t xml:space="preserve">Deutsch, J., Silber, J., Wan, G., &amp; Zhao, M. (2020). Asset indexes and the measurement of poverty, inequality and welfare in Southeast Asia. </w:t>
      </w:r>
      <w:r w:rsidRPr="001A125F">
        <w:rPr>
          <w:rFonts w:ascii="Arial" w:hAnsi="Arial" w:cs="Arial"/>
          <w:i/>
          <w:iCs/>
          <w:noProof/>
          <w:szCs w:val="24"/>
        </w:rPr>
        <w:t>Journal of Asian Economics</w:t>
      </w:r>
      <w:r w:rsidRPr="001A125F">
        <w:rPr>
          <w:rFonts w:ascii="Arial" w:hAnsi="Arial" w:cs="Arial"/>
          <w:noProof/>
          <w:szCs w:val="24"/>
        </w:rPr>
        <w:t xml:space="preserve">, </w:t>
      </w:r>
      <w:r w:rsidRPr="001A125F">
        <w:rPr>
          <w:rFonts w:ascii="Arial" w:hAnsi="Arial" w:cs="Arial"/>
          <w:i/>
          <w:iCs/>
          <w:noProof/>
          <w:szCs w:val="24"/>
        </w:rPr>
        <w:t>70</w:t>
      </w:r>
      <w:r w:rsidRPr="001A125F">
        <w:rPr>
          <w:rFonts w:ascii="Arial" w:hAnsi="Arial" w:cs="Arial"/>
          <w:noProof/>
          <w:szCs w:val="24"/>
        </w:rPr>
        <w:t>, 101220. https://doi.org/10.1016/j.asieco.2020.101220</w:t>
      </w:r>
    </w:p>
    <w:p w14:paraId="4E08294B" w14:textId="77777777" w:rsidR="00E47BDC" w:rsidRPr="001A125F" w:rsidRDefault="00E47BDC" w:rsidP="009932DF">
      <w:pPr>
        <w:widowControl w:val="0"/>
        <w:autoSpaceDE w:val="0"/>
        <w:autoSpaceDN w:val="0"/>
        <w:adjustRightInd w:val="0"/>
        <w:ind w:left="480" w:hanging="480"/>
        <w:jc w:val="both"/>
        <w:rPr>
          <w:rFonts w:ascii="Arial" w:hAnsi="Arial" w:cs="Arial"/>
          <w:noProof/>
          <w:szCs w:val="24"/>
        </w:rPr>
      </w:pPr>
      <w:r w:rsidRPr="001A125F">
        <w:rPr>
          <w:rFonts w:ascii="Arial" w:hAnsi="Arial" w:cs="Arial"/>
          <w:noProof/>
          <w:szCs w:val="24"/>
        </w:rPr>
        <w:t xml:space="preserve">Giorgio, L. (2024). Economic freedom and people at risk of poverty in selected Eurozone countries. </w:t>
      </w:r>
      <w:r w:rsidRPr="001A125F">
        <w:rPr>
          <w:rFonts w:ascii="Arial" w:hAnsi="Arial" w:cs="Arial"/>
          <w:i/>
          <w:iCs/>
          <w:noProof/>
          <w:szCs w:val="24"/>
        </w:rPr>
        <w:t>International Economics</w:t>
      </w:r>
      <w:r w:rsidRPr="001A125F">
        <w:rPr>
          <w:rFonts w:ascii="Arial" w:hAnsi="Arial" w:cs="Arial"/>
          <w:noProof/>
          <w:szCs w:val="24"/>
        </w:rPr>
        <w:t xml:space="preserve">, </w:t>
      </w:r>
      <w:r w:rsidRPr="001A125F">
        <w:rPr>
          <w:rFonts w:ascii="Arial" w:hAnsi="Arial" w:cs="Arial"/>
          <w:i/>
          <w:iCs/>
          <w:noProof/>
          <w:szCs w:val="24"/>
        </w:rPr>
        <w:t>180</w:t>
      </w:r>
      <w:r w:rsidRPr="001A125F">
        <w:rPr>
          <w:rFonts w:ascii="Arial" w:hAnsi="Arial" w:cs="Arial"/>
          <w:noProof/>
          <w:szCs w:val="24"/>
        </w:rPr>
        <w:t>(September), 100551. https://doi.org/10.1016/j.inteco.2024.100551</w:t>
      </w:r>
    </w:p>
    <w:p w14:paraId="2A251364" w14:textId="77777777" w:rsidR="00E47BDC" w:rsidRPr="001A125F" w:rsidRDefault="00E47BDC" w:rsidP="009932DF">
      <w:pPr>
        <w:widowControl w:val="0"/>
        <w:autoSpaceDE w:val="0"/>
        <w:autoSpaceDN w:val="0"/>
        <w:adjustRightInd w:val="0"/>
        <w:ind w:left="480" w:hanging="480"/>
        <w:jc w:val="both"/>
        <w:rPr>
          <w:rFonts w:ascii="Arial" w:hAnsi="Arial" w:cs="Arial"/>
          <w:noProof/>
          <w:szCs w:val="24"/>
        </w:rPr>
      </w:pPr>
      <w:r w:rsidRPr="001A125F">
        <w:rPr>
          <w:rFonts w:ascii="Arial" w:hAnsi="Arial" w:cs="Arial"/>
          <w:noProof/>
          <w:szCs w:val="24"/>
        </w:rPr>
        <w:t xml:space="preserve">Huang, W., Luo, M., Song, Y., Wang, Y., &amp; Wu, H. (2025). Poverty spillovers in human capital Formation: Evidence from randomized class assignments in China. </w:t>
      </w:r>
      <w:r w:rsidRPr="001A125F">
        <w:rPr>
          <w:rFonts w:ascii="Arial" w:hAnsi="Arial" w:cs="Arial"/>
          <w:i/>
          <w:iCs/>
          <w:noProof/>
          <w:szCs w:val="24"/>
        </w:rPr>
        <w:t>Journal of Public Economics</w:t>
      </w:r>
      <w:r w:rsidRPr="001A125F">
        <w:rPr>
          <w:rFonts w:ascii="Arial" w:hAnsi="Arial" w:cs="Arial"/>
          <w:noProof/>
          <w:szCs w:val="24"/>
        </w:rPr>
        <w:t xml:space="preserve">, </w:t>
      </w:r>
      <w:r w:rsidRPr="001A125F">
        <w:rPr>
          <w:rFonts w:ascii="Arial" w:hAnsi="Arial" w:cs="Arial"/>
          <w:i/>
          <w:iCs/>
          <w:noProof/>
          <w:szCs w:val="24"/>
        </w:rPr>
        <w:t>244</w:t>
      </w:r>
      <w:r w:rsidRPr="001A125F">
        <w:rPr>
          <w:rFonts w:ascii="Arial" w:hAnsi="Arial" w:cs="Arial"/>
          <w:noProof/>
          <w:szCs w:val="24"/>
        </w:rPr>
        <w:t>(October 2023), 105334. https://doi.org/10.1016/j.jpubeco.2025.105334</w:t>
      </w:r>
    </w:p>
    <w:p w14:paraId="6B65A171" w14:textId="77777777" w:rsidR="00E47BDC" w:rsidRPr="001A125F" w:rsidRDefault="00E47BDC" w:rsidP="009932DF">
      <w:pPr>
        <w:widowControl w:val="0"/>
        <w:autoSpaceDE w:val="0"/>
        <w:autoSpaceDN w:val="0"/>
        <w:adjustRightInd w:val="0"/>
        <w:ind w:left="480" w:hanging="480"/>
        <w:jc w:val="both"/>
        <w:rPr>
          <w:rFonts w:ascii="Arial" w:hAnsi="Arial" w:cs="Arial"/>
          <w:noProof/>
          <w:szCs w:val="24"/>
        </w:rPr>
      </w:pPr>
      <w:r w:rsidRPr="001A125F">
        <w:rPr>
          <w:rFonts w:ascii="Arial" w:hAnsi="Arial" w:cs="Arial"/>
          <w:noProof/>
          <w:szCs w:val="24"/>
        </w:rPr>
        <w:t xml:space="preserve">Khurshid, N., Akram, N., &amp; Rashid, M. (2025). Exploring the non-linear impact of information and communication technology, globalization, and geopolitical risks on poverty in Pakistan. </w:t>
      </w:r>
      <w:r w:rsidRPr="001A125F">
        <w:rPr>
          <w:rFonts w:ascii="Arial" w:hAnsi="Arial" w:cs="Arial"/>
          <w:i/>
          <w:iCs/>
          <w:noProof/>
          <w:szCs w:val="24"/>
        </w:rPr>
        <w:t>Research in Globalization</w:t>
      </w:r>
      <w:r w:rsidRPr="001A125F">
        <w:rPr>
          <w:rFonts w:ascii="Arial" w:hAnsi="Arial" w:cs="Arial"/>
          <w:noProof/>
          <w:szCs w:val="24"/>
        </w:rPr>
        <w:t xml:space="preserve">, </w:t>
      </w:r>
      <w:r w:rsidRPr="001A125F">
        <w:rPr>
          <w:rFonts w:ascii="Arial" w:hAnsi="Arial" w:cs="Arial"/>
          <w:i/>
          <w:iCs/>
          <w:noProof/>
          <w:szCs w:val="24"/>
        </w:rPr>
        <w:t>10</w:t>
      </w:r>
      <w:r w:rsidRPr="001A125F">
        <w:rPr>
          <w:rFonts w:ascii="Arial" w:hAnsi="Arial" w:cs="Arial"/>
          <w:noProof/>
          <w:szCs w:val="24"/>
        </w:rPr>
        <w:t>(September 2024), 100272. https://doi.org/10.1016/j.resglo.2025.100272</w:t>
      </w:r>
    </w:p>
    <w:p w14:paraId="34EF5C25" w14:textId="77777777" w:rsidR="00E47BDC" w:rsidRPr="001A125F" w:rsidRDefault="00E47BDC" w:rsidP="009932DF">
      <w:pPr>
        <w:widowControl w:val="0"/>
        <w:autoSpaceDE w:val="0"/>
        <w:autoSpaceDN w:val="0"/>
        <w:adjustRightInd w:val="0"/>
        <w:ind w:left="480" w:hanging="480"/>
        <w:jc w:val="both"/>
        <w:rPr>
          <w:rFonts w:ascii="Arial" w:hAnsi="Arial" w:cs="Arial"/>
          <w:noProof/>
          <w:szCs w:val="24"/>
        </w:rPr>
      </w:pPr>
      <w:r w:rsidRPr="001A125F">
        <w:rPr>
          <w:rFonts w:ascii="Arial" w:hAnsi="Arial" w:cs="Arial"/>
          <w:noProof/>
          <w:szCs w:val="24"/>
        </w:rPr>
        <w:t xml:space="preserve">Kim, D. (2022). Assessing regional economy in North Korea using nighttime light. </w:t>
      </w:r>
      <w:r w:rsidRPr="001A125F">
        <w:rPr>
          <w:rFonts w:ascii="Arial" w:hAnsi="Arial" w:cs="Arial"/>
          <w:i/>
          <w:iCs/>
          <w:noProof/>
          <w:szCs w:val="24"/>
        </w:rPr>
        <w:t>Asia and the Global Economy</w:t>
      </w:r>
      <w:r w:rsidRPr="001A125F">
        <w:rPr>
          <w:rFonts w:ascii="Arial" w:hAnsi="Arial" w:cs="Arial"/>
          <w:noProof/>
          <w:szCs w:val="24"/>
        </w:rPr>
        <w:t xml:space="preserve">, </w:t>
      </w:r>
      <w:r w:rsidRPr="001A125F">
        <w:rPr>
          <w:rFonts w:ascii="Arial" w:hAnsi="Arial" w:cs="Arial"/>
          <w:i/>
          <w:iCs/>
          <w:noProof/>
          <w:szCs w:val="24"/>
        </w:rPr>
        <w:t>2</w:t>
      </w:r>
      <w:r w:rsidRPr="001A125F">
        <w:rPr>
          <w:rFonts w:ascii="Arial" w:hAnsi="Arial" w:cs="Arial"/>
          <w:noProof/>
          <w:szCs w:val="24"/>
        </w:rPr>
        <w:t>(3), 100046. https://doi.org/10.1016/j.aglobe.2022.100046</w:t>
      </w:r>
    </w:p>
    <w:p w14:paraId="5DAEC717" w14:textId="77777777" w:rsidR="00E47BDC" w:rsidRPr="001A125F" w:rsidRDefault="00E47BDC" w:rsidP="009932DF">
      <w:pPr>
        <w:widowControl w:val="0"/>
        <w:autoSpaceDE w:val="0"/>
        <w:autoSpaceDN w:val="0"/>
        <w:adjustRightInd w:val="0"/>
        <w:ind w:left="480" w:hanging="480"/>
        <w:jc w:val="both"/>
        <w:rPr>
          <w:rFonts w:ascii="Arial" w:hAnsi="Arial" w:cs="Arial"/>
          <w:noProof/>
          <w:szCs w:val="24"/>
        </w:rPr>
      </w:pPr>
      <w:r w:rsidRPr="001A125F">
        <w:rPr>
          <w:rFonts w:ascii="Arial" w:hAnsi="Arial" w:cs="Arial"/>
          <w:noProof/>
          <w:szCs w:val="24"/>
        </w:rPr>
        <w:t xml:space="preserve">Onsay, E. A., &amp; Rabajante, J. F. (2024). When machine learning meets econometrics: Can it build a better measure to predict multidimensional poverty and examine unmeasurable economic conditions? </w:t>
      </w:r>
      <w:r w:rsidRPr="001A125F">
        <w:rPr>
          <w:rFonts w:ascii="Arial" w:hAnsi="Arial" w:cs="Arial"/>
          <w:i/>
          <w:iCs/>
          <w:noProof/>
          <w:szCs w:val="24"/>
        </w:rPr>
        <w:t>Science Talks</w:t>
      </w:r>
      <w:r w:rsidRPr="001A125F">
        <w:rPr>
          <w:rFonts w:ascii="Arial" w:hAnsi="Arial" w:cs="Arial"/>
          <w:noProof/>
          <w:szCs w:val="24"/>
        </w:rPr>
        <w:t xml:space="preserve">, </w:t>
      </w:r>
      <w:r w:rsidRPr="001A125F">
        <w:rPr>
          <w:rFonts w:ascii="Arial" w:hAnsi="Arial" w:cs="Arial"/>
          <w:i/>
          <w:iCs/>
          <w:noProof/>
          <w:szCs w:val="24"/>
        </w:rPr>
        <w:t>11</w:t>
      </w:r>
      <w:r w:rsidRPr="001A125F">
        <w:rPr>
          <w:rFonts w:ascii="Arial" w:hAnsi="Arial" w:cs="Arial"/>
          <w:noProof/>
          <w:szCs w:val="24"/>
        </w:rPr>
        <w:t>(July), 100387. https://doi.org/10.1016/j.sctalk.2024.100387</w:t>
      </w:r>
    </w:p>
    <w:p w14:paraId="15189A6B" w14:textId="77777777" w:rsidR="00E47BDC" w:rsidRPr="001A125F" w:rsidRDefault="00E47BDC" w:rsidP="009932DF">
      <w:pPr>
        <w:widowControl w:val="0"/>
        <w:autoSpaceDE w:val="0"/>
        <w:autoSpaceDN w:val="0"/>
        <w:adjustRightInd w:val="0"/>
        <w:ind w:left="480" w:hanging="480"/>
        <w:jc w:val="both"/>
        <w:rPr>
          <w:rFonts w:ascii="Arial" w:hAnsi="Arial" w:cs="Arial"/>
          <w:noProof/>
          <w:szCs w:val="24"/>
        </w:rPr>
      </w:pPr>
      <w:r w:rsidRPr="001A125F">
        <w:rPr>
          <w:rFonts w:ascii="Arial" w:hAnsi="Arial" w:cs="Arial"/>
          <w:noProof/>
          <w:szCs w:val="24"/>
        </w:rPr>
        <w:t xml:space="preserve">Onsay, E. A., &amp; Rabajante, J. F. (2025). Heliyon Do indigenous people get left behind ? An innovative methodology for measuring the unmeasurable economic conditions and poverty from the poorest region of Luzon , Philippines. </w:t>
      </w:r>
      <w:r w:rsidRPr="001A125F">
        <w:rPr>
          <w:rFonts w:ascii="Arial" w:hAnsi="Arial" w:cs="Arial"/>
          <w:i/>
          <w:iCs/>
          <w:noProof/>
          <w:szCs w:val="24"/>
        </w:rPr>
        <w:t>Heliyon</w:t>
      </w:r>
      <w:r w:rsidRPr="001A125F">
        <w:rPr>
          <w:rFonts w:ascii="Arial" w:hAnsi="Arial" w:cs="Arial"/>
          <w:noProof/>
          <w:szCs w:val="24"/>
        </w:rPr>
        <w:t xml:space="preserve">, </w:t>
      </w:r>
      <w:r w:rsidRPr="001A125F">
        <w:rPr>
          <w:rFonts w:ascii="Arial" w:hAnsi="Arial" w:cs="Arial"/>
          <w:i/>
          <w:iCs/>
          <w:noProof/>
          <w:szCs w:val="24"/>
        </w:rPr>
        <w:t>11</w:t>
      </w:r>
      <w:r w:rsidRPr="001A125F">
        <w:rPr>
          <w:rFonts w:ascii="Arial" w:hAnsi="Arial" w:cs="Arial"/>
          <w:noProof/>
          <w:szCs w:val="24"/>
        </w:rPr>
        <w:t>(3), e41076. https://doi.org/10.1016/j.heliyon.2024.e41076</w:t>
      </w:r>
    </w:p>
    <w:p w14:paraId="6BE8C546" w14:textId="77777777" w:rsidR="00E47BDC" w:rsidRPr="001A125F" w:rsidRDefault="00E47BDC" w:rsidP="009932DF">
      <w:pPr>
        <w:widowControl w:val="0"/>
        <w:autoSpaceDE w:val="0"/>
        <w:autoSpaceDN w:val="0"/>
        <w:adjustRightInd w:val="0"/>
        <w:ind w:left="480" w:hanging="480"/>
        <w:jc w:val="both"/>
        <w:rPr>
          <w:rFonts w:ascii="Arial" w:hAnsi="Arial" w:cs="Arial"/>
          <w:noProof/>
          <w:szCs w:val="24"/>
        </w:rPr>
      </w:pPr>
      <w:r w:rsidRPr="001A125F">
        <w:rPr>
          <w:rFonts w:ascii="Arial" w:hAnsi="Arial" w:cs="Arial"/>
          <w:noProof/>
          <w:szCs w:val="24"/>
        </w:rPr>
        <w:t xml:space="preserve">Primc, K., Zabavnik, D., Slabe-Erker, R., &amp; Dominko, M. (2025). Transport poverty vulnerability index: Making use of standardised databases. </w:t>
      </w:r>
      <w:r w:rsidRPr="001A125F">
        <w:rPr>
          <w:rFonts w:ascii="Arial" w:hAnsi="Arial" w:cs="Arial"/>
          <w:i/>
          <w:iCs/>
          <w:noProof/>
          <w:szCs w:val="24"/>
        </w:rPr>
        <w:t>Energy Research and Social Science</w:t>
      </w:r>
      <w:r w:rsidRPr="001A125F">
        <w:rPr>
          <w:rFonts w:ascii="Arial" w:hAnsi="Arial" w:cs="Arial"/>
          <w:noProof/>
          <w:szCs w:val="24"/>
        </w:rPr>
        <w:t xml:space="preserve">, </w:t>
      </w:r>
      <w:r w:rsidRPr="001A125F">
        <w:rPr>
          <w:rFonts w:ascii="Arial" w:hAnsi="Arial" w:cs="Arial"/>
          <w:i/>
          <w:iCs/>
          <w:noProof/>
          <w:szCs w:val="24"/>
        </w:rPr>
        <w:t>123</w:t>
      </w:r>
      <w:r w:rsidRPr="001A125F">
        <w:rPr>
          <w:rFonts w:ascii="Arial" w:hAnsi="Arial" w:cs="Arial"/>
          <w:noProof/>
          <w:szCs w:val="24"/>
        </w:rPr>
        <w:t>(March), 104041. https://doi.org/10.1016/j.erss.2025.104041</w:t>
      </w:r>
    </w:p>
    <w:p w14:paraId="5BE4F66E" w14:textId="77777777" w:rsidR="00E47BDC" w:rsidRPr="001A125F" w:rsidRDefault="00E47BDC" w:rsidP="009932DF">
      <w:pPr>
        <w:widowControl w:val="0"/>
        <w:autoSpaceDE w:val="0"/>
        <w:autoSpaceDN w:val="0"/>
        <w:adjustRightInd w:val="0"/>
        <w:ind w:left="480" w:hanging="480"/>
        <w:jc w:val="both"/>
        <w:rPr>
          <w:rFonts w:ascii="Arial" w:hAnsi="Arial" w:cs="Arial"/>
          <w:noProof/>
          <w:szCs w:val="24"/>
        </w:rPr>
      </w:pPr>
      <w:r w:rsidRPr="001A125F">
        <w:rPr>
          <w:rFonts w:ascii="Arial" w:hAnsi="Arial" w:cs="Arial"/>
          <w:noProof/>
          <w:szCs w:val="24"/>
        </w:rPr>
        <w:t xml:space="preserve">Salvucci, G., Salvati, L., Alaimo, L. S., &amp; Vardopoulos, I. (2025). Settlement patterns , Official statistics and geo-economic dynamics : Evidence from a LADISC approach to Italy. </w:t>
      </w:r>
      <w:r w:rsidRPr="001A125F">
        <w:rPr>
          <w:rFonts w:ascii="Arial" w:hAnsi="Arial" w:cs="Arial"/>
          <w:i/>
          <w:iCs/>
          <w:noProof/>
          <w:szCs w:val="24"/>
        </w:rPr>
        <w:t>Big Data Research</w:t>
      </w:r>
      <w:r w:rsidRPr="001A125F">
        <w:rPr>
          <w:rFonts w:ascii="Arial" w:hAnsi="Arial" w:cs="Arial"/>
          <w:noProof/>
          <w:szCs w:val="24"/>
        </w:rPr>
        <w:t>, 100525. https://doi.org/10.1016/j.bdr.2025.100525</w:t>
      </w:r>
    </w:p>
    <w:p w14:paraId="79CEB84B" w14:textId="77777777" w:rsidR="00E47BDC" w:rsidRPr="001A125F" w:rsidRDefault="00E47BDC" w:rsidP="009932DF">
      <w:pPr>
        <w:widowControl w:val="0"/>
        <w:autoSpaceDE w:val="0"/>
        <w:autoSpaceDN w:val="0"/>
        <w:adjustRightInd w:val="0"/>
        <w:ind w:left="480" w:hanging="480"/>
        <w:jc w:val="both"/>
        <w:rPr>
          <w:rFonts w:ascii="Arial" w:hAnsi="Arial" w:cs="Arial"/>
          <w:noProof/>
          <w:szCs w:val="24"/>
        </w:rPr>
      </w:pPr>
      <w:r w:rsidRPr="001A125F">
        <w:rPr>
          <w:rFonts w:ascii="Arial" w:hAnsi="Arial" w:cs="Arial"/>
          <w:noProof/>
          <w:szCs w:val="24"/>
        </w:rPr>
        <w:t xml:space="preserve">Van Le, D., &amp; Tran, T. Q. (2024). Economic growth and quality of education: Evidence from the national high school exam in Vietnam. </w:t>
      </w:r>
      <w:r w:rsidRPr="001A125F">
        <w:rPr>
          <w:rFonts w:ascii="Arial" w:hAnsi="Arial" w:cs="Arial"/>
          <w:i/>
          <w:iCs/>
          <w:noProof/>
          <w:szCs w:val="24"/>
        </w:rPr>
        <w:t>International Journal of Educational Development</w:t>
      </w:r>
      <w:r w:rsidRPr="001A125F">
        <w:rPr>
          <w:rFonts w:ascii="Arial" w:hAnsi="Arial" w:cs="Arial"/>
          <w:noProof/>
          <w:szCs w:val="24"/>
        </w:rPr>
        <w:t xml:space="preserve">, </w:t>
      </w:r>
      <w:r w:rsidRPr="001A125F">
        <w:rPr>
          <w:rFonts w:ascii="Arial" w:hAnsi="Arial" w:cs="Arial"/>
          <w:i/>
          <w:iCs/>
          <w:noProof/>
          <w:szCs w:val="24"/>
        </w:rPr>
        <w:t>104</w:t>
      </w:r>
      <w:r w:rsidRPr="001A125F">
        <w:rPr>
          <w:rFonts w:ascii="Arial" w:hAnsi="Arial" w:cs="Arial"/>
          <w:noProof/>
          <w:szCs w:val="24"/>
        </w:rPr>
        <w:t>(June 2023), 102947. https://doi.org/10.1016/j.ijedudev.2023.102947</w:t>
      </w:r>
    </w:p>
    <w:p w14:paraId="0A810963" w14:textId="77777777" w:rsidR="00E47BDC" w:rsidRPr="001A125F" w:rsidRDefault="00E47BDC" w:rsidP="009932DF">
      <w:pPr>
        <w:widowControl w:val="0"/>
        <w:autoSpaceDE w:val="0"/>
        <w:autoSpaceDN w:val="0"/>
        <w:adjustRightInd w:val="0"/>
        <w:ind w:left="480" w:hanging="480"/>
        <w:jc w:val="both"/>
        <w:rPr>
          <w:rFonts w:ascii="Arial" w:hAnsi="Arial" w:cs="Arial"/>
          <w:noProof/>
        </w:rPr>
      </w:pPr>
      <w:r w:rsidRPr="001A125F">
        <w:rPr>
          <w:rFonts w:ascii="Arial" w:hAnsi="Arial" w:cs="Arial"/>
          <w:noProof/>
          <w:szCs w:val="24"/>
        </w:rPr>
        <w:t xml:space="preserve">Zhang, L., Li, X., Zhuang, Y., &amp; Li, N. (2022). World Bank aid and local multidimensional poverty in Sub-Saharan Africa. </w:t>
      </w:r>
      <w:r w:rsidRPr="001A125F">
        <w:rPr>
          <w:rFonts w:ascii="Arial" w:hAnsi="Arial" w:cs="Arial"/>
          <w:i/>
          <w:iCs/>
          <w:noProof/>
          <w:szCs w:val="24"/>
        </w:rPr>
        <w:t>Economic Modelling</w:t>
      </w:r>
      <w:r w:rsidRPr="001A125F">
        <w:rPr>
          <w:rFonts w:ascii="Arial" w:hAnsi="Arial" w:cs="Arial"/>
          <w:noProof/>
          <w:szCs w:val="24"/>
        </w:rPr>
        <w:t xml:space="preserve">, </w:t>
      </w:r>
      <w:r w:rsidRPr="001A125F">
        <w:rPr>
          <w:rFonts w:ascii="Arial" w:hAnsi="Arial" w:cs="Arial"/>
          <w:i/>
          <w:iCs/>
          <w:noProof/>
          <w:szCs w:val="24"/>
        </w:rPr>
        <w:t>117</w:t>
      </w:r>
      <w:r w:rsidRPr="001A125F">
        <w:rPr>
          <w:rFonts w:ascii="Arial" w:hAnsi="Arial" w:cs="Arial"/>
          <w:noProof/>
          <w:szCs w:val="24"/>
        </w:rPr>
        <w:t>(February), 106065. https://doi.org/10.1016/j.econmod.2022.106065</w:t>
      </w:r>
    </w:p>
    <w:p w14:paraId="29AC5CDE" w14:textId="0467300F" w:rsidR="00F6723F" w:rsidRPr="001A125F" w:rsidRDefault="00F6723F" w:rsidP="00441B6F">
      <w:pPr>
        <w:pStyle w:val="Reference"/>
        <w:numPr>
          <w:ilvl w:val="0"/>
          <w:numId w:val="0"/>
        </w:numPr>
        <w:spacing w:line="240" w:lineRule="auto"/>
        <w:rPr>
          <w:rFonts w:ascii="Arial" w:hAnsi="Arial" w:cs="Arial"/>
        </w:rPr>
      </w:pPr>
      <w:r w:rsidRPr="001A125F">
        <w:rPr>
          <w:rFonts w:ascii="Arial" w:hAnsi="Arial" w:cs="Arial"/>
        </w:rPr>
        <w:fldChar w:fldCharType="end"/>
      </w:r>
    </w:p>
    <w:p w14:paraId="499EAC76" w14:textId="77777777" w:rsidR="00B01FCD" w:rsidRPr="001A125F" w:rsidRDefault="00B01FCD" w:rsidP="00441B6F">
      <w:pPr>
        <w:pStyle w:val="DefAcrHead"/>
        <w:spacing w:after="0"/>
        <w:jc w:val="both"/>
        <w:rPr>
          <w:rFonts w:ascii="Arial" w:hAnsi="Arial" w:cs="Arial"/>
        </w:rPr>
      </w:pPr>
      <w:r w:rsidRPr="001A125F">
        <w:rPr>
          <w:rFonts w:ascii="Arial" w:hAnsi="Arial" w:cs="Arial"/>
        </w:rPr>
        <w:t>Definitions, Acronyms, Abbreviations</w:t>
      </w:r>
    </w:p>
    <w:p w14:paraId="674B10B1" w14:textId="77777777" w:rsidR="00B01FCD" w:rsidRPr="001A125F" w:rsidRDefault="00B01FCD" w:rsidP="00441B6F">
      <w:pPr>
        <w:pStyle w:val="Body"/>
        <w:spacing w:after="0"/>
        <w:rPr>
          <w:rFonts w:ascii="Arial" w:hAnsi="Arial" w:cs="Arial"/>
          <w:sz w:val="24"/>
        </w:rPr>
      </w:pPr>
      <w:r w:rsidRPr="001A125F">
        <w:rPr>
          <w:rFonts w:ascii="Arial" w:hAnsi="Arial" w:cs="Arial"/>
        </w:rPr>
        <w:t xml:space="preserve">Here is the Definitions section.  This is an optional section. </w:t>
      </w:r>
    </w:p>
    <w:p w14:paraId="45CC50BC" w14:textId="77777777" w:rsidR="00B01FCD" w:rsidRPr="001A125F" w:rsidRDefault="00B01FCD" w:rsidP="00441B6F">
      <w:pPr>
        <w:pStyle w:val="Body"/>
        <w:spacing w:after="0"/>
        <w:rPr>
          <w:rFonts w:ascii="Arial" w:hAnsi="Arial" w:cs="Arial"/>
        </w:rPr>
      </w:pPr>
      <w:r w:rsidRPr="001A125F">
        <w:rPr>
          <w:rFonts w:ascii="Arial" w:hAnsi="Arial" w:cs="Arial"/>
          <w:b/>
        </w:rPr>
        <w:lastRenderedPageBreak/>
        <w:t>Term</w:t>
      </w:r>
      <w:r w:rsidRPr="001A125F">
        <w:rPr>
          <w:rFonts w:ascii="Arial" w:hAnsi="Arial" w:cs="Arial"/>
        </w:rPr>
        <w:t>: Definition for the term</w:t>
      </w:r>
    </w:p>
    <w:p w14:paraId="4A420E7E" w14:textId="77777777" w:rsidR="00790ADA" w:rsidRPr="001A125F" w:rsidRDefault="00790ADA" w:rsidP="00441B6F">
      <w:pPr>
        <w:pStyle w:val="Body"/>
        <w:spacing w:after="0"/>
        <w:rPr>
          <w:rFonts w:ascii="Arial" w:hAnsi="Arial" w:cs="Arial"/>
        </w:rPr>
      </w:pPr>
    </w:p>
    <w:p w14:paraId="25DCA2C6" w14:textId="77777777" w:rsidR="004D4277" w:rsidRPr="001A125F" w:rsidRDefault="00B01FCD" w:rsidP="00441B6F">
      <w:pPr>
        <w:pStyle w:val="Appendix"/>
        <w:spacing w:after="0"/>
        <w:jc w:val="both"/>
        <w:rPr>
          <w:rFonts w:ascii="Arial" w:hAnsi="Arial" w:cs="Arial"/>
        </w:rPr>
      </w:pPr>
      <w:r w:rsidRPr="001A125F">
        <w:rPr>
          <w:rFonts w:ascii="Arial" w:hAnsi="Arial" w:cs="Arial"/>
        </w:rPr>
        <w:t>APPENDIX</w:t>
      </w:r>
    </w:p>
    <w:p w14:paraId="6332DB93" w14:textId="17B14E43" w:rsidR="00BC026E" w:rsidRPr="001A125F" w:rsidRDefault="00BC026E" w:rsidP="00441B6F">
      <w:pPr>
        <w:pStyle w:val="Appendix"/>
        <w:spacing w:after="0"/>
        <w:jc w:val="both"/>
        <w:rPr>
          <w:rFonts w:ascii="Arial" w:hAnsi="Arial" w:cs="Arial"/>
          <w:b w:val="0"/>
        </w:rPr>
        <w:sectPr w:rsidR="00BC026E" w:rsidRPr="001A125F" w:rsidSect="000B1E33">
          <w:footerReference w:type="default" r:id="rId10"/>
          <w:type w:val="continuous"/>
          <w:pgSz w:w="12240" w:h="15840"/>
          <w:pgMar w:top="1440" w:right="2016" w:bottom="2016" w:left="2016" w:header="720" w:footer="1123" w:gutter="0"/>
          <w:lnNumType w:countBy="1" w:restart="continuous"/>
          <w:cols w:space="720"/>
          <w:docGrid w:linePitch="272"/>
        </w:sectPr>
      </w:pPr>
    </w:p>
    <w:p w14:paraId="311E9482" w14:textId="1C9ABA1F" w:rsidR="00B01FCD" w:rsidRPr="001A125F" w:rsidRDefault="00B01FCD" w:rsidP="00441B6F">
      <w:pPr>
        <w:pStyle w:val="Appendix"/>
        <w:spacing w:after="0"/>
        <w:jc w:val="both"/>
        <w:rPr>
          <w:rFonts w:ascii="Arial" w:hAnsi="Arial" w:cs="Arial"/>
          <w:b w:val="0"/>
        </w:rPr>
      </w:pPr>
    </w:p>
    <w:sectPr w:rsidR="00B01FCD" w:rsidRPr="001A125F"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16DC4" w14:textId="77777777" w:rsidR="00D419CC" w:rsidRDefault="00D419CC" w:rsidP="00C37E61">
      <w:r>
        <w:separator/>
      </w:r>
    </w:p>
  </w:endnote>
  <w:endnote w:type="continuationSeparator" w:id="0">
    <w:p w14:paraId="0E4C453C" w14:textId="77777777" w:rsidR="00D419CC" w:rsidRDefault="00D419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6E9A9" w14:textId="77777777" w:rsidR="009E048A" w:rsidRDefault="009E048A">
    <w:pPr>
      <w:pStyle w:val="Footer"/>
      <w:rPr>
        <w:rFonts w:ascii="Arial" w:hAnsi="Arial" w:cs="Arial"/>
        <w:sz w:val="16"/>
      </w:rPr>
    </w:pPr>
  </w:p>
  <w:p w14:paraId="7C1EFA7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B7BB405" w14:textId="77777777" w:rsidR="009E048A" w:rsidRDefault="009E048A">
    <w:pPr>
      <w:pStyle w:val="Footer"/>
      <w:rPr>
        <w:rFonts w:ascii="Arial" w:hAnsi="Arial" w:cs="Arial"/>
        <w:sz w:val="16"/>
      </w:rPr>
    </w:pPr>
  </w:p>
  <w:p w14:paraId="63B6095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E44B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CBDFB" w14:textId="77777777" w:rsidR="00D419CC" w:rsidRDefault="00D419CC" w:rsidP="00C37E61">
      <w:r>
        <w:separator/>
      </w:r>
    </w:p>
  </w:footnote>
  <w:footnote w:type="continuationSeparator" w:id="0">
    <w:p w14:paraId="31F62C58" w14:textId="77777777" w:rsidR="00D419CC" w:rsidRDefault="00D419C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891C" w14:textId="77777777" w:rsidR="00296529" w:rsidRPr="00296529" w:rsidRDefault="00296529" w:rsidP="00296529">
    <w:pPr>
      <w:ind w:left="2160"/>
      <w:jc w:val="center"/>
      <w:rPr>
        <w:rFonts w:ascii="Times New Roman" w:eastAsia="Calibri" w:hAnsi="Times New Roman"/>
        <w:i/>
        <w:sz w:val="18"/>
        <w:szCs w:val="22"/>
      </w:rPr>
    </w:pPr>
  </w:p>
  <w:p w14:paraId="67DDF2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A4786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AC668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38E72C9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A5FF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3B8A9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A3698"/>
    <w:multiLevelType w:val="multilevel"/>
    <w:tmpl w:val="00FA3698"/>
    <w:lvl w:ilvl="0">
      <w:start w:val="1"/>
      <w:numFmt w:val="decimal"/>
      <w:lvlText w:val="%1."/>
      <w:lvlJc w:val="left"/>
      <w:pPr>
        <w:ind w:left="1429" w:hanging="360"/>
      </w:pPr>
    </w:lvl>
    <w:lvl w:ilvl="1">
      <w:start w:val="4"/>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29289B"/>
    <w:multiLevelType w:val="multilevel"/>
    <w:tmpl w:val="1729289B"/>
    <w:lvl w:ilvl="0">
      <w:start w:val="1"/>
      <w:numFmt w:val="bullet"/>
      <w:lvlText w:val=""/>
      <w:lvlJc w:val="left"/>
      <w:pPr>
        <w:ind w:left="2149" w:hanging="360"/>
      </w:pPr>
      <w:rPr>
        <w:rFonts w:ascii="Symbol" w:hAnsi="Symbol" w:hint="default"/>
        <w:color w:val="auto"/>
      </w:rPr>
    </w:lvl>
    <w:lvl w:ilvl="1">
      <w:start w:val="1"/>
      <w:numFmt w:val="bullet"/>
      <w:lvlText w:val="o"/>
      <w:lvlJc w:val="left"/>
      <w:pPr>
        <w:ind w:left="2869" w:hanging="360"/>
      </w:pPr>
      <w:rPr>
        <w:rFonts w:ascii="Courier New" w:hAnsi="Courier New" w:cs="Courier New" w:hint="default"/>
      </w:rPr>
    </w:lvl>
    <w:lvl w:ilvl="2">
      <w:start w:val="1"/>
      <w:numFmt w:val="bullet"/>
      <w:lvlText w:val=""/>
      <w:lvlJc w:val="left"/>
      <w:pPr>
        <w:ind w:left="3589" w:hanging="360"/>
      </w:pPr>
      <w:rPr>
        <w:rFonts w:ascii="Wingdings" w:hAnsi="Wingdings" w:hint="default"/>
      </w:rPr>
    </w:lvl>
    <w:lvl w:ilvl="3">
      <w:start w:val="1"/>
      <w:numFmt w:val="bullet"/>
      <w:lvlText w:val=""/>
      <w:lvlJc w:val="left"/>
      <w:pPr>
        <w:ind w:left="4309" w:hanging="360"/>
      </w:pPr>
      <w:rPr>
        <w:rFonts w:ascii="Symbol" w:hAnsi="Symbol" w:hint="default"/>
      </w:rPr>
    </w:lvl>
    <w:lvl w:ilvl="4">
      <w:start w:val="1"/>
      <w:numFmt w:val="bullet"/>
      <w:lvlText w:val="o"/>
      <w:lvlJc w:val="left"/>
      <w:pPr>
        <w:ind w:left="5029" w:hanging="360"/>
      </w:pPr>
      <w:rPr>
        <w:rFonts w:ascii="Courier New" w:hAnsi="Courier New" w:cs="Courier New" w:hint="default"/>
      </w:rPr>
    </w:lvl>
    <w:lvl w:ilvl="5">
      <w:start w:val="1"/>
      <w:numFmt w:val="bullet"/>
      <w:lvlText w:val=""/>
      <w:lvlJc w:val="left"/>
      <w:pPr>
        <w:ind w:left="5749" w:hanging="360"/>
      </w:pPr>
      <w:rPr>
        <w:rFonts w:ascii="Wingdings" w:hAnsi="Wingdings" w:hint="default"/>
      </w:rPr>
    </w:lvl>
    <w:lvl w:ilvl="6">
      <w:start w:val="1"/>
      <w:numFmt w:val="bullet"/>
      <w:lvlText w:val=""/>
      <w:lvlJc w:val="left"/>
      <w:pPr>
        <w:ind w:left="6469" w:hanging="360"/>
      </w:pPr>
      <w:rPr>
        <w:rFonts w:ascii="Symbol" w:hAnsi="Symbol" w:hint="default"/>
      </w:rPr>
    </w:lvl>
    <w:lvl w:ilvl="7">
      <w:start w:val="1"/>
      <w:numFmt w:val="bullet"/>
      <w:lvlText w:val="o"/>
      <w:lvlJc w:val="left"/>
      <w:pPr>
        <w:ind w:left="7189" w:hanging="360"/>
      </w:pPr>
      <w:rPr>
        <w:rFonts w:ascii="Courier New" w:hAnsi="Courier New" w:cs="Courier New" w:hint="default"/>
      </w:rPr>
    </w:lvl>
    <w:lvl w:ilvl="8">
      <w:start w:val="1"/>
      <w:numFmt w:val="bullet"/>
      <w:lvlText w:val=""/>
      <w:lvlJc w:val="left"/>
      <w:pPr>
        <w:ind w:left="7909" w:hanging="360"/>
      </w:pPr>
      <w:rPr>
        <w:rFonts w:ascii="Wingdings" w:hAnsi="Wingdings" w:hint="default"/>
      </w:rPr>
    </w:lvl>
  </w:abstractNum>
  <w:abstractNum w:abstractNumId="9" w15:restartNumberingAfterBreak="0">
    <w:nsid w:val="18CD29D9"/>
    <w:multiLevelType w:val="multilevel"/>
    <w:tmpl w:val="18CD29D9"/>
    <w:lvl w:ilvl="0">
      <w:start w:val="1"/>
      <w:numFmt w:val="bullet"/>
      <w:lvlText w:val=""/>
      <w:lvlJc w:val="left"/>
      <w:pPr>
        <w:ind w:left="2498" w:hanging="360"/>
      </w:pPr>
      <w:rPr>
        <w:rFonts w:ascii="Symbol" w:hAnsi="Symbol" w:hint="default"/>
        <w:color w:val="auto"/>
      </w:rPr>
    </w:lvl>
    <w:lvl w:ilvl="1">
      <w:start w:val="1"/>
      <w:numFmt w:val="bullet"/>
      <w:lvlText w:val="o"/>
      <w:lvlJc w:val="left"/>
      <w:pPr>
        <w:ind w:left="3218" w:hanging="360"/>
      </w:pPr>
      <w:rPr>
        <w:rFonts w:ascii="Courier New" w:hAnsi="Courier New" w:cs="Courier New" w:hint="default"/>
      </w:rPr>
    </w:lvl>
    <w:lvl w:ilvl="2">
      <w:start w:val="1"/>
      <w:numFmt w:val="bullet"/>
      <w:lvlText w:val=""/>
      <w:lvlJc w:val="left"/>
      <w:pPr>
        <w:ind w:left="3938" w:hanging="360"/>
      </w:pPr>
      <w:rPr>
        <w:rFonts w:ascii="Wingdings" w:hAnsi="Wingdings" w:hint="default"/>
      </w:rPr>
    </w:lvl>
    <w:lvl w:ilvl="3">
      <w:start w:val="1"/>
      <w:numFmt w:val="bullet"/>
      <w:lvlText w:val=""/>
      <w:lvlJc w:val="left"/>
      <w:pPr>
        <w:ind w:left="4658" w:hanging="360"/>
      </w:pPr>
      <w:rPr>
        <w:rFonts w:ascii="Symbol" w:hAnsi="Symbol" w:hint="default"/>
      </w:rPr>
    </w:lvl>
    <w:lvl w:ilvl="4">
      <w:start w:val="1"/>
      <w:numFmt w:val="bullet"/>
      <w:lvlText w:val="o"/>
      <w:lvlJc w:val="left"/>
      <w:pPr>
        <w:ind w:left="5378" w:hanging="360"/>
      </w:pPr>
      <w:rPr>
        <w:rFonts w:ascii="Courier New" w:hAnsi="Courier New" w:cs="Courier New" w:hint="default"/>
      </w:rPr>
    </w:lvl>
    <w:lvl w:ilvl="5">
      <w:start w:val="1"/>
      <w:numFmt w:val="bullet"/>
      <w:lvlText w:val=""/>
      <w:lvlJc w:val="left"/>
      <w:pPr>
        <w:ind w:left="6098" w:hanging="360"/>
      </w:pPr>
      <w:rPr>
        <w:rFonts w:ascii="Wingdings" w:hAnsi="Wingdings" w:hint="default"/>
      </w:rPr>
    </w:lvl>
    <w:lvl w:ilvl="6">
      <w:start w:val="1"/>
      <w:numFmt w:val="bullet"/>
      <w:lvlText w:val=""/>
      <w:lvlJc w:val="left"/>
      <w:pPr>
        <w:ind w:left="6818" w:hanging="360"/>
      </w:pPr>
      <w:rPr>
        <w:rFonts w:ascii="Symbol" w:hAnsi="Symbol" w:hint="default"/>
      </w:rPr>
    </w:lvl>
    <w:lvl w:ilvl="7">
      <w:start w:val="1"/>
      <w:numFmt w:val="bullet"/>
      <w:lvlText w:val="o"/>
      <w:lvlJc w:val="left"/>
      <w:pPr>
        <w:ind w:left="7538" w:hanging="360"/>
      </w:pPr>
      <w:rPr>
        <w:rFonts w:ascii="Courier New" w:hAnsi="Courier New" w:cs="Courier New" w:hint="default"/>
      </w:rPr>
    </w:lvl>
    <w:lvl w:ilvl="8">
      <w:start w:val="1"/>
      <w:numFmt w:val="bullet"/>
      <w:lvlText w:val=""/>
      <w:lvlJc w:val="left"/>
      <w:pPr>
        <w:ind w:left="8258"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0342C14"/>
    <w:multiLevelType w:val="multilevel"/>
    <w:tmpl w:val="20342C1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B7A1F8D"/>
    <w:multiLevelType w:val="hybridMultilevel"/>
    <w:tmpl w:val="DA80F97C"/>
    <w:lvl w:ilvl="0" w:tplc="C344A6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7A1349F"/>
    <w:multiLevelType w:val="hybridMultilevel"/>
    <w:tmpl w:val="6F4081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D132567"/>
    <w:multiLevelType w:val="multilevel"/>
    <w:tmpl w:val="6B3692F8"/>
    <w:lvl w:ilvl="0">
      <w:start w:val="1"/>
      <w:numFmt w:val="lowerLetter"/>
      <w:lvlText w:val="%1."/>
      <w:lvlJc w:val="left"/>
      <w:pPr>
        <w:ind w:left="2149" w:hanging="360"/>
      </w:pPr>
      <w:rPr>
        <w:rFonts w:hint="default"/>
        <w:color w:val="auto"/>
      </w:rPr>
    </w:lvl>
    <w:lvl w:ilvl="1">
      <w:start w:val="1"/>
      <w:numFmt w:val="bullet"/>
      <w:lvlText w:val="o"/>
      <w:lvlJc w:val="left"/>
      <w:pPr>
        <w:ind w:left="2869" w:hanging="360"/>
      </w:pPr>
      <w:rPr>
        <w:rFonts w:ascii="Courier New" w:hAnsi="Courier New" w:cs="Courier New" w:hint="default"/>
      </w:rPr>
    </w:lvl>
    <w:lvl w:ilvl="2">
      <w:start w:val="1"/>
      <w:numFmt w:val="bullet"/>
      <w:lvlText w:val=""/>
      <w:lvlJc w:val="left"/>
      <w:pPr>
        <w:ind w:left="3589" w:hanging="360"/>
      </w:pPr>
      <w:rPr>
        <w:rFonts w:ascii="Wingdings" w:hAnsi="Wingdings" w:hint="default"/>
      </w:rPr>
    </w:lvl>
    <w:lvl w:ilvl="3">
      <w:start w:val="1"/>
      <w:numFmt w:val="bullet"/>
      <w:lvlText w:val=""/>
      <w:lvlJc w:val="left"/>
      <w:pPr>
        <w:ind w:left="4309" w:hanging="360"/>
      </w:pPr>
      <w:rPr>
        <w:rFonts w:ascii="Symbol" w:hAnsi="Symbol" w:hint="default"/>
      </w:rPr>
    </w:lvl>
    <w:lvl w:ilvl="4">
      <w:start w:val="1"/>
      <w:numFmt w:val="bullet"/>
      <w:lvlText w:val="o"/>
      <w:lvlJc w:val="left"/>
      <w:pPr>
        <w:ind w:left="5029" w:hanging="360"/>
      </w:pPr>
      <w:rPr>
        <w:rFonts w:ascii="Courier New" w:hAnsi="Courier New" w:cs="Courier New" w:hint="default"/>
      </w:rPr>
    </w:lvl>
    <w:lvl w:ilvl="5">
      <w:start w:val="1"/>
      <w:numFmt w:val="bullet"/>
      <w:lvlText w:val=""/>
      <w:lvlJc w:val="left"/>
      <w:pPr>
        <w:ind w:left="5749" w:hanging="360"/>
      </w:pPr>
      <w:rPr>
        <w:rFonts w:ascii="Wingdings" w:hAnsi="Wingdings" w:hint="default"/>
      </w:rPr>
    </w:lvl>
    <w:lvl w:ilvl="6">
      <w:start w:val="1"/>
      <w:numFmt w:val="bullet"/>
      <w:lvlText w:val=""/>
      <w:lvlJc w:val="left"/>
      <w:pPr>
        <w:ind w:left="6469" w:hanging="360"/>
      </w:pPr>
      <w:rPr>
        <w:rFonts w:ascii="Symbol" w:hAnsi="Symbol" w:hint="default"/>
      </w:rPr>
    </w:lvl>
    <w:lvl w:ilvl="7">
      <w:start w:val="1"/>
      <w:numFmt w:val="bullet"/>
      <w:lvlText w:val="o"/>
      <w:lvlJc w:val="left"/>
      <w:pPr>
        <w:ind w:left="7189" w:hanging="360"/>
      </w:pPr>
      <w:rPr>
        <w:rFonts w:ascii="Courier New" w:hAnsi="Courier New" w:cs="Courier New" w:hint="default"/>
      </w:rPr>
    </w:lvl>
    <w:lvl w:ilvl="8">
      <w:start w:val="1"/>
      <w:numFmt w:val="bullet"/>
      <w:lvlText w:val=""/>
      <w:lvlJc w:val="left"/>
      <w:pPr>
        <w:ind w:left="7909" w:hanging="360"/>
      </w:pPr>
      <w:rPr>
        <w:rFonts w:ascii="Wingdings" w:hAnsi="Wingdings" w:hint="default"/>
      </w:r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CF1654"/>
    <w:multiLevelType w:val="multilevel"/>
    <w:tmpl w:val="7A243D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2"/>
  </w:num>
  <w:num w:numId="8">
    <w:abstractNumId w:val="17"/>
  </w:num>
  <w:num w:numId="9">
    <w:abstractNumId w:val="33"/>
  </w:num>
  <w:num w:numId="10">
    <w:abstractNumId w:val="3"/>
  </w:num>
  <w:num w:numId="11">
    <w:abstractNumId w:val="25"/>
  </w:num>
  <w:num w:numId="12">
    <w:abstractNumId w:val="4"/>
  </w:num>
  <w:num w:numId="13">
    <w:abstractNumId w:val="24"/>
  </w:num>
  <w:num w:numId="14">
    <w:abstractNumId w:val="11"/>
  </w:num>
  <w:num w:numId="15">
    <w:abstractNumId w:val="28"/>
  </w:num>
  <w:num w:numId="16">
    <w:abstractNumId w:val="6"/>
  </w:num>
  <w:num w:numId="17">
    <w:abstractNumId w:val="29"/>
  </w:num>
  <w:num w:numId="18">
    <w:abstractNumId w:val="19"/>
  </w:num>
  <w:num w:numId="19">
    <w:abstractNumId w:val="36"/>
  </w:num>
  <w:num w:numId="20">
    <w:abstractNumId w:val="15"/>
  </w:num>
  <w:num w:numId="21">
    <w:abstractNumId w:val="13"/>
  </w:num>
  <w:num w:numId="22">
    <w:abstractNumId w:val="18"/>
  </w:num>
  <w:num w:numId="23">
    <w:abstractNumId w:val="26"/>
  </w:num>
  <w:num w:numId="24">
    <w:abstractNumId w:val="34"/>
  </w:num>
  <w:num w:numId="25">
    <w:abstractNumId w:val="5"/>
  </w:num>
  <w:num w:numId="26">
    <w:abstractNumId w:val="23"/>
  </w:num>
  <w:num w:numId="27">
    <w:abstractNumId w:val="27"/>
  </w:num>
  <w:num w:numId="28">
    <w:abstractNumId w:val="35"/>
  </w:num>
  <w:num w:numId="29">
    <w:abstractNumId w:val="32"/>
  </w:num>
  <w:num w:numId="30">
    <w:abstractNumId w:val="14"/>
  </w:num>
  <w:num w:numId="31">
    <w:abstractNumId w:val="12"/>
  </w:num>
  <w:num w:numId="32">
    <w:abstractNumId w:val="8"/>
  </w:num>
  <w:num w:numId="33">
    <w:abstractNumId w:val="9"/>
  </w:num>
  <w:num w:numId="34">
    <w:abstractNumId w:val="31"/>
  </w:num>
  <w:num w:numId="35">
    <w:abstractNumId w:val="22"/>
  </w:num>
  <w:num w:numId="36">
    <w:abstractNumId w:val="1"/>
  </w:num>
  <w:num w:numId="37">
    <w:abstractNumId w:val="2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1E3"/>
    <w:rsid w:val="00013CFC"/>
    <w:rsid w:val="00030174"/>
    <w:rsid w:val="0004579C"/>
    <w:rsid w:val="00081E27"/>
    <w:rsid w:val="000A47FA"/>
    <w:rsid w:val="000A65D3"/>
    <w:rsid w:val="000B1E33"/>
    <w:rsid w:val="000D689F"/>
    <w:rsid w:val="000E7B7B"/>
    <w:rsid w:val="000E7D62"/>
    <w:rsid w:val="00103357"/>
    <w:rsid w:val="00123C9F"/>
    <w:rsid w:val="00126190"/>
    <w:rsid w:val="00130F17"/>
    <w:rsid w:val="001320BF"/>
    <w:rsid w:val="00163BC4"/>
    <w:rsid w:val="0017165E"/>
    <w:rsid w:val="00191062"/>
    <w:rsid w:val="00192B72"/>
    <w:rsid w:val="001A125F"/>
    <w:rsid w:val="001A29D8"/>
    <w:rsid w:val="001A5CAA"/>
    <w:rsid w:val="001B0427"/>
    <w:rsid w:val="001B5F25"/>
    <w:rsid w:val="001B792D"/>
    <w:rsid w:val="001D3A51"/>
    <w:rsid w:val="001E10D2"/>
    <w:rsid w:val="001E25B4"/>
    <w:rsid w:val="001E44FE"/>
    <w:rsid w:val="00200595"/>
    <w:rsid w:val="00204835"/>
    <w:rsid w:val="00231920"/>
    <w:rsid w:val="0023195C"/>
    <w:rsid w:val="0024282C"/>
    <w:rsid w:val="002460DC"/>
    <w:rsid w:val="00250985"/>
    <w:rsid w:val="002556F6"/>
    <w:rsid w:val="00275DCD"/>
    <w:rsid w:val="00283105"/>
    <w:rsid w:val="00284C4C"/>
    <w:rsid w:val="00287E68"/>
    <w:rsid w:val="00296529"/>
    <w:rsid w:val="002B27FB"/>
    <w:rsid w:val="002B2A59"/>
    <w:rsid w:val="002B685A"/>
    <w:rsid w:val="002C57D2"/>
    <w:rsid w:val="002E0D56"/>
    <w:rsid w:val="002F77F1"/>
    <w:rsid w:val="00315186"/>
    <w:rsid w:val="0033343E"/>
    <w:rsid w:val="00351295"/>
    <w:rsid w:val="003512C2"/>
    <w:rsid w:val="00371FB6"/>
    <w:rsid w:val="003763C1"/>
    <w:rsid w:val="00376BBE"/>
    <w:rsid w:val="0039224F"/>
    <w:rsid w:val="00395FF1"/>
    <w:rsid w:val="00396D37"/>
    <w:rsid w:val="003A43A4"/>
    <w:rsid w:val="003A7E18"/>
    <w:rsid w:val="003C4C86"/>
    <w:rsid w:val="003C6258"/>
    <w:rsid w:val="003E2904"/>
    <w:rsid w:val="003E6421"/>
    <w:rsid w:val="00401927"/>
    <w:rsid w:val="0041027F"/>
    <w:rsid w:val="00412475"/>
    <w:rsid w:val="00423789"/>
    <w:rsid w:val="004332BD"/>
    <w:rsid w:val="00440F43"/>
    <w:rsid w:val="00441B6F"/>
    <w:rsid w:val="0044401D"/>
    <w:rsid w:val="00446221"/>
    <w:rsid w:val="00450E62"/>
    <w:rsid w:val="004539DB"/>
    <w:rsid w:val="00471A80"/>
    <w:rsid w:val="00471DB4"/>
    <w:rsid w:val="004D305E"/>
    <w:rsid w:val="004D4277"/>
    <w:rsid w:val="00502516"/>
    <w:rsid w:val="00505F06"/>
    <w:rsid w:val="00506828"/>
    <w:rsid w:val="00516D16"/>
    <w:rsid w:val="00521F57"/>
    <w:rsid w:val="0053056E"/>
    <w:rsid w:val="00537C6C"/>
    <w:rsid w:val="00554FDA"/>
    <w:rsid w:val="005B6DE5"/>
    <w:rsid w:val="005C784C"/>
    <w:rsid w:val="005D17F6"/>
    <w:rsid w:val="005E5539"/>
    <w:rsid w:val="005F6D24"/>
    <w:rsid w:val="00602BF5"/>
    <w:rsid w:val="00617FDD"/>
    <w:rsid w:val="00633614"/>
    <w:rsid w:val="00633F68"/>
    <w:rsid w:val="00634529"/>
    <w:rsid w:val="00636EB2"/>
    <w:rsid w:val="006375B8"/>
    <w:rsid w:val="00660A29"/>
    <w:rsid w:val="0066510A"/>
    <w:rsid w:val="00673F9F"/>
    <w:rsid w:val="00686953"/>
    <w:rsid w:val="00687DEA"/>
    <w:rsid w:val="00687E67"/>
    <w:rsid w:val="006957CA"/>
    <w:rsid w:val="006967F7"/>
    <w:rsid w:val="006A250C"/>
    <w:rsid w:val="006B21D3"/>
    <w:rsid w:val="006B57D0"/>
    <w:rsid w:val="006C65C6"/>
    <w:rsid w:val="006D30FF"/>
    <w:rsid w:val="006D6940"/>
    <w:rsid w:val="006F11EC"/>
    <w:rsid w:val="0070082C"/>
    <w:rsid w:val="007026E7"/>
    <w:rsid w:val="00722681"/>
    <w:rsid w:val="007369E6"/>
    <w:rsid w:val="00746E59"/>
    <w:rsid w:val="00754C9A"/>
    <w:rsid w:val="0075599A"/>
    <w:rsid w:val="00761D52"/>
    <w:rsid w:val="0077749E"/>
    <w:rsid w:val="00790ADA"/>
    <w:rsid w:val="007D2288"/>
    <w:rsid w:val="007E088F"/>
    <w:rsid w:val="007F5448"/>
    <w:rsid w:val="007F7B32"/>
    <w:rsid w:val="00804BC2"/>
    <w:rsid w:val="00807408"/>
    <w:rsid w:val="0081431A"/>
    <w:rsid w:val="0083216F"/>
    <w:rsid w:val="00845155"/>
    <w:rsid w:val="00860000"/>
    <w:rsid w:val="00863BD3"/>
    <w:rsid w:val="008641ED"/>
    <w:rsid w:val="00864E9F"/>
    <w:rsid w:val="00866D66"/>
    <w:rsid w:val="008671C6"/>
    <w:rsid w:val="00867839"/>
    <w:rsid w:val="008723BF"/>
    <w:rsid w:val="00875803"/>
    <w:rsid w:val="008A0A06"/>
    <w:rsid w:val="008B459E"/>
    <w:rsid w:val="008E13AE"/>
    <w:rsid w:val="008E1506"/>
    <w:rsid w:val="008E49C5"/>
    <w:rsid w:val="008E710C"/>
    <w:rsid w:val="008F69D6"/>
    <w:rsid w:val="00902823"/>
    <w:rsid w:val="00915CA6"/>
    <w:rsid w:val="00917E39"/>
    <w:rsid w:val="00927834"/>
    <w:rsid w:val="009500A6"/>
    <w:rsid w:val="00952AFB"/>
    <w:rsid w:val="00956072"/>
    <w:rsid w:val="00957C18"/>
    <w:rsid w:val="0096392A"/>
    <w:rsid w:val="009659BA"/>
    <w:rsid w:val="00983040"/>
    <w:rsid w:val="009932DF"/>
    <w:rsid w:val="009B3FB9"/>
    <w:rsid w:val="009C2465"/>
    <w:rsid w:val="009D35A0"/>
    <w:rsid w:val="009D7EB7"/>
    <w:rsid w:val="009E048A"/>
    <w:rsid w:val="009E08E9"/>
    <w:rsid w:val="009E3DB9"/>
    <w:rsid w:val="009E6E35"/>
    <w:rsid w:val="009E7AC0"/>
    <w:rsid w:val="009F0EDA"/>
    <w:rsid w:val="00A03B96"/>
    <w:rsid w:val="00A05B19"/>
    <w:rsid w:val="00A1134E"/>
    <w:rsid w:val="00A24E7E"/>
    <w:rsid w:val="00A258C3"/>
    <w:rsid w:val="00A347C0"/>
    <w:rsid w:val="00A51368"/>
    <w:rsid w:val="00A51431"/>
    <w:rsid w:val="00A52861"/>
    <w:rsid w:val="00A539AD"/>
    <w:rsid w:val="00A80019"/>
    <w:rsid w:val="00A94063"/>
    <w:rsid w:val="00AA2C6E"/>
    <w:rsid w:val="00AA6219"/>
    <w:rsid w:val="00AA74E0"/>
    <w:rsid w:val="00AB703F"/>
    <w:rsid w:val="00AC6BB8"/>
    <w:rsid w:val="00AC7147"/>
    <w:rsid w:val="00AE008F"/>
    <w:rsid w:val="00AF4DE4"/>
    <w:rsid w:val="00B01FCD"/>
    <w:rsid w:val="00B1776C"/>
    <w:rsid w:val="00B52583"/>
    <w:rsid w:val="00B52896"/>
    <w:rsid w:val="00B95236"/>
    <w:rsid w:val="00B96BD9"/>
    <w:rsid w:val="00B976E6"/>
    <w:rsid w:val="00BA1B01"/>
    <w:rsid w:val="00BA2641"/>
    <w:rsid w:val="00BB37AA"/>
    <w:rsid w:val="00BC026E"/>
    <w:rsid w:val="00BC53A0"/>
    <w:rsid w:val="00BC7BA3"/>
    <w:rsid w:val="00BD0DFB"/>
    <w:rsid w:val="00BE62AD"/>
    <w:rsid w:val="00BF121F"/>
    <w:rsid w:val="00BF1F80"/>
    <w:rsid w:val="00C166EF"/>
    <w:rsid w:val="00C17EB0"/>
    <w:rsid w:val="00C20F0D"/>
    <w:rsid w:val="00C27F5F"/>
    <w:rsid w:val="00C30A0F"/>
    <w:rsid w:val="00C37E61"/>
    <w:rsid w:val="00C4316B"/>
    <w:rsid w:val="00C70F1B"/>
    <w:rsid w:val="00C71A47"/>
    <w:rsid w:val="00C7464C"/>
    <w:rsid w:val="00C85588"/>
    <w:rsid w:val="00C927C4"/>
    <w:rsid w:val="00CD6755"/>
    <w:rsid w:val="00CD6856"/>
    <w:rsid w:val="00CE0089"/>
    <w:rsid w:val="00CE793C"/>
    <w:rsid w:val="00CF193C"/>
    <w:rsid w:val="00D173F1"/>
    <w:rsid w:val="00D241B4"/>
    <w:rsid w:val="00D419CC"/>
    <w:rsid w:val="00D52EBF"/>
    <w:rsid w:val="00D74CB0"/>
    <w:rsid w:val="00D75CAD"/>
    <w:rsid w:val="00D8295D"/>
    <w:rsid w:val="00DC2A65"/>
    <w:rsid w:val="00DE15F0"/>
    <w:rsid w:val="00DE5663"/>
    <w:rsid w:val="00DE78AA"/>
    <w:rsid w:val="00E053D0"/>
    <w:rsid w:val="00E12165"/>
    <w:rsid w:val="00E15994"/>
    <w:rsid w:val="00E17464"/>
    <w:rsid w:val="00E3114E"/>
    <w:rsid w:val="00E31A70"/>
    <w:rsid w:val="00E35B02"/>
    <w:rsid w:val="00E47BDC"/>
    <w:rsid w:val="00E545C8"/>
    <w:rsid w:val="00E66496"/>
    <w:rsid w:val="00E66B35"/>
    <w:rsid w:val="00E66E10"/>
    <w:rsid w:val="00E769F6"/>
    <w:rsid w:val="00E8407C"/>
    <w:rsid w:val="00E84F3C"/>
    <w:rsid w:val="00E95EEA"/>
    <w:rsid w:val="00EA012C"/>
    <w:rsid w:val="00EB50DC"/>
    <w:rsid w:val="00EC6A55"/>
    <w:rsid w:val="00ED0288"/>
    <w:rsid w:val="00ED3D91"/>
    <w:rsid w:val="00EE52CB"/>
    <w:rsid w:val="00EF581D"/>
    <w:rsid w:val="00EF6580"/>
    <w:rsid w:val="00EF7FD8"/>
    <w:rsid w:val="00F06F59"/>
    <w:rsid w:val="00F163E5"/>
    <w:rsid w:val="00F17988"/>
    <w:rsid w:val="00F209E4"/>
    <w:rsid w:val="00F317DB"/>
    <w:rsid w:val="00F469F0"/>
    <w:rsid w:val="00F53273"/>
    <w:rsid w:val="00F6723F"/>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A145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EF6580"/>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qFormat/>
    <w:locked/>
    <w:rsid w:val="00EF6580"/>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275DCD"/>
    <w:pPr>
      <w:spacing w:after="200"/>
    </w:pPr>
    <w:rPr>
      <w:rFonts w:asciiTheme="minorHAnsi" w:eastAsiaTheme="minorHAnsi" w:hAnsiTheme="minorHAnsi" w:cstheme="minorBidi"/>
      <w:i/>
      <w:iCs/>
      <w:color w:val="1F497D" w:themeColor="text2"/>
      <w:sz w:val="18"/>
      <w:szCs w:val="18"/>
    </w:rPr>
  </w:style>
  <w:style w:type="paragraph" w:styleId="FootnoteText">
    <w:name w:val="footnote text"/>
    <w:basedOn w:val="Normal"/>
    <w:link w:val="FootnoteTextChar"/>
    <w:uiPriority w:val="99"/>
    <w:unhideWhenUsed/>
    <w:qFormat/>
    <w:rsid w:val="00BC026E"/>
    <w:rPr>
      <w:rFonts w:ascii="Times New Roman" w:eastAsia="Calibri" w:hAnsi="Times New Roman"/>
      <w:lang w:val="id-ID"/>
    </w:rPr>
  </w:style>
  <w:style w:type="character" w:customStyle="1" w:styleId="FootnoteTextChar">
    <w:name w:val="Footnote Text Char"/>
    <w:basedOn w:val="DefaultParagraphFont"/>
    <w:link w:val="FootnoteText"/>
    <w:uiPriority w:val="99"/>
    <w:qFormat/>
    <w:rsid w:val="00BC026E"/>
    <w:rPr>
      <w:rFonts w:eastAsia="Calibri"/>
      <w:lang w:val="id-ID"/>
    </w:rPr>
  </w:style>
  <w:style w:type="paragraph" w:styleId="NormalWeb">
    <w:name w:val="Normal (Web)"/>
    <w:basedOn w:val="Normal"/>
    <w:uiPriority w:val="99"/>
    <w:semiHidden/>
    <w:unhideWhenUsed/>
    <w:rsid w:val="004332BD"/>
    <w:pPr>
      <w:spacing w:before="100" w:beforeAutospacing="1" w:after="100" w:afterAutospacing="1"/>
    </w:pPr>
    <w:rPr>
      <w:rFonts w:ascii="Times New Roman" w:hAnsi="Times New Roman"/>
      <w:sz w:val="24"/>
      <w:szCs w:val="24"/>
    </w:rPr>
  </w:style>
  <w:style w:type="character" w:styleId="PlaceholderText">
    <w:name w:val="Placeholder Text"/>
    <w:basedOn w:val="DefaultParagraphFont"/>
    <w:uiPriority w:val="99"/>
    <w:semiHidden/>
    <w:rsid w:val="009932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6179605">
      <w:bodyDiv w:val="1"/>
      <w:marLeft w:val="0"/>
      <w:marRight w:val="0"/>
      <w:marTop w:val="0"/>
      <w:marBottom w:val="0"/>
      <w:divBdr>
        <w:top w:val="none" w:sz="0" w:space="0" w:color="auto"/>
        <w:left w:val="none" w:sz="0" w:space="0" w:color="auto"/>
        <w:bottom w:val="none" w:sz="0" w:space="0" w:color="auto"/>
        <w:right w:val="none" w:sz="0" w:space="0" w:color="auto"/>
      </w:divBdr>
    </w:div>
    <w:div w:id="779909063">
      <w:bodyDiv w:val="1"/>
      <w:marLeft w:val="0"/>
      <w:marRight w:val="0"/>
      <w:marTop w:val="0"/>
      <w:marBottom w:val="0"/>
      <w:divBdr>
        <w:top w:val="none" w:sz="0" w:space="0" w:color="auto"/>
        <w:left w:val="none" w:sz="0" w:space="0" w:color="auto"/>
        <w:bottom w:val="none" w:sz="0" w:space="0" w:color="auto"/>
        <w:right w:val="none" w:sz="0" w:space="0" w:color="auto"/>
      </w:divBdr>
    </w:div>
    <w:div w:id="813329902">
      <w:bodyDiv w:val="1"/>
      <w:marLeft w:val="0"/>
      <w:marRight w:val="0"/>
      <w:marTop w:val="0"/>
      <w:marBottom w:val="0"/>
      <w:divBdr>
        <w:top w:val="none" w:sz="0" w:space="0" w:color="auto"/>
        <w:left w:val="none" w:sz="0" w:space="0" w:color="auto"/>
        <w:bottom w:val="none" w:sz="0" w:space="0" w:color="auto"/>
        <w:right w:val="none" w:sz="0" w:space="0" w:color="auto"/>
      </w:divBdr>
    </w:div>
    <w:div w:id="88290536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593571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E82EF-3096-436E-A95E-408FA359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1053</TotalTime>
  <Pages>11</Pages>
  <Words>8257</Words>
  <Characters>47070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55217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12</cp:revision>
  <cp:lastPrinted>1999-07-06T11:00:00Z</cp:lastPrinted>
  <dcterms:created xsi:type="dcterms:W3CDTF">2014-10-25T14:34:00Z</dcterms:created>
  <dcterms:modified xsi:type="dcterms:W3CDTF">2025-05-08T08:25:00Z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a4dd5a0c-98f8-31e1-8757-3072b8f7aa50</vt:lpwstr>
  </property>
  <property fmtid="{D5CDD505-2E9C-101B-9397-08002B2CF9AE}" pid="24" name="Mendeley Citation Style_1">
    <vt:lpwstr>http://www.zotero.org/styles/apa</vt:lpwstr>
  </property>
</Properties>
</file>