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3CDF5" w14:textId="3A5E6547" w:rsidR="00086B89" w:rsidRPr="00307F49" w:rsidRDefault="00086B89" w:rsidP="00307F49">
      <w:pPr>
        <w:spacing w:before="100" w:beforeAutospacing="1" w:after="100" w:afterAutospacing="1" w:line="276" w:lineRule="auto"/>
        <w:jc w:val="right"/>
        <w:rPr>
          <w:rFonts w:ascii="Arial" w:eastAsia="Times New Roman" w:hAnsi="Arial" w:cs="Arial"/>
          <w:kern w:val="0"/>
          <w:sz w:val="36"/>
          <w:szCs w:val="36"/>
          <w:lang w:eastAsia="en-GB"/>
          <w14:ligatures w14:val="none"/>
        </w:rPr>
      </w:pPr>
      <w:r w:rsidRPr="00086B89">
        <w:rPr>
          <w:rFonts w:ascii="Arial" w:eastAsia="Times New Roman" w:hAnsi="Arial" w:cs="Arial"/>
          <w:b/>
          <w:bCs/>
          <w:kern w:val="0"/>
          <w:sz w:val="36"/>
          <w:szCs w:val="36"/>
          <w:lang w:eastAsia="en-GB"/>
          <w14:ligatures w14:val="none"/>
        </w:rPr>
        <w:t xml:space="preserve">Changes in </w:t>
      </w:r>
      <w:r w:rsidRPr="00307F49">
        <w:rPr>
          <w:rFonts w:ascii="Arial" w:eastAsia="Times New Roman" w:hAnsi="Arial" w:cs="Arial"/>
          <w:b/>
          <w:bCs/>
          <w:kern w:val="0"/>
          <w:sz w:val="36"/>
          <w:szCs w:val="36"/>
          <w:lang w:eastAsia="en-GB"/>
          <w14:ligatures w14:val="none"/>
        </w:rPr>
        <w:t>p</w:t>
      </w:r>
      <w:r w:rsidRPr="00086B89">
        <w:rPr>
          <w:rFonts w:ascii="Arial" w:eastAsia="Times New Roman" w:hAnsi="Arial" w:cs="Arial"/>
          <w:b/>
          <w:bCs/>
          <w:kern w:val="0"/>
          <w:sz w:val="36"/>
          <w:szCs w:val="36"/>
          <w:lang w:eastAsia="en-GB"/>
          <w14:ligatures w14:val="none"/>
        </w:rPr>
        <w:t xml:space="preserve">hysicochemical </w:t>
      </w:r>
      <w:r w:rsidRPr="00307F49">
        <w:rPr>
          <w:rFonts w:ascii="Arial" w:eastAsia="Times New Roman" w:hAnsi="Arial" w:cs="Arial"/>
          <w:b/>
          <w:bCs/>
          <w:kern w:val="0"/>
          <w:sz w:val="36"/>
          <w:szCs w:val="36"/>
          <w:lang w:eastAsia="en-GB"/>
          <w14:ligatures w14:val="none"/>
        </w:rPr>
        <w:t>p</w:t>
      </w:r>
      <w:r w:rsidRPr="00086B89">
        <w:rPr>
          <w:rFonts w:ascii="Arial" w:eastAsia="Times New Roman" w:hAnsi="Arial" w:cs="Arial"/>
          <w:b/>
          <w:bCs/>
          <w:kern w:val="0"/>
          <w:sz w:val="36"/>
          <w:szCs w:val="36"/>
          <w:lang w:eastAsia="en-GB"/>
          <w14:ligatures w14:val="none"/>
        </w:rPr>
        <w:t xml:space="preserve">roperties </w:t>
      </w:r>
      <w:r w:rsidRPr="00307F49">
        <w:rPr>
          <w:rFonts w:ascii="Arial" w:eastAsia="Times New Roman" w:hAnsi="Arial" w:cs="Arial"/>
          <w:b/>
          <w:bCs/>
          <w:kern w:val="0"/>
          <w:sz w:val="36"/>
          <w:szCs w:val="36"/>
          <w:lang w:eastAsia="en-GB"/>
          <w14:ligatures w14:val="none"/>
        </w:rPr>
        <w:t>d</w:t>
      </w:r>
      <w:r w:rsidRPr="00086B89">
        <w:rPr>
          <w:rFonts w:ascii="Arial" w:eastAsia="Times New Roman" w:hAnsi="Arial" w:cs="Arial"/>
          <w:b/>
          <w:bCs/>
          <w:kern w:val="0"/>
          <w:sz w:val="36"/>
          <w:szCs w:val="36"/>
          <w:lang w:eastAsia="en-GB"/>
          <w14:ligatures w14:val="none"/>
        </w:rPr>
        <w:t xml:space="preserve">uring </w:t>
      </w:r>
      <w:r w:rsidRPr="00307F49">
        <w:rPr>
          <w:rFonts w:ascii="Arial" w:eastAsia="Times New Roman" w:hAnsi="Arial" w:cs="Arial"/>
          <w:b/>
          <w:bCs/>
          <w:kern w:val="0"/>
          <w:sz w:val="36"/>
          <w:szCs w:val="36"/>
          <w:lang w:eastAsia="en-GB"/>
          <w14:ligatures w14:val="none"/>
        </w:rPr>
        <w:t>m</w:t>
      </w:r>
      <w:r w:rsidRPr="00086B89">
        <w:rPr>
          <w:rFonts w:ascii="Arial" w:eastAsia="Times New Roman" w:hAnsi="Arial" w:cs="Arial"/>
          <w:b/>
          <w:bCs/>
          <w:kern w:val="0"/>
          <w:sz w:val="36"/>
          <w:szCs w:val="36"/>
          <w:lang w:eastAsia="en-GB"/>
          <w14:ligatures w14:val="none"/>
        </w:rPr>
        <w:t>aturation of Dragon Fruit (</w:t>
      </w:r>
      <w:r w:rsidRPr="00086B89">
        <w:rPr>
          <w:rFonts w:ascii="Arial" w:eastAsia="Times New Roman" w:hAnsi="Arial" w:cs="Arial"/>
          <w:b/>
          <w:bCs/>
          <w:i/>
          <w:iCs/>
          <w:kern w:val="0"/>
          <w:sz w:val="36"/>
          <w:szCs w:val="36"/>
          <w:lang w:eastAsia="en-GB"/>
          <w14:ligatures w14:val="none"/>
        </w:rPr>
        <w:t>Hylocereus polyrhizus</w:t>
      </w:r>
      <w:r w:rsidRPr="00086B89">
        <w:rPr>
          <w:rFonts w:ascii="Arial" w:eastAsia="Times New Roman" w:hAnsi="Arial" w:cs="Arial"/>
          <w:b/>
          <w:bCs/>
          <w:kern w:val="0"/>
          <w:sz w:val="36"/>
          <w:szCs w:val="36"/>
          <w:lang w:eastAsia="en-GB"/>
          <w14:ligatures w14:val="none"/>
        </w:rPr>
        <w:t xml:space="preserve">) </w:t>
      </w:r>
      <w:r w:rsidRPr="00307F49">
        <w:rPr>
          <w:rFonts w:ascii="Arial" w:eastAsia="Times New Roman" w:hAnsi="Arial" w:cs="Arial"/>
          <w:b/>
          <w:bCs/>
          <w:kern w:val="0"/>
          <w:sz w:val="36"/>
          <w:szCs w:val="36"/>
          <w:lang w:eastAsia="en-GB"/>
          <w14:ligatures w14:val="none"/>
        </w:rPr>
        <w:t>b</w:t>
      </w:r>
      <w:r w:rsidRPr="00086B89">
        <w:rPr>
          <w:rFonts w:ascii="Arial" w:eastAsia="Times New Roman" w:hAnsi="Arial" w:cs="Arial"/>
          <w:b/>
          <w:bCs/>
          <w:kern w:val="0"/>
          <w:sz w:val="36"/>
          <w:szCs w:val="36"/>
          <w:lang w:eastAsia="en-GB"/>
          <w14:ligatures w14:val="none"/>
        </w:rPr>
        <w:t>a</w:t>
      </w:r>
      <w:bookmarkStart w:id="0" w:name="_GoBack"/>
      <w:bookmarkEnd w:id="0"/>
      <w:r w:rsidRPr="00086B89">
        <w:rPr>
          <w:rFonts w:ascii="Arial" w:eastAsia="Times New Roman" w:hAnsi="Arial" w:cs="Arial"/>
          <w:b/>
          <w:bCs/>
          <w:kern w:val="0"/>
          <w:sz w:val="36"/>
          <w:szCs w:val="36"/>
          <w:lang w:eastAsia="en-GB"/>
          <w14:ligatures w14:val="none"/>
        </w:rPr>
        <w:t xml:space="preserve">sed on </w:t>
      </w:r>
      <w:r w:rsidRPr="00307F49">
        <w:rPr>
          <w:rFonts w:ascii="Arial" w:eastAsia="Times New Roman" w:hAnsi="Arial" w:cs="Arial"/>
          <w:b/>
          <w:bCs/>
          <w:kern w:val="0"/>
          <w:sz w:val="36"/>
          <w:szCs w:val="36"/>
          <w:lang w:eastAsia="en-GB"/>
          <w14:ligatures w14:val="none"/>
        </w:rPr>
        <w:t>t</w:t>
      </w:r>
      <w:r w:rsidRPr="00086B89">
        <w:rPr>
          <w:rFonts w:ascii="Arial" w:eastAsia="Times New Roman" w:hAnsi="Arial" w:cs="Arial"/>
          <w:b/>
          <w:bCs/>
          <w:kern w:val="0"/>
          <w:sz w:val="36"/>
          <w:szCs w:val="36"/>
          <w:lang w:eastAsia="en-GB"/>
          <w14:ligatures w14:val="none"/>
        </w:rPr>
        <w:t xml:space="preserve">hree </w:t>
      </w:r>
      <w:r w:rsidRPr="00307F49">
        <w:rPr>
          <w:rFonts w:ascii="Arial" w:eastAsia="Times New Roman" w:hAnsi="Arial" w:cs="Arial"/>
          <w:b/>
          <w:bCs/>
          <w:kern w:val="0"/>
          <w:sz w:val="36"/>
          <w:szCs w:val="36"/>
          <w:lang w:eastAsia="en-GB"/>
          <w14:ligatures w14:val="none"/>
        </w:rPr>
        <w:t>h</w:t>
      </w:r>
      <w:r w:rsidRPr="00086B89">
        <w:rPr>
          <w:rFonts w:ascii="Arial" w:eastAsia="Times New Roman" w:hAnsi="Arial" w:cs="Arial"/>
          <w:b/>
          <w:bCs/>
          <w:kern w:val="0"/>
          <w:sz w:val="36"/>
          <w:szCs w:val="36"/>
          <w:lang w:eastAsia="en-GB"/>
          <w14:ligatures w14:val="none"/>
        </w:rPr>
        <w:t xml:space="preserve">arvest </w:t>
      </w:r>
      <w:r w:rsidRPr="00307F49">
        <w:rPr>
          <w:rFonts w:ascii="Arial" w:eastAsia="Times New Roman" w:hAnsi="Arial" w:cs="Arial"/>
          <w:b/>
          <w:bCs/>
          <w:kern w:val="0"/>
          <w:sz w:val="36"/>
          <w:szCs w:val="36"/>
          <w:lang w:eastAsia="en-GB"/>
          <w14:ligatures w14:val="none"/>
        </w:rPr>
        <w:t>s</w:t>
      </w:r>
      <w:r w:rsidRPr="00086B89">
        <w:rPr>
          <w:rFonts w:ascii="Arial" w:eastAsia="Times New Roman" w:hAnsi="Arial" w:cs="Arial"/>
          <w:b/>
          <w:bCs/>
          <w:kern w:val="0"/>
          <w:sz w:val="36"/>
          <w:szCs w:val="36"/>
          <w:lang w:eastAsia="en-GB"/>
          <w14:ligatures w14:val="none"/>
        </w:rPr>
        <w:t>tages</w:t>
      </w:r>
    </w:p>
    <w:p w14:paraId="51D9109B" w14:textId="77777777" w:rsidR="00966959" w:rsidRPr="00307F49" w:rsidRDefault="00966959" w:rsidP="00307F49">
      <w:pPr>
        <w:spacing w:before="100" w:beforeAutospacing="1" w:after="100" w:afterAutospacing="1" w:line="276" w:lineRule="auto"/>
        <w:jc w:val="right"/>
        <w:rPr>
          <w:rFonts w:ascii="Arial" w:eastAsia="Times New Roman" w:hAnsi="Arial" w:cs="Arial"/>
          <w:kern w:val="0"/>
          <w:sz w:val="16"/>
          <w:szCs w:val="16"/>
          <w:lang w:eastAsia="en-GB"/>
          <w14:ligatures w14:val="none"/>
        </w:rPr>
      </w:pPr>
    </w:p>
    <w:p w14:paraId="0DCC0443" w14:textId="00BFB808" w:rsidR="0051450F" w:rsidRPr="00307F49" w:rsidRDefault="00307F49" w:rsidP="00307F49">
      <w:pPr>
        <w:spacing w:line="276" w:lineRule="auto"/>
        <w:jc w:val="center"/>
        <w:rPr>
          <w:rFonts w:ascii="Arial" w:hAnsi="Arial" w:cs="Arial"/>
          <w:sz w:val="20"/>
          <w:szCs w:val="20"/>
          <w:lang w:val="en-US"/>
        </w:rPr>
      </w:pPr>
      <w:r>
        <w:rPr>
          <w:rFonts w:ascii="Arial" w:hAnsi="Arial" w:cs="Arial"/>
          <w:noProof/>
          <w:lang w:val="en-US"/>
        </w:rPr>
        <mc:AlternateContent>
          <mc:Choice Requires="wps">
            <w:drawing>
              <wp:inline distT="0" distB="0" distL="0" distR="0" wp14:anchorId="5603AF05" wp14:editId="665E41C9">
                <wp:extent cx="5303520" cy="635"/>
                <wp:effectExtent l="0" t="12700" r="5080" b="12065"/>
                <wp:docPr id="63145809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C144AC5"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9qwEAAEEDAAAOAAAAZHJzL2Uyb0RvYy54bWysUs2OEzEMviPxDlHudKZdFc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" strokeweight="1.5pt">
                <o:lock v:ext="edit" shapetype="f"/>
                <w10:anchorlock/>
              </v:shape>
            </w:pict>
          </mc:Fallback>
        </mc:AlternateContent>
      </w:r>
    </w:p>
    <w:p w14:paraId="7A369353" w14:textId="77777777" w:rsidR="00307F49" w:rsidRDefault="00307F49" w:rsidP="00307F49">
      <w:pPr>
        <w:spacing w:line="276" w:lineRule="auto"/>
        <w:rPr>
          <w:rFonts w:ascii="Arial" w:hAnsi="Arial" w:cs="Arial"/>
          <w:b/>
          <w:bCs/>
          <w:sz w:val="22"/>
          <w:szCs w:val="22"/>
          <w:lang w:val="en-US"/>
        </w:rPr>
      </w:pPr>
    </w:p>
    <w:p w14:paraId="063C74EA" w14:textId="77777777" w:rsidR="001843BD" w:rsidRDefault="001843BD" w:rsidP="001071DC">
      <w:pPr>
        <w:spacing w:line="276" w:lineRule="auto"/>
        <w:jc w:val="both"/>
        <w:rPr>
          <w:rFonts w:ascii="Arial" w:hAnsi="Arial" w:cs="Arial"/>
          <w:b/>
          <w:bCs/>
          <w:sz w:val="22"/>
          <w:szCs w:val="22"/>
          <w:lang w:val="en-US"/>
        </w:rPr>
      </w:pPr>
    </w:p>
    <w:p w14:paraId="32E6FCE8" w14:textId="4D77478E" w:rsidR="00586AEE" w:rsidRPr="00A00722" w:rsidRDefault="001843BD" w:rsidP="00A00722">
      <w:pPr>
        <w:spacing w:line="276" w:lineRule="auto"/>
        <w:jc w:val="both"/>
        <w:rPr>
          <w:rFonts w:ascii="Arial" w:hAnsi="Arial" w:cs="Arial"/>
          <w:b/>
          <w:bCs/>
          <w:sz w:val="22"/>
          <w:szCs w:val="22"/>
          <w:lang w:val="en-US"/>
        </w:rPr>
      </w:pPr>
      <w:r>
        <w:rPr>
          <w:rFonts w:ascii="Arial" w:hAnsi="Arial" w:cs="Arial"/>
          <w:b/>
          <w:bCs/>
          <w:sz w:val="22"/>
          <w:szCs w:val="22"/>
          <w:lang w:val="en-US"/>
        </w:rPr>
        <w:t xml:space="preserve">ABSTRACT </w:t>
      </w:r>
    </w:p>
    <w:p w14:paraId="25D6605C" w14:textId="56E6E776" w:rsidR="0089681B" w:rsidRDefault="00586AEE" w:rsidP="0089681B">
      <w:pPr>
        <w:spacing w:line="276" w:lineRule="auto"/>
        <w:ind w:firstLine="284"/>
        <w:jc w:val="both"/>
        <w:rPr>
          <w:rFonts w:ascii="Arial" w:eastAsia="TimesNewRomanPSMT" w:hAnsi="Arial" w:cs="Arial"/>
          <w:sz w:val="20"/>
          <w:szCs w:val="20"/>
        </w:rPr>
      </w:pPr>
      <w:r w:rsidRPr="00A00722">
        <w:rPr>
          <w:rFonts w:ascii="Arial" w:hAnsi="Arial" w:cs="Arial"/>
          <w:sz w:val="20"/>
          <w:szCs w:val="20"/>
          <w:lang w:val="en-US"/>
        </w:rPr>
        <w:t>Dragon fruit (</w:t>
      </w:r>
      <w:r w:rsidRPr="00A00722">
        <w:rPr>
          <w:rFonts w:ascii="Arial" w:hAnsi="Arial" w:cs="Arial"/>
          <w:i/>
          <w:iCs/>
          <w:sz w:val="20"/>
          <w:szCs w:val="20"/>
          <w:lang w:val="en-US"/>
        </w:rPr>
        <w:t>Hylocereus polyrhizus</w:t>
      </w:r>
      <w:r w:rsidRPr="00A00722">
        <w:rPr>
          <w:rFonts w:ascii="Arial" w:hAnsi="Arial" w:cs="Arial"/>
          <w:sz w:val="20"/>
          <w:szCs w:val="20"/>
          <w:lang w:val="en-US"/>
        </w:rPr>
        <w:t xml:space="preserve">) </w:t>
      </w:r>
      <w:r w:rsidR="0089681B">
        <w:rPr>
          <w:rFonts w:ascii="Arial" w:hAnsi="Arial" w:cs="Arial"/>
          <w:sz w:val="20"/>
          <w:szCs w:val="20"/>
          <w:lang w:val="en-US"/>
        </w:rPr>
        <w:t xml:space="preserve">is an exotic fruit with its </w:t>
      </w:r>
      <w:r w:rsidRPr="00A00722">
        <w:rPr>
          <w:rFonts w:ascii="Arial" w:hAnsi="Arial" w:cs="Arial"/>
          <w:sz w:val="20"/>
          <w:szCs w:val="20"/>
          <w:lang w:val="en-US"/>
        </w:rPr>
        <w:t>cultivation increasing</w:t>
      </w:r>
      <w:r w:rsidR="0089681B">
        <w:rPr>
          <w:rFonts w:ascii="Arial" w:hAnsi="Arial" w:cs="Arial"/>
          <w:sz w:val="20"/>
          <w:szCs w:val="20"/>
          <w:lang w:val="en-US"/>
        </w:rPr>
        <w:t xml:space="preserve"> rapidly</w:t>
      </w:r>
      <w:r w:rsidRPr="00A00722">
        <w:rPr>
          <w:rFonts w:ascii="Arial" w:hAnsi="Arial" w:cs="Arial"/>
          <w:sz w:val="20"/>
          <w:szCs w:val="20"/>
          <w:lang w:val="en-US"/>
        </w:rPr>
        <w:t xml:space="preserve"> in several</w:t>
      </w:r>
      <w:r w:rsidR="0089681B">
        <w:rPr>
          <w:rFonts w:ascii="Arial" w:hAnsi="Arial" w:cs="Arial"/>
          <w:sz w:val="20"/>
          <w:szCs w:val="20"/>
          <w:lang w:val="en-US"/>
        </w:rPr>
        <w:t xml:space="preserve"> regions</w:t>
      </w:r>
      <w:r w:rsidRPr="00A00722">
        <w:rPr>
          <w:rFonts w:ascii="Arial" w:hAnsi="Arial" w:cs="Arial"/>
          <w:sz w:val="20"/>
          <w:szCs w:val="20"/>
          <w:lang w:val="en-US"/>
        </w:rPr>
        <w:t xml:space="preserve">. Being a non-climacteric fruit and of perishable nature, </w:t>
      </w:r>
      <w:r w:rsidR="0089681B">
        <w:rPr>
          <w:rFonts w:ascii="Arial" w:hAnsi="Arial" w:cs="Arial"/>
          <w:sz w:val="20"/>
          <w:szCs w:val="20"/>
          <w:lang w:val="en-US"/>
        </w:rPr>
        <w:t xml:space="preserve">understanding </w:t>
      </w:r>
      <w:r w:rsidRPr="00A00722">
        <w:rPr>
          <w:rFonts w:ascii="Arial" w:hAnsi="Arial" w:cs="Arial"/>
          <w:sz w:val="20"/>
          <w:szCs w:val="20"/>
          <w:lang w:val="en-US"/>
        </w:rPr>
        <w:t>harves</w:t>
      </w:r>
      <w:r w:rsidR="0089681B">
        <w:rPr>
          <w:rFonts w:ascii="Arial" w:hAnsi="Arial" w:cs="Arial"/>
          <w:sz w:val="20"/>
          <w:szCs w:val="20"/>
          <w:lang w:val="en-US"/>
        </w:rPr>
        <w:t>t maturity</w:t>
      </w:r>
      <w:r w:rsidRPr="00A00722">
        <w:rPr>
          <w:rFonts w:ascii="Arial" w:hAnsi="Arial" w:cs="Arial"/>
          <w:sz w:val="20"/>
          <w:szCs w:val="20"/>
          <w:lang w:val="en-US"/>
        </w:rPr>
        <w:t xml:space="preserve"> stage </w:t>
      </w:r>
      <w:r w:rsidR="0089681B">
        <w:rPr>
          <w:rFonts w:ascii="Arial" w:hAnsi="Arial" w:cs="Arial"/>
          <w:sz w:val="20"/>
          <w:szCs w:val="20"/>
          <w:lang w:val="en-US"/>
        </w:rPr>
        <w:t>is important</w:t>
      </w:r>
      <w:r w:rsidRPr="00A00722">
        <w:rPr>
          <w:rFonts w:ascii="Arial" w:hAnsi="Arial" w:cs="Arial"/>
          <w:sz w:val="20"/>
          <w:szCs w:val="20"/>
          <w:lang w:val="en-US"/>
        </w:rPr>
        <w:t xml:space="preserve"> for ensuring quality fruit to consumers. The present study was conducted for two consecutive years during 2020-21 and 2021-22 under foothills of Nagaland</w:t>
      </w:r>
      <w:r w:rsidRPr="00A00722">
        <w:rPr>
          <w:rFonts w:ascii="Arial" w:hAnsi="Arial" w:cs="Arial"/>
          <w:sz w:val="20"/>
          <w:szCs w:val="20"/>
          <w:lang w:val="en-GB"/>
        </w:rPr>
        <w:t xml:space="preserve"> at Seithekema-C village, Chümoukedima district, Nagaland</w:t>
      </w:r>
      <w:r w:rsidRPr="00A00722">
        <w:rPr>
          <w:rFonts w:ascii="Arial" w:hAnsi="Arial" w:cs="Arial"/>
          <w:sz w:val="20"/>
          <w:szCs w:val="20"/>
          <w:lang w:val="en-US"/>
        </w:rPr>
        <w:t>,</w:t>
      </w:r>
      <w:r w:rsidR="0089681B">
        <w:rPr>
          <w:rFonts w:ascii="Arial" w:hAnsi="Arial" w:cs="Arial"/>
          <w:sz w:val="20"/>
          <w:szCs w:val="20"/>
          <w:lang w:val="en-US"/>
        </w:rPr>
        <w:t xml:space="preserve"> India, </w:t>
      </w:r>
      <w:r w:rsidRPr="00A00722">
        <w:rPr>
          <w:rFonts w:ascii="Arial" w:hAnsi="Arial" w:cs="Arial"/>
          <w:sz w:val="20"/>
          <w:szCs w:val="20"/>
          <w:lang w:val="en-US"/>
        </w:rPr>
        <w:t xml:space="preserve">laid out in Completely Randomized Design replicated </w:t>
      </w:r>
      <w:r w:rsidR="0089681B">
        <w:rPr>
          <w:rFonts w:ascii="Arial" w:hAnsi="Arial" w:cs="Arial"/>
          <w:sz w:val="20"/>
          <w:szCs w:val="20"/>
          <w:lang w:val="en-US"/>
        </w:rPr>
        <w:t>five times</w:t>
      </w:r>
      <w:r w:rsidRPr="00A00722">
        <w:rPr>
          <w:rFonts w:ascii="Arial" w:hAnsi="Arial" w:cs="Arial"/>
          <w:sz w:val="20"/>
          <w:szCs w:val="20"/>
          <w:lang w:val="en-US"/>
        </w:rPr>
        <w:t xml:space="preserve">, consisting of three harvesting stages </w:t>
      </w:r>
      <w:r w:rsidRPr="00A00722">
        <w:rPr>
          <w:rFonts w:ascii="Arial" w:hAnsi="Arial" w:cs="Arial"/>
          <w:i/>
          <w:iCs/>
          <w:sz w:val="20"/>
          <w:szCs w:val="20"/>
          <w:lang w:val="en-US"/>
        </w:rPr>
        <w:t>viz.,</w:t>
      </w:r>
      <w:r w:rsidRPr="00A00722">
        <w:rPr>
          <w:rFonts w:ascii="Arial" w:hAnsi="Arial" w:cs="Arial"/>
          <w:sz w:val="20"/>
          <w:szCs w:val="20"/>
          <w:lang w:val="en-US"/>
        </w:rPr>
        <w:t xml:space="preserve"> H</w:t>
      </w:r>
      <w:r w:rsidRPr="00A00722">
        <w:rPr>
          <w:rFonts w:ascii="Arial" w:hAnsi="Arial" w:cs="Arial"/>
          <w:sz w:val="20"/>
          <w:szCs w:val="20"/>
          <w:vertAlign w:val="subscript"/>
          <w:lang w:val="en-US"/>
        </w:rPr>
        <w:t>1</w:t>
      </w:r>
      <w:r w:rsidRPr="00A00722">
        <w:rPr>
          <w:rFonts w:ascii="Arial" w:hAnsi="Arial" w:cs="Arial"/>
          <w:sz w:val="20"/>
          <w:szCs w:val="20"/>
          <w:lang w:val="en-US"/>
        </w:rPr>
        <w:t>- 25 Days after anthesis (DAA), H</w:t>
      </w:r>
      <w:r w:rsidRPr="00A00722">
        <w:rPr>
          <w:rFonts w:ascii="Arial" w:hAnsi="Arial" w:cs="Arial"/>
          <w:sz w:val="20"/>
          <w:szCs w:val="20"/>
          <w:vertAlign w:val="subscript"/>
          <w:lang w:val="en-US"/>
        </w:rPr>
        <w:t>2</w:t>
      </w:r>
      <w:r w:rsidRPr="00A00722">
        <w:rPr>
          <w:rFonts w:ascii="Arial" w:hAnsi="Arial" w:cs="Arial"/>
          <w:sz w:val="20"/>
          <w:szCs w:val="20"/>
          <w:lang w:val="en-US"/>
        </w:rPr>
        <w:t>- 30 DAA and H</w:t>
      </w:r>
      <w:r w:rsidRPr="00A00722">
        <w:rPr>
          <w:rFonts w:ascii="Arial" w:hAnsi="Arial" w:cs="Arial"/>
          <w:sz w:val="20"/>
          <w:szCs w:val="20"/>
          <w:vertAlign w:val="subscript"/>
          <w:lang w:val="en-US"/>
        </w:rPr>
        <w:t>3</w:t>
      </w:r>
      <w:r w:rsidRPr="00A00722">
        <w:rPr>
          <w:rFonts w:ascii="Arial" w:hAnsi="Arial" w:cs="Arial"/>
          <w:sz w:val="20"/>
          <w:szCs w:val="20"/>
          <w:lang w:val="en-US"/>
        </w:rPr>
        <w:t>- 35 DAA</w:t>
      </w:r>
      <w:r w:rsidR="0089681B">
        <w:rPr>
          <w:rFonts w:ascii="Arial" w:hAnsi="Arial" w:cs="Arial"/>
          <w:sz w:val="20"/>
          <w:szCs w:val="20"/>
          <w:lang w:val="en-US"/>
        </w:rPr>
        <w:t xml:space="preserve">. </w:t>
      </w:r>
      <w:r w:rsidRPr="00A00722">
        <w:rPr>
          <w:rFonts w:ascii="Arial" w:hAnsi="Arial" w:cs="Arial"/>
          <w:sz w:val="20"/>
          <w:szCs w:val="20"/>
          <w:lang w:val="en-US"/>
        </w:rPr>
        <w:t xml:space="preserve">Fruits were tagged in the morning </w:t>
      </w:r>
      <w:r w:rsidR="0089681B">
        <w:rPr>
          <w:rFonts w:ascii="Arial" w:hAnsi="Arial" w:cs="Arial"/>
          <w:sz w:val="20"/>
          <w:szCs w:val="20"/>
          <w:lang w:val="en-US"/>
        </w:rPr>
        <w:t>following</w:t>
      </w:r>
      <w:r w:rsidRPr="00A00722">
        <w:rPr>
          <w:rFonts w:ascii="Arial" w:hAnsi="Arial" w:cs="Arial"/>
          <w:sz w:val="20"/>
          <w:szCs w:val="20"/>
          <w:lang w:val="en-US"/>
        </w:rPr>
        <w:t xml:space="preserve"> anthesis and harvested according to the treatment requirement</w:t>
      </w:r>
      <w:r w:rsidR="0089681B">
        <w:rPr>
          <w:rFonts w:ascii="Arial" w:hAnsi="Arial" w:cs="Arial"/>
          <w:sz w:val="20"/>
          <w:szCs w:val="20"/>
          <w:lang w:val="en-US"/>
        </w:rPr>
        <w:t xml:space="preserve">. Physical and quality aspects were analyzed where it was evident that changes in biochemical factors occur during maturation. Among the </w:t>
      </w:r>
      <w:r w:rsidR="0089681B" w:rsidRPr="008D17C2">
        <w:rPr>
          <w:rFonts w:ascii="Arial" w:hAnsi="Arial" w:cs="Arial"/>
          <w:sz w:val="21"/>
          <w:szCs w:val="21"/>
        </w:rPr>
        <w:t xml:space="preserve">three maturity stages, </w:t>
      </w:r>
      <w:r w:rsidR="0089681B" w:rsidRPr="008D17C2">
        <w:rPr>
          <w:rFonts w:ascii="Arial" w:hAnsi="Arial" w:cs="Arial"/>
          <w:sz w:val="21"/>
          <w:szCs w:val="21"/>
          <w:lang w:val="en-US"/>
        </w:rPr>
        <w:t>physiochemical factors such as fruit size, fruit firmness, TSS, titratable acidity, TSS: acid ratio</w:t>
      </w:r>
      <w:r w:rsidR="0089681B">
        <w:rPr>
          <w:rFonts w:ascii="Arial" w:hAnsi="Arial" w:cs="Arial"/>
          <w:sz w:val="21"/>
          <w:szCs w:val="21"/>
          <w:lang w:val="en-US"/>
        </w:rPr>
        <w:t>, sugar content</w:t>
      </w:r>
      <w:r w:rsidR="0089681B" w:rsidRPr="008D17C2">
        <w:rPr>
          <w:rFonts w:ascii="Arial" w:hAnsi="Arial" w:cs="Arial"/>
          <w:sz w:val="21"/>
          <w:szCs w:val="21"/>
          <w:lang w:val="en-US"/>
        </w:rPr>
        <w:t xml:space="preserve"> were recorded to be optimum at 30 DAA </w:t>
      </w:r>
      <w:r w:rsidR="0089681B" w:rsidRPr="008D17C2">
        <w:rPr>
          <w:rFonts w:ascii="Arial" w:hAnsi="Arial" w:cs="Arial"/>
          <w:sz w:val="21"/>
          <w:szCs w:val="21"/>
        </w:rPr>
        <w:t>(H</w:t>
      </w:r>
      <w:r w:rsidR="0089681B" w:rsidRPr="008D17C2">
        <w:rPr>
          <w:rFonts w:ascii="Arial" w:hAnsi="Arial" w:cs="Arial"/>
          <w:sz w:val="21"/>
          <w:szCs w:val="21"/>
          <w:vertAlign w:val="subscript"/>
        </w:rPr>
        <w:t>2</w:t>
      </w:r>
      <w:r w:rsidR="0089681B" w:rsidRPr="008D17C2">
        <w:rPr>
          <w:rFonts w:ascii="Arial" w:hAnsi="Arial" w:cs="Arial"/>
          <w:sz w:val="21"/>
          <w:szCs w:val="21"/>
        </w:rPr>
        <w:t>), while storability in terms of lower post-harvest spoilage was recorded in 25 DAA (H</w:t>
      </w:r>
      <w:r w:rsidR="0089681B" w:rsidRPr="008D17C2">
        <w:rPr>
          <w:rFonts w:ascii="Arial" w:hAnsi="Arial" w:cs="Arial"/>
          <w:sz w:val="21"/>
          <w:szCs w:val="21"/>
          <w:vertAlign w:val="subscript"/>
        </w:rPr>
        <w:t>1</w:t>
      </w:r>
      <w:r w:rsidR="0089681B" w:rsidRPr="008D17C2">
        <w:rPr>
          <w:rFonts w:ascii="Arial" w:hAnsi="Arial" w:cs="Arial"/>
          <w:sz w:val="21"/>
          <w:szCs w:val="21"/>
        </w:rPr>
        <w:t>).</w:t>
      </w:r>
      <w:r w:rsidR="0089681B">
        <w:rPr>
          <w:rFonts w:ascii="Arial" w:hAnsi="Arial" w:cs="Arial"/>
          <w:sz w:val="21"/>
          <w:szCs w:val="21"/>
        </w:rPr>
        <w:t xml:space="preserve"> </w:t>
      </w:r>
      <w:r w:rsidR="0089681B">
        <w:rPr>
          <w:rFonts w:ascii="Arial" w:eastAsia="TimesNewRomanPSMT" w:hAnsi="Arial" w:cs="Arial"/>
          <w:sz w:val="20"/>
          <w:szCs w:val="20"/>
        </w:rPr>
        <w:t>A</w:t>
      </w:r>
      <w:r w:rsidR="0089681B" w:rsidRPr="00307F49">
        <w:rPr>
          <w:rFonts w:ascii="Arial" w:eastAsia="TimesNewRomanPSMT" w:hAnsi="Arial" w:cs="Arial"/>
          <w:sz w:val="20"/>
          <w:szCs w:val="20"/>
        </w:rPr>
        <w:t xml:space="preserve">t initial stage </w:t>
      </w:r>
      <w:r w:rsidR="0089681B">
        <w:rPr>
          <w:rFonts w:ascii="Arial" w:eastAsia="TimesNewRomanPSMT" w:hAnsi="Arial" w:cs="Arial"/>
          <w:sz w:val="20"/>
          <w:szCs w:val="20"/>
        </w:rPr>
        <w:t>(</w:t>
      </w:r>
      <w:r w:rsidR="0089681B" w:rsidRPr="00307F49">
        <w:rPr>
          <w:rFonts w:ascii="Arial" w:eastAsia="TimesNewRomanPSMT" w:hAnsi="Arial" w:cs="Arial"/>
          <w:sz w:val="20"/>
          <w:szCs w:val="20"/>
        </w:rPr>
        <w:t>25 DAA)</w:t>
      </w:r>
      <w:r w:rsidR="0089681B">
        <w:rPr>
          <w:rFonts w:ascii="Arial" w:eastAsia="TimesNewRomanPSMT" w:hAnsi="Arial" w:cs="Arial"/>
          <w:sz w:val="20"/>
          <w:szCs w:val="20"/>
        </w:rPr>
        <w:t>,</w:t>
      </w:r>
      <w:r w:rsidR="0089681B" w:rsidRPr="00307F49">
        <w:rPr>
          <w:rFonts w:ascii="Arial" w:eastAsia="TimesNewRomanPSMT" w:hAnsi="Arial" w:cs="Arial"/>
          <w:sz w:val="20"/>
          <w:szCs w:val="20"/>
        </w:rPr>
        <w:t xml:space="preserve"> higher total phenol content (6.87 GAE mg/g) </w:t>
      </w:r>
      <w:r w:rsidR="0089681B">
        <w:rPr>
          <w:rFonts w:ascii="Arial" w:eastAsia="TimesNewRomanPSMT" w:hAnsi="Arial" w:cs="Arial"/>
          <w:sz w:val="20"/>
          <w:szCs w:val="20"/>
        </w:rPr>
        <w:t xml:space="preserve">was recorded </w:t>
      </w:r>
      <w:r w:rsidR="0089681B" w:rsidRPr="00307F49">
        <w:rPr>
          <w:rFonts w:ascii="Arial" w:eastAsia="TimesNewRomanPSMT" w:hAnsi="Arial" w:cs="Arial"/>
          <w:sz w:val="20"/>
          <w:szCs w:val="20"/>
        </w:rPr>
        <w:t>followed by H</w:t>
      </w:r>
      <w:r w:rsidR="0089681B" w:rsidRPr="00307F49">
        <w:rPr>
          <w:rFonts w:ascii="Arial" w:eastAsia="TimesNewRomanPSMT" w:hAnsi="Arial" w:cs="Arial"/>
          <w:position w:val="-2"/>
          <w:sz w:val="20"/>
          <w:szCs w:val="20"/>
        </w:rPr>
        <w:t xml:space="preserve">2 </w:t>
      </w:r>
      <w:r w:rsidR="0089681B" w:rsidRPr="00307F49">
        <w:rPr>
          <w:rFonts w:ascii="Arial" w:eastAsia="TimesNewRomanPSMT" w:hAnsi="Arial" w:cs="Arial"/>
          <w:sz w:val="20"/>
          <w:szCs w:val="20"/>
        </w:rPr>
        <w:t>(30 DAA) with 4.98 GAE mg/g and the minimum content (3.11 GAE mg/g) was recorded in H</w:t>
      </w:r>
      <w:r w:rsidR="0089681B" w:rsidRPr="00307F49">
        <w:rPr>
          <w:rFonts w:ascii="Arial" w:eastAsia="TimesNewRomanPSMT" w:hAnsi="Arial" w:cs="Arial"/>
          <w:position w:val="-2"/>
          <w:sz w:val="20"/>
          <w:szCs w:val="20"/>
        </w:rPr>
        <w:t xml:space="preserve">3 </w:t>
      </w:r>
      <w:r w:rsidR="0089681B" w:rsidRPr="00307F49">
        <w:rPr>
          <w:rFonts w:ascii="Arial" w:eastAsia="TimesNewRomanPSMT" w:hAnsi="Arial" w:cs="Arial"/>
          <w:sz w:val="20"/>
          <w:szCs w:val="20"/>
        </w:rPr>
        <w:t>(35 DAA). This finding indicated a decline in total phenolic content as the fruit underwent development and ripening</w:t>
      </w:r>
      <w:r w:rsidR="0089681B">
        <w:rPr>
          <w:rFonts w:ascii="Arial" w:eastAsia="TimesNewRomanPSMT" w:hAnsi="Arial" w:cs="Arial"/>
          <w:sz w:val="20"/>
          <w:szCs w:val="20"/>
        </w:rPr>
        <w:t xml:space="preserve"> whereas</w:t>
      </w:r>
      <w:r w:rsidR="0089681B">
        <w:rPr>
          <w:rFonts w:ascii="Arial" w:hAnsi="Arial" w:cs="Arial"/>
          <w:sz w:val="21"/>
          <w:szCs w:val="21"/>
        </w:rPr>
        <w:t xml:space="preserve"> </w:t>
      </w:r>
      <w:r w:rsidR="0089681B" w:rsidRPr="00307F49">
        <w:rPr>
          <w:rFonts w:ascii="Arial" w:eastAsia="TimesNewRomanPSMT" w:hAnsi="Arial" w:cs="Arial"/>
          <w:sz w:val="20"/>
          <w:szCs w:val="20"/>
        </w:rPr>
        <w:t xml:space="preserve">an increasing trend in the betacyanin content </w:t>
      </w:r>
      <w:r w:rsidR="0089681B">
        <w:rPr>
          <w:rFonts w:ascii="Arial" w:eastAsia="TimesNewRomanPSMT" w:hAnsi="Arial" w:cs="Arial"/>
          <w:sz w:val="20"/>
          <w:szCs w:val="20"/>
        </w:rPr>
        <w:t xml:space="preserve">was found </w:t>
      </w:r>
      <w:r w:rsidR="0089681B" w:rsidRPr="00307F49">
        <w:rPr>
          <w:rFonts w:ascii="Arial" w:eastAsia="TimesNewRomanPSMT" w:hAnsi="Arial" w:cs="Arial"/>
          <w:sz w:val="20"/>
          <w:szCs w:val="20"/>
        </w:rPr>
        <w:t>with the advancement in fruit maturity.</w:t>
      </w:r>
      <w:r w:rsidR="0089681B">
        <w:rPr>
          <w:rFonts w:ascii="Arial" w:eastAsia="TimesNewRomanPSMT" w:hAnsi="Arial" w:cs="Arial"/>
          <w:sz w:val="20"/>
          <w:szCs w:val="20"/>
        </w:rPr>
        <w:t xml:space="preserve"> </w:t>
      </w:r>
      <w:r w:rsidR="00E84BE3">
        <w:rPr>
          <w:rFonts w:ascii="Arial" w:eastAsia="TimesNewRomanPSMT" w:hAnsi="Arial" w:cs="Arial"/>
          <w:sz w:val="20"/>
          <w:szCs w:val="20"/>
        </w:rPr>
        <w:t xml:space="preserve">For optimum quality with longer shelf life, harvesting of dragon fruit at 30 DAA is rendered to be congenial for Chümoukedima region of Nagaland, India. </w:t>
      </w:r>
    </w:p>
    <w:p w14:paraId="58A8F035" w14:textId="64241AFA" w:rsidR="00966959" w:rsidRPr="00307F49" w:rsidRDefault="00966959" w:rsidP="00966959">
      <w:pPr>
        <w:spacing w:line="276" w:lineRule="auto"/>
        <w:rPr>
          <w:rFonts w:ascii="Arial" w:hAnsi="Arial" w:cs="Arial"/>
          <w:i/>
          <w:iCs/>
          <w:sz w:val="20"/>
          <w:szCs w:val="20"/>
          <w:lang w:val="en-US"/>
        </w:rPr>
      </w:pPr>
      <w:r w:rsidRPr="0076283F">
        <w:rPr>
          <w:rFonts w:ascii="Arial" w:hAnsi="Arial" w:cs="Arial"/>
          <w:b/>
          <w:i/>
          <w:iCs/>
          <w:sz w:val="20"/>
          <w:szCs w:val="20"/>
          <w:lang w:val="en-US"/>
        </w:rPr>
        <w:t>Keyword</w:t>
      </w:r>
      <w:r w:rsidR="0076283F">
        <w:rPr>
          <w:rFonts w:ascii="Arial" w:hAnsi="Arial" w:cs="Arial"/>
          <w:b/>
          <w:i/>
          <w:iCs/>
          <w:sz w:val="20"/>
          <w:szCs w:val="20"/>
          <w:lang w:val="en-US"/>
        </w:rPr>
        <w:t>s</w:t>
      </w:r>
      <w:r w:rsidRPr="0076283F">
        <w:rPr>
          <w:rFonts w:ascii="Arial" w:hAnsi="Arial" w:cs="Arial"/>
          <w:b/>
          <w:i/>
          <w:iCs/>
          <w:sz w:val="20"/>
          <w:szCs w:val="20"/>
          <w:lang w:val="en-US"/>
        </w:rPr>
        <w:t>:</w:t>
      </w:r>
      <w:r>
        <w:rPr>
          <w:rFonts w:ascii="Arial" w:hAnsi="Arial" w:cs="Arial"/>
          <w:i/>
          <w:iCs/>
          <w:sz w:val="20"/>
          <w:szCs w:val="20"/>
          <w:lang w:val="en-US"/>
        </w:rPr>
        <w:t xml:space="preserve"> dragon fruit, </w:t>
      </w:r>
      <w:proofErr w:type="spellStart"/>
      <w:r>
        <w:rPr>
          <w:rFonts w:ascii="Arial" w:hAnsi="Arial" w:cs="Arial"/>
          <w:i/>
          <w:iCs/>
          <w:sz w:val="20"/>
          <w:szCs w:val="20"/>
          <w:lang w:val="en-US"/>
        </w:rPr>
        <w:t>Hylocereus</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polyrhizus</w:t>
      </w:r>
      <w:proofErr w:type="spellEnd"/>
      <w:r>
        <w:rPr>
          <w:rFonts w:ascii="Arial" w:hAnsi="Arial" w:cs="Arial"/>
          <w:i/>
          <w:iCs/>
          <w:sz w:val="20"/>
          <w:szCs w:val="20"/>
          <w:lang w:val="en-US"/>
        </w:rPr>
        <w:t>, maturity indices, total phenolic content, betacyanin</w:t>
      </w:r>
    </w:p>
    <w:p w14:paraId="52566D38" w14:textId="77777777" w:rsidR="00966959" w:rsidRDefault="00966959" w:rsidP="0089681B">
      <w:pPr>
        <w:spacing w:line="276" w:lineRule="auto"/>
        <w:ind w:firstLine="284"/>
        <w:jc w:val="both"/>
        <w:rPr>
          <w:rFonts w:ascii="Arial" w:eastAsia="TimesNewRomanPSMT" w:hAnsi="Arial" w:cs="Arial"/>
          <w:sz w:val="20"/>
          <w:szCs w:val="20"/>
        </w:rPr>
      </w:pPr>
    </w:p>
    <w:p w14:paraId="03AD68C5" w14:textId="77777777" w:rsidR="0089681B" w:rsidRPr="0089681B" w:rsidRDefault="0089681B" w:rsidP="0089681B">
      <w:pPr>
        <w:spacing w:line="276" w:lineRule="auto"/>
        <w:ind w:firstLine="284"/>
        <w:jc w:val="both"/>
        <w:rPr>
          <w:rFonts w:ascii="Arial" w:hAnsi="Arial" w:cs="Arial"/>
          <w:sz w:val="21"/>
          <w:szCs w:val="21"/>
        </w:rPr>
      </w:pPr>
    </w:p>
    <w:p w14:paraId="5F5ABB72" w14:textId="77777777" w:rsidR="001071DC" w:rsidRDefault="001071DC" w:rsidP="0051450F">
      <w:pPr>
        <w:pStyle w:val="ListParagraph"/>
        <w:numPr>
          <w:ilvl w:val="0"/>
          <w:numId w:val="1"/>
        </w:numPr>
        <w:spacing w:line="276" w:lineRule="auto"/>
        <w:ind w:left="284"/>
        <w:jc w:val="both"/>
        <w:rPr>
          <w:rFonts w:ascii="Arial" w:hAnsi="Arial" w:cs="Arial"/>
          <w:b/>
          <w:bCs/>
          <w:sz w:val="22"/>
          <w:szCs w:val="22"/>
          <w:lang w:val="en-US"/>
        </w:rPr>
      </w:pPr>
      <w:r w:rsidRPr="001071DC">
        <w:rPr>
          <w:rFonts w:ascii="Arial" w:hAnsi="Arial" w:cs="Arial"/>
          <w:b/>
          <w:bCs/>
          <w:sz w:val="22"/>
          <w:szCs w:val="22"/>
          <w:lang w:val="en-US"/>
        </w:rPr>
        <w:t>INTRODUCTION</w:t>
      </w:r>
    </w:p>
    <w:p w14:paraId="64FC10EB" w14:textId="77777777" w:rsidR="001071DC" w:rsidRDefault="001071DC" w:rsidP="001071DC">
      <w:pPr>
        <w:spacing w:line="276" w:lineRule="auto"/>
        <w:ind w:left="-76"/>
        <w:jc w:val="both"/>
        <w:rPr>
          <w:rFonts w:ascii="Arial" w:hAnsi="Arial" w:cs="Arial"/>
          <w:sz w:val="20"/>
          <w:szCs w:val="20"/>
          <w:lang w:val="en-US"/>
        </w:rPr>
      </w:pPr>
    </w:p>
    <w:p w14:paraId="7E140CC4" w14:textId="5F79F6C0" w:rsidR="00E91A9E" w:rsidRPr="001071DC" w:rsidRDefault="00086B89" w:rsidP="001071DC">
      <w:pPr>
        <w:spacing w:line="276" w:lineRule="auto"/>
        <w:ind w:left="-76"/>
        <w:jc w:val="both"/>
        <w:rPr>
          <w:rFonts w:ascii="Arial" w:hAnsi="Arial" w:cs="Arial"/>
          <w:b/>
          <w:bCs/>
          <w:sz w:val="22"/>
          <w:szCs w:val="22"/>
          <w:lang w:val="en-US"/>
        </w:rPr>
      </w:pPr>
      <w:r w:rsidRPr="001071DC">
        <w:rPr>
          <w:rFonts w:ascii="Arial" w:hAnsi="Arial" w:cs="Arial"/>
          <w:sz w:val="20"/>
          <w:szCs w:val="20"/>
          <w:lang w:val="en-US"/>
        </w:rPr>
        <w:t>Dragon fruit (</w:t>
      </w:r>
      <w:r w:rsidRPr="001071DC">
        <w:rPr>
          <w:rFonts w:ascii="Arial" w:hAnsi="Arial" w:cs="Arial"/>
          <w:i/>
          <w:iCs/>
          <w:sz w:val="20"/>
          <w:szCs w:val="20"/>
          <w:lang w:val="en-US"/>
        </w:rPr>
        <w:t>Hylocereus polyrhizus</w:t>
      </w:r>
      <w:r w:rsidRPr="001071DC">
        <w:rPr>
          <w:rFonts w:ascii="Arial" w:hAnsi="Arial" w:cs="Arial"/>
          <w:sz w:val="20"/>
          <w:szCs w:val="20"/>
          <w:lang w:val="en-US"/>
        </w:rPr>
        <w:t xml:space="preserve">) has become one of the most </w:t>
      </w:r>
      <w:proofErr w:type="gramStart"/>
      <w:r w:rsidRPr="001071DC">
        <w:rPr>
          <w:rFonts w:ascii="Arial" w:hAnsi="Arial" w:cs="Arial"/>
          <w:sz w:val="20"/>
          <w:szCs w:val="20"/>
          <w:lang w:val="en-US"/>
        </w:rPr>
        <w:t>sought after</w:t>
      </w:r>
      <w:proofErr w:type="gramEnd"/>
      <w:r w:rsidRPr="001071DC">
        <w:rPr>
          <w:rFonts w:ascii="Arial" w:hAnsi="Arial" w:cs="Arial"/>
          <w:sz w:val="20"/>
          <w:szCs w:val="20"/>
          <w:lang w:val="en-US"/>
        </w:rPr>
        <w:t xml:space="preserve"> fruits due to its </w:t>
      </w:r>
      <w:r w:rsidRPr="001071DC">
        <w:rPr>
          <w:rFonts w:ascii="Arial" w:hAnsi="Arial" w:cs="Arial"/>
          <w:sz w:val="20"/>
          <w:szCs w:val="20"/>
        </w:rPr>
        <w:t>notable health benefits and rich nutritional profile.</w:t>
      </w:r>
      <w:r w:rsidRPr="001071DC">
        <w:rPr>
          <w:rFonts w:ascii="Arial" w:hAnsi="Arial" w:cs="Arial"/>
          <w:sz w:val="20"/>
          <w:szCs w:val="20"/>
          <w:lang w:val="en-US"/>
        </w:rPr>
        <w:t xml:space="preserve"> </w:t>
      </w:r>
      <w:r w:rsidR="009A6136" w:rsidRPr="001071DC">
        <w:rPr>
          <w:rFonts w:ascii="Arial" w:hAnsi="Arial" w:cs="Arial"/>
          <w:sz w:val="20"/>
          <w:szCs w:val="20"/>
          <w:lang w:val="en-US"/>
        </w:rPr>
        <w:t>Its</w:t>
      </w:r>
      <w:r w:rsidR="009A6136" w:rsidRPr="001071DC">
        <w:rPr>
          <w:rFonts w:ascii="Arial" w:hAnsi="Arial" w:cs="Arial"/>
          <w:sz w:val="20"/>
          <w:szCs w:val="20"/>
          <w:lang w:val="en-GB"/>
        </w:rPr>
        <w:t xml:space="preserve"> big showy flowers that blooms at night time and the vibrant and peculiar shaped fruits, which are low in calories, with high fibre and rich antioxidant properties are few of the reasons that this fruit </w:t>
      </w:r>
      <w:r w:rsidR="00E91A9E" w:rsidRPr="001071DC">
        <w:rPr>
          <w:rFonts w:ascii="Arial" w:hAnsi="Arial" w:cs="Arial"/>
          <w:sz w:val="20"/>
          <w:szCs w:val="20"/>
          <w:lang w:val="en-GB"/>
        </w:rPr>
        <w:t>has gained</w:t>
      </w:r>
      <w:r w:rsidR="009A6136" w:rsidRPr="001071DC">
        <w:rPr>
          <w:rFonts w:ascii="Arial" w:hAnsi="Arial" w:cs="Arial"/>
          <w:sz w:val="20"/>
          <w:szCs w:val="20"/>
          <w:lang w:val="en-GB"/>
        </w:rPr>
        <w:t xml:space="preserve"> many sobriquets such as- Queen of the Night, Wondrous fruit of the 21</w:t>
      </w:r>
      <w:r w:rsidR="009A6136" w:rsidRPr="001071DC">
        <w:rPr>
          <w:rFonts w:ascii="Arial" w:hAnsi="Arial" w:cs="Arial"/>
          <w:sz w:val="20"/>
          <w:szCs w:val="20"/>
          <w:vertAlign w:val="superscript"/>
          <w:lang w:val="en-GB"/>
        </w:rPr>
        <w:t>st</w:t>
      </w:r>
      <w:r w:rsidR="009A6136" w:rsidRPr="001071DC">
        <w:rPr>
          <w:rFonts w:ascii="Arial" w:hAnsi="Arial" w:cs="Arial"/>
          <w:sz w:val="20"/>
          <w:szCs w:val="20"/>
          <w:lang w:val="en-GB"/>
        </w:rPr>
        <w:t xml:space="preserve"> century, Belle of the night, Noble woman, Cinderella plant and health fruit.</w:t>
      </w:r>
      <w:r w:rsidR="00E91A9E" w:rsidRPr="001071DC">
        <w:rPr>
          <w:rFonts w:ascii="Arial" w:hAnsi="Arial" w:cs="Arial"/>
          <w:sz w:val="20"/>
          <w:szCs w:val="20"/>
        </w:rPr>
        <w:t xml:space="preserve"> Dragon fruit is a tropical fruit belonging to the Cactaceae family. Native to Central America but now widely cultivated in Southeast Asia and other tropical and sub-tropical regions. </w:t>
      </w:r>
    </w:p>
    <w:p w14:paraId="2C0E9DC3" w14:textId="70B590EE" w:rsidR="00BF3010" w:rsidRPr="00307F49" w:rsidRDefault="00BF3010" w:rsidP="00E91A9E">
      <w:pPr>
        <w:spacing w:line="276" w:lineRule="auto"/>
        <w:ind w:firstLine="720"/>
        <w:jc w:val="both"/>
        <w:rPr>
          <w:rFonts w:ascii="Arial" w:hAnsi="Arial" w:cs="Arial"/>
          <w:sz w:val="20"/>
          <w:szCs w:val="20"/>
        </w:rPr>
      </w:pPr>
      <w:r w:rsidRPr="00307F49">
        <w:rPr>
          <w:rFonts w:ascii="Arial" w:eastAsia="Times New Roman" w:hAnsi="Arial" w:cs="Arial"/>
          <w:kern w:val="0"/>
          <w:sz w:val="20"/>
          <w:szCs w:val="20"/>
          <w:lang w:val="en-US" w:eastAsia="en-GB"/>
          <w14:ligatures w14:val="none"/>
        </w:rPr>
        <w:t>Dragon fruit is highly adaptable to diverse agroclimatic conditions and also very easy to propagate. It has high drought tolerance and easy adaptability to harsh climatic conditions owing to its modified stem structure for water storage, reduced or absence of leaves, waxy surfaces and night-time opening of tissues for absorption of carbon dioxide (CAM pathway) (Luders and McMahon, 2006).</w:t>
      </w:r>
      <w:r w:rsidR="00E91A9E" w:rsidRPr="00307F49">
        <w:rPr>
          <w:rFonts w:ascii="Arial" w:hAnsi="Arial" w:cs="Arial"/>
          <w:sz w:val="20"/>
          <w:szCs w:val="20"/>
        </w:rPr>
        <w:t xml:space="preserve"> </w:t>
      </w:r>
      <w:r w:rsidRPr="00307F49">
        <w:rPr>
          <w:rFonts w:ascii="Arial" w:eastAsia="Times New Roman" w:hAnsi="Arial" w:cs="Arial"/>
          <w:kern w:val="0"/>
          <w:sz w:val="20"/>
          <w:szCs w:val="20"/>
          <w:lang w:val="en-US" w:eastAsia="en-GB"/>
          <w14:ligatures w14:val="none"/>
        </w:rPr>
        <w:t xml:space="preserve">It is a long day plant and day length tremendously affects flowering and fruit setting, along with other environmental factors such as temperature, humidity, rainfall etc. The flowers open at night and are hermaphroditic in nature which are mostly pollinated by nocturnal pollinators like bats and moths, while some flowers remain open till morning, bees act as pollinators in such cases. </w:t>
      </w:r>
      <w:r w:rsidRPr="00307F49">
        <w:rPr>
          <w:rFonts w:ascii="Arial" w:eastAsia="Times New Roman" w:hAnsi="Arial" w:cs="Arial"/>
          <w:kern w:val="0"/>
          <w:sz w:val="20"/>
          <w:szCs w:val="20"/>
          <w:lang w:eastAsia="en-GB"/>
          <w14:ligatures w14:val="none"/>
        </w:rPr>
        <w:t>Manual pollination is</w:t>
      </w:r>
      <w:r w:rsidR="00E91A9E" w:rsidRPr="00307F49">
        <w:rPr>
          <w:rFonts w:ascii="Arial" w:eastAsia="Times New Roman" w:hAnsi="Arial" w:cs="Arial"/>
          <w:kern w:val="0"/>
          <w:sz w:val="20"/>
          <w:szCs w:val="20"/>
          <w:lang w:eastAsia="en-GB"/>
          <w14:ligatures w14:val="none"/>
        </w:rPr>
        <w:t xml:space="preserve"> also</w:t>
      </w:r>
      <w:r w:rsidRPr="00307F49">
        <w:rPr>
          <w:rFonts w:ascii="Arial" w:eastAsia="Times New Roman" w:hAnsi="Arial" w:cs="Arial"/>
          <w:kern w:val="0"/>
          <w:sz w:val="20"/>
          <w:szCs w:val="20"/>
          <w:lang w:eastAsia="en-GB"/>
          <w14:ligatures w14:val="none"/>
        </w:rPr>
        <w:t xml:space="preserve"> carried out by collecting the pollen from one flower and using a small brush to pollinate many flowers.</w:t>
      </w:r>
    </w:p>
    <w:p w14:paraId="3F2C25D1" w14:textId="36E9609F" w:rsidR="009A6136" w:rsidRPr="00307F49" w:rsidRDefault="002A2AA2" w:rsidP="002A2AA2">
      <w:pPr>
        <w:spacing w:line="276" w:lineRule="auto"/>
        <w:ind w:right="-143" w:firstLine="720"/>
        <w:jc w:val="both"/>
        <w:rPr>
          <w:rFonts w:ascii="Arial" w:eastAsia="Times New Roman" w:hAnsi="Arial" w:cs="Arial"/>
          <w:kern w:val="0"/>
          <w:sz w:val="20"/>
          <w:szCs w:val="20"/>
          <w:lang w:eastAsia="en-GB"/>
          <w14:ligatures w14:val="none"/>
        </w:rPr>
      </w:pPr>
      <w:r w:rsidRPr="00307F49">
        <w:rPr>
          <w:rFonts w:ascii="Arial" w:eastAsia="Times New Roman" w:hAnsi="Arial" w:cs="Arial"/>
          <w:kern w:val="0"/>
          <w:sz w:val="20"/>
          <w:szCs w:val="20"/>
          <w:lang w:val="en-US" w:eastAsia="en-GB"/>
          <w14:ligatures w14:val="none"/>
        </w:rPr>
        <w:lastRenderedPageBreak/>
        <w:t>D</w:t>
      </w:r>
      <w:r w:rsidR="005A5B4E" w:rsidRPr="00307F49">
        <w:rPr>
          <w:rFonts w:ascii="Arial" w:eastAsia="Times New Roman" w:hAnsi="Arial" w:cs="Arial"/>
          <w:kern w:val="0"/>
          <w:sz w:val="20"/>
          <w:szCs w:val="20"/>
          <w:lang w:val="en-US" w:eastAsia="en-GB"/>
          <w14:ligatures w14:val="none"/>
        </w:rPr>
        <w:t xml:space="preserve">ragon </w:t>
      </w:r>
      <w:r w:rsidR="00BF3010" w:rsidRPr="00307F49">
        <w:rPr>
          <w:rFonts w:ascii="Arial" w:eastAsia="Times New Roman" w:hAnsi="Arial" w:cs="Arial"/>
          <w:kern w:val="0"/>
          <w:sz w:val="20"/>
          <w:szCs w:val="20"/>
          <w:lang w:val="en-US" w:eastAsia="en-GB"/>
          <w14:ligatures w14:val="none"/>
        </w:rPr>
        <w:t xml:space="preserve">fruit is a non- climacteric fruit. Data shows that it has a low respiration rate during the maturation period and should be harvested when ripe for good quality (Van To </w:t>
      </w:r>
      <w:r w:rsidR="00BF3010" w:rsidRPr="00307F49">
        <w:rPr>
          <w:rFonts w:ascii="Arial" w:eastAsia="Times New Roman" w:hAnsi="Arial" w:cs="Arial"/>
          <w:i/>
          <w:iCs/>
          <w:kern w:val="0"/>
          <w:sz w:val="20"/>
          <w:szCs w:val="20"/>
          <w:lang w:val="en-US" w:eastAsia="en-GB"/>
          <w14:ligatures w14:val="none"/>
        </w:rPr>
        <w:t>et. al</w:t>
      </w:r>
      <w:r w:rsidR="00BF3010" w:rsidRPr="00307F49">
        <w:rPr>
          <w:rFonts w:ascii="Arial" w:eastAsia="Times New Roman" w:hAnsi="Arial" w:cs="Arial"/>
          <w:kern w:val="0"/>
          <w:sz w:val="20"/>
          <w:szCs w:val="20"/>
          <w:lang w:val="en-US" w:eastAsia="en-GB"/>
          <w14:ligatures w14:val="none"/>
        </w:rPr>
        <w:t xml:space="preserve">., 2000). </w:t>
      </w:r>
      <w:r w:rsidR="00E91A9E" w:rsidRPr="00307F49">
        <w:rPr>
          <w:rFonts w:ascii="Arial" w:eastAsia="Times New Roman" w:hAnsi="Arial" w:cs="Arial"/>
          <w:kern w:val="0"/>
          <w:sz w:val="20"/>
          <w:szCs w:val="20"/>
          <w:lang w:val="en-US" w:eastAsia="en-GB"/>
          <w14:ligatures w14:val="none"/>
        </w:rPr>
        <w:t>An</w:t>
      </w:r>
      <w:r w:rsidR="00BF3010" w:rsidRPr="00307F49">
        <w:rPr>
          <w:rFonts w:ascii="Arial" w:eastAsia="Times New Roman" w:hAnsi="Arial" w:cs="Arial"/>
          <w:kern w:val="0"/>
          <w:sz w:val="20"/>
          <w:szCs w:val="20"/>
          <w:lang w:val="en-US" w:eastAsia="en-GB"/>
          <w14:ligatures w14:val="none"/>
        </w:rPr>
        <w:t xml:space="preserve"> understanding of measurement of maturity is pivotal to postharvest handling. </w:t>
      </w:r>
      <w:r w:rsidR="00BF3010" w:rsidRPr="00307F49">
        <w:rPr>
          <w:rFonts w:ascii="Arial" w:eastAsia="Times New Roman" w:hAnsi="Arial" w:cs="Arial"/>
          <w:kern w:val="0"/>
          <w:sz w:val="20"/>
          <w:szCs w:val="20"/>
          <w:lang w:eastAsia="en-GB"/>
          <w14:ligatures w14:val="none"/>
        </w:rPr>
        <w:t xml:space="preserve">Different growing environment may influence the product physical development and nutritional quality differently by affecting the stimulation of the biosynthesis of secondary metabolites and health promoting phytochemicals (Singh </w:t>
      </w:r>
      <w:r w:rsidR="00BF3010" w:rsidRPr="00307F49">
        <w:rPr>
          <w:rFonts w:ascii="Arial" w:eastAsia="Times New Roman" w:hAnsi="Arial" w:cs="Arial"/>
          <w:i/>
          <w:iCs/>
          <w:kern w:val="0"/>
          <w:sz w:val="20"/>
          <w:szCs w:val="20"/>
          <w:lang w:eastAsia="en-GB"/>
          <w14:ligatures w14:val="none"/>
        </w:rPr>
        <w:t>et. al</w:t>
      </w:r>
      <w:r w:rsidR="00BF3010" w:rsidRPr="00307F49">
        <w:rPr>
          <w:rFonts w:ascii="Arial" w:eastAsia="Times New Roman" w:hAnsi="Arial" w:cs="Arial"/>
          <w:kern w:val="0"/>
          <w:sz w:val="20"/>
          <w:szCs w:val="20"/>
          <w:lang w:eastAsia="en-GB"/>
          <w14:ligatures w14:val="none"/>
        </w:rPr>
        <w:t>., 2022),</w:t>
      </w:r>
      <w:r w:rsidR="00BF3010" w:rsidRPr="00307F49">
        <w:rPr>
          <w:rFonts w:ascii="Arial" w:eastAsia="Times New Roman" w:hAnsi="Arial" w:cs="Arial"/>
          <w:kern w:val="0"/>
          <w:sz w:val="20"/>
          <w:szCs w:val="20"/>
          <w:lang w:val="en-US" w:eastAsia="en-GB"/>
          <w14:ligatures w14:val="none"/>
        </w:rPr>
        <w:t xml:space="preserve"> thus the correct harvesting time varies depending on the agroclimatic conditions where the crop is cultivated. Association of picking time with a certain ripeness stage is important for long-term fruit storage (</w:t>
      </w:r>
      <w:proofErr w:type="spellStart"/>
      <w:r w:rsidR="00BF3010" w:rsidRPr="00307F49">
        <w:rPr>
          <w:rFonts w:ascii="Arial" w:eastAsia="Times New Roman" w:hAnsi="Arial" w:cs="Arial"/>
          <w:kern w:val="0"/>
          <w:sz w:val="20"/>
          <w:szCs w:val="20"/>
          <w:lang w:val="en-US" w:eastAsia="en-GB"/>
          <w14:ligatures w14:val="none"/>
        </w:rPr>
        <w:t>Ozgen</w:t>
      </w:r>
      <w:proofErr w:type="spellEnd"/>
      <w:r w:rsidR="00BF3010" w:rsidRPr="00307F49">
        <w:rPr>
          <w:rFonts w:ascii="Arial" w:eastAsia="Times New Roman" w:hAnsi="Arial" w:cs="Arial"/>
          <w:kern w:val="0"/>
          <w:sz w:val="20"/>
          <w:szCs w:val="20"/>
          <w:lang w:val="en-US" w:eastAsia="en-GB"/>
          <w14:ligatures w14:val="none"/>
        </w:rPr>
        <w:t xml:space="preserve"> </w:t>
      </w:r>
      <w:r w:rsidR="00BF3010" w:rsidRPr="00307F49">
        <w:rPr>
          <w:rFonts w:ascii="Arial" w:eastAsia="Times New Roman" w:hAnsi="Arial" w:cs="Arial"/>
          <w:i/>
          <w:iCs/>
          <w:kern w:val="0"/>
          <w:sz w:val="20"/>
          <w:szCs w:val="20"/>
          <w:lang w:val="en-US" w:eastAsia="en-GB"/>
          <w14:ligatures w14:val="none"/>
        </w:rPr>
        <w:t>et. al</w:t>
      </w:r>
      <w:r w:rsidR="00BF3010" w:rsidRPr="00307F49">
        <w:rPr>
          <w:rFonts w:ascii="Arial" w:eastAsia="Times New Roman" w:hAnsi="Arial" w:cs="Arial"/>
          <w:kern w:val="0"/>
          <w:sz w:val="20"/>
          <w:szCs w:val="20"/>
          <w:lang w:val="en-US" w:eastAsia="en-GB"/>
          <w14:ligatures w14:val="none"/>
        </w:rPr>
        <w:t>., 2002)</w:t>
      </w:r>
      <w:r w:rsidRPr="00307F49">
        <w:rPr>
          <w:rFonts w:ascii="Arial" w:eastAsia="Times New Roman" w:hAnsi="Arial" w:cs="Arial"/>
          <w:kern w:val="0"/>
          <w:sz w:val="20"/>
          <w:szCs w:val="20"/>
          <w:lang w:eastAsia="en-GB"/>
          <w14:ligatures w14:val="none"/>
        </w:rPr>
        <w:t xml:space="preserve">. </w:t>
      </w:r>
      <w:r w:rsidR="009A6136" w:rsidRPr="00307F49">
        <w:rPr>
          <w:rFonts w:ascii="Arial" w:hAnsi="Arial" w:cs="Arial"/>
          <w:sz w:val="20"/>
          <w:szCs w:val="20"/>
        </w:rPr>
        <w:t>Understanding these physicochemical changes is critical for determining the optimal harvest time, ensuring prolonged shelf life, and maintaining fruit quality for both local markets and export.</w:t>
      </w:r>
      <w:r w:rsidRPr="00307F49">
        <w:rPr>
          <w:rFonts w:ascii="Arial" w:hAnsi="Arial" w:cs="Arial"/>
          <w:sz w:val="20"/>
          <w:szCs w:val="20"/>
        </w:rPr>
        <w:t xml:space="preserve"> Thus, this study was taken up in Chümoukedima region of Nagaland</w:t>
      </w:r>
      <w:r w:rsidR="00DC78EA">
        <w:rPr>
          <w:rFonts w:ascii="Arial" w:hAnsi="Arial" w:cs="Arial"/>
          <w:sz w:val="20"/>
          <w:szCs w:val="20"/>
        </w:rPr>
        <w:t>, India</w:t>
      </w:r>
      <w:r w:rsidRPr="00307F49">
        <w:rPr>
          <w:rFonts w:ascii="Arial" w:hAnsi="Arial" w:cs="Arial"/>
          <w:sz w:val="20"/>
          <w:szCs w:val="20"/>
        </w:rPr>
        <w:t xml:space="preserve"> to shed light on the developmental changes in dragon fruit during maturation and identify the optimum harvest stage. </w:t>
      </w:r>
    </w:p>
    <w:p w14:paraId="029CC111" w14:textId="77777777" w:rsidR="009A6136" w:rsidRPr="00307F49" w:rsidRDefault="009A6136" w:rsidP="0051450F">
      <w:pPr>
        <w:spacing w:line="276" w:lineRule="auto"/>
        <w:jc w:val="both"/>
        <w:rPr>
          <w:rFonts w:ascii="Arial" w:hAnsi="Arial" w:cs="Arial"/>
          <w:sz w:val="20"/>
          <w:szCs w:val="20"/>
          <w:lang w:val="en-GB"/>
        </w:rPr>
      </w:pPr>
    </w:p>
    <w:p w14:paraId="17609E8D" w14:textId="77777777" w:rsidR="001071DC" w:rsidRDefault="00DB281E" w:rsidP="001071DC">
      <w:pPr>
        <w:pStyle w:val="ListParagraph"/>
        <w:numPr>
          <w:ilvl w:val="0"/>
          <w:numId w:val="1"/>
        </w:numPr>
        <w:spacing w:line="276" w:lineRule="auto"/>
        <w:ind w:left="284"/>
        <w:jc w:val="both"/>
        <w:rPr>
          <w:rFonts w:ascii="Arial" w:hAnsi="Arial" w:cs="Arial"/>
          <w:b/>
          <w:bCs/>
          <w:sz w:val="20"/>
          <w:szCs w:val="20"/>
        </w:rPr>
      </w:pPr>
      <w:r w:rsidRPr="001071DC">
        <w:rPr>
          <w:rFonts w:ascii="Arial" w:hAnsi="Arial" w:cs="Arial"/>
          <w:b/>
          <w:bCs/>
          <w:sz w:val="20"/>
          <w:szCs w:val="20"/>
        </w:rPr>
        <w:t>MATERIALS AND METHODS</w:t>
      </w:r>
    </w:p>
    <w:p w14:paraId="45C1248B" w14:textId="77777777" w:rsidR="001071DC" w:rsidRDefault="001071DC" w:rsidP="001071DC">
      <w:pPr>
        <w:spacing w:line="276" w:lineRule="auto"/>
        <w:ind w:left="-76"/>
        <w:jc w:val="both"/>
        <w:rPr>
          <w:rFonts w:ascii="Arial" w:hAnsi="Arial" w:cs="Arial"/>
          <w:kern w:val="0"/>
          <w:sz w:val="20"/>
          <w:szCs w:val="20"/>
          <w:lang w:val="en-GB"/>
        </w:rPr>
      </w:pPr>
    </w:p>
    <w:p w14:paraId="510E6592" w14:textId="3BCE02DF" w:rsidR="00D17D0F" w:rsidRPr="001071DC" w:rsidRDefault="00D17D0F" w:rsidP="001071DC">
      <w:pPr>
        <w:spacing w:line="276" w:lineRule="auto"/>
        <w:ind w:left="-76"/>
        <w:jc w:val="both"/>
        <w:rPr>
          <w:rFonts w:ascii="Arial" w:hAnsi="Arial" w:cs="Arial"/>
          <w:b/>
          <w:bCs/>
          <w:sz w:val="20"/>
          <w:szCs w:val="20"/>
        </w:rPr>
      </w:pPr>
      <w:r w:rsidRPr="001071DC">
        <w:rPr>
          <w:rFonts w:ascii="Arial" w:hAnsi="Arial" w:cs="Arial"/>
          <w:kern w:val="0"/>
          <w:sz w:val="20"/>
          <w:szCs w:val="20"/>
          <w:lang w:val="en-GB"/>
        </w:rPr>
        <w:t xml:space="preserve">The experiments were carried out for two consecutive years during 2020-2022 </w:t>
      </w:r>
      <w:r w:rsidRPr="001071DC">
        <w:rPr>
          <w:rFonts w:ascii="Arial" w:hAnsi="Arial" w:cs="Arial"/>
          <w:kern w:val="0"/>
          <w:sz w:val="20"/>
          <w:szCs w:val="20"/>
          <w:lang w:val="en-US"/>
        </w:rPr>
        <w:t>under foothills of Nagaland</w:t>
      </w:r>
      <w:r w:rsidRPr="001071DC">
        <w:rPr>
          <w:rFonts w:ascii="Arial" w:hAnsi="Arial" w:cs="Arial"/>
          <w:kern w:val="0"/>
          <w:sz w:val="20"/>
          <w:szCs w:val="20"/>
          <w:lang w:val="en-GB"/>
        </w:rPr>
        <w:t xml:space="preserve"> at Seithekema-C village, Chümoukedima district, Nagaland</w:t>
      </w:r>
      <w:r w:rsidRPr="001071DC">
        <w:rPr>
          <w:rFonts w:ascii="Arial" w:hAnsi="Arial" w:cs="Arial"/>
          <w:kern w:val="0"/>
          <w:sz w:val="20"/>
          <w:szCs w:val="20"/>
          <w:lang w:val="en-US"/>
        </w:rPr>
        <w:t xml:space="preserve">, and brought the fruits for post-harvest quality analysis </w:t>
      </w:r>
      <w:r w:rsidRPr="001071DC">
        <w:rPr>
          <w:rFonts w:ascii="Arial" w:hAnsi="Arial" w:cs="Arial"/>
          <w:kern w:val="0"/>
          <w:sz w:val="20"/>
          <w:szCs w:val="20"/>
          <w:lang w:val="en-GB"/>
        </w:rPr>
        <w:t xml:space="preserve">at laboratory of Department of Horticulture, School of Agricultural Sciences, Nagaland University </w:t>
      </w:r>
      <w:r w:rsidRPr="001071DC">
        <w:rPr>
          <w:rFonts w:ascii="Arial" w:hAnsi="Arial" w:cs="Arial"/>
          <w:kern w:val="0"/>
          <w:sz w:val="20"/>
          <w:szCs w:val="20"/>
          <w:lang w:val="en-US"/>
        </w:rPr>
        <w:t>situated at 25.78º N latitude and 93.79º E longitudes at an elevation of 171 m above mean sea level</w:t>
      </w:r>
      <w:r w:rsidRPr="001071DC">
        <w:rPr>
          <w:rFonts w:ascii="Arial" w:hAnsi="Arial" w:cs="Arial"/>
          <w:kern w:val="0"/>
          <w:sz w:val="20"/>
          <w:szCs w:val="20"/>
          <w:lang w:val="en-GB"/>
        </w:rPr>
        <w:t xml:space="preserve">. </w:t>
      </w:r>
      <w:r w:rsidRPr="001071DC">
        <w:rPr>
          <w:rFonts w:ascii="Arial" w:hAnsi="Arial" w:cs="Arial"/>
          <w:kern w:val="0"/>
          <w:sz w:val="20"/>
          <w:szCs w:val="20"/>
          <w:lang w:val="en-US"/>
        </w:rPr>
        <w:t xml:space="preserve">The area of the farm experiences humid subtropical conditions with an average annual rainfall ranging from 2000-2500 mm starting from April until end of September, with predominantly high humidity of 70-90%. </w:t>
      </w:r>
    </w:p>
    <w:p w14:paraId="0F9D01D4" w14:textId="68E9E02E" w:rsidR="00DB281E" w:rsidRPr="00307F49" w:rsidRDefault="00D17D0F" w:rsidP="00D17D0F">
      <w:pPr>
        <w:ind w:firstLine="720"/>
        <w:jc w:val="both"/>
        <w:rPr>
          <w:rFonts w:ascii="Arial" w:hAnsi="Arial" w:cs="Arial"/>
          <w:kern w:val="0"/>
          <w:sz w:val="20"/>
          <w:szCs w:val="20"/>
          <w:lang w:val="en-GB"/>
        </w:rPr>
      </w:pPr>
      <w:r w:rsidRPr="00307F49">
        <w:rPr>
          <w:rFonts w:ascii="Arial" w:hAnsi="Arial" w:cs="Arial"/>
          <w:kern w:val="0"/>
          <w:sz w:val="20"/>
          <w:szCs w:val="20"/>
          <w:lang w:val="en-GB"/>
        </w:rPr>
        <w:t xml:space="preserve">The experiment was laid out in Completely Randomized Design replicated five times, consisting of three harvesting stages </w:t>
      </w:r>
      <w:r w:rsidRPr="00307F49">
        <w:rPr>
          <w:rFonts w:ascii="Arial" w:hAnsi="Arial" w:cs="Arial"/>
          <w:i/>
          <w:iCs/>
          <w:kern w:val="0"/>
          <w:sz w:val="20"/>
          <w:szCs w:val="20"/>
          <w:lang w:val="en-GB"/>
        </w:rPr>
        <w:t xml:space="preserve">viz., </w:t>
      </w:r>
      <w:r w:rsidRPr="00307F49">
        <w:rPr>
          <w:rFonts w:ascii="Arial" w:hAnsi="Arial" w:cs="Arial"/>
          <w:kern w:val="0"/>
          <w:sz w:val="20"/>
          <w:szCs w:val="20"/>
          <w:lang w:val="en-GB"/>
        </w:rPr>
        <w:t xml:space="preserve">25 DAA (Days after anthesis), 30 DAA and 35 DAA. </w:t>
      </w:r>
      <w:r w:rsidRPr="00307F49">
        <w:rPr>
          <w:rFonts w:ascii="Arial" w:hAnsi="Arial" w:cs="Arial"/>
          <w:kern w:val="0"/>
          <w:sz w:val="20"/>
          <w:szCs w:val="20"/>
          <w:lang w:val="en-US"/>
        </w:rPr>
        <w:t>The flowers were tagged the next morning following the night of anthesis and harvested accordingly.</w:t>
      </w:r>
      <w:r w:rsidRPr="00307F49">
        <w:rPr>
          <w:rFonts w:ascii="Arial" w:hAnsi="Arial" w:cs="Arial"/>
          <w:kern w:val="0"/>
          <w:sz w:val="20"/>
          <w:szCs w:val="20"/>
          <w:lang w:val="en-GB"/>
        </w:rPr>
        <w:t xml:space="preserve"> </w:t>
      </w:r>
      <w:r w:rsidR="00DB281E" w:rsidRPr="00307F49">
        <w:rPr>
          <w:rFonts w:ascii="Arial" w:hAnsi="Arial" w:cs="Arial"/>
          <w:kern w:val="0"/>
          <w:sz w:val="20"/>
          <w:szCs w:val="20"/>
          <w:lang w:val="en-GB"/>
        </w:rPr>
        <w:t xml:space="preserve">The Erma Hand Refractometer was used to measure the Total soluble solids content in fruit juice, with the reading indicated as °brix. The concentration of ascorbic acid in fruit samples was determined using a 2,6 dichlorophenol-indophenol titration method. The fruits total sugar content, as well as their reducing and non-reducing sugar content were analysed (AOAC., 1994). The estimation of total phenolics in the fresh fruit sample was conducted using the </w:t>
      </w:r>
      <w:proofErr w:type="spellStart"/>
      <w:r w:rsidR="00DB281E" w:rsidRPr="00307F49">
        <w:rPr>
          <w:rFonts w:ascii="Arial" w:hAnsi="Arial" w:cs="Arial"/>
          <w:kern w:val="0"/>
          <w:sz w:val="20"/>
          <w:szCs w:val="20"/>
          <w:lang w:val="en-GB"/>
        </w:rPr>
        <w:t>Folin-Ciocalteau</w:t>
      </w:r>
      <w:proofErr w:type="spellEnd"/>
      <w:r w:rsidR="00DB281E" w:rsidRPr="00307F49">
        <w:rPr>
          <w:rFonts w:ascii="Arial" w:hAnsi="Arial" w:cs="Arial"/>
          <w:kern w:val="0"/>
          <w:sz w:val="20"/>
          <w:szCs w:val="20"/>
          <w:lang w:val="en-GB"/>
        </w:rPr>
        <w:t xml:space="preserve"> process as described by Singleton (1999) and </w:t>
      </w:r>
      <w:r w:rsidR="00DB281E" w:rsidRPr="00307F49">
        <w:rPr>
          <w:rFonts w:ascii="Arial" w:hAnsi="Arial" w:cs="Arial"/>
          <w:kern w:val="0"/>
          <w:sz w:val="20"/>
          <w:szCs w:val="20"/>
        </w:rPr>
        <w:t>expressed as mg gallic acid equivalents (GAE) per gram of sample in fresh weight (mg/g)</w:t>
      </w:r>
      <w:r w:rsidR="00DB281E" w:rsidRPr="00307F49">
        <w:rPr>
          <w:rFonts w:ascii="Arial" w:hAnsi="Arial" w:cs="Arial"/>
          <w:kern w:val="0"/>
          <w:sz w:val="20"/>
          <w:szCs w:val="20"/>
          <w:lang w:val="en-US"/>
        </w:rPr>
        <w:t xml:space="preserve">. Calibration curve with equation </w:t>
      </w:r>
      <w:r w:rsidR="00DB281E" w:rsidRPr="00307F49">
        <w:rPr>
          <w:rFonts w:ascii="Arial" w:hAnsi="Arial" w:cs="Arial"/>
          <w:kern w:val="0"/>
          <w:sz w:val="20"/>
          <w:szCs w:val="20"/>
          <w:lang w:val="en-GB"/>
        </w:rPr>
        <w:t>y = 0.0007x + 0.0225 (R</w:t>
      </w:r>
      <w:r w:rsidR="00DB281E" w:rsidRPr="00307F49">
        <w:rPr>
          <w:rFonts w:ascii="Arial" w:hAnsi="Arial" w:cs="Arial"/>
          <w:kern w:val="0"/>
          <w:sz w:val="20"/>
          <w:szCs w:val="20"/>
          <w:vertAlign w:val="superscript"/>
          <w:lang w:val="en-GB"/>
        </w:rPr>
        <w:t>2</w:t>
      </w:r>
      <w:r w:rsidR="00DB281E" w:rsidRPr="00307F49">
        <w:rPr>
          <w:rFonts w:ascii="Arial" w:hAnsi="Arial" w:cs="Arial"/>
          <w:kern w:val="0"/>
          <w:sz w:val="20"/>
          <w:szCs w:val="20"/>
          <w:lang w:val="en-GB"/>
        </w:rPr>
        <w:t xml:space="preserve"> = 0.994) was obtained using Gallic acid as standard</w:t>
      </w:r>
      <w:r w:rsidR="00DB281E" w:rsidRPr="00307F49">
        <w:rPr>
          <w:rFonts w:ascii="Arial" w:hAnsi="Arial" w:cs="Arial"/>
          <w:kern w:val="0"/>
          <w:sz w:val="20"/>
          <w:szCs w:val="20"/>
          <w:lang w:val="en-US"/>
        </w:rPr>
        <w:t xml:space="preserve"> </w:t>
      </w:r>
      <w:r w:rsidR="00DB281E" w:rsidRPr="00307F49">
        <w:rPr>
          <w:rFonts w:ascii="Arial" w:hAnsi="Arial" w:cs="Arial"/>
          <w:kern w:val="0"/>
          <w:sz w:val="20"/>
          <w:szCs w:val="20"/>
        </w:rPr>
        <w:t xml:space="preserve">and total phenolic content was calculated using the formula: </w:t>
      </w:r>
    </w:p>
    <w:p w14:paraId="155BD186" w14:textId="77777777" w:rsidR="00DB281E" w:rsidRPr="00307F49" w:rsidRDefault="00DB281E" w:rsidP="005145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hAnsi="Arial" w:cs="Arial"/>
          <w:kern w:val="0"/>
          <w:sz w:val="20"/>
          <w:szCs w:val="20"/>
        </w:rPr>
      </w:pPr>
      <m:oMathPara>
        <m:oMath>
          <m:r>
            <w:rPr>
              <w:rFonts w:ascii="Cambria Math" w:hAnsi="Cambria Math" w:cs="Arial"/>
              <w:kern w:val="0"/>
              <w:sz w:val="20"/>
              <w:szCs w:val="20"/>
            </w:rPr>
            <m:t>C=c x</m:t>
          </m:r>
          <m:f>
            <m:fPr>
              <m:ctrlPr>
                <w:rPr>
                  <w:rFonts w:ascii="Cambria Math" w:hAnsi="Cambria Math" w:cs="Arial"/>
                  <w:i/>
                  <w:kern w:val="0"/>
                  <w:sz w:val="20"/>
                  <w:szCs w:val="20"/>
                </w:rPr>
              </m:ctrlPr>
            </m:fPr>
            <m:num>
              <m:r>
                <w:rPr>
                  <w:rFonts w:ascii="Cambria Math" w:hAnsi="Cambria Math" w:cs="Arial"/>
                  <w:kern w:val="0"/>
                  <w:sz w:val="20"/>
                  <w:szCs w:val="20"/>
                </w:rPr>
                <m:t>V</m:t>
              </m:r>
            </m:num>
            <m:den>
              <m:r>
                <w:rPr>
                  <w:rFonts w:ascii="Cambria Math" w:hAnsi="Cambria Math" w:cs="Arial"/>
                  <w:kern w:val="0"/>
                  <w:sz w:val="20"/>
                  <w:szCs w:val="20"/>
                </w:rPr>
                <m:t>m</m:t>
              </m:r>
            </m:den>
          </m:f>
        </m:oMath>
      </m:oMathPara>
    </w:p>
    <w:p w14:paraId="7E81BB4C" w14:textId="77777777" w:rsidR="00DB281E" w:rsidRPr="00307F49" w:rsidRDefault="00DB281E" w:rsidP="005145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hAnsi="Arial" w:cs="Arial"/>
          <w:kern w:val="0"/>
          <w:sz w:val="20"/>
          <w:szCs w:val="20"/>
        </w:rPr>
      </w:pPr>
      <w:r w:rsidRPr="00307F49">
        <w:rPr>
          <w:rFonts w:ascii="Arial" w:hAnsi="Arial" w:cs="Arial"/>
          <w:kern w:val="0"/>
          <w:sz w:val="20"/>
          <w:szCs w:val="20"/>
        </w:rPr>
        <w:tab/>
        <w:t>Where,</w:t>
      </w:r>
    </w:p>
    <w:p w14:paraId="51FB4699" w14:textId="77777777" w:rsidR="00DB281E" w:rsidRPr="00307F49" w:rsidRDefault="00DB281E" w:rsidP="005145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hAnsi="Arial" w:cs="Arial"/>
          <w:kern w:val="0"/>
          <w:sz w:val="20"/>
          <w:szCs w:val="20"/>
        </w:rPr>
      </w:pPr>
      <w:r w:rsidRPr="00307F49">
        <w:rPr>
          <w:rFonts w:ascii="Arial" w:hAnsi="Arial" w:cs="Arial"/>
          <w:kern w:val="0"/>
          <w:sz w:val="20"/>
          <w:szCs w:val="20"/>
        </w:rPr>
        <w:t xml:space="preserve">C= Total phenolic content in mg GAE/g fresh weight), c= Concentration of gallic acid obtained from calibration curve in mg/ml, V= Volume of extract in ml and m= Mass of extract in gram. </w:t>
      </w:r>
      <w:r w:rsidRPr="00307F49">
        <w:rPr>
          <w:rFonts w:ascii="Arial" w:hAnsi="Arial" w:cs="Arial"/>
          <w:kern w:val="0"/>
          <w:sz w:val="20"/>
          <w:szCs w:val="20"/>
          <w:lang w:val="en-US"/>
        </w:rPr>
        <w:t xml:space="preserve">Betacyanin content was estimated by measuring the absorbance of the aqueous extract by following the method laid out by Razak </w:t>
      </w:r>
      <w:r w:rsidRPr="00307F49">
        <w:rPr>
          <w:rFonts w:ascii="Arial" w:hAnsi="Arial" w:cs="Arial"/>
          <w:i/>
          <w:iCs/>
          <w:kern w:val="0"/>
          <w:sz w:val="20"/>
          <w:szCs w:val="20"/>
          <w:lang w:val="en-US"/>
        </w:rPr>
        <w:t>et. al.</w:t>
      </w:r>
      <w:r w:rsidRPr="00307F49">
        <w:rPr>
          <w:rFonts w:ascii="Arial" w:hAnsi="Arial" w:cs="Arial"/>
          <w:kern w:val="0"/>
          <w:sz w:val="20"/>
          <w:szCs w:val="20"/>
          <w:lang w:val="en-US"/>
        </w:rPr>
        <w:t xml:space="preserve"> (2017)</w:t>
      </w:r>
      <w:r w:rsidRPr="00307F49">
        <w:rPr>
          <w:rFonts w:ascii="Arial" w:hAnsi="Arial" w:cs="Arial"/>
          <w:kern w:val="0"/>
          <w:sz w:val="20"/>
          <w:szCs w:val="20"/>
        </w:rPr>
        <w:t xml:space="preserve">. </w:t>
      </w:r>
      <w:r w:rsidRPr="00307F49">
        <w:rPr>
          <w:rFonts w:ascii="Arial" w:hAnsi="Arial" w:cs="Arial"/>
          <w:kern w:val="0"/>
          <w:sz w:val="20"/>
          <w:szCs w:val="20"/>
          <w:lang w:val="en-US"/>
        </w:rPr>
        <w:t>The observance readings obtained was used to calculate the total betacyanin concentration (mg/100 g of fresh weight) using the equation:</w:t>
      </w:r>
    </w:p>
    <w:p w14:paraId="2FD03C51" w14:textId="77777777" w:rsidR="00DB281E" w:rsidRPr="00307F49" w:rsidRDefault="00E14E8B" w:rsidP="005145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hAnsi="Arial" w:cs="Arial"/>
          <w:kern w:val="0"/>
          <w:sz w:val="20"/>
          <w:szCs w:val="20"/>
          <w:lang w:val="en-US"/>
        </w:rPr>
      </w:pPr>
      <m:oMathPara>
        <m:oMath>
          <m:f>
            <m:fPr>
              <m:ctrlPr>
                <w:rPr>
                  <w:rFonts w:ascii="Cambria Math" w:hAnsi="Cambria Math" w:cs="Arial"/>
                  <w:i/>
                  <w:kern w:val="0"/>
                  <w:sz w:val="20"/>
                  <w:szCs w:val="20"/>
                  <w:lang w:val="en-US"/>
                </w:rPr>
              </m:ctrlPr>
            </m:fPr>
            <m:num>
              <m:r>
                <w:rPr>
                  <w:rFonts w:ascii="Cambria Math" w:hAnsi="Cambria Math" w:cs="Arial"/>
                  <w:kern w:val="0"/>
                  <w:sz w:val="20"/>
                  <w:szCs w:val="20"/>
                  <w:lang w:val="en-US"/>
                </w:rPr>
                <m:t>A</m:t>
              </m:r>
              <m:r>
                <w:rPr>
                  <w:rFonts w:ascii="Cambria Math" w:hAnsi="Cambria Math" w:cs="Arial"/>
                  <w:kern w:val="0"/>
                  <w:sz w:val="20"/>
                  <w:szCs w:val="20"/>
                  <w:lang w:val="en-US"/>
                </w:rPr>
                <m:t xml:space="preserve"> </m:t>
              </m:r>
              <m:d>
                <m:dPr>
                  <m:ctrlPr>
                    <w:rPr>
                      <w:rFonts w:ascii="Cambria Math" w:hAnsi="Cambria Math" w:cs="Arial"/>
                      <w:i/>
                      <w:kern w:val="0"/>
                      <w:sz w:val="20"/>
                      <w:szCs w:val="20"/>
                      <w:lang w:val="en-US"/>
                    </w:rPr>
                  </m:ctrlPr>
                </m:dPr>
                <m:e>
                  <m:r>
                    <w:rPr>
                      <w:rFonts w:ascii="Cambria Math" w:hAnsi="Cambria Math" w:cs="Arial"/>
                      <w:kern w:val="0"/>
                      <w:sz w:val="20"/>
                      <w:szCs w:val="20"/>
                      <w:lang w:val="en-US"/>
                    </w:rPr>
                    <m:t>MW</m:t>
                  </m:r>
                </m:e>
              </m:d>
              <m:r>
                <w:rPr>
                  <w:rFonts w:ascii="Cambria Math" w:hAnsi="Cambria Math" w:cs="Arial"/>
                  <w:kern w:val="0"/>
                  <w:sz w:val="20"/>
                  <w:szCs w:val="20"/>
                  <w:lang w:val="en-US"/>
                </w:rPr>
                <m:t xml:space="preserve"> </m:t>
              </m:r>
              <m:r>
                <w:rPr>
                  <w:rFonts w:ascii="Cambria Math" w:hAnsi="Cambria Math" w:cs="Arial"/>
                  <w:kern w:val="0"/>
                  <w:sz w:val="20"/>
                  <w:szCs w:val="20"/>
                  <w:lang w:val="en-US"/>
                </w:rPr>
                <m:t>x</m:t>
              </m:r>
              <m:r>
                <w:rPr>
                  <w:rFonts w:ascii="Cambria Math" w:hAnsi="Cambria Math" w:cs="Arial"/>
                  <w:kern w:val="0"/>
                  <w:sz w:val="20"/>
                  <w:szCs w:val="20"/>
                  <w:lang w:val="en-US"/>
                </w:rPr>
                <m:t xml:space="preserve"> </m:t>
              </m:r>
              <m:r>
                <w:rPr>
                  <w:rFonts w:ascii="Cambria Math" w:hAnsi="Cambria Math" w:cs="Arial"/>
                  <w:kern w:val="0"/>
                  <w:sz w:val="20"/>
                  <w:szCs w:val="20"/>
                  <w:lang w:val="en-US"/>
                </w:rPr>
                <m:t>V</m:t>
              </m:r>
              <m:r>
                <w:rPr>
                  <w:rFonts w:ascii="Cambria Math" w:hAnsi="Cambria Math" w:cs="Arial"/>
                  <w:kern w:val="0"/>
                  <w:sz w:val="20"/>
                  <w:szCs w:val="20"/>
                  <w:lang w:val="en-US"/>
                </w:rPr>
                <m:t xml:space="preserve"> </m:t>
              </m:r>
              <m:r>
                <w:rPr>
                  <w:rFonts w:ascii="Cambria Math" w:hAnsi="Cambria Math" w:cs="Arial"/>
                  <w:kern w:val="0"/>
                  <w:sz w:val="20"/>
                  <w:szCs w:val="20"/>
                  <w:lang w:val="en-US"/>
                </w:rPr>
                <m:t>x</m:t>
              </m:r>
              <m:r>
                <w:rPr>
                  <w:rFonts w:ascii="Cambria Math" w:hAnsi="Cambria Math" w:cs="Arial"/>
                  <w:kern w:val="0"/>
                  <w:sz w:val="20"/>
                  <w:szCs w:val="20"/>
                  <w:lang w:val="en-US"/>
                </w:rPr>
                <m:t xml:space="preserve"> </m:t>
              </m:r>
              <m:d>
                <m:dPr>
                  <m:ctrlPr>
                    <w:rPr>
                      <w:rFonts w:ascii="Cambria Math" w:hAnsi="Cambria Math" w:cs="Arial"/>
                      <w:i/>
                      <w:kern w:val="0"/>
                      <w:sz w:val="20"/>
                      <w:szCs w:val="20"/>
                      <w:lang w:val="en-US"/>
                    </w:rPr>
                  </m:ctrlPr>
                </m:dPr>
                <m:e>
                  <m:r>
                    <w:rPr>
                      <w:rFonts w:ascii="Cambria Math" w:hAnsi="Cambria Math" w:cs="Arial"/>
                      <w:kern w:val="0"/>
                      <w:sz w:val="20"/>
                      <w:szCs w:val="20"/>
                      <w:lang w:val="en-US"/>
                    </w:rPr>
                    <m:t>DF</m:t>
                  </m:r>
                </m:e>
              </m:d>
              <m:r>
                <w:rPr>
                  <w:rFonts w:ascii="Cambria Math" w:hAnsi="Cambria Math" w:cs="Arial"/>
                  <w:kern w:val="0"/>
                  <w:sz w:val="20"/>
                  <w:szCs w:val="20"/>
                  <w:lang w:val="en-US"/>
                </w:rPr>
                <m:t xml:space="preserve"> </m:t>
              </m:r>
              <m:r>
                <w:rPr>
                  <w:rFonts w:ascii="Cambria Math" w:hAnsi="Cambria Math" w:cs="Arial"/>
                  <w:kern w:val="0"/>
                  <w:sz w:val="20"/>
                  <w:szCs w:val="20"/>
                  <w:lang w:val="en-US"/>
                </w:rPr>
                <m:t>x</m:t>
              </m:r>
              <m:r>
                <w:rPr>
                  <w:rFonts w:ascii="Cambria Math" w:hAnsi="Cambria Math" w:cs="Arial"/>
                  <w:kern w:val="0"/>
                  <w:sz w:val="20"/>
                  <w:szCs w:val="20"/>
                  <w:lang w:val="en-US"/>
                </w:rPr>
                <m:t xml:space="preserve"> 1000</m:t>
              </m:r>
            </m:num>
            <m:den>
              <m:r>
                <w:rPr>
                  <w:rFonts w:ascii="Cambria Math" w:hAnsi="Cambria Math" w:cs="Arial"/>
                  <w:kern w:val="0"/>
                  <w:sz w:val="20"/>
                  <w:szCs w:val="20"/>
                  <w:lang w:val="en-US"/>
                </w:rPr>
                <m:t>ELW</m:t>
              </m:r>
            </m:den>
          </m:f>
          <m:r>
            <w:rPr>
              <w:rFonts w:ascii="Cambria Math" w:hAnsi="Cambria Math" w:cs="Arial"/>
              <w:kern w:val="0"/>
              <w:sz w:val="20"/>
              <w:szCs w:val="20"/>
              <w:lang w:val="en-US"/>
            </w:rPr>
            <m:t xml:space="preserve"> 100</m:t>
          </m:r>
        </m:oMath>
      </m:oMathPara>
    </w:p>
    <w:p w14:paraId="30A1489D" w14:textId="6F8E825C" w:rsidR="00DB281E" w:rsidRPr="00307F49" w:rsidRDefault="00DB281E" w:rsidP="005145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hAnsi="Arial" w:cs="Arial"/>
          <w:kern w:val="0"/>
          <w:sz w:val="20"/>
          <w:szCs w:val="20"/>
          <w:lang w:val="en-US"/>
        </w:rPr>
      </w:pPr>
      <w:r w:rsidRPr="00307F49">
        <w:rPr>
          <w:rFonts w:ascii="Arial" w:hAnsi="Arial" w:cs="Arial"/>
          <w:kern w:val="0"/>
          <w:sz w:val="20"/>
          <w:szCs w:val="20"/>
          <w:lang w:val="en-US"/>
        </w:rPr>
        <w:t>Where, A= absorbance at 538 nm (</w:t>
      </w:r>
      <w:r w:rsidRPr="00307F49">
        <w:rPr>
          <w:rFonts w:ascii="Arial" w:hAnsi="Arial" w:cs="Arial"/>
          <w:kern w:val="0"/>
          <w:sz w:val="20"/>
          <w:szCs w:val="20"/>
          <w:lang w:val="en-US"/>
        </w:rPr>
        <w:sym w:font="Symbol" w:char="F06C"/>
      </w:r>
      <w:r w:rsidRPr="00307F49">
        <w:rPr>
          <w:rFonts w:ascii="Arial" w:hAnsi="Arial" w:cs="Arial"/>
          <w:kern w:val="0"/>
          <w:sz w:val="20"/>
          <w:szCs w:val="20"/>
          <w:lang w:val="en-US"/>
        </w:rPr>
        <w:t xml:space="preserve"> max), L (path length) = 1.0 cm, DF= dilution factor, V= volume extract (mL), W= fresh weight of extracting material (g). For betanin, E (mean molar absorptivity) = 6.5 x 10</w:t>
      </w:r>
      <w:r w:rsidRPr="00307F49">
        <w:rPr>
          <w:rFonts w:ascii="Arial" w:hAnsi="Arial" w:cs="Arial"/>
          <w:kern w:val="0"/>
          <w:sz w:val="20"/>
          <w:szCs w:val="20"/>
          <w:vertAlign w:val="superscript"/>
          <w:lang w:val="en-US"/>
        </w:rPr>
        <w:t>4</w:t>
      </w:r>
      <w:r w:rsidRPr="00307F49">
        <w:rPr>
          <w:rFonts w:ascii="Arial" w:hAnsi="Arial" w:cs="Arial"/>
          <w:kern w:val="0"/>
          <w:sz w:val="20"/>
          <w:szCs w:val="20"/>
          <w:lang w:val="en-US"/>
        </w:rPr>
        <w:t xml:space="preserve"> L/mol cm and MW (molecular weight) = 550 g/mol. Firmness of fruit was determined with the help of a penetrometer fitted with 11 mm probe</w:t>
      </w:r>
      <w:r w:rsidRPr="00307F49">
        <w:rPr>
          <w:rFonts w:ascii="Arial" w:hAnsi="Arial" w:cs="Arial"/>
          <w:kern w:val="0"/>
          <w:sz w:val="20"/>
          <w:szCs w:val="20"/>
          <w:lang w:val="en-GB"/>
        </w:rPr>
        <w:t>. The data obtained from the</w:t>
      </w:r>
      <w:r w:rsidR="001071DC">
        <w:rPr>
          <w:rFonts w:ascii="Arial" w:hAnsi="Arial" w:cs="Arial"/>
          <w:kern w:val="0"/>
          <w:sz w:val="20"/>
          <w:szCs w:val="20"/>
          <w:lang w:val="en-GB"/>
        </w:rPr>
        <w:t xml:space="preserve"> </w:t>
      </w:r>
      <w:r w:rsidRPr="00307F49">
        <w:rPr>
          <w:rFonts w:ascii="Arial" w:hAnsi="Arial" w:cs="Arial"/>
          <w:kern w:val="0"/>
          <w:sz w:val="20"/>
          <w:szCs w:val="20"/>
          <w:lang w:val="en-GB"/>
        </w:rPr>
        <w:t>design were subjected to statistical analysis and for the significant component of ANOVA</w:t>
      </w:r>
      <w:r w:rsidR="005A5B4E" w:rsidRPr="00307F49">
        <w:rPr>
          <w:rFonts w:ascii="Arial" w:hAnsi="Arial" w:cs="Arial"/>
          <w:kern w:val="0"/>
          <w:sz w:val="20"/>
          <w:szCs w:val="20"/>
          <w:lang w:val="en-GB"/>
        </w:rPr>
        <w:t>.</w:t>
      </w:r>
    </w:p>
    <w:p w14:paraId="5E37F1C6" w14:textId="366B795D" w:rsidR="00DB281E" w:rsidRDefault="00DB281E" w:rsidP="0051450F">
      <w:pPr>
        <w:spacing w:line="276" w:lineRule="auto"/>
        <w:jc w:val="both"/>
        <w:rPr>
          <w:rFonts w:ascii="Arial" w:hAnsi="Arial" w:cs="Arial"/>
          <w:sz w:val="20"/>
          <w:szCs w:val="20"/>
        </w:rPr>
      </w:pPr>
    </w:p>
    <w:p w14:paraId="0171AAE8" w14:textId="77777777" w:rsidR="009825C2" w:rsidRDefault="009825C2" w:rsidP="0051450F">
      <w:pPr>
        <w:spacing w:line="276" w:lineRule="auto"/>
        <w:jc w:val="both"/>
        <w:rPr>
          <w:rFonts w:ascii="Arial" w:hAnsi="Arial" w:cs="Arial"/>
          <w:sz w:val="20"/>
          <w:szCs w:val="20"/>
        </w:rPr>
      </w:pPr>
    </w:p>
    <w:p w14:paraId="6B67E6EA" w14:textId="77777777" w:rsidR="009825C2" w:rsidRPr="00307F49" w:rsidRDefault="009825C2" w:rsidP="0051450F">
      <w:pPr>
        <w:spacing w:line="276" w:lineRule="auto"/>
        <w:jc w:val="both"/>
        <w:rPr>
          <w:rFonts w:ascii="Arial" w:hAnsi="Arial" w:cs="Arial"/>
          <w:sz w:val="20"/>
          <w:szCs w:val="20"/>
        </w:rPr>
      </w:pPr>
    </w:p>
    <w:p w14:paraId="3B58DE64" w14:textId="77777777" w:rsidR="001071DC" w:rsidRDefault="00DB281E" w:rsidP="0051450F">
      <w:pPr>
        <w:pStyle w:val="ListParagraph"/>
        <w:numPr>
          <w:ilvl w:val="0"/>
          <w:numId w:val="1"/>
        </w:numPr>
        <w:spacing w:line="276" w:lineRule="auto"/>
        <w:ind w:left="284"/>
        <w:jc w:val="both"/>
        <w:rPr>
          <w:rFonts w:ascii="Arial" w:hAnsi="Arial" w:cs="Arial"/>
          <w:b/>
          <w:bCs/>
          <w:sz w:val="20"/>
          <w:szCs w:val="20"/>
        </w:rPr>
      </w:pPr>
      <w:r w:rsidRPr="001071DC">
        <w:rPr>
          <w:rFonts w:ascii="Arial" w:hAnsi="Arial" w:cs="Arial"/>
          <w:b/>
          <w:bCs/>
          <w:sz w:val="20"/>
          <w:szCs w:val="20"/>
        </w:rPr>
        <w:t>RESULTS AND DISCUSSION</w:t>
      </w:r>
    </w:p>
    <w:p w14:paraId="0A963F6D" w14:textId="77777777" w:rsidR="001071DC" w:rsidRDefault="001071DC" w:rsidP="001071DC">
      <w:pPr>
        <w:spacing w:line="276" w:lineRule="auto"/>
        <w:ind w:left="-76"/>
        <w:jc w:val="both"/>
        <w:rPr>
          <w:rFonts w:ascii="Arial" w:hAnsi="Arial" w:cs="Arial"/>
          <w:b/>
          <w:bCs/>
          <w:sz w:val="20"/>
          <w:szCs w:val="20"/>
          <w:lang w:val="en-US"/>
        </w:rPr>
      </w:pPr>
    </w:p>
    <w:p w14:paraId="3CB8C570" w14:textId="28BD8B50" w:rsidR="005010DC" w:rsidRPr="001071DC" w:rsidRDefault="005010DC" w:rsidP="001071DC">
      <w:pPr>
        <w:spacing w:line="276" w:lineRule="auto"/>
        <w:ind w:left="-76"/>
        <w:jc w:val="both"/>
        <w:rPr>
          <w:rFonts w:ascii="Arial" w:hAnsi="Arial" w:cs="Arial"/>
          <w:b/>
          <w:bCs/>
          <w:sz w:val="20"/>
          <w:szCs w:val="20"/>
        </w:rPr>
      </w:pPr>
      <w:r w:rsidRPr="001071DC">
        <w:rPr>
          <w:rFonts w:ascii="Arial" w:hAnsi="Arial" w:cs="Arial"/>
          <w:b/>
          <w:bCs/>
          <w:sz w:val="20"/>
          <w:szCs w:val="20"/>
          <w:lang w:val="en-US"/>
        </w:rPr>
        <w:t>Textural changes of fruit skin/ firmness (kg/cm</w:t>
      </w:r>
      <w:r w:rsidRPr="001071DC">
        <w:rPr>
          <w:rFonts w:ascii="Arial" w:hAnsi="Arial" w:cs="Arial"/>
          <w:b/>
          <w:bCs/>
          <w:sz w:val="20"/>
          <w:szCs w:val="20"/>
          <w:vertAlign w:val="superscript"/>
          <w:lang w:val="en-US"/>
        </w:rPr>
        <w:t>2</w:t>
      </w:r>
      <w:r w:rsidRPr="001071DC">
        <w:rPr>
          <w:rFonts w:ascii="Arial" w:hAnsi="Arial" w:cs="Arial"/>
          <w:b/>
          <w:bCs/>
          <w:sz w:val="20"/>
          <w:szCs w:val="20"/>
          <w:lang w:val="en-US"/>
        </w:rPr>
        <w:t>)</w:t>
      </w:r>
    </w:p>
    <w:p w14:paraId="0C6AF581" w14:textId="6C93760A" w:rsidR="00DB281E" w:rsidRDefault="005010DC" w:rsidP="0051450F">
      <w:pPr>
        <w:spacing w:line="276" w:lineRule="auto"/>
        <w:jc w:val="both"/>
        <w:rPr>
          <w:rFonts w:ascii="Arial" w:hAnsi="Arial" w:cs="Arial"/>
          <w:sz w:val="20"/>
          <w:szCs w:val="20"/>
          <w:lang w:val="en-US"/>
        </w:rPr>
      </w:pPr>
      <w:r w:rsidRPr="00307F49">
        <w:rPr>
          <w:rFonts w:ascii="Arial" w:hAnsi="Arial" w:cs="Arial"/>
          <w:sz w:val="20"/>
          <w:szCs w:val="20"/>
          <w:lang w:val="en-US"/>
        </w:rPr>
        <w:lastRenderedPageBreak/>
        <w:tab/>
        <w:t>Among the</w:t>
      </w:r>
      <w:r w:rsidR="006F6F26">
        <w:rPr>
          <w:rFonts w:ascii="Arial" w:hAnsi="Arial" w:cs="Arial"/>
          <w:sz w:val="20"/>
          <w:szCs w:val="20"/>
          <w:lang w:val="en-US"/>
        </w:rPr>
        <w:t xml:space="preserve"> three</w:t>
      </w:r>
      <w:r w:rsidRPr="00307F49">
        <w:rPr>
          <w:rFonts w:ascii="Arial" w:hAnsi="Arial" w:cs="Arial"/>
          <w:sz w:val="20"/>
          <w:szCs w:val="20"/>
          <w:lang w:val="en-US"/>
        </w:rPr>
        <w:t xml:space="preserve"> harvesting stages, </w:t>
      </w:r>
      <w:r w:rsidR="006F6F26">
        <w:rPr>
          <w:rFonts w:ascii="Arial" w:hAnsi="Arial" w:cs="Arial"/>
          <w:sz w:val="20"/>
          <w:szCs w:val="20"/>
          <w:lang w:val="en-US"/>
        </w:rPr>
        <w:t xml:space="preserve">initial harvest at 25 DAA recorded </w:t>
      </w:r>
      <w:r w:rsidRPr="00307F49">
        <w:rPr>
          <w:rFonts w:ascii="Arial" w:hAnsi="Arial" w:cs="Arial"/>
          <w:sz w:val="20"/>
          <w:szCs w:val="20"/>
          <w:lang w:val="en-US"/>
        </w:rPr>
        <w:t xml:space="preserve">highest </w:t>
      </w:r>
      <w:r w:rsidR="006F6F26">
        <w:rPr>
          <w:rFonts w:ascii="Arial" w:hAnsi="Arial" w:cs="Arial"/>
          <w:sz w:val="20"/>
          <w:szCs w:val="20"/>
          <w:lang w:val="en-US"/>
        </w:rPr>
        <w:t xml:space="preserve">pooled </w:t>
      </w:r>
      <w:r w:rsidRPr="00307F49">
        <w:rPr>
          <w:rFonts w:ascii="Arial" w:hAnsi="Arial" w:cs="Arial"/>
          <w:sz w:val="20"/>
          <w:szCs w:val="20"/>
          <w:lang w:val="en-US"/>
        </w:rPr>
        <w:t>value</w:t>
      </w:r>
      <w:r w:rsidR="001B5A06">
        <w:rPr>
          <w:rFonts w:ascii="Arial" w:hAnsi="Arial" w:cs="Arial"/>
          <w:sz w:val="20"/>
          <w:szCs w:val="20"/>
          <w:lang w:val="en-US"/>
        </w:rPr>
        <w:t xml:space="preserve"> </w:t>
      </w:r>
      <w:r w:rsidR="006F6F26">
        <w:rPr>
          <w:rFonts w:ascii="Arial" w:hAnsi="Arial" w:cs="Arial"/>
          <w:sz w:val="20"/>
          <w:szCs w:val="20"/>
          <w:lang w:val="en-US"/>
        </w:rPr>
        <w:t>(11.07 kg/</w:t>
      </w:r>
      <w:r w:rsidR="006F6F26" w:rsidRPr="006F6F26">
        <w:rPr>
          <w:rFonts w:ascii="Arial" w:hAnsi="Arial" w:cs="Arial"/>
          <w:sz w:val="20"/>
          <w:szCs w:val="20"/>
          <w:lang w:val="en-US"/>
        </w:rPr>
        <w:t>cm</w:t>
      </w:r>
      <w:r w:rsidR="006F6F26">
        <w:rPr>
          <w:rFonts w:ascii="Arial" w:hAnsi="Arial" w:cs="Arial"/>
          <w:sz w:val="20"/>
          <w:szCs w:val="20"/>
          <w:vertAlign w:val="superscript"/>
          <w:lang w:val="en-US"/>
        </w:rPr>
        <w:t>2</w:t>
      </w:r>
      <w:r w:rsidR="006F6F26">
        <w:rPr>
          <w:rFonts w:ascii="Arial" w:hAnsi="Arial" w:cs="Arial"/>
          <w:sz w:val="20"/>
          <w:szCs w:val="20"/>
          <w:lang w:val="en-US"/>
        </w:rPr>
        <w:t xml:space="preserve">) </w:t>
      </w:r>
      <w:r w:rsidR="001B5A06">
        <w:rPr>
          <w:rFonts w:ascii="Arial" w:hAnsi="Arial" w:cs="Arial"/>
          <w:sz w:val="20"/>
          <w:szCs w:val="20"/>
          <w:lang w:val="en-US"/>
        </w:rPr>
        <w:t>for</w:t>
      </w:r>
      <w:r w:rsidR="006F6F26">
        <w:rPr>
          <w:rFonts w:ascii="Arial" w:hAnsi="Arial" w:cs="Arial"/>
          <w:sz w:val="20"/>
          <w:szCs w:val="20"/>
          <w:lang w:val="en-US"/>
        </w:rPr>
        <w:t xml:space="preserve"> </w:t>
      </w:r>
      <w:r w:rsidRPr="00307F49">
        <w:rPr>
          <w:rFonts w:ascii="Arial" w:hAnsi="Arial" w:cs="Arial"/>
          <w:sz w:val="20"/>
          <w:szCs w:val="20"/>
          <w:lang w:val="en-US"/>
        </w:rPr>
        <w:t>firmness</w:t>
      </w:r>
      <w:r w:rsidR="001B5A06">
        <w:rPr>
          <w:rFonts w:ascii="Arial" w:hAnsi="Arial" w:cs="Arial"/>
          <w:sz w:val="20"/>
          <w:szCs w:val="20"/>
          <w:lang w:val="en-US"/>
        </w:rPr>
        <w:t>, while the lowest was recorded in</w:t>
      </w:r>
      <w:r w:rsidR="00D36C16">
        <w:rPr>
          <w:rFonts w:ascii="Arial" w:hAnsi="Arial" w:cs="Arial"/>
          <w:sz w:val="20"/>
          <w:szCs w:val="20"/>
          <w:lang w:val="en-US"/>
        </w:rPr>
        <w:t xml:space="preserve"> 35 DAA with 7.62 kg/</w:t>
      </w:r>
      <w:r w:rsidR="00D36C16" w:rsidRPr="00D36C16">
        <w:rPr>
          <w:rFonts w:ascii="Arial" w:hAnsi="Arial" w:cs="Arial"/>
          <w:sz w:val="20"/>
          <w:szCs w:val="20"/>
          <w:lang w:val="en-US"/>
        </w:rPr>
        <w:t>cm</w:t>
      </w:r>
      <w:r w:rsidR="00D36C16">
        <w:rPr>
          <w:rFonts w:ascii="Arial" w:hAnsi="Arial" w:cs="Arial"/>
          <w:sz w:val="20"/>
          <w:szCs w:val="20"/>
          <w:vertAlign w:val="superscript"/>
          <w:lang w:val="en-US"/>
        </w:rPr>
        <w:t>2</w:t>
      </w:r>
      <w:r w:rsidR="00F85AFF">
        <w:rPr>
          <w:rFonts w:ascii="Arial" w:hAnsi="Arial" w:cs="Arial"/>
          <w:sz w:val="20"/>
          <w:szCs w:val="20"/>
          <w:lang w:val="en-US"/>
        </w:rPr>
        <w:t xml:space="preserve"> as illustrated in Figure 1.</w:t>
      </w:r>
      <w:r w:rsidR="00D36C16">
        <w:rPr>
          <w:rFonts w:ascii="Arial" w:hAnsi="Arial" w:cs="Arial"/>
          <w:sz w:val="20"/>
          <w:szCs w:val="20"/>
          <w:lang w:val="en-US"/>
        </w:rPr>
        <w:t xml:space="preserve"> </w:t>
      </w:r>
      <w:r w:rsidRPr="00D36C16">
        <w:rPr>
          <w:rFonts w:ascii="Arial" w:hAnsi="Arial" w:cs="Arial"/>
          <w:sz w:val="20"/>
          <w:szCs w:val="20"/>
          <w:lang w:val="en-US"/>
        </w:rPr>
        <w:t>Similar</w:t>
      </w:r>
      <w:r w:rsidRPr="00307F49">
        <w:rPr>
          <w:rFonts w:ascii="Arial" w:hAnsi="Arial" w:cs="Arial"/>
          <w:sz w:val="20"/>
          <w:szCs w:val="20"/>
          <w:lang w:val="en-US"/>
        </w:rPr>
        <w:t xml:space="preserve"> trend has been reported by Singh </w:t>
      </w:r>
      <w:r w:rsidRPr="00307F49">
        <w:rPr>
          <w:rFonts w:ascii="Arial" w:hAnsi="Arial" w:cs="Arial"/>
          <w:i/>
          <w:iCs/>
          <w:sz w:val="20"/>
          <w:szCs w:val="20"/>
          <w:lang w:val="en-US"/>
        </w:rPr>
        <w:t xml:space="preserve">et. al. </w:t>
      </w:r>
      <w:r w:rsidRPr="00307F49">
        <w:rPr>
          <w:rFonts w:ascii="Arial" w:hAnsi="Arial" w:cs="Arial"/>
          <w:sz w:val="20"/>
          <w:szCs w:val="20"/>
          <w:lang w:val="en-US"/>
        </w:rPr>
        <w:t xml:space="preserve">(2022) where firmness was maximum at harvest stage of 25 DAA and firmness reduced as the maturity stage </w:t>
      </w:r>
      <w:r w:rsidR="00D36C16">
        <w:rPr>
          <w:rFonts w:ascii="Arial" w:hAnsi="Arial" w:cs="Arial"/>
          <w:sz w:val="20"/>
          <w:szCs w:val="20"/>
          <w:lang w:val="en-US"/>
        </w:rPr>
        <w:t xml:space="preserve">progressed. </w:t>
      </w:r>
      <w:r w:rsidRPr="00307F49">
        <w:rPr>
          <w:rFonts w:ascii="Arial" w:hAnsi="Arial" w:cs="Arial"/>
          <w:sz w:val="20"/>
          <w:szCs w:val="20"/>
          <w:lang w:val="en-US"/>
        </w:rPr>
        <w:t xml:space="preserve">In dragon fruit, </w:t>
      </w:r>
      <w:r w:rsidR="00D36C16">
        <w:rPr>
          <w:rFonts w:ascii="Arial" w:hAnsi="Arial" w:cs="Arial"/>
          <w:sz w:val="20"/>
          <w:szCs w:val="20"/>
          <w:lang w:val="en-US"/>
        </w:rPr>
        <w:t>with advancement in maturity</w:t>
      </w:r>
      <w:r w:rsidRPr="00307F49">
        <w:rPr>
          <w:rFonts w:ascii="Arial" w:hAnsi="Arial" w:cs="Arial"/>
          <w:sz w:val="20"/>
          <w:szCs w:val="20"/>
          <w:lang w:val="en-US"/>
        </w:rPr>
        <w:t xml:space="preserve">, peel thickness decreases along with reduction in fruit firmness. Change in cell wall texture is an important criterion of fruit ripening which leads to reduction in firmness. This reduction may be due to degradation of cell wall components (pectin, cellulose, hemicellulose) and metabolism of cell contents (Wang </w:t>
      </w:r>
      <w:r w:rsidRPr="00307F49">
        <w:rPr>
          <w:rFonts w:ascii="Arial" w:hAnsi="Arial" w:cs="Arial"/>
          <w:i/>
          <w:iCs/>
          <w:sz w:val="20"/>
          <w:szCs w:val="20"/>
          <w:lang w:val="en-US"/>
        </w:rPr>
        <w:t>et. al</w:t>
      </w:r>
      <w:r w:rsidRPr="00307F49">
        <w:rPr>
          <w:rFonts w:ascii="Arial" w:hAnsi="Arial" w:cs="Arial"/>
          <w:sz w:val="20"/>
          <w:szCs w:val="20"/>
          <w:lang w:val="en-US"/>
        </w:rPr>
        <w:t xml:space="preserve">., 2024) caused by the action of hydrolytic enzymes (Singh </w:t>
      </w:r>
      <w:r w:rsidRPr="00307F49">
        <w:rPr>
          <w:rFonts w:ascii="Arial" w:hAnsi="Arial" w:cs="Arial"/>
          <w:i/>
          <w:iCs/>
          <w:sz w:val="20"/>
          <w:szCs w:val="20"/>
          <w:lang w:val="en-US"/>
        </w:rPr>
        <w:t xml:space="preserve">et. al., </w:t>
      </w:r>
      <w:r w:rsidRPr="00307F49">
        <w:rPr>
          <w:rFonts w:ascii="Arial" w:hAnsi="Arial" w:cs="Arial"/>
          <w:sz w:val="20"/>
          <w:szCs w:val="20"/>
          <w:lang w:val="en-US"/>
        </w:rPr>
        <w:t>2022) as a part of fruit maturation and ripening.</w:t>
      </w:r>
    </w:p>
    <w:p w14:paraId="4074417D" w14:textId="77777777" w:rsidR="00D36C16" w:rsidRPr="00D36C16" w:rsidRDefault="00D36C16" w:rsidP="0051450F">
      <w:pPr>
        <w:spacing w:line="276" w:lineRule="auto"/>
        <w:jc w:val="both"/>
        <w:rPr>
          <w:rFonts w:ascii="Arial" w:hAnsi="Arial" w:cs="Arial"/>
          <w:sz w:val="20"/>
          <w:szCs w:val="20"/>
          <w:lang w:val="en-US"/>
        </w:rPr>
      </w:pPr>
    </w:p>
    <w:p w14:paraId="3756A32F" w14:textId="0B2E003D" w:rsidR="005010DC" w:rsidRPr="00307F49" w:rsidRDefault="005010DC" w:rsidP="0051450F">
      <w:pPr>
        <w:spacing w:line="276" w:lineRule="auto"/>
        <w:jc w:val="both"/>
        <w:rPr>
          <w:rFonts w:ascii="Arial" w:hAnsi="Arial" w:cs="Arial"/>
          <w:b/>
          <w:bCs/>
          <w:sz w:val="20"/>
          <w:szCs w:val="20"/>
          <w:lang w:val="en-US"/>
        </w:rPr>
      </w:pPr>
      <w:r w:rsidRPr="00307F49">
        <w:rPr>
          <w:rFonts w:ascii="Arial" w:hAnsi="Arial" w:cs="Arial"/>
          <w:b/>
          <w:bCs/>
          <w:sz w:val="20"/>
          <w:szCs w:val="20"/>
          <w:lang w:val="en-US"/>
        </w:rPr>
        <w:t>Post-harvest spoilage (%)</w:t>
      </w:r>
    </w:p>
    <w:p w14:paraId="14E06CA0" w14:textId="42B9BDAD" w:rsidR="00D36C16" w:rsidRDefault="00F3284C" w:rsidP="00D36C16">
      <w:pPr>
        <w:spacing w:line="276" w:lineRule="auto"/>
        <w:jc w:val="both"/>
        <w:rPr>
          <w:rFonts w:ascii="Arial" w:hAnsi="Arial" w:cs="Arial"/>
          <w:sz w:val="20"/>
          <w:szCs w:val="20"/>
        </w:rPr>
      </w:pPr>
      <w:r>
        <w:rPr>
          <w:noProof/>
        </w:rPr>
        <w:drawing>
          <wp:anchor distT="0" distB="0" distL="114300" distR="114300" simplePos="0" relativeHeight="251686912" behindDoc="1" locked="0" layoutInCell="1" allowOverlap="1" wp14:anchorId="06D8355E" wp14:editId="47A85036">
            <wp:simplePos x="0" y="0"/>
            <wp:positionH relativeFrom="column">
              <wp:posOffset>12065</wp:posOffset>
            </wp:positionH>
            <wp:positionV relativeFrom="paragraph">
              <wp:posOffset>963930</wp:posOffset>
            </wp:positionV>
            <wp:extent cx="2256790" cy="1386205"/>
            <wp:effectExtent l="0" t="0" r="16510" b="10795"/>
            <wp:wrapTight wrapText="bothSides">
              <wp:wrapPolygon edited="0">
                <wp:start x="0" y="0"/>
                <wp:lineTo x="0" y="21570"/>
                <wp:lineTo x="21636" y="21570"/>
                <wp:lineTo x="21636" y="0"/>
                <wp:lineTo x="0" y="0"/>
              </wp:wrapPolygon>
            </wp:wrapTight>
            <wp:docPr id="246765821" name="Chart 1">
              <a:extLst xmlns:a="http://schemas.openxmlformats.org/drawingml/2006/main">
                <a:ext uri="{FF2B5EF4-FFF2-40B4-BE49-F238E27FC236}">
                  <a16:creationId xmlns:a16="http://schemas.microsoft.com/office/drawing/2014/main" id="{5E9BD747-10E5-3FF1-3332-7FB0FED0AB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00044524">
        <w:rPr>
          <w:noProof/>
          <w:lang w:val="en-US"/>
        </w:rPr>
        <mc:AlternateContent>
          <mc:Choice Requires="wps">
            <w:drawing>
              <wp:anchor distT="0" distB="0" distL="114300" distR="114300" simplePos="0" relativeHeight="251671552" behindDoc="1" locked="0" layoutInCell="1" allowOverlap="1" wp14:anchorId="07524C5A" wp14:editId="3C91B960">
                <wp:simplePos x="0" y="0"/>
                <wp:positionH relativeFrom="column">
                  <wp:posOffset>2392045</wp:posOffset>
                </wp:positionH>
                <wp:positionV relativeFrom="paragraph">
                  <wp:posOffset>2463800</wp:posOffset>
                </wp:positionV>
                <wp:extent cx="3436620" cy="635"/>
                <wp:effectExtent l="0" t="0" r="5080" b="12065"/>
                <wp:wrapTight wrapText="bothSides">
                  <wp:wrapPolygon edited="0">
                    <wp:start x="0" y="0"/>
                    <wp:lineTo x="0" y="0"/>
                    <wp:lineTo x="21552" y="0"/>
                    <wp:lineTo x="21552" y="0"/>
                    <wp:lineTo x="0" y="0"/>
                  </wp:wrapPolygon>
                </wp:wrapTight>
                <wp:docPr id="96237218" name="Text Box 1"/>
                <wp:cNvGraphicFramePr/>
                <a:graphic xmlns:a="http://schemas.openxmlformats.org/drawingml/2006/main">
                  <a:graphicData uri="http://schemas.microsoft.com/office/word/2010/wordprocessingShape">
                    <wps:wsp>
                      <wps:cNvSpPr txBox="1"/>
                      <wps:spPr>
                        <a:xfrm>
                          <a:off x="0" y="0"/>
                          <a:ext cx="3436620" cy="635"/>
                        </a:xfrm>
                        <a:prstGeom prst="rect">
                          <a:avLst/>
                        </a:prstGeom>
                        <a:solidFill>
                          <a:prstClr val="white"/>
                        </a:solidFill>
                        <a:ln>
                          <a:noFill/>
                        </a:ln>
                      </wps:spPr>
                      <wps:txbx>
                        <w:txbxContent>
                          <w:p w14:paraId="76B9BEC5" w14:textId="442CA971" w:rsidR="00044524" w:rsidRPr="00044524" w:rsidRDefault="00044524" w:rsidP="00044524">
                            <w:pPr>
                              <w:pStyle w:val="Caption"/>
                              <w:rPr>
                                <w:i w:val="0"/>
                                <w:iCs w:val="0"/>
                                <w:noProof/>
                                <w:sz w:val="15"/>
                                <w:szCs w:val="15"/>
                              </w:rPr>
                            </w:pPr>
                            <w:r w:rsidRPr="00044524">
                              <w:rPr>
                                <w:b/>
                                <w:bCs/>
                                <w:i w:val="0"/>
                                <w:iCs w:val="0"/>
                                <w:sz w:val="15"/>
                                <w:szCs w:val="15"/>
                              </w:rPr>
                              <w:t>Figure 2</w:t>
                            </w:r>
                            <w:r w:rsidRPr="00044524">
                              <w:rPr>
                                <w:i w:val="0"/>
                                <w:iCs w:val="0"/>
                                <w:sz w:val="15"/>
                                <w:szCs w:val="15"/>
                              </w:rPr>
                              <w:t>: Post-harvest spoilage in different stages of dragon fruit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7524C5A" id="_x0000_t202" coordsize="21600,21600" o:spt="202" path="m,l,21600r21600,l21600,xe">
                <v:stroke joinstyle="miter"/>
                <v:path gradientshapeok="t" o:connecttype="rect"/>
              </v:shapetype>
              <v:shape id="Text Box 1" o:spid="_x0000_s1026" type="#_x0000_t202" style="position:absolute;left:0;text-align:left;margin-left:188.35pt;margin-top:194pt;width:270.6pt;height:.0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" stroked="f">
                <v:textbox style="mso-fit-shape-to-text:t" inset="0,0,0,0">
                  <w:txbxContent>
                    <w:p w14:paraId="76B9BEC5" w14:textId="442CA971" w:rsidR="00044524" w:rsidRPr="00044524" w:rsidRDefault="00044524" w:rsidP="00044524">
                      <w:pPr>
                        <w:pStyle w:val="Caption"/>
                        <w:rPr>
                          <w:i w:val="0"/>
                          <w:iCs w:val="0"/>
                          <w:noProof/>
                          <w:sz w:val="15"/>
                          <w:szCs w:val="15"/>
                        </w:rPr>
                      </w:pPr>
                      <w:r w:rsidRPr="00044524">
                        <w:rPr>
                          <w:b/>
                          <w:bCs/>
                          <w:i w:val="0"/>
                          <w:iCs w:val="0"/>
                          <w:sz w:val="15"/>
                          <w:szCs w:val="15"/>
                        </w:rPr>
                        <w:t>Figure 2</w:t>
                      </w:r>
                      <w:r w:rsidRPr="00044524">
                        <w:rPr>
                          <w:i w:val="0"/>
                          <w:iCs w:val="0"/>
                          <w:sz w:val="15"/>
                          <w:szCs w:val="15"/>
                        </w:rPr>
                        <w:t>: Post-harvest spoilage in different stages of dragon fruit</w:t>
                      </w:r>
                    </w:p>
                  </w:txbxContent>
                </v:textbox>
                <w10:wrap type="tight"/>
              </v:shape>
            </w:pict>
          </mc:Fallback>
        </mc:AlternateContent>
      </w:r>
      <w:r w:rsidR="00044524">
        <w:rPr>
          <w:noProof/>
          <w:lang w:val="en-US"/>
        </w:rPr>
        <w:drawing>
          <wp:anchor distT="0" distB="0" distL="114300" distR="114300" simplePos="0" relativeHeight="251658240" behindDoc="1" locked="0" layoutInCell="1" allowOverlap="1" wp14:anchorId="022EBAB9" wp14:editId="3DEF0325">
            <wp:simplePos x="0" y="0"/>
            <wp:positionH relativeFrom="column">
              <wp:posOffset>2392045</wp:posOffset>
            </wp:positionH>
            <wp:positionV relativeFrom="paragraph">
              <wp:posOffset>913765</wp:posOffset>
            </wp:positionV>
            <wp:extent cx="3436620" cy="1492885"/>
            <wp:effectExtent l="0" t="0" r="17780" b="18415"/>
            <wp:wrapTight wrapText="bothSides">
              <wp:wrapPolygon edited="0">
                <wp:start x="0" y="0"/>
                <wp:lineTo x="0" y="21683"/>
                <wp:lineTo x="21632" y="21683"/>
                <wp:lineTo x="21632" y="0"/>
                <wp:lineTo x="0" y="0"/>
              </wp:wrapPolygon>
            </wp:wrapTight>
            <wp:docPr id="1436624954" name="Chart 1">
              <a:extLst xmlns:a="http://schemas.openxmlformats.org/drawingml/2006/main">
                <a:ext uri="{FF2B5EF4-FFF2-40B4-BE49-F238E27FC236}">
                  <a16:creationId xmlns:a16="http://schemas.microsoft.com/office/drawing/2014/main" id="{B881A4CE-96F5-D10B-D1FF-D1C77044E2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5010DC" w:rsidRPr="00307F49">
        <w:rPr>
          <w:rFonts w:ascii="Arial" w:hAnsi="Arial" w:cs="Arial"/>
          <w:sz w:val="20"/>
          <w:szCs w:val="20"/>
          <w:lang w:val="en-US"/>
        </w:rPr>
        <w:tab/>
        <w:t xml:space="preserve">Data pertaining to effect of harvesting stages on post- harvest spoilage </w:t>
      </w:r>
      <w:r w:rsidR="00D36C16">
        <w:rPr>
          <w:rFonts w:ascii="Arial" w:hAnsi="Arial" w:cs="Arial"/>
          <w:sz w:val="20"/>
          <w:szCs w:val="20"/>
          <w:lang w:val="en-US"/>
        </w:rPr>
        <w:t xml:space="preserve">as </w:t>
      </w:r>
      <w:r w:rsidR="00F85AFF">
        <w:rPr>
          <w:rFonts w:ascii="Arial" w:hAnsi="Arial" w:cs="Arial"/>
          <w:sz w:val="20"/>
          <w:szCs w:val="20"/>
          <w:lang w:val="en-US"/>
        </w:rPr>
        <w:t>shown</w:t>
      </w:r>
      <w:r w:rsidR="00D36C16">
        <w:rPr>
          <w:rFonts w:ascii="Arial" w:hAnsi="Arial" w:cs="Arial"/>
          <w:sz w:val="20"/>
          <w:szCs w:val="20"/>
          <w:lang w:val="en-US"/>
        </w:rPr>
        <w:t xml:space="preserve"> in Figure 2 showed </w:t>
      </w:r>
      <w:r w:rsidR="005010DC" w:rsidRPr="00307F49">
        <w:rPr>
          <w:rFonts w:ascii="Arial" w:hAnsi="Arial" w:cs="Arial"/>
          <w:sz w:val="20"/>
          <w:szCs w:val="20"/>
          <w:lang w:val="en-US"/>
        </w:rPr>
        <w:t>minimum spoilage recorded in immature stage (25 DAA) with 16.76% and the maximum spoilage in 35 DAA (43.53%)</w:t>
      </w:r>
      <w:r w:rsidR="00D36C16">
        <w:rPr>
          <w:rFonts w:ascii="Arial" w:hAnsi="Arial" w:cs="Arial"/>
          <w:sz w:val="20"/>
          <w:szCs w:val="20"/>
          <w:lang w:val="en-US"/>
        </w:rPr>
        <w:t xml:space="preserve"> on storage for 10 days. </w:t>
      </w:r>
      <w:r w:rsidR="00D36C16" w:rsidRPr="00D36C16">
        <w:rPr>
          <w:rFonts w:ascii="Arial" w:hAnsi="Arial" w:cs="Arial" w:hint="eastAsia"/>
          <w:sz w:val="20"/>
          <w:szCs w:val="20"/>
        </w:rPr>
        <w:t xml:space="preserve">Fruit quality deteriorate after harvest leading to incidence of spoilage due to microorganisms as well as rapid physiological processes like weight loss, respiration and accelerated ripening in dragon fruit (Ali </w:t>
      </w:r>
      <w:r w:rsidR="00D36C16" w:rsidRPr="00D36C16">
        <w:rPr>
          <w:rFonts w:ascii="Arial" w:hAnsi="Arial" w:cs="Arial"/>
          <w:i/>
          <w:iCs/>
          <w:sz w:val="20"/>
          <w:szCs w:val="20"/>
        </w:rPr>
        <w:t xml:space="preserve">et. al., </w:t>
      </w:r>
      <w:r w:rsidR="00D36C16" w:rsidRPr="00D36C16">
        <w:rPr>
          <w:rFonts w:ascii="Arial" w:hAnsi="Arial" w:cs="Arial" w:hint="eastAsia"/>
          <w:sz w:val="20"/>
          <w:szCs w:val="20"/>
        </w:rPr>
        <w:t xml:space="preserve">2014). </w:t>
      </w:r>
    </w:p>
    <w:p w14:paraId="759ADE45" w14:textId="1ADD9C16" w:rsidR="00875C17" w:rsidRDefault="00044524" w:rsidP="0051450F">
      <w:pPr>
        <w:spacing w:line="276" w:lineRule="auto"/>
        <w:jc w:val="both"/>
        <w:rPr>
          <w:rFonts w:ascii="Arial" w:hAnsi="Arial" w:cs="Arial"/>
          <w:sz w:val="20"/>
          <w:szCs w:val="20"/>
        </w:rPr>
      </w:pPr>
      <w:r>
        <w:rPr>
          <w:noProof/>
          <w:lang w:val="en-US"/>
        </w:rPr>
        <mc:AlternateContent>
          <mc:Choice Requires="wps">
            <w:drawing>
              <wp:anchor distT="0" distB="0" distL="114300" distR="114300" simplePos="0" relativeHeight="251669504" behindDoc="1" locked="0" layoutInCell="1" allowOverlap="1" wp14:anchorId="0D337EF8" wp14:editId="5848AA55">
                <wp:simplePos x="0" y="0"/>
                <wp:positionH relativeFrom="column">
                  <wp:posOffset>-41275</wp:posOffset>
                </wp:positionH>
                <wp:positionV relativeFrom="paragraph">
                  <wp:posOffset>1618887</wp:posOffset>
                </wp:positionV>
                <wp:extent cx="2310130" cy="635"/>
                <wp:effectExtent l="0" t="0" r="1270" b="12065"/>
                <wp:wrapTight wrapText="bothSides">
                  <wp:wrapPolygon edited="0">
                    <wp:start x="0" y="0"/>
                    <wp:lineTo x="0" y="0"/>
                    <wp:lineTo x="21493" y="0"/>
                    <wp:lineTo x="21493" y="0"/>
                    <wp:lineTo x="0" y="0"/>
                  </wp:wrapPolygon>
                </wp:wrapTight>
                <wp:docPr id="1321595107" name="Text Box 1"/>
                <wp:cNvGraphicFramePr/>
                <a:graphic xmlns:a="http://schemas.openxmlformats.org/drawingml/2006/main">
                  <a:graphicData uri="http://schemas.microsoft.com/office/word/2010/wordprocessingShape">
                    <wps:wsp>
                      <wps:cNvSpPr txBox="1"/>
                      <wps:spPr>
                        <a:xfrm>
                          <a:off x="0" y="0"/>
                          <a:ext cx="2310130" cy="635"/>
                        </a:xfrm>
                        <a:prstGeom prst="rect">
                          <a:avLst/>
                        </a:prstGeom>
                        <a:solidFill>
                          <a:prstClr val="white"/>
                        </a:solidFill>
                        <a:ln>
                          <a:noFill/>
                        </a:ln>
                      </wps:spPr>
                      <wps:txbx>
                        <w:txbxContent>
                          <w:p w14:paraId="64460496" w14:textId="1F6818DA" w:rsidR="00044524" w:rsidRPr="00044524" w:rsidRDefault="00044524" w:rsidP="00044524">
                            <w:pPr>
                              <w:pStyle w:val="Caption"/>
                              <w:rPr>
                                <w:i w:val="0"/>
                                <w:iCs w:val="0"/>
                                <w:noProof/>
                                <w:sz w:val="15"/>
                                <w:szCs w:val="15"/>
                              </w:rPr>
                            </w:pPr>
                            <w:r w:rsidRPr="00044524">
                              <w:rPr>
                                <w:b/>
                                <w:bCs/>
                                <w:i w:val="0"/>
                                <w:iCs w:val="0"/>
                                <w:sz w:val="15"/>
                                <w:szCs w:val="15"/>
                              </w:rPr>
                              <w:t xml:space="preserve">Figure </w:t>
                            </w:r>
                            <w:r>
                              <w:rPr>
                                <w:b/>
                                <w:bCs/>
                                <w:i w:val="0"/>
                                <w:iCs w:val="0"/>
                                <w:sz w:val="15"/>
                                <w:szCs w:val="15"/>
                              </w:rPr>
                              <w:t>1</w:t>
                            </w:r>
                            <w:r>
                              <w:rPr>
                                <w:i w:val="0"/>
                                <w:iCs w:val="0"/>
                                <w:sz w:val="15"/>
                                <w:szCs w:val="15"/>
                              </w:rPr>
                              <w:t xml:space="preserve">: </w:t>
                            </w:r>
                            <w:r w:rsidRPr="00044524">
                              <w:rPr>
                                <w:i w:val="0"/>
                                <w:iCs w:val="0"/>
                                <w:sz w:val="15"/>
                                <w:szCs w:val="15"/>
                              </w:rPr>
                              <w:t>Changes in firmness during maturation of dragon fruit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D337EF8" id="_x0000_s1027" type="#_x0000_t202" style="position:absolute;left:0;text-align:left;margin-left:-3.25pt;margin-top:127.45pt;width:181.9pt;height:.0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" stroked="f">
                <v:textbox style="mso-fit-shape-to-text:t" inset="0,0,0,0">
                  <w:txbxContent>
                    <w:p w14:paraId="64460496" w14:textId="1F6818DA" w:rsidR="00044524" w:rsidRPr="00044524" w:rsidRDefault="00044524" w:rsidP="00044524">
                      <w:pPr>
                        <w:pStyle w:val="Caption"/>
                        <w:rPr>
                          <w:i w:val="0"/>
                          <w:iCs w:val="0"/>
                          <w:noProof/>
                          <w:sz w:val="15"/>
                          <w:szCs w:val="15"/>
                        </w:rPr>
                      </w:pPr>
                      <w:r w:rsidRPr="00044524">
                        <w:rPr>
                          <w:b/>
                          <w:bCs/>
                          <w:i w:val="0"/>
                          <w:iCs w:val="0"/>
                          <w:sz w:val="15"/>
                          <w:szCs w:val="15"/>
                        </w:rPr>
                        <w:t xml:space="preserve">Figure </w:t>
                      </w:r>
                      <w:r>
                        <w:rPr>
                          <w:b/>
                          <w:bCs/>
                          <w:i w:val="0"/>
                          <w:iCs w:val="0"/>
                          <w:sz w:val="15"/>
                          <w:szCs w:val="15"/>
                        </w:rPr>
                        <w:t>1</w:t>
                      </w:r>
                      <w:r>
                        <w:rPr>
                          <w:i w:val="0"/>
                          <w:iCs w:val="0"/>
                          <w:sz w:val="15"/>
                          <w:szCs w:val="15"/>
                        </w:rPr>
                        <w:t xml:space="preserve">: </w:t>
                      </w:r>
                      <w:r w:rsidRPr="00044524">
                        <w:rPr>
                          <w:i w:val="0"/>
                          <w:iCs w:val="0"/>
                          <w:sz w:val="15"/>
                          <w:szCs w:val="15"/>
                        </w:rPr>
                        <w:t>Changes in firmness during maturation of dragon fruit</w:t>
                      </w:r>
                    </w:p>
                  </w:txbxContent>
                </v:textbox>
                <w10:wrap type="tight"/>
              </v:shape>
            </w:pict>
          </mc:Fallback>
        </mc:AlternateContent>
      </w:r>
    </w:p>
    <w:p w14:paraId="3ABD1535" w14:textId="73974C2A" w:rsidR="00044524" w:rsidRPr="00044524" w:rsidRDefault="00044524" w:rsidP="0051450F">
      <w:pPr>
        <w:spacing w:line="276" w:lineRule="auto"/>
        <w:jc w:val="both"/>
        <w:rPr>
          <w:rFonts w:ascii="Arial" w:hAnsi="Arial" w:cs="Arial"/>
          <w:sz w:val="20"/>
          <w:szCs w:val="20"/>
        </w:rPr>
      </w:pPr>
    </w:p>
    <w:p w14:paraId="73EB36B1" w14:textId="683FCDB3" w:rsidR="005010DC" w:rsidRPr="00307F49" w:rsidRDefault="005010DC" w:rsidP="0051450F">
      <w:pPr>
        <w:spacing w:line="276" w:lineRule="auto"/>
        <w:jc w:val="both"/>
        <w:rPr>
          <w:rFonts w:ascii="Arial" w:hAnsi="Arial" w:cs="Arial"/>
          <w:b/>
          <w:bCs/>
          <w:color w:val="FF0000"/>
          <w:sz w:val="20"/>
          <w:szCs w:val="20"/>
          <w:lang w:val="en-US"/>
        </w:rPr>
      </w:pPr>
      <w:r w:rsidRPr="00307F49">
        <w:rPr>
          <w:rFonts w:ascii="Arial" w:hAnsi="Arial" w:cs="Arial"/>
          <w:b/>
          <w:bCs/>
          <w:sz w:val="20"/>
          <w:szCs w:val="20"/>
          <w:lang w:val="en-US"/>
        </w:rPr>
        <w:t>Fruit weight (g)</w:t>
      </w:r>
    </w:p>
    <w:p w14:paraId="219E1A8A" w14:textId="2379DD73" w:rsidR="005010DC" w:rsidRDefault="005010DC" w:rsidP="0051450F">
      <w:pPr>
        <w:spacing w:line="276" w:lineRule="auto"/>
        <w:jc w:val="both"/>
        <w:rPr>
          <w:rFonts w:ascii="Arial" w:hAnsi="Arial" w:cs="Arial"/>
          <w:sz w:val="20"/>
          <w:szCs w:val="20"/>
          <w:lang w:val="en-US"/>
        </w:rPr>
      </w:pPr>
      <w:r w:rsidRPr="00307F49">
        <w:rPr>
          <w:rFonts w:ascii="Arial" w:hAnsi="Arial" w:cs="Arial"/>
          <w:sz w:val="20"/>
          <w:szCs w:val="20"/>
          <w:lang w:val="en-US"/>
        </w:rPr>
        <w:tab/>
      </w:r>
      <w:r w:rsidR="00D36C16">
        <w:rPr>
          <w:rFonts w:ascii="Arial" w:hAnsi="Arial" w:cs="Arial"/>
          <w:sz w:val="20"/>
          <w:szCs w:val="20"/>
          <w:lang w:val="en-US"/>
        </w:rPr>
        <w:t xml:space="preserve">Data </w:t>
      </w:r>
      <w:r w:rsidRPr="00307F49">
        <w:rPr>
          <w:rFonts w:ascii="Arial" w:hAnsi="Arial" w:cs="Arial"/>
          <w:sz w:val="20"/>
          <w:szCs w:val="20"/>
          <w:lang w:val="en-US"/>
        </w:rPr>
        <w:t>depict</w:t>
      </w:r>
      <w:r w:rsidR="00D36C16">
        <w:rPr>
          <w:rFonts w:ascii="Arial" w:hAnsi="Arial" w:cs="Arial"/>
          <w:sz w:val="20"/>
          <w:szCs w:val="20"/>
          <w:lang w:val="en-US"/>
        </w:rPr>
        <w:t>ed</w:t>
      </w:r>
      <w:r w:rsidRPr="00307F49">
        <w:rPr>
          <w:rFonts w:ascii="Arial" w:hAnsi="Arial" w:cs="Arial"/>
          <w:sz w:val="20"/>
          <w:szCs w:val="20"/>
          <w:lang w:val="en-US"/>
        </w:rPr>
        <w:t xml:space="preserve"> an increasing trend in fruit weight with the advancement in maturity stages of dragon fruit. On the day of harvest, highest fruit weight was observed in H</w:t>
      </w:r>
      <w:r w:rsidRPr="00307F49">
        <w:rPr>
          <w:rFonts w:ascii="Arial" w:hAnsi="Arial" w:cs="Arial"/>
          <w:sz w:val="20"/>
          <w:szCs w:val="20"/>
          <w:vertAlign w:val="subscript"/>
          <w:lang w:val="en-US"/>
        </w:rPr>
        <w:t>3</w:t>
      </w:r>
      <w:r w:rsidRPr="00307F49">
        <w:rPr>
          <w:rFonts w:ascii="Arial" w:hAnsi="Arial" w:cs="Arial"/>
          <w:sz w:val="20"/>
          <w:szCs w:val="20"/>
          <w:lang w:val="en-US"/>
        </w:rPr>
        <w:t xml:space="preserve"> (35 DAA) with average weight of 240.42 g and the least fruit weight was recorded in H</w:t>
      </w:r>
      <w:r w:rsidRPr="00307F49">
        <w:rPr>
          <w:rFonts w:ascii="Arial" w:hAnsi="Arial" w:cs="Arial"/>
          <w:sz w:val="20"/>
          <w:szCs w:val="20"/>
          <w:vertAlign w:val="subscript"/>
          <w:lang w:val="en-US"/>
        </w:rPr>
        <w:t>1</w:t>
      </w:r>
      <w:r w:rsidRPr="00307F49">
        <w:rPr>
          <w:rFonts w:ascii="Arial" w:hAnsi="Arial" w:cs="Arial"/>
          <w:sz w:val="20"/>
          <w:szCs w:val="20"/>
          <w:lang w:val="en-US"/>
        </w:rPr>
        <w:t xml:space="preserve"> (25 DAA) with an average weight of 183.49 g. Jamaludin </w:t>
      </w:r>
      <w:r w:rsidRPr="00307F49">
        <w:rPr>
          <w:rFonts w:ascii="Arial" w:hAnsi="Arial" w:cs="Arial"/>
          <w:i/>
          <w:iCs/>
          <w:sz w:val="20"/>
          <w:szCs w:val="20"/>
          <w:lang w:val="en-US"/>
        </w:rPr>
        <w:t>et. al</w:t>
      </w:r>
      <w:r w:rsidRPr="00307F49">
        <w:rPr>
          <w:rFonts w:ascii="Arial" w:hAnsi="Arial" w:cs="Arial"/>
          <w:sz w:val="20"/>
          <w:szCs w:val="20"/>
          <w:lang w:val="en-US"/>
        </w:rPr>
        <w:t xml:space="preserve">. (2010) and </w:t>
      </w:r>
      <w:proofErr w:type="spellStart"/>
      <w:r w:rsidRPr="00307F49">
        <w:rPr>
          <w:rFonts w:ascii="Arial" w:hAnsi="Arial" w:cs="Arial"/>
          <w:sz w:val="20"/>
          <w:szCs w:val="20"/>
          <w:lang w:val="en-US"/>
        </w:rPr>
        <w:t>Malgalhaes</w:t>
      </w:r>
      <w:proofErr w:type="spellEnd"/>
      <w:r w:rsidRPr="00307F49">
        <w:rPr>
          <w:rFonts w:ascii="Arial" w:hAnsi="Arial" w:cs="Arial"/>
          <w:sz w:val="20"/>
          <w:szCs w:val="20"/>
          <w:lang w:val="en-US"/>
        </w:rPr>
        <w:t xml:space="preserve"> </w:t>
      </w:r>
      <w:r w:rsidRPr="00307F49">
        <w:rPr>
          <w:rFonts w:ascii="Arial" w:hAnsi="Arial" w:cs="Arial"/>
          <w:i/>
          <w:iCs/>
          <w:sz w:val="20"/>
          <w:szCs w:val="20"/>
          <w:lang w:val="en-US"/>
        </w:rPr>
        <w:t xml:space="preserve">et. al. </w:t>
      </w:r>
      <w:r w:rsidRPr="00307F49">
        <w:rPr>
          <w:rFonts w:ascii="Arial" w:hAnsi="Arial" w:cs="Arial"/>
          <w:sz w:val="20"/>
          <w:szCs w:val="20"/>
          <w:lang w:val="en-US"/>
        </w:rPr>
        <w:t xml:space="preserve">(2019) have reported similar findings of an increasing trend in fruit size, up to 35 DAA followed by a meager decline as the fruit continue to develop, whereby Chang and Yen (1997) reported that dragon fruits harvested at 50 DAF are 50% heavier in comparison to initial stages (30 DAA). Also, Prasad </w:t>
      </w:r>
      <w:r w:rsidRPr="00307F49">
        <w:rPr>
          <w:rFonts w:ascii="Arial" w:hAnsi="Arial" w:cs="Arial"/>
          <w:i/>
          <w:iCs/>
          <w:sz w:val="20"/>
          <w:szCs w:val="20"/>
          <w:lang w:val="en-US"/>
        </w:rPr>
        <w:t xml:space="preserve">et. al. </w:t>
      </w:r>
      <w:r w:rsidRPr="00307F49">
        <w:rPr>
          <w:rFonts w:ascii="Arial" w:hAnsi="Arial" w:cs="Arial"/>
          <w:sz w:val="20"/>
          <w:szCs w:val="20"/>
          <w:lang w:val="en-US"/>
        </w:rPr>
        <w:t xml:space="preserve">(2000) and Babu </w:t>
      </w:r>
      <w:r w:rsidRPr="00307F49">
        <w:rPr>
          <w:rFonts w:ascii="Arial" w:hAnsi="Arial" w:cs="Arial"/>
          <w:i/>
          <w:iCs/>
          <w:sz w:val="20"/>
          <w:szCs w:val="20"/>
          <w:lang w:val="en-US"/>
        </w:rPr>
        <w:t>et. al</w:t>
      </w:r>
      <w:r w:rsidRPr="00307F49">
        <w:rPr>
          <w:rFonts w:ascii="Arial" w:hAnsi="Arial" w:cs="Arial"/>
          <w:sz w:val="20"/>
          <w:szCs w:val="20"/>
          <w:lang w:val="en-US"/>
        </w:rPr>
        <w:t xml:space="preserve">. (2017) have reported a linear increase in fruit weight of pomegranate from fruit set to harvest. This increase in weight is mainly due to the physiochemical changes during fruit development and maturation, where there is accumulation of water, sugars, other solutes and seed maturation (Jamaludin </w:t>
      </w:r>
      <w:r w:rsidRPr="00307F49">
        <w:rPr>
          <w:rFonts w:ascii="Arial" w:hAnsi="Arial" w:cs="Arial"/>
          <w:i/>
          <w:iCs/>
          <w:sz w:val="20"/>
          <w:szCs w:val="20"/>
          <w:lang w:val="en-US"/>
        </w:rPr>
        <w:t>et. al</w:t>
      </w:r>
      <w:r w:rsidRPr="00307F49">
        <w:rPr>
          <w:rFonts w:ascii="Arial" w:hAnsi="Arial" w:cs="Arial"/>
          <w:sz w:val="20"/>
          <w:szCs w:val="20"/>
          <w:lang w:val="en-US"/>
        </w:rPr>
        <w:t xml:space="preserve">., 2010; Chitarra and Chitarra, 2005). </w:t>
      </w:r>
    </w:p>
    <w:p w14:paraId="199F053F" w14:textId="77777777" w:rsidR="00AB534A" w:rsidRPr="00307F49" w:rsidRDefault="00AB534A" w:rsidP="0051450F">
      <w:pPr>
        <w:spacing w:line="276" w:lineRule="auto"/>
        <w:jc w:val="both"/>
        <w:rPr>
          <w:rFonts w:ascii="Arial" w:hAnsi="Arial" w:cs="Arial"/>
          <w:sz w:val="20"/>
          <w:szCs w:val="20"/>
          <w:lang w:val="en-US"/>
        </w:rPr>
      </w:pPr>
    </w:p>
    <w:p w14:paraId="2064487C" w14:textId="77777777" w:rsidR="005010DC" w:rsidRPr="00307F49" w:rsidRDefault="005010DC" w:rsidP="0051450F">
      <w:pPr>
        <w:spacing w:line="276" w:lineRule="auto"/>
        <w:jc w:val="both"/>
        <w:rPr>
          <w:rFonts w:ascii="Arial" w:hAnsi="Arial" w:cs="Arial"/>
          <w:b/>
          <w:bCs/>
          <w:color w:val="FF0000"/>
          <w:sz w:val="20"/>
          <w:szCs w:val="20"/>
          <w:lang w:val="en-US"/>
        </w:rPr>
      </w:pPr>
      <w:r w:rsidRPr="00307F49">
        <w:rPr>
          <w:rFonts w:ascii="Arial" w:hAnsi="Arial" w:cs="Arial"/>
          <w:b/>
          <w:bCs/>
          <w:sz w:val="20"/>
          <w:szCs w:val="20"/>
          <w:lang w:val="en-US"/>
        </w:rPr>
        <w:t>Pulp weight (g)</w:t>
      </w:r>
    </w:p>
    <w:p w14:paraId="03DA67F0" w14:textId="5352253D" w:rsidR="005010DC" w:rsidRDefault="005010DC" w:rsidP="0051450F">
      <w:pPr>
        <w:spacing w:line="276" w:lineRule="auto"/>
        <w:jc w:val="both"/>
        <w:rPr>
          <w:rFonts w:ascii="Arial" w:hAnsi="Arial" w:cs="Arial"/>
          <w:sz w:val="20"/>
          <w:szCs w:val="20"/>
          <w:lang w:val="en-US"/>
        </w:rPr>
      </w:pPr>
      <w:r w:rsidRPr="00307F49">
        <w:rPr>
          <w:rFonts w:ascii="Arial" w:hAnsi="Arial" w:cs="Arial"/>
          <w:sz w:val="20"/>
          <w:szCs w:val="20"/>
          <w:lang w:val="en-US"/>
        </w:rPr>
        <w:tab/>
      </w:r>
      <w:r w:rsidR="00AB534A">
        <w:rPr>
          <w:rFonts w:ascii="Arial" w:hAnsi="Arial" w:cs="Arial"/>
          <w:sz w:val="20"/>
          <w:szCs w:val="20"/>
          <w:lang w:val="en-US"/>
        </w:rPr>
        <w:t xml:space="preserve">Pooled </w:t>
      </w:r>
      <w:r w:rsidRPr="00307F49">
        <w:rPr>
          <w:rFonts w:ascii="Arial" w:hAnsi="Arial" w:cs="Arial"/>
          <w:sz w:val="20"/>
          <w:szCs w:val="20"/>
          <w:lang w:val="en-US"/>
        </w:rPr>
        <w:t>data indicat</w:t>
      </w:r>
      <w:r w:rsidR="00AB534A">
        <w:rPr>
          <w:rFonts w:ascii="Arial" w:hAnsi="Arial" w:cs="Arial"/>
          <w:sz w:val="20"/>
          <w:szCs w:val="20"/>
          <w:lang w:val="en-US"/>
        </w:rPr>
        <w:t>ed</w:t>
      </w:r>
      <w:r w:rsidRPr="00307F49">
        <w:rPr>
          <w:rFonts w:ascii="Arial" w:hAnsi="Arial" w:cs="Arial"/>
          <w:sz w:val="20"/>
          <w:szCs w:val="20"/>
          <w:lang w:val="en-US"/>
        </w:rPr>
        <w:t xml:space="preserve"> highest pulp weight </w:t>
      </w:r>
      <w:proofErr w:type="gramStart"/>
      <w:r w:rsidRPr="00307F49">
        <w:rPr>
          <w:rFonts w:ascii="Arial" w:hAnsi="Arial" w:cs="Arial"/>
          <w:sz w:val="20"/>
          <w:szCs w:val="20"/>
          <w:lang w:val="en-US"/>
        </w:rPr>
        <w:t xml:space="preserve">in </w:t>
      </w:r>
      <w:r w:rsidRPr="00307F49">
        <w:rPr>
          <w:rFonts w:ascii="Arial" w:hAnsi="Arial" w:cs="Arial"/>
          <w:sz w:val="20"/>
          <w:szCs w:val="20"/>
          <w:vertAlign w:val="subscript"/>
          <w:lang w:val="en-US"/>
        </w:rPr>
        <w:t xml:space="preserve"> </w:t>
      </w:r>
      <w:r w:rsidRPr="00307F49">
        <w:rPr>
          <w:rFonts w:ascii="Arial" w:hAnsi="Arial" w:cs="Arial"/>
          <w:sz w:val="20"/>
          <w:szCs w:val="20"/>
          <w:lang w:val="en-US"/>
        </w:rPr>
        <w:t>H</w:t>
      </w:r>
      <w:proofErr w:type="gramEnd"/>
      <w:r w:rsidRPr="00307F49">
        <w:rPr>
          <w:rFonts w:ascii="Arial" w:hAnsi="Arial" w:cs="Arial"/>
          <w:sz w:val="20"/>
          <w:szCs w:val="20"/>
          <w:vertAlign w:val="subscript"/>
          <w:lang w:val="en-US"/>
        </w:rPr>
        <w:t>3</w:t>
      </w:r>
      <w:r w:rsidRPr="00307F49">
        <w:rPr>
          <w:rFonts w:ascii="Arial" w:hAnsi="Arial" w:cs="Arial"/>
          <w:sz w:val="20"/>
          <w:szCs w:val="20"/>
          <w:lang w:val="en-US"/>
        </w:rPr>
        <w:t xml:space="preserve"> (30 DAA) with 174.38 g followed by 158.89 g in H</w:t>
      </w:r>
      <w:r w:rsidRPr="00307F49">
        <w:rPr>
          <w:rFonts w:ascii="Arial" w:hAnsi="Arial" w:cs="Arial"/>
          <w:sz w:val="20"/>
          <w:szCs w:val="20"/>
          <w:vertAlign w:val="subscript"/>
          <w:lang w:val="en-US"/>
        </w:rPr>
        <w:t>2</w:t>
      </w:r>
      <w:r w:rsidRPr="00307F49">
        <w:rPr>
          <w:rFonts w:ascii="Arial" w:hAnsi="Arial" w:cs="Arial"/>
          <w:sz w:val="20"/>
          <w:szCs w:val="20"/>
          <w:lang w:val="en-US"/>
        </w:rPr>
        <w:t xml:space="preserve"> (30 DAA) and lowest in H</w:t>
      </w:r>
      <w:r w:rsidRPr="00307F49">
        <w:rPr>
          <w:rFonts w:ascii="Arial" w:hAnsi="Arial" w:cs="Arial"/>
          <w:sz w:val="20"/>
          <w:szCs w:val="20"/>
          <w:vertAlign w:val="subscript"/>
          <w:lang w:val="en-US"/>
        </w:rPr>
        <w:t xml:space="preserve">1 </w:t>
      </w:r>
      <w:r w:rsidRPr="00307F49">
        <w:rPr>
          <w:rFonts w:ascii="Arial" w:hAnsi="Arial" w:cs="Arial"/>
          <w:sz w:val="20"/>
          <w:szCs w:val="20"/>
          <w:lang w:val="en-US"/>
        </w:rPr>
        <w:t>(25 DAA) with 103 g, which indicates that pulp weight increased with advancement in maturity stages</w:t>
      </w:r>
      <w:r w:rsidR="00F85AFF">
        <w:rPr>
          <w:rFonts w:ascii="Arial" w:hAnsi="Arial" w:cs="Arial"/>
          <w:sz w:val="20"/>
          <w:szCs w:val="20"/>
          <w:lang w:val="en-US"/>
        </w:rPr>
        <w:t xml:space="preserve"> as illustrated in Figure 3</w:t>
      </w:r>
      <w:r w:rsidRPr="00307F49">
        <w:rPr>
          <w:rFonts w:ascii="Arial" w:hAnsi="Arial" w:cs="Arial"/>
          <w:sz w:val="20"/>
          <w:szCs w:val="20"/>
          <w:lang w:val="en-US"/>
        </w:rPr>
        <w:t xml:space="preserve">. Ortiz and Takahashi (2015) also reported that as dragon fruit matures, pulp mass increased linearly. Additionally, Singh </w:t>
      </w:r>
      <w:r w:rsidRPr="00307F49">
        <w:rPr>
          <w:rFonts w:ascii="Arial" w:hAnsi="Arial" w:cs="Arial"/>
          <w:i/>
          <w:iCs/>
          <w:sz w:val="20"/>
          <w:szCs w:val="20"/>
          <w:lang w:val="en-US"/>
        </w:rPr>
        <w:t>et. al</w:t>
      </w:r>
      <w:r w:rsidRPr="00307F49">
        <w:rPr>
          <w:rFonts w:ascii="Arial" w:hAnsi="Arial" w:cs="Arial"/>
          <w:sz w:val="20"/>
          <w:szCs w:val="20"/>
          <w:lang w:val="en-US"/>
        </w:rPr>
        <w:t>. (2022) corroborated with these findings that dry matter content of dragon fruit pulp increased up to 35 DAA, as a result of rapid cell differentiation, after which there was a decrease, up to 45 DAA of the evaluation.</w:t>
      </w:r>
    </w:p>
    <w:p w14:paraId="4B7021C8" w14:textId="77777777" w:rsidR="00AB534A" w:rsidRPr="00307F49" w:rsidRDefault="00AB534A" w:rsidP="0051450F">
      <w:pPr>
        <w:spacing w:line="276" w:lineRule="auto"/>
        <w:jc w:val="both"/>
        <w:rPr>
          <w:rFonts w:ascii="Arial" w:hAnsi="Arial" w:cs="Arial"/>
          <w:sz w:val="20"/>
          <w:szCs w:val="20"/>
          <w:lang w:val="en-US"/>
        </w:rPr>
      </w:pPr>
    </w:p>
    <w:p w14:paraId="4DF118FE" w14:textId="208A36EB" w:rsidR="005010DC" w:rsidRPr="00307F49" w:rsidRDefault="005010DC" w:rsidP="0051450F">
      <w:pPr>
        <w:spacing w:line="276" w:lineRule="auto"/>
        <w:jc w:val="both"/>
        <w:rPr>
          <w:rFonts w:ascii="Arial" w:hAnsi="Arial" w:cs="Arial"/>
          <w:b/>
          <w:bCs/>
          <w:color w:val="FF0000"/>
          <w:sz w:val="20"/>
          <w:szCs w:val="20"/>
          <w:lang w:val="en-US"/>
        </w:rPr>
      </w:pPr>
      <w:r w:rsidRPr="00307F49">
        <w:rPr>
          <w:rFonts w:ascii="Arial" w:hAnsi="Arial" w:cs="Arial"/>
          <w:b/>
          <w:bCs/>
          <w:sz w:val="20"/>
          <w:szCs w:val="20"/>
          <w:lang w:val="en-US"/>
        </w:rPr>
        <w:t>Peel weight (g)</w:t>
      </w:r>
    </w:p>
    <w:p w14:paraId="35589E98" w14:textId="038A0E19" w:rsidR="005010DC" w:rsidRDefault="00293775" w:rsidP="0051450F">
      <w:pPr>
        <w:spacing w:line="276" w:lineRule="auto"/>
        <w:jc w:val="both"/>
        <w:rPr>
          <w:rFonts w:ascii="Arial" w:hAnsi="Arial" w:cs="Arial"/>
          <w:sz w:val="20"/>
          <w:szCs w:val="20"/>
        </w:rPr>
      </w:pPr>
      <w:r>
        <w:rPr>
          <w:noProof/>
        </w:rPr>
        <w:lastRenderedPageBreak/>
        <w:drawing>
          <wp:anchor distT="0" distB="0" distL="114300" distR="114300" simplePos="0" relativeHeight="251689984" behindDoc="1" locked="0" layoutInCell="1" allowOverlap="1" wp14:anchorId="0FA22FFF" wp14:editId="4E60F475">
            <wp:simplePos x="0" y="0"/>
            <wp:positionH relativeFrom="column">
              <wp:posOffset>2015818</wp:posOffset>
            </wp:positionH>
            <wp:positionV relativeFrom="paragraph">
              <wp:posOffset>1087399</wp:posOffset>
            </wp:positionV>
            <wp:extent cx="1802765" cy="1225550"/>
            <wp:effectExtent l="0" t="0" r="13335" b="6350"/>
            <wp:wrapTight wrapText="bothSides">
              <wp:wrapPolygon edited="0">
                <wp:start x="0" y="0"/>
                <wp:lineTo x="0" y="21488"/>
                <wp:lineTo x="21608" y="21488"/>
                <wp:lineTo x="21608" y="0"/>
                <wp:lineTo x="0" y="0"/>
              </wp:wrapPolygon>
            </wp:wrapTight>
            <wp:docPr id="2075197129" name="Chart 1">
              <a:extLst xmlns:a="http://schemas.openxmlformats.org/drawingml/2006/main">
                <a:ext uri="{FF2B5EF4-FFF2-40B4-BE49-F238E27FC236}">
                  <a16:creationId xmlns:a16="http://schemas.microsoft.com/office/drawing/2014/main" id="{F58695EE-92AD-3990-BA1B-6B07A6825F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5010DC" w:rsidRPr="00307F49">
        <w:rPr>
          <w:rFonts w:ascii="Arial" w:hAnsi="Arial" w:cs="Arial"/>
          <w:sz w:val="20"/>
          <w:szCs w:val="20"/>
          <w:lang w:val="en-US"/>
        </w:rPr>
        <w:tab/>
      </w:r>
      <w:r w:rsidR="005010DC" w:rsidRPr="00307F49">
        <w:rPr>
          <w:rFonts w:ascii="Arial" w:hAnsi="Arial" w:cs="Arial"/>
          <w:sz w:val="20"/>
          <w:szCs w:val="20"/>
        </w:rPr>
        <w:t>Maximum peel weight was recorded in fruits harvested at H</w:t>
      </w:r>
      <w:r w:rsidR="005010DC" w:rsidRPr="00307F49">
        <w:rPr>
          <w:rFonts w:ascii="Arial" w:hAnsi="Arial" w:cs="Arial"/>
          <w:sz w:val="20"/>
          <w:szCs w:val="20"/>
          <w:vertAlign w:val="subscript"/>
        </w:rPr>
        <w:t>1</w:t>
      </w:r>
      <w:r w:rsidR="005010DC" w:rsidRPr="00307F49">
        <w:rPr>
          <w:rFonts w:ascii="Arial" w:hAnsi="Arial" w:cs="Arial"/>
          <w:sz w:val="20"/>
          <w:szCs w:val="20"/>
        </w:rPr>
        <w:t xml:space="preserve"> (25 DAA) with 80.49 g followed by H</w:t>
      </w:r>
      <w:r w:rsidR="005010DC" w:rsidRPr="00307F49">
        <w:rPr>
          <w:rFonts w:ascii="Arial" w:hAnsi="Arial" w:cs="Arial"/>
          <w:sz w:val="20"/>
          <w:szCs w:val="20"/>
          <w:vertAlign w:val="subscript"/>
        </w:rPr>
        <w:t>2</w:t>
      </w:r>
      <w:r w:rsidR="005010DC" w:rsidRPr="00307F49">
        <w:rPr>
          <w:rFonts w:ascii="Arial" w:hAnsi="Arial" w:cs="Arial"/>
          <w:sz w:val="20"/>
          <w:szCs w:val="20"/>
        </w:rPr>
        <w:t xml:space="preserve"> (30 DAA) at harvest with 66.05 g. The lowest value was recorded in H</w:t>
      </w:r>
      <w:r w:rsidR="005010DC" w:rsidRPr="00307F49">
        <w:rPr>
          <w:rFonts w:ascii="Arial" w:hAnsi="Arial" w:cs="Arial"/>
          <w:sz w:val="20"/>
          <w:szCs w:val="20"/>
          <w:vertAlign w:val="subscript"/>
        </w:rPr>
        <w:t>3</w:t>
      </w:r>
      <w:r w:rsidR="005010DC" w:rsidRPr="00307F49">
        <w:rPr>
          <w:rFonts w:ascii="Arial" w:hAnsi="Arial" w:cs="Arial"/>
          <w:sz w:val="20"/>
          <w:szCs w:val="20"/>
        </w:rPr>
        <w:t xml:space="preserve"> (35 DAA) with 55.70 g. This finding is in conformity with Franco </w:t>
      </w:r>
      <w:r w:rsidR="005010DC" w:rsidRPr="00307F49">
        <w:rPr>
          <w:rFonts w:ascii="Arial" w:hAnsi="Arial" w:cs="Arial"/>
          <w:i/>
          <w:sz w:val="20"/>
          <w:szCs w:val="20"/>
        </w:rPr>
        <w:t>et. al.</w:t>
      </w:r>
      <w:r w:rsidR="005010DC" w:rsidRPr="00307F49">
        <w:rPr>
          <w:rFonts w:ascii="Arial" w:hAnsi="Arial" w:cs="Arial"/>
          <w:sz w:val="20"/>
          <w:szCs w:val="20"/>
        </w:rPr>
        <w:t xml:space="preserve"> (2022), Singh </w:t>
      </w:r>
      <w:r w:rsidR="005010DC" w:rsidRPr="00307F49">
        <w:rPr>
          <w:rFonts w:ascii="Arial" w:hAnsi="Arial" w:cs="Arial"/>
          <w:i/>
          <w:iCs/>
          <w:sz w:val="20"/>
          <w:szCs w:val="20"/>
        </w:rPr>
        <w:t xml:space="preserve">et. al. </w:t>
      </w:r>
      <w:r w:rsidR="005010DC" w:rsidRPr="00307F49">
        <w:rPr>
          <w:rFonts w:ascii="Arial" w:hAnsi="Arial" w:cs="Arial"/>
          <w:sz w:val="20"/>
          <w:szCs w:val="20"/>
        </w:rPr>
        <w:t xml:space="preserve">(2022) and </w:t>
      </w:r>
      <w:proofErr w:type="spellStart"/>
      <w:r w:rsidR="005010DC" w:rsidRPr="00307F49">
        <w:rPr>
          <w:rFonts w:ascii="Arial" w:hAnsi="Arial" w:cs="Arial"/>
          <w:sz w:val="20"/>
          <w:szCs w:val="20"/>
        </w:rPr>
        <w:t>P</w:t>
      </w:r>
      <w:r w:rsidR="00DC78EA">
        <w:rPr>
          <w:rFonts w:ascii="Arial" w:hAnsi="Arial" w:cs="Arial"/>
          <w:sz w:val="20"/>
          <w:szCs w:val="20"/>
        </w:rPr>
        <w:t>a</w:t>
      </w:r>
      <w:r w:rsidR="005010DC" w:rsidRPr="00307F49">
        <w:rPr>
          <w:rFonts w:ascii="Arial" w:hAnsi="Arial" w:cs="Arial"/>
          <w:sz w:val="20"/>
          <w:szCs w:val="20"/>
        </w:rPr>
        <w:t>liyath</w:t>
      </w:r>
      <w:proofErr w:type="spellEnd"/>
      <w:r w:rsidR="005010DC" w:rsidRPr="00307F49">
        <w:rPr>
          <w:rFonts w:ascii="Arial" w:hAnsi="Arial" w:cs="Arial"/>
          <w:sz w:val="20"/>
          <w:szCs w:val="20"/>
        </w:rPr>
        <w:t xml:space="preserve"> and </w:t>
      </w:r>
      <w:proofErr w:type="spellStart"/>
      <w:r w:rsidR="005010DC" w:rsidRPr="00307F49">
        <w:rPr>
          <w:rFonts w:ascii="Arial" w:hAnsi="Arial" w:cs="Arial"/>
          <w:sz w:val="20"/>
          <w:szCs w:val="20"/>
        </w:rPr>
        <w:t>Murr</w:t>
      </w:r>
      <w:proofErr w:type="spellEnd"/>
      <w:r w:rsidR="005010DC" w:rsidRPr="00307F49">
        <w:rPr>
          <w:rFonts w:ascii="Arial" w:hAnsi="Arial" w:cs="Arial"/>
          <w:sz w:val="20"/>
          <w:szCs w:val="20"/>
        </w:rPr>
        <w:t xml:space="preserve"> (2008) who reported peel content and thickness decreased with fruit maturity and development which the latter explains degradation and decomposition of cell wall components, mainly cellulose, hemicellulose and pectin are responsible for the decreased size and weight of fruit skin. </w:t>
      </w:r>
    </w:p>
    <w:p w14:paraId="42DA8845" w14:textId="7CFA0DC9" w:rsidR="00901552" w:rsidRDefault="00293775" w:rsidP="0051450F">
      <w:pPr>
        <w:spacing w:line="276" w:lineRule="auto"/>
        <w:jc w:val="both"/>
        <w:rPr>
          <w:rFonts w:ascii="Arial" w:hAnsi="Arial" w:cs="Arial"/>
          <w:sz w:val="20"/>
          <w:szCs w:val="20"/>
        </w:rPr>
      </w:pPr>
      <w:r>
        <w:rPr>
          <w:noProof/>
        </w:rPr>
        <w:drawing>
          <wp:anchor distT="0" distB="0" distL="114300" distR="114300" simplePos="0" relativeHeight="251688960" behindDoc="1" locked="0" layoutInCell="1" allowOverlap="1" wp14:anchorId="6E3821FC" wp14:editId="16C39D0E">
            <wp:simplePos x="0" y="0"/>
            <wp:positionH relativeFrom="column">
              <wp:posOffset>3923715</wp:posOffset>
            </wp:positionH>
            <wp:positionV relativeFrom="paragraph">
              <wp:posOffset>80645</wp:posOffset>
            </wp:positionV>
            <wp:extent cx="1795780" cy="1225550"/>
            <wp:effectExtent l="0" t="0" r="7620" b="6350"/>
            <wp:wrapTight wrapText="bothSides">
              <wp:wrapPolygon edited="0">
                <wp:start x="0" y="0"/>
                <wp:lineTo x="0" y="21488"/>
                <wp:lineTo x="21539" y="21488"/>
                <wp:lineTo x="21539" y="0"/>
                <wp:lineTo x="0" y="0"/>
              </wp:wrapPolygon>
            </wp:wrapTight>
            <wp:docPr id="1360480735" name="Chart 1">
              <a:extLst xmlns:a="http://schemas.openxmlformats.org/drawingml/2006/main">
                <a:ext uri="{FF2B5EF4-FFF2-40B4-BE49-F238E27FC236}">
                  <a16:creationId xmlns:a16="http://schemas.microsoft.com/office/drawing/2014/main" id="{7222F04D-5A2A-7376-E182-FE79736AF8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1" locked="0" layoutInCell="1" allowOverlap="1" wp14:anchorId="7A9BDE23" wp14:editId="2980B109">
            <wp:simplePos x="0" y="0"/>
            <wp:positionH relativeFrom="column">
              <wp:posOffset>9525</wp:posOffset>
            </wp:positionH>
            <wp:positionV relativeFrom="paragraph">
              <wp:posOffset>80645</wp:posOffset>
            </wp:positionV>
            <wp:extent cx="1888490" cy="1215390"/>
            <wp:effectExtent l="0" t="0" r="16510" b="16510"/>
            <wp:wrapTight wrapText="bothSides">
              <wp:wrapPolygon edited="0">
                <wp:start x="0" y="0"/>
                <wp:lineTo x="0" y="21668"/>
                <wp:lineTo x="21644" y="21668"/>
                <wp:lineTo x="21644" y="0"/>
                <wp:lineTo x="0" y="0"/>
              </wp:wrapPolygon>
            </wp:wrapTight>
            <wp:docPr id="2119567345" name="Chart 1">
              <a:extLst xmlns:a="http://schemas.openxmlformats.org/drawingml/2006/main">
                <a:ext uri="{FF2B5EF4-FFF2-40B4-BE49-F238E27FC236}">
                  <a16:creationId xmlns:a16="http://schemas.microsoft.com/office/drawing/2014/main" id="{9111A1E7-EBAC-025F-4CD0-C8BD663B05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F3284C">
        <w:rPr>
          <w:noProof/>
          <w:lang w:val="en-US"/>
        </w:rPr>
        <mc:AlternateContent>
          <mc:Choice Requires="wps">
            <w:drawing>
              <wp:anchor distT="0" distB="0" distL="114300" distR="114300" simplePos="0" relativeHeight="251673600" behindDoc="1" locked="0" layoutInCell="1" allowOverlap="1" wp14:anchorId="370812ED" wp14:editId="240D19A9">
                <wp:simplePos x="0" y="0"/>
                <wp:positionH relativeFrom="column">
                  <wp:posOffset>815975</wp:posOffset>
                </wp:positionH>
                <wp:positionV relativeFrom="paragraph">
                  <wp:posOffset>1406525</wp:posOffset>
                </wp:positionV>
                <wp:extent cx="3910330" cy="635"/>
                <wp:effectExtent l="0" t="0" r="1270" b="12065"/>
                <wp:wrapTight wrapText="bothSides">
                  <wp:wrapPolygon edited="0">
                    <wp:start x="0" y="0"/>
                    <wp:lineTo x="0" y="0"/>
                    <wp:lineTo x="21537" y="0"/>
                    <wp:lineTo x="21537" y="0"/>
                    <wp:lineTo x="0" y="0"/>
                  </wp:wrapPolygon>
                </wp:wrapTight>
                <wp:docPr id="762618606" name="Text Box 1"/>
                <wp:cNvGraphicFramePr/>
                <a:graphic xmlns:a="http://schemas.openxmlformats.org/drawingml/2006/main">
                  <a:graphicData uri="http://schemas.microsoft.com/office/word/2010/wordprocessingShape">
                    <wps:wsp>
                      <wps:cNvSpPr txBox="1"/>
                      <wps:spPr>
                        <a:xfrm>
                          <a:off x="0" y="0"/>
                          <a:ext cx="3910330" cy="635"/>
                        </a:xfrm>
                        <a:prstGeom prst="rect">
                          <a:avLst/>
                        </a:prstGeom>
                        <a:solidFill>
                          <a:prstClr val="white"/>
                        </a:solidFill>
                        <a:ln>
                          <a:noFill/>
                        </a:ln>
                      </wps:spPr>
                      <wps:txbx>
                        <w:txbxContent>
                          <w:p w14:paraId="2940467F" w14:textId="207B7674" w:rsidR="00044524" w:rsidRPr="00044524" w:rsidRDefault="00044524" w:rsidP="00044524">
                            <w:pPr>
                              <w:pStyle w:val="Caption"/>
                              <w:rPr>
                                <w:i w:val="0"/>
                                <w:iCs w:val="0"/>
                                <w:noProof/>
                                <w:sz w:val="15"/>
                                <w:szCs w:val="15"/>
                              </w:rPr>
                            </w:pPr>
                            <w:r w:rsidRPr="00044524">
                              <w:rPr>
                                <w:b/>
                                <w:bCs/>
                                <w:i w:val="0"/>
                                <w:iCs w:val="0"/>
                                <w:sz w:val="15"/>
                                <w:szCs w:val="15"/>
                              </w:rPr>
                              <w:t>Figure 3</w:t>
                            </w:r>
                            <w:r w:rsidRPr="00044524">
                              <w:rPr>
                                <w:i w:val="0"/>
                                <w:iCs w:val="0"/>
                                <w:sz w:val="15"/>
                                <w:szCs w:val="15"/>
                              </w:rPr>
                              <w:t>: Changes in fruit weight, peel weight and pulp weight during maturation of dragon fruit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70812ED" id="_x0000_s1028" type="#_x0000_t202" style="position:absolute;left:0;text-align:left;margin-left:64.25pt;margin-top:110.75pt;width:307.9pt;height:.0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" stroked="f">
                <v:textbox style="mso-fit-shape-to-text:t" inset="0,0,0,0">
                  <w:txbxContent>
                    <w:p w14:paraId="2940467F" w14:textId="207B7674" w:rsidR="00044524" w:rsidRPr="00044524" w:rsidRDefault="00044524" w:rsidP="00044524">
                      <w:pPr>
                        <w:pStyle w:val="Caption"/>
                        <w:rPr>
                          <w:i w:val="0"/>
                          <w:iCs w:val="0"/>
                          <w:noProof/>
                          <w:sz w:val="15"/>
                          <w:szCs w:val="15"/>
                        </w:rPr>
                      </w:pPr>
                      <w:r w:rsidRPr="00044524">
                        <w:rPr>
                          <w:b/>
                          <w:bCs/>
                          <w:i w:val="0"/>
                          <w:iCs w:val="0"/>
                          <w:sz w:val="15"/>
                          <w:szCs w:val="15"/>
                        </w:rPr>
                        <w:t>Figure 3</w:t>
                      </w:r>
                      <w:r w:rsidRPr="00044524">
                        <w:rPr>
                          <w:i w:val="0"/>
                          <w:iCs w:val="0"/>
                          <w:sz w:val="15"/>
                          <w:szCs w:val="15"/>
                        </w:rPr>
                        <w:t>: Changes in fruit weight, peel weight and pulp weight during maturation of dragon fruit</w:t>
                      </w:r>
                    </w:p>
                  </w:txbxContent>
                </v:textbox>
                <w10:wrap type="tight"/>
              </v:shape>
            </w:pict>
          </mc:Fallback>
        </mc:AlternateContent>
      </w:r>
    </w:p>
    <w:p w14:paraId="4DFB06BF" w14:textId="02463FC4" w:rsidR="00044524" w:rsidRDefault="00044524" w:rsidP="0051450F">
      <w:pPr>
        <w:spacing w:line="276" w:lineRule="auto"/>
        <w:jc w:val="both"/>
        <w:rPr>
          <w:rFonts w:ascii="Arial" w:hAnsi="Arial" w:cs="Arial"/>
          <w:b/>
          <w:bCs/>
          <w:sz w:val="20"/>
          <w:szCs w:val="20"/>
          <w:lang w:val="en-US"/>
        </w:rPr>
      </w:pPr>
    </w:p>
    <w:p w14:paraId="3F1AB875" w14:textId="56077CC9" w:rsidR="00F3284C" w:rsidRDefault="00F3284C" w:rsidP="0051450F">
      <w:pPr>
        <w:spacing w:line="276" w:lineRule="auto"/>
        <w:jc w:val="both"/>
        <w:rPr>
          <w:rFonts w:ascii="Arial" w:hAnsi="Arial" w:cs="Arial"/>
          <w:b/>
          <w:bCs/>
          <w:sz w:val="20"/>
          <w:szCs w:val="20"/>
          <w:lang w:val="en-US"/>
        </w:rPr>
      </w:pPr>
    </w:p>
    <w:p w14:paraId="7E7354A2" w14:textId="56C94C89" w:rsidR="005010DC" w:rsidRPr="00307F49" w:rsidRDefault="005010DC" w:rsidP="0051450F">
      <w:pPr>
        <w:spacing w:line="276" w:lineRule="auto"/>
        <w:jc w:val="both"/>
        <w:rPr>
          <w:rFonts w:ascii="Arial" w:hAnsi="Arial" w:cs="Arial"/>
          <w:sz w:val="20"/>
          <w:szCs w:val="20"/>
        </w:rPr>
      </w:pPr>
      <w:r w:rsidRPr="00307F49">
        <w:rPr>
          <w:rFonts w:ascii="Arial" w:hAnsi="Arial" w:cs="Arial"/>
          <w:b/>
          <w:bCs/>
          <w:sz w:val="20"/>
          <w:szCs w:val="20"/>
          <w:lang w:val="en-US"/>
        </w:rPr>
        <w:t>Total Soluble Solids (ºB)</w:t>
      </w:r>
    </w:p>
    <w:p w14:paraId="57CF7CBC" w14:textId="67D547C8" w:rsidR="005010DC" w:rsidRDefault="005010DC" w:rsidP="0051450F">
      <w:pPr>
        <w:spacing w:line="276" w:lineRule="auto"/>
        <w:jc w:val="both"/>
        <w:rPr>
          <w:rFonts w:ascii="Arial" w:hAnsi="Arial" w:cs="Arial"/>
          <w:sz w:val="20"/>
          <w:szCs w:val="20"/>
          <w:lang w:val="en-US"/>
        </w:rPr>
      </w:pPr>
      <w:r w:rsidRPr="00307F49">
        <w:rPr>
          <w:rFonts w:ascii="Arial" w:hAnsi="Arial" w:cs="Arial"/>
          <w:sz w:val="20"/>
          <w:szCs w:val="20"/>
          <w:lang w:val="en-US"/>
        </w:rPr>
        <w:tab/>
        <w:t xml:space="preserve">The experimental results pertaining to TSS content is presented in Figure </w:t>
      </w:r>
      <w:r w:rsidR="00F85AFF">
        <w:rPr>
          <w:rFonts w:ascii="Arial" w:hAnsi="Arial" w:cs="Arial"/>
          <w:sz w:val="20"/>
          <w:szCs w:val="20"/>
          <w:lang w:val="en-US"/>
        </w:rPr>
        <w:t>4</w:t>
      </w:r>
      <w:r w:rsidRPr="00307F49">
        <w:rPr>
          <w:rFonts w:ascii="Arial" w:hAnsi="Arial" w:cs="Arial"/>
          <w:sz w:val="20"/>
          <w:szCs w:val="20"/>
          <w:lang w:val="en-US"/>
        </w:rPr>
        <w:t xml:space="preserve"> which outline that highest TSS content was recorded in H</w:t>
      </w:r>
      <w:r w:rsidRPr="00307F49">
        <w:rPr>
          <w:rFonts w:ascii="Arial" w:hAnsi="Arial" w:cs="Arial"/>
          <w:sz w:val="20"/>
          <w:szCs w:val="20"/>
          <w:vertAlign w:val="subscript"/>
          <w:lang w:val="en-US"/>
        </w:rPr>
        <w:t>3</w:t>
      </w:r>
      <w:r w:rsidRPr="00307F49">
        <w:rPr>
          <w:rFonts w:ascii="Arial" w:hAnsi="Arial" w:cs="Arial"/>
          <w:sz w:val="20"/>
          <w:szCs w:val="20"/>
          <w:lang w:val="en-US"/>
        </w:rPr>
        <w:t xml:space="preserve"> (35 DAA) with 13.48 ºB and minimum in the initial stage of harvest H</w:t>
      </w:r>
      <w:r w:rsidRPr="00307F49">
        <w:rPr>
          <w:rFonts w:ascii="Arial" w:hAnsi="Arial" w:cs="Arial"/>
          <w:sz w:val="20"/>
          <w:szCs w:val="20"/>
          <w:vertAlign w:val="subscript"/>
          <w:lang w:val="en-US"/>
        </w:rPr>
        <w:t>1</w:t>
      </w:r>
      <w:r w:rsidRPr="00307F49">
        <w:rPr>
          <w:rFonts w:ascii="Arial" w:hAnsi="Arial" w:cs="Arial"/>
          <w:sz w:val="20"/>
          <w:szCs w:val="20"/>
          <w:lang w:val="en-US"/>
        </w:rPr>
        <w:t xml:space="preserve"> (25 DAA) with 8.44 ºB. Singh </w:t>
      </w:r>
      <w:r w:rsidRPr="00307F49">
        <w:rPr>
          <w:rFonts w:ascii="Arial" w:hAnsi="Arial" w:cs="Arial"/>
          <w:i/>
          <w:iCs/>
          <w:sz w:val="20"/>
          <w:szCs w:val="20"/>
          <w:lang w:val="en-US"/>
        </w:rPr>
        <w:t xml:space="preserve">et. al. </w:t>
      </w:r>
      <w:r w:rsidRPr="00307F49">
        <w:rPr>
          <w:rFonts w:ascii="Arial" w:hAnsi="Arial" w:cs="Arial"/>
          <w:sz w:val="20"/>
          <w:szCs w:val="20"/>
          <w:lang w:val="en-US"/>
        </w:rPr>
        <w:t>(2022) elucidated that TSS increased steadily with progression of maturity until 40 DAA</w:t>
      </w:r>
      <w:r w:rsidR="00AB534A">
        <w:rPr>
          <w:rFonts w:ascii="Arial" w:hAnsi="Arial" w:cs="Arial"/>
          <w:sz w:val="20"/>
          <w:szCs w:val="20"/>
          <w:lang w:val="en-US"/>
        </w:rPr>
        <w:t xml:space="preserve"> in dragon fruit. </w:t>
      </w:r>
    </w:p>
    <w:p w14:paraId="12323D8B" w14:textId="257AB64E" w:rsidR="00AB534A" w:rsidRPr="00307F49" w:rsidRDefault="00AB534A" w:rsidP="0051450F">
      <w:pPr>
        <w:spacing w:line="276" w:lineRule="auto"/>
        <w:jc w:val="both"/>
        <w:rPr>
          <w:rFonts w:ascii="Arial" w:hAnsi="Arial" w:cs="Arial"/>
          <w:sz w:val="20"/>
          <w:szCs w:val="20"/>
          <w:lang w:val="en-US"/>
        </w:rPr>
      </w:pPr>
    </w:p>
    <w:p w14:paraId="6D2ABB3E" w14:textId="54375FC5" w:rsidR="005010DC" w:rsidRPr="00307F49" w:rsidRDefault="005010DC" w:rsidP="0051450F">
      <w:pPr>
        <w:spacing w:line="276" w:lineRule="auto"/>
        <w:jc w:val="both"/>
        <w:rPr>
          <w:rFonts w:ascii="Arial" w:hAnsi="Arial" w:cs="Arial"/>
          <w:b/>
          <w:bCs/>
          <w:color w:val="FF0000"/>
          <w:sz w:val="20"/>
          <w:szCs w:val="20"/>
          <w:lang w:val="en-US"/>
        </w:rPr>
      </w:pPr>
      <w:r w:rsidRPr="00307F49">
        <w:rPr>
          <w:rFonts w:ascii="Arial" w:hAnsi="Arial" w:cs="Arial"/>
          <w:b/>
          <w:bCs/>
          <w:sz w:val="20"/>
          <w:szCs w:val="20"/>
          <w:lang w:val="en-US"/>
        </w:rPr>
        <w:t>Titratable acidity (%)</w:t>
      </w:r>
    </w:p>
    <w:p w14:paraId="440E8F99" w14:textId="3E38FC3A" w:rsidR="005010DC" w:rsidRDefault="005010DC" w:rsidP="0051450F">
      <w:pPr>
        <w:spacing w:line="276" w:lineRule="auto"/>
        <w:jc w:val="both"/>
        <w:rPr>
          <w:rFonts w:ascii="Arial" w:hAnsi="Arial" w:cs="Arial"/>
          <w:sz w:val="20"/>
          <w:szCs w:val="20"/>
          <w:lang w:val="en-US"/>
        </w:rPr>
      </w:pPr>
      <w:r w:rsidRPr="00307F49">
        <w:rPr>
          <w:rFonts w:ascii="Arial" w:hAnsi="Arial" w:cs="Arial"/>
          <w:b/>
          <w:bCs/>
          <w:sz w:val="20"/>
          <w:szCs w:val="20"/>
          <w:lang w:val="en-US"/>
        </w:rPr>
        <w:tab/>
      </w:r>
      <w:r w:rsidRPr="00307F49">
        <w:rPr>
          <w:rFonts w:ascii="Arial" w:hAnsi="Arial" w:cs="Arial"/>
          <w:sz w:val="20"/>
          <w:szCs w:val="20"/>
          <w:lang w:val="en-US"/>
        </w:rPr>
        <w:t xml:space="preserve">A perusal of data presented in Figure </w:t>
      </w:r>
      <w:r w:rsidR="00F85AFF">
        <w:rPr>
          <w:rFonts w:ascii="Arial" w:hAnsi="Arial" w:cs="Arial"/>
          <w:sz w:val="20"/>
          <w:szCs w:val="20"/>
          <w:lang w:val="en-US"/>
        </w:rPr>
        <w:t>5</w:t>
      </w:r>
      <w:r w:rsidR="00AB534A">
        <w:rPr>
          <w:rFonts w:ascii="Arial" w:hAnsi="Arial" w:cs="Arial"/>
          <w:sz w:val="20"/>
          <w:szCs w:val="20"/>
          <w:lang w:val="en-US"/>
        </w:rPr>
        <w:t xml:space="preserve"> depicts </w:t>
      </w:r>
      <w:r w:rsidRPr="00307F49">
        <w:rPr>
          <w:rFonts w:ascii="Arial" w:hAnsi="Arial" w:cs="Arial"/>
          <w:sz w:val="20"/>
          <w:szCs w:val="20"/>
          <w:lang w:val="en-US"/>
        </w:rPr>
        <w:t>maximum acidity (0.47) in H</w:t>
      </w:r>
      <w:r w:rsidRPr="00307F49">
        <w:rPr>
          <w:rFonts w:ascii="Arial" w:hAnsi="Arial" w:cs="Arial"/>
          <w:sz w:val="20"/>
          <w:szCs w:val="20"/>
          <w:vertAlign w:val="subscript"/>
          <w:lang w:val="en-US"/>
        </w:rPr>
        <w:t>1</w:t>
      </w:r>
      <w:r w:rsidRPr="00307F49">
        <w:rPr>
          <w:rFonts w:ascii="Arial" w:hAnsi="Arial" w:cs="Arial"/>
          <w:sz w:val="20"/>
          <w:szCs w:val="20"/>
          <w:lang w:val="en-US"/>
        </w:rPr>
        <w:t xml:space="preserve"> (25 DAA) which followed a decreasing trend with maturity, and at 35 DAA (H</w:t>
      </w:r>
      <w:r w:rsidRPr="00307F49">
        <w:rPr>
          <w:rFonts w:ascii="Arial" w:hAnsi="Arial" w:cs="Arial"/>
          <w:sz w:val="20"/>
          <w:szCs w:val="20"/>
          <w:vertAlign w:val="subscript"/>
          <w:lang w:val="en-US"/>
        </w:rPr>
        <w:t>3</w:t>
      </w:r>
      <w:r w:rsidRPr="00307F49">
        <w:rPr>
          <w:rFonts w:ascii="Arial" w:hAnsi="Arial" w:cs="Arial"/>
          <w:sz w:val="20"/>
          <w:szCs w:val="20"/>
          <w:lang w:val="en-US"/>
        </w:rPr>
        <w:t xml:space="preserve">) minimum acidity content was recorded with 0.24%. There was continuous and progressive decrease in acidity as maturity stage and fruit development progressed in dragon fruit which was also reported by Singh </w:t>
      </w:r>
      <w:r w:rsidRPr="00307F49">
        <w:rPr>
          <w:rFonts w:ascii="Arial" w:hAnsi="Arial" w:cs="Arial"/>
          <w:i/>
          <w:iCs/>
          <w:sz w:val="20"/>
          <w:szCs w:val="20"/>
          <w:lang w:val="en-US"/>
        </w:rPr>
        <w:t xml:space="preserve">et. al. </w:t>
      </w:r>
      <w:r w:rsidRPr="00307F49">
        <w:rPr>
          <w:rFonts w:ascii="Arial" w:hAnsi="Arial" w:cs="Arial"/>
          <w:sz w:val="20"/>
          <w:szCs w:val="20"/>
          <w:lang w:val="en-US"/>
        </w:rPr>
        <w:t xml:space="preserve">(2022) and Magalhaes </w:t>
      </w:r>
      <w:r w:rsidRPr="00307F49">
        <w:rPr>
          <w:rFonts w:ascii="Arial" w:hAnsi="Arial" w:cs="Arial"/>
          <w:i/>
          <w:iCs/>
          <w:sz w:val="20"/>
          <w:szCs w:val="20"/>
          <w:lang w:val="en-US"/>
        </w:rPr>
        <w:t xml:space="preserve">et. al. </w:t>
      </w:r>
      <w:r w:rsidRPr="00307F49">
        <w:rPr>
          <w:rFonts w:ascii="Arial" w:hAnsi="Arial" w:cs="Arial"/>
          <w:sz w:val="20"/>
          <w:szCs w:val="20"/>
          <w:lang w:val="en-US"/>
        </w:rPr>
        <w:t xml:space="preserve">(2019). This reduction may be due to the usage of organic acids as substrate in physiochemical processes such as respiration or their conversion into sugars (Chitarra and Chitarra, 2005). </w:t>
      </w:r>
    </w:p>
    <w:p w14:paraId="1F2F0B1F" w14:textId="77777777" w:rsidR="00AB534A" w:rsidRPr="00307F49" w:rsidRDefault="00AB534A" w:rsidP="0051450F">
      <w:pPr>
        <w:spacing w:line="276" w:lineRule="auto"/>
        <w:jc w:val="both"/>
        <w:rPr>
          <w:rFonts w:ascii="Arial" w:hAnsi="Arial" w:cs="Arial"/>
          <w:sz w:val="20"/>
          <w:szCs w:val="20"/>
          <w:lang w:val="en-US"/>
        </w:rPr>
      </w:pPr>
    </w:p>
    <w:p w14:paraId="55E51ACD" w14:textId="0210D591" w:rsidR="005010DC" w:rsidRPr="00307F49" w:rsidRDefault="005010DC" w:rsidP="0051450F">
      <w:pPr>
        <w:spacing w:line="276" w:lineRule="auto"/>
        <w:jc w:val="both"/>
        <w:rPr>
          <w:rFonts w:ascii="Arial" w:hAnsi="Arial" w:cs="Arial"/>
          <w:sz w:val="20"/>
          <w:szCs w:val="20"/>
          <w:lang w:val="en-US"/>
        </w:rPr>
      </w:pPr>
      <w:r w:rsidRPr="00307F49">
        <w:rPr>
          <w:rFonts w:ascii="Arial" w:hAnsi="Arial" w:cs="Arial"/>
          <w:b/>
          <w:bCs/>
          <w:sz w:val="20"/>
          <w:szCs w:val="20"/>
          <w:lang w:val="en-US"/>
        </w:rPr>
        <w:t>TSS-Acid ratio</w:t>
      </w:r>
    </w:p>
    <w:p w14:paraId="68AD8723" w14:textId="2B31047B" w:rsidR="009918BF" w:rsidRDefault="00293775" w:rsidP="009918BF">
      <w:pPr>
        <w:spacing w:line="276" w:lineRule="auto"/>
        <w:ind w:firstLine="720"/>
        <w:jc w:val="both"/>
        <w:rPr>
          <w:rFonts w:ascii="Arial" w:hAnsi="Arial" w:cs="Arial"/>
          <w:sz w:val="20"/>
          <w:szCs w:val="20"/>
          <w:lang w:val="en-US"/>
        </w:rPr>
      </w:pPr>
      <w:r>
        <w:rPr>
          <w:noProof/>
        </w:rPr>
        <w:drawing>
          <wp:anchor distT="0" distB="0" distL="114300" distR="114300" simplePos="0" relativeHeight="251693056" behindDoc="1" locked="0" layoutInCell="1" allowOverlap="1" wp14:anchorId="189E23A6" wp14:editId="02B17A66">
            <wp:simplePos x="0" y="0"/>
            <wp:positionH relativeFrom="column">
              <wp:posOffset>3898265</wp:posOffset>
            </wp:positionH>
            <wp:positionV relativeFrom="paragraph">
              <wp:posOffset>1191260</wp:posOffset>
            </wp:positionV>
            <wp:extent cx="1822450" cy="1214755"/>
            <wp:effectExtent l="0" t="0" r="6350" b="17145"/>
            <wp:wrapTight wrapText="bothSides">
              <wp:wrapPolygon edited="0">
                <wp:start x="0" y="0"/>
                <wp:lineTo x="0" y="21679"/>
                <wp:lineTo x="21525" y="21679"/>
                <wp:lineTo x="21525" y="0"/>
                <wp:lineTo x="0" y="0"/>
              </wp:wrapPolygon>
            </wp:wrapTight>
            <wp:docPr id="515685734" name="Chart 1">
              <a:extLst xmlns:a="http://schemas.openxmlformats.org/drawingml/2006/main">
                <a:ext uri="{FF2B5EF4-FFF2-40B4-BE49-F238E27FC236}">
                  <a16:creationId xmlns:a16="http://schemas.microsoft.com/office/drawing/2014/main" id="{183216C9-C0B2-2B21-A4DD-07392D512D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9918BF">
        <w:rPr>
          <w:noProof/>
        </w:rPr>
        <w:drawing>
          <wp:anchor distT="0" distB="0" distL="114300" distR="114300" simplePos="0" relativeHeight="251692032" behindDoc="1" locked="0" layoutInCell="1" allowOverlap="1" wp14:anchorId="0B507D19" wp14:editId="48A49A2E">
            <wp:simplePos x="0" y="0"/>
            <wp:positionH relativeFrom="column">
              <wp:posOffset>1895329</wp:posOffset>
            </wp:positionH>
            <wp:positionV relativeFrom="paragraph">
              <wp:posOffset>1223010</wp:posOffset>
            </wp:positionV>
            <wp:extent cx="1858645" cy="1195070"/>
            <wp:effectExtent l="0" t="0" r="8255" b="11430"/>
            <wp:wrapTight wrapText="bothSides">
              <wp:wrapPolygon edited="0">
                <wp:start x="0" y="0"/>
                <wp:lineTo x="0" y="21577"/>
                <wp:lineTo x="21548" y="21577"/>
                <wp:lineTo x="21548" y="0"/>
                <wp:lineTo x="0" y="0"/>
              </wp:wrapPolygon>
            </wp:wrapTight>
            <wp:docPr id="99794003" name="Chart 1">
              <a:extLst xmlns:a="http://schemas.openxmlformats.org/drawingml/2006/main">
                <a:ext uri="{FF2B5EF4-FFF2-40B4-BE49-F238E27FC236}">
                  <a16:creationId xmlns:a16="http://schemas.microsoft.com/office/drawing/2014/main" id="{140A0356-DD3C-6D16-1DA8-8BC75F5B97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9918BF">
        <w:rPr>
          <w:noProof/>
          <w:lang w:val="en-US"/>
        </w:rPr>
        <mc:AlternateContent>
          <mc:Choice Requires="wps">
            <w:drawing>
              <wp:anchor distT="0" distB="0" distL="114300" distR="114300" simplePos="0" relativeHeight="251675648" behindDoc="1" locked="0" layoutInCell="1" allowOverlap="1" wp14:anchorId="369CC29B" wp14:editId="6639C472">
                <wp:simplePos x="0" y="0"/>
                <wp:positionH relativeFrom="column">
                  <wp:posOffset>0</wp:posOffset>
                </wp:positionH>
                <wp:positionV relativeFrom="paragraph">
                  <wp:posOffset>2484719</wp:posOffset>
                </wp:positionV>
                <wp:extent cx="1828165" cy="635"/>
                <wp:effectExtent l="0" t="0" r="635" b="0"/>
                <wp:wrapTight wrapText="bothSides">
                  <wp:wrapPolygon edited="0">
                    <wp:start x="0" y="0"/>
                    <wp:lineTo x="0" y="20608"/>
                    <wp:lineTo x="21457" y="20608"/>
                    <wp:lineTo x="21457" y="0"/>
                    <wp:lineTo x="0" y="0"/>
                  </wp:wrapPolygon>
                </wp:wrapTight>
                <wp:docPr id="730035152" name="Text Box 1"/>
                <wp:cNvGraphicFramePr/>
                <a:graphic xmlns:a="http://schemas.openxmlformats.org/drawingml/2006/main">
                  <a:graphicData uri="http://schemas.microsoft.com/office/word/2010/wordprocessingShape">
                    <wps:wsp>
                      <wps:cNvSpPr txBox="1"/>
                      <wps:spPr>
                        <a:xfrm>
                          <a:off x="0" y="0"/>
                          <a:ext cx="1828165" cy="635"/>
                        </a:xfrm>
                        <a:prstGeom prst="rect">
                          <a:avLst/>
                        </a:prstGeom>
                        <a:solidFill>
                          <a:prstClr val="white"/>
                        </a:solidFill>
                        <a:ln>
                          <a:noFill/>
                        </a:ln>
                      </wps:spPr>
                      <wps:txbx>
                        <w:txbxContent>
                          <w:p w14:paraId="6FF59CBB" w14:textId="475874DD" w:rsidR="00044524" w:rsidRPr="00044524" w:rsidRDefault="00044524" w:rsidP="00044524">
                            <w:pPr>
                              <w:pStyle w:val="Caption"/>
                              <w:rPr>
                                <w:i w:val="0"/>
                                <w:iCs w:val="0"/>
                                <w:noProof/>
                                <w:sz w:val="15"/>
                                <w:szCs w:val="15"/>
                              </w:rPr>
                            </w:pPr>
                            <w:r w:rsidRPr="00044524">
                              <w:rPr>
                                <w:b/>
                                <w:bCs/>
                                <w:i w:val="0"/>
                                <w:iCs w:val="0"/>
                                <w:sz w:val="15"/>
                                <w:szCs w:val="15"/>
                              </w:rPr>
                              <w:t>Figure 4</w:t>
                            </w:r>
                            <w:r w:rsidRPr="00044524">
                              <w:rPr>
                                <w:i w:val="0"/>
                                <w:iCs w:val="0"/>
                                <w:sz w:val="15"/>
                                <w:szCs w:val="15"/>
                              </w:rPr>
                              <w:t>: Changes in TSS during maturation of dragon fruit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69CC29B" id="_x0000_s1029" type="#_x0000_t202" style="position:absolute;left:0;text-align:left;margin-left:0;margin-top:195.65pt;width:143.95pt;height:.05pt;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" stroked="f">
                <v:textbox style="mso-fit-shape-to-text:t" inset="0,0,0,0">
                  <w:txbxContent>
                    <w:p w14:paraId="6FF59CBB" w14:textId="475874DD" w:rsidR="00044524" w:rsidRPr="00044524" w:rsidRDefault="00044524" w:rsidP="00044524">
                      <w:pPr>
                        <w:pStyle w:val="Caption"/>
                        <w:rPr>
                          <w:i w:val="0"/>
                          <w:iCs w:val="0"/>
                          <w:noProof/>
                          <w:sz w:val="15"/>
                          <w:szCs w:val="15"/>
                        </w:rPr>
                      </w:pPr>
                      <w:r w:rsidRPr="00044524">
                        <w:rPr>
                          <w:b/>
                          <w:bCs/>
                          <w:i w:val="0"/>
                          <w:iCs w:val="0"/>
                          <w:sz w:val="15"/>
                          <w:szCs w:val="15"/>
                        </w:rPr>
                        <w:t>Figure 4</w:t>
                      </w:r>
                      <w:r w:rsidRPr="00044524">
                        <w:rPr>
                          <w:i w:val="0"/>
                          <w:iCs w:val="0"/>
                          <w:sz w:val="15"/>
                          <w:szCs w:val="15"/>
                        </w:rPr>
                        <w:t>: Changes in TSS during maturation of dragon fruit</w:t>
                      </w:r>
                    </w:p>
                  </w:txbxContent>
                </v:textbox>
                <w10:wrap type="tight"/>
              </v:shape>
            </w:pict>
          </mc:Fallback>
        </mc:AlternateContent>
      </w:r>
      <w:r w:rsidR="009918BF">
        <w:rPr>
          <w:noProof/>
        </w:rPr>
        <w:drawing>
          <wp:anchor distT="0" distB="0" distL="114300" distR="114300" simplePos="0" relativeHeight="251691008" behindDoc="1" locked="0" layoutInCell="1" allowOverlap="1" wp14:anchorId="2DC6A8A6" wp14:editId="6E1811F1">
            <wp:simplePos x="0" y="0"/>
            <wp:positionH relativeFrom="column">
              <wp:posOffset>12105</wp:posOffset>
            </wp:positionH>
            <wp:positionV relativeFrom="paragraph">
              <wp:posOffset>1233359</wp:posOffset>
            </wp:positionV>
            <wp:extent cx="1758315" cy="1174750"/>
            <wp:effectExtent l="0" t="0" r="6985" b="6350"/>
            <wp:wrapTight wrapText="bothSides">
              <wp:wrapPolygon edited="0">
                <wp:start x="0" y="0"/>
                <wp:lineTo x="0" y="21483"/>
                <wp:lineTo x="21530" y="21483"/>
                <wp:lineTo x="21530" y="0"/>
                <wp:lineTo x="0" y="0"/>
              </wp:wrapPolygon>
            </wp:wrapTight>
            <wp:docPr id="1147140638" name="Chart 1">
              <a:extLst xmlns:a="http://schemas.openxmlformats.org/drawingml/2006/main">
                <a:ext uri="{FF2B5EF4-FFF2-40B4-BE49-F238E27FC236}">
                  <a16:creationId xmlns:a16="http://schemas.microsoft.com/office/drawing/2014/main" id="{BFCC8681-CFD4-FCD6-9BA8-5C984364AA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9918BF">
        <w:rPr>
          <w:noProof/>
          <w:lang w:val="en-US"/>
        </w:rPr>
        <mc:AlternateContent>
          <mc:Choice Requires="wps">
            <w:drawing>
              <wp:anchor distT="0" distB="0" distL="114300" distR="114300" simplePos="0" relativeHeight="251679744" behindDoc="1" locked="0" layoutInCell="1" allowOverlap="1" wp14:anchorId="72E665EA" wp14:editId="0DDEB2A6">
                <wp:simplePos x="0" y="0"/>
                <wp:positionH relativeFrom="column">
                  <wp:posOffset>3897630</wp:posOffset>
                </wp:positionH>
                <wp:positionV relativeFrom="paragraph">
                  <wp:posOffset>2466340</wp:posOffset>
                </wp:positionV>
                <wp:extent cx="1820545" cy="635"/>
                <wp:effectExtent l="0" t="0" r="0" b="12065"/>
                <wp:wrapTight wrapText="bothSides">
                  <wp:wrapPolygon edited="0">
                    <wp:start x="0" y="0"/>
                    <wp:lineTo x="0" y="0"/>
                    <wp:lineTo x="21397" y="0"/>
                    <wp:lineTo x="21397" y="0"/>
                    <wp:lineTo x="0" y="0"/>
                  </wp:wrapPolygon>
                </wp:wrapTight>
                <wp:docPr id="746907136" name="Text Box 1"/>
                <wp:cNvGraphicFramePr/>
                <a:graphic xmlns:a="http://schemas.openxmlformats.org/drawingml/2006/main">
                  <a:graphicData uri="http://schemas.microsoft.com/office/word/2010/wordprocessingShape">
                    <wps:wsp>
                      <wps:cNvSpPr txBox="1"/>
                      <wps:spPr>
                        <a:xfrm>
                          <a:off x="0" y="0"/>
                          <a:ext cx="1820545" cy="635"/>
                        </a:xfrm>
                        <a:prstGeom prst="rect">
                          <a:avLst/>
                        </a:prstGeom>
                        <a:solidFill>
                          <a:prstClr val="white"/>
                        </a:solidFill>
                        <a:ln>
                          <a:noFill/>
                        </a:ln>
                      </wps:spPr>
                      <wps:txbx>
                        <w:txbxContent>
                          <w:p w14:paraId="27D96C7F" w14:textId="3B7E772A" w:rsidR="00044524" w:rsidRPr="00044524" w:rsidRDefault="00044524" w:rsidP="00044524">
                            <w:pPr>
                              <w:pStyle w:val="Caption"/>
                              <w:rPr>
                                <w:i w:val="0"/>
                                <w:iCs w:val="0"/>
                                <w:noProof/>
                                <w:sz w:val="15"/>
                                <w:szCs w:val="15"/>
                              </w:rPr>
                            </w:pPr>
                            <w:r w:rsidRPr="00044524">
                              <w:rPr>
                                <w:b/>
                                <w:bCs/>
                                <w:i w:val="0"/>
                                <w:iCs w:val="0"/>
                                <w:sz w:val="15"/>
                                <w:szCs w:val="15"/>
                              </w:rPr>
                              <w:t>Figure 6</w:t>
                            </w:r>
                            <w:r w:rsidRPr="00044524">
                              <w:rPr>
                                <w:i w:val="0"/>
                                <w:iCs w:val="0"/>
                                <w:sz w:val="15"/>
                                <w:szCs w:val="15"/>
                              </w:rPr>
                              <w:t>: Changes in TSS: acid ratio during maturation of dragon fruit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2E665EA" id="_x0000_s1030" type="#_x0000_t202" style="position:absolute;left:0;text-align:left;margin-left:306.9pt;margin-top:194.2pt;width:143.35pt;height:.05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" stroked="f">
                <v:textbox style="mso-fit-shape-to-text:t" inset="0,0,0,0">
                  <w:txbxContent>
                    <w:p w14:paraId="27D96C7F" w14:textId="3B7E772A" w:rsidR="00044524" w:rsidRPr="00044524" w:rsidRDefault="00044524" w:rsidP="00044524">
                      <w:pPr>
                        <w:pStyle w:val="Caption"/>
                        <w:rPr>
                          <w:i w:val="0"/>
                          <w:iCs w:val="0"/>
                          <w:noProof/>
                          <w:sz w:val="15"/>
                          <w:szCs w:val="15"/>
                        </w:rPr>
                      </w:pPr>
                      <w:r w:rsidRPr="00044524">
                        <w:rPr>
                          <w:b/>
                          <w:bCs/>
                          <w:i w:val="0"/>
                          <w:iCs w:val="0"/>
                          <w:sz w:val="15"/>
                          <w:szCs w:val="15"/>
                        </w:rPr>
                        <w:t>Figure 6</w:t>
                      </w:r>
                      <w:r w:rsidRPr="00044524">
                        <w:rPr>
                          <w:i w:val="0"/>
                          <w:iCs w:val="0"/>
                          <w:sz w:val="15"/>
                          <w:szCs w:val="15"/>
                        </w:rPr>
                        <w:t>: Changes in TSS: acid ratio during maturation of dragon fruit</w:t>
                      </w:r>
                    </w:p>
                  </w:txbxContent>
                </v:textbox>
                <w10:wrap type="tight"/>
              </v:shape>
            </w:pict>
          </mc:Fallback>
        </mc:AlternateContent>
      </w:r>
      <w:r w:rsidR="00044524">
        <w:rPr>
          <w:noProof/>
          <w:lang w:val="en-US"/>
        </w:rPr>
        <mc:AlternateContent>
          <mc:Choice Requires="wps">
            <w:drawing>
              <wp:anchor distT="0" distB="0" distL="114300" distR="114300" simplePos="0" relativeHeight="251677696" behindDoc="1" locked="0" layoutInCell="1" allowOverlap="1" wp14:anchorId="1524D82A" wp14:editId="60E64A6D">
                <wp:simplePos x="0" y="0"/>
                <wp:positionH relativeFrom="column">
                  <wp:posOffset>1958975</wp:posOffset>
                </wp:positionH>
                <wp:positionV relativeFrom="paragraph">
                  <wp:posOffset>2466340</wp:posOffset>
                </wp:positionV>
                <wp:extent cx="1795780" cy="635"/>
                <wp:effectExtent l="0" t="0" r="0" b="0"/>
                <wp:wrapTight wrapText="bothSides">
                  <wp:wrapPolygon edited="0">
                    <wp:start x="0" y="0"/>
                    <wp:lineTo x="0" y="20608"/>
                    <wp:lineTo x="21386" y="20608"/>
                    <wp:lineTo x="21386" y="0"/>
                    <wp:lineTo x="0" y="0"/>
                  </wp:wrapPolygon>
                </wp:wrapTight>
                <wp:docPr id="1094225513" name="Text Box 1"/>
                <wp:cNvGraphicFramePr/>
                <a:graphic xmlns:a="http://schemas.openxmlformats.org/drawingml/2006/main">
                  <a:graphicData uri="http://schemas.microsoft.com/office/word/2010/wordprocessingShape">
                    <wps:wsp>
                      <wps:cNvSpPr txBox="1"/>
                      <wps:spPr>
                        <a:xfrm>
                          <a:off x="0" y="0"/>
                          <a:ext cx="1795780" cy="635"/>
                        </a:xfrm>
                        <a:prstGeom prst="rect">
                          <a:avLst/>
                        </a:prstGeom>
                        <a:solidFill>
                          <a:prstClr val="white"/>
                        </a:solidFill>
                        <a:ln>
                          <a:noFill/>
                        </a:ln>
                      </wps:spPr>
                      <wps:txbx>
                        <w:txbxContent>
                          <w:p w14:paraId="2632B076" w14:textId="2188C8B6" w:rsidR="00044524" w:rsidRPr="00044524" w:rsidRDefault="00044524" w:rsidP="00044524">
                            <w:pPr>
                              <w:pStyle w:val="Caption"/>
                              <w:rPr>
                                <w:i w:val="0"/>
                                <w:iCs w:val="0"/>
                                <w:noProof/>
                                <w:sz w:val="15"/>
                                <w:szCs w:val="15"/>
                              </w:rPr>
                            </w:pPr>
                            <w:r w:rsidRPr="00044524">
                              <w:rPr>
                                <w:b/>
                                <w:bCs/>
                                <w:i w:val="0"/>
                                <w:iCs w:val="0"/>
                                <w:sz w:val="15"/>
                                <w:szCs w:val="15"/>
                              </w:rPr>
                              <w:t>Figure 5</w:t>
                            </w:r>
                            <w:r w:rsidRPr="00044524">
                              <w:rPr>
                                <w:i w:val="0"/>
                                <w:iCs w:val="0"/>
                                <w:sz w:val="15"/>
                                <w:szCs w:val="15"/>
                              </w:rPr>
                              <w:t>:</w:t>
                            </w:r>
                            <w:r>
                              <w:rPr>
                                <w:i w:val="0"/>
                                <w:iCs w:val="0"/>
                                <w:sz w:val="15"/>
                                <w:szCs w:val="15"/>
                              </w:rPr>
                              <w:t xml:space="preserve"> </w:t>
                            </w:r>
                            <w:r w:rsidRPr="00044524">
                              <w:rPr>
                                <w:i w:val="0"/>
                                <w:iCs w:val="0"/>
                                <w:sz w:val="15"/>
                                <w:szCs w:val="15"/>
                              </w:rPr>
                              <w:t>Changes in Titratable acidity during maturation of dragon fruit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524D82A" id="_x0000_s1031" type="#_x0000_t202" style="position:absolute;left:0;text-align:left;margin-left:154.25pt;margin-top:194.2pt;width:141.4pt;height:.0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" stroked="f">
                <v:textbox style="mso-fit-shape-to-text:t" inset="0,0,0,0">
                  <w:txbxContent>
                    <w:p w14:paraId="2632B076" w14:textId="2188C8B6" w:rsidR="00044524" w:rsidRPr="00044524" w:rsidRDefault="00044524" w:rsidP="00044524">
                      <w:pPr>
                        <w:pStyle w:val="Caption"/>
                        <w:rPr>
                          <w:i w:val="0"/>
                          <w:iCs w:val="0"/>
                          <w:noProof/>
                          <w:sz w:val="15"/>
                          <w:szCs w:val="15"/>
                        </w:rPr>
                      </w:pPr>
                      <w:r w:rsidRPr="00044524">
                        <w:rPr>
                          <w:b/>
                          <w:bCs/>
                          <w:i w:val="0"/>
                          <w:iCs w:val="0"/>
                          <w:sz w:val="15"/>
                          <w:szCs w:val="15"/>
                        </w:rPr>
                        <w:t>Figure 5</w:t>
                      </w:r>
                      <w:r w:rsidRPr="00044524">
                        <w:rPr>
                          <w:i w:val="0"/>
                          <w:iCs w:val="0"/>
                          <w:sz w:val="15"/>
                          <w:szCs w:val="15"/>
                        </w:rPr>
                        <w:t>:</w:t>
                      </w:r>
                      <w:r>
                        <w:rPr>
                          <w:i w:val="0"/>
                          <w:iCs w:val="0"/>
                          <w:sz w:val="15"/>
                          <w:szCs w:val="15"/>
                        </w:rPr>
                        <w:t xml:space="preserve"> </w:t>
                      </w:r>
                      <w:r w:rsidRPr="00044524">
                        <w:rPr>
                          <w:i w:val="0"/>
                          <w:iCs w:val="0"/>
                          <w:sz w:val="15"/>
                          <w:szCs w:val="15"/>
                        </w:rPr>
                        <w:t>Changes in Titratable acidity during maturation of dragon fruit</w:t>
                      </w:r>
                    </w:p>
                  </w:txbxContent>
                </v:textbox>
                <w10:wrap type="tight"/>
              </v:shape>
            </w:pict>
          </mc:Fallback>
        </mc:AlternateContent>
      </w:r>
      <w:r w:rsidR="005010DC" w:rsidRPr="00307F49">
        <w:rPr>
          <w:rFonts w:ascii="Arial" w:hAnsi="Arial" w:cs="Arial"/>
          <w:sz w:val="20"/>
          <w:szCs w:val="20"/>
          <w:lang w:val="en-US"/>
        </w:rPr>
        <w:t>The results obtained from TSS- Acid ratio presented in Figure</w:t>
      </w:r>
      <w:r w:rsidR="00AB534A">
        <w:rPr>
          <w:rFonts w:ascii="Arial" w:hAnsi="Arial" w:cs="Arial"/>
          <w:sz w:val="20"/>
          <w:szCs w:val="20"/>
          <w:lang w:val="en-US"/>
        </w:rPr>
        <w:t xml:space="preserve"> </w:t>
      </w:r>
      <w:r w:rsidR="00F85AFF">
        <w:rPr>
          <w:rFonts w:ascii="Arial" w:hAnsi="Arial" w:cs="Arial"/>
          <w:sz w:val="20"/>
          <w:szCs w:val="20"/>
          <w:lang w:val="en-US"/>
        </w:rPr>
        <w:t>6</w:t>
      </w:r>
      <w:r w:rsidR="005010DC" w:rsidRPr="00307F49">
        <w:rPr>
          <w:rFonts w:ascii="Arial" w:hAnsi="Arial" w:cs="Arial"/>
          <w:sz w:val="20"/>
          <w:szCs w:val="20"/>
          <w:lang w:val="en-US"/>
        </w:rPr>
        <w:t xml:space="preserve"> showed minimum value</w:t>
      </w:r>
      <w:r w:rsidR="00AB534A">
        <w:rPr>
          <w:rFonts w:ascii="Arial" w:hAnsi="Arial" w:cs="Arial"/>
          <w:sz w:val="20"/>
          <w:szCs w:val="20"/>
          <w:lang w:val="en-US"/>
        </w:rPr>
        <w:t xml:space="preserve"> </w:t>
      </w:r>
      <w:r w:rsidR="005010DC" w:rsidRPr="00307F49">
        <w:rPr>
          <w:rFonts w:ascii="Arial" w:hAnsi="Arial" w:cs="Arial"/>
          <w:sz w:val="20"/>
          <w:szCs w:val="20"/>
          <w:lang w:val="en-US"/>
        </w:rPr>
        <w:t>recorded at 25 DAA (H</w:t>
      </w:r>
      <w:r w:rsidR="005010DC" w:rsidRPr="00307F49">
        <w:rPr>
          <w:rFonts w:ascii="Arial" w:hAnsi="Arial" w:cs="Arial"/>
          <w:sz w:val="20"/>
          <w:szCs w:val="20"/>
          <w:vertAlign w:val="subscript"/>
          <w:lang w:val="en-US"/>
        </w:rPr>
        <w:t>1</w:t>
      </w:r>
      <w:r w:rsidR="005010DC" w:rsidRPr="00307F49">
        <w:rPr>
          <w:rFonts w:ascii="Arial" w:hAnsi="Arial" w:cs="Arial"/>
          <w:sz w:val="20"/>
          <w:szCs w:val="20"/>
          <w:lang w:val="en-US"/>
        </w:rPr>
        <w:t>) with 17.64 which may be due to increased acidity in immature fruits and the maximum TSS-acid ratio was recorded in H</w:t>
      </w:r>
      <w:r w:rsidR="005010DC" w:rsidRPr="00307F49">
        <w:rPr>
          <w:rFonts w:ascii="Arial" w:hAnsi="Arial" w:cs="Arial"/>
          <w:sz w:val="20"/>
          <w:szCs w:val="20"/>
          <w:vertAlign w:val="subscript"/>
          <w:lang w:val="en-US"/>
        </w:rPr>
        <w:t>3</w:t>
      </w:r>
      <w:r w:rsidR="005010DC" w:rsidRPr="00307F49">
        <w:rPr>
          <w:rFonts w:ascii="Arial" w:hAnsi="Arial" w:cs="Arial"/>
          <w:sz w:val="20"/>
          <w:szCs w:val="20"/>
          <w:lang w:val="en-US"/>
        </w:rPr>
        <w:t xml:space="preserve"> (35 DAA) with 55.74 followed by H</w:t>
      </w:r>
      <w:r w:rsidR="005010DC" w:rsidRPr="00307F49">
        <w:rPr>
          <w:rFonts w:ascii="Arial" w:hAnsi="Arial" w:cs="Arial"/>
          <w:sz w:val="20"/>
          <w:szCs w:val="20"/>
          <w:vertAlign w:val="subscript"/>
          <w:lang w:val="en-US"/>
        </w:rPr>
        <w:t>2</w:t>
      </w:r>
      <w:r w:rsidR="005010DC" w:rsidRPr="00307F49">
        <w:rPr>
          <w:rFonts w:ascii="Arial" w:hAnsi="Arial" w:cs="Arial"/>
          <w:sz w:val="20"/>
          <w:szCs w:val="20"/>
          <w:lang w:val="en-US"/>
        </w:rPr>
        <w:t xml:space="preserve"> (30 DAA) with 37.30. Similar trend of increase in TSS-acid ratio with progression in maturity stage was reported by Ortiz and Takahashi (2015) in dragon fruit and Babu </w:t>
      </w:r>
      <w:r w:rsidR="005010DC" w:rsidRPr="00307F49">
        <w:rPr>
          <w:rFonts w:ascii="Arial" w:hAnsi="Arial" w:cs="Arial"/>
          <w:i/>
          <w:iCs/>
          <w:sz w:val="20"/>
          <w:szCs w:val="20"/>
          <w:lang w:val="en-US"/>
        </w:rPr>
        <w:t xml:space="preserve">et. al. </w:t>
      </w:r>
      <w:r w:rsidR="005010DC" w:rsidRPr="00307F49">
        <w:rPr>
          <w:rFonts w:ascii="Arial" w:hAnsi="Arial" w:cs="Arial"/>
          <w:sz w:val="20"/>
          <w:szCs w:val="20"/>
          <w:lang w:val="en-US"/>
        </w:rPr>
        <w:t xml:space="preserve">(2017) in pomegranate. It was reported by </w:t>
      </w:r>
      <w:proofErr w:type="gramStart"/>
      <w:r w:rsidR="005010DC" w:rsidRPr="00307F49">
        <w:rPr>
          <w:rFonts w:ascii="Arial" w:hAnsi="Arial" w:cs="Arial"/>
          <w:sz w:val="20"/>
          <w:szCs w:val="20"/>
          <w:lang w:val="en-US"/>
        </w:rPr>
        <w:t>To</w:t>
      </w:r>
      <w:proofErr w:type="gramEnd"/>
      <w:r w:rsidR="005010DC" w:rsidRPr="00307F49">
        <w:rPr>
          <w:rFonts w:ascii="Arial" w:hAnsi="Arial" w:cs="Arial"/>
          <w:sz w:val="20"/>
          <w:szCs w:val="20"/>
          <w:lang w:val="en-US"/>
        </w:rPr>
        <w:t xml:space="preserve"> </w:t>
      </w:r>
      <w:r w:rsidR="005010DC" w:rsidRPr="00307F49">
        <w:rPr>
          <w:rFonts w:ascii="Arial" w:hAnsi="Arial" w:cs="Arial"/>
          <w:i/>
          <w:iCs/>
          <w:sz w:val="20"/>
          <w:szCs w:val="20"/>
          <w:lang w:val="en-US"/>
        </w:rPr>
        <w:t xml:space="preserve">et. al. </w:t>
      </w:r>
      <w:r w:rsidR="005010DC" w:rsidRPr="00307F49">
        <w:rPr>
          <w:rFonts w:ascii="Arial" w:hAnsi="Arial" w:cs="Arial"/>
          <w:sz w:val="20"/>
          <w:szCs w:val="20"/>
          <w:lang w:val="en-US"/>
        </w:rPr>
        <w:t xml:space="preserve">(2002) that the optimum TSS- acid ratio for dragon fruit is approximately 40 and fruits achieved this value at 31 DAA. </w:t>
      </w:r>
    </w:p>
    <w:p w14:paraId="3250AF15" w14:textId="3852EA38" w:rsidR="00901552" w:rsidRPr="00D961E7" w:rsidRDefault="00901552" w:rsidP="00901552">
      <w:pPr>
        <w:spacing w:line="276" w:lineRule="auto"/>
        <w:jc w:val="both"/>
        <w:rPr>
          <w:rFonts w:ascii="Arial" w:hAnsi="Arial" w:cs="Arial"/>
          <w:sz w:val="18"/>
          <w:szCs w:val="18"/>
          <w:lang w:val="en-US"/>
        </w:rPr>
      </w:pPr>
    </w:p>
    <w:p w14:paraId="3BD8F1A0" w14:textId="75830681" w:rsidR="00AB534A" w:rsidRPr="00307F49" w:rsidRDefault="00AB534A" w:rsidP="00AB534A">
      <w:pPr>
        <w:spacing w:line="276" w:lineRule="auto"/>
        <w:ind w:firstLine="720"/>
        <w:jc w:val="both"/>
        <w:rPr>
          <w:rFonts w:ascii="Arial" w:hAnsi="Arial" w:cs="Arial"/>
          <w:sz w:val="20"/>
          <w:szCs w:val="20"/>
          <w:lang w:val="en-US"/>
        </w:rPr>
      </w:pPr>
    </w:p>
    <w:p w14:paraId="3E1A6C41" w14:textId="77777777" w:rsidR="00044524" w:rsidRDefault="00044524" w:rsidP="0051450F">
      <w:pPr>
        <w:spacing w:line="276" w:lineRule="auto"/>
        <w:jc w:val="both"/>
        <w:rPr>
          <w:rFonts w:ascii="Arial" w:hAnsi="Arial" w:cs="Arial"/>
          <w:b/>
          <w:bCs/>
          <w:sz w:val="20"/>
          <w:szCs w:val="20"/>
          <w:lang w:val="en-US"/>
        </w:rPr>
      </w:pPr>
    </w:p>
    <w:p w14:paraId="451B01E0" w14:textId="77777777" w:rsidR="009918BF" w:rsidRDefault="009918BF" w:rsidP="0051450F">
      <w:pPr>
        <w:spacing w:line="276" w:lineRule="auto"/>
        <w:jc w:val="both"/>
        <w:rPr>
          <w:rFonts w:ascii="Arial" w:hAnsi="Arial" w:cs="Arial"/>
          <w:b/>
          <w:bCs/>
          <w:sz w:val="20"/>
          <w:szCs w:val="20"/>
          <w:lang w:val="en-US"/>
        </w:rPr>
      </w:pPr>
    </w:p>
    <w:p w14:paraId="2209B1C6" w14:textId="4C99D8B2" w:rsidR="005010DC" w:rsidRPr="00307F49" w:rsidRDefault="005010DC" w:rsidP="0051450F">
      <w:pPr>
        <w:spacing w:line="276" w:lineRule="auto"/>
        <w:jc w:val="both"/>
        <w:rPr>
          <w:rFonts w:ascii="Arial" w:hAnsi="Arial" w:cs="Arial"/>
          <w:b/>
          <w:bCs/>
          <w:sz w:val="20"/>
          <w:szCs w:val="20"/>
          <w:lang w:val="en-US"/>
        </w:rPr>
      </w:pPr>
      <w:r w:rsidRPr="00307F49">
        <w:rPr>
          <w:rFonts w:ascii="Arial" w:hAnsi="Arial" w:cs="Arial"/>
          <w:b/>
          <w:bCs/>
          <w:sz w:val="20"/>
          <w:szCs w:val="20"/>
          <w:lang w:val="en-US"/>
        </w:rPr>
        <w:t>Total sugar (%)</w:t>
      </w:r>
    </w:p>
    <w:p w14:paraId="165244EB" w14:textId="12FE9C25" w:rsidR="005010DC" w:rsidRDefault="005010DC" w:rsidP="0051450F">
      <w:pPr>
        <w:spacing w:line="276" w:lineRule="auto"/>
        <w:jc w:val="both"/>
        <w:rPr>
          <w:rFonts w:ascii="Arial" w:hAnsi="Arial" w:cs="Arial"/>
          <w:sz w:val="20"/>
          <w:szCs w:val="20"/>
          <w:lang w:val="en-US"/>
        </w:rPr>
      </w:pPr>
      <w:r w:rsidRPr="00307F49">
        <w:rPr>
          <w:rFonts w:ascii="Arial" w:hAnsi="Arial" w:cs="Arial"/>
          <w:sz w:val="20"/>
          <w:szCs w:val="20"/>
          <w:lang w:val="en-US"/>
        </w:rPr>
        <w:lastRenderedPageBreak/>
        <w:tab/>
        <w:t xml:space="preserve">The findings on total sugar content as </w:t>
      </w:r>
      <w:r w:rsidR="00AB534A">
        <w:rPr>
          <w:rFonts w:ascii="Arial" w:hAnsi="Arial" w:cs="Arial"/>
          <w:sz w:val="20"/>
          <w:szCs w:val="20"/>
          <w:lang w:val="en-US"/>
        </w:rPr>
        <w:t xml:space="preserve">shown in </w:t>
      </w:r>
      <w:r w:rsidRPr="00307F49">
        <w:rPr>
          <w:rFonts w:ascii="Arial" w:hAnsi="Arial" w:cs="Arial"/>
          <w:sz w:val="20"/>
          <w:szCs w:val="20"/>
          <w:lang w:val="en-US"/>
        </w:rPr>
        <w:t xml:space="preserve">Figure </w:t>
      </w:r>
      <w:r w:rsidR="00F85AFF">
        <w:rPr>
          <w:rFonts w:ascii="Arial" w:hAnsi="Arial" w:cs="Arial"/>
          <w:sz w:val="20"/>
          <w:szCs w:val="20"/>
          <w:lang w:val="en-US"/>
        </w:rPr>
        <w:t>7</w:t>
      </w:r>
      <w:r w:rsidRPr="00307F49">
        <w:rPr>
          <w:rFonts w:ascii="Arial" w:hAnsi="Arial" w:cs="Arial"/>
          <w:sz w:val="20"/>
          <w:szCs w:val="20"/>
          <w:lang w:val="en-US"/>
        </w:rPr>
        <w:t xml:space="preserve"> </w:t>
      </w:r>
      <w:r w:rsidR="00AB534A">
        <w:rPr>
          <w:rFonts w:ascii="Arial" w:hAnsi="Arial" w:cs="Arial"/>
          <w:sz w:val="20"/>
          <w:szCs w:val="20"/>
          <w:lang w:val="en-US"/>
        </w:rPr>
        <w:t xml:space="preserve">recorded </w:t>
      </w:r>
      <w:r w:rsidRPr="00307F49">
        <w:rPr>
          <w:rFonts w:ascii="Arial" w:hAnsi="Arial" w:cs="Arial"/>
          <w:sz w:val="20"/>
          <w:szCs w:val="20"/>
          <w:lang w:val="en-US"/>
        </w:rPr>
        <w:t>highest total sugar content (8.43%) in H</w:t>
      </w:r>
      <w:r w:rsidRPr="00307F49">
        <w:rPr>
          <w:rFonts w:ascii="Arial" w:hAnsi="Arial" w:cs="Arial"/>
          <w:sz w:val="20"/>
          <w:szCs w:val="20"/>
          <w:vertAlign w:val="subscript"/>
          <w:lang w:val="en-US"/>
        </w:rPr>
        <w:t>3</w:t>
      </w:r>
      <w:r w:rsidRPr="00307F49">
        <w:rPr>
          <w:rFonts w:ascii="Arial" w:hAnsi="Arial" w:cs="Arial"/>
          <w:sz w:val="20"/>
          <w:szCs w:val="20"/>
          <w:lang w:val="en-US"/>
        </w:rPr>
        <w:t xml:space="preserve"> (35 DAA) and minimum value (4.90%) in H</w:t>
      </w:r>
      <w:r w:rsidRPr="00307F49">
        <w:rPr>
          <w:rFonts w:ascii="Arial" w:hAnsi="Arial" w:cs="Arial"/>
          <w:sz w:val="20"/>
          <w:szCs w:val="20"/>
          <w:vertAlign w:val="subscript"/>
          <w:lang w:val="en-US"/>
        </w:rPr>
        <w:t>1</w:t>
      </w:r>
      <w:r w:rsidRPr="00307F49">
        <w:rPr>
          <w:rFonts w:ascii="Arial" w:hAnsi="Arial" w:cs="Arial"/>
          <w:sz w:val="20"/>
          <w:szCs w:val="20"/>
          <w:lang w:val="en-US"/>
        </w:rPr>
        <w:t xml:space="preserve"> (25 DAA), which projects an increase in the amount of total sugar content with the advancement in fruit maturation. Dragon fruit being a non- climacteric fruit (Mizrahi and Nerd, 1999), generally achieve the peak sweetness before harvest and lack accumulation of carbohydrates within the fruits, thus, typically do not undergo significant conversion of starch to sugar after harvest, also there is lack of additional source of assimilates for sugar unlike fruits still attached to tree (Punitha </w:t>
      </w:r>
      <w:r w:rsidRPr="00307F49">
        <w:rPr>
          <w:rFonts w:ascii="Arial" w:hAnsi="Arial" w:cs="Arial"/>
          <w:i/>
          <w:iCs/>
          <w:sz w:val="20"/>
          <w:szCs w:val="20"/>
          <w:lang w:val="en-US"/>
        </w:rPr>
        <w:t xml:space="preserve">et. al., </w:t>
      </w:r>
      <w:r w:rsidRPr="00307F49">
        <w:rPr>
          <w:rFonts w:ascii="Arial" w:hAnsi="Arial" w:cs="Arial"/>
          <w:sz w:val="20"/>
          <w:szCs w:val="20"/>
          <w:lang w:val="en-US"/>
        </w:rPr>
        <w:t xml:space="preserve">2010).  </w:t>
      </w:r>
    </w:p>
    <w:p w14:paraId="0D943838" w14:textId="77777777" w:rsidR="00AB534A" w:rsidRPr="00307F49" w:rsidRDefault="00AB534A" w:rsidP="0051450F">
      <w:pPr>
        <w:spacing w:line="276" w:lineRule="auto"/>
        <w:jc w:val="both"/>
        <w:rPr>
          <w:rFonts w:ascii="Arial" w:hAnsi="Arial" w:cs="Arial"/>
          <w:sz w:val="20"/>
          <w:szCs w:val="20"/>
          <w:lang w:val="en-US"/>
        </w:rPr>
      </w:pPr>
    </w:p>
    <w:p w14:paraId="7137E00A" w14:textId="77777777" w:rsidR="00AB534A" w:rsidRDefault="00125765" w:rsidP="00AB534A">
      <w:pPr>
        <w:pStyle w:val="NormalWeb"/>
        <w:spacing w:before="0" w:beforeAutospacing="0" w:after="0" w:afterAutospacing="0" w:line="276" w:lineRule="auto"/>
        <w:jc w:val="both"/>
        <w:rPr>
          <w:rFonts w:ascii="Arial" w:hAnsi="Arial" w:cs="Arial"/>
          <w:sz w:val="20"/>
          <w:szCs w:val="20"/>
        </w:rPr>
      </w:pPr>
      <w:r w:rsidRPr="00307F49">
        <w:rPr>
          <w:rFonts w:ascii="Arial" w:hAnsi="Arial" w:cs="Arial"/>
          <w:b/>
          <w:bCs/>
          <w:sz w:val="20"/>
          <w:szCs w:val="20"/>
        </w:rPr>
        <w:t xml:space="preserve">Reducing sugar (%) </w:t>
      </w:r>
    </w:p>
    <w:p w14:paraId="06B70360" w14:textId="7614D0E9" w:rsidR="00BC4FE0" w:rsidRDefault="00125765" w:rsidP="00BC4FE0">
      <w:pPr>
        <w:pStyle w:val="NormalWeb"/>
        <w:spacing w:before="0" w:beforeAutospacing="0" w:after="0" w:afterAutospacing="0" w:line="276" w:lineRule="auto"/>
        <w:ind w:firstLine="720"/>
        <w:jc w:val="both"/>
        <w:rPr>
          <w:rFonts w:ascii="Arial" w:eastAsia="TimesNewRomanPSMT" w:hAnsi="Arial" w:cs="Arial"/>
          <w:sz w:val="20"/>
          <w:szCs w:val="20"/>
        </w:rPr>
      </w:pPr>
      <w:r w:rsidRPr="00307F49">
        <w:rPr>
          <w:rFonts w:ascii="Arial" w:eastAsia="TimesNewRomanPSMT" w:hAnsi="Arial" w:cs="Arial"/>
          <w:sz w:val="20"/>
          <w:szCs w:val="20"/>
        </w:rPr>
        <w:t xml:space="preserve">With regard to effect of </w:t>
      </w:r>
      <w:r w:rsidR="00AB534A">
        <w:rPr>
          <w:rFonts w:ascii="Arial" w:eastAsia="TimesNewRomanPSMT" w:hAnsi="Arial" w:cs="Arial"/>
          <w:sz w:val="20"/>
          <w:szCs w:val="20"/>
        </w:rPr>
        <w:t>maturity</w:t>
      </w:r>
      <w:r w:rsidRPr="00307F49">
        <w:rPr>
          <w:rFonts w:ascii="Arial" w:eastAsia="TimesNewRomanPSMT" w:hAnsi="Arial" w:cs="Arial"/>
          <w:sz w:val="20"/>
          <w:szCs w:val="20"/>
        </w:rPr>
        <w:t xml:space="preserve"> stages on reducing sugar content in dragon fruit, maximum value (5.35%) was recorded in H</w:t>
      </w:r>
      <w:r w:rsidR="00AB534A">
        <w:rPr>
          <w:rFonts w:ascii="Arial" w:eastAsia="TimesNewRomanPSMT" w:hAnsi="Arial" w:cs="Arial"/>
          <w:position w:val="-2"/>
          <w:sz w:val="20"/>
          <w:szCs w:val="20"/>
          <w:vertAlign w:val="subscript"/>
        </w:rPr>
        <w:t>3</w:t>
      </w:r>
      <w:r w:rsidRPr="00307F49">
        <w:rPr>
          <w:rFonts w:ascii="Arial" w:eastAsia="TimesNewRomanPSMT" w:hAnsi="Arial" w:cs="Arial"/>
          <w:position w:val="-2"/>
          <w:sz w:val="20"/>
          <w:szCs w:val="20"/>
        </w:rPr>
        <w:t xml:space="preserve"> </w:t>
      </w:r>
      <w:r w:rsidRPr="00307F49">
        <w:rPr>
          <w:rFonts w:ascii="Arial" w:eastAsia="TimesNewRomanPSMT" w:hAnsi="Arial" w:cs="Arial"/>
          <w:sz w:val="20"/>
          <w:szCs w:val="20"/>
        </w:rPr>
        <w:t>(35 DAA) and minimum reducing sugar content (3.48) in H</w:t>
      </w:r>
      <w:r w:rsidR="00AB534A">
        <w:rPr>
          <w:rFonts w:ascii="Arial" w:eastAsia="TimesNewRomanPSMT" w:hAnsi="Arial" w:cs="Arial"/>
          <w:position w:val="-2"/>
          <w:sz w:val="20"/>
          <w:szCs w:val="20"/>
          <w:vertAlign w:val="subscript"/>
        </w:rPr>
        <w:t>1</w:t>
      </w:r>
      <w:r w:rsidRPr="00307F49">
        <w:rPr>
          <w:rFonts w:ascii="Arial" w:eastAsia="TimesNewRomanPSMT" w:hAnsi="Arial" w:cs="Arial"/>
          <w:position w:val="-2"/>
          <w:sz w:val="20"/>
          <w:szCs w:val="20"/>
        </w:rPr>
        <w:t xml:space="preserve"> </w:t>
      </w:r>
      <w:r w:rsidRPr="00307F49">
        <w:rPr>
          <w:rFonts w:ascii="Arial" w:eastAsia="TimesNewRomanPSMT" w:hAnsi="Arial" w:cs="Arial"/>
          <w:sz w:val="20"/>
          <w:szCs w:val="20"/>
        </w:rPr>
        <w:t>(25 DAA)</w:t>
      </w:r>
      <w:r w:rsidR="00AB534A">
        <w:rPr>
          <w:rFonts w:ascii="Arial" w:eastAsia="TimesNewRomanPSMT" w:hAnsi="Arial" w:cs="Arial"/>
          <w:sz w:val="20"/>
          <w:szCs w:val="20"/>
        </w:rPr>
        <w:t xml:space="preserve"> as shown in Figure </w:t>
      </w:r>
      <w:r w:rsidR="00F85AFF">
        <w:rPr>
          <w:rFonts w:ascii="Arial" w:eastAsia="TimesNewRomanPSMT" w:hAnsi="Arial" w:cs="Arial"/>
          <w:sz w:val="20"/>
          <w:szCs w:val="20"/>
        </w:rPr>
        <w:t>7</w:t>
      </w:r>
      <w:r w:rsidR="00AB534A">
        <w:rPr>
          <w:rFonts w:ascii="Arial" w:eastAsia="TimesNewRomanPSMT" w:hAnsi="Arial" w:cs="Arial"/>
          <w:sz w:val="20"/>
          <w:szCs w:val="20"/>
        </w:rPr>
        <w:t>.</w:t>
      </w:r>
      <w:r w:rsidR="00AB534A">
        <w:rPr>
          <w:rFonts w:ascii="Arial" w:hAnsi="Arial" w:cs="Arial"/>
          <w:sz w:val="20"/>
          <w:szCs w:val="20"/>
        </w:rPr>
        <w:t xml:space="preserve"> </w:t>
      </w:r>
      <w:r w:rsidRPr="00307F49">
        <w:rPr>
          <w:rFonts w:ascii="Arial" w:eastAsia="TimesNewRomanPSMT" w:hAnsi="Arial" w:cs="Arial"/>
          <w:sz w:val="20"/>
          <w:szCs w:val="20"/>
        </w:rPr>
        <w:t xml:space="preserve">Fairly similar finding has been reported by Trong </w:t>
      </w:r>
      <w:r w:rsidRPr="00307F49">
        <w:rPr>
          <w:rFonts w:ascii="Arial" w:hAnsi="Arial" w:cs="Arial"/>
          <w:i/>
          <w:iCs/>
          <w:sz w:val="20"/>
          <w:szCs w:val="20"/>
        </w:rPr>
        <w:t xml:space="preserve">et. al. </w:t>
      </w:r>
      <w:r w:rsidRPr="00307F49">
        <w:rPr>
          <w:rFonts w:ascii="Arial" w:eastAsia="TimesNewRomanPSMT" w:hAnsi="Arial" w:cs="Arial"/>
          <w:sz w:val="20"/>
          <w:szCs w:val="20"/>
        </w:rPr>
        <w:t xml:space="preserve">(2022) where reducing sugar content increased rapidly as the fruit progressed towards ripening and a maximum was reached at 32 DAA, after which there was a decrease, which he remarked that the fruit undergo ripening stage and a large amount of organic acids and starch are converted into sugar. The primary sugar in dragon fruit are glucose and fructose, while sucrose is present in lesser amount (Wang </w:t>
      </w:r>
      <w:r w:rsidRPr="00307F49">
        <w:rPr>
          <w:rFonts w:ascii="Arial" w:hAnsi="Arial" w:cs="Arial"/>
          <w:i/>
          <w:iCs/>
          <w:sz w:val="20"/>
          <w:szCs w:val="20"/>
        </w:rPr>
        <w:t xml:space="preserve">et. al., </w:t>
      </w:r>
      <w:r w:rsidRPr="00307F49">
        <w:rPr>
          <w:rFonts w:ascii="Arial" w:eastAsia="TimesNewRomanPSMT" w:hAnsi="Arial" w:cs="Arial"/>
          <w:sz w:val="20"/>
          <w:szCs w:val="20"/>
        </w:rPr>
        <w:t xml:space="preserve">2024; Wu </w:t>
      </w:r>
      <w:r w:rsidRPr="00307F49">
        <w:rPr>
          <w:rFonts w:ascii="Arial" w:hAnsi="Arial" w:cs="Arial"/>
          <w:i/>
          <w:iCs/>
          <w:sz w:val="20"/>
          <w:szCs w:val="20"/>
        </w:rPr>
        <w:t xml:space="preserve">et. al., </w:t>
      </w:r>
      <w:r w:rsidRPr="00307F49">
        <w:rPr>
          <w:rFonts w:ascii="Arial" w:eastAsia="TimesNewRomanPSMT" w:hAnsi="Arial" w:cs="Arial"/>
          <w:sz w:val="20"/>
          <w:szCs w:val="20"/>
        </w:rPr>
        <w:t>1997).</w:t>
      </w:r>
    </w:p>
    <w:p w14:paraId="16B555AA" w14:textId="1B5DF011" w:rsidR="00875C17" w:rsidRDefault="00875C17" w:rsidP="00BC4FE0">
      <w:pPr>
        <w:pStyle w:val="NormalWeb"/>
        <w:spacing w:before="0" w:beforeAutospacing="0" w:after="0" w:afterAutospacing="0" w:line="276" w:lineRule="auto"/>
        <w:jc w:val="both"/>
        <w:rPr>
          <w:rFonts w:ascii="Arial" w:hAnsi="Arial" w:cs="Arial"/>
          <w:b/>
          <w:bCs/>
          <w:sz w:val="20"/>
          <w:szCs w:val="20"/>
        </w:rPr>
      </w:pPr>
    </w:p>
    <w:p w14:paraId="7A62D24C" w14:textId="76542FA9" w:rsidR="00BC4FE0" w:rsidRDefault="00125765" w:rsidP="00BC4FE0">
      <w:pPr>
        <w:pStyle w:val="NormalWeb"/>
        <w:spacing w:before="0" w:beforeAutospacing="0" w:after="0" w:afterAutospacing="0" w:line="276" w:lineRule="auto"/>
        <w:jc w:val="both"/>
        <w:rPr>
          <w:rFonts w:ascii="Arial" w:hAnsi="Arial" w:cs="Arial"/>
          <w:b/>
          <w:bCs/>
          <w:sz w:val="20"/>
          <w:szCs w:val="20"/>
        </w:rPr>
      </w:pPr>
      <w:r w:rsidRPr="00307F49">
        <w:rPr>
          <w:rFonts w:ascii="Arial" w:hAnsi="Arial" w:cs="Arial"/>
          <w:b/>
          <w:bCs/>
          <w:sz w:val="20"/>
          <w:szCs w:val="20"/>
        </w:rPr>
        <w:t xml:space="preserve">Non-reducing sugar (%) </w:t>
      </w:r>
    </w:p>
    <w:p w14:paraId="2E69FADB" w14:textId="7A520D29" w:rsidR="00125765" w:rsidRDefault="009918BF" w:rsidP="00BC4FE0">
      <w:pPr>
        <w:pStyle w:val="NormalWeb"/>
        <w:spacing w:before="0" w:beforeAutospacing="0" w:after="0" w:afterAutospacing="0" w:line="276" w:lineRule="auto"/>
        <w:ind w:firstLine="720"/>
        <w:jc w:val="both"/>
        <w:rPr>
          <w:rFonts w:ascii="Arial" w:eastAsia="TimesNewRomanPSMT" w:hAnsi="Arial" w:cs="Arial"/>
          <w:sz w:val="20"/>
          <w:szCs w:val="20"/>
        </w:rPr>
      </w:pPr>
      <w:r>
        <w:rPr>
          <w:noProof/>
          <w:lang w:val="en-US" w:eastAsia="en-US"/>
        </w:rPr>
        <mc:AlternateContent>
          <mc:Choice Requires="wps">
            <w:drawing>
              <wp:anchor distT="0" distB="0" distL="114300" distR="114300" simplePos="0" relativeHeight="251681792" behindDoc="1" locked="0" layoutInCell="1" allowOverlap="1" wp14:anchorId="2C258B0C" wp14:editId="365B6C67">
                <wp:simplePos x="0" y="0"/>
                <wp:positionH relativeFrom="column">
                  <wp:posOffset>753110</wp:posOffset>
                </wp:positionH>
                <wp:positionV relativeFrom="paragraph">
                  <wp:posOffset>2224775</wp:posOffset>
                </wp:positionV>
                <wp:extent cx="4631690" cy="635"/>
                <wp:effectExtent l="0" t="0" r="3810" b="0"/>
                <wp:wrapTight wrapText="bothSides">
                  <wp:wrapPolygon edited="0">
                    <wp:start x="0" y="0"/>
                    <wp:lineTo x="0" y="20303"/>
                    <wp:lineTo x="21559" y="20303"/>
                    <wp:lineTo x="21559" y="0"/>
                    <wp:lineTo x="0" y="0"/>
                  </wp:wrapPolygon>
                </wp:wrapTight>
                <wp:docPr id="899172994" name="Text Box 1"/>
                <wp:cNvGraphicFramePr/>
                <a:graphic xmlns:a="http://schemas.openxmlformats.org/drawingml/2006/main">
                  <a:graphicData uri="http://schemas.microsoft.com/office/word/2010/wordprocessingShape">
                    <wps:wsp>
                      <wps:cNvSpPr txBox="1"/>
                      <wps:spPr>
                        <a:xfrm>
                          <a:off x="0" y="0"/>
                          <a:ext cx="4631690" cy="635"/>
                        </a:xfrm>
                        <a:prstGeom prst="rect">
                          <a:avLst/>
                        </a:prstGeom>
                        <a:solidFill>
                          <a:prstClr val="white"/>
                        </a:solidFill>
                        <a:ln>
                          <a:noFill/>
                        </a:ln>
                      </wps:spPr>
                      <wps:txbx>
                        <w:txbxContent>
                          <w:p w14:paraId="15E2F4D7" w14:textId="7501CAB7" w:rsidR="00044524" w:rsidRPr="00044524" w:rsidRDefault="00044524" w:rsidP="00044524">
                            <w:pPr>
                              <w:pStyle w:val="Caption"/>
                              <w:rPr>
                                <w:rFonts w:ascii="Times New Roman" w:eastAsia="Times New Roman" w:hAnsi="Times New Roman" w:cs="Times New Roman"/>
                                <w:i w:val="0"/>
                                <w:iCs w:val="0"/>
                                <w:noProof/>
                                <w:kern w:val="0"/>
                                <w:sz w:val="15"/>
                                <w:szCs w:val="15"/>
                                <w14:ligatures w14:val="none"/>
                              </w:rPr>
                            </w:pPr>
                            <w:r w:rsidRPr="00044524">
                              <w:rPr>
                                <w:b/>
                                <w:bCs/>
                                <w:i w:val="0"/>
                                <w:iCs w:val="0"/>
                                <w:sz w:val="15"/>
                                <w:szCs w:val="15"/>
                              </w:rPr>
                              <w:t>Figure 7:</w:t>
                            </w:r>
                            <w:r w:rsidRPr="00044524">
                              <w:rPr>
                                <w:i w:val="0"/>
                                <w:iCs w:val="0"/>
                                <w:sz w:val="15"/>
                                <w:szCs w:val="15"/>
                              </w:rPr>
                              <w:t xml:space="preserve"> Changes in Total sugar, reducing sugar and non-reducing sugar during maturation of dragon fruit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C258B0C" id="_x0000_s1032" type="#_x0000_t202" style="position:absolute;left:0;text-align:left;margin-left:59.3pt;margin-top:175.2pt;width:364.7pt;height:.05pt;z-index:-25163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" stroked="f">
                <v:textbox style="mso-fit-shape-to-text:t" inset="0,0,0,0">
                  <w:txbxContent>
                    <w:p w14:paraId="15E2F4D7" w14:textId="7501CAB7" w:rsidR="00044524" w:rsidRPr="00044524" w:rsidRDefault="00044524" w:rsidP="00044524">
                      <w:pPr>
                        <w:pStyle w:val="Caption"/>
                        <w:rPr>
                          <w:rFonts w:ascii="Times New Roman" w:eastAsia="Times New Roman" w:hAnsi="Times New Roman" w:cs="Times New Roman"/>
                          <w:i w:val="0"/>
                          <w:iCs w:val="0"/>
                          <w:noProof/>
                          <w:kern w:val="0"/>
                          <w:sz w:val="15"/>
                          <w:szCs w:val="15"/>
                          <w14:ligatures w14:val="none"/>
                        </w:rPr>
                      </w:pPr>
                      <w:r w:rsidRPr="00044524">
                        <w:rPr>
                          <w:b/>
                          <w:bCs/>
                          <w:i w:val="0"/>
                          <w:iCs w:val="0"/>
                          <w:sz w:val="15"/>
                          <w:szCs w:val="15"/>
                        </w:rPr>
                        <w:t>Figure 7:</w:t>
                      </w:r>
                      <w:r w:rsidRPr="00044524">
                        <w:rPr>
                          <w:i w:val="0"/>
                          <w:iCs w:val="0"/>
                          <w:sz w:val="15"/>
                          <w:szCs w:val="15"/>
                        </w:rPr>
                        <w:t xml:space="preserve"> Changes in Total sugar, reducing sugar and non-reducing sugar during maturation of dragon fruit</w:t>
                      </w:r>
                    </w:p>
                  </w:txbxContent>
                </v:textbox>
                <w10:wrap type="tight"/>
              </v:shape>
            </w:pict>
          </mc:Fallback>
        </mc:AlternateContent>
      </w:r>
      <w:r>
        <w:rPr>
          <w:noProof/>
        </w:rPr>
        <w:drawing>
          <wp:anchor distT="0" distB="0" distL="114300" distR="114300" simplePos="0" relativeHeight="251695104" behindDoc="1" locked="0" layoutInCell="1" allowOverlap="1" wp14:anchorId="5E372F07" wp14:editId="0FC14389">
            <wp:simplePos x="0" y="0"/>
            <wp:positionH relativeFrom="column">
              <wp:posOffset>-50800</wp:posOffset>
            </wp:positionH>
            <wp:positionV relativeFrom="paragraph">
              <wp:posOffset>798195</wp:posOffset>
            </wp:positionV>
            <wp:extent cx="1758315" cy="1365885"/>
            <wp:effectExtent l="0" t="0" r="6985" b="18415"/>
            <wp:wrapTight wrapText="bothSides">
              <wp:wrapPolygon edited="0">
                <wp:start x="0" y="0"/>
                <wp:lineTo x="0" y="21690"/>
                <wp:lineTo x="21530" y="21690"/>
                <wp:lineTo x="21530" y="0"/>
                <wp:lineTo x="0" y="0"/>
              </wp:wrapPolygon>
            </wp:wrapTight>
            <wp:docPr id="1208940220" name="Chart 1">
              <a:extLst xmlns:a="http://schemas.openxmlformats.org/drawingml/2006/main">
                <a:ext uri="{FF2B5EF4-FFF2-40B4-BE49-F238E27FC236}">
                  <a16:creationId xmlns:a16="http://schemas.microsoft.com/office/drawing/2014/main" id="{42B285FF-A1D4-FD80-79CC-93FE82747F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125765" w:rsidRPr="00307F49">
        <w:rPr>
          <w:rFonts w:ascii="Arial" w:eastAsia="TimesNewRomanPSMT" w:hAnsi="Arial" w:cs="Arial"/>
          <w:sz w:val="20"/>
          <w:szCs w:val="20"/>
        </w:rPr>
        <w:t xml:space="preserve">The data on non- reducing sugar content of dragon fruit as influenced by </w:t>
      </w:r>
      <w:r w:rsidR="00BC4FE0">
        <w:rPr>
          <w:rFonts w:ascii="Arial" w:eastAsia="TimesNewRomanPSMT" w:hAnsi="Arial" w:cs="Arial"/>
          <w:sz w:val="20"/>
          <w:szCs w:val="20"/>
        </w:rPr>
        <w:t xml:space="preserve">maturity stage </w:t>
      </w:r>
      <w:r w:rsidR="00125765" w:rsidRPr="00307F49">
        <w:rPr>
          <w:rFonts w:ascii="Arial" w:eastAsia="TimesNewRomanPSMT" w:hAnsi="Arial" w:cs="Arial"/>
          <w:sz w:val="20"/>
          <w:szCs w:val="20"/>
        </w:rPr>
        <w:t xml:space="preserve">is presented in Figure </w:t>
      </w:r>
      <w:r w:rsidR="00F85AFF">
        <w:rPr>
          <w:rFonts w:ascii="Arial" w:eastAsia="TimesNewRomanPSMT" w:hAnsi="Arial" w:cs="Arial"/>
          <w:sz w:val="20"/>
          <w:szCs w:val="20"/>
        </w:rPr>
        <w:t>7</w:t>
      </w:r>
      <w:r w:rsidR="00125765" w:rsidRPr="00307F49">
        <w:rPr>
          <w:rFonts w:ascii="Arial" w:eastAsia="TimesNewRomanPSMT" w:hAnsi="Arial" w:cs="Arial"/>
          <w:sz w:val="20"/>
          <w:szCs w:val="20"/>
        </w:rPr>
        <w:t xml:space="preserve"> which depicts a significant variation among the treatments. At 0 DAH, highest non- reducing sugar content was recorded in H</w:t>
      </w:r>
      <w:r w:rsidR="00125765" w:rsidRPr="00307F49">
        <w:rPr>
          <w:rFonts w:ascii="Arial" w:eastAsia="TimesNewRomanPSMT" w:hAnsi="Arial" w:cs="Arial"/>
          <w:position w:val="-2"/>
          <w:sz w:val="20"/>
          <w:szCs w:val="20"/>
        </w:rPr>
        <w:t xml:space="preserve">2 </w:t>
      </w:r>
      <w:r w:rsidR="00125765" w:rsidRPr="00307F49">
        <w:rPr>
          <w:rFonts w:ascii="Arial" w:eastAsia="TimesNewRomanPSMT" w:hAnsi="Arial" w:cs="Arial"/>
          <w:sz w:val="20"/>
          <w:szCs w:val="20"/>
        </w:rPr>
        <w:t>(30 DAA) with 3.05% and minimum in the initial stage of harvest H</w:t>
      </w:r>
      <w:r w:rsidR="00125765" w:rsidRPr="00307F49">
        <w:rPr>
          <w:rFonts w:ascii="Arial" w:eastAsia="TimesNewRomanPSMT" w:hAnsi="Arial" w:cs="Arial"/>
          <w:position w:val="-2"/>
          <w:sz w:val="20"/>
          <w:szCs w:val="20"/>
        </w:rPr>
        <w:t xml:space="preserve">1 </w:t>
      </w:r>
      <w:r w:rsidR="00125765" w:rsidRPr="00307F49">
        <w:rPr>
          <w:rFonts w:ascii="Arial" w:eastAsia="TimesNewRomanPSMT" w:hAnsi="Arial" w:cs="Arial"/>
          <w:sz w:val="20"/>
          <w:szCs w:val="20"/>
        </w:rPr>
        <w:t xml:space="preserve">(25 DAA) with 1.35%. </w:t>
      </w:r>
    </w:p>
    <w:p w14:paraId="7E90D5DE" w14:textId="38CFD8B4" w:rsidR="00044524" w:rsidRPr="009918BF" w:rsidRDefault="009918BF" w:rsidP="009918BF">
      <w:pPr>
        <w:pStyle w:val="NormalWeb"/>
        <w:spacing w:before="0" w:beforeAutospacing="0" w:after="0" w:afterAutospacing="0" w:line="276" w:lineRule="auto"/>
        <w:jc w:val="both"/>
        <w:rPr>
          <w:rFonts w:ascii="Arial" w:eastAsia="TimesNewRomanPSMT" w:hAnsi="Arial" w:cs="Arial"/>
          <w:sz w:val="20"/>
          <w:szCs w:val="20"/>
        </w:rPr>
      </w:pPr>
      <w:r>
        <w:rPr>
          <w:noProof/>
        </w:rPr>
        <w:drawing>
          <wp:anchor distT="0" distB="0" distL="114300" distR="114300" simplePos="0" relativeHeight="251694080" behindDoc="1" locked="0" layoutInCell="1" allowOverlap="1" wp14:anchorId="5EBE8C68" wp14:editId="66CB4C34">
            <wp:simplePos x="0" y="0"/>
            <wp:positionH relativeFrom="column">
              <wp:posOffset>1798320</wp:posOffset>
            </wp:positionH>
            <wp:positionV relativeFrom="paragraph">
              <wp:posOffset>101600</wp:posOffset>
            </wp:positionV>
            <wp:extent cx="1929130" cy="1365885"/>
            <wp:effectExtent l="0" t="0" r="13970" b="18415"/>
            <wp:wrapTight wrapText="bothSides">
              <wp:wrapPolygon edited="0">
                <wp:start x="0" y="0"/>
                <wp:lineTo x="0" y="21690"/>
                <wp:lineTo x="21614" y="21690"/>
                <wp:lineTo x="21614" y="0"/>
                <wp:lineTo x="0" y="0"/>
              </wp:wrapPolygon>
            </wp:wrapTight>
            <wp:docPr id="1899676484" name="Chart 1">
              <a:extLst xmlns:a="http://schemas.openxmlformats.org/drawingml/2006/main">
                <a:ext uri="{FF2B5EF4-FFF2-40B4-BE49-F238E27FC236}">
                  <a16:creationId xmlns:a16="http://schemas.microsoft.com/office/drawing/2014/main" id="{BFBF794B-A195-2F06-D3EE-E5E57C8119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6128" behindDoc="1" locked="0" layoutInCell="1" allowOverlap="1" wp14:anchorId="234B0345" wp14:editId="6F02D40C">
            <wp:simplePos x="0" y="0"/>
            <wp:positionH relativeFrom="column">
              <wp:posOffset>3858260</wp:posOffset>
            </wp:positionH>
            <wp:positionV relativeFrom="paragraph">
              <wp:posOffset>101600</wp:posOffset>
            </wp:positionV>
            <wp:extent cx="1863090" cy="1365885"/>
            <wp:effectExtent l="0" t="0" r="16510" b="18415"/>
            <wp:wrapTight wrapText="bothSides">
              <wp:wrapPolygon edited="0">
                <wp:start x="0" y="0"/>
                <wp:lineTo x="0" y="21690"/>
                <wp:lineTo x="21644" y="21690"/>
                <wp:lineTo x="21644" y="0"/>
                <wp:lineTo x="0" y="0"/>
              </wp:wrapPolygon>
            </wp:wrapTight>
            <wp:docPr id="927427418" name="Chart 1">
              <a:extLst xmlns:a="http://schemas.openxmlformats.org/drawingml/2006/main">
                <a:ext uri="{FF2B5EF4-FFF2-40B4-BE49-F238E27FC236}">
                  <a16:creationId xmlns:a16="http://schemas.microsoft.com/office/drawing/2014/main" id="{853FAF93-93C3-F78B-5047-EB24F13B2E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10459032" w14:textId="3947478E" w:rsidR="00125765" w:rsidRPr="00307F49" w:rsidRDefault="00125765" w:rsidP="0051450F">
      <w:pPr>
        <w:pStyle w:val="NormalWeb"/>
        <w:spacing w:line="276" w:lineRule="auto"/>
        <w:jc w:val="both"/>
        <w:rPr>
          <w:rFonts w:ascii="Arial" w:hAnsi="Arial" w:cs="Arial"/>
          <w:sz w:val="20"/>
          <w:szCs w:val="20"/>
        </w:rPr>
      </w:pPr>
      <w:r w:rsidRPr="00307F49">
        <w:rPr>
          <w:rFonts w:ascii="Arial" w:hAnsi="Arial" w:cs="Arial"/>
          <w:b/>
          <w:bCs/>
          <w:sz w:val="20"/>
          <w:szCs w:val="20"/>
        </w:rPr>
        <w:t xml:space="preserve">Ascorbic acid (mg/100g pulp) </w:t>
      </w:r>
    </w:p>
    <w:p w14:paraId="11B32672" w14:textId="5B9AB97E" w:rsidR="00044524" w:rsidRPr="009918BF" w:rsidRDefault="00125765" w:rsidP="009918BF">
      <w:pPr>
        <w:pStyle w:val="NormalWeb"/>
        <w:spacing w:line="276" w:lineRule="auto"/>
        <w:ind w:firstLine="720"/>
        <w:jc w:val="both"/>
        <w:rPr>
          <w:rFonts w:ascii="Arial" w:hAnsi="Arial" w:cs="Arial"/>
          <w:sz w:val="20"/>
          <w:szCs w:val="20"/>
        </w:rPr>
      </w:pPr>
      <w:r w:rsidRPr="00307F49">
        <w:rPr>
          <w:rFonts w:ascii="Arial" w:eastAsia="TimesNewRomanPSMT" w:hAnsi="Arial" w:cs="Arial"/>
          <w:sz w:val="20"/>
          <w:szCs w:val="20"/>
        </w:rPr>
        <w:t xml:space="preserve">The data pertaining to effect of </w:t>
      </w:r>
      <w:r w:rsidR="0028472D">
        <w:rPr>
          <w:rFonts w:ascii="Arial" w:eastAsia="TimesNewRomanPSMT" w:hAnsi="Arial" w:cs="Arial"/>
          <w:sz w:val="20"/>
          <w:szCs w:val="20"/>
        </w:rPr>
        <w:t xml:space="preserve">maturity </w:t>
      </w:r>
      <w:r w:rsidRPr="00307F49">
        <w:rPr>
          <w:rFonts w:ascii="Arial" w:eastAsia="TimesNewRomanPSMT" w:hAnsi="Arial" w:cs="Arial"/>
          <w:sz w:val="20"/>
          <w:szCs w:val="20"/>
        </w:rPr>
        <w:t>stages on ascorbic acid content in dragon fruit is presented in Figure</w:t>
      </w:r>
      <w:r w:rsidR="0028472D">
        <w:rPr>
          <w:rFonts w:ascii="Arial" w:eastAsia="TimesNewRomanPSMT" w:hAnsi="Arial" w:cs="Arial"/>
          <w:sz w:val="20"/>
          <w:szCs w:val="20"/>
        </w:rPr>
        <w:t xml:space="preserve"> </w:t>
      </w:r>
      <w:r w:rsidR="00F85AFF">
        <w:rPr>
          <w:rFonts w:ascii="Arial" w:eastAsia="TimesNewRomanPSMT" w:hAnsi="Arial" w:cs="Arial"/>
          <w:sz w:val="20"/>
          <w:szCs w:val="20"/>
        </w:rPr>
        <w:t>8</w:t>
      </w:r>
      <w:r w:rsidRPr="00307F49">
        <w:rPr>
          <w:rFonts w:ascii="Arial" w:eastAsia="TimesNewRomanPSMT" w:hAnsi="Arial" w:cs="Arial"/>
          <w:sz w:val="20"/>
          <w:szCs w:val="20"/>
        </w:rPr>
        <w:t xml:space="preserve"> which </w:t>
      </w:r>
      <w:r w:rsidR="00E21C8F">
        <w:rPr>
          <w:rFonts w:ascii="Arial" w:eastAsia="TimesNewRomanPSMT" w:hAnsi="Arial" w:cs="Arial"/>
          <w:sz w:val="20"/>
          <w:szCs w:val="20"/>
        </w:rPr>
        <w:t>depicts a</w:t>
      </w:r>
      <w:r w:rsidRPr="00307F49">
        <w:rPr>
          <w:rFonts w:ascii="Arial" w:eastAsia="TimesNewRomanPSMT" w:hAnsi="Arial" w:cs="Arial"/>
          <w:sz w:val="20"/>
          <w:szCs w:val="20"/>
        </w:rPr>
        <w:t>scorbic acid was recorded to be more in immature fruits with maximum content (9.82 mg/100ml) in H</w:t>
      </w:r>
      <w:r w:rsidRPr="00307F49">
        <w:rPr>
          <w:rFonts w:ascii="Arial" w:eastAsia="TimesNewRomanPSMT" w:hAnsi="Arial" w:cs="Arial"/>
          <w:position w:val="-2"/>
          <w:sz w:val="20"/>
          <w:szCs w:val="20"/>
        </w:rPr>
        <w:t xml:space="preserve">1 </w:t>
      </w:r>
      <w:r w:rsidRPr="00307F49">
        <w:rPr>
          <w:rFonts w:ascii="Arial" w:eastAsia="TimesNewRomanPSMT" w:hAnsi="Arial" w:cs="Arial"/>
          <w:sz w:val="20"/>
          <w:szCs w:val="20"/>
        </w:rPr>
        <w:t>(25 DAA) and the minimum content (5.04 mg/100ml) in H</w:t>
      </w:r>
      <w:r w:rsidRPr="00307F49">
        <w:rPr>
          <w:rFonts w:ascii="Arial" w:eastAsia="TimesNewRomanPSMT" w:hAnsi="Arial" w:cs="Arial"/>
          <w:position w:val="-2"/>
          <w:sz w:val="20"/>
          <w:szCs w:val="20"/>
        </w:rPr>
        <w:t xml:space="preserve">3 </w:t>
      </w:r>
      <w:r w:rsidRPr="00307F49">
        <w:rPr>
          <w:rFonts w:ascii="Arial" w:eastAsia="TimesNewRomanPSMT" w:hAnsi="Arial" w:cs="Arial"/>
          <w:sz w:val="20"/>
          <w:szCs w:val="20"/>
        </w:rPr>
        <w:t xml:space="preserve">(35 DAA) on the day of harvest. This finding indicated that ascorbic acid decreased with advancement in fruit maturity so ascorbic acid was higher in fruits harvested at initial maturity, which has also been reported by Franco </w:t>
      </w:r>
      <w:r w:rsidRPr="00307F49">
        <w:rPr>
          <w:rFonts w:ascii="Arial" w:hAnsi="Arial" w:cs="Arial"/>
          <w:i/>
          <w:iCs/>
          <w:sz w:val="20"/>
          <w:szCs w:val="20"/>
        </w:rPr>
        <w:t xml:space="preserve">et. al. </w:t>
      </w:r>
      <w:r w:rsidRPr="00307F49">
        <w:rPr>
          <w:rFonts w:ascii="Arial" w:eastAsia="TimesNewRomanPSMT" w:hAnsi="Arial" w:cs="Arial"/>
          <w:sz w:val="20"/>
          <w:szCs w:val="20"/>
        </w:rPr>
        <w:t xml:space="preserve">(2022), </w:t>
      </w:r>
      <w:proofErr w:type="spellStart"/>
      <w:r w:rsidRPr="00307F49">
        <w:rPr>
          <w:rFonts w:ascii="Arial" w:eastAsia="TimesNewRomanPSMT" w:hAnsi="Arial" w:cs="Arial"/>
          <w:sz w:val="20"/>
          <w:szCs w:val="20"/>
        </w:rPr>
        <w:t>Martineli</w:t>
      </w:r>
      <w:proofErr w:type="spellEnd"/>
      <w:r w:rsidRPr="00307F49">
        <w:rPr>
          <w:rFonts w:ascii="Arial" w:eastAsia="TimesNewRomanPSMT" w:hAnsi="Arial" w:cs="Arial"/>
          <w:sz w:val="20"/>
          <w:szCs w:val="20"/>
        </w:rPr>
        <w:t xml:space="preserve"> </w:t>
      </w:r>
      <w:r w:rsidRPr="00307F49">
        <w:rPr>
          <w:rFonts w:ascii="Arial" w:hAnsi="Arial" w:cs="Arial"/>
          <w:i/>
          <w:iCs/>
          <w:sz w:val="20"/>
          <w:szCs w:val="20"/>
        </w:rPr>
        <w:t xml:space="preserve">et. al. </w:t>
      </w:r>
      <w:r w:rsidRPr="00307F49">
        <w:rPr>
          <w:rFonts w:ascii="Arial" w:eastAsia="TimesNewRomanPSMT" w:hAnsi="Arial" w:cs="Arial"/>
          <w:sz w:val="20"/>
          <w:szCs w:val="20"/>
        </w:rPr>
        <w:t xml:space="preserve">(2020), Enciso </w:t>
      </w:r>
      <w:r w:rsidRPr="00307F49">
        <w:rPr>
          <w:rFonts w:ascii="Arial" w:hAnsi="Arial" w:cs="Arial"/>
          <w:i/>
          <w:iCs/>
          <w:sz w:val="20"/>
          <w:szCs w:val="20"/>
        </w:rPr>
        <w:t xml:space="preserve">et. al. </w:t>
      </w:r>
      <w:r w:rsidRPr="00307F49">
        <w:rPr>
          <w:rFonts w:ascii="Arial" w:eastAsia="TimesNewRomanPSMT" w:hAnsi="Arial" w:cs="Arial"/>
          <w:sz w:val="20"/>
          <w:szCs w:val="20"/>
        </w:rPr>
        <w:t xml:space="preserve">(2011) in dragon fruit, Blissett </w:t>
      </w:r>
      <w:r w:rsidRPr="00307F49">
        <w:rPr>
          <w:rFonts w:ascii="Arial" w:hAnsi="Arial" w:cs="Arial"/>
          <w:i/>
          <w:iCs/>
          <w:sz w:val="20"/>
          <w:szCs w:val="20"/>
        </w:rPr>
        <w:t xml:space="preserve">et. al. </w:t>
      </w:r>
      <w:r w:rsidRPr="00307F49">
        <w:rPr>
          <w:rFonts w:ascii="Arial" w:eastAsia="TimesNewRomanPSMT" w:hAnsi="Arial" w:cs="Arial"/>
          <w:sz w:val="20"/>
          <w:szCs w:val="20"/>
        </w:rPr>
        <w:t xml:space="preserve">(2019), Baloch and Bibi (2012) in mango, Deepthi </w:t>
      </w:r>
      <w:r w:rsidRPr="00307F49">
        <w:rPr>
          <w:rFonts w:ascii="Arial" w:hAnsi="Arial" w:cs="Arial"/>
          <w:i/>
          <w:iCs/>
          <w:sz w:val="20"/>
          <w:szCs w:val="20"/>
        </w:rPr>
        <w:t xml:space="preserve">et. al. </w:t>
      </w:r>
      <w:r w:rsidRPr="00307F49">
        <w:rPr>
          <w:rFonts w:ascii="Arial" w:eastAsia="TimesNewRomanPSMT" w:hAnsi="Arial" w:cs="Arial"/>
          <w:sz w:val="20"/>
          <w:szCs w:val="20"/>
        </w:rPr>
        <w:t xml:space="preserve">(2016) in guava, Kamol </w:t>
      </w:r>
      <w:r w:rsidRPr="00307F49">
        <w:rPr>
          <w:rFonts w:ascii="Arial" w:hAnsi="Arial" w:cs="Arial"/>
          <w:i/>
          <w:iCs/>
          <w:sz w:val="20"/>
          <w:szCs w:val="20"/>
        </w:rPr>
        <w:t xml:space="preserve">et. al. </w:t>
      </w:r>
      <w:r w:rsidRPr="00307F49">
        <w:rPr>
          <w:rFonts w:ascii="Arial" w:eastAsia="TimesNewRomanPSMT" w:hAnsi="Arial" w:cs="Arial"/>
          <w:sz w:val="20"/>
          <w:szCs w:val="20"/>
        </w:rPr>
        <w:t xml:space="preserve">(2014), Gomez </w:t>
      </w:r>
      <w:r w:rsidRPr="00307F49">
        <w:rPr>
          <w:rFonts w:ascii="Arial" w:hAnsi="Arial" w:cs="Arial"/>
          <w:i/>
          <w:iCs/>
          <w:sz w:val="20"/>
          <w:szCs w:val="20"/>
        </w:rPr>
        <w:t xml:space="preserve">et. al. </w:t>
      </w:r>
      <w:r w:rsidRPr="00307F49">
        <w:rPr>
          <w:rFonts w:ascii="Arial" w:eastAsia="TimesNewRomanPSMT" w:hAnsi="Arial" w:cs="Arial"/>
          <w:sz w:val="20"/>
          <w:szCs w:val="20"/>
        </w:rPr>
        <w:t xml:space="preserve">(2023) in pineapple, Rahman </w:t>
      </w:r>
      <w:r w:rsidRPr="00307F49">
        <w:rPr>
          <w:rFonts w:ascii="Arial" w:hAnsi="Arial" w:cs="Arial"/>
          <w:i/>
          <w:iCs/>
          <w:sz w:val="20"/>
          <w:szCs w:val="20"/>
        </w:rPr>
        <w:t xml:space="preserve">et. al. </w:t>
      </w:r>
      <w:r w:rsidRPr="00307F49">
        <w:rPr>
          <w:rFonts w:ascii="Arial" w:eastAsia="TimesNewRomanPSMT" w:hAnsi="Arial" w:cs="Arial"/>
          <w:sz w:val="20"/>
          <w:szCs w:val="20"/>
        </w:rPr>
        <w:t xml:space="preserve">(2014) in strawberry and Rekha </w:t>
      </w:r>
      <w:r w:rsidRPr="00307F49">
        <w:rPr>
          <w:rFonts w:ascii="Arial" w:hAnsi="Arial" w:cs="Arial"/>
          <w:i/>
          <w:iCs/>
          <w:sz w:val="20"/>
          <w:szCs w:val="20"/>
        </w:rPr>
        <w:t xml:space="preserve">et. al. </w:t>
      </w:r>
      <w:r w:rsidRPr="00307F49">
        <w:rPr>
          <w:rFonts w:ascii="Arial" w:eastAsia="TimesNewRomanPSMT" w:hAnsi="Arial" w:cs="Arial"/>
          <w:sz w:val="20"/>
          <w:szCs w:val="20"/>
        </w:rPr>
        <w:t>(2012) in citrus</w:t>
      </w:r>
      <w:r w:rsidR="009918BF">
        <w:rPr>
          <w:rFonts w:ascii="Arial" w:eastAsia="TimesNewRomanPSMT" w:hAnsi="Arial" w:cs="Arial"/>
          <w:sz w:val="20"/>
          <w:szCs w:val="20"/>
        </w:rPr>
        <w:t>.</w:t>
      </w:r>
    </w:p>
    <w:p w14:paraId="0C0AC24A" w14:textId="1569AA33" w:rsidR="00E21C8F" w:rsidRDefault="00125765" w:rsidP="00E21C8F">
      <w:pPr>
        <w:pStyle w:val="NormalWeb"/>
        <w:spacing w:after="0" w:afterAutospacing="0" w:line="276" w:lineRule="auto"/>
        <w:jc w:val="both"/>
        <w:rPr>
          <w:rFonts w:ascii="Arial" w:hAnsi="Arial" w:cs="Arial"/>
          <w:sz w:val="20"/>
          <w:szCs w:val="20"/>
        </w:rPr>
      </w:pPr>
      <w:r w:rsidRPr="00307F49">
        <w:rPr>
          <w:rFonts w:ascii="Arial" w:hAnsi="Arial" w:cs="Arial"/>
          <w:b/>
          <w:bCs/>
          <w:sz w:val="20"/>
          <w:szCs w:val="20"/>
        </w:rPr>
        <w:t xml:space="preserve">Total phenolic content (mg GAE/100g fresh wt.) </w:t>
      </w:r>
    </w:p>
    <w:p w14:paraId="6D50EF70" w14:textId="32B2DC68" w:rsidR="00125765" w:rsidRDefault="00E21C8F" w:rsidP="00E21C8F">
      <w:pPr>
        <w:pStyle w:val="NormalWeb"/>
        <w:spacing w:before="0" w:beforeAutospacing="0" w:after="0" w:afterAutospacing="0" w:line="276" w:lineRule="auto"/>
        <w:ind w:firstLine="720"/>
        <w:jc w:val="both"/>
        <w:rPr>
          <w:rFonts w:ascii="Arial" w:eastAsia="TimesNewRomanPSMT" w:hAnsi="Arial" w:cs="Arial"/>
          <w:sz w:val="20"/>
          <w:szCs w:val="20"/>
        </w:rPr>
      </w:pPr>
      <w:proofErr w:type="gramStart"/>
      <w:r>
        <w:rPr>
          <w:rFonts w:ascii="Arial" w:eastAsia="TimesNewRomanPSMT" w:hAnsi="Arial" w:cs="Arial"/>
          <w:sz w:val="20"/>
          <w:szCs w:val="20"/>
        </w:rPr>
        <w:t xml:space="preserve">It </w:t>
      </w:r>
      <w:r w:rsidR="00125765" w:rsidRPr="00307F49">
        <w:rPr>
          <w:rFonts w:ascii="Arial" w:eastAsia="TimesNewRomanPSMT" w:hAnsi="Arial" w:cs="Arial"/>
          <w:sz w:val="20"/>
          <w:szCs w:val="20"/>
        </w:rPr>
        <w:t xml:space="preserve"> was</w:t>
      </w:r>
      <w:proofErr w:type="gramEnd"/>
      <w:r w:rsidR="00125765" w:rsidRPr="00307F49">
        <w:rPr>
          <w:rFonts w:ascii="Arial" w:eastAsia="TimesNewRomanPSMT" w:hAnsi="Arial" w:cs="Arial"/>
          <w:sz w:val="20"/>
          <w:szCs w:val="20"/>
        </w:rPr>
        <w:t xml:space="preserve"> noted that harvesting at initial stage (H</w:t>
      </w:r>
      <w:r w:rsidR="00125765" w:rsidRPr="00307F49">
        <w:rPr>
          <w:rFonts w:ascii="Arial" w:eastAsia="TimesNewRomanPSMT" w:hAnsi="Arial" w:cs="Arial"/>
          <w:position w:val="-2"/>
          <w:sz w:val="20"/>
          <w:szCs w:val="20"/>
        </w:rPr>
        <w:t>1</w:t>
      </w:r>
      <w:r w:rsidR="00125765" w:rsidRPr="00307F49">
        <w:rPr>
          <w:rFonts w:ascii="Arial" w:eastAsia="TimesNewRomanPSMT" w:hAnsi="Arial" w:cs="Arial"/>
          <w:sz w:val="20"/>
          <w:szCs w:val="20"/>
        </w:rPr>
        <w:t>- 25 DAA) had higher total phenol content (6.87 GAE mg/g) followed by H</w:t>
      </w:r>
      <w:r w:rsidR="00125765" w:rsidRPr="00307F49">
        <w:rPr>
          <w:rFonts w:ascii="Arial" w:eastAsia="TimesNewRomanPSMT" w:hAnsi="Arial" w:cs="Arial"/>
          <w:position w:val="-2"/>
          <w:sz w:val="20"/>
          <w:szCs w:val="20"/>
        </w:rPr>
        <w:t xml:space="preserve">2 </w:t>
      </w:r>
      <w:r w:rsidR="00125765" w:rsidRPr="00307F49">
        <w:rPr>
          <w:rFonts w:ascii="Arial" w:eastAsia="TimesNewRomanPSMT" w:hAnsi="Arial" w:cs="Arial"/>
          <w:sz w:val="20"/>
          <w:szCs w:val="20"/>
        </w:rPr>
        <w:t>(30 DAA) with 4.98 GAE mg/g and the minimum content (3.11 GAE mg/g) was recorded in H</w:t>
      </w:r>
      <w:r w:rsidR="00125765" w:rsidRPr="00307F49">
        <w:rPr>
          <w:rFonts w:ascii="Arial" w:eastAsia="TimesNewRomanPSMT" w:hAnsi="Arial" w:cs="Arial"/>
          <w:position w:val="-2"/>
          <w:sz w:val="20"/>
          <w:szCs w:val="20"/>
        </w:rPr>
        <w:t xml:space="preserve">3 </w:t>
      </w:r>
      <w:r w:rsidR="00125765" w:rsidRPr="00307F49">
        <w:rPr>
          <w:rFonts w:ascii="Arial" w:eastAsia="TimesNewRomanPSMT" w:hAnsi="Arial" w:cs="Arial"/>
          <w:sz w:val="20"/>
          <w:szCs w:val="20"/>
        </w:rPr>
        <w:t xml:space="preserve">(35 DAA). This finding indicated a decline in total phenolic content as the fruit underwent development and ripening. Similar trend was reported by Singh </w:t>
      </w:r>
      <w:r w:rsidR="00125765" w:rsidRPr="00307F49">
        <w:rPr>
          <w:rFonts w:ascii="Arial" w:hAnsi="Arial" w:cs="Arial"/>
          <w:i/>
          <w:iCs/>
          <w:sz w:val="20"/>
          <w:szCs w:val="20"/>
        </w:rPr>
        <w:t xml:space="preserve">et. al. </w:t>
      </w:r>
      <w:r w:rsidR="00125765" w:rsidRPr="00307F49">
        <w:rPr>
          <w:rFonts w:ascii="Arial" w:eastAsia="TimesNewRomanPSMT" w:hAnsi="Arial" w:cs="Arial"/>
          <w:sz w:val="20"/>
          <w:szCs w:val="20"/>
        </w:rPr>
        <w:t xml:space="preserve">(2022), Zitha </w:t>
      </w:r>
      <w:r w:rsidR="00125765" w:rsidRPr="00307F49">
        <w:rPr>
          <w:rFonts w:ascii="Arial" w:hAnsi="Arial" w:cs="Arial"/>
          <w:i/>
          <w:iCs/>
          <w:sz w:val="20"/>
          <w:szCs w:val="20"/>
        </w:rPr>
        <w:t xml:space="preserve">et. al. </w:t>
      </w:r>
      <w:r w:rsidR="00125765" w:rsidRPr="00307F49">
        <w:rPr>
          <w:rFonts w:ascii="Arial" w:eastAsia="TimesNewRomanPSMT" w:hAnsi="Arial" w:cs="Arial"/>
          <w:sz w:val="20"/>
          <w:szCs w:val="20"/>
        </w:rPr>
        <w:t xml:space="preserve">(2022) in Dragon fruit, </w:t>
      </w:r>
      <w:proofErr w:type="spellStart"/>
      <w:r w:rsidR="00125765" w:rsidRPr="00307F49">
        <w:rPr>
          <w:rFonts w:ascii="Arial" w:eastAsia="TimesNewRomanPSMT" w:hAnsi="Arial" w:cs="Arial"/>
          <w:sz w:val="20"/>
          <w:szCs w:val="20"/>
        </w:rPr>
        <w:t>Aldhanhani</w:t>
      </w:r>
      <w:proofErr w:type="spellEnd"/>
      <w:r w:rsidR="00125765" w:rsidRPr="00307F49">
        <w:rPr>
          <w:rFonts w:ascii="Arial" w:eastAsia="TimesNewRomanPSMT" w:hAnsi="Arial" w:cs="Arial"/>
          <w:sz w:val="20"/>
          <w:szCs w:val="20"/>
        </w:rPr>
        <w:t xml:space="preserve"> </w:t>
      </w:r>
      <w:r w:rsidR="00125765" w:rsidRPr="00307F49">
        <w:rPr>
          <w:rFonts w:ascii="Arial" w:hAnsi="Arial" w:cs="Arial"/>
          <w:i/>
          <w:iCs/>
          <w:sz w:val="20"/>
          <w:szCs w:val="20"/>
        </w:rPr>
        <w:t xml:space="preserve">et. al. </w:t>
      </w:r>
      <w:r w:rsidR="00125765" w:rsidRPr="00307F49">
        <w:rPr>
          <w:rFonts w:ascii="Arial" w:eastAsia="TimesNewRomanPSMT" w:hAnsi="Arial" w:cs="Arial"/>
          <w:sz w:val="20"/>
          <w:szCs w:val="20"/>
        </w:rPr>
        <w:t xml:space="preserve">(2022) in Ber, Ahmed </w:t>
      </w:r>
      <w:r w:rsidR="00125765" w:rsidRPr="00307F49">
        <w:rPr>
          <w:rFonts w:ascii="Arial" w:hAnsi="Arial" w:cs="Arial"/>
          <w:i/>
          <w:iCs/>
          <w:sz w:val="20"/>
          <w:szCs w:val="20"/>
        </w:rPr>
        <w:t xml:space="preserve">et. al. </w:t>
      </w:r>
      <w:r w:rsidR="00125765" w:rsidRPr="00307F49">
        <w:rPr>
          <w:rFonts w:ascii="Arial" w:eastAsia="TimesNewRomanPSMT" w:hAnsi="Arial" w:cs="Arial"/>
          <w:sz w:val="20"/>
          <w:szCs w:val="20"/>
        </w:rPr>
        <w:t xml:space="preserve">(2021) in Date palm, </w:t>
      </w:r>
      <w:proofErr w:type="spellStart"/>
      <w:r w:rsidR="00125765" w:rsidRPr="00307F49">
        <w:rPr>
          <w:rFonts w:ascii="Arial" w:eastAsia="TimesNewRomanPSMT" w:hAnsi="Arial" w:cs="Arial"/>
          <w:sz w:val="20"/>
          <w:szCs w:val="20"/>
        </w:rPr>
        <w:t>Wojdylo</w:t>
      </w:r>
      <w:proofErr w:type="spellEnd"/>
      <w:r w:rsidR="00125765" w:rsidRPr="00307F49">
        <w:rPr>
          <w:rFonts w:ascii="Arial" w:eastAsia="TimesNewRomanPSMT" w:hAnsi="Arial" w:cs="Arial"/>
          <w:sz w:val="20"/>
          <w:szCs w:val="20"/>
        </w:rPr>
        <w:t xml:space="preserve"> and </w:t>
      </w:r>
      <w:proofErr w:type="spellStart"/>
      <w:r w:rsidR="00125765" w:rsidRPr="00307F49">
        <w:rPr>
          <w:rFonts w:ascii="Arial" w:eastAsia="TimesNewRomanPSMT" w:hAnsi="Arial" w:cs="Arial"/>
          <w:sz w:val="20"/>
          <w:szCs w:val="20"/>
        </w:rPr>
        <w:lastRenderedPageBreak/>
        <w:t>Oszmianski</w:t>
      </w:r>
      <w:proofErr w:type="spellEnd"/>
      <w:r w:rsidR="00125765" w:rsidRPr="00307F49">
        <w:rPr>
          <w:rFonts w:ascii="Arial" w:eastAsia="TimesNewRomanPSMT" w:hAnsi="Arial" w:cs="Arial"/>
          <w:sz w:val="20"/>
          <w:szCs w:val="20"/>
        </w:rPr>
        <w:t xml:space="preserve"> (2020) in Apple, </w:t>
      </w:r>
      <w:proofErr w:type="spellStart"/>
      <w:r w:rsidR="00125765" w:rsidRPr="00307F49">
        <w:rPr>
          <w:rFonts w:ascii="Arial" w:eastAsia="TimesNewRomanPSMT" w:hAnsi="Arial" w:cs="Arial"/>
          <w:sz w:val="20"/>
          <w:szCs w:val="20"/>
        </w:rPr>
        <w:t>Vithana</w:t>
      </w:r>
      <w:proofErr w:type="spellEnd"/>
      <w:r w:rsidR="00125765" w:rsidRPr="00307F49">
        <w:rPr>
          <w:rFonts w:ascii="Arial" w:eastAsia="TimesNewRomanPSMT" w:hAnsi="Arial" w:cs="Arial"/>
          <w:sz w:val="20"/>
          <w:szCs w:val="20"/>
        </w:rPr>
        <w:t xml:space="preserve"> </w:t>
      </w:r>
      <w:r w:rsidR="00125765" w:rsidRPr="00307F49">
        <w:rPr>
          <w:rFonts w:ascii="Arial" w:hAnsi="Arial" w:cs="Arial"/>
          <w:i/>
          <w:iCs/>
          <w:sz w:val="20"/>
          <w:szCs w:val="20"/>
        </w:rPr>
        <w:t xml:space="preserve">et. al. </w:t>
      </w:r>
      <w:r w:rsidR="00125765" w:rsidRPr="00307F49">
        <w:rPr>
          <w:rFonts w:ascii="Arial" w:eastAsia="TimesNewRomanPSMT" w:hAnsi="Arial" w:cs="Arial"/>
          <w:sz w:val="20"/>
          <w:szCs w:val="20"/>
        </w:rPr>
        <w:t>(2019) in Mango, where total phenolic content was highest at initial stage of fruit development, thereafter declined with advancement in fruit ripening. The rapid increase in total phenol content during the green stage was due to increase in its biosynthesis or metabolism of phenolic compounds (</w:t>
      </w:r>
      <w:proofErr w:type="spellStart"/>
      <w:r w:rsidR="00125765" w:rsidRPr="00307F49">
        <w:rPr>
          <w:rFonts w:ascii="Arial" w:eastAsia="TimesNewRomanPSMT" w:hAnsi="Arial" w:cs="Arial"/>
          <w:sz w:val="20"/>
          <w:szCs w:val="20"/>
        </w:rPr>
        <w:t>Aldhanhani</w:t>
      </w:r>
      <w:proofErr w:type="spellEnd"/>
      <w:r w:rsidR="00125765" w:rsidRPr="00307F49">
        <w:rPr>
          <w:rFonts w:ascii="Arial" w:eastAsia="TimesNewRomanPSMT" w:hAnsi="Arial" w:cs="Arial"/>
          <w:sz w:val="20"/>
          <w:szCs w:val="20"/>
        </w:rPr>
        <w:t xml:space="preserve"> </w:t>
      </w:r>
      <w:r w:rsidR="00125765" w:rsidRPr="00307F49">
        <w:rPr>
          <w:rFonts w:ascii="Arial" w:hAnsi="Arial" w:cs="Arial"/>
          <w:i/>
          <w:iCs/>
          <w:sz w:val="20"/>
          <w:szCs w:val="20"/>
        </w:rPr>
        <w:t xml:space="preserve">et. al. </w:t>
      </w:r>
      <w:r w:rsidR="00125765" w:rsidRPr="00307F49">
        <w:rPr>
          <w:rFonts w:ascii="Arial" w:eastAsia="TimesNewRomanPSMT" w:hAnsi="Arial" w:cs="Arial"/>
          <w:sz w:val="20"/>
          <w:szCs w:val="20"/>
        </w:rPr>
        <w:t xml:space="preserve">2012) whereby, the continual decrease may be due to increase in the activity of polyphenol oxidase that converts soluble phenolics into insoluble phenolics (Singh </w:t>
      </w:r>
      <w:r w:rsidR="00125765" w:rsidRPr="00307F49">
        <w:rPr>
          <w:rFonts w:ascii="Arial" w:hAnsi="Arial" w:cs="Arial"/>
          <w:i/>
          <w:iCs/>
          <w:sz w:val="20"/>
          <w:szCs w:val="20"/>
        </w:rPr>
        <w:t xml:space="preserve">et. al. </w:t>
      </w:r>
      <w:r w:rsidR="00125765" w:rsidRPr="00307F49">
        <w:rPr>
          <w:rFonts w:ascii="Arial" w:eastAsia="TimesNewRomanPSMT" w:hAnsi="Arial" w:cs="Arial"/>
          <w:sz w:val="20"/>
          <w:szCs w:val="20"/>
        </w:rPr>
        <w:t xml:space="preserve">2022) leading to reduction in phenolic synthesis, also phenols are continuously transformed into other substances during development (Zhang </w:t>
      </w:r>
      <w:r w:rsidR="00125765" w:rsidRPr="00307F49">
        <w:rPr>
          <w:rFonts w:ascii="Arial" w:hAnsi="Arial" w:cs="Arial"/>
          <w:i/>
          <w:iCs/>
          <w:sz w:val="20"/>
          <w:szCs w:val="20"/>
        </w:rPr>
        <w:t xml:space="preserve">et. al. </w:t>
      </w:r>
      <w:r w:rsidR="00125765" w:rsidRPr="00307F49">
        <w:rPr>
          <w:rFonts w:ascii="Arial" w:eastAsia="TimesNewRomanPSMT" w:hAnsi="Arial" w:cs="Arial"/>
          <w:sz w:val="20"/>
          <w:szCs w:val="20"/>
        </w:rPr>
        <w:t xml:space="preserve">2022). </w:t>
      </w:r>
    </w:p>
    <w:p w14:paraId="01AEA810" w14:textId="5929C7B5" w:rsidR="00E21C8F" w:rsidRDefault="00125765" w:rsidP="00E21C8F">
      <w:pPr>
        <w:pStyle w:val="NormalWeb"/>
        <w:spacing w:after="0" w:afterAutospacing="0" w:line="276" w:lineRule="auto"/>
        <w:jc w:val="both"/>
        <w:rPr>
          <w:rFonts w:ascii="Arial" w:hAnsi="Arial" w:cs="Arial"/>
          <w:b/>
          <w:bCs/>
          <w:sz w:val="20"/>
          <w:szCs w:val="20"/>
        </w:rPr>
      </w:pPr>
      <w:r w:rsidRPr="00307F49">
        <w:rPr>
          <w:rFonts w:ascii="Arial" w:hAnsi="Arial" w:cs="Arial"/>
          <w:b/>
          <w:bCs/>
          <w:sz w:val="20"/>
          <w:szCs w:val="20"/>
        </w:rPr>
        <w:t>Betacyanin content in pulp (mg/100g of fresh wt.)</w:t>
      </w:r>
    </w:p>
    <w:p w14:paraId="4B0981A7" w14:textId="18FCCC2A" w:rsidR="00E21C8F" w:rsidRDefault="00125765" w:rsidP="00E21C8F">
      <w:pPr>
        <w:pStyle w:val="NormalWeb"/>
        <w:spacing w:before="0" w:beforeAutospacing="0" w:after="0" w:afterAutospacing="0" w:line="276" w:lineRule="auto"/>
        <w:ind w:firstLine="720"/>
        <w:jc w:val="both"/>
        <w:rPr>
          <w:rFonts w:ascii="Arial" w:eastAsia="TimesNewRomanPSMT" w:hAnsi="Arial" w:cs="Arial"/>
          <w:sz w:val="20"/>
          <w:szCs w:val="20"/>
        </w:rPr>
      </w:pPr>
      <w:r w:rsidRPr="00307F49">
        <w:rPr>
          <w:rFonts w:ascii="Arial" w:eastAsia="TimesNewRomanPSMT" w:hAnsi="Arial" w:cs="Arial"/>
          <w:sz w:val="20"/>
          <w:szCs w:val="20"/>
        </w:rPr>
        <w:t xml:space="preserve">Betacyanin is the water-soluble pigment that renders the red-violet </w:t>
      </w:r>
      <w:proofErr w:type="spellStart"/>
      <w:r w:rsidRPr="00307F49">
        <w:rPr>
          <w:rFonts w:ascii="Arial" w:eastAsia="TimesNewRomanPSMT" w:hAnsi="Arial" w:cs="Arial"/>
          <w:sz w:val="20"/>
          <w:szCs w:val="20"/>
        </w:rPr>
        <w:t>color</w:t>
      </w:r>
      <w:proofErr w:type="spellEnd"/>
      <w:r w:rsidRPr="00307F49">
        <w:rPr>
          <w:rFonts w:ascii="Arial" w:eastAsia="TimesNewRomanPSMT" w:hAnsi="Arial" w:cs="Arial"/>
          <w:sz w:val="20"/>
          <w:szCs w:val="20"/>
        </w:rPr>
        <w:t xml:space="preserve"> of the pericarp of dragon fruit. </w:t>
      </w:r>
      <w:r w:rsidR="00E21C8F">
        <w:rPr>
          <w:rFonts w:ascii="Arial" w:eastAsia="TimesNewRomanPSMT" w:hAnsi="Arial" w:cs="Arial"/>
          <w:sz w:val="20"/>
          <w:szCs w:val="20"/>
        </w:rPr>
        <w:t>The</w:t>
      </w:r>
      <w:r w:rsidRPr="00307F49">
        <w:rPr>
          <w:rFonts w:ascii="Arial" w:eastAsia="TimesNewRomanPSMT" w:hAnsi="Arial" w:cs="Arial"/>
          <w:sz w:val="20"/>
          <w:szCs w:val="20"/>
        </w:rPr>
        <w:t xml:space="preserve"> highest content was recorded in H</w:t>
      </w:r>
      <w:r w:rsidRPr="00307F49">
        <w:rPr>
          <w:rFonts w:ascii="Arial" w:eastAsia="TimesNewRomanPSMT" w:hAnsi="Arial" w:cs="Arial"/>
          <w:position w:val="-2"/>
          <w:sz w:val="20"/>
          <w:szCs w:val="20"/>
        </w:rPr>
        <w:t xml:space="preserve">3 </w:t>
      </w:r>
      <w:r w:rsidRPr="00307F49">
        <w:rPr>
          <w:rFonts w:ascii="Arial" w:eastAsia="TimesNewRomanPSMT" w:hAnsi="Arial" w:cs="Arial"/>
          <w:sz w:val="20"/>
          <w:szCs w:val="20"/>
        </w:rPr>
        <w:t>(35 DAA) with 38.66 mg/100g while lowest was found in H</w:t>
      </w:r>
      <w:r w:rsidRPr="00307F49">
        <w:rPr>
          <w:rFonts w:ascii="Arial" w:eastAsia="TimesNewRomanPSMT" w:hAnsi="Arial" w:cs="Arial"/>
          <w:position w:val="-2"/>
          <w:sz w:val="20"/>
          <w:szCs w:val="20"/>
        </w:rPr>
        <w:t xml:space="preserve">1 </w:t>
      </w:r>
      <w:r w:rsidRPr="00307F49">
        <w:rPr>
          <w:rFonts w:ascii="Arial" w:eastAsia="TimesNewRomanPSMT" w:hAnsi="Arial" w:cs="Arial"/>
          <w:sz w:val="20"/>
          <w:szCs w:val="20"/>
        </w:rPr>
        <w:t>(25 DAA) with 21.74 mg/100g</w:t>
      </w:r>
      <w:r w:rsidR="00F85AFF">
        <w:rPr>
          <w:rFonts w:ascii="Arial" w:eastAsia="TimesNewRomanPSMT" w:hAnsi="Arial" w:cs="Arial"/>
          <w:sz w:val="20"/>
          <w:szCs w:val="20"/>
        </w:rPr>
        <w:t xml:space="preserve"> as illustrated in Figure 9</w:t>
      </w:r>
      <w:r w:rsidRPr="00307F49">
        <w:rPr>
          <w:rFonts w:ascii="Arial" w:eastAsia="TimesNewRomanPSMT" w:hAnsi="Arial" w:cs="Arial"/>
          <w:sz w:val="20"/>
          <w:szCs w:val="20"/>
        </w:rPr>
        <w:t xml:space="preserve">. Consequently, </w:t>
      </w:r>
      <w:bookmarkStart w:id="1" w:name="OLE_LINK2"/>
      <w:r w:rsidRPr="00307F49">
        <w:rPr>
          <w:rFonts w:ascii="Arial" w:eastAsia="TimesNewRomanPSMT" w:hAnsi="Arial" w:cs="Arial"/>
          <w:sz w:val="20"/>
          <w:szCs w:val="20"/>
        </w:rPr>
        <w:t>this depicts an increasing trend in the betacyanin content with the advancement in fruit maturity.</w:t>
      </w:r>
      <w:bookmarkEnd w:id="1"/>
      <w:r w:rsidRPr="00307F49">
        <w:rPr>
          <w:rFonts w:ascii="Arial" w:eastAsia="TimesNewRomanPSMT" w:hAnsi="Arial" w:cs="Arial"/>
          <w:sz w:val="20"/>
          <w:szCs w:val="20"/>
        </w:rPr>
        <w:t xml:space="preserve"> This finding is in conformity with Phebe </w:t>
      </w:r>
      <w:r w:rsidRPr="00307F49">
        <w:rPr>
          <w:rFonts w:ascii="Arial" w:hAnsi="Arial" w:cs="Arial"/>
          <w:i/>
          <w:iCs/>
          <w:sz w:val="20"/>
          <w:szCs w:val="20"/>
        </w:rPr>
        <w:t xml:space="preserve">et. al. </w:t>
      </w:r>
      <w:r w:rsidRPr="00307F49">
        <w:rPr>
          <w:rFonts w:ascii="Arial" w:eastAsia="TimesNewRomanPSMT" w:hAnsi="Arial" w:cs="Arial"/>
          <w:sz w:val="20"/>
          <w:szCs w:val="20"/>
        </w:rPr>
        <w:t xml:space="preserve">(2009), Jamaludin </w:t>
      </w:r>
      <w:r w:rsidRPr="00307F49">
        <w:rPr>
          <w:rFonts w:ascii="Arial" w:hAnsi="Arial" w:cs="Arial"/>
          <w:i/>
          <w:iCs/>
          <w:sz w:val="20"/>
          <w:szCs w:val="20"/>
        </w:rPr>
        <w:t xml:space="preserve">et. al. </w:t>
      </w:r>
      <w:r w:rsidRPr="00307F49">
        <w:rPr>
          <w:rFonts w:ascii="Arial" w:eastAsia="TimesNewRomanPSMT" w:hAnsi="Arial" w:cs="Arial"/>
          <w:sz w:val="20"/>
          <w:szCs w:val="20"/>
        </w:rPr>
        <w:t xml:space="preserve">(2010), Ortiz and Takahashi (2015), Mustafa </w:t>
      </w:r>
      <w:r w:rsidRPr="00307F49">
        <w:rPr>
          <w:rFonts w:ascii="Arial" w:hAnsi="Arial" w:cs="Arial"/>
          <w:i/>
          <w:iCs/>
          <w:sz w:val="20"/>
          <w:szCs w:val="20"/>
        </w:rPr>
        <w:t xml:space="preserve">et. al. </w:t>
      </w:r>
      <w:r w:rsidRPr="00307F49">
        <w:rPr>
          <w:rFonts w:ascii="Arial" w:eastAsia="TimesNewRomanPSMT" w:hAnsi="Arial" w:cs="Arial"/>
          <w:sz w:val="20"/>
          <w:szCs w:val="20"/>
        </w:rPr>
        <w:t xml:space="preserve">(2018) and Singh </w:t>
      </w:r>
      <w:r w:rsidRPr="00307F49">
        <w:rPr>
          <w:rFonts w:ascii="Arial" w:hAnsi="Arial" w:cs="Arial"/>
          <w:i/>
          <w:iCs/>
          <w:sz w:val="20"/>
          <w:szCs w:val="20"/>
        </w:rPr>
        <w:t xml:space="preserve">et. al. </w:t>
      </w:r>
      <w:r w:rsidRPr="00307F49">
        <w:rPr>
          <w:rFonts w:ascii="Arial" w:eastAsia="TimesNewRomanPSMT" w:hAnsi="Arial" w:cs="Arial"/>
          <w:sz w:val="20"/>
          <w:szCs w:val="20"/>
        </w:rPr>
        <w:t xml:space="preserve">(2022). It was observed that by 25 DAA, the red-violet coloration had already manifested in the pulp which indicated the degradation of chlorophyll and the synthesis of betacyanin. Jamaludin </w:t>
      </w:r>
      <w:r w:rsidRPr="00307F49">
        <w:rPr>
          <w:rFonts w:ascii="Arial" w:hAnsi="Arial" w:cs="Arial"/>
          <w:i/>
          <w:iCs/>
          <w:sz w:val="20"/>
          <w:szCs w:val="20"/>
        </w:rPr>
        <w:t xml:space="preserve">et. al. </w:t>
      </w:r>
      <w:r w:rsidRPr="00307F49">
        <w:rPr>
          <w:rFonts w:ascii="Arial" w:eastAsia="TimesNewRomanPSMT" w:hAnsi="Arial" w:cs="Arial"/>
          <w:sz w:val="20"/>
          <w:szCs w:val="20"/>
        </w:rPr>
        <w:t>(2010) reported that this red-viole</w:t>
      </w:r>
      <w:r w:rsidR="00E21C8F">
        <w:rPr>
          <w:rFonts w:ascii="Arial" w:eastAsia="TimesNewRomanPSMT" w:hAnsi="Arial" w:cs="Arial"/>
          <w:sz w:val="20"/>
          <w:szCs w:val="20"/>
        </w:rPr>
        <w:t>t</w:t>
      </w:r>
      <w:r w:rsidRPr="00307F49">
        <w:rPr>
          <w:rFonts w:ascii="Arial" w:eastAsia="TimesNewRomanPSMT" w:hAnsi="Arial" w:cs="Arial"/>
          <w:sz w:val="20"/>
          <w:szCs w:val="20"/>
        </w:rPr>
        <w:t xml:space="preserve"> </w:t>
      </w:r>
      <w:proofErr w:type="spellStart"/>
      <w:r w:rsidRPr="00307F49">
        <w:rPr>
          <w:rFonts w:ascii="Arial" w:eastAsia="TimesNewRomanPSMT" w:hAnsi="Arial" w:cs="Arial"/>
          <w:sz w:val="20"/>
          <w:szCs w:val="20"/>
        </w:rPr>
        <w:t>color</w:t>
      </w:r>
      <w:proofErr w:type="spellEnd"/>
      <w:r w:rsidRPr="00307F49">
        <w:rPr>
          <w:rFonts w:ascii="Arial" w:eastAsia="TimesNewRomanPSMT" w:hAnsi="Arial" w:cs="Arial"/>
          <w:sz w:val="20"/>
          <w:szCs w:val="20"/>
        </w:rPr>
        <w:t xml:space="preserve"> appears only after seeds have matured. In agreement with Phebe </w:t>
      </w:r>
      <w:r w:rsidRPr="00307F49">
        <w:rPr>
          <w:rFonts w:ascii="Arial" w:hAnsi="Arial" w:cs="Arial"/>
          <w:i/>
          <w:iCs/>
          <w:sz w:val="20"/>
          <w:szCs w:val="20"/>
        </w:rPr>
        <w:t xml:space="preserve">et. al. </w:t>
      </w:r>
      <w:r w:rsidRPr="00307F49">
        <w:rPr>
          <w:rFonts w:ascii="Arial" w:eastAsia="TimesNewRomanPSMT" w:hAnsi="Arial" w:cs="Arial"/>
          <w:sz w:val="20"/>
          <w:szCs w:val="20"/>
        </w:rPr>
        <w:t>(2009) who reported that synthesis of betacyanin pigment in flesh was earlier than that in peel, it was found that the colour of pulp had turned complete</w:t>
      </w:r>
      <w:r w:rsidR="00E21C8F">
        <w:rPr>
          <w:rFonts w:ascii="Arial" w:eastAsia="TimesNewRomanPSMT" w:hAnsi="Arial" w:cs="Arial"/>
          <w:sz w:val="20"/>
          <w:szCs w:val="20"/>
        </w:rPr>
        <w:t>ly</w:t>
      </w:r>
      <w:r w:rsidRPr="00307F49">
        <w:rPr>
          <w:rFonts w:ascii="Arial" w:eastAsia="TimesNewRomanPSMT" w:hAnsi="Arial" w:cs="Arial"/>
          <w:sz w:val="20"/>
          <w:szCs w:val="20"/>
        </w:rPr>
        <w:t xml:space="preserve"> red-violet at the initial harvest stage of 25 DAA while the peel was still green with signs of colour development. Among other factors, the availability of sugar and light activates the synthesis of this pigment, so along with the increase in sugar content, there is increase in betacyanin content as the fruit matures (Castellar </w:t>
      </w:r>
      <w:r w:rsidRPr="00307F49">
        <w:rPr>
          <w:rFonts w:ascii="Arial" w:hAnsi="Arial" w:cs="Arial"/>
          <w:i/>
          <w:iCs/>
          <w:sz w:val="20"/>
          <w:szCs w:val="20"/>
        </w:rPr>
        <w:t xml:space="preserve">et. al., </w:t>
      </w:r>
      <w:r w:rsidRPr="00307F49">
        <w:rPr>
          <w:rFonts w:ascii="Arial" w:eastAsia="TimesNewRomanPSMT" w:hAnsi="Arial" w:cs="Arial"/>
          <w:sz w:val="20"/>
          <w:szCs w:val="20"/>
        </w:rPr>
        <w:t>2003).</w:t>
      </w:r>
    </w:p>
    <w:p w14:paraId="4499989D" w14:textId="77777777" w:rsidR="00E21C8F" w:rsidRDefault="00E21C8F" w:rsidP="00E21C8F">
      <w:pPr>
        <w:pStyle w:val="NormalWeb"/>
        <w:spacing w:before="0" w:beforeAutospacing="0" w:after="0" w:afterAutospacing="0" w:line="276" w:lineRule="auto"/>
        <w:jc w:val="both"/>
        <w:rPr>
          <w:rFonts w:ascii="Arial" w:eastAsia="TimesNewRomanPSMT" w:hAnsi="Arial" w:cs="Arial"/>
          <w:sz w:val="20"/>
          <w:szCs w:val="20"/>
        </w:rPr>
      </w:pPr>
    </w:p>
    <w:p w14:paraId="5951472B" w14:textId="77777777" w:rsidR="00E21C8F" w:rsidRDefault="00125765" w:rsidP="00E21C8F">
      <w:pPr>
        <w:pStyle w:val="NormalWeb"/>
        <w:spacing w:before="0" w:beforeAutospacing="0" w:after="0" w:afterAutospacing="0" w:line="276" w:lineRule="auto"/>
        <w:jc w:val="both"/>
        <w:rPr>
          <w:rFonts w:ascii="Arial" w:hAnsi="Arial" w:cs="Arial"/>
          <w:b/>
          <w:bCs/>
          <w:sz w:val="20"/>
          <w:szCs w:val="20"/>
        </w:rPr>
      </w:pPr>
      <w:r w:rsidRPr="00307F49">
        <w:rPr>
          <w:rFonts w:ascii="Arial" w:hAnsi="Arial" w:cs="Arial"/>
          <w:b/>
          <w:bCs/>
          <w:sz w:val="20"/>
          <w:szCs w:val="20"/>
        </w:rPr>
        <w:t>Betacyanin content in peel (mg/100g of fresh wt.)</w:t>
      </w:r>
    </w:p>
    <w:p w14:paraId="3691147B" w14:textId="582BDB76" w:rsidR="00E21C8F" w:rsidRDefault="00125765" w:rsidP="00E21C8F">
      <w:pPr>
        <w:pStyle w:val="NormalWeb"/>
        <w:spacing w:before="0" w:beforeAutospacing="0" w:after="0" w:afterAutospacing="0" w:line="276" w:lineRule="auto"/>
        <w:ind w:firstLine="720"/>
        <w:jc w:val="both"/>
        <w:rPr>
          <w:rFonts w:ascii="Arial" w:eastAsia="TimesNewRomanPSMT" w:hAnsi="Arial" w:cs="Arial"/>
          <w:sz w:val="20"/>
          <w:szCs w:val="20"/>
        </w:rPr>
      </w:pPr>
      <w:r w:rsidRPr="00307F49">
        <w:rPr>
          <w:rFonts w:ascii="Arial" w:eastAsia="TimesNewRomanPSMT" w:hAnsi="Arial" w:cs="Arial"/>
          <w:sz w:val="20"/>
          <w:szCs w:val="20"/>
        </w:rPr>
        <w:t>Among the harvesting stages, the maximum content (36.53 mg/100g) was recorded in H</w:t>
      </w:r>
      <w:r w:rsidRPr="00307F49">
        <w:rPr>
          <w:rFonts w:ascii="Arial" w:eastAsia="TimesNewRomanPSMT" w:hAnsi="Arial" w:cs="Arial"/>
          <w:position w:val="-2"/>
          <w:sz w:val="20"/>
          <w:szCs w:val="20"/>
        </w:rPr>
        <w:t xml:space="preserve">3 </w:t>
      </w:r>
      <w:r w:rsidRPr="00307F49">
        <w:rPr>
          <w:rFonts w:ascii="Arial" w:eastAsia="TimesNewRomanPSMT" w:hAnsi="Arial" w:cs="Arial"/>
          <w:sz w:val="20"/>
          <w:szCs w:val="20"/>
        </w:rPr>
        <w:t>(35 DAA), followed by H</w:t>
      </w:r>
      <w:r w:rsidRPr="00307F49">
        <w:rPr>
          <w:rFonts w:ascii="Arial" w:eastAsia="TimesNewRomanPSMT" w:hAnsi="Arial" w:cs="Arial"/>
          <w:position w:val="-2"/>
          <w:sz w:val="20"/>
          <w:szCs w:val="20"/>
        </w:rPr>
        <w:t xml:space="preserve">2 </w:t>
      </w:r>
      <w:r w:rsidRPr="00307F49">
        <w:rPr>
          <w:rFonts w:ascii="Arial" w:eastAsia="TimesNewRomanPSMT" w:hAnsi="Arial" w:cs="Arial"/>
          <w:sz w:val="20"/>
          <w:szCs w:val="20"/>
        </w:rPr>
        <w:t>(30 DAA) with 28.70 mg/100g and the minimum value (20.37 mg/100g) was recorded in H</w:t>
      </w:r>
      <w:r w:rsidRPr="00307F49">
        <w:rPr>
          <w:rFonts w:ascii="Arial" w:eastAsia="TimesNewRomanPSMT" w:hAnsi="Arial" w:cs="Arial"/>
          <w:position w:val="-2"/>
          <w:sz w:val="20"/>
          <w:szCs w:val="20"/>
        </w:rPr>
        <w:t xml:space="preserve">1 </w:t>
      </w:r>
      <w:r w:rsidRPr="00307F49">
        <w:rPr>
          <w:rFonts w:ascii="Arial" w:eastAsia="TimesNewRomanPSMT" w:hAnsi="Arial" w:cs="Arial"/>
          <w:sz w:val="20"/>
          <w:szCs w:val="20"/>
        </w:rPr>
        <w:t>(25 DAA). As it was found in pulp, the betacyanin content gradually increased as the fruit undergo maturation and development.</w:t>
      </w:r>
      <w:r w:rsidR="00293775">
        <w:rPr>
          <w:rFonts w:ascii="Arial" w:eastAsia="TimesNewRomanPSMT" w:hAnsi="Arial" w:cs="Arial"/>
          <w:sz w:val="20"/>
          <w:szCs w:val="20"/>
        </w:rPr>
        <w:t xml:space="preserve"> The</w:t>
      </w:r>
      <w:r w:rsidRPr="00307F49">
        <w:rPr>
          <w:rFonts w:ascii="Arial" w:eastAsia="TimesNewRomanPSMT" w:hAnsi="Arial" w:cs="Arial"/>
          <w:sz w:val="20"/>
          <w:szCs w:val="20"/>
        </w:rPr>
        <w:t xml:space="preserve"> loss</w:t>
      </w:r>
      <w:r w:rsidR="00293775">
        <w:rPr>
          <w:rFonts w:ascii="Arial" w:eastAsia="TimesNewRomanPSMT" w:hAnsi="Arial" w:cs="Arial"/>
          <w:sz w:val="20"/>
          <w:szCs w:val="20"/>
        </w:rPr>
        <w:t xml:space="preserve"> in</w:t>
      </w:r>
      <w:r w:rsidRPr="00307F49">
        <w:rPr>
          <w:rFonts w:ascii="Arial" w:eastAsia="TimesNewRomanPSMT" w:hAnsi="Arial" w:cs="Arial"/>
          <w:sz w:val="20"/>
          <w:szCs w:val="20"/>
        </w:rPr>
        <w:t xml:space="preserve"> green colour</w:t>
      </w:r>
      <w:r w:rsidR="00293775">
        <w:rPr>
          <w:rFonts w:ascii="Arial" w:eastAsia="TimesNewRomanPSMT" w:hAnsi="Arial" w:cs="Arial"/>
          <w:sz w:val="20"/>
          <w:szCs w:val="20"/>
        </w:rPr>
        <w:t>ation of peel is</w:t>
      </w:r>
      <w:r w:rsidRPr="00307F49">
        <w:rPr>
          <w:rFonts w:ascii="Arial" w:eastAsia="TimesNewRomanPSMT" w:hAnsi="Arial" w:cs="Arial"/>
          <w:sz w:val="20"/>
          <w:szCs w:val="20"/>
        </w:rPr>
        <w:t xml:space="preserve"> due to diminishing chlorophyll content, which is followed by synthesis of betacyanin pigment (Phebe </w:t>
      </w:r>
      <w:r w:rsidRPr="00307F49">
        <w:rPr>
          <w:rFonts w:ascii="Arial" w:hAnsi="Arial" w:cs="Arial"/>
          <w:i/>
          <w:iCs/>
          <w:sz w:val="20"/>
          <w:szCs w:val="20"/>
        </w:rPr>
        <w:t>et. al.</w:t>
      </w:r>
      <w:r w:rsidRPr="00307F49">
        <w:rPr>
          <w:rFonts w:ascii="Arial" w:eastAsia="TimesNewRomanPSMT" w:hAnsi="Arial" w:cs="Arial"/>
          <w:sz w:val="20"/>
          <w:szCs w:val="20"/>
        </w:rPr>
        <w:t>, 2009) giving the red coloration as the fruit advances in maturity. Also, high concentration of pectin in fruit hamper extraction of betacyanin (Chia and Chong, 2015) thus, lower amount is found in immature fruits.</w:t>
      </w:r>
    </w:p>
    <w:p w14:paraId="7A9FE3F8" w14:textId="77777777" w:rsidR="0076283F" w:rsidRDefault="0076283F" w:rsidP="0076283F">
      <w:pPr>
        <w:pStyle w:val="NormalWeb"/>
        <w:spacing w:before="0" w:beforeAutospacing="0" w:after="0" w:afterAutospacing="0" w:line="276" w:lineRule="auto"/>
        <w:jc w:val="both"/>
        <w:rPr>
          <w:rFonts w:ascii="Arial" w:hAnsi="Arial" w:cs="Arial"/>
          <w:b/>
          <w:sz w:val="20"/>
          <w:szCs w:val="20"/>
        </w:rPr>
      </w:pPr>
    </w:p>
    <w:p w14:paraId="258F1443" w14:textId="1EA9FEC7" w:rsidR="0076283F" w:rsidRDefault="0076283F" w:rsidP="0076283F">
      <w:pPr>
        <w:pStyle w:val="NormalWeb"/>
        <w:spacing w:before="0" w:beforeAutospacing="0" w:after="0" w:afterAutospacing="0" w:line="276" w:lineRule="auto"/>
        <w:jc w:val="both"/>
        <w:rPr>
          <w:rFonts w:ascii="Arial" w:hAnsi="Arial" w:cs="Arial"/>
          <w:sz w:val="20"/>
          <w:szCs w:val="20"/>
        </w:rPr>
      </w:pPr>
      <w:r w:rsidRPr="0076283F">
        <w:rPr>
          <w:rFonts w:ascii="Arial" w:hAnsi="Arial" w:cs="Arial"/>
          <w:b/>
          <w:sz w:val="20"/>
          <w:szCs w:val="20"/>
        </w:rPr>
        <w:t>Table 1:</w:t>
      </w:r>
      <w:r>
        <w:rPr>
          <w:rFonts w:ascii="Arial" w:hAnsi="Arial" w:cs="Arial"/>
          <w:sz w:val="20"/>
          <w:szCs w:val="20"/>
        </w:rPr>
        <w:t xml:space="preserve"> P</w:t>
      </w:r>
      <w:r w:rsidRPr="0076283F">
        <w:rPr>
          <w:rFonts w:ascii="Arial" w:hAnsi="Arial" w:cs="Arial"/>
          <w:sz w:val="20"/>
          <w:szCs w:val="20"/>
        </w:rPr>
        <w:t>hysicochemical properties</w:t>
      </w:r>
      <w:r>
        <w:rPr>
          <w:rFonts w:ascii="Arial" w:hAnsi="Arial" w:cs="Arial"/>
          <w:sz w:val="20"/>
          <w:szCs w:val="20"/>
        </w:rPr>
        <w:t xml:space="preserve"> </w:t>
      </w:r>
      <w:r w:rsidRPr="0076283F">
        <w:rPr>
          <w:rFonts w:ascii="Arial" w:hAnsi="Arial" w:cs="Arial"/>
          <w:sz w:val="20"/>
          <w:szCs w:val="20"/>
        </w:rPr>
        <w:t>of Dragon Fruit</w:t>
      </w:r>
      <w:r>
        <w:rPr>
          <w:rFonts w:ascii="Arial" w:hAnsi="Arial" w:cs="Arial"/>
          <w:sz w:val="20"/>
          <w:szCs w:val="20"/>
        </w:rPr>
        <w:t xml:space="preserve"> </w:t>
      </w:r>
    </w:p>
    <w:p w14:paraId="7809174D" w14:textId="5A06F69A" w:rsidR="00E21C8F" w:rsidRDefault="00E21C8F" w:rsidP="00E21C8F">
      <w:pPr>
        <w:pStyle w:val="NormalWeb"/>
        <w:spacing w:before="0" w:beforeAutospacing="0" w:after="0" w:afterAutospacing="0" w:line="276" w:lineRule="auto"/>
        <w:jc w:val="both"/>
        <w:rPr>
          <w:rFonts w:ascii="Arial" w:hAnsi="Arial" w:cs="Arial"/>
          <w:sz w:val="20"/>
          <w:szCs w:val="20"/>
        </w:rPr>
      </w:pPr>
    </w:p>
    <w:tbl>
      <w:tblPr>
        <w:tblStyle w:val="TableGrid"/>
        <w:tblW w:w="9181" w:type="dxa"/>
        <w:tblLook w:val="04A0" w:firstRow="1" w:lastRow="0" w:firstColumn="1" w:lastColumn="0" w:noHBand="0" w:noVBand="1"/>
      </w:tblPr>
      <w:tblGrid>
        <w:gridCol w:w="1189"/>
        <w:gridCol w:w="598"/>
        <w:gridCol w:w="625"/>
        <w:gridCol w:w="756"/>
        <w:gridCol w:w="598"/>
        <w:gridCol w:w="598"/>
        <w:gridCol w:w="755"/>
        <w:gridCol w:w="638"/>
        <w:gridCol w:w="638"/>
        <w:gridCol w:w="755"/>
        <w:gridCol w:w="638"/>
        <w:gridCol w:w="638"/>
        <w:gridCol w:w="755"/>
      </w:tblGrid>
      <w:tr w:rsidR="00293775" w:rsidRPr="00293775" w14:paraId="2D3282B0" w14:textId="4101BB92" w:rsidTr="00293775">
        <w:trPr>
          <w:trHeight w:val="658"/>
        </w:trPr>
        <w:tc>
          <w:tcPr>
            <w:tcW w:w="1189" w:type="dxa"/>
            <w:vMerge w:val="restart"/>
          </w:tcPr>
          <w:p w14:paraId="6C2B0D0A" w14:textId="7622E38A" w:rsidR="00C52AD3" w:rsidRPr="00293775" w:rsidRDefault="00C52AD3" w:rsidP="00C52AD3">
            <w:pPr>
              <w:pStyle w:val="NormalWeb"/>
              <w:spacing w:before="0" w:beforeAutospacing="0" w:after="0" w:afterAutospacing="0" w:line="276" w:lineRule="auto"/>
              <w:jc w:val="center"/>
              <w:rPr>
                <w:rFonts w:ascii="Arial" w:hAnsi="Arial" w:cs="Arial"/>
                <w:b/>
                <w:bCs/>
                <w:sz w:val="16"/>
                <w:szCs w:val="16"/>
              </w:rPr>
            </w:pPr>
            <w:r w:rsidRPr="00293775">
              <w:rPr>
                <w:rFonts w:ascii="Arial" w:hAnsi="Arial" w:cs="Arial"/>
                <w:b/>
                <w:bCs/>
                <w:sz w:val="16"/>
                <w:szCs w:val="16"/>
              </w:rPr>
              <w:t>Treatments</w:t>
            </w:r>
          </w:p>
        </w:tc>
        <w:tc>
          <w:tcPr>
            <w:tcW w:w="1979" w:type="dxa"/>
            <w:gridSpan w:val="3"/>
          </w:tcPr>
          <w:p w14:paraId="2A8B8D31" w14:textId="489FE6DF" w:rsidR="00C52AD3" w:rsidRPr="00293775" w:rsidRDefault="00C52AD3" w:rsidP="00C52AD3">
            <w:pPr>
              <w:pStyle w:val="NormalWeb"/>
              <w:spacing w:before="0" w:beforeAutospacing="0" w:after="0" w:afterAutospacing="0" w:line="276" w:lineRule="auto"/>
              <w:jc w:val="center"/>
              <w:rPr>
                <w:rFonts w:ascii="Arial" w:hAnsi="Arial" w:cs="Arial"/>
                <w:b/>
                <w:bCs/>
                <w:sz w:val="16"/>
                <w:szCs w:val="16"/>
              </w:rPr>
            </w:pPr>
            <w:r w:rsidRPr="00293775">
              <w:rPr>
                <w:rFonts w:ascii="Arial" w:hAnsi="Arial" w:cs="Arial"/>
                <w:b/>
                <w:bCs/>
                <w:sz w:val="16"/>
                <w:szCs w:val="16"/>
              </w:rPr>
              <w:t>Ascorbic acid (mg/100ml)</w:t>
            </w:r>
          </w:p>
        </w:tc>
        <w:tc>
          <w:tcPr>
            <w:tcW w:w="1951" w:type="dxa"/>
            <w:gridSpan w:val="3"/>
          </w:tcPr>
          <w:p w14:paraId="3D11FE93" w14:textId="5723110B" w:rsidR="00C52AD3" w:rsidRPr="00293775" w:rsidRDefault="00C52AD3" w:rsidP="00C52AD3">
            <w:pPr>
              <w:pStyle w:val="NormalWeb"/>
              <w:spacing w:before="0" w:beforeAutospacing="0" w:after="0" w:afterAutospacing="0" w:line="276" w:lineRule="auto"/>
              <w:rPr>
                <w:rFonts w:ascii="Arial" w:hAnsi="Arial" w:cs="Arial"/>
                <w:b/>
                <w:bCs/>
                <w:sz w:val="16"/>
                <w:szCs w:val="16"/>
              </w:rPr>
            </w:pPr>
            <w:r w:rsidRPr="00293775">
              <w:rPr>
                <w:rFonts w:ascii="Arial" w:hAnsi="Arial" w:cs="Arial"/>
                <w:b/>
                <w:bCs/>
                <w:sz w:val="16"/>
                <w:szCs w:val="16"/>
              </w:rPr>
              <w:t>Total phenolic content (mg GAE/100g FW)</w:t>
            </w:r>
          </w:p>
        </w:tc>
        <w:tc>
          <w:tcPr>
            <w:tcW w:w="2031" w:type="dxa"/>
            <w:gridSpan w:val="3"/>
          </w:tcPr>
          <w:p w14:paraId="2838FC44" w14:textId="3DC55CA6" w:rsidR="00C52AD3" w:rsidRPr="00293775" w:rsidRDefault="00C52AD3" w:rsidP="00C52AD3">
            <w:pPr>
              <w:pStyle w:val="NormalWeb"/>
              <w:spacing w:before="0" w:beforeAutospacing="0" w:after="0" w:afterAutospacing="0" w:line="276" w:lineRule="auto"/>
              <w:jc w:val="center"/>
              <w:rPr>
                <w:rFonts w:ascii="Arial" w:hAnsi="Arial" w:cs="Arial"/>
                <w:b/>
                <w:bCs/>
                <w:sz w:val="16"/>
                <w:szCs w:val="16"/>
              </w:rPr>
            </w:pPr>
            <w:r w:rsidRPr="00293775">
              <w:rPr>
                <w:rFonts w:ascii="Arial" w:hAnsi="Arial" w:cs="Arial"/>
                <w:b/>
                <w:bCs/>
                <w:sz w:val="16"/>
                <w:szCs w:val="16"/>
              </w:rPr>
              <w:t>Betacyanin in pulp (mg/100g FW)</w:t>
            </w:r>
          </w:p>
        </w:tc>
        <w:tc>
          <w:tcPr>
            <w:tcW w:w="2031" w:type="dxa"/>
            <w:gridSpan w:val="3"/>
          </w:tcPr>
          <w:p w14:paraId="7A859964" w14:textId="08FAD364" w:rsidR="00C52AD3" w:rsidRPr="00293775" w:rsidRDefault="00C52AD3" w:rsidP="00C52AD3">
            <w:pPr>
              <w:pStyle w:val="NormalWeb"/>
              <w:spacing w:before="0" w:beforeAutospacing="0" w:after="0" w:afterAutospacing="0" w:line="276" w:lineRule="auto"/>
              <w:jc w:val="center"/>
              <w:rPr>
                <w:rFonts w:ascii="Arial" w:hAnsi="Arial" w:cs="Arial"/>
                <w:b/>
                <w:bCs/>
                <w:sz w:val="16"/>
                <w:szCs w:val="16"/>
              </w:rPr>
            </w:pPr>
            <w:r w:rsidRPr="00293775">
              <w:rPr>
                <w:rFonts w:ascii="Arial" w:hAnsi="Arial" w:cs="Arial"/>
                <w:b/>
                <w:bCs/>
                <w:sz w:val="16"/>
                <w:szCs w:val="16"/>
              </w:rPr>
              <w:t>Betacyanin in peel (mg/100g FW)</w:t>
            </w:r>
          </w:p>
        </w:tc>
      </w:tr>
      <w:tr w:rsidR="00293775" w:rsidRPr="00293775" w14:paraId="030249AD" w14:textId="725A9653" w:rsidTr="00293775">
        <w:trPr>
          <w:trHeight w:val="271"/>
        </w:trPr>
        <w:tc>
          <w:tcPr>
            <w:tcW w:w="1189" w:type="dxa"/>
            <w:vMerge/>
            <w:vAlign w:val="center"/>
          </w:tcPr>
          <w:p w14:paraId="05CC6671" w14:textId="3D3F6FF5" w:rsidR="00C52AD3" w:rsidRPr="00293775" w:rsidRDefault="00C52AD3" w:rsidP="00C52AD3">
            <w:pPr>
              <w:pStyle w:val="NormalWeb"/>
              <w:spacing w:before="0" w:beforeAutospacing="0" w:after="0" w:afterAutospacing="0" w:line="276" w:lineRule="auto"/>
              <w:jc w:val="both"/>
              <w:rPr>
                <w:rFonts w:ascii="Arial" w:hAnsi="Arial" w:cs="Arial"/>
                <w:b/>
                <w:bCs/>
                <w:sz w:val="16"/>
                <w:szCs w:val="16"/>
              </w:rPr>
            </w:pPr>
          </w:p>
        </w:tc>
        <w:tc>
          <w:tcPr>
            <w:tcW w:w="598" w:type="dxa"/>
          </w:tcPr>
          <w:p w14:paraId="0D82C1FD" w14:textId="06297251" w:rsidR="00C52AD3" w:rsidRPr="00293775" w:rsidRDefault="00C52AD3" w:rsidP="00C52AD3">
            <w:pPr>
              <w:pStyle w:val="NormalWeb"/>
              <w:spacing w:before="0" w:beforeAutospacing="0" w:after="0" w:afterAutospacing="0" w:line="276" w:lineRule="auto"/>
              <w:jc w:val="both"/>
              <w:rPr>
                <w:rFonts w:ascii="Arial" w:hAnsi="Arial" w:cs="Arial"/>
                <w:b/>
                <w:bCs/>
                <w:sz w:val="16"/>
                <w:szCs w:val="16"/>
              </w:rPr>
            </w:pPr>
            <w:r w:rsidRPr="00293775">
              <w:rPr>
                <w:rFonts w:ascii="Arial" w:hAnsi="Arial" w:cs="Arial"/>
                <w:b/>
                <w:bCs/>
                <w:sz w:val="16"/>
                <w:szCs w:val="16"/>
              </w:rPr>
              <w:t>2021</w:t>
            </w:r>
          </w:p>
        </w:tc>
        <w:tc>
          <w:tcPr>
            <w:tcW w:w="625" w:type="dxa"/>
          </w:tcPr>
          <w:p w14:paraId="6C58BE94" w14:textId="07CC1F54" w:rsidR="00C52AD3" w:rsidRPr="00293775" w:rsidRDefault="00C52AD3" w:rsidP="00C52AD3">
            <w:pPr>
              <w:pStyle w:val="NormalWeb"/>
              <w:spacing w:before="0" w:beforeAutospacing="0" w:after="0" w:afterAutospacing="0" w:line="276" w:lineRule="auto"/>
              <w:jc w:val="both"/>
              <w:rPr>
                <w:rFonts w:ascii="Arial" w:hAnsi="Arial" w:cs="Arial"/>
                <w:b/>
                <w:bCs/>
                <w:sz w:val="16"/>
                <w:szCs w:val="16"/>
              </w:rPr>
            </w:pPr>
            <w:r w:rsidRPr="00293775">
              <w:rPr>
                <w:rFonts w:ascii="Arial" w:hAnsi="Arial" w:cs="Arial"/>
                <w:b/>
                <w:bCs/>
                <w:sz w:val="16"/>
                <w:szCs w:val="16"/>
              </w:rPr>
              <w:t>2022</w:t>
            </w:r>
          </w:p>
        </w:tc>
        <w:tc>
          <w:tcPr>
            <w:tcW w:w="755" w:type="dxa"/>
          </w:tcPr>
          <w:p w14:paraId="23943266" w14:textId="564D98AC" w:rsidR="00C52AD3" w:rsidRPr="00293775" w:rsidRDefault="00C52AD3" w:rsidP="00C52AD3">
            <w:pPr>
              <w:pStyle w:val="NormalWeb"/>
              <w:spacing w:before="0" w:beforeAutospacing="0" w:after="0" w:afterAutospacing="0" w:line="276" w:lineRule="auto"/>
              <w:jc w:val="both"/>
              <w:rPr>
                <w:rFonts w:ascii="Arial" w:hAnsi="Arial" w:cs="Arial"/>
                <w:b/>
                <w:bCs/>
                <w:sz w:val="16"/>
                <w:szCs w:val="16"/>
              </w:rPr>
            </w:pPr>
            <w:r w:rsidRPr="00293775">
              <w:rPr>
                <w:rFonts w:ascii="Arial" w:hAnsi="Arial" w:cs="Arial"/>
                <w:b/>
                <w:bCs/>
                <w:sz w:val="16"/>
                <w:szCs w:val="16"/>
              </w:rPr>
              <w:t>pooled</w:t>
            </w:r>
          </w:p>
        </w:tc>
        <w:tc>
          <w:tcPr>
            <w:tcW w:w="598" w:type="dxa"/>
          </w:tcPr>
          <w:p w14:paraId="075E25A3" w14:textId="4050BC85" w:rsidR="00C52AD3" w:rsidRPr="00293775" w:rsidRDefault="00C52AD3" w:rsidP="00C52AD3">
            <w:pPr>
              <w:pStyle w:val="NormalWeb"/>
              <w:spacing w:before="0" w:beforeAutospacing="0" w:after="0" w:afterAutospacing="0" w:line="276" w:lineRule="auto"/>
              <w:jc w:val="both"/>
              <w:rPr>
                <w:rFonts w:ascii="Arial" w:hAnsi="Arial" w:cs="Arial"/>
                <w:b/>
                <w:bCs/>
                <w:sz w:val="16"/>
                <w:szCs w:val="16"/>
              </w:rPr>
            </w:pPr>
            <w:r w:rsidRPr="00293775">
              <w:rPr>
                <w:rFonts w:ascii="Arial" w:hAnsi="Arial" w:cs="Arial"/>
                <w:b/>
                <w:bCs/>
                <w:sz w:val="16"/>
                <w:szCs w:val="16"/>
              </w:rPr>
              <w:t>2021</w:t>
            </w:r>
          </w:p>
        </w:tc>
        <w:tc>
          <w:tcPr>
            <w:tcW w:w="598" w:type="dxa"/>
          </w:tcPr>
          <w:p w14:paraId="41D682A1" w14:textId="3CE65ED0" w:rsidR="00C52AD3" w:rsidRPr="00293775" w:rsidRDefault="00C52AD3" w:rsidP="00C52AD3">
            <w:pPr>
              <w:pStyle w:val="NormalWeb"/>
              <w:spacing w:before="0" w:beforeAutospacing="0" w:after="0" w:afterAutospacing="0" w:line="276" w:lineRule="auto"/>
              <w:jc w:val="both"/>
              <w:rPr>
                <w:rFonts w:ascii="Arial" w:hAnsi="Arial" w:cs="Arial"/>
                <w:b/>
                <w:bCs/>
                <w:sz w:val="16"/>
                <w:szCs w:val="16"/>
              </w:rPr>
            </w:pPr>
            <w:r w:rsidRPr="00293775">
              <w:rPr>
                <w:rFonts w:ascii="Arial" w:hAnsi="Arial" w:cs="Arial"/>
                <w:b/>
                <w:bCs/>
                <w:sz w:val="16"/>
                <w:szCs w:val="16"/>
              </w:rPr>
              <w:t>2022</w:t>
            </w:r>
          </w:p>
        </w:tc>
        <w:tc>
          <w:tcPr>
            <w:tcW w:w="755" w:type="dxa"/>
          </w:tcPr>
          <w:p w14:paraId="5D5E3EF7" w14:textId="7CC4D8B7" w:rsidR="00C52AD3" w:rsidRPr="00293775" w:rsidRDefault="00C52AD3" w:rsidP="00C52AD3">
            <w:pPr>
              <w:pStyle w:val="NormalWeb"/>
              <w:spacing w:before="0" w:beforeAutospacing="0" w:after="0" w:afterAutospacing="0" w:line="276" w:lineRule="auto"/>
              <w:jc w:val="both"/>
              <w:rPr>
                <w:rFonts w:ascii="Arial" w:hAnsi="Arial" w:cs="Arial"/>
                <w:b/>
                <w:bCs/>
                <w:sz w:val="16"/>
                <w:szCs w:val="16"/>
              </w:rPr>
            </w:pPr>
            <w:r w:rsidRPr="00293775">
              <w:rPr>
                <w:rFonts w:ascii="Arial" w:hAnsi="Arial" w:cs="Arial"/>
                <w:b/>
                <w:bCs/>
                <w:sz w:val="16"/>
                <w:szCs w:val="16"/>
              </w:rPr>
              <w:t>pooled</w:t>
            </w:r>
          </w:p>
        </w:tc>
        <w:tc>
          <w:tcPr>
            <w:tcW w:w="638" w:type="dxa"/>
          </w:tcPr>
          <w:p w14:paraId="03A279D4" w14:textId="16DEA198" w:rsidR="00C52AD3" w:rsidRPr="00293775" w:rsidRDefault="00C52AD3" w:rsidP="00C52AD3">
            <w:pPr>
              <w:pStyle w:val="NormalWeb"/>
              <w:spacing w:before="0" w:beforeAutospacing="0" w:after="0" w:afterAutospacing="0" w:line="276" w:lineRule="auto"/>
              <w:jc w:val="both"/>
              <w:rPr>
                <w:rFonts w:ascii="Arial" w:hAnsi="Arial" w:cs="Arial"/>
                <w:b/>
                <w:bCs/>
                <w:sz w:val="16"/>
                <w:szCs w:val="16"/>
              </w:rPr>
            </w:pPr>
            <w:r w:rsidRPr="00293775">
              <w:rPr>
                <w:rFonts w:ascii="Arial" w:hAnsi="Arial" w:cs="Arial"/>
                <w:b/>
                <w:bCs/>
                <w:sz w:val="16"/>
                <w:szCs w:val="16"/>
              </w:rPr>
              <w:t>2021</w:t>
            </w:r>
          </w:p>
        </w:tc>
        <w:tc>
          <w:tcPr>
            <w:tcW w:w="638" w:type="dxa"/>
          </w:tcPr>
          <w:p w14:paraId="0B28634E" w14:textId="75E9FDC3" w:rsidR="00C52AD3" w:rsidRPr="00293775" w:rsidRDefault="00C52AD3" w:rsidP="00C52AD3">
            <w:pPr>
              <w:pStyle w:val="NormalWeb"/>
              <w:spacing w:before="0" w:beforeAutospacing="0" w:after="0" w:afterAutospacing="0" w:line="276" w:lineRule="auto"/>
              <w:jc w:val="both"/>
              <w:rPr>
                <w:rFonts w:ascii="Arial" w:hAnsi="Arial" w:cs="Arial"/>
                <w:b/>
                <w:bCs/>
                <w:sz w:val="16"/>
                <w:szCs w:val="16"/>
              </w:rPr>
            </w:pPr>
            <w:r w:rsidRPr="00293775">
              <w:rPr>
                <w:rFonts w:ascii="Arial" w:hAnsi="Arial" w:cs="Arial"/>
                <w:b/>
                <w:bCs/>
                <w:sz w:val="16"/>
                <w:szCs w:val="16"/>
              </w:rPr>
              <w:t>2022</w:t>
            </w:r>
          </w:p>
        </w:tc>
        <w:tc>
          <w:tcPr>
            <w:tcW w:w="755" w:type="dxa"/>
          </w:tcPr>
          <w:p w14:paraId="27765E09" w14:textId="2CB925DD" w:rsidR="00C52AD3" w:rsidRPr="00293775" w:rsidRDefault="00C52AD3" w:rsidP="00C52AD3">
            <w:pPr>
              <w:pStyle w:val="NormalWeb"/>
              <w:spacing w:before="0" w:beforeAutospacing="0" w:after="0" w:afterAutospacing="0" w:line="276" w:lineRule="auto"/>
              <w:jc w:val="both"/>
              <w:rPr>
                <w:rFonts w:ascii="Arial" w:hAnsi="Arial" w:cs="Arial"/>
                <w:b/>
                <w:bCs/>
                <w:sz w:val="16"/>
                <w:szCs w:val="16"/>
              </w:rPr>
            </w:pPr>
            <w:r w:rsidRPr="00293775">
              <w:rPr>
                <w:rFonts w:ascii="Arial" w:hAnsi="Arial" w:cs="Arial"/>
                <w:b/>
                <w:bCs/>
                <w:sz w:val="16"/>
                <w:szCs w:val="16"/>
              </w:rPr>
              <w:t>pooled</w:t>
            </w:r>
          </w:p>
        </w:tc>
        <w:tc>
          <w:tcPr>
            <w:tcW w:w="638" w:type="dxa"/>
          </w:tcPr>
          <w:p w14:paraId="2226F1B0" w14:textId="6333864B" w:rsidR="00C52AD3" w:rsidRPr="00293775" w:rsidRDefault="00C52AD3" w:rsidP="00C52AD3">
            <w:pPr>
              <w:pStyle w:val="NormalWeb"/>
              <w:spacing w:before="0" w:beforeAutospacing="0" w:after="0" w:afterAutospacing="0" w:line="276" w:lineRule="auto"/>
              <w:jc w:val="both"/>
              <w:rPr>
                <w:rFonts w:ascii="Arial" w:hAnsi="Arial" w:cs="Arial"/>
                <w:b/>
                <w:bCs/>
                <w:sz w:val="16"/>
                <w:szCs w:val="16"/>
              </w:rPr>
            </w:pPr>
            <w:r w:rsidRPr="00293775">
              <w:rPr>
                <w:rFonts w:ascii="Arial" w:hAnsi="Arial" w:cs="Arial"/>
                <w:b/>
                <w:bCs/>
                <w:sz w:val="16"/>
                <w:szCs w:val="16"/>
              </w:rPr>
              <w:t>2021</w:t>
            </w:r>
          </w:p>
        </w:tc>
        <w:tc>
          <w:tcPr>
            <w:tcW w:w="638" w:type="dxa"/>
          </w:tcPr>
          <w:p w14:paraId="0F1E7DC4" w14:textId="4AB3C516" w:rsidR="00C52AD3" w:rsidRPr="00293775" w:rsidRDefault="00C52AD3" w:rsidP="00C52AD3">
            <w:pPr>
              <w:pStyle w:val="NormalWeb"/>
              <w:spacing w:before="0" w:beforeAutospacing="0" w:after="0" w:afterAutospacing="0" w:line="276" w:lineRule="auto"/>
              <w:jc w:val="both"/>
              <w:rPr>
                <w:rFonts w:ascii="Arial" w:hAnsi="Arial" w:cs="Arial"/>
                <w:b/>
                <w:bCs/>
                <w:sz w:val="16"/>
                <w:szCs w:val="16"/>
              </w:rPr>
            </w:pPr>
            <w:r w:rsidRPr="00293775">
              <w:rPr>
                <w:rFonts w:ascii="Arial" w:hAnsi="Arial" w:cs="Arial"/>
                <w:b/>
                <w:bCs/>
                <w:sz w:val="16"/>
                <w:szCs w:val="16"/>
              </w:rPr>
              <w:t>2022</w:t>
            </w:r>
          </w:p>
        </w:tc>
        <w:tc>
          <w:tcPr>
            <w:tcW w:w="755" w:type="dxa"/>
          </w:tcPr>
          <w:p w14:paraId="1845D7E1" w14:textId="6D9CAEA9" w:rsidR="00C52AD3" w:rsidRPr="00293775" w:rsidRDefault="00C52AD3" w:rsidP="00C52AD3">
            <w:pPr>
              <w:pStyle w:val="NormalWeb"/>
              <w:spacing w:before="0" w:beforeAutospacing="0" w:after="0" w:afterAutospacing="0" w:line="276" w:lineRule="auto"/>
              <w:jc w:val="both"/>
              <w:rPr>
                <w:rFonts w:ascii="Arial" w:hAnsi="Arial" w:cs="Arial"/>
                <w:b/>
                <w:bCs/>
                <w:sz w:val="16"/>
                <w:szCs w:val="16"/>
              </w:rPr>
            </w:pPr>
            <w:r w:rsidRPr="00293775">
              <w:rPr>
                <w:rFonts w:ascii="Arial" w:hAnsi="Arial" w:cs="Arial"/>
                <w:b/>
                <w:bCs/>
                <w:sz w:val="16"/>
                <w:szCs w:val="16"/>
              </w:rPr>
              <w:t>pooled</w:t>
            </w:r>
          </w:p>
        </w:tc>
      </w:tr>
      <w:tr w:rsidR="00293775" w:rsidRPr="00293775" w14:paraId="11CE2E59" w14:textId="4A77919A" w:rsidTr="00293775">
        <w:trPr>
          <w:trHeight w:val="322"/>
        </w:trPr>
        <w:tc>
          <w:tcPr>
            <w:tcW w:w="1189" w:type="dxa"/>
            <w:vAlign w:val="center"/>
          </w:tcPr>
          <w:p w14:paraId="09D1337D" w14:textId="0276063B"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bCs/>
                <w:color w:val="000000"/>
                <w:sz w:val="18"/>
                <w:szCs w:val="18"/>
              </w:rPr>
              <w:t>H</w:t>
            </w:r>
            <w:r w:rsidRPr="00293775">
              <w:rPr>
                <w:bCs/>
                <w:color w:val="000000"/>
                <w:sz w:val="18"/>
                <w:szCs w:val="18"/>
                <w:vertAlign w:val="subscript"/>
              </w:rPr>
              <w:t xml:space="preserve">1 </w:t>
            </w:r>
          </w:p>
        </w:tc>
        <w:tc>
          <w:tcPr>
            <w:tcW w:w="598" w:type="dxa"/>
            <w:vAlign w:val="center"/>
          </w:tcPr>
          <w:p w14:paraId="39B0FA62" w14:textId="198B7D56"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color w:val="000000"/>
                <w:sz w:val="18"/>
                <w:szCs w:val="18"/>
              </w:rPr>
              <w:t>9.53</w:t>
            </w:r>
          </w:p>
        </w:tc>
        <w:tc>
          <w:tcPr>
            <w:tcW w:w="625" w:type="dxa"/>
            <w:vAlign w:val="center"/>
          </w:tcPr>
          <w:p w14:paraId="5582665F" w14:textId="05C97D4A"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color w:val="000000"/>
                <w:sz w:val="18"/>
                <w:szCs w:val="18"/>
              </w:rPr>
              <w:t>10.11</w:t>
            </w:r>
          </w:p>
        </w:tc>
        <w:tc>
          <w:tcPr>
            <w:tcW w:w="755" w:type="dxa"/>
            <w:vAlign w:val="center"/>
          </w:tcPr>
          <w:p w14:paraId="069E20D5" w14:textId="1DD82F64"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color w:val="000000"/>
                <w:sz w:val="18"/>
                <w:szCs w:val="18"/>
              </w:rPr>
              <w:t>9.82</w:t>
            </w:r>
          </w:p>
        </w:tc>
        <w:tc>
          <w:tcPr>
            <w:tcW w:w="598" w:type="dxa"/>
            <w:vAlign w:val="center"/>
          </w:tcPr>
          <w:p w14:paraId="7B5E4871" w14:textId="12B1E2B5"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color w:val="000000"/>
                <w:sz w:val="18"/>
                <w:szCs w:val="18"/>
              </w:rPr>
              <w:t>6.47</w:t>
            </w:r>
          </w:p>
        </w:tc>
        <w:tc>
          <w:tcPr>
            <w:tcW w:w="598" w:type="dxa"/>
            <w:vAlign w:val="center"/>
          </w:tcPr>
          <w:p w14:paraId="6B0E18AD" w14:textId="54F76ED5"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color w:val="000000"/>
                <w:sz w:val="18"/>
                <w:szCs w:val="18"/>
              </w:rPr>
              <w:t>7.28</w:t>
            </w:r>
          </w:p>
        </w:tc>
        <w:tc>
          <w:tcPr>
            <w:tcW w:w="755" w:type="dxa"/>
            <w:vAlign w:val="center"/>
          </w:tcPr>
          <w:p w14:paraId="16D587FB" w14:textId="3363BAC5"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color w:val="000000"/>
                <w:sz w:val="18"/>
                <w:szCs w:val="18"/>
              </w:rPr>
              <w:t>6.87</w:t>
            </w:r>
          </w:p>
        </w:tc>
        <w:tc>
          <w:tcPr>
            <w:tcW w:w="638" w:type="dxa"/>
            <w:vAlign w:val="center"/>
          </w:tcPr>
          <w:p w14:paraId="18CE67A7" w14:textId="47220E94"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color w:val="000000"/>
                <w:sz w:val="18"/>
                <w:szCs w:val="18"/>
              </w:rPr>
              <w:t>20.72</w:t>
            </w:r>
          </w:p>
        </w:tc>
        <w:tc>
          <w:tcPr>
            <w:tcW w:w="638" w:type="dxa"/>
            <w:vAlign w:val="center"/>
          </w:tcPr>
          <w:p w14:paraId="416B1F60" w14:textId="6D32794C"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color w:val="000000"/>
                <w:sz w:val="18"/>
                <w:szCs w:val="18"/>
              </w:rPr>
              <w:t>22.75</w:t>
            </w:r>
          </w:p>
        </w:tc>
        <w:tc>
          <w:tcPr>
            <w:tcW w:w="755" w:type="dxa"/>
            <w:vAlign w:val="center"/>
          </w:tcPr>
          <w:p w14:paraId="459F7812" w14:textId="44644B53"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color w:val="000000"/>
                <w:sz w:val="18"/>
                <w:szCs w:val="18"/>
              </w:rPr>
              <w:t>21.74</w:t>
            </w:r>
          </w:p>
        </w:tc>
        <w:tc>
          <w:tcPr>
            <w:tcW w:w="638" w:type="dxa"/>
            <w:vAlign w:val="center"/>
          </w:tcPr>
          <w:p w14:paraId="26614002" w14:textId="295A5F85"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color w:val="000000"/>
                <w:sz w:val="18"/>
                <w:szCs w:val="18"/>
              </w:rPr>
              <w:t>19.56</w:t>
            </w:r>
          </w:p>
        </w:tc>
        <w:tc>
          <w:tcPr>
            <w:tcW w:w="638" w:type="dxa"/>
            <w:vAlign w:val="center"/>
          </w:tcPr>
          <w:p w14:paraId="5F3192E7" w14:textId="0B0F4551"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color w:val="000000"/>
                <w:sz w:val="18"/>
                <w:szCs w:val="18"/>
              </w:rPr>
              <w:t>21.18</w:t>
            </w:r>
          </w:p>
        </w:tc>
        <w:tc>
          <w:tcPr>
            <w:tcW w:w="755" w:type="dxa"/>
            <w:vAlign w:val="center"/>
          </w:tcPr>
          <w:p w14:paraId="6819A9FE" w14:textId="03BD8656"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color w:val="000000"/>
                <w:sz w:val="18"/>
                <w:szCs w:val="18"/>
              </w:rPr>
              <w:t>20.37</w:t>
            </w:r>
          </w:p>
        </w:tc>
      </w:tr>
      <w:tr w:rsidR="00293775" w:rsidRPr="00293775" w14:paraId="2D41B792" w14:textId="3B9B6870" w:rsidTr="00293775">
        <w:trPr>
          <w:trHeight w:val="322"/>
        </w:trPr>
        <w:tc>
          <w:tcPr>
            <w:tcW w:w="1189" w:type="dxa"/>
            <w:vAlign w:val="center"/>
          </w:tcPr>
          <w:p w14:paraId="2DD4BDB6" w14:textId="04D9C593"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bCs/>
                <w:color w:val="000000"/>
                <w:sz w:val="18"/>
                <w:szCs w:val="18"/>
              </w:rPr>
              <w:t>H</w:t>
            </w:r>
            <w:r w:rsidRPr="00293775">
              <w:rPr>
                <w:bCs/>
                <w:color w:val="000000"/>
                <w:sz w:val="18"/>
                <w:szCs w:val="18"/>
                <w:vertAlign w:val="subscript"/>
              </w:rPr>
              <w:t xml:space="preserve">2 </w:t>
            </w:r>
          </w:p>
        </w:tc>
        <w:tc>
          <w:tcPr>
            <w:tcW w:w="598" w:type="dxa"/>
            <w:vAlign w:val="center"/>
          </w:tcPr>
          <w:p w14:paraId="557EBD7E" w14:textId="1753F9E0"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color w:val="000000"/>
                <w:sz w:val="18"/>
                <w:szCs w:val="18"/>
              </w:rPr>
              <w:t>6.40</w:t>
            </w:r>
          </w:p>
        </w:tc>
        <w:tc>
          <w:tcPr>
            <w:tcW w:w="625" w:type="dxa"/>
            <w:vAlign w:val="center"/>
          </w:tcPr>
          <w:p w14:paraId="7A386476" w14:textId="4E008A61"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color w:val="000000"/>
                <w:sz w:val="18"/>
                <w:szCs w:val="18"/>
              </w:rPr>
              <w:t>7.66</w:t>
            </w:r>
          </w:p>
        </w:tc>
        <w:tc>
          <w:tcPr>
            <w:tcW w:w="755" w:type="dxa"/>
            <w:vAlign w:val="center"/>
          </w:tcPr>
          <w:p w14:paraId="6072ECF7" w14:textId="099EC8F4"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color w:val="000000"/>
                <w:sz w:val="18"/>
                <w:szCs w:val="18"/>
              </w:rPr>
              <w:t>7.03</w:t>
            </w:r>
          </w:p>
        </w:tc>
        <w:tc>
          <w:tcPr>
            <w:tcW w:w="598" w:type="dxa"/>
            <w:vAlign w:val="center"/>
          </w:tcPr>
          <w:p w14:paraId="33F9A15D" w14:textId="4D52EA15"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color w:val="000000"/>
                <w:sz w:val="18"/>
                <w:szCs w:val="18"/>
              </w:rPr>
              <w:t>4.86</w:t>
            </w:r>
          </w:p>
        </w:tc>
        <w:tc>
          <w:tcPr>
            <w:tcW w:w="598" w:type="dxa"/>
            <w:vAlign w:val="center"/>
          </w:tcPr>
          <w:p w14:paraId="0AB03A44" w14:textId="633DCD3C"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color w:val="000000"/>
                <w:sz w:val="18"/>
                <w:szCs w:val="18"/>
              </w:rPr>
              <w:t>5.11</w:t>
            </w:r>
          </w:p>
        </w:tc>
        <w:tc>
          <w:tcPr>
            <w:tcW w:w="755" w:type="dxa"/>
            <w:vAlign w:val="center"/>
          </w:tcPr>
          <w:p w14:paraId="25B7EF23" w14:textId="1400E5CB"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color w:val="000000"/>
                <w:sz w:val="18"/>
                <w:szCs w:val="18"/>
              </w:rPr>
              <w:t>4.98</w:t>
            </w:r>
          </w:p>
        </w:tc>
        <w:tc>
          <w:tcPr>
            <w:tcW w:w="638" w:type="dxa"/>
            <w:vAlign w:val="center"/>
          </w:tcPr>
          <w:p w14:paraId="1C5DE08B" w14:textId="00962481"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color w:val="000000"/>
                <w:sz w:val="18"/>
                <w:szCs w:val="18"/>
              </w:rPr>
              <w:t>33.11</w:t>
            </w:r>
          </w:p>
        </w:tc>
        <w:tc>
          <w:tcPr>
            <w:tcW w:w="638" w:type="dxa"/>
            <w:vAlign w:val="center"/>
          </w:tcPr>
          <w:p w14:paraId="587BEB44" w14:textId="7A6AC5C8"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color w:val="000000"/>
                <w:sz w:val="18"/>
                <w:szCs w:val="18"/>
              </w:rPr>
              <w:t>33.98</w:t>
            </w:r>
          </w:p>
        </w:tc>
        <w:tc>
          <w:tcPr>
            <w:tcW w:w="755" w:type="dxa"/>
            <w:vAlign w:val="center"/>
          </w:tcPr>
          <w:p w14:paraId="24FD8771" w14:textId="56AA8C96"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color w:val="000000"/>
                <w:sz w:val="18"/>
                <w:szCs w:val="18"/>
              </w:rPr>
              <w:t>33.55</w:t>
            </w:r>
          </w:p>
        </w:tc>
        <w:tc>
          <w:tcPr>
            <w:tcW w:w="638" w:type="dxa"/>
            <w:vAlign w:val="center"/>
          </w:tcPr>
          <w:p w14:paraId="0CBC0D4E" w14:textId="3231624C"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color w:val="000000"/>
                <w:sz w:val="18"/>
                <w:szCs w:val="18"/>
              </w:rPr>
              <w:t>28.03</w:t>
            </w:r>
          </w:p>
        </w:tc>
        <w:tc>
          <w:tcPr>
            <w:tcW w:w="638" w:type="dxa"/>
            <w:vAlign w:val="center"/>
          </w:tcPr>
          <w:p w14:paraId="4F3479B4" w14:textId="63E2D94A"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color w:val="000000"/>
                <w:sz w:val="18"/>
                <w:szCs w:val="18"/>
              </w:rPr>
              <w:t>29.37</w:t>
            </w:r>
          </w:p>
        </w:tc>
        <w:tc>
          <w:tcPr>
            <w:tcW w:w="755" w:type="dxa"/>
            <w:vAlign w:val="center"/>
          </w:tcPr>
          <w:p w14:paraId="5402717E" w14:textId="030C2394"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color w:val="000000"/>
                <w:sz w:val="18"/>
                <w:szCs w:val="18"/>
              </w:rPr>
              <w:t>28.70</w:t>
            </w:r>
          </w:p>
        </w:tc>
      </w:tr>
      <w:tr w:rsidR="00293775" w:rsidRPr="00293775" w14:paraId="5E915997" w14:textId="7CC8E2AF" w:rsidTr="00293775">
        <w:trPr>
          <w:trHeight w:val="322"/>
        </w:trPr>
        <w:tc>
          <w:tcPr>
            <w:tcW w:w="1189" w:type="dxa"/>
            <w:vAlign w:val="center"/>
          </w:tcPr>
          <w:p w14:paraId="4D2C1462" w14:textId="317D5E77"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bCs/>
                <w:color w:val="000000"/>
                <w:sz w:val="18"/>
                <w:szCs w:val="18"/>
              </w:rPr>
              <w:t>H</w:t>
            </w:r>
            <w:r w:rsidRPr="00293775">
              <w:rPr>
                <w:bCs/>
                <w:color w:val="000000"/>
                <w:sz w:val="18"/>
                <w:szCs w:val="18"/>
                <w:vertAlign w:val="subscript"/>
              </w:rPr>
              <w:t xml:space="preserve">3 </w:t>
            </w:r>
          </w:p>
        </w:tc>
        <w:tc>
          <w:tcPr>
            <w:tcW w:w="598" w:type="dxa"/>
            <w:vAlign w:val="center"/>
          </w:tcPr>
          <w:p w14:paraId="2F16E438" w14:textId="0BA5D19B"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color w:val="000000"/>
                <w:sz w:val="18"/>
                <w:szCs w:val="18"/>
              </w:rPr>
              <w:t>4.57</w:t>
            </w:r>
          </w:p>
        </w:tc>
        <w:tc>
          <w:tcPr>
            <w:tcW w:w="625" w:type="dxa"/>
            <w:vAlign w:val="center"/>
          </w:tcPr>
          <w:p w14:paraId="1C3E1269" w14:textId="7366E8DE"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color w:val="000000"/>
                <w:sz w:val="18"/>
                <w:szCs w:val="18"/>
              </w:rPr>
              <w:t>5.50</w:t>
            </w:r>
          </w:p>
        </w:tc>
        <w:tc>
          <w:tcPr>
            <w:tcW w:w="755" w:type="dxa"/>
            <w:vAlign w:val="center"/>
          </w:tcPr>
          <w:p w14:paraId="1455065C" w14:textId="2B8FDFE8"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color w:val="000000"/>
                <w:sz w:val="18"/>
                <w:szCs w:val="18"/>
              </w:rPr>
              <w:t>5.04</w:t>
            </w:r>
          </w:p>
        </w:tc>
        <w:tc>
          <w:tcPr>
            <w:tcW w:w="598" w:type="dxa"/>
            <w:vAlign w:val="center"/>
          </w:tcPr>
          <w:p w14:paraId="1CE1C473" w14:textId="00EB078B"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color w:val="000000"/>
                <w:sz w:val="18"/>
                <w:szCs w:val="18"/>
              </w:rPr>
              <w:t>3.10</w:t>
            </w:r>
          </w:p>
        </w:tc>
        <w:tc>
          <w:tcPr>
            <w:tcW w:w="598" w:type="dxa"/>
            <w:vAlign w:val="center"/>
          </w:tcPr>
          <w:p w14:paraId="1C3A3F21" w14:textId="538CFFCA"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color w:val="000000"/>
                <w:sz w:val="18"/>
                <w:szCs w:val="18"/>
              </w:rPr>
              <w:t>3.12</w:t>
            </w:r>
          </w:p>
        </w:tc>
        <w:tc>
          <w:tcPr>
            <w:tcW w:w="755" w:type="dxa"/>
            <w:vAlign w:val="center"/>
          </w:tcPr>
          <w:p w14:paraId="0194962E" w14:textId="017C6881"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color w:val="000000"/>
                <w:sz w:val="18"/>
                <w:szCs w:val="18"/>
              </w:rPr>
              <w:t>3.11</w:t>
            </w:r>
          </w:p>
        </w:tc>
        <w:tc>
          <w:tcPr>
            <w:tcW w:w="638" w:type="dxa"/>
            <w:vAlign w:val="center"/>
          </w:tcPr>
          <w:p w14:paraId="3C52173C" w14:textId="1B030916"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color w:val="000000"/>
                <w:sz w:val="18"/>
                <w:szCs w:val="18"/>
              </w:rPr>
              <w:t>37.96</w:t>
            </w:r>
          </w:p>
        </w:tc>
        <w:tc>
          <w:tcPr>
            <w:tcW w:w="638" w:type="dxa"/>
            <w:vAlign w:val="center"/>
          </w:tcPr>
          <w:p w14:paraId="34523F4D" w14:textId="5E804884"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color w:val="000000"/>
                <w:sz w:val="18"/>
                <w:szCs w:val="18"/>
              </w:rPr>
              <w:t>39.35</w:t>
            </w:r>
          </w:p>
        </w:tc>
        <w:tc>
          <w:tcPr>
            <w:tcW w:w="755" w:type="dxa"/>
            <w:vAlign w:val="center"/>
          </w:tcPr>
          <w:p w14:paraId="52533E7E" w14:textId="67E043BC"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color w:val="000000"/>
                <w:sz w:val="18"/>
                <w:szCs w:val="18"/>
              </w:rPr>
              <w:t>38.66</w:t>
            </w:r>
          </w:p>
        </w:tc>
        <w:tc>
          <w:tcPr>
            <w:tcW w:w="638" w:type="dxa"/>
            <w:vAlign w:val="center"/>
          </w:tcPr>
          <w:p w14:paraId="1BC5148B" w14:textId="21937D0F"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color w:val="000000"/>
                <w:sz w:val="18"/>
                <w:szCs w:val="18"/>
              </w:rPr>
              <w:t>37.63</w:t>
            </w:r>
          </w:p>
        </w:tc>
        <w:tc>
          <w:tcPr>
            <w:tcW w:w="638" w:type="dxa"/>
            <w:vAlign w:val="center"/>
          </w:tcPr>
          <w:p w14:paraId="17B1E23C" w14:textId="10B6D3D0"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color w:val="000000"/>
                <w:sz w:val="18"/>
                <w:szCs w:val="18"/>
              </w:rPr>
              <w:t>35.43</w:t>
            </w:r>
          </w:p>
        </w:tc>
        <w:tc>
          <w:tcPr>
            <w:tcW w:w="755" w:type="dxa"/>
            <w:vAlign w:val="center"/>
          </w:tcPr>
          <w:p w14:paraId="41AD53B4" w14:textId="50E88391"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color w:val="000000"/>
                <w:sz w:val="18"/>
                <w:szCs w:val="18"/>
              </w:rPr>
              <w:t>36.53</w:t>
            </w:r>
          </w:p>
        </w:tc>
      </w:tr>
      <w:tr w:rsidR="00293775" w:rsidRPr="00293775" w14:paraId="205DCB92" w14:textId="3170EB3F" w:rsidTr="00293775">
        <w:trPr>
          <w:trHeight w:val="322"/>
        </w:trPr>
        <w:tc>
          <w:tcPr>
            <w:tcW w:w="1189" w:type="dxa"/>
            <w:vAlign w:val="center"/>
          </w:tcPr>
          <w:p w14:paraId="0926CC54" w14:textId="319DBF55"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proofErr w:type="spellStart"/>
            <w:r w:rsidRPr="00293775">
              <w:rPr>
                <w:i/>
                <w:iCs/>
                <w:sz w:val="18"/>
                <w:szCs w:val="18"/>
              </w:rPr>
              <w:t>SEm</w:t>
            </w:r>
            <w:proofErr w:type="spellEnd"/>
            <w:r w:rsidRPr="00293775">
              <w:rPr>
                <w:i/>
                <w:iCs/>
                <w:sz w:val="18"/>
                <w:szCs w:val="18"/>
              </w:rPr>
              <w:t>±</w:t>
            </w:r>
          </w:p>
        </w:tc>
        <w:tc>
          <w:tcPr>
            <w:tcW w:w="598" w:type="dxa"/>
            <w:vAlign w:val="center"/>
          </w:tcPr>
          <w:p w14:paraId="30795728" w14:textId="17C58440"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b/>
                <w:bCs/>
                <w:color w:val="000000"/>
                <w:sz w:val="18"/>
                <w:szCs w:val="18"/>
              </w:rPr>
              <w:t>0.08</w:t>
            </w:r>
          </w:p>
        </w:tc>
        <w:tc>
          <w:tcPr>
            <w:tcW w:w="625" w:type="dxa"/>
            <w:vAlign w:val="center"/>
          </w:tcPr>
          <w:p w14:paraId="3A116C8D" w14:textId="0F6F3E6E"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b/>
                <w:bCs/>
                <w:color w:val="000000"/>
                <w:sz w:val="18"/>
                <w:szCs w:val="18"/>
              </w:rPr>
              <w:t>0.10</w:t>
            </w:r>
          </w:p>
        </w:tc>
        <w:tc>
          <w:tcPr>
            <w:tcW w:w="755" w:type="dxa"/>
            <w:vAlign w:val="center"/>
          </w:tcPr>
          <w:p w14:paraId="497E40F4" w14:textId="39BAB7C3"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b/>
                <w:bCs/>
                <w:color w:val="000000"/>
                <w:sz w:val="18"/>
                <w:szCs w:val="18"/>
              </w:rPr>
              <w:t>0.06</w:t>
            </w:r>
          </w:p>
        </w:tc>
        <w:tc>
          <w:tcPr>
            <w:tcW w:w="598" w:type="dxa"/>
            <w:vAlign w:val="center"/>
          </w:tcPr>
          <w:p w14:paraId="0B8EA16B" w14:textId="567D89A9"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b/>
                <w:bCs/>
                <w:color w:val="000000"/>
                <w:sz w:val="18"/>
                <w:szCs w:val="18"/>
              </w:rPr>
              <w:t>0.14</w:t>
            </w:r>
          </w:p>
        </w:tc>
        <w:tc>
          <w:tcPr>
            <w:tcW w:w="598" w:type="dxa"/>
            <w:vAlign w:val="center"/>
          </w:tcPr>
          <w:p w14:paraId="79D33200" w14:textId="29170890"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b/>
                <w:bCs/>
                <w:color w:val="000000"/>
                <w:sz w:val="18"/>
                <w:szCs w:val="18"/>
              </w:rPr>
              <w:t>0.22</w:t>
            </w:r>
          </w:p>
        </w:tc>
        <w:tc>
          <w:tcPr>
            <w:tcW w:w="755" w:type="dxa"/>
            <w:vAlign w:val="center"/>
          </w:tcPr>
          <w:p w14:paraId="363229AE" w14:textId="73B052ED"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b/>
                <w:bCs/>
                <w:color w:val="000000"/>
                <w:sz w:val="18"/>
                <w:szCs w:val="18"/>
              </w:rPr>
              <w:t>0.13</w:t>
            </w:r>
          </w:p>
        </w:tc>
        <w:tc>
          <w:tcPr>
            <w:tcW w:w="638" w:type="dxa"/>
            <w:vAlign w:val="center"/>
          </w:tcPr>
          <w:p w14:paraId="3D75BF78" w14:textId="621FFC71"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b/>
                <w:bCs/>
                <w:color w:val="000000"/>
                <w:sz w:val="18"/>
                <w:szCs w:val="18"/>
              </w:rPr>
              <w:t>0.41</w:t>
            </w:r>
          </w:p>
        </w:tc>
        <w:tc>
          <w:tcPr>
            <w:tcW w:w="638" w:type="dxa"/>
            <w:vAlign w:val="center"/>
          </w:tcPr>
          <w:p w14:paraId="693F2E77" w14:textId="002468E6"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b/>
                <w:bCs/>
                <w:color w:val="000000"/>
                <w:sz w:val="18"/>
                <w:szCs w:val="18"/>
              </w:rPr>
              <w:t>0.49</w:t>
            </w:r>
          </w:p>
        </w:tc>
        <w:tc>
          <w:tcPr>
            <w:tcW w:w="755" w:type="dxa"/>
            <w:vAlign w:val="center"/>
          </w:tcPr>
          <w:p w14:paraId="37E67D32" w14:textId="0FD8FDF9"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b/>
                <w:bCs/>
                <w:color w:val="000000"/>
                <w:sz w:val="18"/>
                <w:szCs w:val="18"/>
              </w:rPr>
              <w:t>0.32</w:t>
            </w:r>
          </w:p>
        </w:tc>
        <w:tc>
          <w:tcPr>
            <w:tcW w:w="638" w:type="dxa"/>
            <w:vAlign w:val="center"/>
          </w:tcPr>
          <w:p w14:paraId="2E856C1B" w14:textId="592EE837"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b/>
                <w:bCs/>
                <w:color w:val="000000"/>
                <w:sz w:val="18"/>
                <w:szCs w:val="18"/>
              </w:rPr>
              <w:t>0.60</w:t>
            </w:r>
          </w:p>
        </w:tc>
        <w:tc>
          <w:tcPr>
            <w:tcW w:w="638" w:type="dxa"/>
            <w:vAlign w:val="center"/>
          </w:tcPr>
          <w:p w14:paraId="3A694412" w14:textId="778F7DB6"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b/>
                <w:bCs/>
                <w:color w:val="000000"/>
                <w:sz w:val="18"/>
                <w:szCs w:val="18"/>
              </w:rPr>
              <w:t>0.87</w:t>
            </w:r>
          </w:p>
        </w:tc>
        <w:tc>
          <w:tcPr>
            <w:tcW w:w="755" w:type="dxa"/>
            <w:vAlign w:val="center"/>
          </w:tcPr>
          <w:p w14:paraId="53FD94F8" w14:textId="56D6B95C"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b/>
                <w:bCs/>
                <w:color w:val="000000"/>
                <w:sz w:val="18"/>
                <w:szCs w:val="18"/>
              </w:rPr>
              <w:t>0.53</w:t>
            </w:r>
          </w:p>
        </w:tc>
      </w:tr>
      <w:tr w:rsidR="00293775" w:rsidRPr="00293775" w14:paraId="6ED447BF" w14:textId="4248DA11" w:rsidTr="00293775">
        <w:trPr>
          <w:trHeight w:val="297"/>
        </w:trPr>
        <w:tc>
          <w:tcPr>
            <w:tcW w:w="1189" w:type="dxa"/>
            <w:vAlign w:val="center"/>
          </w:tcPr>
          <w:p w14:paraId="495762CD" w14:textId="0BC1EEBF"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i/>
                <w:iCs/>
                <w:color w:val="000000"/>
                <w:sz w:val="18"/>
                <w:szCs w:val="18"/>
              </w:rPr>
              <w:t>CD (P=0.05)</w:t>
            </w:r>
          </w:p>
        </w:tc>
        <w:tc>
          <w:tcPr>
            <w:tcW w:w="598" w:type="dxa"/>
            <w:vAlign w:val="center"/>
          </w:tcPr>
          <w:p w14:paraId="3876263E" w14:textId="4B28775A"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b/>
                <w:bCs/>
                <w:color w:val="000000"/>
                <w:sz w:val="18"/>
                <w:szCs w:val="18"/>
              </w:rPr>
              <w:t>0.23</w:t>
            </w:r>
          </w:p>
        </w:tc>
        <w:tc>
          <w:tcPr>
            <w:tcW w:w="625" w:type="dxa"/>
            <w:vAlign w:val="center"/>
          </w:tcPr>
          <w:p w14:paraId="27A5F536" w14:textId="6A77846B"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b/>
                <w:bCs/>
                <w:color w:val="000000"/>
                <w:sz w:val="18"/>
                <w:szCs w:val="18"/>
              </w:rPr>
              <w:t>0.28</w:t>
            </w:r>
          </w:p>
        </w:tc>
        <w:tc>
          <w:tcPr>
            <w:tcW w:w="755" w:type="dxa"/>
            <w:vAlign w:val="center"/>
          </w:tcPr>
          <w:p w14:paraId="24BCE68B" w14:textId="061FFD14"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b/>
                <w:bCs/>
                <w:color w:val="000000"/>
                <w:sz w:val="18"/>
                <w:szCs w:val="18"/>
              </w:rPr>
              <w:t>0.18</w:t>
            </w:r>
          </w:p>
        </w:tc>
        <w:tc>
          <w:tcPr>
            <w:tcW w:w="598" w:type="dxa"/>
            <w:vAlign w:val="center"/>
          </w:tcPr>
          <w:p w14:paraId="7DE538BC" w14:textId="4E6A4D66"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b/>
                <w:bCs/>
                <w:color w:val="000000"/>
                <w:sz w:val="18"/>
                <w:szCs w:val="18"/>
              </w:rPr>
              <w:t>0.41</w:t>
            </w:r>
          </w:p>
        </w:tc>
        <w:tc>
          <w:tcPr>
            <w:tcW w:w="598" w:type="dxa"/>
            <w:vAlign w:val="center"/>
          </w:tcPr>
          <w:p w14:paraId="5DBE871F" w14:textId="5F283345"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b/>
                <w:bCs/>
                <w:color w:val="000000"/>
                <w:sz w:val="18"/>
                <w:szCs w:val="18"/>
              </w:rPr>
              <w:t>0.62</w:t>
            </w:r>
          </w:p>
        </w:tc>
        <w:tc>
          <w:tcPr>
            <w:tcW w:w="755" w:type="dxa"/>
            <w:vAlign w:val="center"/>
          </w:tcPr>
          <w:p w14:paraId="71528FCB" w14:textId="2443C984"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b/>
                <w:bCs/>
                <w:color w:val="000000"/>
                <w:sz w:val="18"/>
                <w:szCs w:val="18"/>
              </w:rPr>
              <w:t>0.37</w:t>
            </w:r>
          </w:p>
        </w:tc>
        <w:tc>
          <w:tcPr>
            <w:tcW w:w="638" w:type="dxa"/>
            <w:vAlign w:val="center"/>
          </w:tcPr>
          <w:p w14:paraId="07634F4B" w14:textId="1293F8B3"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b/>
                <w:bCs/>
                <w:color w:val="000000"/>
                <w:sz w:val="18"/>
                <w:szCs w:val="18"/>
              </w:rPr>
              <w:t>1.17</w:t>
            </w:r>
          </w:p>
        </w:tc>
        <w:tc>
          <w:tcPr>
            <w:tcW w:w="638" w:type="dxa"/>
            <w:vAlign w:val="center"/>
          </w:tcPr>
          <w:p w14:paraId="07E59D22" w14:textId="51B8B88F"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b/>
                <w:bCs/>
                <w:color w:val="000000"/>
                <w:sz w:val="18"/>
                <w:szCs w:val="18"/>
              </w:rPr>
              <w:t>1.41</w:t>
            </w:r>
          </w:p>
        </w:tc>
        <w:tc>
          <w:tcPr>
            <w:tcW w:w="755" w:type="dxa"/>
            <w:vAlign w:val="center"/>
          </w:tcPr>
          <w:p w14:paraId="0EC9CD43" w14:textId="368D2790"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b/>
                <w:bCs/>
                <w:color w:val="000000"/>
                <w:sz w:val="18"/>
                <w:szCs w:val="18"/>
              </w:rPr>
              <w:t>0.90</w:t>
            </w:r>
          </w:p>
        </w:tc>
        <w:tc>
          <w:tcPr>
            <w:tcW w:w="638" w:type="dxa"/>
            <w:vAlign w:val="center"/>
          </w:tcPr>
          <w:p w14:paraId="0D74329A" w14:textId="0691DD36"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b/>
                <w:bCs/>
                <w:color w:val="000000"/>
                <w:sz w:val="18"/>
                <w:szCs w:val="18"/>
              </w:rPr>
              <w:t>1.73</w:t>
            </w:r>
          </w:p>
        </w:tc>
        <w:tc>
          <w:tcPr>
            <w:tcW w:w="638" w:type="dxa"/>
            <w:vAlign w:val="center"/>
          </w:tcPr>
          <w:p w14:paraId="0ED3B5DF" w14:textId="24E00B7A"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b/>
                <w:bCs/>
                <w:color w:val="000000"/>
                <w:sz w:val="18"/>
                <w:szCs w:val="18"/>
              </w:rPr>
              <w:t>2.51</w:t>
            </w:r>
          </w:p>
        </w:tc>
        <w:tc>
          <w:tcPr>
            <w:tcW w:w="755" w:type="dxa"/>
            <w:vAlign w:val="center"/>
          </w:tcPr>
          <w:p w14:paraId="7FE28E32" w14:textId="42251D43" w:rsidR="00C52AD3" w:rsidRPr="00293775" w:rsidRDefault="00C52AD3" w:rsidP="00C52AD3">
            <w:pPr>
              <w:pStyle w:val="NormalWeb"/>
              <w:spacing w:before="0" w:beforeAutospacing="0" w:after="0" w:afterAutospacing="0" w:line="276" w:lineRule="auto"/>
              <w:jc w:val="both"/>
              <w:rPr>
                <w:rFonts w:ascii="Arial" w:hAnsi="Arial" w:cs="Arial"/>
                <w:b/>
                <w:bCs/>
                <w:sz w:val="18"/>
                <w:szCs w:val="18"/>
              </w:rPr>
            </w:pPr>
            <w:r w:rsidRPr="00293775">
              <w:rPr>
                <w:b/>
                <w:bCs/>
                <w:color w:val="000000"/>
                <w:sz w:val="18"/>
                <w:szCs w:val="18"/>
              </w:rPr>
              <w:t>1.49</w:t>
            </w:r>
          </w:p>
        </w:tc>
      </w:tr>
    </w:tbl>
    <w:p w14:paraId="5AA63F62" w14:textId="77777777" w:rsidR="00875C17" w:rsidRDefault="00875C17" w:rsidP="00E21C8F">
      <w:pPr>
        <w:pStyle w:val="NormalWeb"/>
        <w:spacing w:before="0" w:beforeAutospacing="0" w:after="0" w:afterAutospacing="0" w:line="276" w:lineRule="auto"/>
        <w:jc w:val="both"/>
        <w:rPr>
          <w:rFonts w:ascii="Arial" w:hAnsi="Arial" w:cs="Arial"/>
          <w:b/>
          <w:bCs/>
          <w:sz w:val="22"/>
          <w:szCs w:val="22"/>
        </w:rPr>
      </w:pPr>
    </w:p>
    <w:p w14:paraId="076AA030" w14:textId="77777777" w:rsidR="00044524" w:rsidRDefault="00044524" w:rsidP="00E21C8F">
      <w:pPr>
        <w:pStyle w:val="NormalWeb"/>
        <w:spacing w:before="0" w:beforeAutospacing="0" w:after="0" w:afterAutospacing="0" w:line="276" w:lineRule="auto"/>
        <w:jc w:val="both"/>
        <w:rPr>
          <w:rFonts w:ascii="Arial" w:hAnsi="Arial" w:cs="Arial"/>
          <w:b/>
          <w:bCs/>
          <w:sz w:val="22"/>
          <w:szCs w:val="22"/>
        </w:rPr>
      </w:pPr>
    </w:p>
    <w:p w14:paraId="5EF37C4B" w14:textId="22C8AB91" w:rsidR="00125765" w:rsidRDefault="00E21C8F" w:rsidP="00E21C8F">
      <w:pPr>
        <w:pStyle w:val="NormalWeb"/>
        <w:spacing w:before="0" w:beforeAutospacing="0" w:after="0" w:afterAutospacing="0" w:line="276" w:lineRule="auto"/>
        <w:jc w:val="both"/>
        <w:rPr>
          <w:rFonts w:ascii="Arial" w:hAnsi="Arial" w:cs="Arial"/>
          <w:b/>
          <w:bCs/>
          <w:sz w:val="22"/>
          <w:szCs w:val="22"/>
        </w:rPr>
      </w:pPr>
      <w:r>
        <w:rPr>
          <w:rFonts w:ascii="Arial" w:hAnsi="Arial" w:cs="Arial"/>
          <w:b/>
          <w:bCs/>
          <w:sz w:val="22"/>
          <w:szCs w:val="22"/>
        </w:rPr>
        <w:t>CONCLUSION</w:t>
      </w:r>
    </w:p>
    <w:p w14:paraId="039F8959" w14:textId="6AA45877" w:rsidR="00125765" w:rsidRPr="00AE5D8F" w:rsidRDefault="00E21C8F" w:rsidP="00A51EEB">
      <w:pPr>
        <w:pStyle w:val="NormalWeb"/>
        <w:spacing w:before="0" w:beforeAutospacing="0" w:after="0" w:afterAutospacing="0" w:line="276" w:lineRule="auto"/>
        <w:jc w:val="both"/>
        <w:rPr>
          <w:rFonts w:ascii="Arial" w:hAnsi="Arial" w:cs="Arial"/>
          <w:sz w:val="20"/>
          <w:szCs w:val="20"/>
        </w:rPr>
      </w:pPr>
      <w:r>
        <w:rPr>
          <w:rFonts w:ascii="Arial" w:hAnsi="Arial" w:cs="Arial"/>
          <w:b/>
          <w:bCs/>
          <w:sz w:val="22"/>
          <w:szCs w:val="22"/>
        </w:rPr>
        <w:tab/>
      </w:r>
      <w:r w:rsidRPr="00AE5D8F">
        <w:rPr>
          <w:rFonts w:ascii="Arial" w:hAnsi="Arial" w:cs="Arial"/>
          <w:sz w:val="20"/>
          <w:szCs w:val="20"/>
        </w:rPr>
        <w:t>From th</w:t>
      </w:r>
      <w:r w:rsidR="00FC1D24" w:rsidRPr="00AE5D8F">
        <w:rPr>
          <w:rFonts w:ascii="Arial" w:hAnsi="Arial" w:cs="Arial"/>
          <w:sz w:val="20"/>
          <w:szCs w:val="20"/>
        </w:rPr>
        <w:t>e</w:t>
      </w:r>
      <w:r w:rsidRPr="00AE5D8F">
        <w:rPr>
          <w:rFonts w:ascii="Arial" w:hAnsi="Arial" w:cs="Arial"/>
          <w:sz w:val="20"/>
          <w:szCs w:val="20"/>
        </w:rPr>
        <w:t xml:space="preserve"> present study, </w:t>
      </w:r>
      <w:r w:rsidR="00FC1D24" w:rsidRPr="00AE5D8F">
        <w:rPr>
          <w:rFonts w:ascii="Arial" w:hAnsi="Arial" w:cs="Arial"/>
          <w:sz w:val="20"/>
          <w:szCs w:val="20"/>
        </w:rPr>
        <w:t xml:space="preserve">it is evident that harvest maturity is crucial in order to obtain the best quality of dragon fruit. </w:t>
      </w:r>
      <w:r w:rsidR="004F297D">
        <w:rPr>
          <w:rFonts w:ascii="Arial" w:hAnsi="Arial" w:cs="Arial"/>
          <w:sz w:val="20"/>
          <w:szCs w:val="20"/>
        </w:rPr>
        <w:t xml:space="preserve">The findings </w:t>
      </w:r>
      <w:r w:rsidR="004F297D" w:rsidRPr="00307F49">
        <w:rPr>
          <w:rFonts w:ascii="Arial" w:eastAsia="TimesNewRomanPSMT" w:hAnsi="Arial" w:cs="Arial"/>
          <w:sz w:val="20"/>
          <w:szCs w:val="20"/>
        </w:rPr>
        <w:t xml:space="preserve">indicated a decline in </w:t>
      </w:r>
      <w:r w:rsidR="004F297D">
        <w:rPr>
          <w:rFonts w:ascii="Arial" w:eastAsia="TimesNewRomanPSMT" w:hAnsi="Arial" w:cs="Arial"/>
          <w:sz w:val="20"/>
          <w:szCs w:val="20"/>
        </w:rPr>
        <w:t xml:space="preserve">firmness, peel weight, titratable acidity and </w:t>
      </w:r>
      <w:r w:rsidR="004F297D" w:rsidRPr="00307F49">
        <w:rPr>
          <w:rFonts w:ascii="Arial" w:eastAsia="TimesNewRomanPSMT" w:hAnsi="Arial" w:cs="Arial"/>
          <w:sz w:val="20"/>
          <w:szCs w:val="20"/>
        </w:rPr>
        <w:t>total phenolic content as the fruit underwent development and ripening</w:t>
      </w:r>
      <w:r w:rsidR="004F297D">
        <w:rPr>
          <w:rFonts w:ascii="Arial" w:eastAsia="TimesNewRomanPSMT" w:hAnsi="Arial" w:cs="Arial"/>
          <w:sz w:val="20"/>
          <w:szCs w:val="20"/>
        </w:rPr>
        <w:t xml:space="preserve"> whereas</w:t>
      </w:r>
      <w:r w:rsidR="004F297D">
        <w:rPr>
          <w:rFonts w:ascii="Arial" w:hAnsi="Arial" w:cs="Arial"/>
          <w:sz w:val="21"/>
          <w:szCs w:val="21"/>
        </w:rPr>
        <w:t xml:space="preserve"> </w:t>
      </w:r>
      <w:r w:rsidR="004F297D" w:rsidRPr="00307F49">
        <w:rPr>
          <w:rFonts w:ascii="Arial" w:eastAsia="TimesNewRomanPSMT" w:hAnsi="Arial" w:cs="Arial"/>
          <w:sz w:val="20"/>
          <w:szCs w:val="20"/>
        </w:rPr>
        <w:t>an increasing trend in the</w:t>
      </w:r>
      <w:r w:rsidR="004F297D">
        <w:rPr>
          <w:rFonts w:ascii="Arial" w:eastAsia="TimesNewRomanPSMT" w:hAnsi="Arial" w:cs="Arial"/>
          <w:sz w:val="20"/>
          <w:szCs w:val="20"/>
        </w:rPr>
        <w:t xml:space="preserve"> TSS, sugar profile and</w:t>
      </w:r>
      <w:r w:rsidR="004F297D" w:rsidRPr="00307F49">
        <w:rPr>
          <w:rFonts w:ascii="Arial" w:eastAsia="TimesNewRomanPSMT" w:hAnsi="Arial" w:cs="Arial"/>
          <w:sz w:val="20"/>
          <w:szCs w:val="20"/>
        </w:rPr>
        <w:t xml:space="preserve"> betacyanin content </w:t>
      </w:r>
      <w:r w:rsidR="004F297D">
        <w:rPr>
          <w:rFonts w:ascii="Arial" w:eastAsia="TimesNewRomanPSMT" w:hAnsi="Arial" w:cs="Arial"/>
          <w:sz w:val="20"/>
          <w:szCs w:val="20"/>
        </w:rPr>
        <w:t xml:space="preserve">were observed </w:t>
      </w:r>
      <w:r w:rsidR="004F297D" w:rsidRPr="00307F49">
        <w:rPr>
          <w:rFonts w:ascii="Arial" w:eastAsia="TimesNewRomanPSMT" w:hAnsi="Arial" w:cs="Arial"/>
          <w:sz w:val="20"/>
          <w:szCs w:val="20"/>
        </w:rPr>
        <w:t>with the advancement in fruit maturity.</w:t>
      </w:r>
      <w:r w:rsidR="004F297D">
        <w:rPr>
          <w:rFonts w:ascii="Arial" w:hAnsi="Arial" w:cs="Arial"/>
          <w:sz w:val="20"/>
          <w:szCs w:val="20"/>
        </w:rPr>
        <w:t xml:space="preserve"> </w:t>
      </w:r>
      <w:r w:rsidR="00FC1D24" w:rsidRPr="00AE5D8F">
        <w:rPr>
          <w:rFonts w:ascii="Arial" w:hAnsi="Arial" w:cs="Arial"/>
          <w:sz w:val="20"/>
          <w:szCs w:val="20"/>
        </w:rPr>
        <w:lastRenderedPageBreak/>
        <w:t xml:space="preserve">Among the three maturity stages, </w:t>
      </w:r>
      <w:r w:rsidR="00A51EEB" w:rsidRPr="00AE5D8F">
        <w:rPr>
          <w:rFonts w:ascii="Arial" w:hAnsi="Arial" w:cs="Arial"/>
          <w:sz w:val="20"/>
          <w:szCs w:val="20"/>
          <w:lang w:val="en-US"/>
        </w:rPr>
        <w:t xml:space="preserve">physiochemical factors such as fruit size, fruit firmness, TSS, titratable acidity, TSS: acid ratio etc. were recorded to be optimum at 30 DAA </w:t>
      </w:r>
      <w:r w:rsidR="00A51EEB" w:rsidRPr="00AE5D8F">
        <w:rPr>
          <w:rFonts w:ascii="Arial" w:hAnsi="Arial" w:cs="Arial"/>
          <w:sz w:val="20"/>
          <w:szCs w:val="20"/>
        </w:rPr>
        <w:t>(H</w:t>
      </w:r>
      <w:r w:rsidR="00A51EEB" w:rsidRPr="00AE5D8F">
        <w:rPr>
          <w:rFonts w:ascii="Arial" w:hAnsi="Arial" w:cs="Arial"/>
          <w:sz w:val="20"/>
          <w:szCs w:val="20"/>
          <w:vertAlign w:val="subscript"/>
        </w:rPr>
        <w:t>2</w:t>
      </w:r>
      <w:r w:rsidR="00A51EEB" w:rsidRPr="00AE5D8F">
        <w:rPr>
          <w:rFonts w:ascii="Arial" w:hAnsi="Arial" w:cs="Arial"/>
          <w:sz w:val="20"/>
          <w:szCs w:val="20"/>
        </w:rPr>
        <w:t>), while storability in terms of lower post-harvest spoilage was recorded in 25 DAA (H</w:t>
      </w:r>
      <w:r w:rsidR="00A51EEB" w:rsidRPr="00AE5D8F">
        <w:rPr>
          <w:rFonts w:ascii="Arial" w:hAnsi="Arial" w:cs="Arial"/>
          <w:sz w:val="20"/>
          <w:szCs w:val="20"/>
          <w:vertAlign w:val="subscript"/>
        </w:rPr>
        <w:t>1</w:t>
      </w:r>
      <w:r w:rsidR="00A51EEB" w:rsidRPr="00AE5D8F">
        <w:rPr>
          <w:rFonts w:ascii="Arial" w:hAnsi="Arial" w:cs="Arial"/>
          <w:sz w:val="20"/>
          <w:szCs w:val="20"/>
        </w:rPr>
        <w:t xml:space="preserve">). </w:t>
      </w:r>
    </w:p>
    <w:p w14:paraId="6003D5BE" w14:textId="52434E88" w:rsidR="00A51EEB" w:rsidRDefault="00A51EEB" w:rsidP="00A51EEB">
      <w:pPr>
        <w:pStyle w:val="NormalWeb"/>
        <w:spacing w:before="0" w:beforeAutospacing="0" w:after="0" w:afterAutospacing="0" w:line="276" w:lineRule="auto"/>
        <w:jc w:val="both"/>
        <w:rPr>
          <w:rFonts w:ascii="Arial" w:hAnsi="Arial" w:cs="Arial"/>
          <w:sz w:val="22"/>
          <w:szCs w:val="22"/>
        </w:rPr>
      </w:pPr>
    </w:p>
    <w:p w14:paraId="7B289EBB" w14:textId="605E5847" w:rsidR="000C51D2" w:rsidRDefault="000C51D2" w:rsidP="00A51EEB">
      <w:pPr>
        <w:pStyle w:val="NormalWeb"/>
        <w:spacing w:before="0" w:beforeAutospacing="0" w:after="0" w:afterAutospacing="0" w:line="276" w:lineRule="auto"/>
        <w:jc w:val="both"/>
        <w:rPr>
          <w:rFonts w:ascii="Arial" w:hAnsi="Arial" w:cs="Arial"/>
          <w:sz w:val="22"/>
          <w:szCs w:val="22"/>
        </w:rPr>
      </w:pPr>
    </w:p>
    <w:p w14:paraId="22E74C0E" w14:textId="77777777" w:rsidR="000C51D2" w:rsidRPr="0076283F" w:rsidRDefault="000C51D2" w:rsidP="000C51D2">
      <w:pPr>
        <w:spacing w:after="200" w:line="276" w:lineRule="auto"/>
        <w:rPr>
          <w:rFonts w:ascii="Calibri" w:eastAsia="Calibri" w:hAnsi="Calibri" w:cs="Times New Roman"/>
          <w:b/>
          <w:sz w:val="22"/>
          <w:szCs w:val="22"/>
          <w:lang w:val="en-US"/>
        </w:rPr>
      </w:pPr>
      <w:r w:rsidRPr="0076283F">
        <w:rPr>
          <w:rFonts w:ascii="Calibri" w:eastAsia="Calibri" w:hAnsi="Calibri" w:cs="Times New Roman"/>
          <w:b/>
          <w:sz w:val="22"/>
          <w:szCs w:val="22"/>
          <w:lang w:val="en-US"/>
        </w:rPr>
        <w:t>Disclaimer (Artificial intelligence)</w:t>
      </w:r>
    </w:p>
    <w:p w14:paraId="059193AA" w14:textId="77777777" w:rsidR="000C51D2" w:rsidRPr="00293775" w:rsidRDefault="000C51D2" w:rsidP="000C51D2">
      <w:pPr>
        <w:spacing w:after="200" w:line="276" w:lineRule="auto"/>
        <w:rPr>
          <w:rFonts w:ascii="Calibri" w:eastAsia="Calibri" w:hAnsi="Calibri" w:cs="Times New Roman"/>
          <w:sz w:val="22"/>
          <w:szCs w:val="22"/>
          <w:lang w:val="en-US"/>
        </w:rPr>
      </w:pPr>
      <w:r w:rsidRPr="00293775">
        <w:rPr>
          <w:rFonts w:ascii="Calibri" w:eastAsia="Calibri" w:hAnsi="Calibri" w:cs="Times New Roman"/>
          <w:sz w:val="22"/>
          <w:szCs w:val="22"/>
          <w:lang w:val="en-US"/>
        </w:rPr>
        <w:t xml:space="preserve">Author(s) hereby declare that NO generative AI technologies such as Large Language Models (ChatGPT, COPILOT, etc.) and text-to-image generators have been used during the writing or editing of this manuscript. </w:t>
      </w:r>
    </w:p>
    <w:p w14:paraId="3BC73B03" w14:textId="447966A1" w:rsidR="008D17C2" w:rsidRPr="008D17C2" w:rsidRDefault="008D17C2" w:rsidP="00A51EEB">
      <w:pPr>
        <w:pStyle w:val="ReferHead"/>
        <w:spacing w:after="0"/>
        <w:jc w:val="both"/>
        <w:rPr>
          <w:rFonts w:ascii="Arial" w:hAnsi="Arial" w:cs="Arial"/>
          <w:b w:val="0"/>
          <w:sz w:val="20"/>
          <w:szCs w:val="16"/>
        </w:rPr>
      </w:pPr>
    </w:p>
    <w:p w14:paraId="0237F7C6" w14:textId="6E6746E3" w:rsidR="00125765" w:rsidRDefault="001843BD" w:rsidP="008D17C2">
      <w:pPr>
        <w:pStyle w:val="NormalWeb"/>
        <w:spacing w:before="0" w:beforeAutospacing="0" w:after="0" w:afterAutospacing="0" w:line="276" w:lineRule="auto"/>
        <w:jc w:val="both"/>
        <w:rPr>
          <w:rFonts w:ascii="Arial" w:hAnsi="Arial" w:cs="Arial"/>
          <w:sz w:val="20"/>
          <w:szCs w:val="20"/>
        </w:rPr>
      </w:pPr>
      <w:r>
        <w:rPr>
          <w:rFonts w:ascii="Arial" w:hAnsi="Arial" w:cs="Arial"/>
          <w:sz w:val="22"/>
          <w:szCs w:val="22"/>
        </w:rPr>
        <w:tab/>
      </w:r>
    </w:p>
    <w:p w14:paraId="20D9E85A" w14:textId="2B5A1555" w:rsidR="00AE5D8F" w:rsidRPr="00096598" w:rsidRDefault="00A51EEB" w:rsidP="00AE5D8F">
      <w:pPr>
        <w:spacing w:line="276" w:lineRule="auto"/>
        <w:jc w:val="both"/>
        <w:rPr>
          <w:rFonts w:ascii="Arial" w:hAnsi="Arial" w:cs="Arial"/>
          <w:b/>
          <w:bCs/>
          <w:sz w:val="22"/>
          <w:szCs w:val="22"/>
        </w:rPr>
      </w:pPr>
      <w:r w:rsidRPr="00AE5D8F">
        <w:rPr>
          <w:rFonts w:ascii="Arial" w:hAnsi="Arial" w:cs="Arial"/>
          <w:b/>
          <w:bCs/>
          <w:sz w:val="22"/>
          <w:szCs w:val="22"/>
        </w:rPr>
        <w:t>REFERENCES</w:t>
      </w:r>
    </w:p>
    <w:p w14:paraId="62B37732" w14:textId="77777777" w:rsidR="00AE5D8F" w:rsidRPr="00096598" w:rsidRDefault="00AE5D8F" w:rsidP="00AE5D8F">
      <w:pPr>
        <w:spacing w:before="240"/>
        <w:ind w:left="1276" w:right="-143" w:hanging="1276"/>
        <w:jc w:val="both"/>
        <w:rPr>
          <w:rFonts w:ascii="Arial" w:eastAsia="Hiragino Mincho Pro W3" w:hAnsi="Arial" w:cs="Arial"/>
          <w:sz w:val="20"/>
          <w:szCs w:val="20"/>
        </w:rPr>
      </w:pPr>
      <w:r w:rsidRPr="00096598">
        <w:rPr>
          <w:rFonts w:ascii="Arial" w:eastAsia="Hiragino Mincho Pro W3" w:hAnsi="Arial" w:cs="Arial"/>
          <w:sz w:val="20"/>
          <w:szCs w:val="20"/>
        </w:rPr>
        <w:t xml:space="preserve">Ahmed, Z. F. R., </w:t>
      </w:r>
      <w:proofErr w:type="spellStart"/>
      <w:r w:rsidRPr="00096598">
        <w:rPr>
          <w:rFonts w:ascii="Arial" w:eastAsia="Hiragino Mincho Pro W3" w:hAnsi="Arial" w:cs="Arial"/>
          <w:sz w:val="20"/>
          <w:szCs w:val="20"/>
        </w:rPr>
        <w:t>Albooshi</w:t>
      </w:r>
      <w:proofErr w:type="spellEnd"/>
      <w:r w:rsidRPr="00096598">
        <w:rPr>
          <w:rFonts w:ascii="Arial" w:eastAsia="Hiragino Mincho Pro W3" w:hAnsi="Arial" w:cs="Arial"/>
          <w:sz w:val="20"/>
          <w:szCs w:val="20"/>
        </w:rPr>
        <w:t xml:space="preserve">, S. S., Kaur, N., Maqsood, S. and </w:t>
      </w:r>
      <w:proofErr w:type="spellStart"/>
      <w:r w:rsidRPr="00096598">
        <w:rPr>
          <w:rFonts w:ascii="Arial" w:eastAsia="Hiragino Mincho Pro W3" w:hAnsi="Arial" w:cs="Arial"/>
          <w:sz w:val="20"/>
          <w:szCs w:val="20"/>
        </w:rPr>
        <w:t>Schmeda</w:t>
      </w:r>
      <w:proofErr w:type="spellEnd"/>
      <w:r w:rsidRPr="00096598">
        <w:rPr>
          <w:rFonts w:ascii="Arial" w:eastAsia="Hiragino Mincho Pro W3" w:hAnsi="Arial" w:cs="Arial"/>
          <w:sz w:val="20"/>
          <w:szCs w:val="20"/>
        </w:rPr>
        <w:t xml:space="preserve">- </w:t>
      </w:r>
      <w:proofErr w:type="spellStart"/>
      <w:r w:rsidRPr="00096598">
        <w:rPr>
          <w:rFonts w:ascii="Arial" w:eastAsia="Hiragino Mincho Pro W3" w:hAnsi="Arial" w:cs="Arial"/>
          <w:sz w:val="20"/>
          <w:szCs w:val="20"/>
        </w:rPr>
        <w:t>Hirschmann</w:t>
      </w:r>
      <w:proofErr w:type="spellEnd"/>
      <w:r w:rsidRPr="00096598">
        <w:rPr>
          <w:rFonts w:ascii="Arial" w:eastAsia="Hiragino Mincho Pro W3" w:hAnsi="Arial" w:cs="Arial"/>
          <w:sz w:val="20"/>
          <w:szCs w:val="20"/>
        </w:rPr>
        <w:t xml:space="preserve">, G. </w:t>
      </w:r>
      <w:r>
        <w:rPr>
          <w:rFonts w:ascii="Arial" w:eastAsia="Hiragino Mincho Pro W3" w:hAnsi="Arial" w:cs="Arial"/>
          <w:sz w:val="20"/>
          <w:szCs w:val="20"/>
        </w:rPr>
        <w:t>(</w:t>
      </w:r>
      <w:r w:rsidRPr="00096598">
        <w:rPr>
          <w:rFonts w:ascii="Arial" w:eastAsia="Hiragino Mincho Pro W3" w:hAnsi="Arial" w:cs="Arial"/>
          <w:sz w:val="20"/>
          <w:szCs w:val="20"/>
        </w:rPr>
        <w:t>2021</w:t>
      </w:r>
      <w:r>
        <w:rPr>
          <w:rFonts w:ascii="Arial" w:eastAsia="Hiragino Mincho Pro W3" w:hAnsi="Arial" w:cs="Arial"/>
          <w:sz w:val="20"/>
          <w:szCs w:val="20"/>
        </w:rPr>
        <w:t>)</w:t>
      </w:r>
      <w:r w:rsidRPr="00096598">
        <w:rPr>
          <w:rFonts w:ascii="Arial" w:eastAsia="Hiragino Mincho Pro W3" w:hAnsi="Arial" w:cs="Arial"/>
          <w:sz w:val="20"/>
          <w:szCs w:val="20"/>
        </w:rPr>
        <w:t>. Synergistic effect of preharvest spray application of natural elicitors on storage life and bioactive compounds of date palm (</w:t>
      </w:r>
      <w:r w:rsidRPr="00096598">
        <w:rPr>
          <w:rFonts w:ascii="Arial" w:eastAsia="Hiragino Mincho Pro W3" w:hAnsi="Arial" w:cs="Arial"/>
          <w:i/>
          <w:iCs/>
          <w:sz w:val="20"/>
          <w:szCs w:val="20"/>
        </w:rPr>
        <w:t xml:space="preserve">Pheonix dactylifera </w:t>
      </w:r>
      <w:r w:rsidRPr="00096598">
        <w:rPr>
          <w:rFonts w:ascii="Arial" w:eastAsia="Hiragino Mincho Pro W3" w:hAnsi="Arial" w:cs="Arial"/>
          <w:sz w:val="20"/>
          <w:szCs w:val="20"/>
        </w:rPr>
        <w:t xml:space="preserve">L., cv. </w:t>
      </w:r>
      <w:proofErr w:type="spellStart"/>
      <w:r w:rsidRPr="00096598">
        <w:rPr>
          <w:rFonts w:ascii="Arial" w:eastAsia="Hiragino Mincho Pro W3" w:hAnsi="Arial" w:cs="Arial"/>
          <w:sz w:val="20"/>
          <w:szCs w:val="20"/>
        </w:rPr>
        <w:t>Khesab</w:t>
      </w:r>
      <w:proofErr w:type="spellEnd"/>
      <w:r w:rsidRPr="00096598">
        <w:rPr>
          <w:rFonts w:ascii="Arial" w:eastAsia="Hiragino Mincho Pro W3" w:hAnsi="Arial" w:cs="Arial"/>
          <w:sz w:val="20"/>
          <w:szCs w:val="20"/>
        </w:rPr>
        <w:t xml:space="preserve">). </w:t>
      </w:r>
      <w:proofErr w:type="spellStart"/>
      <w:r w:rsidRPr="00096598">
        <w:rPr>
          <w:rFonts w:ascii="Arial" w:eastAsia="Hiragino Mincho Pro W3" w:hAnsi="Arial" w:cs="Arial"/>
          <w:i/>
          <w:iCs/>
          <w:sz w:val="20"/>
          <w:szCs w:val="20"/>
        </w:rPr>
        <w:t>Horticulturae</w:t>
      </w:r>
      <w:proofErr w:type="spellEnd"/>
      <w:r w:rsidRPr="00096598">
        <w:rPr>
          <w:rFonts w:ascii="Arial" w:eastAsia="Hiragino Mincho Pro W3" w:hAnsi="Arial" w:cs="Arial"/>
          <w:sz w:val="20"/>
          <w:szCs w:val="20"/>
        </w:rPr>
        <w:t xml:space="preserve">. </w:t>
      </w:r>
      <w:r w:rsidRPr="00096598">
        <w:rPr>
          <w:rFonts w:ascii="Arial" w:eastAsia="Hiragino Mincho Pro W3" w:hAnsi="Arial" w:cs="Arial"/>
          <w:b/>
          <w:bCs/>
          <w:sz w:val="20"/>
          <w:szCs w:val="20"/>
        </w:rPr>
        <w:t>7</w:t>
      </w:r>
      <w:r w:rsidRPr="00096598">
        <w:rPr>
          <w:rFonts w:ascii="Arial" w:eastAsia="Hiragino Mincho Pro W3" w:hAnsi="Arial" w:cs="Arial"/>
          <w:sz w:val="20"/>
          <w:szCs w:val="20"/>
        </w:rPr>
        <w:t xml:space="preserve">, 145. </w:t>
      </w:r>
    </w:p>
    <w:p w14:paraId="19F0A357" w14:textId="77777777" w:rsidR="00AE5D8F" w:rsidRPr="00096598" w:rsidRDefault="00AE5D8F" w:rsidP="00AE5D8F">
      <w:pPr>
        <w:spacing w:before="240"/>
        <w:ind w:left="1276" w:right="-143" w:hanging="1276"/>
        <w:jc w:val="both"/>
        <w:rPr>
          <w:rFonts w:ascii="Arial" w:eastAsia="Hiragino Mincho Pro W3" w:hAnsi="Arial" w:cs="Arial"/>
          <w:sz w:val="20"/>
          <w:szCs w:val="20"/>
        </w:rPr>
      </w:pPr>
      <w:proofErr w:type="spellStart"/>
      <w:r w:rsidRPr="00096598">
        <w:rPr>
          <w:rFonts w:ascii="Arial" w:eastAsia="Hiragino Mincho Pro W3" w:hAnsi="Arial" w:cs="Arial"/>
          <w:sz w:val="20"/>
          <w:szCs w:val="20"/>
        </w:rPr>
        <w:t>Aldhanhani</w:t>
      </w:r>
      <w:proofErr w:type="spellEnd"/>
      <w:r w:rsidRPr="00096598">
        <w:rPr>
          <w:rFonts w:ascii="Arial" w:eastAsia="Hiragino Mincho Pro W3" w:hAnsi="Arial" w:cs="Arial"/>
          <w:sz w:val="20"/>
          <w:szCs w:val="20"/>
        </w:rPr>
        <w:t xml:space="preserve">, A. R. H., Ahmed, Z. F. R., </w:t>
      </w:r>
      <w:proofErr w:type="spellStart"/>
      <w:r w:rsidRPr="00096598">
        <w:rPr>
          <w:rFonts w:ascii="Arial" w:eastAsia="Hiragino Mincho Pro W3" w:hAnsi="Arial" w:cs="Arial"/>
          <w:sz w:val="20"/>
          <w:szCs w:val="20"/>
        </w:rPr>
        <w:t>Tzortzakis</w:t>
      </w:r>
      <w:proofErr w:type="spellEnd"/>
      <w:r w:rsidRPr="00096598">
        <w:rPr>
          <w:rFonts w:ascii="Arial" w:eastAsia="Hiragino Mincho Pro W3" w:hAnsi="Arial" w:cs="Arial"/>
          <w:sz w:val="20"/>
          <w:szCs w:val="20"/>
        </w:rPr>
        <w:t xml:space="preserve">, N. and Singh, Z. </w:t>
      </w:r>
      <w:r>
        <w:rPr>
          <w:rFonts w:ascii="Arial" w:eastAsia="Hiragino Mincho Pro W3" w:hAnsi="Arial" w:cs="Arial"/>
          <w:sz w:val="20"/>
          <w:szCs w:val="20"/>
        </w:rPr>
        <w:t>(</w:t>
      </w:r>
      <w:r w:rsidRPr="00096598">
        <w:rPr>
          <w:rFonts w:ascii="Arial" w:eastAsia="Hiragino Mincho Pro W3" w:hAnsi="Arial" w:cs="Arial"/>
          <w:sz w:val="20"/>
          <w:szCs w:val="20"/>
        </w:rPr>
        <w:t>2022</w:t>
      </w:r>
      <w:r>
        <w:rPr>
          <w:rFonts w:ascii="Arial" w:eastAsia="Hiragino Mincho Pro W3" w:hAnsi="Arial" w:cs="Arial"/>
          <w:sz w:val="20"/>
          <w:szCs w:val="20"/>
        </w:rPr>
        <w:t>)</w:t>
      </w:r>
      <w:r w:rsidRPr="00096598">
        <w:rPr>
          <w:rFonts w:ascii="Arial" w:eastAsia="Hiragino Mincho Pro W3" w:hAnsi="Arial" w:cs="Arial"/>
          <w:sz w:val="20"/>
          <w:szCs w:val="20"/>
        </w:rPr>
        <w:t>. Maturity stage at harvest influences antioxidant phytochemicals and antibacterial activity of jujube fruit (</w:t>
      </w:r>
      <w:proofErr w:type="spellStart"/>
      <w:r w:rsidRPr="00096598">
        <w:rPr>
          <w:rFonts w:ascii="Arial" w:eastAsia="Hiragino Mincho Pro W3" w:hAnsi="Arial" w:cs="Arial"/>
          <w:i/>
          <w:iCs/>
          <w:sz w:val="20"/>
          <w:szCs w:val="20"/>
        </w:rPr>
        <w:t>Ziziphus</w:t>
      </w:r>
      <w:proofErr w:type="spellEnd"/>
      <w:r w:rsidRPr="00096598">
        <w:rPr>
          <w:rFonts w:ascii="Arial" w:eastAsia="Hiragino Mincho Pro W3" w:hAnsi="Arial" w:cs="Arial"/>
          <w:i/>
          <w:iCs/>
          <w:sz w:val="20"/>
          <w:szCs w:val="20"/>
        </w:rPr>
        <w:t xml:space="preserve"> </w:t>
      </w:r>
      <w:proofErr w:type="spellStart"/>
      <w:r w:rsidRPr="00096598">
        <w:rPr>
          <w:rFonts w:ascii="Arial" w:eastAsia="Hiragino Mincho Pro W3" w:hAnsi="Arial" w:cs="Arial"/>
          <w:i/>
          <w:iCs/>
          <w:sz w:val="20"/>
          <w:szCs w:val="20"/>
        </w:rPr>
        <w:t>mauritiana</w:t>
      </w:r>
      <w:proofErr w:type="spellEnd"/>
      <w:r w:rsidRPr="00096598">
        <w:rPr>
          <w:rFonts w:ascii="Arial" w:eastAsia="Hiragino Mincho Pro W3" w:hAnsi="Arial" w:cs="Arial"/>
          <w:i/>
          <w:iCs/>
          <w:sz w:val="20"/>
          <w:szCs w:val="20"/>
        </w:rPr>
        <w:t xml:space="preserve"> </w:t>
      </w:r>
      <w:proofErr w:type="spellStart"/>
      <w:r w:rsidRPr="00096598">
        <w:rPr>
          <w:rFonts w:ascii="Arial" w:eastAsia="Hiragino Mincho Pro W3" w:hAnsi="Arial" w:cs="Arial"/>
          <w:sz w:val="20"/>
          <w:szCs w:val="20"/>
        </w:rPr>
        <w:t>Lamk</w:t>
      </w:r>
      <w:proofErr w:type="spellEnd"/>
      <w:r w:rsidRPr="00096598">
        <w:rPr>
          <w:rFonts w:ascii="Arial" w:eastAsia="Hiragino Mincho Pro W3" w:hAnsi="Arial" w:cs="Arial"/>
          <w:sz w:val="20"/>
          <w:szCs w:val="20"/>
        </w:rPr>
        <w:t xml:space="preserve">. and </w:t>
      </w:r>
      <w:proofErr w:type="spellStart"/>
      <w:r w:rsidRPr="00096598">
        <w:rPr>
          <w:rFonts w:ascii="Arial" w:eastAsia="Hiragino Mincho Pro W3" w:hAnsi="Arial" w:cs="Arial"/>
          <w:i/>
          <w:iCs/>
          <w:sz w:val="20"/>
          <w:szCs w:val="20"/>
        </w:rPr>
        <w:t>Ziziphus</w:t>
      </w:r>
      <w:proofErr w:type="spellEnd"/>
      <w:r w:rsidRPr="00096598">
        <w:rPr>
          <w:rFonts w:ascii="Arial" w:eastAsia="Hiragino Mincho Pro W3" w:hAnsi="Arial" w:cs="Arial"/>
          <w:i/>
          <w:iCs/>
          <w:sz w:val="20"/>
          <w:szCs w:val="20"/>
        </w:rPr>
        <w:t xml:space="preserve"> spina-</w:t>
      </w:r>
      <w:proofErr w:type="spellStart"/>
      <w:r w:rsidRPr="00096598">
        <w:rPr>
          <w:rFonts w:ascii="Arial" w:eastAsia="Hiragino Mincho Pro W3" w:hAnsi="Arial" w:cs="Arial"/>
          <w:i/>
          <w:iCs/>
          <w:sz w:val="20"/>
          <w:szCs w:val="20"/>
        </w:rPr>
        <w:t>christi</w:t>
      </w:r>
      <w:proofErr w:type="spellEnd"/>
      <w:r w:rsidRPr="00096598">
        <w:rPr>
          <w:rFonts w:ascii="Arial" w:eastAsia="Hiragino Mincho Pro W3" w:hAnsi="Arial" w:cs="Arial"/>
          <w:sz w:val="20"/>
          <w:szCs w:val="20"/>
        </w:rPr>
        <w:t xml:space="preserve"> L.). </w:t>
      </w:r>
      <w:r w:rsidRPr="00096598">
        <w:rPr>
          <w:rFonts w:ascii="Arial" w:eastAsia="Hiragino Mincho Pro W3" w:hAnsi="Arial" w:cs="Arial"/>
          <w:i/>
          <w:iCs/>
          <w:sz w:val="20"/>
          <w:szCs w:val="20"/>
        </w:rPr>
        <w:t xml:space="preserve">Annals of Agricultural Sciences. </w:t>
      </w:r>
      <w:r w:rsidRPr="00096598">
        <w:rPr>
          <w:rFonts w:ascii="Arial" w:eastAsia="Hiragino Mincho Pro W3" w:hAnsi="Arial" w:cs="Arial"/>
          <w:b/>
          <w:bCs/>
          <w:sz w:val="20"/>
          <w:szCs w:val="20"/>
        </w:rPr>
        <w:t>67</w:t>
      </w:r>
      <w:r w:rsidRPr="00096598">
        <w:rPr>
          <w:rFonts w:ascii="Arial" w:eastAsia="Hiragino Mincho Pro W3" w:hAnsi="Arial" w:cs="Arial"/>
          <w:sz w:val="20"/>
          <w:szCs w:val="20"/>
        </w:rPr>
        <w:t>:196-203.</w:t>
      </w:r>
    </w:p>
    <w:p w14:paraId="3FB702D8" w14:textId="77777777" w:rsidR="00AE5D8F" w:rsidRPr="00096598" w:rsidRDefault="00AE5D8F" w:rsidP="00AE5D8F">
      <w:pPr>
        <w:spacing w:before="240"/>
        <w:ind w:left="1276" w:right="-143" w:hanging="1276"/>
        <w:jc w:val="both"/>
        <w:rPr>
          <w:rFonts w:ascii="Arial" w:eastAsia="Hiragino Mincho Pro W3" w:hAnsi="Arial" w:cs="Arial"/>
          <w:sz w:val="20"/>
          <w:szCs w:val="20"/>
        </w:rPr>
      </w:pPr>
      <w:r w:rsidRPr="00096598">
        <w:rPr>
          <w:rFonts w:ascii="Arial" w:eastAsia="Hiragino Mincho Pro W3" w:hAnsi="Arial" w:cs="Arial"/>
          <w:sz w:val="20"/>
          <w:szCs w:val="20"/>
        </w:rPr>
        <w:t xml:space="preserve">Ali, A., Zahid, N., Manickam, S., Siddique, Y. and Alderson, P. G. </w:t>
      </w:r>
      <w:r>
        <w:rPr>
          <w:rFonts w:ascii="Arial" w:eastAsia="Hiragino Mincho Pro W3" w:hAnsi="Arial" w:cs="Arial"/>
          <w:sz w:val="20"/>
          <w:szCs w:val="20"/>
        </w:rPr>
        <w:t>(</w:t>
      </w:r>
      <w:r w:rsidRPr="00096598">
        <w:rPr>
          <w:rFonts w:ascii="Arial" w:eastAsia="Hiragino Mincho Pro W3" w:hAnsi="Arial" w:cs="Arial"/>
          <w:sz w:val="20"/>
          <w:szCs w:val="20"/>
        </w:rPr>
        <w:t>2014</w:t>
      </w:r>
      <w:r>
        <w:rPr>
          <w:rFonts w:ascii="Arial" w:eastAsia="Hiragino Mincho Pro W3" w:hAnsi="Arial" w:cs="Arial"/>
          <w:sz w:val="20"/>
          <w:szCs w:val="20"/>
        </w:rPr>
        <w:t>)</w:t>
      </w:r>
      <w:r w:rsidRPr="00096598">
        <w:rPr>
          <w:rFonts w:ascii="Arial" w:eastAsia="Hiragino Mincho Pro W3" w:hAnsi="Arial" w:cs="Arial"/>
          <w:sz w:val="20"/>
          <w:szCs w:val="20"/>
        </w:rPr>
        <w:t xml:space="preserve">. Double layer coatings: A new technique for maintaining physio-chemical characteristics and antioxidant properties of dragon fruit during storage. </w:t>
      </w:r>
      <w:r w:rsidRPr="00096598">
        <w:rPr>
          <w:rFonts w:ascii="Arial" w:eastAsia="Hiragino Mincho Pro W3" w:hAnsi="Arial" w:cs="Arial"/>
          <w:i/>
          <w:iCs/>
          <w:sz w:val="20"/>
          <w:szCs w:val="20"/>
        </w:rPr>
        <w:t xml:space="preserve">Food Bioprocess Technology. </w:t>
      </w:r>
      <w:r w:rsidRPr="00096598">
        <w:rPr>
          <w:rFonts w:ascii="Arial" w:eastAsia="Hiragino Mincho Pro W3" w:hAnsi="Arial" w:cs="Arial"/>
          <w:b/>
          <w:bCs/>
          <w:sz w:val="20"/>
          <w:szCs w:val="20"/>
        </w:rPr>
        <w:t>7</w:t>
      </w:r>
      <w:r w:rsidRPr="00096598">
        <w:rPr>
          <w:rFonts w:ascii="Arial" w:eastAsia="Hiragino Mincho Pro W3" w:hAnsi="Arial" w:cs="Arial"/>
          <w:sz w:val="20"/>
          <w:szCs w:val="20"/>
        </w:rPr>
        <w:t xml:space="preserve">(8):2366-2374. </w:t>
      </w:r>
    </w:p>
    <w:p w14:paraId="6AF4E1D2" w14:textId="77777777" w:rsidR="00AE5D8F" w:rsidRPr="00096598" w:rsidRDefault="00AE5D8F" w:rsidP="00AE5D8F">
      <w:pPr>
        <w:spacing w:before="240"/>
        <w:ind w:left="1276" w:right="-143" w:hanging="1276"/>
        <w:jc w:val="both"/>
        <w:rPr>
          <w:rFonts w:ascii="Arial" w:hAnsi="Arial" w:cs="Arial"/>
          <w:sz w:val="20"/>
          <w:szCs w:val="20"/>
        </w:rPr>
      </w:pPr>
      <w:r w:rsidRPr="00096598">
        <w:rPr>
          <w:rFonts w:ascii="Arial" w:hAnsi="Arial" w:cs="Arial" w:hint="eastAsia"/>
          <w:sz w:val="20"/>
          <w:szCs w:val="20"/>
        </w:rPr>
        <w:t xml:space="preserve">AOAC. </w:t>
      </w:r>
      <w:r>
        <w:rPr>
          <w:rFonts w:ascii="Arial" w:hAnsi="Arial" w:cs="Arial"/>
          <w:sz w:val="20"/>
          <w:szCs w:val="20"/>
        </w:rPr>
        <w:t>(</w:t>
      </w:r>
      <w:r w:rsidRPr="00096598">
        <w:rPr>
          <w:rFonts w:ascii="Arial" w:hAnsi="Arial" w:cs="Arial" w:hint="eastAsia"/>
          <w:sz w:val="20"/>
          <w:szCs w:val="20"/>
        </w:rPr>
        <w:t>1994</w:t>
      </w:r>
      <w:r>
        <w:rPr>
          <w:rFonts w:ascii="Arial" w:hAnsi="Arial" w:cs="Arial"/>
          <w:sz w:val="20"/>
          <w:szCs w:val="20"/>
        </w:rPr>
        <w:t>)</w:t>
      </w:r>
      <w:r w:rsidRPr="00096598">
        <w:rPr>
          <w:rFonts w:ascii="Arial" w:hAnsi="Arial" w:cs="Arial" w:hint="eastAsia"/>
          <w:sz w:val="20"/>
          <w:szCs w:val="20"/>
        </w:rPr>
        <w:t xml:space="preserve">. Official Methods of Analysis: 15th </w:t>
      </w:r>
      <w:proofErr w:type="spellStart"/>
      <w:r w:rsidRPr="00096598">
        <w:rPr>
          <w:rFonts w:ascii="Arial" w:hAnsi="Arial" w:cs="Arial" w:hint="eastAsia"/>
          <w:sz w:val="20"/>
          <w:szCs w:val="20"/>
        </w:rPr>
        <w:t>Edn</w:t>
      </w:r>
      <w:proofErr w:type="spellEnd"/>
      <w:r w:rsidRPr="00096598">
        <w:rPr>
          <w:rFonts w:ascii="Arial" w:hAnsi="Arial" w:cs="Arial" w:hint="eastAsia"/>
          <w:sz w:val="20"/>
          <w:szCs w:val="20"/>
        </w:rPr>
        <w:t xml:space="preserve">. Association of Official Analytical Chemists, Wahington, D.C., U.S.A. pp. 125-139. </w:t>
      </w:r>
    </w:p>
    <w:p w14:paraId="4F882ED2" w14:textId="77777777" w:rsidR="00AE5D8F" w:rsidRPr="00096598" w:rsidRDefault="00AE5D8F" w:rsidP="00AE5D8F">
      <w:pPr>
        <w:spacing w:before="240"/>
        <w:ind w:left="1276" w:right="-143" w:hanging="1276"/>
        <w:jc w:val="both"/>
        <w:rPr>
          <w:rFonts w:ascii="Arial" w:hAnsi="Arial" w:cs="Arial"/>
          <w:sz w:val="20"/>
          <w:szCs w:val="20"/>
          <w:lang w:val="en-US"/>
        </w:rPr>
      </w:pPr>
      <w:r w:rsidRPr="00096598">
        <w:rPr>
          <w:rFonts w:ascii="Arial" w:hAnsi="Arial" w:cs="Arial"/>
          <w:sz w:val="20"/>
          <w:szCs w:val="20"/>
          <w:lang w:val="en-US"/>
        </w:rPr>
        <w:t xml:space="preserve">Babu, K. D., Singh, N. V., Gaikwad, N., Maity, A., Suryavanshi, S. K. and Pal, R. K. </w:t>
      </w:r>
      <w:r>
        <w:rPr>
          <w:rFonts w:ascii="Arial" w:hAnsi="Arial" w:cs="Arial"/>
          <w:sz w:val="20"/>
          <w:szCs w:val="20"/>
          <w:lang w:val="en-US"/>
        </w:rPr>
        <w:t>(</w:t>
      </w:r>
      <w:r w:rsidRPr="00096598">
        <w:rPr>
          <w:rFonts w:ascii="Arial" w:hAnsi="Arial" w:cs="Arial"/>
          <w:sz w:val="20"/>
          <w:szCs w:val="20"/>
          <w:lang w:val="en-US"/>
        </w:rPr>
        <w:t>2017</w:t>
      </w:r>
      <w:r>
        <w:rPr>
          <w:rFonts w:ascii="Arial" w:hAnsi="Arial" w:cs="Arial"/>
          <w:sz w:val="20"/>
          <w:szCs w:val="20"/>
          <w:lang w:val="en-US"/>
        </w:rPr>
        <w:t>)</w:t>
      </w:r>
      <w:r w:rsidRPr="00096598">
        <w:rPr>
          <w:rFonts w:ascii="Arial" w:hAnsi="Arial" w:cs="Arial"/>
          <w:sz w:val="20"/>
          <w:szCs w:val="20"/>
          <w:lang w:val="en-US"/>
        </w:rPr>
        <w:t>. Determination of maturity indices for harvesting of pomegranate (</w:t>
      </w:r>
      <w:r w:rsidRPr="00096598">
        <w:rPr>
          <w:rFonts w:ascii="Arial" w:hAnsi="Arial" w:cs="Arial"/>
          <w:i/>
          <w:iCs/>
          <w:sz w:val="20"/>
          <w:szCs w:val="20"/>
          <w:lang w:val="en-US"/>
        </w:rPr>
        <w:t>Punica granatum</w:t>
      </w:r>
      <w:r w:rsidRPr="00096598">
        <w:rPr>
          <w:rFonts w:ascii="Arial" w:hAnsi="Arial" w:cs="Arial"/>
          <w:sz w:val="20"/>
          <w:szCs w:val="20"/>
          <w:lang w:val="en-US"/>
        </w:rPr>
        <w:t xml:space="preserve">). </w:t>
      </w:r>
      <w:r w:rsidRPr="00096598">
        <w:rPr>
          <w:rFonts w:ascii="Arial" w:hAnsi="Arial" w:cs="Arial"/>
          <w:i/>
          <w:iCs/>
          <w:sz w:val="20"/>
          <w:szCs w:val="20"/>
          <w:lang w:val="en-US"/>
        </w:rPr>
        <w:t xml:space="preserve">Indian Journal of Agriculture Science. </w:t>
      </w:r>
      <w:r w:rsidRPr="00096598">
        <w:rPr>
          <w:rFonts w:ascii="Arial" w:hAnsi="Arial" w:cs="Arial"/>
          <w:b/>
          <w:bCs/>
          <w:sz w:val="20"/>
          <w:szCs w:val="20"/>
          <w:lang w:val="en-US"/>
        </w:rPr>
        <w:t>87</w:t>
      </w:r>
      <w:r w:rsidRPr="00096598">
        <w:rPr>
          <w:rFonts w:ascii="Arial" w:hAnsi="Arial" w:cs="Arial"/>
          <w:sz w:val="20"/>
          <w:szCs w:val="20"/>
          <w:lang w:val="en-US"/>
        </w:rPr>
        <w:t>(9): 1225-30</w:t>
      </w:r>
    </w:p>
    <w:p w14:paraId="3679201B" w14:textId="77777777" w:rsidR="00AE5D8F" w:rsidRPr="00096598" w:rsidRDefault="00AE5D8F" w:rsidP="00AE5D8F">
      <w:pPr>
        <w:spacing w:before="240"/>
        <w:ind w:left="1276" w:right="-143" w:hanging="1276"/>
        <w:jc w:val="both"/>
        <w:rPr>
          <w:rFonts w:ascii="Arial" w:hAnsi="Arial" w:cs="Arial"/>
          <w:sz w:val="20"/>
          <w:szCs w:val="20"/>
          <w:lang w:val="en-US"/>
        </w:rPr>
      </w:pPr>
      <w:r w:rsidRPr="00096598">
        <w:rPr>
          <w:rFonts w:ascii="Arial" w:hAnsi="Arial" w:cs="Arial"/>
          <w:sz w:val="20"/>
          <w:szCs w:val="20"/>
          <w:lang w:val="en-US"/>
        </w:rPr>
        <w:t xml:space="preserve">Baloch, M. K. and Bibi, F. </w:t>
      </w:r>
      <w:r>
        <w:rPr>
          <w:rFonts w:ascii="Arial" w:hAnsi="Arial" w:cs="Arial"/>
          <w:sz w:val="20"/>
          <w:szCs w:val="20"/>
          <w:lang w:val="en-US"/>
        </w:rPr>
        <w:t>(</w:t>
      </w:r>
      <w:r w:rsidRPr="00096598">
        <w:rPr>
          <w:rFonts w:ascii="Arial" w:hAnsi="Arial" w:cs="Arial"/>
          <w:sz w:val="20"/>
          <w:szCs w:val="20"/>
          <w:lang w:val="en-US"/>
        </w:rPr>
        <w:t>2012</w:t>
      </w:r>
      <w:r>
        <w:rPr>
          <w:rFonts w:ascii="Arial" w:hAnsi="Arial" w:cs="Arial"/>
          <w:sz w:val="20"/>
          <w:szCs w:val="20"/>
          <w:lang w:val="en-US"/>
        </w:rPr>
        <w:t>)</w:t>
      </w:r>
      <w:r w:rsidRPr="00096598">
        <w:rPr>
          <w:rFonts w:ascii="Arial" w:hAnsi="Arial" w:cs="Arial"/>
          <w:sz w:val="20"/>
          <w:szCs w:val="20"/>
          <w:lang w:val="en-US"/>
        </w:rPr>
        <w:t>. Effect of harvesting and storage conditions on the post-harvest quality and shelf life of mango (</w:t>
      </w:r>
      <w:r w:rsidRPr="00096598">
        <w:rPr>
          <w:rFonts w:ascii="Arial" w:hAnsi="Arial" w:cs="Arial"/>
          <w:i/>
          <w:iCs/>
          <w:sz w:val="20"/>
          <w:szCs w:val="20"/>
          <w:lang w:val="en-US"/>
        </w:rPr>
        <w:t xml:space="preserve">Mangifera indica </w:t>
      </w:r>
      <w:r w:rsidRPr="00096598">
        <w:rPr>
          <w:rFonts w:ascii="Arial" w:hAnsi="Arial" w:cs="Arial"/>
          <w:sz w:val="20"/>
          <w:szCs w:val="20"/>
          <w:lang w:val="en-US"/>
        </w:rPr>
        <w:t xml:space="preserve">L.) fruit. </w:t>
      </w:r>
      <w:r w:rsidRPr="00096598">
        <w:rPr>
          <w:rFonts w:ascii="Arial" w:hAnsi="Arial" w:cs="Arial"/>
          <w:i/>
          <w:iCs/>
          <w:sz w:val="20"/>
          <w:szCs w:val="20"/>
          <w:lang w:val="en-US"/>
        </w:rPr>
        <w:t>South African Journal of Botany</w:t>
      </w:r>
      <w:r w:rsidRPr="00096598">
        <w:rPr>
          <w:rFonts w:ascii="Arial" w:hAnsi="Arial" w:cs="Arial"/>
          <w:sz w:val="20"/>
          <w:szCs w:val="20"/>
          <w:lang w:val="en-US"/>
        </w:rPr>
        <w:t xml:space="preserve">. </w:t>
      </w:r>
      <w:r w:rsidRPr="00096598">
        <w:rPr>
          <w:rFonts w:ascii="Arial" w:hAnsi="Arial" w:cs="Arial"/>
          <w:b/>
          <w:bCs/>
          <w:sz w:val="20"/>
          <w:szCs w:val="20"/>
          <w:lang w:val="en-US"/>
        </w:rPr>
        <w:t>83</w:t>
      </w:r>
      <w:r w:rsidRPr="00096598">
        <w:rPr>
          <w:rFonts w:ascii="Arial" w:hAnsi="Arial" w:cs="Arial"/>
          <w:sz w:val="20"/>
          <w:szCs w:val="20"/>
          <w:lang w:val="en-US"/>
        </w:rPr>
        <w:t>:109-116.</w:t>
      </w:r>
    </w:p>
    <w:p w14:paraId="5FD18246" w14:textId="77777777" w:rsidR="00AE5D8F" w:rsidRPr="00096598" w:rsidRDefault="00AE5D8F" w:rsidP="00AE5D8F">
      <w:pPr>
        <w:spacing w:before="240"/>
        <w:ind w:left="1276" w:right="-143" w:hanging="1276"/>
        <w:jc w:val="both"/>
        <w:rPr>
          <w:rFonts w:ascii="Arial" w:hAnsi="Arial" w:cs="Arial"/>
          <w:sz w:val="20"/>
          <w:szCs w:val="20"/>
          <w:lang w:val="en-US"/>
        </w:rPr>
      </w:pPr>
      <w:r w:rsidRPr="00096598">
        <w:rPr>
          <w:rFonts w:ascii="Arial" w:hAnsi="Arial" w:cs="Arial"/>
          <w:sz w:val="20"/>
          <w:szCs w:val="20"/>
          <w:lang w:val="en-US"/>
        </w:rPr>
        <w:t xml:space="preserve">Blissett, K. A., Machel, E. and Barnaby, A. G. </w:t>
      </w:r>
      <w:r>
        <w:rPr>
          <w:rFonts w:ascii="Arial" w:hAnsi="Arial" w:cs="Arial"/>
          <w:sz w:val="20"/>
          <w:szCs w:val="20"/>
          <w:lang w:val="en-US"/>
        </w:rPr>
        <w:t>(</w:t>
      </w:r>
      <w:r w:rsidRPr="00096598">
        <w:rPr>
          <w:rFonts w:ascii="Arial" w:hAnsi="Arial" w:cs="Arial"/>
          <w:sz w:val="20"/>
          <w:szCs w:val="20"/>
          <w:lang w:val="en-US"/>
        </w:rPr>
        <w:t>2019</w:t>
      </w:r>
      <w:r>
        <w:rPr>
          <w:rFonts w:ascii="Arial" w:hAnsi="Arial" w:cs="Arial"/>
          <w:sz w:val="20"/>
          <w:szCs w:val="20"/>
          <w:lang w:val="en-US"/>
        </w:rPr>
        <w:t>)</w:t>
      </w:r>
      <w:r w:rsidRPr="00096598">
        <w:rPr>
          <w:rFonts w:ascii="Arial" w:hAnsi="Arial" w:cs="Arial"/>
          <w:sz w:val="20"/>
          <w:szCs w:val="20"/>
          <w:lang w:val="en-US"/>
        </w:rPr>
        <w:t xml:space="preserve">. Biochemical properties of tree ripened and post-harvest ripened </w:t>
      </w:r>
      <w:r w:rsidRPr="00096598">
        <w:rPr>
          <w:rFonts w:ascii="Arial" w:hAnsi="Arial" w:cs="Arial"/>
          <w:i/>
          <w:iCs/>
          <w:sz w:val="20"/>
          <w:szCs w:val="20"/>
          <w:lang w:val="en-US"/>
        </w:rPr>
        <w:t xml:space="preserve">Mangifera indica </w:t>
      </w:r>
      <w:r w:rsidRPr="00096598">
        <w:rPr>
          <w:rFonts w:ascii="Arial" w:hAnsi="Arial" w:cs="Arial"/>
          <w:sz w:val="20"/>
          <w:szCs w:val="20"/>
          <w:lang w:val="en-US"/>
        </w:rPr>
        <w:t xml:space="preserve">(cv. East Indian). </w:t>
      </w:r>
      <w:r w:rsidRPr="00096598">
        <w:rPr>
          <w:rFonts w:ascii="Arial" w:hAnsi="Arial" w:cs="Arial"/>
          <w:i/>
          <w:iCs/>
          <w:sz w:val="20"/>
          <w:szCs w:val="20"/>
          <w:lang w:val="en-US"/>
        </w:rPr>
        <w:t>International Journal of Fruit Science</w:t>
      </w:r>
      <w:r w:rsidRPr="00096598">
        <w:rPr>
          <w:rFonts w:ascii="Arial" w:hAnsi="Arial" w:cs="Arial"/>
          <w:sz w:val="20"/>
          <w:szCs w:val="20"/>
          <w:lang w:val="en-US"/>
        </w:rPr>
        <w:t xml:space="preserve">. </w:t>
      </w:r>
      <w:r w:rsidRPr="00096598">
        <w:rPr>
          <w:rFonts w:ascii="Arial" w:hAnsi="Arial" w:cs="Arial"/>
          <w:b/>
          <w:bCs/>
          <w:sz w:val="20"/>
          <w:szCs w:val="20"/>
          <w:lang w:val="en-US"/>
        </w:rPr>
        <w:t>19</w:t>
      </w:r>
      <w:r w:rsidRPr="00096598">
        <w:rPr>
          <w:rFonts w:ascii="Arial" w:hAnsi="Arial" w:cs="Arial"/>
          <w:sz w:val="20"/>
          <w:szCs w:val="20"/>
          <w:lang w:val="en-US"/>
        </w:rPr>
        <w:t xml:space="preserve">(4):452-463. </w:t>
      </w:r>
    </w:p>
    <w:p w14:paraId="037FA8CD" w14:textId="77777777" w:rsidR="00AE5D8F" w:rsidRPr="00096598" w:rsidRDefault="00AE5D8F" w:rsidP="00AE5D8F">
      <w:pPr>
        <w:spacing w:before="240"/>
        <w:ind w:left="1276" w:right="-143" w:hanging="1276"/>
        <w:jc w:val="both"/>
        <w:rPr>
          <w:rFonts w:ascii="Arial" w:hAnsi="Arial" w:cs="Arial"/>
          <w:sz w:val="20"/>
          <w:szCs w:val="20"/>
          <w:lang w:val="en-US"/>
        </w:rPr>
      </w:pPr>
      <w:r w:rsidRPr="00096598">
        <w:rPr>
          <w:rFonts w:ascii="Arial" w:hAnsi="Arial" w:cs="Arial"/>
          <w:sz w:val="20"/>
          <w:szCs w:val="20"/>
          <w:lang w:val="en-US"/>
        </w:rPr>
        <w:t xml:space="preserve">Castellar, M. R., Obon, J. M., </w:t>
      </w:r>
      <w:proofErr w:type="spellStart"/>
      <w:r w:rsidRPr="00096598">
        <w:rPr>
          <w:rFonts w:ascii="Arial" w:hAnsi="Arial" w:cs="Arial"/>
          <w:sz w:val="20"/>
          <w:szCs w:val="20"/>
          <w:lang w:val="en-US"/>
        </w:rPr>
        <w:t>Alacid</w:t>
      </w:r>
      <w:proofErr w:type="spellEnd"/>
      <w:r w:rsidRPr="00096598">
        <w:rPr>
          <w:rFonts w:ascii="Arial" w:hAnsi="Arial" w:cs="Arial"/>
          <w:sz w:val="20"/>
          <w:szCs w:val="20"/>
          <w:lang w:val="en-US"/>
        </w:rPr>
        <w:t xml:space="preserve">, M. and Fernandez-Lopez, J. A. </w:t>
      </w:r>
      <w:r>
        <w:rPr>
          <w:rFonts w:ascii="Arial" w:hAnsi="Arial" w:cs="Arial"/>
          <w:sz w:val="20"/>
          <w:szCs w:val="20"/>
          <w:lang w:val="en-US"/>
        </w:rPr>
        <w:t>(</w:t>
      </w:r>
      <w:r w:rsidRPr="00096598">
        <w:rPr>
          <w:rFonts w:ascii="Arial" w:hAnsi="Arial" w:cs="Arial"/>
          <w:sz w:val="20"/>
          <w:szCs w:val="20"/>
          <w:lang w:val="en-US"/>
        </w:rPr>
        <w:t>2003</w:t>
      </w:r>
      <w:r>
        <w:rPr>
          <w:rFonts w:ascii="Arial" w:hAnsi="Arial" w:cs="Arial"/>
          <w:sz w:val="20"/>
          <w:szCs w:val="20"/>
          <w:lang w:val="en-US"/>
        </w:rPr>
        <w:t>)</w:t>
      </w:r>
      <w:r w:rsidRPr="00096598">
        <w:rPr>
          <w:rFonts w:ascii="Arial" w:hAnsi="Arial" w:cs="Arial"/>
          <w:sz w:val="20"/>
          <w:szCs w:val="20"/>
          <w:lang w:val="en-US"/>
        </w:rPr>
        <w:t xml:space="preserve">. Color properties and stability of </w:t>
      </w:r>
      <w:proofErr w:type="spellStart"/>
      <w:r w:rsidRPr="00096598">
        <w:rPr>
          <w:rFonts w:ascii="Arial" w:hAnsi="Arial" w:cs="Arial"/>
          <w:sz w:val="20"/>
          <w:szCs w:val="20"/>
          <w:lang w:val="en-US"/>
        </w:rPr>
        <w:t>betacyanins</w:t>
      </w:r>
      <w:proofErr w:type="spellEnd"/>
      <w:r w:rsidRPr="00096598">
        <w:rPr>
          <w:rFonts w:ascii="Arial" w:hAnsi="Arial" w:cs="Arial"/>
          <w:sz w:val="20"/>
          <w:szCs w:val="20"/>
          <w:lang w:val="en-US"/>
        </w:rPr>
        <w:t xml:space="preserve"> from </w:t>
      </w:r>
      <w:r w:rsidRPr="00096598">
        <w:rPr>
          <w:rFonts w:ascii="Arial" w:hAnsi="Arial" w:cs="Arial"/>
          <w:i/>
          <w:iCs/>
          <w:sz w:val="20"/>
          <w:szCs w:val="20"/>
          <w:lang w:val="en-US"/>
        </w:rPr>
        <w:t xml:space="preserve">Opuntia </w:t>
      </w:r>
      <w:r w:rsidRPr="00096598">
        <w:rPr>
          <w:rFonts w:ascii="Arial" w:hAnsi="Arial" w:cs="Arial"/>
          <w:sz w:val="20"/>
          <w:szCs w:val="20"/>
          <w:lang w:val="en-US"/>
        </w:rPr>
        <w:t xml:space="preserve">fruits. </w:t>
      </w:r>
      <w:r w:rsidRPr="00096598">
        <w:rPr>
          <w:rFonts w:ascii="Arial" w:hAnsi="Arial" w:cs="Arial"/>
          <w:i/>
          <w:iCs/>
          <w:sz w:val="20"/>
          <w:szCs w:val="20"/>
          <w:lang w:val="en-US"/>
        </w:rPr>
        <w:t>Journal of Agricultural Food Chemistry.</w:t>
      </w:r>
      <w:r w:rsidRPr="00096598">
        <w:rPr>
          <w:rFonts w:ascii="Arial" w:hAnsi="Arial" w:cs="Arial"/>
          <w:b/>
          <w:bCs/>
          <w:sz w:val="20"/>
          <w:szCs w:val="20"/>
          <w:lang w:val="en-US"/>
        </w:rPr>
        <w:t xml:space="preserve"> 51</w:t>
      </w:r>
      <w:r w:rsidRPr="00096598">
        <w:rPr>
          <w:rFonts w:ascii="Arial" w:hAnsi="Arial" w:cs="Arial"/>
          <w:sz w:val="20"/>
          <w:szCs w:val="20"/>
          <w:lang w:val="en-US"/>
        </w:rPr>
        <w:t xml:space="preserve">:2772-76. </w:t>
      </w:r>
    </w:p>
    <w:p w14:paraId="537B6D21" w14:textId="77777777" w:rsidR="00AE5D8F" w:rsidRPr="00096598" w:rsidRDefault="00AE5D8F" w:rsidP="00AE5D8F">
      <w:pPr>
        <w:spacing w:before="240"/>
        <w:ind w:left="1276" w:right="-143" w:hanging="1276"/>
        <w:jc w:val="both"/>
        <w:rPr>
          <w:rFonts w:ascii="Arial" w:hAnsi="Arial" w:cs="Arial"/>
          <w:sz w:val="20"/>
          <w:szCs w:val="20"/>
          <w:lang w:val="en-US"/>
        </w:rPr>
      </w:pPr>
      <w:r w:rsidRPr="00096598">
        <w:rPr>
          <w:rFonts w:ascii="Arial" w:hAnsi="Arial" w:cs="Arial"/>
          <w:sz w:val="20"/>
          <w:szCs w:val="20"/>
          <w:lang w:val="en-US"/>
        </w:rPr>
        <w:t xml:space="preserve">Chang, F. R. and Yen, C. R. </w:t>
      </w:r>
      <w:r>
        <w:rPr>
          <w:rFonts w:ascii="Arial" w:hAnsi="Arial" w:cs="Arial"/>
          <w:sz w:val="20"/>
          <w:szCs w:val="20"/>
          <w:lang w:val="en-US"/>
        </w:rPr>
        <w:t>(</w:t>
      </w:r>
      <w:r w:rsidRPr="00096598">
        <w:rPr>
          <w:rFonts w:ascii="Arial" w:hAnsi="Arial" w:cs="Arial"/>
          <w:sz w:val="20"/>
          <w:szCs w:val="20"/>
          <w:lang w:val="en-US"/>
        </w:rPr>
        <w:t>1997</w:t>
      </w:r>
      <w:r>
        <w:rPr>
          <w:rFonts w:ascii="Arial" w:hAnsi="Arial" w:cs="Arial"/>
          <w:sz w:val="20"/>
          <w:szCs w:val="20"/>
          <w:lang w:val="en-US"/>
        </w:rPr>
        <w:t>)</w:t>
      </w:r>
      <w:r w:rsidRPr="00096598">
        <w:rPr>
          <w:rFonts w:ascii="Arial" w:hAnsi="Arial" w:cs="Arial"/>
          <w:sz w:val="20"/>
          <w:szCs w:val="20"/>
          <w:lang w:val="en-US"/>
        </w:rPr>
        <w:t>. Flowering and fruit growth of pitaya (</w:t>
      </w:r>
      <w:r w:rsidRPr="00096598">
        <w:rPr>
          <w:rFonts w:ascii="Arial" w:hAnsi="Arial" w:cs="Arial"/>
          <w:i/>
          <w:iCs/>
          <w:sz w:val="20"/>
          <w:szCs w:val="20"/>
          <w:lang w:val="en-US"/>
        </w:rPr>
        <w:t>Hylocereus undatus</w:t>
      </w:r>
      <w:r w:rsidRPr="00096598">
        <w:rPr>
          <w:rFonts w:ascii="Arial" w:hAnsi="Arial" w:cs="Arial"/>
          <w:sz w:val="20"/>
          <w:szCs w:val="20"/>
          <w:lang w:val="en-US"/>
        </w:rPr>
        <w:t xml:space="preserve"> Britt. &amp; Rose). </w:t>
      </w:r>
      <w:r w:rsidRPr="00096598">
        <w:rPr>
          <w:rFonts w:ascii="Arial" w:hAnsi="Arial" w:cs="Arial"/>
          <w:i/>
          <w:iCs/>
          <w:sz w:val="20"/>
          <w:szCs w:val="20"/>
          <w:lang w:val="en-US"/>
        </w:rPr>
        <w:t>Journal of the Chinese Society of Horticultural Science</w:t>
      </w:r>
      <w:r w:rsidRPr="00096598">
        <w:rPr>
          <w:rFonts w:ascii="Arial" w:hAnsi="Arial" w:cs="Arial"/>
          <w:sz w:val="20"/>
          <w:szCs w:val="20"/>
          <w:lang w:val="en-US"/>
        </w:rPr>
        <w:t xml:space="preserve">. </w:t>
      </w:r>
      <w:r w:rsidRPr="00096598">
        <w:rPr>
          <w:rFonts w:ascii="Arial" w:hAnsi="Arial" w:cs="Arial"/>
          <w:b/>
          <w:bCs/>
          <w:sz w:val="20"/>
          <w:szCs w:val="20"/>
          <w:lang w:val="en-US"/>
        </w:rPr>
        <w:t>43</w:t>
      </w:r>
      <w:r w:rsidRPr="00096598">
        <w:rPr>
          <w:rFonts w:ascii="Arial" w:hAnsi="Arial" w:cs="Arial"/>
          <w:sz w:val="20"/>
          <w:szCs w:val="20"/>
          <w:lang w:val="en-US"/>
        </w:rPr>
        <w:t xml:space="preserve">(4):314-21. </w:t>
      </w:r>
    </w:p>
    <w:p w14:paraId="41166EB8" w14:textId="77777777" w:rsidR="00AE5D8F" w:rsidRDefault="00AE5D8F" w:rsidP="00AE5D8F">
      <w:pPr>
        <w:spacing w:before="240"/>
        <w:ind w:left="1276" w:right="-143" w:hanging="1276"/>
        <w:jc w:val="both"/>
        <w:rPr>
          <w:rFonts w:ascii="Arial" w:hAnsi="Arial" w:cs="Arial"/>
          <w:sz w:val="20"/>
          <w:szCs w:val="20"/>
          <w:lang w:val="en-US"/>
        </w:rPr>
      </w:pPr>
      <w:r w:rsidRPr="00096598">
        <w:rPr>
          <w:rFonts w:ascii="Arial" w:hAnsi="Arial" w:cs="Arial"/>
          <w:sz w:val="20"/>
          <w:szCs w:val="20"/>
          <w:lang w:val="en-US"/>
        </w:rPr>
        <w:t xml:space="preserve">Chia, S. L. and Chong, G. H. </w:t>
      </w:r>
      <w:r>
        <w:rPr>
          <w:rFonts w:ascii="Arial" w:hAnsi="Arial" w:cs="Arial"/>
          <w:sz w:val="20"/>
          <w:szCs w:val="20"/>
          <w:lang w:val="en-US"/>
        </w:rPr>
        <w:t>(</w:t>
      </w:r>
      <w:r w:rsidRPr="00096598">
        <w:rPr>
          <w:rFonts w:ascii="Arial" w:hAnsi="Arial" w:cs="Arial"/>
          <w:sz w:val="20"/>
          <w:szCs w:val="20"/>
          <w:lang w:val="en-US"/>
        </w:rPr>
        <w:t>2015</w:t>
      </w:r>
      <w:r>
        <w:rPr>
          <w:rFonts w:ascii="Arial" w:hAnsi="Arial" w:cs="Arial"/>
          <w:sz w:val="20"/>
          <w:szCs w:val="20"/>
          <w:lang w:val="en-US"/>
        </w:rPr>
        <w:t>)</w:t>
      </w:r>
      <w:r w:rsidRPr="00096598">
        <w:rPr>
          <w:rFonts w:ascii="Arial" w:hAnsi="Arial" w:cs="Arial"/>
          <w:sz w:val="20"/>
          <w:szCs w:val="20"/>
          <w:lang w:val="en-US"/>
        </w:rPr>
        <w:t>. Effect of Drum drying on physiochemical characteristics of Dragon fruit peel (</w:t>
      </w:r>
      <w:r w:rsidRPr="00096598">
        <w:rPr>
          <w:rFonts w:ascii="Arial" w:hAnsi="Arial" w:cs="Arial"/>
          <w:i/>
          <w:iCs/>
          <w:sz w:val="20"/>
          <w:szCs w:val="20"/>
          <w:lang w:val="en-US"/>
        </w:rPr>
        <w:t>Hylocereus polyrhizus</w:t>
      </w:r>
      <w:r w:rsidRPr="00096598">
        <w:rPr>
          <w:rFonts w:ascii="Arial" w:hAnsi="Arial" w:cs="Arial"/>
          <w:sz w:val="20"/>
          <w:szCs w:val="20"/>
          <w:lang w:val="en-US"/>
        </w:rPr>
        <w:t xml:space="preserve">). </w:t>
      </w:r>
      <w:r w:rsidRPr="00096598">
        <w:rPr>
          <w:rFonts w:ascii="Arial" w:hAnsi="Arial" w:cs="Arial"/>
          <w:i/>
          <w:iCs/>
          <w:sz w:val="20"/>
          <w:szCs w:val="20"/>
          <w:lang w:val="en-US"/>
        </w:rPr>
        <w:t>International Journal of Food Engineering</w:t>
      </w:r>
      <w:r w:rsidRPr="00096598">
        <w:rPr>
          <w:rFonts w:ascii="Arial" w:hAnsi="Arial" w:cs="Arial"/>
          <w:sz w:val="20"/>
          <w:szCs w:val="20"/>
          <w:lang w:val="en-US"/>
        </w:rPr>
        <w:t xml:space="preserve">. </w:t>
      </w:r>
      <w:r w:rsidRPr="00096598">
        <w:rPr>
          <w:rFonts w:ascii="Arial" w:hAnsi="Arial" w:cs="Arial"/>
          <w:b/>
          <w:bCs/>
          <w:sz w:val="20"/>
          <w:szCs w:val="20"/>
          <w:lang w:val="en-US"/>
        </w:rPr>
        <w:t>11</w:t>
      </w:r>
      <w:r w:rsidRPr="00096598">
        <w:rPr>
          <w:rFonts w:ascii="Arial" w:hAnsi="Arial" w:cs="Arial"/>
          <w:sz w:val="20"/>
          <w:szCs w:val="20"/>
          <w:lang w:val="en-US"/>
        </w:rPr>
        <w:t>(2):1-9.</w:t>
      </w:r>
    </w:p>
    <w:p w14:paraId="14A2599F" w14:textId="77777777" w:rsidR="00AE5D8F" w:rsidRPr="00096598" w:rsidRDefault="00AE5D8F" w:rsidP="00AE5D8F">
      <w:pPr>
        <w:spacing w:before="240"/>
        <w:ind w:left="1276" w:right="-143" w:hanging="1276"/>
        <w:jc w:val="both"/>
        <w:rPr>
          <w:rFonts w:ascii="Arial" w:hAnsi="Arial" w:cs="Arial"/>
          <w:sz w:val="20"/>
          <w:szCs w:val="20"/>
          <w:lang w:val="en-US"/>
        </w:rPr>
      </w:pPr>
      <w:r w:rsidRPr="00096598">
        <w:rPr>
          <w:rFonts w:ascii="Arial" w:hAnsi="Arial" w:cs="Arial"/>
          <w:sz w:val="20"/>
          <w:szCs w:val="20"/>
          <w:lang w:val="en-US"/>
        </w:rPr>
        <w:t xml:space="preserve">Chitarra, M. I. F. and Chitarra, A. B. </w:t>
      </w:r>
      <w:r>
        <w:rPr>
          <w:rFonts w:ascii="Arial" w:hAnsi="Arial" w:cs="Arial"/>
          <w:sz w:val="20"/>
          <w:szCs w:val="20"/>
          <w:lang w:val="en-US"/>
        </w:rPr>
        <w:t>(</w:t>
      </w:r>
      <w:r w:rsidRPr="00096598">
        <w:rPr>
          <w:rFonts w:ascii="Arial" w:hAnsi="Arial" w:cs="Arial"/>
          <w:sz w:val="20"/>
          <w:szCs w:val="20"/>
          <w:lang w:val="en-US"/>
        </w:rPr>
        <w:t>2005</w:t>
      </w:r>
      <w:r>
        <w:rPr>
          <w:rFonts w:ascii="Arial" w:hAnsi="Arial" w:cs="Arial"/>
          <w:sz w:val="20"/>
          <w:szCs w:val="20"/>
          <w:lang w:val="en-US"/>
        </w:rPr>
        <w:t>)</w:t>
      </w:r>
      <w:r w:rsidRPr="00096598">
        <w:rPr>
          <w:rFonts w:ascii="Arial" w:hAnsi="Arial" w:cs="Arial"/>
          <w:sz w:val="20"/>
          <w:szCs w:val="20"/>
          <w:lang w:val="en-US"/>
        </w:rPr>
        <w:t>. Post-harvest Fruits and vegetables: Physiology and Handling. 2</w:t>
      </w:r>
      <w:r w:rsidRPr="00096598">
        <w:rPr>
          <w:rFonts w:ascii="Arial" w:hAnsi="Arial" w:cs="Arial"/>
          <w:sz w:val="20"/>
          <w:szCs w:val="20"/>
          <w:vertAlign w:val="superscript"/>
          <w:lang w:val="en-US"/>
        </w:rPr>
        <w:t>nd</w:t>
      </w:r>
      <w:r w:rsidRPr="00096598">
        <w:rPr>
          <w:rFonts w:ascii="Arial" w:hAnsi="Arial" w:cs="Arial"/>
          <w:sz w:val="20"/>
          <w:szCs w:val="20"/>
          <w:lang w:val="en-US"/>
        </w:rPr>
        <w:t xml:space="preserve"> edition, UFLA: </w:t>
      </w:r>
      <w:proofErr w:type="spellStart"/>
      <w:r w:rsidRPr="00096598">
        <w:rPr>
          <w:rFonts w:ascii="Arial" w:hAnsi="Arial" w:cs="Arial"/>
          <w:sz w:val="20"/>
          <w:szCs w:val="20"/>
          <w:lang w:val="en-US"/>
        </w:rPr>
        <w:t>Lavras</w:t>
      </w:r>
      <w:proofErr w:type="spellEnd"/>
      <w:r w:rsidRPr="00096598">
        <w:rPr>
          <w:rFonts w:ascii="Arial" w:hAnsi="Arial" w:cs="Arial"/>
          <w:sz w:val="20"/>
          <w:szCs w:val="20"/>
          <w:lang w:val="en-US"/>
        </w:rPr>
        <w:t xml:space="preserve">, Brazil, 785. </w:t>
      </w:r>
    </w:p>
    <w:p w14:paraId="3354D4E5" w14:textId="77777777" w:rsidR="00AE5D8F" w:rsidRPr="00096598" w:rsidRDefault="00AE5D8F" w:rsidP="00AE5D8F">
      <w:pPr>
        <w:spacing w:before="240"/>
        <w:ind w:left="1276" w:right="-143" w:hanging="1276"/>
        <w:jc w:val="both"/>
        <w:rPr>
          <w:rFonts w:ascii="Arial" w:hAnsi="Arial" w:cs="Arial"/>
          <w:sz w:val="20"/>
          <w:szCs w:val="20"/>
          <w:lang w:val="en-US"/>
        </w:rPr>
      </w:pPr>
      <w:r w:rsidRPr="00096598">
        <w:rPr>
          <w:rFonts w:ascii="Arial" w:hAnsi="Arial" w:cs="Arial"/>
          <w:sz w:val="20"/>
          <w:szCs w:val="20"/>
          <w:lang w:val="en-US"/>
        </w:rPr>
        <w:lastRenderedPageBreak/>
        <w:t xml:space="preserve">Deepthi, V. P., Sekhar, R. C., Srihari, D. and Sankar, A. S. </w:t>
      </w:r>
      <w:r>
        <w:rPr>
          <w:rFonts w:ascii="Arial" w:hAnsi="Arial" w:cs="Arial"/>
          <w:sz w:val="20"/>
          <w:szCs w:val="20"/>
          <w:lang w:val="en-US"/>
        </w:rPr>
        <w:t>(</w:t>
      </w:r>
      <w:r w:rsidRPr="00096598">
        <w:rPr>
          <w:rFonts w:ascii="Arial" w:hAnsi="Arial" w:cs="Arial"/>
          <w:sz w:val="20"/>
          <w:szCs w:val="20"/>
          <w:lang w:val="en-US"/>
        </w:rPr>
        <w:t>2016</w:t>
      </w:r>
      <w:r>
        <w:rPr>
          <w:rFonts w:ascii="Arial" w:hAnsi="Arial" w:cs="Arial"/>
          <w:sz w:val="20"/>
          <w:szCs w:val="20"/>
          <w:lang w:val="en-US"/>
        </w:rPr>
        <w:t>)</w:t>
      </w:r>
      <w:r w:rsidRPr="00096598">
        <w:rPr>
          <w:rFonts w:ascii="Arial" w:hAnsi="Arial" w:cs="Arial"/>
          <w:sz w:val="20"/>
          <w:szCs w:val="20"/>
          <w:lang w:val="en-US"/>
        </w:rPr>
        <w:t xml:space="preserve">. Guava fruit quality and storability as influenced by harvest maturity and postharvest application of calcium salts. </w:t>
      </w:r>
      <w:r w:rsidRPr="00096598">
        <w:rPr>
          <w:rFonts w:ascii="Arial" w:hAnsi="Arial" w:cs="Arial"/>
          <w:i/>
          <w:iCs/>
          <w:sz w:val="20"/>
          <w:szCs w:val="20"/>
          <w:lang w:val="en-US"/>
        </w:rPr>
        <w:t>Plant Archives</w:t>
      </w:r>
      <w:r w:rsidRPr="00096598">
        <w:rPr>
          <w:rFonts w:ascii="Arial" w:hAnsi="Arial" w:cs="Arial"/>
          <w:sz w:val="20"/>
          <w:szCs w:val="20"/>
          <w:lang w:val="en-US"/>
        </w:rPr>
        <w:t xml:space="preserve">. </w:t>
      </w:r>
      <w:r w:rsidRPr="00096598">
        <w:rPr>
          <w:rFonts w:ascii="Arial" w:hAnsi="Arial" w:cs="Arial"/>
          <w:b/>
          <w:bCs/>
          <w:sz w:val="20"/>
          <w:szCs w:val="20"/>
          <w:lang w:val="en-US"/>
        </w:rPr>
        <w:t>16</w:t>
      </w:r>
      <w:r w:rsidRPr="00096598">
        <w:rPr>
          <w:rFonts w:ascii="Arial" w:hAnsi="Arial" w:cs="Arial"/>
          <w:sz w:val="20"/>
          <w:szCs w:val="20"/>
          <w:lang w:val="en-US"/>
        </w:rPr>
        <w:t xml:space="preserve">(1):174-182. </w:t>
      </w:r>
    </w:p>
    <w:p w14:paraId="58782E81" w14:textId="77777777" w:rsidR="00AE5D8F" w:rsidRPr="00096598" w:rsidRDefault="00AE5D8F" w:rsidP="00AE5D8F">
      <w:pPr>
        <w:spacing w:before="240"/>
        <w:ind w:left="1276" w:right="-143" w:hanging="1276"/>
        <w:jc w:val="both"/>
        <w:rPr>
          <w:rFonts w:ascii="Arial" w:hAnsi="Arial" w:cs="Arial"/>
          <w:sz w:val="20"/>
          <w:szCs w:val="20"/>
          <w:lang w:val="en-US"/>
        </w:rPr>
      </w:pPr>
      <w:r w:rsidRPr="00096598">
        <w:rPr>
          <w:rFonts w:ascii="Arial" w:hAnsi="Arial" w:cs="Arial"/>
          <w:sz w:val="20"/>
          <w:szCs w:val="20"/>
          <w:lang w:val="en-US"/>
        </w:rPr>
        <w:t xml:space="preserve">Enciso, T. O., Zazueta, M. E. I., Rangel, M. D. M., Torres, J. B. V., Romero, M. V. and Verdugo, S. H. </w:t>
      </w:r>
      <w:r>
        <w:rPr>
          <w:rFonts w:ascii="Arial" w:hAnsi="Arial" w:cs="Arial"/>
          <w:sz w:val="20"/>
          <w:szCs w:val="20"/>
          <w:lang w:val="en-US"/>
        </w:rPr>
        <w:t>(</w:t>
      </w:r>
      <w:r w:rsidRPr="00096598">
        <w:rPr>
          <w:rFonts w:ascii="Arial" w:hAnsi="Arial" w:cs="Arial"/>
          <w:sz w:val="20"/>
          <w:szCs w:val="20"/>
          <w:lang w:val="en-US"/>
        </w:rPr>
        <w:t>2011</w:t>
      </w:r>
      <w:r>
        <w:rPr>
          <w:rFonts w:ascii="Arial" w:hAnsi="Arial" w:cs="Arial"/>
          <w:sz w:val="20"/>
          <w:szCs w:val="20"/>
          <w:lang w:val="en-US"/>
        </w:rPr>
        <w:t>)</w:t>
      </w:r>
      <w:r w:rsidRPr="00096598">
        <w:rPr>
          <w:rFonts w:ascii="Arial" w:hAnsi="Arial" w:cs="Arial"/>
          <w:sz w:val="20"/>
          <w:szCs w:val="20"/>
          <w:lang w:val="en-US"/>
        </w:rPr>
        <w:t>. Postharvest quality of pitahaya (</w:t>
      </w:r>
      <w:r w:rsidRPr="00096598">
        <w:rPr>
          <w:rFonts w:ascii="Arial" w:hAnsi="Arial" w:cs="Arial"/>
          <w:i/>
          <w:iCs/>
          <w:sz w:val="20"/>
          <w:szCs w:val="20"/>
          <w:lang w:val="en-US"/>
        </w:rPr>
        <w:t xml:space="preserve">Hylocereus undatus </w:t>
      </w:r>
      <w:r w:rsidRPr="00096598">
        <w:rPr>
          <w:rFonts w:ascii="Arial" w:hAnsi="Arial" w:cs="Arial"/>
          <w:sz w:val="20"/>
          <w:szCs w:val="20"/>
          <w:lang w:val="en-US"/>
        </w:rPr>
        <w:t xml:space="preserve">Haw.) fruits harvested in three maturity stages. </w:t>
      </w:r>
      <w:r w:rsidRPr="00096598">
        <w:rPr>
          <w:rFonts w:ascii="Arial" w:hAnsi="Arial" w:cs="Arial"/>
          <w:i/>
          <w:iCs/>
          <w:sz w:val="20"/>
          <w:szCs w:val="20"/>
          <w:lang w:val="en-US"/>
        </w:rPr>
        <w:t xml:space="preserve">Rev. </w:t>
      </w:r>
      <w:proofErr w:type="spellStart"/>
      <w:r w:rsidRPr="00096598">
        <w:rPr>
          <w:rFonts w:ascii="Arial" w:hAnsi="Arial" w:cs="Arial"/>
          <w:i/>
          <w:iCs/>
          <w:sz w:val="20"/>
          <w:szCs w:val="20"/>
          <w:lang w:val="en-US"/>
        </w:rPr>
        <w:t>Fitotec</w:t>
      </w:r>
      <w:proofErr w:type="spellEnd"/>
      <w:r w:rsidRPr="00096598">
        <w:rPr>
          <w:rFonts w:ascii="Arial" w:hAnsi="Arial" w:cs="Arial"/>
          <w:i/>
          <w:iCs/>
          <w:sz w:val="20"/>
          <w:szCs w:val="20"/>
          <w:lang w:val="en-US"/>
        </w:rPr>
        <w:t xml:space="preserve">. Mex. </w:t>
      </w:r>
      <w:r w:rsidRPr="00096598">
        <w:rPr>
          <w:rFonts w:ascii="Arial" w:hAnsi="Arial" w:cs="Arial"/>
          <w:b/>
          <w:bCs/>
          <w:sz w:val="20"/>
          <w:szCs w:val="20"/>
          <w:lang w:val="en-US"/>
        </w:rPr>
        <w:t>34</w:t>
      </w:r>
      <w:r w:rsidRPr="00096598">
        <w:rPr>
          <w:rFonts w:ascii="Arial" w:hAnsi="Arial" w:cs="Arial"/>
          <w:sz w:val="20"/>
          <w:szCs w:val="20"/>
          <w:lang w:val="en-US"/>
        </w:rPr>
        <w:t>(1):63- 72.</w:t>
      </w:r>
    </w:p>
    <w:p w14:paraId="159CF87C" w14:textId="77777777" w:rsidR="00AE5D8F" w:rsidRPr="00096598" w:rsidRDefault="00AE5D8F" w:rsidP="00AE5D8F">
      <w:pPr>
        <w:spacing w:before="240"/>
        <w:ind w:left="1276" w:right="-143" w:hanging="1276"/>
        <w:jc w:val="both"/>
        <w:rPr>
          <w:rFonts w:ascii="Arial" w:hAnsi="Arial" w:cs="Arial"/>
          <w:sz w:val="20"/>
          <w:szCs w:val="20"/>
          <w:lang w:val="en-US"/>
        </w:rPr>
      </w:pPr>
      <w:r w:rsidRPr="00096598">
        <w:rPr>
          <w:rFonts w:ascii="Arial" w:hAnsi="Arial" w:cs="Arial"/>
          <w:sz w:val="20"/>
          <w:szCs w:val="20"/>
          <w:lang w:val="en-US"/>
        </w:rPr>
        <w:t xml:space="preserve">Franco, R. K. G., Esguerra, E. B., Tababa, J. L. and Castro, A. C. </w:t>
      </w:r>
      <w:r>
        <w:rPr>
          <w:rFonts w:ascii="Arial" w:hAnsi="Arial" w:cs="Arial"/>
          <w:sz w:val="20"/>
          <w:szCs w:val="20"/>
          <w:lang w:val="en-US"/>
        </w:rPr>
        <w:t>(</w:t>
      </w:r>
      <w:r w:rsidRPr="00096598">
        <w:rPr>
          <w:rFonts w:ascii="Arial" w:hAnsi="Arial" w:cs="Arial"/>
          <w:sz w:val="20"/>
          <w:szCs w:val="20"/>
          <w:lang w:val="en-US"/>
        </w:rPr>
        <w:t>2022</w:t>
      </w:r>
      <w:r>
        <w:rPr>
          <w:rFonts w:ascii="Arial" w:hAnsi="Arial" w:cs="Arial"/>
          <w:sz w:val="20"/>
          <w:szCs w:val="20"/>
          <w:lang w:val="en-US"/>
        </w:rPr>
        <w:t>)</w:t>
      </w:r>
      <w:r w:rsidRPr="00096598">
        <w:rPr>
          <w:rFonts w:ascii="Arial" w:hAnsi="Arial" w:cs="Arial"/>
          <w:sz w:val="20"/>
          <w:szCs w:val="20"/>
          <w:lang w:val="en-US"/>
        </w:rPr>
        <w:t>. Harvest maturity affects the quality and storage behavior of white-fleshed dragon fruit [</w:t>
      </w:r>
      <w:r w:rsidRPr="00096598">
        <w:rPr>
          <w:rFonts w:ascii="Arial" w:hAnsi="Arial" w:cs="Arial"/>
          <w:i/>
          <w:iCs/>
          <w:sz w:val="20"/>
          <w:szCs w:val="20"/>
          <w:lang w:val="en-US"/>
        </w:rPr>
        <w:t xml:space="preserve">Hylocereus undatus </w:t>
      </w:r>
      <w:r w:rsidRPr="00096598">
        <w:rPr>
          <w:rFonts w:ascii="Arial" w:hAnsi="Arial" w:cs="Arial"/>
          <w:sz w:val="20"/>
          <w:szCs w:val="20"/>
          <w:lang w:val="en-US"/>
        </w:rPr>
        <w:t xml:space="preserve">(Haworth) Britton and Rose]. </w:t>
      </w:r>
      <w:r w:rsidRPr="00096598">
        <w:rPr>
          <w:rFonts w:ascii="Arial" w:hAnsi="Arial" w:cs="Arial"/>
          <w:i/>
          <w:iCs/>
          <w:sz w:val="20"/>
          <w:szCs w:val="20"/>
          <w:lang w:val="en-US"/>
        </w:rPr>
        <w:t>Food Research</w:t>
      </w:r>
      <w:r w:rsidRPr="00096598">
        <w:rPr>
          <w:rFonts w:ascii="Arial" w:hAnsi="Arial" w:cs="Arial"/>
          <w:sz w:val="20"/>
          <w:szCs w:val="20"/>
          <w:lang w:val="en-US"/>
        </w:rPr>
        <w:t xml:space="preserve">. </w:t>
      </w:r>
      <w:r w:rsidRPr="00096598">
        <w:rPr>
          <w:rFonts w:ascii="Arial" w:hAnsi="Arial" w:cs="Arial"/>
          <w:b/>
          <w:bCs/>
          <w:sz w:val="20"/>
          <w:szCs w:val="20"/>
          <w:lang w:val="en-US"/>
        </w:rPr>
        <w:t>6</w:t>
      </w:r>
      <w:r w:rsidRPr="00096598">
        <w:rPr>
          <w:rFonts w:ascii="Arial" w:hAnsi="Arial" w:cs="Arial"/>
          <w:sz w:val="20"/>
          <w:szCs w:val="20"/>
          <w:lang w:val="en-US"/>
        </w:rPr>
        <w:t xml:space="preserve">(2):423-433. </w:t>
      </w:r>
    </w:p>
    <w:p w14:paraId="41F57CEC" w14:textId="77777777" w:rsidR="00AE5D8F" w:rsidRPr="00096598" w:rsidRDefault="00AE5D8F" w:rsidP="00AE5D8F">
      <w:pPr>
        <w:spacing w:before="240"/>
        <w:ind w:left="1276" w:right="-143" w:hanging="1276"/>
        <w:jc w:val="both"/>
        <w:rPr>
          <w:rFonts w:ascii="Arial" w:hAnsi="Arial" w:cs="Arial"/>
          <w:sz w:val="20"/>
          <w:szCs w:val="20"/>
          <w:lang w:val="en-US"/>
        </w:rPr>
      </w:pPr>
      <w:r w:rsidRPr="00096598">
        <w:rPr>
          <w:rFonts w:ascii="Arial" w:hAnsi="Arial" w:cs="Arial"/>
          <w:sz w:val="20"/>
          <w:szCs w:val="20"/>
          <w:lang w:val="en-US"/>
        </w:rPr>
        <w:t xml:space="preserve">Gomez, S., Sebastian, K., Anjali, C., Joseph, M. and Maneesha, P. K. </w:t>
      </w:r>
      <w:r>
        <w:rPr>
          <w:rFonts w:ascii="Arial" w:hAnsi="Arial" w:cs="Arial"/>
          <w:sz w:val="20"/>
          <w:szCs w:val="20"/>
          <w:lang w:val="en-US"/>
        </w:rPr>
        <w:t>(</w:t>
      </w:r>
      <w:r w:rsidRPr="00096598">
        <w:rPr>
          <w:rFonts w:ascii="Arial" w:hAnsi="Arial" w:cs="Arial"/>
          <w:sz w:val="20"/>
          <w:szCs w:val="20"/>
          <w:lang w:val="en-US"/>
        </w:rPr>
        <w:t>2023</w:t>
      </w:r>
      <w:r>
        <w:rPr>
          <w:rFonts w:ascii="Arial" w:hAnsi="Arial" w:cs="Arial"/>
          <w:sz w:val="20"/>
          <w:szCs w:val="20"/>
          <w:lang w:val="en-US"/>
        </w:rPr>
        <w:t>)</w:t>
      </w:r>
      <w:r w:rsidRPr="00096598">
        <w:rPr>
          <w:rFonts w:ascii="Arial" w:hAnsi="Arial" w:cs="Arial"/>
          <w:sz w:val="20"/>
          <w:szCs w:val="20"/>
          <w:lang w:val="en-US"/>
        </w:rPr>
        <w:t>. Impact of maturity stages, shrink-wrap packaging and storage temperature on shelf life and quality of pineapple [</w:t>
      </w:r>
      <w:r w:rsidRPr="00096598">
        <w:rPr>
          <w:rFonts w:ascii="Arial" w:hAnsi="Arial" w:cs="Arial"/>
          <w:i/>
          <w:iCs/>
          <w:sz w:val="20"/>
          <w:szCs w:val="20"/>
          <w:lang w:val="en-US"/>
        </w:rPr>
        <w:t xml:space="preserve">Ananas comosus </w:t>
      </w:r>
      <w:r w:rsidRPr="00096598">
        <w:rPr>
          <w:rFonts w:ascii="Arial" w:hAnsi="Arial" w:cs="Arial"/>
          <w:sz w:val="20"/>
          <w:szCs w:val="20"/>
          <w:lang w:val="en-US"/>
        </w:rPr>
        <w:t xml:space="preserve">(L.) </w:t>
      </w:r>
      <w:proofErr w:type="spellStart"/>
      <w:r w:rsidRPr="00096598">
        <w:rPr>
          <w:rFonts w:ascii="Arial" w:hAnsi="Arial" w:cs="Arial"/>
          <w:sz w:val="20"/>
          <w:szCs w:val="20"/>
          <w:lang w:val="en-US"/>
        </w:rPr>
        <w:t>Merr</w:t>
      </w:r>
      <w:proofErr w:type="spellEnd"/>
      <w:r w:rsidRPr="00096598">
        <w:rPr>
          <w:rFonts w:ascii="Arial" w:hAnsi="Arial" w:cs="Arial"/>
          <w:sz w:val="20"/>
          <w:szCs w:val="20"/>
          <w:lang w:val="en-US"/>
        </w:rPr>
        <w:t xml:space="preserve">] fruit ‘Mauritius’. </w:t>
      </w:r>
      <w:r w:rsidRPr="00096598">
        <w:rPr>
          <w:rFonts w:ascii="Arial" w:hAnsi="Arial" w:cs="Arial"/>
          <w:i/>
          <w:iCs/>
          <w:sz w:val="20"/>
          <w:szCs w:val="20"/>
          <w:lang w:val="en-US"/>
        </w:rPr>
        <w:t xml:space="preserve">Journal of Horticultural Research. </w:t>
      </w:r>
      <w:r w:rsidRPr="00096598">
        <w:rPr>
          <w:rFonts w:ascii="Arial" w:hAnsi="Arial" w:cs="Arial"/>
          <w:b/>
          <w:bCs/>
          <w:sz w:val="20"/>
          <w:szCs w:val="20"/>
          <w:lang w:val="en-US"/>
        </w:rPr>
        <w:t>31</w:t>
      </w:r>
      <w:r w:rsidRPr="00096598">
        <w:rPr>
          <w:rFonts w:ascii="Arial" w:hAnsi="Arial" w:cs="Arial"/>
          <w:sz w:val="20"/>
          <w:szCs w:val="20"/>
          <w:lang w:val="en-US"/>
        </w:rPr>
        <w:t xml:space="preserve">(1):35-46. </w:t>
      </w:r>
    </w:p>
    <w:p w14:paraId="01C63557" w14:textId="77777777" w:rsidR="00AE5D8F" w:rsidRPr="00096598" w:rsidRDefault="00AE5D8F" w:rsidP="00AE5D8F">
      <w:pPr>
        <w:spacing w:before="240"/>
        <w:ind w:left="1276" w:right="-143" w:hanging="1276"/>
        <w:jc w:val="both"/>
        <w:rPr>
          <w:rFonts w:ascii="Arial" w:hAnsi="Arial" w:cs="Arial"/>
          <w:sz w:val="20"/>
          <w:szCs w:val="20"/>
          <w:lang w:val="en-US"/>
        </w:rPr>
      </w:pPr>
      <w:r w:rsidRPr="00096598">
        <w:rPr>
          <w:rFonts w:ascii="Arial" w:hAnsi="Arial" w:cs="Arial"/>
          <w:sz w:val="20"/>
          <w:szCs w:val="20"/>
          <w:lang w:val="en-US"/>
        </w:rPr>
        <w:t xml:space="preserve">Jamaludin, N. A., Ding, P. and Hamid, A. A. </w:t>
      </w:r>
      <w:r>
        <w:rPr>
          <w:rFonts w:ascii="Arial" w:hAnsi="Arial" w:cs="Arial"/>
          <w:sz w:val="20"/>
          <w:szCs w:val="20"/>
          <w:lang w:val="en-US"/>
        </w:rPr>
        <w:t>(</w:t>
      </w:r>
      <w:r w:rsidRPr="00096598">
        <w:rPr>
          <w:rFonts w:ascii="Arial" w:hAnsi="Arial" w:cs="Arial"/>
          <w:sz w:val="20"/>
          <w:szCs w:val="20"/>
          <w:lang w:val="en-US"/>
        </w:rPr>
        <w:t>2010</w:t>
      </w:r>
      <w:r>
        <w:rPr>
          <w:rFonts w:ascii="Arial" w:hAnsi="Arial" w:cs="Arial"/>
          <w:sz w:val="20"/>
          <w:szCs w:val="20"/>
          <w:lang w:val="en-US"/>
        </w:rPr>
        <w:t>)</w:t>
      </w:r>
      <w:r w:rsidRPr="00096598">
        <w:rPr>
          <w:rFonts w:ascii="Arial" w:hAnsi="Arial" w:cs="Arial"/>
          <w:sz w:val="20"/>
          <w:szCs w:val="20"/>
          <w:lang w:val="en-US"/>
        </w:rPr>
        <w:t xml:space="preserve">. </w:t>
      </w:r>
      <w:proofErr w:type="spellStart"/>
      <w:r w:rsidRPr="00096598">
        <w:rPr>
          <w:rFonts w:ascii="Arial" w:hAnsi="Arial" w:cs="Arial"/>
          <w:sz w:val="20"/>
          <w:szCs w:val="20"/>
          <w:lang w:val="en-US"/>
        </w:rPr>
        <w:t>Physico</w:t>
      </w:r>
      <w:proofErr w:type="spellEnd"/>
      <w:r w:rsidRPr="00096598">
        <w:rPr>
          <w:rFonts w:ascii="Arial" w:hAnsi="Arial" w:cs="Arial"/>
          <w:sz w:val="20"/>
          <w:szCs w:val="20"/>
          <w:lang w:val="en-US"/>
        </w:rPr>
        <w:t>- chemical and structural changes of red- fleshed dragon fruit (</w:t>
      </w:r>
      <w:r w:rsidRPr="00096598">
        <w:rPr>
          <w:rFonts w:ascii="Arial" w:hAnsi="Arial" w:cs="Arial"/>
          <w:i/>
          <w:iCs/>
          <w:sz w:val="20"/>
          <w:szCs w:val="20"/>
          <w:lang w:val="en-US"/>
        </w:rPr>
        <w:t>Hylocereus polyrhizus</w:t>
      </w:r>
      <w:r w:rsidRPr="00096598">
        <w:rPr>
          <w:rFonts w:ascii="Arial" w:hAnsi="Arial" w:cs="Arial"/>
          <w:sz w:val="20"/>
          <w:szCs w:val="20"/>
          <w:lang w:val="en-US"/>
        </w:rPr>
        <w:t xml:space="preserve">) during fruit development. </w:t>
      </w:r>
      <w:r w:rsidRPr="00096598">
        <w:rPr>
          <w:rFonts w:ascii="Arial" w:hAnsi="Arial" w:cs="Arial"/>
          <w:i/>
          <w:iCs/>
          <w:sz w:val="20"/>
          <w:szCs w:val="20"/>
          <w:lang w:val="en-US"/>
        </w:rPr>
        <w:t>Journal of the Science of Food and Agriculture</w:t>
      </w:r>
      <w:r w:rsidRPr="00096598">
        <w:rPr>
          <w:rFonts w:ascii="Arial" w:hAnsi="Arial" w:cs="Arial"/>
          <w:sz w:val="20"/>
          <w:szCs w:val="20"/>
          <w:lang w:val="en-US"/>
        </w:rPr>
        <w:t xml:space="preserve">. </w:t>
      </w:r>
      <w:r w:rsidRPr="00096598">
        <w:rPr>
          <w:rFonts w:ascii="Arial" w:hAnsi="Arial" w:cs="Arial"/>
          <w:b/>
          <w:bCs/>
          <w:sz w:val="20"/>
          <w:szCs w:val="20"/>
          <w:lang w:val="en-US"/>
        </w:rPr>
        <w:t>91</w:t>
      </w:r>
      <w:r w:rsidRPr="00096598">
        <w:rPr>
          <w:rFonts w:ascii="Arial" w:hAnsi="Arial" w:cs="Arial"/>
          <w:sz w:val="20"/>
          <w:szCs w:val="20"/>
          <w:lang w:val="en-US"/>
        </w:rPr>
        <w:t xml:space="preserve">(2):278-285. </w:t>
      </w:r>
    </w:p>
    <w:p w14:paraId="2BF908A6" w14:textId="77777777" w:rsidR="00AE5D8F" w:rsidRPr="00096598" w:rsidRDefault="00AE5D8F" w:rsidP="00AE5D8F">
      <w:pPr>
        <w:spacing w:before="240"/>
        <w:ind w:left="1276" w:right="-143" w:hanging="1276"/>
        <w:jc w:val="both"/>
        <w:rPr>
          <w:rFonts w:ascii="Arial" w:hAnsi="Arial" w:cs="Arial"/>
          <w:sz w:val="20"/>
          <w:szCs w:val="20"/>
        </w:rPr>
      </w:pPr>
      <w:r w:rsidRPr="00096598">
        <w:rPr>
          <w:rFonts w:ascii="Arial" w:hAnsi="Arial" w:cs="Arial"/>
          <w:sz w:val="20"/>
          <w:szCs w:val="20"/>
        </w:rPr>
        <w:t xml:space="preserve">Kamol, S. I., Howlader, J., Sutra Dhar, G. C. and </w:t>
      </w:r>
      <w:proofErr w:type="spellStart"/>
      <w:r w:rsidRPr="00096598">
        <w:rPr>
          <w:rFonts w:ascii="Arial" w:hAnsi="Arial" w:cs="Arial"/>
          <w:sz w:val="20"/>
          <w:szCs w:val="20"/>
        </w:rPr>
        <w:t>Aklimuzzaman</w:t>
      </w:r>
      <w:proofErr w:type="spellEnd"/>
      <w:r w:rsidRPr="00096598">
        <w:rPr>
          <w:rFonts w:ascii="Arial" w:hAnsi="Arial" w:cs="Arial"/>
          <w:sz w:val="20"/>
          <w:szCs w:val="20"/>
        </w:rPr>
        <w:t xml:space="preserve">, M. </w:t>
      </w:r>
      <w:r>
        <w:rPr>
          <w:rFonts w:ascii="Arial" w:hAnsi="Arial" w:cs="Arial"/>
          <w:sz w:val="20"/>
          <w:szCs w:val="20"/>
        </w:rPr>
        <w:t>(</w:t>
      </w:r>
      <w:r w:rsidRPr="00096598">
        <w:rPr>
          <w:rFonts w:ascii="Arial" w:hAnsi="Arial" w:cs="Arial"/>
          <w:sz w:val="20"/>
          <w:szCs w:val="20"/>
        </w:rPr>
        <w:t>2014</w:t>
      </w:r>
      <w:r>
        <w:rPr>
          <w:rFonts w:ascii="Arial" w:hAnsi="Arial" w:cs="Arial"/>
          <w:sz w:val="20"/>
          <w:szCs w:val="20"/>
        </w:rPr>
        <w:t>)</w:t>
      </w:r>
      <w:r w:rsidRPr="00096598">
        <w:rPr>
          <w:rFonts w:ascii="Arial" w:hAnsi="Arial" w:cs="Arial"/>
          <w:sz w:val="20"/>
          <w:szCs w:val="20"/>
        </w:rPr>
        <w:t xml:space="preserve">. Effect of different stages of maturity and postharvest treatments on quality and storability of pineapple. </w:t>
      </w:r>
      <w:r w:rsidRPr="00096598">
        <w:rPr>
          <w:rFonts w:ascii="Arial" w:hAnsi="Arial" w:cs="Arial"/>
          <w:i/>
          <w:iCs/>
          <w:sz w:val="20"/>
          <w:szCs w:val="20"/>
        </w:rPr>
        <w:t>Journal of Bangladesh Agricultural University</w:t>
      </w:r>
      <w:r w:rsidRPr="00096598">
        <w:rPr>
          <w:rFonts w:ascii="Arial" w:hAnsi="Arial" w:cs="Arial"/>
          <w:b/>
          <w:bCs/>
          <w:sz w:val="20"/>
          <w:szCs w:val="20"/>
        </w:rPr>
        <w:t>.</w:t>
      </w:r>
      <w:r w:rsidRPr="00096598">
        <w:rPr>
          <w:rFonts w:ascii="Arial" w:hAnsi="Arial" w:cs="Arial"/>
          <w:sz w:val="20"/>
          <w:szCs w:val="20"/>
        </w:rPr>
        <w:t xml:space="preserve"> </w:t>
      </w:r>
      <w:r w:rsidRPr="00096598">
        <w:rPr>
          <w:rFonts w:ascii="Arial" w:hAnsi="Arial" w:cs="Arial"/>
          <w:b/>
          <w:bCs/>
          <w:sz w:val="20"/>
          <w:szCs w:val="20"/>
        </w:rPr>
        <w:t>12</w:t>
      </w:r>
      <w:r w:rsidRPr="00096598">
        <w:rPr>
          <w:rFonts w:ascii="Arial" w:hAnsi="Arial" w:cs="Arial"/>
          <w:sz w:val="20"/>
          <w:szCs w:val="20"/>
        </w:rPr>
        <w:t xml:space="preserve">(2):251-260. </w:t>
      </w:r>
    </w:p>
    <w:p w14:paraId="0BCD8B12" w14:textId="77777777" w:rsidR="00AE5D8F" w:rsidRPr="00096598" w:rsidRDefault="00AE5D8F" w:rsidP="00AE5D8F">
      <w:pPr>
        <w:spacing w:before="240"/>
        <w:ind w:left="1276" w:right="-143" w:hanging="1276"/>
        <w:jc w:val="both"/>
        <w:rPr>
          <w:rFonts w:ascii="Arial" w:hAnsi="Arial" w:cs="Arial"/>
          <w:sz w:val="20"/>
          <w:szCs w:val="20"/>
        </w:rPr>
      </w:pPr>
      <w:r w:rsidRPr="00096598">
        <w:rPr>
          <w:rFonts w:ascii="Arial" w:hAnsi="Arial" w:cs="Arial" w:hint="eastAsia"/>
          <w:sz w:val="20"/>
          <w:szCs w:val="20"/>
        </w:rPr>
        <w:t xml:space="preserve">Luders, L. and McMahon, G. </w:t>
      </w:r>
      <w:r>
        <w:rPr>
          <w:rFonts w:ascii="Arial" w:hAnsi="Arial" w:cs="Arial"/>
          <w:sz w:val="20"/>
          <w:szCs w:val="20"/>
        </w:rPr>
        <w:t>(</w:t>
      </w:r>
      <w:r w:rsidRPr="00096598">
        <w:rPr>
          <w:rFonts w:ascii="Arial" w:hAnsi="Arial" w:cs="Arial" w:hint="eastAsia"/>
          <w:sz w:val="20"/>
          <w:szCs w:val="20"/>
        </w:rPr>
        <w:t>2006</w:t>
      </w:r>
      <w:r>
        <w:rPr>
          <w:rFonts w:ascii="Arial" w:hAnsi="Arial" w:cs="Arial"/>
          <w:sz w:val="20"/>
          <w:szCs w:val="20"/>
        </w:rPr>
        <w:t>)</w:t>
      </w:r>
      <w:r w:rsidRPr="00096598">
        <w:rPr>
          <w:rFonts w:ascii="Arial" w:hAnsi="Arial" w:cs="Arial" w:hint="eastAsia"/>
          <w:sz w:val="20"/>
          <w:szCs w:val="20"/>
        </w:rPr>
        <w:t>. The pitaya or dragon fruit (</w:t>
      </w:r>
      <w:proofErr w:type="spellStart"/>
      <w:r w:rsidRPr="00096598">
        <w:rPr>
          <w:rFonts w:ascii="Arial" w:hAnsi="Arial" w:cs="Arial"/>
          <w:i/>
          <w:iCs/>
          <w:sz w:val="20"/>
          <w:szCs w:val="20"/>
        </w:rPr>
        <w:t>Hylocereus</w:t>
      </w:r>
      <w:proofErr w:type="spellEnd"/>
      <w:r w:rsidRPr="00096598">
        <w:rPr>
          <w:rFonts w:ascii="Arial" w:hAnsi="Arial" w:cs="Arial"/>
          <w:i/>
          <w:iCs/>
          <w:sz w:val="20"/>
          <w:szCs w:val="20"/>
        </w:rPr>
        <w:t xml:space="preserve"> </w:t>
      </w:r>
      <w:proofErr w:type="spellStart"/>
      <w:r w:rsidRPr="00096598">
        <w:rPr>
          <w:rFonts w:ascii="Arial" w:hAnsi="Arial" w:cs="Arial"/>
          <w:i/>
          <w:iCs/>
          <w:sz w:val="20"/>
          <w:szCs w:val="20"/>
        </w:rPr>
        <w:t>undatus</w:t>
      </w:r>
      <w:proofErr w:type="spellEnd"/>
      <w:r w:rsidRPr="00096598">
        <w:rPr>
          <w:rFonts w:ascii="Arial" w:hAnsi="Arial" w:cs="Arial" w:hint="eastAsia"/>
          <w:sz w:val="20"/>
          <w:szCs w:val="20"/>
        </w:rPr>
        <w:t xml:space="preserve">), </w:t>
      </w:r>
      <w:proofErr w:type="spellStart"/>
      <w:r w:rsidRPr="00096598">
        <w:rPr>
          <w:rFonts w:ascii="Arial" w:hAnsi="Arial" w:cs="Arial" w:hint="eastAsia"/>
          <w:sz w:val="20"/>
          <w:szCs w:val="20"/>
        </w:rPr>
        <w:t>Agnote</w:t>
      </w:r>
      <w:proofErr w:type="spellEnd"/>
      <w:r w:rsidRPr="00096598">
        <w:rPr>
          <w:rFonts w:ascii="Arial" w:hAnsi="Arial" w:cs="Arial" w:hint="eastAsia"/>
          <w:sz w:val="20"/>
          <w:szCs w:val="20"/>
        </w:rPr>
        <w:t xml:space="preserve">, no. D42, Department of Primary Industry, Fisheries and Mines. Northern Territory Government. Pp 1-4. </w:t>
      </w:r>
    </w:p>
    <w:p w14:paraId="675CF5F2" w14:textId="77777777" w:rsidR="00AE5D8F" w:rsidRPr="00096598" w:rsidRDefault="00AE5D8F" w:rsidP="00AE5D8F">
      <w:pPr>
        <w:spacing w:before="240"/>
        <w:ind w:left="1276" w:right="-143" w:hanging="1276"/>
        <w:jc w:val="both"/>
        <w:rPr>
          <w:rFonts w:ascii="Arial" w:hAnsi="Arial" w:cs="Arial"/>
          <w:sz w:val="20"/>
          <w:szCs w:val="20"/>
        </w:rPr>
      </w:pPr>
      <w:proofErr w:type="spellStart"/>
      <w:r w:rsidRPr="00096598">
        <w:rPr>
          <w:rFonts w:ascii="Arial" w:hAnsi="Arial" w:cs="Arial"/>
          <w:sz w:val="20"/>
          <w:szCs w:val="20"/>
          <w:lang w:val="en-US"/>
        </w:rPr>
        <w:t>Malgalhaes</w:t>
      </w:r>
      <w:proofErr w:type="spellEnd"/>
      <w:r w:rsidRPr="00096598">
        <w:rPr>
          <w:rFonts w:ascii="Arial" w:hAnsi="Arial" w:cs="Arial"/>
          <w:sz w:val="20"/>
          <w:szCs w:val="20"/>
          <w:lang w:val="en-US"/>
        </w:rPr>
        <w:t xml:space="preserve">, D. S., Ramos, J. D., Pio, L. A. S., Boas, E. V. de. B. V., Pasqual, M., Rodrigues, F. A., </w:t>
      </w:r>
      <w:proofErr w:type="spellStart"/>
      <w:r w:rsidRPr="00096598">
        <w:rPr>
          <w:rFonts w:ascii="Arial" w:hAnsi="Arial" w:cs="Arial"/>
          <w:sz w:val="20"/>
          <w:szCs w:val="20"/>
          <w:lang w:val="en-US"/>
        </w:rPr>
        <w:t>Rufini</w:t>
      </w:r>
      <w:proofErr w:type="spellEnd"/>
      <w:r w:rsidRPr="00096598">
        <w:rPr>
          <w:rFonts w:ascii="Arial" w:hAnsi="Arial" w:cs="Arial"/>
          <w:sz w:val="20"/>
          <w:szCs w:val="20"/>
          <w:lang w:val="en-US"/>
        </w:rPr>
        <w:t xml:space="preserve">, J. C. M. and dos Santos, V. A. </w:t>
      </w:r>
      <w:r>
        <w:rPr>
          <w:rFonts w:ascii="Arial" w:hAnsi="Arial" w:cs="Arial"/>
          <w:sz w:val="20"/>
          <w:szCs w:val="20"/>
          <w:lang w:val="en-US"/>
        </w:rPr>
        <w:t>(</w:t>
      </w:r>
      <w:r w:rsidRPr="00096598">
        <w:rPr>
          <w:rFonts w:ascii="Arial" w:hAnsi="Arial" w:cs="Arial"/>
          <w:sz w:val="20"/>
          <w:szCs w:val="20"/>
          <w:lang w:val="en-US"/>
        </w:rPr>
        <w:t>2019</w:t>
      </w:r>
      <w:r>
        <w:rPr>
          <w:rFonts w:ascii="Arial" w:hAnsi="Arial" w:cs="Arial"/>
          <w:sz w:val="20"/>
          <w:szCs w:val="20"/>
          <w:lang w:val="en-US"/>
        </w:rPr>
        <w:t>)</w:t>
      </w:r>
      <w:r w:rsidRPr="00096598">
        <w:rPr>
          <w:rFonts w:ascii="Arial" w:hAnsi="Arial" w:cs="Arial"/>
          <w:sz w:val="20"/>
          <w:szCs w:val="20"/>
          <w:lang w:val="en-US"/>
        </w:rPr>
        <w:t xml:space="preserve">. Physical and physiochemical modifications of white-fleshed pitaya throughout its development. </w:t>
      </w:r>
      <w:r w:rsidRPr="00096598">
        <w:rPr>
          <w:rFonts w:ascii="Arial" w:hAnsi="Arial" w:cs="Arial"/>
          <w:i/>
          <w:iCs/>
          <w:sz w:val="20"/>
          <w:szCs w:val="20"/>
          <w:lang w:val="en-US"/>
        </w:rPr>
        <w:t xml:space="preserve">Scientia </w:t>
      </w:r>
      <w:proofErr w:type="spellStart"/>
      <w:r w:rsidRPr="00096598">
        <w:rPr>
          <w:rFonts w:ascii="Arial" w:hAnsi="Arial" w:cs="Arial"/>
          <w:i/>
          <w:iCs/>
          <w:sz w:val="20"/>
          <w:szCs w:val="20"/>
          <w:lang w:val="en-US"/>
        </w:rPr>
        <w:t>Horticulturae</w:t>
      </w:r>
      <w:proofErr w:type="spellEnd"/>
      <w:r w:rsidRPr="00096598">
        <w:rPr>
          <w:rFonts w:ascii="Arial" w:hAnsi="Arial" w:cs="Arial"/>
          <w:sz w:val="20"/>
          <w:szCs w:val="20"/>
          <w:lang w:val="en-US"/>
        </w:rPr>
        <w:t xml:space="preserve">. </w:t>
      </w:r>
      <w:r w:rsidRPr="00096598">
        <w:rPr>
          <w:rFonts w:ascii="Arial" w:hAnsi="Arial" w:cs="Arial"/>
          <w:b/>
          <w:bCs/>
          <w:sz w:val="20"/>
          <w:szCs w:val="20"/>
          <w:lang w:val="en-US"/>
        </w:rPr>
        <w:t>243</w:t>
      </w:r>
      <w:r w:rsidRPr="00096598">
        <w:rPr>
          <w:rFonts w:ascii="Arial" w:hAnsi="Arial" w:cs="Arial"/>
          <w:sz w:val="20"/>
          <w:szCs w:val="20"/>
          <w:lang w:val="en-US"/>
        </w:rPr>
        <w:t xml:space="preserve">: 537- 543. </w:t>
      </w:r>
    </w:p>
    <w:p w14:paraId="74543EE5" w14:textId="77777777" w:rsidR="00AE5D8F" w:rsidRPr="00096598" w:rsidRDefault="00AE5D8F" w:rsidP="00AE5D8F">
      <w:pPr>
        <w:spacing w:before="240"/>
        <w:ind w:left="1276" w:right="-143" w:hanging="1276"/>
        <w:jc w:val="both"/>
        <w:rPr>
          <w:rFonts w:ascii="Arial" w:hAnsi="Arial" w:cs="Arial"/>
          <w:sz w:val="20"/>
          <w:szCs w:val="20"/>
          <w:lang w:val="en-US"/>
        </w:rPr>
      </w:pPr>
      <w:proofErr w:type="spellStart"/>
      <w:r w:rsidRPr="00096598">
        <w:rPr>
          <w:rFonts w:ascii="Arial" w:hAnsi="Arial" w:cs="Arial"/>
          <w:sz w:val="20"/>
          <w:szCs w:val="20"/>
          <w:lang w:val="en-US"/>
        </w:rPr>
        <w:t>Martineli</w:t>
      </w:r>
      <w:proofErr w:type="spellEnd"/>
      <w:r w:rsidRPr="00096598">
        <w:rPr>
          <w:rFonts w:ascii="Arial" w:hAnsi="Arial" w:cs="Arial"/>
          <w:sz w:val="20"/>
          <w:szCs w:val="20"/>
          <w:lang w:val="en-US"/>
        </w:rPr>
        <w:t xml:space="preserve">, M., </w:t>
      </w:r>
      <w:proofErr w:type="spellStart"/>
      <w:r w:rsidRPr="00096598">
        <w:rPr>
          <w:rFonts w:ascii="Arial" w:hAnsi="Arial" w:cs="Arial"/>
          <w:sz w:val="20"/>
          <w:szCs w:val="20"/>
          <w:lang w:val="en-US"/>
        </w:rPr>
        <w:t>Castricini</w:t>
      </w:r>
      <w:proofErr w:type="spellEnd"/>
      <w:r w:rsidRPr="00096598">
        <w:rPr>
          <w:rFonts w:ascii="Arial" w:hAnsi="Arial" w:cs="Arial"/>
          <w:sz w:val="20"/>
          <w:szCs w:val="20"/>
          <w:lang w:val="en-US"/>
        </w:rPr>
        <w:t xml:space="preserve">, A., Mala, V. M. and Maranhao, C. M. A. </w:t>
      </w:r>
      <w:r>
        <w:rPr>
          <w:rFonts w:ascii="Arial" w:hAnsi="Arial" w:cs="Arial"/>
          <w:sz w:val="20"/>
          <w:szCs w:val="20"/>
          <w:lang w:val="en-US"/>
        </w:rPr>
        <w:t>(</w:t>
      </w:r>
      <w:r w:rsidRPr="00096598">
        <w:rPr>
          <w:rFonts w:ascii="Arial" w:hAnsi="Arial" w:cs="Arial"/>
          <w:sz w:val="20"/>
          <w:szCs w:val="20"/>
          <w:lang w:val="en-US"/>
        </w:rPr>
        <w:t>2020</w:t>
      </w:r>
      <w:r>
        <w:rPr>
          <w:rFonts w:ascii="Arial" w:hAnsi="Arial" w:cs="Arial"/>
          <w:sz w:val="20"/>
          <w:szCs w:val="20"/>
          <w:lang w:val="en-US"/>
        </w:rPr>
        <w:t>)</w:t>
      </w:r>
      <w:r w:rsidRPr="00096598">
        <w:rPr>
          <w:rFonts w:ascii="Arial" w:hAnsi="Arial" w:cs="Arial"/>
          <w:sz w:val="20"/>
          <w:szCs w:val="20"/>
          <w:lang w:val="en-US"/>
        </w:rPr>
        <w:t xml:space="preserve">. Post-harvest physiology of pitaya at different ripening stages. </w:t>
      </w:r>
      <w:proofErr w:type="spellStart"/>
      <w:r w:rsidRPr="00096598">
        <w:rPr>
          <w:rFonts w:ascii="Arial" w:hAnsi="Arial" w:cs="Arial"/>
          <w:i/>
          <w:iCs/>
          <w:sz w:val="20"/>
          <w:szCs w:val="20"/>
          <w:lang w:val="en-US"/>
        </w:rPr>
        <w:t>Cienc</w:t>
      </w:r>
      <w:proofErr w:type="spellEnd"/>
      <w:r w:rsidRPr="00096598">
        <w:rPr>
          <w:rFonts w:ascii="Arial" w:hAnsi="Arial" w:cs="Arial"/>
          <w:i/>
          <w:iCs/>
          <w:sz w:val="20"/>
          <w:szCs w:val="20"/>
          <w:lang w:val="en-US"/>
        </w:rPr>
        <w:t xml:space="preserve">. </w:t>
      </w:r>
      <w:proofErr w:type="spellStart"/>
      <w:r w:rsidRPr="00096598">
        <w:rPr>
          <w:rFonts w:ascii="Arial" w:hAnsi="Arial" w:cs="Arial"/>
          <w:i/>
          <w:iCs/>
          <w:sz w:val="20"/>
          <w:szCs w:val="20"/>
          <w:lang w:val="en-US"/>
        </w:rPr>
        <w:t>Agrar</w:t>
      </w:r>
      <w:proofErr w:type="spellEnd"/>
      <w:r w:rsidRPr="00096598">
        <w:rPr>
          <w:rFonts w:ascii="Arial" w:hAnsi="Arial" w:cs="Arial"/>
          <w:i/>
          <w:iCs/>
          <w:sz w:val="20"/>
          <w:szCs w:val="20"/>
          <w:lang w:val="en-US"/>
        </w:rPr>
        <w:t>. Londrina.</w:t>
      </w:r>
      <w:r w:rsidRPr="00096598">
        <w:rPr>
          <w:rFonts w:ascii="Arial" w:hAnsi="Arial" w:cs="Arial"/>
          <w:sz w:val="20"/>
          <w:szCs w:val="20"/>
          <w:lang w:val="en-US"/>
        </w:rPr>
        <w:t xml:space="preserve"> </w:t>
      </w:r>
      <w:r w:rsidRPr="00096598">
        <w:rPr>
          <w:rFonts w:ascii="Arial" w:hAnsi="Arial" w:cs="Arial"/>
          <w:b/>
          <w:bCs/>
          <w:sz w:val="20"/>
          <w:szCs w:val="20"/>
          <w:lang w:val="en-US"/>
        </w:rPr>
        <w:t>42</w:t>
      </w:r>
      <w:r w:rsidRPr="00096598">
        <w:rPr>
          <w:rFonts w:ascii="Arial" w:hAnsi="Arial" w:cs="Arial"/>
          <w:sz w:val="20"/>
          <w:szCs w:val="20"/>
          <w:lang w:val="en-US"/>
        </w:rPr>
        <w:t>(3):1033-1048.</w:t>
      </w:r>
    </w:p>
    <w:p w14:paraId="5EFDCC4E" w14:textId="77777777" w:rsidR="00AE5D8F" w:rsidRPr="00096598" w:rsidRDefault="00AE5D8F" w:rsidP="00AE5D8F">
      <w:pPr>
        <w:spacing w:before="240"/>
        <w:ind w:left="1276" w:right="-143" w:hanging="1276"/>
        <w:jc w:val="both"/>
        <w:rPr>
          <w:rFonts w:ascii="Arial" w:hAnsi="Arial" w:cs="Arial"/>
          <w:sz w:val="20"/>
          <w:szCs w:val="20"/>
          <w:lang w:val="en-US"/>
        </w:rPr>
      </w:pPr>
      <w:r w:rsidRPr="00096598">
        <w:rPr>
          <w:rFonts w:ascii="Arial" w:hAnsi="Arial" w:cs="Arial"/>
          <w:sz w:val="20"/>
          <w:szCs w:val="20"/>
          <w:lang w:val="en-US"/>
        </w:rPr>
        <w:t xml:space="preserve">Mizrahi, Y. and Nerd, A. </w:t>
      </w:r>
      <w:r>
        <w:rPr>
          <w:rFonts w:ascii="Arial" w:hAnsi="Arial" w:cs="Arial"/>
          <w:sz w:val="20"/>
          <w:szCs w:val="20"/>
          <w:lang w:val="en-US"/>
        </w:rPr>
        <w:t>(</w:t>
      </w:r>
      <w:r w:rsidRPr="00096598">
        <w:rPr>
          <w:rFonts w:ascii="Arial" w:hAnsi="Arial" w:cs="Arial"/>
          <w:sz w:val="20"/>
          <w:szCs w:val="20"/>
          <w:lang w:val="en-US"/>
        </w:rPr>
        <w:t>1999</w:t>
      </w:r>
      <w:r>
        <w:rPr>
          <w:rFonts w:ascii="Arial" w:hAnsi="Arial" w:cs="Arial"/>
          <w:sz w:val="20"/>
          <w:szCs w:val="20"/>
          <w:lang w:val="en-US"/>
        </w:rPr>
        <w:t>)</w:t>
      </w:r>
      <w:r w:rsidRPr="00096598">
        <w:rPr>
          <w:rFonts w:ascii="Arial" w:hAnsi="Arial" w:cs="Arial"/>
          <w:sz w:val="20"/>
          <w:szCs w:val="20"/>
          <w:lang w:val="en-US"/>
        </w:rPr>
        <w:t xml:space="preserve">. Climbing and columnar cacti: New arid land fruit crops. </w:t>
      </w:r>
      <w:proofErr w:type="spellStart"/>
      <w:r w:rsidRPr="00096598">
        <w:rPr>
          <w:rFonts w:ascii="Arial" w:hAnsi="Arial" w:cs="Arial"/>
          <w:sz w:val="20"/>
          <w:szCs w:val="20"/>
          <w:lang w:val="en-US"/>
        </w:rPr>
        <w:t>Prespectives</w:t>
      </w:r>
      <w:proofErr w:type="spellEnd"/>
      <w:r w:rsidRPr="00096598">
        <w:rPr>
          <w:rFonts w:ascii="Arial" w:hAnsi="Arial" w:cs="Arial"/>
          <w:sz w:val="20"/>
          <w:szCs w:val="20"/>
          <w:lang w:val="en-US"/>
        </w:rPr>
        <w:t xml:space="preserve"> on new crops and new uses. J</w:t>
      </w:r>
      <w:r w:rsidRPr="00096598">
        <w:rPr>
          <w:rFonts w:ascii="Arial" w:hAnsi="Arial" w:cs="Arial"/>
          <w:i/>
          <w:iCs/>
          <w:sz w:val="20"/>
          <w:szCs w:val="20"/>
          <w:lang w:val="en-US"/>
        </w:rPr>
        <w:t>. Janick (ed.), ASHS Press</w:t>
      </w:r>
      <w:r w:rsidRPr="00096598">
        <w:rPr>
          <w:rFonts w:ascii="Arial" w:hAnsi="Arial" w:cs="Arial"/>
          <w:sz w:val="20"/>
          <w:szCs w:val="20"/>
          <w:lang w:val="en-US"/>
        </w:rPr>
        <w:t xml:space="preserve">, Alexandria, VA. 358-366. </w:t>
      </w:r>
    </w:p>
    <w:p w14:paraId="4993A294" w14:textId="77777777" w:rsidR="00AE5D8F" w:rsidRPr="00096598" w:rsidRDefault="00AE5D8F" w:rsidP="00AE5D8F">
      <w:pPr>
        <w:spacing w:before="240"/>
        <w:ind w:left="1276" w:right="-143" w:hanging="1276"/>
        <w:jc w:val="both"/>
        <w:rPr>
          <w:rFonts w:ascii="Arial" w:hAnsi="Arial" w:cs="Arial"/>
          <w:sz w:val="20"/>
          <w:szCs w:val="20"/>
          <w:lang w:val="en-US"/>
        </w:rPr>
      </w:pPr>
      <w:r w:rsidRPr="00096598">
        <w:rPr>
          <w:rFonts w:ascii="Arial" w:hAnsi="Arial" w:cs="Arial"/>
          <w:sz w:val="20"/>
          <w:szCs w:val="20"/>
          <w:lang w:val="en-US"/>
        </w:rPr>
        <w:t xml:space="preserve">Mustafa, M. A., Ali, A., Seymour, G. and Tucker, G. </w:t>
      </w:r>
      <w:r>
        <w:rPr>
          <w:rFonts w:ascii="Arial" w:hAnsi="Arial" w:cs="Arial"/>
          <w:sz w:val="20"/>
          <w:szCs w:val="20"/>
          <w:lang w:val="en-US"/>
        </w:rPr>
        <w:t>(</w:t>
      </w:r>
      <w:r w:rsidRPr="00096598">
        <w:rPr>
          <w:rFonts w:ascii="Arial" w:hAnsi="Arial" w:cs="Arial"/>
          <w:sz w:val="20"/>
          <w:szCs w:val="20"/>
          <w:lang w:val="en-US"/>
        </w:rPr>
        <w:t>2018</w:t>
      </w:r>
      <w:r>
        <w:rPr>
          <w:rFonts w:ascii="Arial" w:hAnsi="Arial" w:cs="Arial"/>
          <w:sz w:val="20"/>
          <w:szCs w:val="20"/>
          <w:lang w:val="en-US"/>
        </w:rPr>
        <w:t>)</w:t>
      </w:r>
      <w:r w:rsidRPr="00096598">
        <w:rPr>
          <w:rFonts w:ascii="Arial" w:hAnsi="Arial" w:cs="Arial"/>
          <w:sz w:val="20"/>
          <w:szCs w:val="20"/>
          <w:lang w:val="en-US"/>
        </w:rPr>
        <w:t>. Treatment of dragon fruit (</w:t>
      </w:r>
      <w:r w:rsidRPr="00096598">
        <w:rPr>
          <w:rFonts w:ascii="Arial" w:hAnsi="Arial" w:cs="Arial"/>
          <w:i/>
          <w:iCs/>
          <w:sz w:val="20"/>
          <w:szCs w:val="20"/>
          <w:lang w:val="en-US"/>
        </w:rPr>
        <w:t>Hylocereus polyrhizus</w:t>
      </w:r>
      <w:r w:rsidRPr="00096598">
        <w:rPr>
          <w:rFonts w:ascii="Arial" w:hAnsi="Arial" w:cs="Arial"/>
          <w:sz w:val="20"/>
          <w:szCs w:val="20"/>
          <w:lang w:val="en-US"/>
        </w:rPr>
        <w:t xml:space="preserve">) with salicylic acid and methyl </w:t>
      </w:r>
      <w:proofErr w:type="spellStart"/>
      <w:r w:rsidRPr="00096598">
        <w:rPr>
          <w:rFonts w:ascii="Arial" w:hAnsi="Arial" w:cs="Arial"/>
          <w:sz w:val="20"/>
          <w:szCs w:val="20"/>
          <w:lang w:val="en-US"/>
        </w:rPr>
        <w:t>jasmonate</w:t>
      </w:r>
      <w:proofErr w:type="spellEnd"/>
      <w:r w:rsidRPr="00096598">
        <w:rPr>
          <w:rFonts w:ascii="Arial" w:hAnsi="Arial" w:cs="Arial"/>
          <w:sz w:val="20"/>
          <w:szCs w:val="20"/>
          <w:lang w:val="en-US"/>
        </w:rPr>
        <w:t xml:space="preserve"> improves postharvest physio-chemical properties and antioxidant activity during cold storage. </w:t>
      </w:r>
      <w:r w:rsidRPr="00096598">
        <w:rPr>
          <w:rFonts w:ascii="Arial" w:hAnsi="Arial" w:cs="Arial"/>
          <w:i/>
          <w:iCs/>
          <w:sz w:val="20"/>
          <w:szCs w:val="20"/>
          <w:lang w:val="en-US"/>
        </w:rPr>
        <w:t xml:space="preserve">Scientia </w:t>
      </w:r>
      <w:proofErr w:type="spellStart"/>
      <w:r w:rsidRPr="00096598">
        <w:rPr>
          <w:rFonts w:ascii="Arial" w:hAnsi="Arial" w:cs="Arial"/>
          <w:i/>
          <w:iCs/>
          <w:sz w:val="20"/>
          <w:szCs w:val="20"/>
          <w:lang w:val="en-US"/>
        </w:rPr>
        <w:t>Horticulturae</w:t>
      </w:r>
      <w:proofErr w:type="spellEnd"/>
      <w:r w:rsidRPr="00096598">
        <w:rPr>
          <w:rFonts w:ascii="Arial" w:hAnsi="Arial" w:cs="Arial"/>
          <w:sz w:val="20"/>
          <w:szCs w:val="20"/>
          <w:lang w:val="en-US"/>
        </w:rPr>
        <w:t>. 231: 89-96.</w:t>
      </w:r>
    </w:p>
    <w:p w14:paraId="3FD0E43A" w14:textId="77777777" w:rsidR="00AE5D8F" w:rsidRPr="00096598" w:rsidRDefault="00AE5D8F" w:rsidP="00AE5D8F">
      <w:pPr>
        <w:spacing w:before="240"/>
        <w:ind w:left="1276" w:hanging="1276"/>
        <w:jc w:val="both"/>
        <w:rPr>
          <w:rFonts w:ascii="Arial" w:hAnsi="Arial" w:cs="Arial"/>
          <w:sz w:val="20"/>
          <w:szCs w:val="20"/>
        </w:rPr>
      </w:pPr>
      <w:r w:rsidRPr="00096598">
        <w:rPr>
          <w:rFonts w:ascii="Arial" w:hAnsi="Arial" w:cs="Arial"/>
          <w:sz w:val="20"/>
          <w:szCs w:val="20"/>
          <w:lang w:val="en-US"/>
        </w:rPr>
        <w:t xml:space="preserve">Ortiz, T. A. and Takahashi, L. S. A. </w:t>
      </w:r>
      <w:r>
        <w:rPr>
          <w:rFonts w:ascii="Arial" w:hAnsi="Arial" w:cs="Arial"/>
          <w:sz w:val="20"/>
          <w:szCs w:val="20"/>
          <w:lang w:val="en-US"/>
        </w:rPr>
        <w:t>(</w:t>
      </w:r>
      <w:r w:rsidRPr="00096598">
        <w:rPr>
          <w:rFonts w:ascii="Arial" w:hAnsi="Arial" w:cs="Arial"/>
          <w:sz w:val="20"/>
          <w:szCs w:val="20"/>
          <w:lang w:val="en-US"/>
        </w:rPr>
        <w:t>2015</w:t>
      </w:r>
      <w:r>
        <w:rPr>
          <w:rFonts w:ascii="Arial" w:hAnsi="Arial" w:cs="Arial"/>
          <w:sz w:val="20"/>
          <w:szCs w:val="20"/>
          <w:lang w:val="en-US"/>
        </w:rPr>
        <w:t>)</w:t>
      </w:r>
      <w:r w:rsidRPr="00096598">
        <w:rPr>
          <w:rFonts w:ascii="Arial" w:hAnsi="Arial" w:cs="Arial"/>
          <w:sz w:val="20"/>
          <w:szCs w:val="20"/>
          <w:lang w:val="en-US"/>
        </w:rPr>
        <w:t xml:space="preserve">. Physical and chemical characteristics of pitaya fruits at physiological maturity. </w:t>
      </w:r>
      <w:r w:rsidRPr="00096598">
        <w:rPr>
          <w:rFonts w:ascii="Arial" w:hAnsi="Arial" w:cs="Arial"/>
          <w:i/>
          <w:iCs/>
          <w:sz w:val="20"/>
          <w:szCs w:val="20"/>
          <w:lang w:val="en-US"/>
        </w:rPr>
        <w:t>Genetics and Molecular Research</w:t>
      </w:r>
      <w:r w:rsidRPr="00096598">
        <w:rPr>
          <w:rFonts w:ascii="Arial" w:hAnsi="Arial" w:cs="Arial"/>
          <w:sz w:val="20"/>
          <w:szCs w:val="20"/>
          <w:lang w:val="en-US"/>
        </w:rPr>
        <w:t xml:space="preserve">. </w:t>
      </w:r>
      <w:r w:rsidRPr="00096598">
        <w:rPr>
          <w:rFonts w:ascii="Arial" w:hAnsi="Arial" w:cs="Arial"/>
          <w:b/>
          <w:bCs/>
          <w:sz w:val="20"/>
          <w:szCs w:val="20"/>
          <w:lang w:val="en-US"/>
        </w:rPr>
        <w:t>14</w:t>
      </w:r>
      <w:r w:rsidRPr="00096598">
        <w:rPr>
          <w:rFonts w:ascii="Arial" w:hAnsi="Arial" w:cs="Arial"/>
          <w:sz w:val="20"/>
          <w:szCs w:val="20"/>
          <w:lang w:val="en-US"/>
        </w:rPr>
        <w:t>(4):14422- 39.</w:t>
      </w:r>
    </w:p>
    <w:p w14:paraId="4BD06474" w14:textId="77777777" w:rsidR="00AE5D8F" w:rsidRPr="00096598" w:rsidRDefault="00AE5D8F" w:rsidP="00AE5D8F">
      <w:pPr>
        <w:spacing w:before="240"/>
        <w:ind w:left="1276" w:right="-143" w:hanging="1276"/>
        <w:jc w:val="both"/>
        <w:rPr>
          <w:rFonts w:ascii="Arial" w:hAnsi="Arial" w:cs="Arial"/>
          <w:sz w:val="20"/>
          <w:szCs w:val="20"/>
        </w:rPr>
      </w:pPr>
      <w:proofErr w:type="spellStart"/>
      <w:r w:rsidRPr="00096598">
        <w:rPr>
          <w:rFonts w:ascii="Arial" w:hAnsi="Arial" w:cs="Arial" w:hint="eastAsia"/>
          <w:sz w:val="20"/>
          <w:szCs w:val="20"/>
        </w:rPr>
        <w:t>Ozgen</w:t>
      </w:r>
      <w:proofErr w:type="spellEnd"/>
      <w:r w:rsidRPr="00096598">
        <w:rPr>
          <w:rFonts w:ascii="Arial" w:hAnsi="Arial" w:cs="Arial" w:hint="eastAsia"/>
          <w:sz w:val="20"/>
          <w:szCs w:val="20"/>
        </w:rPr>
        <w:t xml:space="preserve">, M., Palta, J. P. and Smith, J. D. </w:t>
      </w:r>
      <w:r>
        <w:rPr>
          <w:rFonts w:ascii="Arial" w:hAnsi="Arial" w:cs="Arial"/>
          <w:sz w:val="20"/>
          <w:szCs w:val="20"/>
        </w:rPr>
        <w:t>(</w:t>
      </w:r>
      <w:r w:rsidRPr="00096598">
        <w:rPr>
          <w:rFonts w:ascii="Arial" w:hAnsi="Arial" w:cs="Arial" w:hint="eastAsia"/>
          <w:sz w:val="20"/>
          <w:szCs w:val="20"/>
        </w:rPr>
        <w:t>2002</w:t>
      </w:r>
      <w:r>
        <w:rPr>
          <w:rFonts w:ascii="Arial" w:hAnsi="Arial" w:cs="Arial"/>
          <w:sz w:val="20"/>
          <w:szCs w:val="20"/>
        </w:rPr>
        <w:t>)</w:t>
      </w:r>
      <w:r w:rsidRPr="00096598">
        <w:rPr>
          <w:rFonts w:ascii="Arial" w:hAnsi="Arial" w:cs="Arial" w:hint="eastAsia"/>
          <w:sz w:val="20"/>
          <w:szCs w:val="20"/>
        </w:rPr>
        <w:t xml:space="preserve">. Ripeness stage at harvest influences postharvest life of cranberry fruit: physiological and anatomical explanations. </w:t>
      </w:r>
      <w:r w:rsidRPr="00096598">
        <w:rPr>
          <w:rFonts w:ascii="Arial" w:hAnsi="Arial" w:cs="Arial"/>
          <w:i/>
          <w:iCs/>
          <w:sz w:val="20"/>
          <w:szCs w:val="20"/>
        </w:rPr>
        <w:t xml:space="preserve">Postharvest Biology and Technology. </w:t>
      </w:r>
      <w:r w:rsidRPr="00096598">
        <w:rPr>
          <w:rFonts w:ascii="Arial" w:hAnsi="Arial" w:cs="Arial"/>
          <w:b/>
          <w:bCs/>
          <w:sz w:val="20"/>
          <w:szCs w:val="20"/>
        </w:rPr>
        <w:t>24</w:t>
      </w:r>
      <w:r w:rsidRPr="00096598">
        <w:rPr>
          <w:rFonts w:ascii="Arial" w:hAnsi="Arial" w:cs="Arial" w:hint="eastAsia"/>
          <w:sz w:val="20"/>
          <w:szCs w:val="20"/>
        </w:rPr>
        <w:t xml:space="preserve">: 291- 299. </w:t>
      </w:r>
    </w:p>
    <w:p w14:paraId="14AA98C0" w14:textId="77777777" w:rsidR="00AE5D8F" w:rsidRPr="00096598" w:rsidRDefault="00AE5D8F" w:rsidP="00AE5D8F">
      <w:pPr>
        <w:spacing w:before="240"/>
        <w:ind w:left="1276" w:right="-143" w:hanging="1276"/>
        <w:jc w:val="both"/>
        <w:rPr>
          <w:rFonts w:ascii="Arial" w:hAnsi="Arial" w:cs="Arial"/>
          <w:sz w:val="20"/>
          <w:szCs w:val="20"/>
          <w:lang w:val="en-US"/>
        </w:rPr>
      </w:pPr>
      <w:proofErr w:type="spellStart"/>
      <w:r w:rsidRPr="00096598">
        <w:rPr>
          <w:rFonts w:ascii="Arial" w:hAnsi="Arial" w:cs="Arial"/>
          <w:sz w:val="20"/>
          <w:szCs w:val="20"/>
          <w:lang w:val="en-US"/>
        </w:rPr>
        <w:t>Paliyath</w:t>
      </w:r>
      <w:proofErr w:type="spellEnd"/>
      <w:r w:rsidRPr="00096598">
        <w:rPr>
          <w:rFonts w:ascii="Arial" w:hAnsi="Arial" w:cs="Arial"/>
          <w:sz w:val="20"/>
          <w:szCs w:val="20"/>
          <w:lang w:val="en-US"/>
        </w:rPr>
        <w:t xml:space="preserve">, G. and Murr, D. P. </w:t>
      </w:r>
      <w:r>
        <w:rPr>
          <w:rFonts w:ascii="Arial" w:hAnsi="Arial" w:cs="Arial"/>
          <w:sz w:val="20"/>
          <w:szCs w:val="20"/>
          <w:lang w:val="en-US"/>
        </w:rPr>
        <w:t>(</w:t>
      </w:r>
      <w:r w:rsidRPr="00096598">
        <w:rPr>
          <w:rFonts w:ascii="Arial" w:hAnsi="Arial" w:cs="Arial"/>
          <w:sz w:val="20"/>
          <w:szCs w:val="20"/>
          <w:lang w:val="en-US"/>
        </w:rPr>
        <w:t>2008</w:t>
      </w:r>
      <w:r>
        <w:rPr>
          <w:rFonts w:ascii="Arial" w:hAnsi="Arial" w:cs="Arial"/>
          <w:sz w:val="20"/>
          <w:szCs w:val="20"/>
          <w:lang w:val="en-US"/>
        </w:rPr>
        <w:t>)</w:t>
      </w:r>
      <w:r w:rsidRPr="00096598">
        <w:rPr>
          <w:rFonts w:ascii="Arial" w:hAnsi="Arial" w:cs="Arial"/>
          <w:sz w:val="20"/>
          <w:szCs w:val="20"/>
          <w:lang w:val="en-US"/>
        </w:rPr>
        <w:t xml:space="preserve">. Biochemistry of fruits. </w:t>
      </w:r>
      <w:r w:rsidRPr="00096598">
        <w:rPr>
          <w:rFonts w:ascii="Arial" w:hAnsi="Arial" w:cs="Arial"/>
          <w:b/>
          <w:bCs/>
          <w:sz w:val="20"/>
          <w:szCs w:val="20"/>
          <w:lang w:val="en-US"/>
        </w:rPr>
        <w:t>In</w:t>
      </w:r>
      <w:r w:rsidRPr="00096598">
        <w:rPr>
          <w:rFonts w:ascii="Arial" w:hAnsi="Arial" w:cs="Arial"/>
          <w:sz w:val="20"/>
          <w:szCs w:val="20"/>
          <w:lang w:val="en-US"/>
        </w:rPr>
        <w:t xml:space="preserve">: Postharvest Biology and Technology of Fruits, Vegetables and flowers, Wiley-Blackwell Publishing, Iowa, USA. Pp: 19-50. </w:t>
      </w:r>
    </w:p>
    <w:p w14:paraId="6FB2B2B9" w14:textId="77777777" w:rsidR="00AE5D8F" w:rsidRPr="00096598" w:rsidRDefault="00AE5D8F" w:rsidP="00AE5D8F">
      <w:pPr>
        <w:spacing w:before="240"/>
        <w:ind w:left="1276" w:right="-143" w:hanging="1276"/>
        <w:jc w:val="both"/>
        <w:rPr>
          <w:rFonts w:ascii="Arial" w:hAnsi="Arial" w:cs="Arial"/>
          <w:sz w:val="20"/>
          <w:szCs w:val="20"/>
          <w:lang w:val="en-US"/>
        </w:rPr>
      </w:pPr>
      <w:r w:rsidRPr="00096598">
        <w:rPr>
          <w:rFonts w:ascii="Arial" w:hAnsi="Arial" w:cs="Arial"/>
          <w:sz w:val="20"/>
          <w:szCs w:val="20"/>
          <w:lang w:val="en-US"/>
        </w:rPr>
        <w:t xml:space="preserve">Phebe, D., Chew, M. K., </w:t>
      </w:r>
      <w:proofErr w:type="spellStart"/>
      <w:r w:rsidRPr="00096598">
        <w:rPr>
          <w:rFonts w:ascii="Arial" w:hAnsi="Arial" w:cs="Arial"/>
          <w:sz w:val="20"/>
          <w:szCs w:val="20"/>
          <w:lang w:val="en-US"/>
        </w:rPr>
        <w:t>Suraini</w:t>
      </w:r>
      <w:proofErr w:type="spellEnd"/>
      <w:r w:rsidRPr="00096598">
        <w:rPr>
          <w:rFonts w:ascii="Arial" w:hAnsi="Arial" w:cs="Arial"/>
          <w:sz w:val="20"/>
          <w:szCs w:val="20"/>
          <w:lang w:val="en-US"/>
        </w:rPr>
        <w:t xml:space="preserve">, A. A., Lai, O. M. and Janna, O. A. </w:t>
      </w:r>
      <w:r>
        <w:rPr>
          <w:rFonts w:ascii="Arial" w:hAnsi="Arial" w:cs="Arial"/>
          <w:sz w:val="20"/>
          <w:szCs w:val="20"/>
          <w:lang w:val="en-US"/>
        </w:rPr>
        <w:t>(</w:t>
      </w:r>
      <w:r w:rsidRPr="00096598">
        <w:rPr>
          <w:rFonts w:ascii="Arial" w:hAnsi="Arial" w:cs="Arial"/>
          <w:sz w:val="20"/>
          <w:szCs w:val="20"/>
          <w:lang w:val="en-US"/>
        </w:rPr>
        <w:t>2009</w:t>
      </w:r>
      <w:r>
        <w:rPr>
          <w:rFonts w:ascii="Arial" w:hAnsi="Arial" w:cs="Arial"/>
          <w:sz w:val="20"/>
          <w:szCs w:val="20"/>
          <w:lang w:val="en-US"/>
        </w:rPr>
        <w:t>)</w:t>
      </w:r>
      <w:r w:rsidRPr="00096598">
        <w:rPr>
          <w:rFonts w:ascii="Arial" w:hAnsi="Arial" w:cs="Arial"/>
          <w:sz w:val="20"/>
          <w:szCs w:val="20"/>
          <w:lang w:val="en-US"/>
        </w:rPr>
        <w:t>. Red-fleshed pitaya (</w:t>
      </w:r>
      <w:proofErr w:type="spellStart"/>
      <w:r w:rsidRPr="00096598">
        <w:rPr>
          <w:rFonts w:ascii="Arial" w:hAnsi="Arial" w:cs="Arial"/>
          <w:i/>
          <w:iCs/>
          <w:sz w:val="20"/>
          <w:szCs w:val="20"/>
          <w:lang w:val="en-US"/>
        </w:rPr>
        <w:t>Hylocereus</w:t>
      </w:r>
      <w:proofErr w:type="spellEnd"/>
      <w:r w:rsidRPr="00096598">
        <w:rPr>
          <w:rFonts w:ascii="Arial" w:hAnsi="Arial" w:cs="Arial"/>
          <w:i/>
          <w:iCs/>
          <w:sz w:val="20"/>
          <w:szCs w:val="20"/>
          <w:lang w:val="en-US"/>
        </w:rPr>
        <w:t xml:space="preserve"> </w:t>
      </w:r>
      <w:proofErr w:type="spellStart"/>
      <w:r w:rsidRPr="00096598">
        <w:rPr>
          <w:rFonts w:ascii="Arial" w:hAnsi="Arial" w:cs="Arial"/>
          <w:i/>
          <w:iCs/>
          <w:sz w:val="20"/>
          <w:szCs w:val="20"/>
          <w:lang w:val="en-US"/>
        </w:rPr>
        <w:t>polyrhizus</w:t>
      </w:r>
      <w:proofErr w:type="spellEnd"/>
      <w:r w:rsidRPr="00096598">
        <w:rPr>
          <w:rFonts w:ascii="Arial" w:hAnsi="Arial" w:cs="Arial"/>
          <w:sz w:val="20"/>
          <w:szCs w:val="20"/>
          <w:lang w:val="en-US"/>
        </w:rPr>
        <w:t xml:space="preserve">) fruit </w:t>
      </w:r>
      <w:proofErr w:type="spellStart"/>
      <w:r w:rsidRPr="00096598">
        <w:rPr>
          <w:rFonts w:ascii="Arial" w:hAnsi="Arial" w:cs="Arial"/>
          <w:sz w:val="20"/>
          <w:szCs w:val="20"/>
          <w:lang w:val="en-US"/>
        </w:rPr>
        <w:t>colour</w:t>
      </w:r>
      <w:proofErr w:type="spellEnd"/>
      <w:r w:rsidRPr="00096598">
        <w:rPr>
          <w:rFonts w:ascii="Arial" w:hAnsi="Arial" w:cs="Arial"/>
          <w:sz w:val="20"/>
          <w:szCs w:val="20"/>
          <w:lang w:val="en-US"/>
        </w:rPr>
        <w:t xml:space="preserve"> and betacyanin content depend on maturity. </w:t>
      </w:r>
      <w:r w:rsidRPr="00096598">
        <w:rPr>
          <w:rFonts w:ascii="Arial" w:hAnsi="Arial" w:cs="Arial"/>
          <w:i/>
          <w:iCs/>
          <w:sz w:val="20"/>
          <w:szCs w:val="20"/>
          <w:lang w:val="en-US"/>
        </w:rPr>
        <w:t xml:space="preserve">International Food Research Journal. </w:t>
      </w:r>
      <w:r w:rsidRPr="00096598">
        <w:rPr>
          <w:rFonts w:ascii="Arial" w:hAnsi="Arial" w:cs="Arial"/>
          <w:b/>
          <w:bCs/>
          <w:sz w:val="20"/>
          <w:szCs w:val="20"/>
          <w:lang w:val="en-US"/>
        </w:rPr>
        <w:t>16</w:t>
      </w:r>
      <w:r w:rsidRPr="00096598">
        <w:rPr>
          <w:rFonts w:ascii="Arial" w:hAnsi="Arial" w:cs="Arial"/>
          <w:sz w:val="20"/>
          <w:szCs w:val="20"/>
          <w:lang w:val="en-US"/>
        </w:rPr>
        <w:t>:233-242.</w:t>
      </w:r>
    </w:p>
    <w:p w14:paraId="357F4D28" w14:textId="77777777" w:rsidR="00AE5D8F" w:rsidRPr="00096598" w:rsidRDefault="00AE5D8F" w:rsidP="00AE5D8F">
      <w:pPr>
        <w:spacing w:before="240"/>
        <w:ind w:left="1276" w:right="-143" w:hanging="1276"/>
        <w:jc w:val="both"/>
        <w:rPr>
          <w:rFonts w:ascii="Arial" w:hAnsi="Arial" w:cs="Arial"/>
          <w:sz w:val="20"/>
          <w:szCs w:val="20"/>
        </w:rPr>
      </w:pPr>
      <w:r w:rsidRPr="00096598">
        <w:rPr>
          <w:rFonts w:ascii="Arial" w:hAnsi="Arial" w:cs="Arial"/>
          <w:sz w:val="20"/>
          <w:szCs w:val="20"/>
        </w:rPr>
        <w:t xml:space="preserve">Prasad, R. N. and Mali, P. C. </w:t>
      </w:r>
      <w:r>
        <w:rPr>
          <w:rFonts w:ascii="Arial" w:hAnsi="Arial" w:cs="Arial"/>
          <w:sz w:val="20"/>
          <w:szCs w:val="20"/>
        </w:rPr>
        <w:t>(</w:t>
      </w:r>
      <w:r w:rsidRPr="00096598">
        <w:rPr>
          <w:rFonts w:ascii="Arial" w:hAnsi="Arial" w:cs="Arial"/>
          <w:sz w:val="20"/>
          <w:szCs w:val="20"/>
        </w:rPr>
        <w:t>2000</w:t>
      </w:r>
      <w:r>
        <w:rPr>
          <w:rFonts w:ascii="Arial" w:hAnsi="Arial" w:cs="Arial"/>
          <w:sz w:val="20"/>
          <w:szCs w:val="20"/>
        </w:rPr>
        <w:t>)</w:t>
      </w:r>
      <w:r w:rsidRPr="00096598">
        <w:rPr>
          <w:rFonts w:ascii="Arial" w:hAnsi="Arial" w:cs="Arial"/>
          <w:sz w:val="20"/>
          <w:szCs w:val="20"/>
        </w:rPr>
        <w:t xml:space="preserve">. Changes in physiochemical characteristics of pomegranate squash during storage. </w:t>
      </w:r>
      <w:r w:rsidRPr="00096598">
        <w:rPr>
          <w:rFonts w:ascii="Arial" w:hAnsi="Arial" w:cs="Arial"/>
          <w:i/>
          <w:iCs/>
          <w:sz w:val="20"/>
          <w:szCs w:val="20"/>
        </w:rPr>
        <w:t xml:space="preserve">Indian Journal of Horticulture. </w:t>
      </w:r>
      <w:r w:rsidRPr="00096598">
        <w:rPr>
          <w:rFonts w:ascii="Arial" w:hAnsi="Arial" w:cs="Arial"/>
          <w:b/>
          <w:bCs/>
          <w:sz w:val="20"/>
          <w:szCs w:val="20"/>
        </w:rPr>
        <w:t>57</w:t>
      </w:r>
      <w:r w:rsidRPr="00096598">
        <w:rPr>
          <w:rFonts w:ascii="Arial" w:hAnsi="Arial" w:cs="Arial"/>
          <w:sz w:val="20"/>
          <w:szCs w:val="20"/>
        </w:rPr>
        <w:t>(1):18-20.</w:t>
      </w:r>
    </w:p>
    <w:p w14:paraId="6FBFCB60" w14:textId="77777777" w:rsidR="00AE5D8F" w:rsidRPr="00096598" w:rsidRDefault="00AE5D8F" w:rsidP="00AE5D8F">
      <w:pPr>
        <w:spacing w:before="240"/>
        <w:ind w:left="1276" w:right="-143" w:hanging="1276"/>
        <w:jc w:val="both"/>
        <w:rPr>
          <w:rFonts w:ascii="Arial" w:hAnsi="Arial" w:cs="Arial"/>
          <w:sz w:val="20"/>
          <w:szCs w:val="20"/>
          <w:lang w:val="en-US"/>
        </w:rPr>
      </w:pPr>
      <w:r w:rsidRPr="00096598">
        <w:rPr>
          <w:rFonts w:ascii="Arial" w:hAnsi="Arial" w:cs="Arial"/>
          <w:sz w:val="20"/>
          <w:szCs w:val="20"/>
          <w:lang w:val="en-US"/>
        </w:rPr>
        <w:lastRenderedPageBreak/>
        <w:t xml:space="preserve">Punitha, V., Boyce, A. N. and Chandran, S. </w:t>
      </w:r>
      <w:r>
        <w:rPr>
          <w:rFonts w:ascii="Arial" w:hAnsi="Arial" w:cs="Arial"/>
          <w:sz w:val="20"/>
          <w:szCs w:val="20"/>
          <w:lang w:val="en-US"/>
        </w:rPr>
        <w:t>(</w:t>
      </w:r>
      <w:r w:rsidRPr="00096598">
        <w:rPr>
          <w:rFonts w:ascii="Arial" w:hAnsi="Arial" w:cs="Arial"/>
          <w:sz w:val="20"/>
          <w:szCs w:val="20"/>
          <w:lang w:val="en-US"/>
        </w:rPr>
        <w:t>2010</w:t>
      </w:r>
      <w:r>
        <w:rPr>
          <w:rFonts w:ascii="Arial" w:hAnsi="Arial" w:cs="Arial"/>
          <w:sz w:val="20"/>
          <w:szCs w:val="20"/>
          <w:lang w:val="en-US"/>
        </w:rPr>
        <w:t>)</w:t>
      </w:r>
      <w:r w:rsidRPr="00096598">
        <w:rPr>
          <w:rFonts w:ascii="Arial" w:hAnsi="Arial" w:cs="Arial"/>
          <w:sz w:val="20"/>
          <w:szCs w:val="20"/>
          <w:lang w:val="en-US"/>
        </w:rPr>
        <w:t xml:space="preserve">. Effect of storage temperatures on the physiological and biochemical properties of </w:t>
      </w:r>
      <w:r w:rsidRPr="00096598">
        <w:rPr>
          <w:rFonts w:ascii="Arial" w:hAnsi="Arial" w:cs="Arial"/>
          <w:i/>
          <w:iCs/>
          <w:sz w:val="20"/>
          <w:szCs w:val="20"/>
          <w:lang w:val="en-US"/>
        </w:rPr>
        <w:t>Hylocereus polyrhizus</w:t>
      </w:r>
      <w:r w:rsidRPr="00096598">
        <w:rPr>
          <w:rFonts w:ascii="Arial" w:hAnsi="Arial" w:cs="Arial"/>
          <w:sz w:val="20"/>
          <w:szCs w:val="20"/>
          <w:lang w:val="en-US"/>
        </w:rPr>
        <w:t xml:space="preserve">. </w:t>
      </w:r>
      <w:r w:rsidRPr="00096598">
        <w:rPr>
          <w:rFonts w:ascii="Arial" w:hAnsi="Arial" w:cs="Arial"/>
          <w:b/>
          <w:bCs/>
          <w:sz w:val="20"/>
          <w:szCs w:val="20"/>
          <w:lang w:val="en-US"/>
        </w:rPr>
        <w:t>In</w:t>
      </w:r>
      <w:r w:rsidRPr="00096598">
        <w:rPr>
          <w:rFonts w:ascii="Arial" w:hAnsi="Arial" w:cs="Arial"/>
          <w:sz w:val="20"/>
          <w:szCs w:val="20"/>
          <w:lang w:val="en-US"/>
        </w:rPr>
        <w:t xml:space="preserve">: Proceeding of Southeast Asia Symposium on Quality and Safety of Fresh and Fresh Cut Produce. </w:t>
      </w:r>
      <w:r w:rsidRPr="00096598">
        <w:rPr>
          <w:rFonts w:ascii="Arial" w:hAnsi="Arial" w:cs="Arial"/>
          <w:i/>
          <w:iCs/>
          <w:sz w:val="20"/>
          <w:szCs w:val="20"/>
          <w:lang w:val="en-US"/>
        </w:rPr>
        <w:t xml:space="preserve">Acta </w:t>
      </w:r>
      <w:proofErr w:type="spellStart"/>
      <w:r w:rsidRPr="00096598">
        <w:rPr>
          <w:rFonts w:ascii="Arial" w:hAnsi="Arial" w:cs="Arial"/>
          <w:i/>
          <w:iCs/>
          <w:sz w:val="20"/>
          <w:szCs w:val="20"/>
          <w:lang w:val="en-US"/>
        </w:rPr>
        <w:t>Horticulturae</w:t>
      </w:r>
      <w:proofErr w:type="spellEnd"/>
      <w:r w:rsidRPr="00096598">
        <w:rPr>
          <w:rFonts w:ascii="Arial" w:hAnsi="Arial" w:cs="Arial"/>
          <w:sz w:val="20"/>
          <w:szCs w:val="20"/>
          <w:lang w:val="en-US"/>
        </w:rPr>
        <w:t xml:space="preserve">. </w:t>
      </w:r>
      <w:r w:rsidRPr="00096598">
        <w:rPr>
          <w:rFonts w:ascii="Arial" w:hAnsi="Arial" w:cs="Arial"/>
          <w:b/>
          <w:bCs/>
          <w:sz w:val="20"/>
          <w:szCs w:val="20"/>
          <w:lang w:val="en-US"/>
        </w:rPr>
        <w:t>875.</w:t>
      </w:r>
    </w:p>
    <w:p w14:paraId="2BEA0588" w14:textId="77777777" w:rsidR="00AE5D8F" w:rsidRPr="00096598" w:rsidRDefault="00AE5D8F" w:rsidP="00AE5D8F">
      <w:pPr>
        <w:spacing w:before="240"/>
        <w:ind w:left="1276" w:right="-143" w:hanging="1276"/>
        <w:jc w:val="both"/>
        <w:rPr>
          <w:rFonts w:ascii="Arial" w:hAnsi="Arial" w:cs="Arial"/>
          <w:sz w:val="20"/>
          <w:szCs w:val="20"/>
        </w:rPr>
      </w:pPr>
      <w:r w:rsidRPr="00096598">
        <w:rPr>
          <w:rFonts w:ascii="Arial" w:hAnsi="Arial" w:cs="Arial"/>
          <w:sz w:val="20"/>
          <w:szCs w:val="20"/>
          <w:lang w:val="en-US"/>
        </w:rPr>
        <w:t xml:space="preserve">Rahman, M. M., Ahmad, M. R., Sarker, B. C. and Alam, M. K. </w:t>
      </w:r>
      <w:r>
        <w:rPr>
          <w:rFonts w:ascii="Arial" w:hAnsi="Arial" w:cs="Arial"/>
          <w:sz w:val="20"/>
          <w:szCs w:val="20"/>
          <w:lang w:val="en-US"/>
        </w:rPr>
        <w:t>(</w:t>
      </w:r>
      <w:r w:rsidRPr="00096598">
        <w:rPr>
          <w:rFonts w:ascii="Arial" w:hAnsi="Arial" w:cs="Arial"/>
          <w:sz w:val="20"/>
          <w:szCs w:val="20"/>
          <w:lang w:val="en-US"/>
        </w:rPr>
        <w:t>2014</w:t>
      </w:r>
      <w:r>
        <w:rPr>
          <w:rFonts w:ascii="Arial" w:hAnsi="Arial" w:cs="Arial"/>
          <w:sz w:val="20"/>
          <w:szCs w:val="20"/>
          <w:lang w:val="en-US"/>
        </w:rPr>
        <w:t>)</w:t>
      </w:r>
      <w:r w:rsidRPr="00096598">
        <w:rPr>
          <w:rFonts w:ascii="Arial" w:hAnsi="Arial" w:cs="Arial"/>
          <w:sz w:val="20"/>
          <w:szCs w:val="20"/>
          <w:lang w:val="en-US"/>
        </w:rPr>
        <w:t xml:space="preserve">. Maturity stages affect postharvest quality and shelf life of fruits of strawberry genotypes growing in subtropical regions. </w:t>
      </w:r>
      <w:r w:rsidRPr="00096598">
        <w:rPr>
          <w:rFonts w:ascii="Arial" w:hAnsi="Arial" w:cs="Arial"/>
          <w:i/>
          <w:iCs/>
          <w:sz w:val="20"/>
          <w:szCs w:val="20"/>
          <w:lang w:val="en-US"/>
        </w:rPr>
        <w:t>Journal of Saudi Society of Agricultural Sciences</w:t>
      </w:r>
      <w:r w:rsidRPr="00096598">
        <w:rPr>
          <w:rFonts w:ascii="Arial" w:hAnsi="Arial" w:cs="Arial"/>
          <w:sz w:val="20"/>
          <w:szCs w:val="20"/>
          <w:lang w:val="en-US"/>
        </w:rPr>
        <w:t xml:space="preserve">. </w:t>
      </w:r>
      <w:r w:rsidRPr="00096598">
        <w:rPr>
          <w:rFonts w:ascii="Arial" w:hAnsi="Arial" w:cs="Arial"/>
          <w:b/>
          <w:bCs/>
          <w:sz w:val="20"/>
          <w:szCs w:val="20"/>
          <w:lang w:val="en-US"/>
        </w:rPr>
        <w:t>15</w:t>
      </w:r>
      <w:r w:rsidRPr="00096598">
        <w:rPr>
          <w:rFonts w:ascii="Arial" w:hAnsi="Arial" w:cs="Arial"/>
          <w:sz w:val="20"/>
          <w:szCs w:val="20"/>
          <w:lang w:val="en-US"/>
        </w:rPr>
        <w:t>(1):28-37</w:t>
      </w:r>
    </w:p>
    <w:p w14:paraId="4BE2FC5C" w14:textId="77777777" w:rsidR="00AE5D8F" w:rsidRPr="00096598" w:rsidRDefault="00AE5D8F" w:rsidP="00AE5D8F">
      <w:pPr>
        <w:spacing w:before="240"/>
        <w:ind w:left="1276" w:right="-143" w:hanging="1276"/>
        <w:jc w:val="both"/>
        <w:rPr>
          <w:rFonts w:ascii="Arial" w:hAnsi="Arial" w:cs="Arial"/>
          <w:sz w:val="20"/>
          <w:szCs w:val="20"/>
        </w:rPr>
      </w:pPr>
      <w:r w:rsidRPr="00096598">
        <w:rPr>
          <w:rFonts w:ascii="Arial" w:hAnsi="Arial" w:cs="Arial" w:hint="eastAsia"/>
          <w:sz w:val="20"/>
          <w:szCs w:val="20"/>
        </w:rPr>
        <w:t xml:space="preserve">Razak, U. N. A. A., Taha, R. M., Musa, S. A. N. and Mohamed, N. </w:t>
      </w:r>
      <w:r>
        <w:rPr>
          <w:rFonts w:ascii="Arial" w:hAnsi="Arial" w:cs="Arial"/>
          <w:sz w:val="20"/>
          <w:szCs w:val="20"/>
        </w:rPr>
        <w:t>(</w:t>
      </w:r>
      <w:r w:rsidRPr="00096598">
        <w:rPr>
          <w:rFonts w:ascii="Arial" w:hAnsi="Arial" w:cs="Arial" w:hint="eastAsia"/>
          <w:sz w:val="20"/>
          <w:szCs w:val="20"/>
        </w:rPr>
        <w:t>2017</w:t>
      </w:r>
      <w:r>
        <w:rPr>
          <w:rFonts w:ascii="Arial" w:hAnsi="Arial" w:cs="Arial"/>
          <w:sz w:val="20"/>
          <w:szCs w:val="20"/>
        </w:rPr>
        <w:t>)</w:t>
      </w:r>
      <w:r w:rsidRPr="00096598">
        <w:rPr>
          <w:rFonts w:ascii="Arial" w:hAnsi="Arial" w:cs="Arial" w:hint="eastAsia"/>
          <w:sz w:val="20"/>
          <w:szCs w:val="20"/>
        </w:rPr>
        <w:t xml:space="preserve">. Detection of betacyanin pigment stability from </w:t>
      </w:r>
      <w:r w:rsidRPr="00096598">
        <w:rPr>
          <w:rFonts w:ascii="Arial" w:hAnsi="Arial" w:cs="Arial"/>
          <w:i/>
          <w:iCs/>
          <w:sz w:val="20"/>
          <w:szCs w:val="20"/>
        </w:rPr>
        <w:t xml:space="preserve">Hylocereus polyrhizus </w:t>
      </w:r>
      <w:r w:rsidRPr="00096598">
        <w:rPr>
          <w:rFonts w:ascii="Arial" w:hAnsi="Arial" w:cs="Arial" w:hint="eastAsia"/>
          <w:sz w:val="20"/>
          <w:szCs w:val="20"/>
        </w:rPr>
        <w:t xml:space="preserve">(Weber) Britton &amp; Rose pulp and peel for possible use as natural coating. </w:t>
      </w:r>
      <w:r w:rsidRPr="00096598">
        <w:rPr>
          <w:rFonts w:ascii="Arial" w:hAnsi="Arial" w:cs="Arial"/>
          <w:i/>
          <w:iCs/>
          <w:sz w:val="20"/>
          <w:szCs w:val="20"/>
        </w:rPr>
        <w:t>Pigment &amp; Resin Technology</w:t>
      </w:r>
      <w:r w:rsidRPr="00096598">
        <w:rPr>
          <w:rFonts w:ascii="Arial" w:hAnsi="Arial" w:cs="Arial" w:hint="eastAsia"/>
          <w:sz w:val="20"/>
          <w:szCs w:val="20"/>
        </w:rPr>
        <w:t xml:space="preserve">. </w:t>
      </w:r>
      <w:r w:rsidRPr="00096598">
        <w:rPr>
          <w:rFonts w:ascii="Arial" w:hAnsi="Arial" w:cs="Arial"/>
          <w:b/>
          <w:bCs/>
          <w:sz w:val="20"/>
          <w:szCs w:val="20"/>
        </w:rPr>
        <w:t>16</w:t>
      </w:r>
      <w:r w:rsidRPr="00096598">
        <w:rPr>
          <w:rFonts w:ascii="Arial" w:hAnsi="Arial" w:cs="Arial" w:hint="eastAsia"/>
          <w:sz w:val="20"/>
          <w:szCs w:val="20"/>
        </w:rPr>
        <w:t xml:space="preserve">(4). </w:t>
      </w:r>
    </w:p>
    <w:p w14:paraId="5DF839F9" w14:textId="77777777" w:rsidR="00AE5D8F" w:rsidRPr="00096598" w:rsidRDefault="00AE5D8F" w:rsidP="00AE5D8F">
      <w:pPr>
        <w:spacing w:before="240"/>
        <w:ind w:left="1276" w:right="-143" w:hanging="1276"/>
        <w:jc w:val="both"/>
        <w:rPr>
          <w:rFonts w:ascii="Arial" w:hAnsi="Arial" w:cs="Arial"/>
          <w:sz w:val="20"/>
          <w:szCs w:val="20"/>
          <w:lang w:val="en-US"/>
        </w:rPr>
      </w:pPr>
      <w:r w:rsidRPr="00096598">
        <w:rPr>
          <w:rFonts w:ascii="Arial" w:hAnsi="Arial" w:cs="Arial"/>
          <w:sz w:val="20"/>
          <w:szCs w:val="20"/>
          <w:lang w:val="en-US"/>
        </w:rPr>
        <w:t xml:space="preserve">Rekha, C., Poornima, G., Manasa, M., Abhipsa, V., Devi, J. P., Kumar, H. T. V. and </w:t>
      </w:r>
      <w:proofErr w:type="spellStart"/>
      <w:r w:rsidRPr="00096598">
        <w:rPr>
          <w:rFonts w:ascii="Arial" w:hAnsi="Arial" w:cs="Arial"/>
          <w:sz w:val="20"/>
          <w:szCs w:val="20"/>
          <w:lang w:val="en-US"/>
        </w:rPr>
        <w:t>Kekuda</w:t>
      </w:r>
      <w:proofErr w:type="spellEnd"/>
      <w:r w:rsidRPr="00096598">
        <w:rPr>
          <w:rFonts w:ascii="Arial" w:hAnsi="Arial" w:cs="Arial"/>
          <w:sz w:val="20"/>
          <w:szCs w:val="20"/>
          <w:lang w:val="en-US"/>
        </w:rPr>
        <w:t xml:space="preserve">, T. R. P. </w:t>
      </w:r>
      <w:r>
        <w:rPr>
          <w:rFonts w:ascii="Arial" w:hAnsi="Arial" w:cs="Arial"/>
          <w:sz w:val="20"/>
          <w:szCs w:val="20"/>
          <w:lang w:val="en-US"/>
        </w:rPr>
        <w:t>(</w:t>
      </w:r>
      <w:r w:rsidRPr="00096598">
        <w:rPr>
          <w:rFonts w:ascii="Arial" w:hAnsi="Arial" w:cs="Arial"/>
          <w:sz w:val="20"/>
          <w:szCs w:val="20"/>
          <w:lang w:val="en-US"/>
        </w:rPr>
        <w:t>2012</w:t>
      </w:r>
      <w:r>
        <w:rPr>
          <w:rFonts w:ascii="Arial" w:hAnsi="Arial" w:cs="Arial"/>
          <w:sz w:val="20"/>
          <w:szCs w:val="20"/>
          <w:lang w:val="en-US"/>
        </w:rPr>
        <w:t>)</w:t>
      </w:r>
      <w:r w:rsidRPr="00096598">
        <w:rPr>
          <w:rFonts w:ascii="Arial" w:hAnsi="Arial" w:cs="Arial"/>
          <w:sz w:val="20"/>
          <w:szCs w:val="20"/>
          <w:lang w:val="en-US"/>
        </w:rPr>
        <w:t xml:space="preserve">. Ascorbic acid, total phenol content and antioxidant activity of fresh juices of four ripe and unripe citrus fruits. </w:t>
      </w:r>
      <w:r w:rsidRPr="00096598">
        <w:rPr>
          <w:rFonts w:ascii="Arial" w:hAnsi="Arial" w:cs="Arial"/>
          <w:i/>
          <w:iCs/>
          <w:sz w:val="20"/>
          <w:szCs w:val="20"/>
          <w:lang w:val="en-US"/>
        </w:rPr>
        <w:t>Chemical Science Transactions.</w:t>
      </w:r>
      <w:r w:rsidRPr="00096598">
        <w:rPr>
          <w:rFonts w:ascii="Arial" w:hAnsi="Arial" w:cs="Arial"/>
          <w:sz w:val="20"/>
          <w:szCs w:val="20"/>
          <w:lang w:val="en-US"/>
        </w:rPr>
        <w:t xml:space="preserve"> </w:t>
      </w:r>
      <w:r w:rsidRPr="00096598">
        <w:rPr>
          <w:rFonts w:ascii="Arial" w:hAnsi="Arial" w:cs="Arial"/>
          <w:b/>
          <w:bCs/>
          <w:sz w:val="20"/>
          <w:szCs w:val="20"/>
          <w:lang w:val="en-US"/>
        </w:rPr>
        <w:t>1</w:t>
      </w:r>
      <w:r w:rsidRPr="00096598">
        <w:rPr>
          <w:rFonts w:ascii="Arial" w:hAnsi="Arial" w:cs="Arial"/>
          <w:sz w:val="20"/>
          <w:szCs w:val="20"/>
          <w:lang w:val="en-US"/>
        </w:rPr>
        <w:t xml:space="preserve">(2):303-310. </w:t>
      </w:r>
    </w:p>
    <w:p w14:paraId="16D4FC85" w14:textId="77777777" w:rsidR="00AE5D8F" w:rsidRPr="00096598" w:rsidRDefault="00AE5D8F" w:rsidP="00AE5D8F">
      <w:pPr>
        <w:spacing w:before="240"/>
        <w:ind w:left="1276" w:right="-143" w:hanging="1276"/>
        <w:jc w:val="both"/>
        <w:rPr>
          <w:rFonts w:ascii="Arial" w:hAnsi="Arial" w:cs="Arial"/>
          <w:sz w:val="20"/>
          <w:szCs w:val="20"/>
        </w:rPr>
      </w:pPr>
      <w:r w:rsidRPr="00096598">
        <w:rPr>
          <w:rFonts w:ascii="Arial" w:hAnsi="Arial" w:cs="Arial" w:hint="eastAsia"/>
          <w:sz w:val="20"/>
          <w:szCs w:val="20"/>
        </w:rPr>
        <w:t xml:space="preserve">Singh, A. Swami, S., Panwar, N. R. Kumar, M., Shukla, A. K., </w:t>
      </w:r>
      <w:proofErr w:type="spellStart"/>
      <w:r w:rsidRPr="00096598">
        <w:rPr>
          <w:rFonts w:ascii="Arial" w:hAnsi="Arial" w:cs="Arial" w:hint="eastAsia"/>
          <w:sz w:val="20"/>
          <w:szCs w:val="20"/>
        </w:rPr>
        <w:t>Rouphael</w:t>
      </w:r>
      <w:proofErr w:type="spellEnd"/>
      <w:r w:rsidRPr="00096598">
        <w:rPr>
          <w:rFonts w:ascii="Arial" w:hAnsi="Arial" w:cs="Arial" w:hint="eastAsia"/>
          <w:sz w:val="20"/>
          <w:szCs w:val="20"/>
        </w:rPr>
        <w:t xml:space="preserve">, Y., Sabatino, L. and Kumar P. </w:t>
      </w:r>
      <w:r>
        <w:rPr>
          <w:rFonts w:ascii="Arial" w:hAnsi="Arial" w:cs="Arial"/>
          <w:sz w:val="20"/>
          <w:szCs w:val="20"/>
        </w:rPr>
        <w:t>(</w:t>
      </w:r>
      <w:r w:rsidRPr="00096598">
        <w:rPr>
          <w:rFonts w:ascii="Arial" w:hAnsi="Arial" w:cs="Arial" w:hint="eastAsia"/>
          <w:sz w:val="20"/>
          <w:szCs w:val="20"/>
        </w:rPr>
        <w:t>2022</w:t>
      </w:r>
      <w:r>
        <w:rPr>
          <w:rFonts w:ascii="Arial" w:hAnsi="Arial" w:cs="Arial"/>
          <w:sz w:val="20"/>
          <w:szCs w:val="20"/>
        </w:rPr>
        <w:t>)</w:t>
      </w:r>
      <w:r w:rsidRPr="00096598">
        <w:rPr>
          <w:rFonts w:ascii="Arial" w:hAnsi="Arial" w:cs="Arial" w:hint="eastAsia"/>
          <w:sz w:val="20"/>
          <w:szCs w:val="20"/>
        </w:rPr>
        <w:t xml:space="preserve">. Development changes in the physiochemical composition and mineral profile of Red-fleshed Dragon fruit grown under semi-arid conditions. </w:t>
      </w:r>
      <w:r w:rsidRPr="00096598">
        <w:rPr>
          <w:rFonts w:ascii="Arial" w:hAnsi="Arial" w:cs="Arial"/>
          <w:i/>
          <w:iCs/>
          <w:sz w:val="20"/>
          <w:szCs w:val="20"/>
        </w:rPr>
        <w:t>Agronomy</w:t>
      </w:r>
      <w:r w:rsidRPr="00096598">
        <w:rPr>
          <w:rFonts w:ascii="Arial" w:hAnsi="Arial" w:cs="Arial" w:hint="eastAsia"/>
          <w:sz w:val="20"/>
          <w:szCs w:val="20"/>
        </w:rPr>
        <w:t xml:space="preserve">. </w:t>
      </w:r>
      <w:r w:rsidRPr="00096598">
        <w:rPr>
          <w:rFonts w:ascii="Arial" w:hAnsi="Arial" w:cs="Arial"/>
          <w:b/>
          <w:bCs/>
          <w:sz w:val="20"/>
          <w:szCs w:val="20"/>
        </w:rPr>
        <w:t>12</w:t>
      </w:r>
      <w:r w:rsidRPr="00096598">
        <w:rPr>
          <w:rFonts w:ascii="Arial" w:hAnsi="Arial" w:cs="Arial" w:hint="eastAsia"/>
          <w:sz w:val="20"/>
          <w:szCs w:val="20"/>
        </w:rPr>
        <w:t xml:space="preserve">:355. </w:t>
      </w:r>
    </w:p>
    <w:p w14:paraId="03E845D9" w14:textId="77777777" w:rsidR="00AE5D8F" w:rsidRPr="00AE5D8F" w:rsidRDefault="00AE5D8F" w:rsidP="00AE5D8F">
      <w:pPr>
        <w:spacing w:before="240"/>
        <w:ind w:left="1276" w:right="-143" w:hanging="1276"/>
        <w:jc w:val="both"/>
        <w:rPr>
          <w:rFonts w:ascii="Arial" w:hAnsi="Arial" w:cs="Arial"/>
          <w:sz w:val="20"/>
          <w:szCs w:val="20"/>
          <w:lang w:val="en-US"/>
        </w:rPr>
      </w:pPr>
      <w:r w:rsidRPr="00AE5D8F">
        <w:rPr>
          <w:rFonts w:ascii="Arial" w:hAnsi="Arial" w:cs="Arial"/>
          <w:sz w:val="20"/>
          <w:szCs w:val="20"/>
          <w:lang w:val="en-US"/>
        </w:rPr>
        <w:t xml:space="preserve">Singh, </w:t>
      </w:r>
      <w:proofErr w:type="spellStart"/>
      <w:r w:rsidRPr="00AE5D8F">
        <w:rPr>
          <w:rFonts w:ascii="Arial" w:hAnsi="Arial" w:cs="Arial"/>
          <w:sz w:val="20"/>
          <w:szCs w:val="20"/>
          <w:lang w:val="en-US"/>
        </w:rPr>
        <w:t>Sanampreet</w:t>
      </w:r>
      <w:proofErr w:type="spellEnd"/>
      <w:r w:rsidRPr="00AE5D8F">
        <w:rPr>
          <w:rFonts w:ascii="Arial" w:hAnsi="Arial" w:cs="Arial"/>
          <w:sz w:val="20"/>
          <w:szCs w:val="20"/>
          <w:lang w:val="en-US"/>
        </w:rPr>
        <w:t xml:space="preserve"> &amp; Kumar, Sandeep. (2023). A Review on Nutritional, Medicinal and Bio-active Compound of Dragon Fruit Hylocereus polyrhizus (F.A.C. Weber) Britton &amp; Rose. International Journal of Biochemistry Research &amp; Review. 32. 57-67. </w:t>
      </w:r>
    </w:p>
    <w:p w14:paraId="00CC4CE9" w14:textId="77777777" w:rsidR="00AE5D8F" w:rsidRPr="00096598" w:rsidRDefault="00AE5D8F" w:rsidP="00AE5D8F">
      <w:pPr>
        <w:spacing w:before="240"/>
        <w:ind w:left="1276" w:right="-143" w:hanging="1276"/>
        <w:jc w:val="both"/>
        <w:rPr>
          <w:rFonts w:ascii="Arial" w:hAnsi="Arial" w:cs="Arial"/>
          <w:sz w:val="20"/>
          <w:szCs w:val="20"/>
        </w:rPr>
      </w:pPr>
      <w:r w:rsidRPr="00096598">
        <w:rPr>
          <w:rFonts w:ascii="Arial" w:hAnsi="Arial" w:cs="Arial" w:hint="eastAsia"/>
          <w:sz w:val="20"/>
          <w:szCs w:val="20"/>
        </w:rPr>
        <w:t xml:space="preserve">Singleton, L., </w:t>
      </w:r>
      <w:proofErr w:type="spellStart"/>
      <w:r w:rsidRPr="00096598">
        <w:rPr>
          <w:rFonts w:ascii="Arial" w:hAnsi="Arial" w:cs="Arial" w:hint="eastAsia"/>
          <w:sz w:val="20"/>
          <w:szCs w:val="20"/>
        </w:rPr>
        <w:t>Orthofer</w:t>
      </w:r>
      <w:proofErr w:type="spellEnd"/>
      <w:r w:rsidRPr="00096598">
        <w:rPr>
          <w:rFonts w:ascii="Arial" w:hAnsi="Arial" w:cs="Arial" w:hint="eastAsia"/>
          <w:sz w:val="20"/>
          <w:szCs w:val="20"/>
        </w:rPr>
        <w:t xml:space="preserve">, R. and </w:t>
      </w:r>
      <w:proofErr w:type="spellStart"/>
      <w:r w:rsidRPr="00096598">
        <w:rPr>
          <w:rFonts w:ascii="Arial" w:hAnsi="Arial" w:cs="Arial" w:hint="eastAsia"/>
          <w:sz w:val="20"/>
          <w:szCs w:val="20"/>
        </w:rPr>
        <w:t>Lanuela-Raventos</w:t>
      </w:r>
      <w:proofErr w:type="spellEnd"/>
      <w:r w:rsidRPr="00096598">
        <w:rPr>
          <w:rFonts w:ascii="Arial" w:hAnsi="Arial" w:cs="Arial" w:hint="eastAsia"/>
          <w:sz w:val="20"/>
          <w:szCs w:val="20"/>
        </w:rPr>
        <w:t xml:space="preserve">, M. </w:t>
      </w:r>
      <w:r>
        <w:rPr>
          <w:rFonts w:ascii="Arial" w:hAnsi="Arial" w:cs="Arial"/>
          <w:sz w:val="20"/>
          <w:szCs w:val="20"/>
        </w:rPr>
        <w:t>(</w:t>
      </w:r>
      <w:r w:rsidRPr="00096598">
        <w:rPr>
          <w:rFonts w:ascii="Arial" w:hAnsi="Arial" w:cs="Arial" w:hint="eastAsia"/>
          <w:sz w:val="20"/>
          <w:szCs w:val="20"/>
        </w:rPr>
        <w:t>1999</w:t>
      </w:r>
      <w:r>
        <w:rPr>
          <w:rFonts w:ascii="Arial" w:hAnsi="Arial" w:cs="Arial"/>
          <w:sz w:val="20"/>
          <w:szCs w:val="20"/>
        </w:rPr>
        <w:t>)</w:t>
      </w:r>
      <w:r w:rsidRPr="00096598">
        <w:rPr>
          <w:rFonts w:ascii="Arial" w:hAnsi="Arial" w:cs="Arial" w:hint="eastAsia"/>
          <w:sz w:val="20"/>
          <w:szCs w:val="20"/>
        </w:rPr>
        <w:t xml:space="preserve">. Analysis of total phenols and other oxidation substrates and antioxidants by means of </w:t>
      </w:r>
      <w:proofErr w:type="spellStart"/>
      <w:r w:rsidRPr="00096598">
        <w:rPr>
          <w:rFonts w:ascii="Arial" w:hAnsi="Arial" w:cs="Arial" w:hint="eastAsia"/>
          <w:sz w:val="20"/>
          <w:szCs w:val="20"/>
        </w:rPr>
        <w:t>Folin</w:t>
      </w:r>
      <w:proofErr w:type="spellEnd"/>
      <w:r w:rsidRPr="00096598">
        <w:rPr>
          <w:rFonts w:ascii="Arial" w:hAnsi="Arial" w:cs="Arial" w:hint="eastAsia"/>
          <w:sz w:val="20"/>
          <w:szCs w:val="20"/>
        </w:rPr>
        <w:t xml:space="preserve">- </w:t>
      </w:r>
      <w:proofErr w:type="spellStart"/>
      <w:r w:rsidRPr="00096598">
        <w:rPr>
          <w:rFonts w:ascii="Arial" w:hAnsi="Arial" w:cs="Arial" w:hint="eastAsia"/>
          <w:sz w:val="20"/>
          <w:szCs w:val="20"/>
        </w:rPr>
        <w:t>ciocalteau</w:t>
      </w:r>
      <w:proofErr w:type="spellEnd"/>
      <w:r w:rsidRPr="00096598">
        <w:rPr>
          <w:rFonts w:ascii="Arial" w:hAnsi="Arial" w:cs="Arial" w:hint="eastAsia"/>
          <w:sz w:val="20"/>
          <w:szCs w:val="20"/>
        </w:rPr>
        <w:t xml:space="preserve"> reagent. </w:t>
      </w:r>
      <w:r w:rsidRPr="00096598">
        <w:rPr>
          <w:rFonts w:ascii="Arial" w:hAnsi="Arial" w:cs="Arial"/>
          <w:i/>
          <w:iCs/>
          <w:sz w:val="20"/>
          <w:szCs w:val="20"/>
        </w:rPr>
        <w:t>Oxidants and Antioxidants Part A</w:t>
      </w:r>
      <w:r w:rsidRPr="00096598">
        <w:rPr>
          <w:rFonts w:ascii="Arial" w:hAnsi="Arial" w:cs="Arial" w:hint="eastAsia"/>
          <w:sz w:val="20"/>
          <w:szCs w:val="20"/>
        </w:rPr>
        <w:t xml:space="preserve">. </w:t>
      </w:r>
      <w:r w:rsidRPr="00096598">
        <w:rPr>
          <w:rFonts w:ascii="Arial" w:hAnsi="Arial" w:cs="Arial"/>
          <w:b/>
          <w:bCs/>
          <w:sz w:val="20"/>
          <w:szCs w:val="20"/>
        </w:rPr>
        <w:t>299</w:t>
      </w:r>
      <w:r w:rsidRPr="00096598">
        <w:rPr>
          <w:rFonts w:ascii="Arial" w:hAnsi="Arial" w:cs="Arial" w:hint="eastAsia"/>
          <w:sz w:val="20"/>
          <w:szCs w:val="20"/>
        </w:rPr>
        <w:t xml:space="preserve">:152-178. </w:t>
      </w:r>
    </w:p>
    <w:p w14:paraId="38AF272A" w14:textId="77777777" w:rsidR="00AE5D8F" w:rsidRPr="00096598" w:rsidRDefault="00AE5D8F" w:rsidP="00AE5D8F">
      <w:pPr>
        <w:spacing w:before="240"/>
        <w:ind w:left="1276" w:right="-143" w:hanging="1276"/>
        <w:jc w:val="both"/>
        <w:rPr>
          <w:rFonts w:ascii="Arial" w:hAnsi="Arial" w:cs="Arial"/>
          <w:sz w:val="20"/>
          <w:szCs w:val="20"/>
          <w:lang w:val="en-US"/>
        </w:rPr>
      </w:pPr>
      <w:r w:rsidRPr="00096598">
        <w:rPr>
          <w:rFonts w:ascii="Arial" w:hAnsi="Arial" w:cs="Arial"/>
          <w:sz w:val="20"/>
          <w:szCs w:val="20"/>
          <w:lang w:val="en-US"/>
        </w:rPr>
        <w:t xml:space="preserve">Trong, L. V., Thuy, L. T., Chinh, H. V. and Thinh, B. B. </w:t>
      </w:r>
      <w:r>
        <w:rPr>
          <w:rFonts w:ascii="Arial" w:hAnsi="Arial" w:cs="Arial"/>
          <w:sz w:val="20"/>
          <w:szCs w:val="20"/>
          <w:lang w:val="en-US"/>
        </w:rPr>
        <w:t>(</w:t>
      </w:r>
      <w:r w:rsidRPr="00096598">
        <w:rPr>
          <w:rFonts w:ascii="Arial" w:hAnsi="Arial" w:cs="Arial"/>
          <w:sz w:val="20"/>
          <w:szCs w:val="20"/>
          <w:lang w:val="en-US"/>
        </w:rPr>
        <w:t>2022</w:t>
      </w:r>
      <w:r>
        <w:rPr>
          <w:rFonts w:ascii="Arial" w:hAnsi="Arial" w:cs="Arial"/>
          <w:sz w:val="20"/>
          <w:szCs w:val="20"/>
          <w:lang w:val="en-US"/>
        </w:rPr>
        <w:t>)</w:t>
      </w:r>
      <w:r w:rsidRPr="00096598">
        <w:rPr>
          <w:rFonts w:ascii="Arial" w:hAnsi="Arial" w:cs="Arial"/>
          <w:sz w:val="20"/>
          <w:szCs w:val="20"/>
          <w:lang w:val="en-US"/>
        </w:rPr>
        <w:t>. Physiological and biochemical changes of red-fleshed Dragon fruit (</w:t>
      </w:r>
      <w:r w:rsidRPr="00096598">
        <w:rPr>
          <w:rFonts w:ascii="Arial" w:hAnsi="Arial" w:cs="Arial"/>
          <w:i/>
          <w:iCs/>
          <w:sz w:val="20"/>
          <w:szCs w:val="20"/>
          <w:lang w:val="en-US"/>
        </w:rPr>
        <w:t>Hylocereus polyrhizus</w:t>
      </w:r>
      <w:r w:rsidRPr="00096598">
        <w:rPr>
          <w:rFonts w:ascii="Arial" w:hAnsi="Arial" w:cs="Arial"/>
          <w:sz w:val="20"/>
          <w:szCs w:val="20"/>
          <w:lang w:val="en-US"/>
        </w:rPr>
        <w:t xml:space="preserve">) during development and maturation. </w:t>
      </w:r>
      <w:r w:rsidRPr="00096598">
        <w:rPr>
          <w:rFonts w:ascii="Arial" w:hAnsi="Arial" w:cs="Arial"/>
          <w:i/>
          <w:iCs/>
          <w:sz w:val="20"/>
          <w:szCs w:val="20"/>
          <w:lang w:val="en-US"/>
        </w:rPr>
        <w:t>Journal of Food and Nutrition Research</w:t>
      </w:r>
      <w:r w:rsidRPr="00096598">
        <w:rPr>
          <w:rFonts w:ascii="Arial" w:hAnsi="Arial" w:cs="Arial"/>
          <w:sz w:val="20"/>
          <w:szCs w:val="20"/>
          <w:lang w:val="en-US"/>
        </w:rPr>
        <w:t xml:space="preserve">. </w:t>
      </w:r>
      <w:r w:rsidRPr="00096598">
        <w:rPr>
          <w:rFonts w:ascii="Arial" w:hAnsi="Arial" w:cs="Arial"/>
          <w:b/>
          <w:bCs/>
          <w:sz w:val="20"/>
          <w:szCs w:val="20"/>
          <w:lang w:val="en-US"/>
        </w:rPr>
        <w:t>61</w:t>
      </w:r>
      <w:r w:rsidRPr="00096598">
        <w:rPr>
          <w:rFonts w:ascii="Arial" w:hAnsi="Arial" w:cs="Arial"/>
          <w:sz w:val="20"/>
          <w:szCs w:val="20"/>
          <w:lang w:val="en-US"/>
        </w:rPr>
        <w:t>(2):139-145.</w:t>
      </w:r>
    </w:p>
    <w:p w14:paraId="327E49A8" w14:textId="77777777" w:rsidR="00AE5D8F" w:rsidRPr="00096598" w:rsidRDefault="00AE5D8F" w:rsidP="00AE5D8F">
      <w:pPr>
        <w:spacing w:before="240"/>
        <w:ind w:left="1276" w:right="-143" w:hanging="1276"/>
        <w:jc w:val="both"/>
        <w:rPr>
          <w:rFonts w:ascii="Arial" w:hAnsi="Arial" w:cs="Arial"/>
          <w:sz w:val="20"/>
          <w:szCs w:val="20"/>
        </w:rPr>
      </w:pPr>
      <w:r w:rsidRPr="00096598">
        <w:rPr>
          <w:rFonts w:ascii="Arial" w:hAnsi="Arial" w:cs="Arial" w:hint="eastAsia"/>
          <w:sz w:val="20"/>
          <w:szCs w:val="20"/>
        </w:rPr>
        <w:t xml:space="preserve">Van To, L., Ngu, N., Duc, N. D. and Huong, H. T. T. </w:t>
      </w:r>
      <w:r>
        <w:rPr>
          <w:rFonts w:ascii="Arial" w:hAnsi="Arial" w:cs="Arial"/>
          <w:sz w:val="20"/>
          <w:szCs w:val="20"/>
        </w:rPr>
        <w:t>(</w:t>
      </w:r>
      <w:r w:rsidRPr="00096598">
        <w:rPr>
          <w:rFonts w:ascii="Arial" w:hAnsi="Arial" w:cs="Arial" w:hint="eastAsia"/>
          <w:sz w:val="20"/>
          <w:szCs w:val="20"/>
        </w:rPr>
        <w:t>2002</w:t>
      </w:r>
      <w:r>
        <w:rPr>
          <w:rFonts w:ascii="Arial" w:hAnsi="Arial" w:cs="Arial"/>
          <w:sz w:val="20"/>
          <w:szCs w:val="20"/>
        </w:rPr>
        <w:t>)</w:t>
      </w:r>
      <w:r w:rsidRPr="00096598">
        <w:rPr>
          <w:rFonts w:ascii="Arial" w:hAnsi="Arial" w:cs="Arial" w:hint="eastAsia"/>
          <w:sz w:val="20"/>
          <w:szCs w:val="20"/>
        </w:rPr>
        <w:t xml:space="preserve">. Dragon fruit quality and storage life: Effect of harvesting time, use of plant growth regulators and modified atmosphere packaging. </w:t>
      </w:r>
      <w:r w:rsidRPr="00096598">
        <w:rPr>
          <w:rFonts w:ascii="Arial" w:hAnsi="Arial" w:cs="Arial"/>
          <w:i/>
          <w:iCs/>
          <w:sz w:val="20"/>
          <w:szCs w:val="20"/>
        </w:rPr>
        <w:t xml:space="preserve">Acta </w:t>
      </w:r>
      <w:proofErr w:type="spellStart"/>
      <w:r w:rsidRPr="00096598">
        <w:rPr>
          <w:rFonts w:ascii="Arial" w:hAnsi="Arial" w:cs="Arial"/>
          <w:i/>
          <w:iCs/>
          <w:sz w:val="20"/>
          <w:szCs w:val="20"/>
        </w:rPr>
        <w:t>Horticulturae</w:t>
      </w:r>
      <w:proofErr w:type="spellEnd"/>
      <w:r w:rsidRPr="00096598">
        <w:rPr>
          <w:rFonts w:ascii="Arial" w:hAnsi="Arial" w:cs="Arial"/>
          <w:i/>
          <w:iCs/>
          <w:sz w:val="20"/>
          <w:szCs w:val="20"/>
        </w:rPr>
        <w:t xml:space="preserve">. </w:t>
      </w:r>
      <w:r w:rsidRPr="00096598">
        <w:rPr>
          <w:rFonts w:ascii="Arial" w:hAnsi="Arial" w:cs="Arial"/>
          <w:b/>
          <w:bCs/>
          <w:sz w:val="20"/>
          <w:szCs w:val="20"/>
        </w:rPr>
        <w:t>575</w:t>
      </w:r>
      <w:r w:rsidRPr="00096598">
        <w:rPr>
          <w:rFonts w:ascii="Arial" w:hAnsi="Arial" w:cs="Arial" w:hint="eastAsia"/>
          <w:sz w:val="20"/>
          <w:szCs w:val="20"/>
        </w:rPr>
        <w:t xml:space="preserve">: 611-621. </w:t>
      </w:r>
    </w:p>
    <w:p w14:paraId="31DC7757" w14:textId="77777777" w:rsidR="00AE5D8F" w:rsidRPr="00096598" w:rsidRDefault="00AE5D8F" w:rsidP="00AE5D8F">
      <w:pPr>
        <w:spacing w:before="240"/>
        <w:ind w:left="1276" w:right="-143" w:hanging="1276"/>
        <w:jc w:val="both"/>
        <w:rPr>
          <w:rFonts w:ascii="Arial" w:hAnsi="Arial" w:cs="Arial"/>
          <w:sz w:val="20"/>
          <w:szCs w:val="20"/>
        </w:rPr>
      </w:pPr>
      <w:r w:rsidRPr="00096598">
        <w:rPr>
          <w:rFonts w:ascii="Arial" w:hAnsi="Arial" w:cs="Arial" w:hint="eastAsia"/>
          <w:sz w:val="20"/>
          <w:szCs w:val="20"/>
        </w:rPr>
        <w:t xml:space="preserve">Van To, L., Ngu, N., Duc, N. D., Trinh, D. T. K., Thanh, N. C., Mien, D. V. H., Hai, C. N. and Long, T. N. </w:t>
      </w:r>
      <w:r>
        <w:rPr>
          <w:rFonts w:ascii="Arial" w:hAnsi="Arial" w:cs="Arial"/>
          <w:sz w:val="20"/>
          <w:szCs w:val="20"/>
        </w:rPr>
        <w:t>(</w:t>
      </w:r>
      <w:r w:rsidRPr="00096598">
        <w:rPr>
          <w:rFonts w:ascii="Arial" w:hAnsi="Arial" w:cs="Arial" w:hint="eastAsia"/>
          <w:sz w:val="20"/>
          <w:szCs w:val="20"/>
        </w:rPr>
        <w:t>2000</w:t>
      </w:r>
      <w:r>
        <w:rPr>
          <w:rFonts w:ascii="Arial" w:hAnsi="Arial" w:cs="Arial"/>
          <w:sz w:val="20"/>
          <w:szCs w:val="20"/>
        </w:rPr>
        <w:t>)</w:t>
      </w:r>
      <w:r w:rsidRPr="00096598">
        <w:rPr>
          <w:rFonts w:ascii="Arial" w:hAnsi="Arial" w:cs="Arial" w:hint="eastAsia"/>
          <w:sz w:val="20"/>
          <w:szCs w:val="20"/>
        </w:rPr>
        <w:t xml:space="preserve">. Quality assurance system for Dragon fruit. </w:t>
      </w:r>
      <w:r w:rsidRPr="00096598">
        <w:rPr>
          <w:rFonts w:ascii="Arial" w:hAnsi="Arial" w:cs="Arial"/>
          <w:i/>
          <w:iCs/>
          <w:sz w:val="20"/>
          <w:szCs w:val="20"/>
        </w:rPr>
        <w:t>ACIAR Proceedings No 100. Quality Assurance in Agricultural Produce</w:t>
      </w:r>
      <w:r w:rsidRPr="00096598">
        <w:rPr>
          <w:rFonts w:ascii="Arial" w:hAnsi="Arial" w:cs="Arial" w:hint="eastAsia"/>
          <w:sz w:val="20"/>
          <w:szCs w:val="20"/>
        </w:rPr>
        <w:t xml:space="preserve">. 101. </w:t>
      </w:r>
    </w:p>
    <w:p w14:paraId="71DB1F1E" w14:textId="77777777" w:rsidR="00AE5D8F" w:rsidRPr="00096598" w:rsidRDefault="00AE5D8F" w:rsidP="00AE5D8F">
      <w:pPr>
        <w:spacing w:before="240"/>
        <w:ind w:left="1276" w:right="-143" w:hanging="1276"/>
        <w:jc w:val="both"/>
        <w:rPr>
          <w:rFonts w:ascii="Arial" w:hAnsi="Arial" w:cs="Arial"/>
          <w:sz w:val="20"/>
          <w:szCs w:val="20"/>
          <w:lang w:val="en-US"/>
        </w:rPr>
      </w:pPr>
      <w:proofErr w:type="spellStart"/>
      <w:r w:rsidRPr="00096598">
        <w:rPr>
          <w:rFonts w:ascii="Arial" w:hAnsi="Arial" w:cs="Arial"/>
          <w:sz w:val="20"/>
          <w:szCs w:val="20"/>
        </w:rPr>
        <w:t>Vithana</w:t>
      </w:r>
      <w:proofErr w:type="spellEnd"/>
      <w:r w:rsidRPr="00096598">
        <w:rPr>
          <w:rFonts w:ascii="Arial" w:hAnsi="Arial" w:cs="Arial"/>
          <w:sz w:val="20"/>
          <w:szCs w:val="20"/>
        </w:rPr>
        <w:t xml:space="preserve">, M. D., Singh, Z., Johnson, S. K., Gupta, R., </w:t>
      </w:r>
      <w:r>
        <w:rPr>
          <w:rFonts w:ascii="Arial" w:hAnsi="Arial" w:cs="Arial"/>
          <w:sz w:val="20"/>
          <w:szCs w:val="20"/>
        </w:rPr>
        <w:t>(</w:t>
      </w:r>
      <w:r w:rsidRPr="00096598">
        <w:rPr>
          <w:rFonts w:ascii="Arial" w:hAnsi="Arial" w:cs="Arial"/>
          <w:sz w:val="20"/>
          <w:szCs w:val="20"/>
        </w:rPr>
        <w:t>2019</w:t>
      </w:r>
      <w:r>
        <w:rPr>
          <w:rFonts w:ascii="Arial" w:hAnsi="Arial" w:cs="Arial"/>
          <w:sz w:val="20"/>
          <w:szCs w:val="20"/>
        </w:rPr>
        <w:t>)</w:t>
      </w:r>
      <w:r w:rsidRPr="00096598">
        <w:rPr>
          <w:rFonts w:ascii="Arial" w:hAnsi="Arial" w:cs="Arial"/>
          <w:sz w:val="20"/>
          <w:szCs w:val="20"/>
        </w:rPr>
        <w:t xml:space="preserve">. Concentrations of health promoting phytochemicals in ripe mango fruit triggered by postharvest application of elicitors. </w:t>
      </w:r>
      <w:r w:rsidRPr="00096598">
        <w:rPr>
          <w:rFonts w:ascii="Arial" w:hAnsi="Arial" w:cs="Arial"/>
          <w:i/>
          <w:iCs/>
          <w:sz w:val="20"/>
          <w:szCs w:val="20"/>
        </w:rPr>
        <w:t xml:space="preserve">Journal of the Science of Food and Agriculture. </w:t>
      </w:r>
      <w:r w:rsidRPr="00096598">
        <w:rPr>
          <w:rFonts w:ascii="Arial" w:hAnsi="Arial" w:cs="Arial"/>
          <w:b/>
          <w:bCs/>
          <w:sz w:val="20"/>
          <w:szCs w:val="20"/>
        </w:rPr>
        <w:t>99</w:t>
      </w:r>
      <w:r w:rsidRPr="00096598">
        <w:rPr>
          <w:rFonts w:ascii="Arial" w:hAnsi="Arial" w:cs="Arial"/>
          <w:sz w:val="20"/>
          <w:szCs w:val="20"/>
        </w:rPr>
        <w:t xml:space="preserve">: 1126–1134. </w:t>
      </w:r>
    </w:p>
    <w:p w14:paraId="7E45ABEB" w14:textId="77777777" w:rsidR="00AE5D8F" w:rsidRDefault="00AE5D8F" w:rsidP="00AE5D8F">
      <w:pPr>
        <w:spacing w:before="240"/>
        <w:ind w:left="1276" w:right="-143" w:hanging="1276"/>
        <w:jc w:val="both"/>
        <w:rPr>
          <w:rFonts w:ascii="Arial" w:hAnsi="Arial" w:cs="Arial"/>
          <w:sz w:val="20"/>
          <w:szCs w:val="20"/>
        </w:rPr>
      </w:pPr>
      <w:r w:rsidRPr="00096598">
        <w:rPr>
          <w:rFonts w:ascii="Arial" w:hAnsi="Arial" w:cs="Arial" w:hint="eastAsia"/>
          <w:sz w:val="20"/>
          <w:szCs w:val="20"/>
        </w:rPr>
        <w:t xml:space="preserve">Wang, X., Chen, J., Luo, D. and Ba, L. </w:t>
      </w:r>
      <w:r>
        <w:rPr>
          <w:rFonts w:ascii="Arial" w:hAnsi="Arial" w:cs="Arial"/>
          <w:sz w:val="20"/>
          <w:szCs w:val="20"/>
        </w:rPr>
        <w:t>(</w:t>
      </w:r>
      <w:r w:rsidRPr="00096598">
        <w:rPr>
          <w:rFonts w:ascii="Arial" w:hAnsi="Arial" w:cs="Arial" w:hint="eastAsia"/>
          <w:sz w:val="20"/>
          <w:szCs w:val="20"/>
        </w:rPr>
        <w:t>2024</w:t>
      </w:r>
      <w:r>
        <w:rPr>
          <w:rFonts w:ascii="Arial" w:hAnsi="Arial" w:cs="Arial"/>
          <w:sz w:val="20"/>
          <w:szCs w:val="20"/>
        </w:rPr>
        <w:t>)</w:t>
      </w:r>
      <w:r w:rsidRPr="00096598">
        <w:rPr>
          <w:rFonts w:ascii="Arial" w:hAnsi="Arial" w:cs="Arial" w:hint="eastAsia"/>
          <w:sz w:val="20"/>
          <w:szCs w:val="20"/>
        </w:rPr>
        <w:t xml:space="preserve">. Advances in the understanding of postharvest physiological changes and the storage and preservation of pitaya. </w:t>
      </w:r>
      <w:r w:rsidRPr="00096598">
        <w:rPr>
          <w:rFonts w:ascii="Arial" w:hAnsi="Arial" w:cs="Arial"/>
          <w:i/>
          <w:iCs/>
          <w:sz w:val="20"/>
          <w:szCs w:val="20"/>
        </w:rPr>
        <w:t>Foods</w:t>
      </w:r>
      <w:r w:rsidRPr="00096598">
        <w:rPr>
          <w:rFonts w:ascii="Arial" w:hAnsi="Arial" w:cs="Arial" w:hint="eastAsia"/>
          <w:sz w:val="20"/>
          <w:szCs w:val="20"/>
        </w:rPr>
        <w:t xml:space="preserve">. </w:t>
      </w:r>
      <w:r w:rsidRPr="00096598">
        <w:rPr>
          <w:rFonts w:ascii="Arial" w:hAnsi="Arial" w:cs="Arial"/>
          <w:b/>
          <w:bCs/>
          <w:sz w:val="20"/>
          <w:szCs w:val="20"/>
        </w:rPr>
        <w:t>13</w:t>
      </w:r>
      <w:r w:rsidRPr="00096598">
        <w:rPr>
          <w:rFonts w:ascii="Arial" w:hAnsi="Arial" w:cs="Arial" w:hint="eastAsia"/>
          <w:sz w:val="20"/>
          <w:szCs w:val="20"/>
        </w:rPr>
        <w:t xml:space="preserve">: 1307. </w:t>
      </w:r>
    </w:p>
    <w:p w14:paraId="51E15779" w14:textId="77777777" w:rsidR="00AE5D8F" w:rsidRPr="00096598" w:rsidRDefault="00AE5D8F" w:rsidP="00AE5D8F">
      <w:pPr>
        <w:spacing w:before="240"/>
        <w:ind w:left="1276" w:right="-143" w:hanging="1276"/>
        <w:jc w:val="both"/>
        <w:rPr>
          <w:rFonts w:ascii="Arial" w:eastAsia="Times New Roman" w:hAnsi="Arial" w:cs="Arial"/>
          <w:kern w:val="0"/>
          <w:sz w:val="20"/>
          <w:szCs w:val="20"/>
          <w:lang w:val="en-US" w:eastAsia="en-GB"/>
          <w14:ligatures w14:val="none"/>
        </w:rPr>
      </w:pPr>
      <w:r w:rsidRPr="00096598">
        <w:rPr>
          <w:rFonts w:ascii="Arial" w:eastAsia="Times New Roman" w:hAnsi="Arial" w:cs="Arial"/>
          <w:kern w:val="0"/>
          <w:sz w:val="20"/>
          <w:szCs w:val="20"/>
          <w:lang w:eastAsia="en-GB"/>
          <w14:ligatures w14:val="none"/>
        </w:rPr>
        <w:t xml:space="preserve">Wojdylo, A. and </w:t>
      </w:r>
      <w:proofErr w:type="spellStart"/>
      <w:r w:rsidRPr="00096598">
        <w:rPr>
          <w:rFonts w:ascii="Arial" w:eastAsia="Times New Roman" w:hAnsi="Arial" w:cs="Arial"/>
          <w:kern w:val="0"/>
          <w:sz w:val="20"/>
          <w:szCs w:val="20"/>
          <w:lang w:eastAsia="en-GB"/>
          <w14:ligatures w14:val="none"/>
        </w:rPr>
        <w:t>Oszmianski</w:t>
      </w:r>
      <w:proofErr w:type="spellEnd"/>
      <w:r w:rsidRPr="00096598">
        <w:rPr>
          <w:rFonts w:ascii="Arial" w:eastAsia="Times New Roman" w:hAnsi="Arial" w:cs="Arial"/>
          <w:kern w:val="0"/>
          <w:sz w:val="20"/>
          <w:szCs w:val="20"/>
          <w:lang w:eastAsia="en-GB"/>
          <w14:ligatures w14:val="none"/>
        </w:rPr>
        <w:t xml:space="preserve">, J. </w:t>
      </w:r>
      <w:r>
        <w:rPr>
          <w:rFonts w:ascii="Arial" w:eastAsia="Times New Roman" w:hAnsi="Arial" w:cs="Arial"/>
          <w:kern w:val="0"/>
          <w:sz w:val="20"/>
          <w:szCs w:val="20"/>
          <w:lang w:eastAsia="en-GB"/>
          <w14:ligatures w14:val="none"/>
        </w:rPr>
        <w:t>(</w:t>
      </w:r>
      <w:r w:rsidRPr="00096598">
        <w:rPr>
          <w:rFonts w:ascii="Arial" w:eastAsia="Times New Roman" w:hAnsi="Arial" w:cs="Arial"/>
          <w:kern w:val="0"/>
          <w:sz w:val="20"/>
          <w:szCs w:val="20"/>
          <w:lang w:eastAsia="en-GB"/>
          <w14:ligatures w14:val="none"/>
        </w:rPr>
        <w:t>2020</w:t>
      </w:r>
      <w:r>
        <w:rPr>
          <w:rFonts w:ascii="Arial" w:eastAsia="Times New Roman" w:hAnsi="Arial" w:cs="Arial"/>
          <w:kern w:val="0"/>
          <w:sz w:val="20"/>
          <w:szCs w:val="20"/>
          <w:lang w:eastAsia="en-GB"/>
          <w14:ligatures w14:val="none"/>
        </w:rPr>
        <w:t>)</w:t>
      </w:r>
      <w:r w:rsidRPr="00096598">
        <w:rPr>
          <w:rFonts w:ascii="Arial" w:eastAsia="Times New Roman" w:hAnsi="Arial" w:cs="Arial"/>
          <w:kern w:val="0"/>
          <w:sz w:val="20"/>
          <w:szCs w:val="20"/>
          <w:lang w:eastAsia="en-GB"/>
          <w14:ligatures w14:val="none"/>
        </w:rPr>
        <w:t xml:space="preserve">. Antioxidant activity modulated by polyphenol contents in apple and leaves during fruit development and ripening. </w:t>
      </w:r>
      <w:r w:rsidRPr="00096598">
        <w:rPr>
          <w:rFonts w:ascii="Arial" w:eastAsia="Times New Roman" w:hAnsi="Arial" w:cs="Arial"/>
          <w:i/>
          <w:iCs/>
          <w:kern w:val="0"/>
          <w:sz w:val="20"/>
          <w:szCs w:val="20"/>
          <w:lang w:eastAsia="en-GB"/>
          <w14:ligatures w14:val="none"/>
        </w:rPr>
        <w:t>Antioxidants</w:t>
      </w:r>
      <w:r w:rsidRPr="00096598">
        <w:rPr>
          <w:rFonts w:ascii="Arial" w:eastAsia="Times New Roman" w:hAnsi="Arial" w:cs="Arial"/>
          <w:kern w:val="0"/>
          <w:sz w:val="20"/>
          <w:szCs w:val="20"/>
          <w:lang w:eastAsia="en-GB"/>
          <w14:ligatures w14:val="none"/>
        </w:rPr>
        <w:t xml:space="preserve">. </w:t>
      </w:r>
      <w:r w:rsidRPr="00096598">
        <w:rPr>
          <w:rFonts w:ascii="Arial" w:eastAsia="Times New Roman" w:hAnsi="Arial" w:cs="Arial"/>
          <w:b/>
          <w:bCs/>
          <w:kern w:val="0"/>
          <w:sz w:val="20"/>
          <w:szCs w:val="20"/>
          <w:lang w:eastAsia="en-GB"/>
          <w14:ligatures w14:val="none"/>
        </w:rPr>
        <w:t>9</w:t>
      </w:r>
      <w:r w:rsidRPr="00096598">
        <w:rPr>
          <w:rFonts w:ascii="Arial" w:eastAsia="Times New Roman" w:hAnsi="Arial" w:cs="Arial"/>
          <w:kern w:val="0"/>
          <w:sz w:val="20"/>
          <w:szCs w:val="20"/>
          <w:lang w:eastAsia="en-GB"/>
          <w14:ligatures w14:val="none"/>
        </w:rPr>
        <w:t xml:space="preserve">: 567. </w:t>
      </w:r>
    </w:p>
    <w:p w14:paraId="4CE59599" w14:textId="77777777" w:rsidR="00AE5D8F" w:rsidRPr="00096598" w:rsidRDefault="00AE5D8F" w:rsidP="00AE5D8F">
      <w:pPr>
        <w:spacing w:before="240"/>
        <w:ind w:left="1276" w:right="-143" w:hanging="1276"/>
        <w:jc w:val="both"/>
        <w:rPr>
          <w:rFonts w:ascii="Arial" w:hAnsi="Arial" w:cs="Arial"/>
          <w:sz w:val="20"/>
          <w:szCs w:val="20"/>
          <w:lang w:val="en-US"/>
        </w:rPr>
      </w:pPr>
      <w:r w:rsidRPr="00096598">
        <w:rPr>
          <w:rFonts w:ascii="Arial" w:hAnsi="Arial" w:cs="Arial"/>
          <w:sz w:val="20"/>
          <w:szCs w:val="20"/>
          <w:lang w:val="en-US"/>
        </w:rPr>
        <w:t xml:space="preserve">Wu, M. C. and Chen, C. S. </w:t>
      </w:r>
      <w:r>
        <w:rPr>
          <w:rFonts w:ascii="Arial" w:hAnsi="Arial" w:cs="Arial"/>
          <w:sz w:val="20"/>
          <w:szCs w:val="20"/>
          <w:lang w:val="en-US"/>
        </w:rPr>
        <w:t>(</w:t>
      </w:r>
      <w:r w:rsidRPr="00096598">
        <w:rPr>
          <w:rFonts w:ascii="Arial" w:hAnsi="Arial" w:cs="Arial"/>
          <w:sz w:val="20"/>
          <w:szCs w:val="20"/>
          <w:lang w:val="en-US"/>
        </w:rPr>
        <w:t>1997</w:t>
      </w:r>
      <w:r>
        <w:rPr>
          <w:rFonts w:ascii="Arial" w:hAnsi="Arial" w:cs="Arial"/>
          <w:sz w:val="20"/>
          <w:szCs w:val="20"/>
          <w:lang w:val="en-US"/>
        </w:rPr>
        <w:t>)</w:t>
      </w:r>
      <w:r w:rsidRPr="00096598">
        <w:rPr>
          <w:rFonts w:ascii="Arial" w:hAnsi="Arial" w:cs="Arial"/>
          <w:sz w:val="20"/>
          <w:szCs w:val="20"/>
          <w:lang w:val="en-US"/>
        </w:rPr>
        <w:t xml:space="preserve">. Variation of sugar content in various parts of pitaya fruit. </w:t>
      </w:r>
      <w:r w:rsidRPr="00096598">
        <w:rPr>
          <w:rFonts w:ascii="Arial" w:hAnsi="Arial" w:cs="Arial"/>
          <w:i/>
          <w:iCs/>
          <w:sz w:val="20"/>
          <w:szCs w:val="20"/>
          <w:lang w:val="en-US"/>
        </w:rPr>
        <w:t>Florida State Horticultural Society</w:t>
      </w:r>
      <w:r w:rsidRPr="00096598">
        <w:rPr>
          <w:rFonts w:ascii="Arial" w:hAnsi="Arial" w:cs="Arial"/>
          <w:sz w:val="20"/>
          <w:szCs w:val="20"/>
          <w:lang w:val="en-US"/>
        </w:rPr>
        <w:t xml:space="preserve">. </w:t>
      </w:r>
      <w:r w:rsidRPr="00096598">
        <w:rPr>
          <w:rFonts w:ascii="Arial" w:hAnsi="Arial" w:cs="Arial"/>
          <w:b/>
          <w:bCs/>
          <w:sz w:val="20"/>
          <w:szCs w:val="20"/>
          <w:lang w:val="en-US"/>
        </w:rPr>
        <w:t>110</w:t>
      </w:r>
      <w:r w:rsidRPr="00096598">
        <w:rPr>
          <w:rFonts w:ascii="Arial" w:hAnsi="Arial" w:cs="Arial"/>
          <w:sz w:val="20"/>
          <w:szCs w:val="20"/>
          <w:lang w:val="en-US"/>
        </w:rPr>
        <w:t>:225-227.</w:t>
      </w:r>
    </w:p>
    <w:p w14:paraId="1EA8E3DA" w14:textId="77777777" w:rsidR="00AE5D8F" w:rsidRPr="00096598" w:rsidRDefault="00AE5D8F" w:rsidP="00AE5D8F">
      <w:pPr>
        <w:spacing w:before="240"/>
        <w:ind w:left="1276" w:right="-143" w:hanging="1276"/>
        <w:jc w:val="both"/>
        <w:rPr>
          <w:rFonts w:ascii="Arial" w:hAnsi="Arial" w:cs="Arial"/>
          <w:sz w:val="20"/>
          <w:szCs w:val="20"/>
          <w:lang w:val="en-US"/>
        </w:rPr>
      </w:pPr>
      <w:r w:rsidRPr="00096598">
        <w:rPr>
          <w:rFonts w:ascii="Arial" w:hAnsi="Arial" w:cs="Arial"/>
          <w:sz w:val="20"/>
          <w:szCs w:val="20"/>
          <w:lang w:val="en-US"/>
        </w:rPr>
        <w:t xml:space="preserve">Zhang, H., Pi, J., Tang, Y., Wang, M., Tian, K., Wang, Y., Luo, X. and Deng, Q. </w:t>
      </w:r>
      <w:r>
        <w:rPr>
          <w:rFonts w:ascii="Arial" w:hAnsi="Arial" w:cs="Arial"/>
          <w:sz w:val="20"/>
          <w:szCs w:val="20"/>
          <w:lang w:val="en-US"/>
        </w:rPr>
        <w:t>(</w:t>
      </w:r>
      <w:r w:rsidRPr="00096598">
        <w:rPr>
          <w:rFonts w:ascii="Arial" w:hAnsi="Arial" w:cs="Arial"/>
          <w:sz w:val="20"/>
          <w:szCs w:val="20"/>
          <w:lang w:val="en-US"/>
        </w:rPr>
        <w:t>2022</w:t>
      </w:r>
      <w:r>
        <w:rPr>
          <w:rFonts w:ascii="Arial" w:hAnsi="Arial" w:cs="Arial"/>
          <w:sz w:val="20"/>
          <w:szCs w:val="20"/>
          <w:lang w:val="en-US"/>
        </w:rPr>
        <w:t>)</w:t>
      </w:r>
      <w:r w:rsidRPr="00096598">
        <w:rPr>
          <w:rFonts w:ascii="Arial" w:hAnsi="Arial" w:cs="Arial"/>
          <w:sz w:val="20"/>
          <w:szCs w:val="20"/>
          <w:lang w:val="en-US"/>
        </w:rPr>
        <w:t>. Changes in phenolic compounds and antioxidant activity during development of ‘</w:t>
      </w:r>
      <w:proofErr w:type="spellStart"/>
      <w:r w:rsidRPr="00096598">
        <w:rPr>
          <w:rFonts w:ascii="Arial" w:hAnsi="Arial" w:cs="Arial"/>
          <w:sz w:val="20"/>
          <w:szCs w:val="20"/>
          <w:lang w:val="en-US"/>
        </w:rPr>
        <w:t>Qiangcuili</w:t>
      </w:r>
      <w:proofErr w:type="spellEnd"/>
      <w:r w:rsidRPr="00096598">
        <w:rPr>
          <w:rFonts w:ascii="Arial" w:hAnsi="Arial" w:cs="Arial"/>
          <w:sz w:val="20"/>
          <w:szCs w:val="20"/>
          <w:lang w:val="en-US"/>
        </w:rPr>
        <w:t>’ and ‘</w:t>
      </w:r>
      <w:proofErr w:type="spellStart"/>
      <w:r w:rsidRPr="00096598">
        <w:rPr>
          <w:rFonts w:ascii="Arial" w:hAnsi="Arial" w:cs="Arial"/>
          <w:sz w:val="20"/>
          <w:szCs w:val="20"/>
          <w:lang w:val="en-US"/>
        </w:rPr>
        <w:t>Cuihongli</w:t>
      </w:r>
      <w:proofErr w:type="spellEnd"/>
      <w:r w:rsidRPr="00096598">
        <w:rPr>
          <w:rFonts w:ascii="Arial" w:hAnsi="Arial" w:cs="Arial"/>
          <w:sz w:val="20"/>
          <w:szCs w:val="20"/>
          <w:lang w:val="en-US"/>
        </w:rPr>
        <w:t xml:space="preserve">’ fruit. </w:t>
      </w:r>
      <w:r w:rsidRPr="00096598">
        <w:rPr>
          <w:rFonts w:ascii="Arial" w:hAnsi="Arial" w:cs="Arial"/>
          <w:i/>
          <w:iCs/>
          <w:sz w:val="20"/>
          <w:szCs w:val="20"/>
          <w:lang w:val="en-US"/>
        </w:rPr>
        <w:t>Foods</w:t>
      </w:r>
      <w:r w:rsidRPr="00096598">
        <w:rPr>
          <w:rFonts w:ascii="Arial" w:hAnsi="Arial" w:cs="Arial"/>
          <w:sz w:val="20"/>
          <w:szCs w:val="20"/>
          <w:lang w:val="en-US"/>
        </w:rPr>
        <w:t xml:space="preserve">. </w:t>
      </w:r>
      <w:r w:rsidRPr="00096598">
        <w:rPr>
          <w:rFonts w:ascii="Arial" w:hAnsi="Arial" w:cs="Arial"/>
          <w:b/>
          <w:bCs/>
          <w:sz w:val="20"/>
          <w:szCs w:val="20"/>
          <w:lang w:val="en-US"/>
        </w:rPr>
        <w:t>11</w:t>
      </w:r>
      <w:r w:rsidRPr="00096598">
        <w:rPr>
          <w:rFonts w:ascii="Arial" w:hAnsi="Arial" w:cs="Arial"/>
          <w:sz w:val="20"/>
          <w:szCs w:val="20"/>
          <w:lang w:val="en-US"/>
        </w:rPr>
        <w:t xml:space="preserve">:3198. </w:t>
      </w:r>
    </w:p>
    <w:p w14:paraId="5039F0CB" w14:textId="77777777" w:rsidR="00AE5D8F" w:rsidRPr="00096598" w:rsidRDefault="00AE5D8F" w:rsidP="00AE5D8F">
      <w:pPr>
        <w:spacing w:before="240"/>
        <w:ind w:left="1276" w:right="-143" w:hanging="1276"/>
        <w:jc w:val="both"/>
        <w:rPr>
          <w:rFonts w:ascii="Arial" w:hAnsi="Arial" w:cs="Arial"/>
          <w:sz w:val="20"/>
          <w:szCs w:val="20"/>
          <w:lang w:val="en-US"/>
        </w:rPr>
      </w:pPr>
      <w:r w:rsidRPr="00096598">
        <w:rPr>
          <w:rFonts w:ascii="Arial" w:hAnsi="Arial" w:cs="Arial"/>
          <w:sz w:val="20"/>
          <w:szCs w:val="20"/>
          <w:lang w:val="en-US"/>
        </w:rPr>
        <w:lastRenderedPageBreak/>
        <w:t xml:space="preserve">Zitha, E. Z. M., Magalhaes, D. S., </w:t>
      </w:r>
      <w:proofErr w:type="spellStart"/>
      <w:r w:rsidRPr="00096598">
        <w:rPr>
          <w:rFonts w:ascii="Arial" w:hAnsi="Arial" w:cs="Arial"/>
          <w:sz w:val="20"/>
          <w:szCs w:val="20"/>
          <w:lang w:val="en-US"/>
        </w:rPr>
        <w:t>doLago</w:t>
      </w:r>
      <w:proofErr w:type="spellEnd"/>
      <w:r w:rsidRPr="00096598">
        <w:rPr>
          <w:rFonts w:ascii="Arial" w:hAnsi="Arial" w:cs="Arial"/>
          <w:sz w:val="20"/>
          <w:szCs w:val="20"/>
          <w:lang w:val="en-US"/>
        </w:rPr>
        <w:t xml:space="preserve">, R. C., Pasqual, E. E. N. and Boas, E. V. D. B. V. </w:t>
      </w:r>
      <w:r>
        <w:rPr>
          <w:rFonts w:ascii="Arial" w:hAnsi="Arial" w:cs="Arial"/>
          <w:sz w:val="20"/>
          <w:szCs w:val="20"/>
          <w:lang w:val="en-US"/>
        </w:rPr>
        <w:t>(</w:t>
      </w:r>
      <w:r w:rsidRPr="00096598">
        <w:rPr>
          <w:rFonts w:ascii="Arial" w:hAnsi="Arial" w:cs="Arial"/>
          <w:sz w:val="20"/>
          <w:szCs w:val="20"/>
          <w:lang w:val="en-US"/>
        </w:rPr>
        <w:t>2022</w:t>
      </w:r>
      <w:r>
        <w:rPr>
          <w:rFonts w:ascii="Arial" w:hAnsi="Arial" w:cs="Arial"/>
          <w:sz w:val="20"/>
          <w:szCs w:val="20"/>
          <w:lang w:val="en-US"/>
        </w:rPr>
        <w:t>)</w:t>
      </w:r>
      <w:r w:rsidRPr="00096598">
        <w:rPr>
          <w:rFonts w:ascii="Arial" w:hAnsi="Arial" w:cs="Arial"/>
          <w:sz w:val="20"/>
          <w:szCs w:val="20"/>
          <w:lang w:val="en-US"/>
        </w:rPr>
        <w:t xml:space="preserve">. Changes in the bioactive compounds and antioxidant activity in red-fleshed dragon fruit during its development. </w:t>
      </w:r>
      <w:r w:rsidRPr="00096598">
        <w:rPr>
          <w:rFonts w:ascii="Arial" w:hAnsi="Arial" w:cs="Arial"/>
          <w:i/>
          <w:iCs/>
          <w:sz w:val="20"/>
          <w:szCs w:val="20"/>
          <w:lang w:val="en-US"/>
        </w:rPr>
        <w:t xml:space="preserve">Scientia </w:t>
      </w:r>
      <w:proofErr w:type="spellStart"/>
      <w:r w:rsidRPr="00096598">
        <w:rPr>
          <w:rFonts w:ascii="Arial" w:hAnsi="Arial" w:cs="Arial"/>
          <w:i/>
          <w:iCs/>
          <w:sz w:val="20"/>
          <w:szCs w:val="20"/>
          <w:lang w:val="en-US"/>
        </w:rPr>
        <w:t>Horticulturae</w:t>
      </w:r>
      <w:proofErr w:type="spellEnd"/>
      <w:r w:rsidRPr="00096598">
        <w:rPr>
          <w:rFonts w:ascii="Arial" w:hAnsi="Arial" w:cs="Arial"/>
          <w:sz w:val="20"/>
          <w:szCs w:val="20"/>
          <w:lang w:val="en-US"/>
        </w:rPr>
        <w:t xml:space="preserve">. </w:t>
      </w:r>
      <w:r w:rsidRPr="00096598">
        <w:rPr>
          <w:rFonts w:ascii="Arial" w:hAnsi="Arial" w:cs="Arial"/>
          <w:b/>
          <w:bCs/>
          <w:sz w:val="20"/>
          <w:szCs w:val="20"/>
          <w:lang w:val="en-US"/>
        </w:rPr>
        <w:t>291</w:t>
      </w:r>
      <w:r w:rsidRPr="00096598">
        <w:rPr>
          <w:rFonts w:ascii="Arial" w:hAnsi="Arial" w:cs="Arial"/>
          <w:sz w:val="20"/>
          <w:szCs w:val="20"/>
          <w:lang w:val="en-US"/>
        </w:rPr>
        <w:t>. 110611.</w:t>
      </w:r>
    </w:p>
    <w:p w14:paraId="32917F65" w14:textId="77777777" w:rsidR="00AE5D8F" w:rsidRPr="00096598" w:rsidRDefault="00AE5D8F" w:rsidP="00AE5D8F">
      <w:pPr>
        <w:spacing w:before="240"/>
        <w:ind w:left="1276" w:right="-143" w:hanging="1276"/>
        <w:jc w:val="both"/>
        <w:rPr>
          <w:rFonts w:ascii="Arial" w:hAnsi="Arial" w:cs="Arial"/>
          <w:sz w:val="20"/>
          <w:szCs w:val="20"/>
          <w:lang w:val="en-US"/>
        </w:rPr>
      </w:pPr>
    </w:p>
    <w:p w14:paraId="72B228B0" w14:textId="77777777" w:rsidR="009A6136" w:rsidRPr="00307F49" w:rsidRDefault="009A6136" w:rsidP="0051450F">
      <w:pPr>
        <w:spacing w:line="276" w:lineRule="auto"/>
        <w:jc w:val="both"/>
        <w:rPr>
          <w:rFonts w:ascii="Arial" w:hAnsi="Arial" w:cs="Arial"/>
          <w:sz w:val="20"/>
          <w:szCs w:val="20"/>
        </w:rPr>
      </w:pPr>
    </w:p>
    <w:p w14:paraId="3CC1CD92" w14:textId="64475004" w:rsidR="009A6136" w:rsidRPr="00307F49" w:rsidRDefault="009A6136" w:rsidP="0051450F">
      <w:pPr>
        <w:spacing w:line="276" w:lineRule="auto"/>
        <w:jc w:val="both"/>
        <w:rPr>
          <w:rFonts w:ascii="Arial" w:hAnsi="Arial" w:cs="Arial"/>
          <w:sz w:val="20"/>
          <w:szCs w:val="20"/>
          <w:lang w:val="en-US"/>
        </w:rPr>
      </w:pPr>
    </w:p>
    <w:sectPr w:rsidR="009A6136" w:rsidRPr="00307F49" w:rsidSect="00307F49">
      <w:headerReference w:type="even" r:id="rId18"/>
      <w:headerReference w:type="default" r:id="rId19"/>
      <w:footerReference w:type="even" r:id="rId20"/>
      <w:footerReference w:type="default" r:id="rId21"/>
      <w:headerReference w:type="first" r:id="rId22"/>
      <w:footerReference w:type="first" r:id="rId23"/>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9E1FE" w14:textId="77777777" w:rsidR="00E14E8B" w:rsidRDefault="00E14E8B" w:rsidP="00307F49">
      <w:r>
        <w:separator/>
      </w:r>
    </w:p>
  </w:endnote>
  <w:endnote w:type="continuationSeparator" w:id="0">
    <w:p w14:paraId="57CE92E1" w14:textId="77777777" w:rsidR="00E14E8B" w:rsidRDefault="00E14E8B" w:rsidP="0030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80"/>
    <w:family w:val="auto"/>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iragino Mincho Pro W3">
    <w:charset w:val="80"/>
    <w:family w:val="roman"/>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BAADF" w14:textId="77777777" w:rsidR="004C0457" w:rsidRDefault="004C04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E3F0B" w14:textId="77777777" w:rsidR="004C0457" w:rsidRDefault="004C04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09F6C" w14:textId="77777777" w:rsidR="004C0457" w:rsidRDefault="004C0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C4DB7" w14:textId="77777777" w:rsidR="00E14E8B" w:rsidRDefault="00E14E8B" w:rsidP="00307F49">
      <w:r>
        <w:separator/>
      </w:r>
    </w:p>
  </w:footnote>
  <w:footnote w:type="continuationSeparator" w:id="0">
    <w:p w14:paraId="0F6F7C16" w14:textId="77777777" w:rsidR="00E14E8B" w:rsidRDefault="00E14E8B" w:rsidP="00307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54085" w14:textId="68C0F84A" w:rsidR="004C0457" w:rsidRDefault="00E14E8B">
    <w:pPr>
      <w:pStyle w:val="Header"/>
    </w:pPr>
    <w:r>
      <w:rPr>
        <w:noProof/>
      </w:rPr>
      <w:pict w14:anchorId="2F263B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873938" o:spid="_x0000_s2051" type="#_x0000_t136" alt="" style="position:absolute;margin-left:0;margin-top:0;width:535.4pt;height:100.3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6B411" w14:textId="4ABE22E7" w:rsidR="004C0457" w:rsidRDefault="00E14E8B">
    <w:pPr>
      <w:pStyle w:val="Header"/>
    </w:pPr>
    <w:r>
      <w:rPr>
        <w:noProof/>
      </w:rPr>
      <w:pict w14:anchorId="7E958F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873939" o:spid="_x0000_s2050" type="#_x0000_t136" alt="" style="position:absolute;margin-left:0;margin-top:0;width:535.4pt;height:100.3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7CE3B" w14:textId="67CD372A" w:rsidR="004C0457" w:rsidRDefault="00E14E8B">
    <w:pPr>
      <w:pStyle w:val="Header"/>
    </w:pPr>
    <w:r>
      <w:rPr>
        <w:noProof/>
      </w:rPr>
      <w:pict w14:anchorId="7EA3AA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873937" o:spid="_x0000_s2049" type="#_x0000_t136" alt="" style="position:absolute;margin-left:0;margin-top:0;width:535.4pt;height:100.3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A70DB5"/>
    <w:multiLevelType w:val="hybridMultilevel"/>
    <w:tmpl w:val="FAE6FE7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77B24A7A"/>
    <w:multiLevelType w:val="hybridMultilevel"/>
    <w:tmpl w:val="84C4F8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EB3"/>
    <w:rsid w:val="000365AC"/>
    <w:rsid w:val="00042F3B"/>
    <w:rsid w:val="00044524"/>
    <w:rsid w:val="00086B89"/>
    <w:rsid w:val="000A5BB4"/>
    <w:rsid w:val="000B1CC4"/>
    <w:rsid w:val="000C51D2"/>
    <w:rsid w:val="001071DC"/>
    <w:rsid w:val="00125765"/>
    <w:rsid w:val="00174760"/>
    <w:rsid w:val="00183B75"/>
    <w:rsid w:val="001843BD"/>
    <w:rsid w:val="001A0EB3"/>
    <w:rsid w:val="001B5A06"/>
    <w:rsid w:val="001D68AB"/>
    <w:rsid w:val="0028472D"/>
    <w:rsid w:val="00293775"/>
    <w:rsid w:val="002A2AA2"/>
    <w:rsid w:val="00307F49"/>
    <w:rsid w:val="004C0457"/>
    <w:rsid w:val="004F297D"/>
    <w:rsid w:val="005010DC"/>
    <w:rsid w:val="0051450F"/>
    <w:rsid w:val="00514A7F"/>
    <w:rsid w:val="005237AC"/>
    <w:rsid w:val="00586AEE"/>
    <w:rsid w:val="005A5B4E"/>
    <w:rsid w:val="00682EEF"/>
    <w:rsid w:val="006F6F26"/>
    <w:rsid w:val="0076283F"/>
    <w:rsid w:val="00791A76"/>
    <w:rsid w:val="007B0AF8"/>
    <w:rsid w:val="007E0D1C"/>
    <w:rsid w:val="00830D1A"/>
    <w:rsid w:val="0083271E"/>
    <w:rsid w:val="00837A5A"/>
    <w:rsid w:val="00875C17"/>
    <w:rsid w:val="008864D4"/>
    <w:rsid w:val="0089681B"/>
    <w:rsid w:val="008D17C2"/>
    <w:rsid w:val="008E4060"/>
    <w:rsid w:val="00901552"/>
    <w:rsid w:val="00966959"/>
    <w:rsid w:val="009825C2"/>
    <w:rsid w:val="009918BF"/>
    <w:rsid w:val="009A6136"/>
    <w:rsid w:val="009E6C8C"/>
    <w:rsid w:val="00A00722"/>
    <w:rsid w:val="00A51EEB"/>
    <w:rsid w:val="00AB534A"/>
    <w:rsid w:val="00AE5D8F"/>
    <w:rsid w:val="00AE7EFB"/>
    <w:rsid w:val="00B22CB5"/>
    <w:rsid w:val="00BC4FE0"/>
    <w:rsid w:val="00BF3010"/>
    <w:rsid w:val="00C26768"/>
    <w:rsid w:val="00C26BED"/>
    <w:rsid w:val="00C43A42"/>
    <w:rsid w:val="00C52AD3"/>
    <w:rsid w:val="00C55FAE"/>
    <w:rsid w:val="00D17D0F"/>
    <w:rsid w:val="00D22017"/>
    <w:rsid w:val="00D36C16"/>
    <w:rsid w:val="00D548C0"/>
    <w:rsid w:val="00D94802"/>
    <w:rsid w:val="00D961E7"/>
    <w:rsid w:val="00DB281E"/>
    <w:rsid w:val="00DC78EA"/>
    <w:rsid w:val="00E0116B"/>
    <w:rsid w:val="00E14E8B"/>
    <w:rsid w:val="00E21C8F"/>
    <w:rsid w:val="00E84BE3"/>
    <w:rsid w:val="00E91A9E"/>
    <w:rsid w:val="00EB4D62"/>
    <w:rsid w:val="00F26120"/>
    <w:rsid w:val="00F3284C"/>
    <w:rsid w:val="00F85AFF"/>
    <w:rsid w:val="00FC1D24"/>
    <w:rsid w:val="00FD63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2373AB"/>
  <w15:chartTrackingRefBased/>
  <w15:docId w15:val="{9657692F-17B7-0E40-B090-23768DB73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E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0E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0E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0E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0E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0EB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0EB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0EB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0EB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E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0E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0E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0E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0E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0E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0E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0E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0EB3"/>
    <w:rPr>
      <w:rFonts w:eastAsiaTheme="majorEastAsia" w:cstheme="majorBidi"/>
      <w:color w:val="272727" w:themeColor="text1" w:themeTint="D8"/>
    </w:rPr>
  </w:style>
  <w:style w:type="paragraph" w:styleId="Title">
    <w:name w:val="Title"/>
    <w:basedOn w:val="Normal"/>
    <w:next w:val="Normal"/>
    <w:link w:val="TitleChar"/>
    <w:uiPriority w:val="10"/>
    <w:qFormat/>
    <w:rsid w:val="001A0EB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0E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0EB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0E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0EB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0EB3"/>
    <w:rPr>
      <w:i/>
      <w:iCs/>
      <w:color w:val="404040" w:themeColor="text1" w:themeTint="BF"/>
    </w:rPr>
  </w:style>
  <w:style w:type="paragraph" w:styleId="ListParagraph">
    <w:name w:val="List Paragraph"/>
    <w:basedOn w:val="Normal"/>
    <w:uiPriority w:val="34"/>
    <w:qFormat/>
    <w:rsid w:val="001A0EB3"/>
    <w:pPr>
      <w:ind w:left="720"/>
      <w:contextualSpacing/>
    </w:pPr>
  </w:style>
  <w:style w:type="character" w:styleId="IntenseEmphasis">
    <w:name w:val="Intense Emphasis"/>
    <w:basedOn w:val="DefaultParagraphFont"/>
    <w:uiPriority w:val="21"/>
    <w:qFormat/>
    <w:rsid w:val="001A0EB3"/>
    <w:rPr>
      <w:i/>
      <w:iCs/>
      <w:color w:val="0F4761" w:themeColor="accent1" w:themeShade="BF"/>
    </w:rPr>
  </w:style>
  <w:style w:type="paragraph" w:styleId="IntenseQuote">
    <w:name w:val="Intense Quote"/>
    <w:basedOn w:val="Normal"/>
    <w:next w:val="Normal"/>
    <w:link w:val="IntenseQuoteChar"/>
    <w:uiPriority w:val="30"/>
    <w:qFormat/>
    <w:rsid w:val="001A0E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0EB3"/>
    <w:rPr>
      <w:i/>
      <w:iCs/>
      <w:color w:val="0F4761" w:themeColor="accent1" w:themeShade="BF"/>
    </w:rPr>
  </w:style>
  <w:style w:type="character" w:styleId="IntenseReference">
    <w:name w:val="Intense Reference"/>
    <w:basedOn w:val="DefaultParagraphFont"/>
    <w:uiPriority w:val="32"/>
    <w:qFormat/>
    <w:rsid w:val="001A0EB3"/>
    <w:rPr>
      <w:b/>
      <w:bCs/>
      <w:smallCaps/>
      <w:color w:val="0F4761" w:themeColor="accent1" w:themeShade="BF"/>
      <w:spacing w:val="5"/>
    </w:rPr>
  </w:style>
  <w:style w:type="character" w:styleId="Emphasis">
    <w:name w:val="Emphasis"/>
    <w:basedOn w:val="DefaultParagraphFont"/>
    <w:uiPriority w:val="20"/>
    <w:qFormat/>
    <w:rsid w:val="001A0EB3"/>
    <w:rPr>
      <w:i/>
      <w:iCs/>
    </w:rPr>
  </w:style>
  <w:style w:type="character" w:styleId="Strong">
    <w:name w:val="Strong"/>
    <w:basedOn w:val="DefaultParagraphFont"/>
    <w:uiPriority w:val="22"/>
    <w:qFormat/>
    <w:rsid w:val="00086B89"/>
    <w:rPr>
      <w:b/>
      <w:bCs/>
    </w:rPr>
  </w:style>
  <w:style w:type="paragraph" w:styleId="NormalWeb">
    <w:name w:val="Normal (Web)"/>
    <w:basedOn w:val="Normal"/>
    <w:uiPriority w:val="99"/>
    <w:unhideWhenUsed/>
    <w:rsid w:val="00125765"/>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307F49"/>
    <w:pPr>
      <w:tabs>
        <w:tab w:val="center" w:pos="4513"/>
        <w:tab w:val="right" w:pos="9026"/>
      </w:tabs>
    </w:pPr>
  </w:style>
  <w:style w:type="character" w:customStyle="1" w:styleId="HeaderChar">
    <w:name w:val="Header Char"/>
    <w:basedOn w:val="DefaultParagraphFont"/>
    <w:link w:val="Header"/>
    <w:uiPriority w:val="99"/>
    <w:rsid w:val="00307F49"/>
  </w:style>
  <w:style w:type="paragraph" w:styleId="Footer">
    <w:name w:val="footer"/>
    <w:basedOn w:val="Normal"/>
    <w:link w:val="FooterChar"/>
    <w:uiPriority w:val="99"/>
    <w:unhideWhenUsed/>
    <w:rsid w:val="00307F49"/>
    <w:pPr>
      <w:tabs>
        <w:tab w:val="center" w:pos="4513"/>
        <w:tab w:val="right" w:pos="9026"/>
      </w:tabs>
    </w:pPr>
  </w:style>
  <w:style w:type="character" w:customStyle="1" w:styleId="FooterChar">
    <w:name w:val="Footer Char"/>
    <w:basedOn w:val="DefaultParagraphFont"/>
    <w:link w:val="Footer"/>
    <w:uiPriority w:val="99"/>
    <w:rsid w:val="00307F49"/>
  </w:style>
  <w:style w:type="paragraph" w:customStyle="1" w:styleId="AcknHead">
    <w:name w:val="Ackn Head"/>
    <w:basedOn w:val="Normal"/>
    <w:rsid w:val="00A51EEB"/>
    <w:pPr>
      <w:keepNext/>
      <w:spacing w:after="240"/>
    </w:pPr>
    <w:rPr>
      <w:rFonts w:ascii="Helvetica" w:eastAsia="Times New Roman" w:hAnsi="Helvetica" w:cs="Times New Roman"/>
      <w:b/>
      <w:caps/>
      <w:kern w:val="0"/>
      <w:sz w:val="22"/>
      <w:szCs w:val="20"/>
      <w:lang w:val="en-US"/>
      <w14:ligatures w14:val="none"/>
    </w:rPr>
  </w:style>
  <w:style w:type="paragraph" w:customStyle="1" w:styleId="ReferHead">
    <w:name w:val="Refer Head"/>
    <w:basedOn w:val="Normal"/>
    <w:rsid w:val="00A51EEB"/>
    <w:pPr>
      <w:keepNext/>
      <w:spacing w:after="240"/>
    </w:pPr>
    <w:rPr>
      <w:rFonts w:ascii="Helvetica" w:eastAsia="Times New Roman" w:hAnsi="Helvetica" w:cs="Times New Roman"/>
      <w:b/>
      <w:caps/>
      <w:kern w:val="0"/>
      <w:sz w:val="22"/>
      <w:szCs w:val="20"/>
      <w:lang w:val="en-US"/>
      <w14:ligatures w14:val="none"/>
    </w:rPr>
  </w:style>
  <w:style w:type="paragraph" w:styleId="Caption">
    <w:name w:val="caption"/>
    <w:basedOn w:val="Normal"/>
    <w:next w:val="Normal"/>
    <w:uiPriority w:val="35"/>
    <w:unhideWhenUsed/>
    <w:qFormat/>
    <w:rsid w:val="00044524"/>
    <w:pPr>
      <w:spacing w:after="200"/>
    </w:pPr>
    <w:rPr>
      <w:i/>
      <w:iCs/>
      <w:color w:val="0E2841" w:themeColor="text2"/>
      <w:sz w:val="18"/>
      <w:szCs w:val="18"/>
    </w:rPr>
  </w:style>
  <w:style w:type="character" w:styleId="Hyperlink">
    <w:name w:val="Hyperlink"/>
    <w:basedOn w:val="DefaultParagraphFont"/>
    <w:uiPriority w:val="99"/>
    <w:unhideWhenUsed/>
    <w:rsid w:val="00966959"/>
    <w:rPr>
      <w:color w:val="467886" w:themeColor="hyperlink"/>
      <w:u w:val="single"/>
    </w:rPr>
  </w:style>
  <w:style w:type="table" w:styleId="TableGrid">
    <w:name w:val="Table Grid"/>
    <w:basedOn w:val="TableNormal"/>
    <w:uiPriority w:val="39"/>
    <w:rsid w:val="00C52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9284">
      <w:bodyDiv w:val="1"/>
      <w:marLeft w:val="0"/>
      <w:marRight w:val="0"/>
      <w:marTop w:val="0"/>
      <w:marBottom w:val="0"/>
      <w:divBdr>
        <w:top w:val="none" w:sz="0" w:space="0" w:color="auto"/>
        <w:left w:val="none" w:sz="0" w:space="0" w:color="auto"/>
        <w:bottom w:val="none" w:sz="0" w:space="0" w:color="auto"/>
        <w:right w:val="none" w:sz="0" w:space="0" w:color="auto"/>
      </w:divBdr>
      <w:divsChild>
        <w:div w:id="2140612217">
          <w:marLeft w:val="0"/>
          <w:marRight w:val="0"/>
          <w:marTop w:val="0"/>
          <w:marBottom w:val="0"/>
          <w:divBdr>
            <w:top w:val="none" w:sz="0" w:space="0" w:color="auto"/>
            <w:left w:val="none" w:sz="0" w:space="0" w:color="auto"/>
            <w:bottom w:val="none" w:sz="0" w:space="0" w:color="auto"/>
            <w:right w:val="none" w:sz="0" w:space="0" w:color="auto"/>
          </w:divBdr>
          <w:divsChild>
            <w:div w:id="1475173369">
              <w:marLeft w:val="0"/>
              <w:marRight w:val="0"/>
              <w:marTop w:val="0"/>
              <w:marBottom w:val="0"/>
              <w:divBdr>
                <w:top w:val="none" w:sz="0" w:space="0" w:color="auto"/>
                <w:left w:val="none" w:sz="0" w:space="0" w:color="auto"/>
                <w:bottom w:val="none" w:sz="0" w:space="0" w:color="auto"/>
                <w:right w:val="none" w:sz="0" w:space="0" w:color="auto"/>
              </w:divBdr>
              <w:divsChild>
                <w:div w:id="13815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2621">
      <w:bodyDiv w:val="1"/>
      <w:marLeft w:val="0"/>
      <w:marRight w:val="0"/>
      <w:marTop w:val="0"/>
      <w:marBottom w:val="0"/>
      <w:divBdr>
        <w:top w:val="none" w:sz="0" w:space="0" w:color="auto"/>
        <w:left w:val="none" w:sz="0" w:space="0" w:color="auto"/>
        <w:bottom w:val="none" w:sz="0" w:space="0" w:color="auto"/>
        <w:right w:val="none" w:sz="0" w:space="0" w:color="auto"/>
      </w:divBdr>
      <w:divsChild>
        <w:div w:id="203106874">
          <w:marLeft w:val="0"/>
          <w:marRight w:val="0"/>
          <w:marTop w:val="0"/>
          <w:marBottom w:val="0"/>
          <w:divBdr>
            <w:top w:val="none" w:sz="0" w:space="0" w:color="auto"/>
            <w:left w:val="none" w:sz="0" w:space="0" w:color="auto"/>
            <w:bottom w:val="none" w:sz="0" w:space="0" w:color="auto"/>
            <w:right w:val="none" w:sz="0" w:space="0" w:color="auto"/>
          </w:divBdr>
          <w:divsChild>
            <w:div w:id="1605263374">
              <w:marLeft w:val="0"/>
              <w:marRight w:val="0"/>
              <w:marTop w:val="0"/>
              <w:marBottom w:val="0"/>
              <w:divBdr>
                <w:top w:val="none" w:sz="0" w:space="0" w:color="auto"/>
                <w:left w:val="none" w:sz="0" w:space="0" w:color="auto"/>
                <w:bottom w:val="none" w:sz="0" w:space="0" w:color="auto"/>
                <w:right w:val="none" w:sz="0" w:space="0" w:color="auto"/>
              </w:divBdr>
              <w:divsChild>
                <w:div w:id="3323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78001">
      <w:bodyDiv w:val="1"/>
      <w:marLeft w:val="0"/>
      <w:marRight w:val="0"/>
      <w:marTop w:val="0"/>
      <w:marBottom w:val="0"/>
      <w:divBdr>
        <w:top w:val="none" w:sz="0" w:space="0" w:color="auto"/>
        <w:left w:val="none" w:sz="0" w:space="0" w:color="auto"/>
        <w:bottom w:val="none" w:sz="0" w:space="0" w:color="auto"/>
        <w:right w:val="none" w:sz="0" w:space="0" w:color="auto"/>
      </w:divBdr>
      <w:divsChild>
        <w:div w:id="613024649">
          <w:marLeft w:val="0"/>
          <w:marRight w:val="0"/>
          <w:marTop w:val="0"/>
          <w:marBottom w:val="0"/>
          <w:divBdr>
            <w:top w:val="none" w:sz="0" w:space="0" w:color="auto"/>
            <w:left w:val="none" w:sz="0" w:space="0" w:color="auto"/>
            <w:bottom w:val="none" w:sz="0" w:space="0" w:color="auto"/>
            <w:right w:val="none" w:sz="0" w:space="0" w:color="auto"/>
          </w:divBdr>
          <w:divsChild>
            <w:div w:id="451439588">
              <w:marLeft w:val="0"/>
              <w:marRight w:val="0"/>
              <w:marTop w:val="0"/>
              <w:marBottom w:val="0"/>
              <w:divBdr>
                <w:top w:val="none" w:sz="0" w:space="0" w:color="auto"/>
                <w:left w:val="none" w:sz="0" w:space="0" w:color="auto"/>
                <w:bottom w:val="none" w:sz="0" w:space="0" w:color="auto"/>
                <w:right w:val="none" w:sz="0" w:space="0" w:color="auto"/>
              </w:divBdr>
              <w:divsChild>
                <w:div w:id="1472287123">
                  <w:marLeft w:val="0"/>
                  <w:marRight w:val="0"/>
                  <w:marTop w:val="0"/>
                  <w:marBottom w:val="0"/>
                  <w:divBdr>
                    <w:top w:val="none" w:sz="0" w:space="0" w:color="auto"/>
                    <w:left w:val="none" w:sz="0" w:space="0" w:color="auto"/>
                    <w:bottom w:val="none" w:sz="0" w:space="0" w:color="auto"/>
                    <w:right w:val="none" w:sz="0" w:space="0" w:color="auto"/>
                  </w:divBdr>
                </w:div>
              </w:divsChild>
            </w:div>
            <w:div w:id="1767773853">
              <w:marLeft w:val="0"/>
              <w:marRight w:val="0"/>
              <w:marTop w:val="0"/>
              <w:marBottom w:val="0"/>
              <w:divBdr>
                <w:top w:val="none" w:sz="0" w:space="0" w:color="auto"/>
                <w:left w:val="none" w:sz="0" w:space="0" w:color="auto"/>
                <w:bottom w:val="none" w:sz="0" w:space="0" w:color="auto"/>
                <w:right w:val="none" w:sz="0" w:space="0" w:color="auto"/>
              </w:divBdr>
              <w:divsChild>
                <w:div w:id="8920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43394">
          <w:marLeft w:val="0"/>
          <w:marRight w:val="0"/>
          <w:marTop w:val="0"/>
          <w:marBottom w:val="0"/>
          <w:divBdr>
            <w:top w:val="none" w:sz="0" w:space="0" w:color="auto"/>
            <w:left w:val="none" w:sz="0" w:space="0" w:color="auto"/>
            <w:bottom w:val="none" w:sz="0" w:space="0" w:color="auto"/>
            <w:right w:val="none" w:sz="0" w:space="0" w:color="auto"/>
          </w:divBdr>
          <w:divsChild>
            <w:div w:id="1786462394">
              <w:marLeft w:val="0"/>
              <w:marRight w:val="0"/>
              <w:marTop w:val="0"/>
              <w:marBottom w:val="0"/>
              <w:divBdr>
                <w:top w:val="none" w:sz="0" w:space="0" w:color="auto"/>
                <w:left w:val="none" w:sz="0" w:space="0" w:color="auto"/>
                <w:bottom w:val="none" w:sz="0" w:space="0" w:color="auto"/>
                <w:right w:val="none" w:sz="0" w:space="0" w:color="auto"/>
              </w:divBdr>
              <w:divsChild>
                <w:div w:id="4087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91357">
      <w:bodyDiv w:val="1"/>
      <w:marLeft w:val="0"/>
      <w:marRight w:val="0"/>
      <w:marTop w:val="0"/>
      <w:marBottom w:val="0"/>
      <w:divBdr>
        <w:top w:val="none" w:sz="0" w:space="0" w:color="auto"/>
        <w:left w:val="none" w:sz="0" w:space="0" w:color="auto"/>
        <w:bottom w:val="none" w:sz="0" w:space="0" w:color="auto"/>
        <w:right w:val="none" w:sz="0" w:space="0" w:color="auto"/>
      </w:divBdr>
    </w:div>
    <w:div w:id="574241155">
      <w:bodyDiv w:val="1"/>
      <w:marLeft w:val="0"/>
      <w:marRight w:val="0"/>
      <w:marTop w:val="0"/>
      <w:marBottom w:val="0"/>
      <w:divBdr>
        <w:top w:val="none" w:sz="0" w:space="0" w:color="auto"/>
        <w:left w:val="none" w:sz="0" w:space="0" w:color="auto"/>
        <w:bottom w:val="none" w:sz="0" w:space="0" w:color="auto"/>
        <w:right w:val="none" w:sz="0" w:space="0" w:color="auto"/>
      </w:divBdr>
      <w:divsChild>
        <w:div w:id="814906167">
          <w:marLeft w:val="0"/>
          <w:marRight w:val="0"/>
          <w:marTop w:val="0"/>
          <w:marBottom w:val="0"/>
          <w:divBdr>
            <w:top w:val="none" w:sz="0" w:space="0" w:color="auto"/>
            <w:left w:val="none" w:sz="0" w:space="0" w:color="auto"/>
            <w:bottom w:val="none" w:sz="0" w:space="0" w:color="auto"/>
            <w:right w:val="none" w:sz="0" w:space="0" w:color="auto"/>
          </w:divBdr>
          <w:divsChild>
            <w:div w:id="1073041665">
              <w:marLeft w:val="0"/>
              <w:marRight w:val="0"/>
              <w:marTop w:val="0"/>
              <w:marBottom w:val="0"/>
              <w:divBdr>
                <w:top w:val="none" w:sz="0" w:space="0" w:color="auto"/>
                <w:left w:val="none" w:sz="0" w:space="0" w:color="auto"/>
                <w:bottom w:val="none" w:sz="0" w:space="0" w:color="auto"/>
                <w:right w:val="none" w:sz="0" w:space="0" w:color="auto"/>
              </w:divBdr>
              <w:divsChild>
                <w:div w:id="41335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664731">
      <w:bodyDiv w:val="1"/>
      <w:marLeft w:val="0"/>
      <w:marRight w:val="0"/>
      <w:marTop w:val="0"/>
      <w:marBottom w:val="0"/>
      <w:divBdr>
        <w:top w:val="none" w:sz="0" w:space="0" w:color="auto"/>
        <w:left w:val="none" w:sz="0" w:space="0" w:color="auto"/>
        <w:bottom w:val="none" w:sz="0" w:space="0" w:color="auto"/>
        <w:right w:val="none" w:sz="0" w:space="0" w:color="auto"/>
      </w:divBdr>
      <w:divsChild>
        <w:div w:id="279799299">
          <w:marLeft w:val="0"/>
          <w:marRight w:val="0"/>
          <w:marTop w:val="0"/>
          <w:marBottom w:val="0"/>
          <w:divBdr>
            <w:top w:val="none" w:sz="0" w:space="0" w:color="auto"/>
            <w:left w:val="none" w:sz="0" w:space="0" w:color="auto"/>
            <w:bottom w:val="none" w:sz="0" w:space="0" w:color="auto"/>
            <w:right w:val="none" w:sz="0" w:space="0" w:color="auto"/>
          </w:divBdr>
          <w:divsChild>
            <w:div w:id="267389913">
              <w:marLeft w:val="0"/>
              <w:marRight w:val="0"/>
              <w:marTop w:val="0"/>
              <w:marBottom w:val="0"/>
              <w:divBdr>
                <w:top w:val="none" w:sz="0" w:space="0" w:color="auto"/>
                <w:left w:val="none" w:sz="0" w:space="0" w:color="auto"/>
                <w:bottom w:val="none" w:sz="0" w:space="0" w:color="auto"/>
                <w:right w:val="none" w:sz="0" w:space="0" w:color="auto"/>
              </w:divBdr>
              <w:divsChild>
                <w:div w:id="128642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22177">
      <w:bodyDiv w:val="1"/>
      <w:marLeft w:val="0"/>
      <w:marRight w:val="0"/>
      <w:marTop w:val="0"/>
      <w:marBottom w:val="0"/>
      <w:divBdr>
        <w:top w:val="none" w:sz="0" w:space="0" w:color="auto"/>
        <w:left w:val="none" w:sz="0" w:space="0" w:color="auto"/>
        <w:bottom w:val="none" w:sz="0" w:space="0" w:color="auto"/>
        <w:right w:val="none" w:sz="0" w:space="0" w:color="auto"/>
      </w:divBdr>
      <w:divsChild>
        <w:div w:id="1182091424">
          <w:marLeft w:val="0"/>
          <w:marRight w:val="0"/>
          <w:marTop w:val="0"/>
          <w:marBottom w:val="0"/>
          <w:divBdr>
            <w:top w:val="none" w:sz="0" w:space="0" w:color="auto"/>
            <w:left w:val="none" w:sz="0" w:space="0" w:color="auto"/>
            <w:bottom w:val="none" w:sz="0" w:space="0" w:color="auto"/>
            <w:right w:val="none" w:sz="0" w:space="0" w:color="auto"/>
          </w:divBdr>
          <w:divsChild>
            <w:div w:id="1915697141">
              <w:marLeft w:val="0"/>
              <w:marRight w:val="0"/>
              <w:marTop w:val="0"/>
              <w:marBottom w:val="0"/>
              <w:divBdr>
                <w:top w:val="none" w:sz="0" w:space="0" w:color="auto"/>
                <w:left w:val="none" w:sz="0" w:space="0" w:color="auto"/>
                <w:bottom w:val="none" w:sz="0" w:space="0" w:color="auto"/>
                <w:right w:val="none" w:sz="0" w:space="0" w:color="auto"/>
              </w:divBdr>
              <w:divsChild>
                <w:div w:id="60827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8820">
      <w:bodyDiv w:val="1"/>
      <w:marLeft w:val="0"/>
      <w:marRight w:val="0"/>
      <w:marTop w:val="0"/>
      <w:marBottom w:val="0"/>
      <w:divBdr>
        <w:top w:val="none" w:sz="0" w:space="0" w:color="auto"/>
        <w:left w:val="none" w:sz="0" w:space="0" w:color="auto"/>
        <w:bottom w:val="none" w:sz="0" w:space="0" w:color="auto"/>
        <w:right w:val="none" w:sz="0" w:space="0" w:color="auto"/>
      </w:divBdr>
      <w:divsChild>
        <w:div w:id="250087216">
          <w:marLeft w:val="0"/>
          <w:marRight w:val="0"/>
          <w:marTop w:val="0"/>
          <w:marBottom w:val="0"/>
          <w:divBdr>
            <w:top w:val="none" w:sz="0" w:space="0" w:color="auto"/>
            <w:left w:val="none" w:sz="0" w:space="0" w:color="auto"/>
            <w:bottom w:val="none" w:sz="0" w:space="0" w:color="auto"/>
            <w:right w:val="none" w:sz="0" w:space="0" w:color="auto"/>
          </w:divBdr>
          <w:divsChild>
            <w:div w:id="1843474109">
              <w:marLeft w:val="0"/>
              <w:marRight w:val="0"/>
              <w:marTop w:val="0"/>
              <w:marBottom w:val="0"/>
              <w:divBdr>
                <w:top w:val="none" w:sz="0" w:space="0" w:color="auto"/>
                <w:left w:val="none" w:sz="0" w:space="0" w:color="auto"/>
                <w:bottom w:val="none" w:sz="0" w:space="0" w:color="auto"/>
                <w:right w:val="none" w:sz="0" w:space="0" w:color="auto"/>
              </w:divBdr>
              <w:divsChild>
                <w:div w:id="158540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69204">
      <w:bodyDiv w:val="1"/>
      <w:marLeft w:val="0"/>
      <w:marRight w:val="0"/>
      <w:marTop w:val="0"/>
      <w:marBottom w:val="0"/>
      <w:divBdr>
        <w:top w:val="none" w:sz="0" w:space="0" w:color="auto"/>
        <w:left w:val="none" w:sz="0" w:space="0" w:color="auto"/>
        <w:bottom w:val="none" w:sz="0" w:space="0" w:color="auto"/>
        <w:right w:val="none" w:sz="0" w:space="0" w:color="auto"/>
      </w:divBdr>
      <w:divsChild>
        <w:div w:id="940261846">
          <w:marLeft w:val="0"/>
          <w:marRight w:val="0"/>
          <w:marTop w:val="0"/>
          <w:marBottom w:val="0"/>
          <w:divBdr>
            <w:top w:val="none" w:sz="0" w:space="0" w:color="auto"/>
            <w:left w:val="none" w:sz="0" w:space="0" w:color="auto"/>
            <w:bottom w:val="none" w:sz="0" w:space="0" w:color="auto"/>
            <w:right w:val="none" w:sz="0" w:space="0" w:color="auto"/>
          </w:divBdr>
          <w:divsChild>
            <w:div w:id="1450396312">
              <w:marLeft w:val="0"/>
              <w:marRight w:val="0"/>
              <w:marTop w:val="0"/>
              <w:marBottom w:val="0"/>
              <w:divBdr>
                <w:top w:val="none" w:sz="0" w:space="0" w:color="auto"/>
                <w:left w:val="none" w:sz="0" w:space="0" w:color="auto"/>
                <w:bottom w:val="none" w:sz="0" w:space="0" w:color="auto"/>
                <w:right w:val="none" w:sz="0" w:space="0" w:color="auto"/>
              </w:divBdr>
              <w:divsChild>
                <w:div w:id="11157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19426">
      <w:bodyDiv w:val="1"/>
      <w:marLeft w:val="0"/>
      <w:marRight w:val="0"/>
      <w:marTop w:val="0"/>
      <w:marBottom w:val="0"/>
      <w:divBdr>
        <w:top w:val="none" w:sz="0" w:space="0" w:color="auto"/>
        <w:left w:val="none" w:sz="0" w:space="0" w:color="auto"/>
        <w:bottom w:val="none" w:sz="0" w:space="0" w:color="auto"/>
        <w:right w:val="none" w:sz="0" w:space="0" w:color="auto"/>
      </w:divBdr>
      <w:divsChild>
        <w:div w:id="1868447110">
          <w:marLeft w:val="0"/>
          <w:marRight w:val="0"/>
          <w:marTop w:val="0"/>
          <w:marBottom w:val="0"/>
          <w:divBdr>
            <w:top w:val="none" w:sz="0" w:space="0" w:color="auto"/>
            <w:left w:val="none" w:sz="0" w:space="0" w:color="auto"/>
            <w:bottom w:val="none" w:sz="0" w:space="0" w:color="auto"/>
            <w:right w:val="none" w:sz="0" w:space="0" w:color="auto"/>
          </w:divBdr>
          <w:divsChild>
            <w:div w:id="231357123">
              <w:marLeft w:val="0"/>
              <w:marRight w:val="0"/>
              <w:marTop w:val="0"/>
              <w:marBottom w:val="0"/>
              <w:divBdr>
                <w:top w:val="none" w:sz="0" w:space="0" w:color="auto"/>
                <w:left w:val="none" w:sz="0" w:space="0" w:color="auto"/>
                <w:bottom w:val="none" w:sz="0" w:space="0" w:color="auto"/>
                <w:right w:val="none" w:sz="0" w:space="0" w:color="auto"/>
              </w:divBdr>
              <w:divsChild>
                <w:div w:id="112218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194515">
      <w:bodyDiv w:val="1"/>
      <w:marLeft w:val="0"/>
      <w:marRight w:val="0"/>
      <w:marTop w:val="0"/>
      <w:marBottom w:val="0"/>
      <w:divBdr>
        <w:top w:val="none" w:sz="0" w:space="0" w:color="auto"/>
        <w:left w:val="none" w:sz="0" w:space="0" w:color="auto"/>
        <w:bottom w:val="none" w:sz="0" w:space="0" w:color="auto"/>
        <w:right w:val="none" w:sz="0" w:space="0" w:color="auto"/>
      </w:divBdr>
      <w:divsChild>
        <w:div w:id="360476926">
          <w:marLeft w:val="0"/>
          <w:marRight w:val="0"/>
          <w:marTop w:val="0"/>
          <w:marBottom w:val="0"/>
          <w:divBdr>
            <w:top w:val="none" w:sz="0" w:space="0" w:color="auto"/>
            <w:left w:val="none" w:sz="0" w:space="0" w:color="auto"/>
            <w:bottom w:val="none" w:sz="0" w:space="0" w:color="auto"/>
            <w:right w:val="none" w:sz="0" w:space="0" w:color="auto"/>
          </w:divBdr>
          <w:divsChild>
            <w:div w:id="286591004">
              <w:marLeft w:val="0"/>
              <w:marRight w:val="0"/>
              <w:marTop w:val="0"/>
              <w:marBottom w:val="0"/>
              <w:divBdr>
                <w:top w:val="none" w:sz="0" w:space="0" w:color="auto"/>
                <w:left w:val="none" w:sz="0" w:space="0" w:color="auto"/>
                <w:bottom w:val="none" w:sz="0" w:space="0" w:color="auto"/>
                <w:right w:val="none" w:sz="0" w:space="0" w:color="auto"/>
              </w:divBdr>
              <w:divsChild>
                <w:div w:id="138683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94812">
      <w:bodyDiv w:val="1"/>
      <w:marLeft w:val="0"/>
      <w:marRight w:val="0"/>
      <w:marTop w:val="0"/>
      <w:marBottom w:val="0"/>
      <w:divBdr>
        <w:top w:val="none" w:sz="0" w:space="0" w:color="auto"/>
        <w:left w:val="none" w:sz="0" w:space="0" w:color="auto"/>
        <w:bottom w:val="none" w:sz="0" w:space="0" w:color="auto"/>
        <w:right w:val="none" w:sz="0" w:space="0" w:color="auto"/>
      </w:divBdr>
      <w:divsChild>
        <w:div w:id="2070880217">
          <w:marLeft w:val="0"/>
          <w:marRight w:val="0"/>
          <w:marTop w:val="0"/>
          <w:marBottom w:val="0"/>
          <w:divBdr>
            <w:top w:val="none" w:sz="0" w:space="0" w:color="auto"/>
            <w:left w:val="none" w:sz="0" w:space="0" w:color="auto"/>
            <w:bottom w:val="none" w:sz="0" w:space="0" w:color="auto"/>
            <w:right w:val="none" w:sz="0" w:space="0" w:color="auto"/>
          </w:divBdr>
          <w:divsChild>
            <w:div w:id="204876616">
              <w:marLeft w:val="0"/>
              <w:marRight w:val="0"/>
              <w:marTop w:val="0"/>
              <w:marBottom w:val="0"/>
              <w:divBdr>
                <w:top w:val="none" w:sz="0" w:space="0" w:color="auto"/>
                <w:left w:val="none" w:sz="0" w:space="0" w:color="auto"/>
                <w:bottom w:val="none" w:sz="0" w:space="0" w:color="auto"/>
                <w:right w:val="none" w:sz="0" w:space="0" w:color="auto"/>
              </w:divBdr>
              <w:divsChild>
                <w:div w:id="96411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739817">
      <w:bodyDiv w:val="1"/>
      <w:marLeft w:val="0"/>
      <w:marRight w:val="0"/>
      <w:marTop w:val="0"/>
      <w:marBottom w:val="0"/>
      <w:divBdr>
        <w:top w:val="none" w:sz="0" w:space="0" w:color="auto"/>
        <w:left w:val="none" w:sz="0" w:space="0" w:color="auto"/>
        <w:bottom w:val="none" w:sz="0" w:space="0" w:color="auto"/>
        <w:right w:val="none" w:sz="0" w:space="0" w:color="auto"/>
      </w:divBdr>
      <w:divsChild>
        <w:div w:id="1950549949">
          <w:marLeft w:val="0"/>
          <w:marRight w:val="0"/>
          <w:marTop w:val="0"/>
          <w:marBottom w:val="0"/>
          <w:divBdr>
            <w:top w:val="none" w:sz="0" w:space="0" w:color="auto"/>
            <w:left w:val="none" w:sz="0" w:space="0" w:color="auto"/>
            <w:bottom w:val="none" w:sz="0" w:space="0" w:color="auto"/>
            <w:right w:val="none" w:sz="0" w:space="0" w:color="auto"/>
          </w:divBdr>
          <w:divsChild>
            <w:div w:id="489254112">
              <w:marLeft w:val="0"/>
              <w:marRight w:val="0"/>
              <w:marTop w:val="0"/>
              <w:marBottom w:val="0"/>
              <w:divBdr>
                <w:top w:val="none" w:sz="0" w:space="0" w:color="auto"/>
                <w:left w:val="none" w:sz="0" w:space="0" w:color="auto"/>
                <w:bottom w:val="none" w:sz="0" w:space="0" w:color="auto"/>
                <w:right w:val="none" w:sz="0" w:space="0" w:color="auto"/>
              </w:divBdr>
              <w:divsChild>
                <w:div w:id="6309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02495">
      <w:bodyDiv w:val="1"/>
      <w:marLeft w:val="0"/>
      <w:marRight w:val="0"/>
      <w:marTop w:val="0"/>
      <w:marBottom w:val="0"/>
      <w:divBdr>
        <w:top w:val="none" w:sz="0" w:space="0" w:color="auto"/>
        <w:left w:val="none" w:sz="0" w:space="0" w:color="auto"/>
        <w:bottom w:val="none" w:sz="0" w:space="0" w:color="auto"/>
        <w:right w:val="none" w:sz="0" w:space="0" w:color="auto"/>
      </w:divBdr>
      <w:divsChild>
        <w:div w:id="1704747191">
          <w:marLeft w:val="0"/>
          <w:marRight w:val="0"/>
          <w:marTop w:val="0"/>
          <w:marBottom w:val="0"/>
          <w:divBdr>
            <w:top w:val="none" w:sz="0" w:space="0" w:color="auto"/>
            <w:left w:val="none" w:sz="0" w:space="0" w:color="auto"/>
            <w:bottom w:val="none" w:sz="0" w:space="0" w:color="auto"/>
            <w:right w:val="none" w:sz="0" w:space="0" w:color="auto"/>
          </w:divBdr>
          <w:divsChild>
            <w:div w:id="1087076720">
              <w:marLeft w:val="0"/>
              <w:marRight w:val="0"/>
              <w:marTop w:val="0"/>
              <w:marBottom w:val="0"/>
              <w:divBdr>
                <w:top w:val="none" w:sz="0" w:space="0" w:color="auto"/>
                <w:left w:val="none" w:sz="0" w:space="0" w:color="auto"/>
                <w:bottom w:val="none" w:sz="0" w:space="0" w:color="auto"/>
                <w:right w:val="none" w:sz="0" w:space="0" w:color="auto"/>
              </w:divBdr>
              <w:divsChild>
                <w:div w:id="19052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986205">
      <w:bodyDiv w:val="1"/>
      <w:marLeft w:val="0"/>
      <w:marRight w:val="0"/>
      <w:marTop w:val="0"/>
      <w:marBottom w:val="0"/>
      <w:divBdr>
        <w:top w:val="none" w:sz="0" w:space="0" w:color="auto"/>
        <w:left w:val="none" w:sz="0" w:space="0" w:color="auto"/>
        <w:bottom w:val="none" w:sz="0" w:space="0" w:color="auto"/>
        <w:right w:val="none" w:sz="0" w:space="0" w:color="auto"/>
      </w:divBdr>
      <w:divsChild>
        <w:div w:id="339505296">
          <w:marLeft w:val="0"/>
          <w:marRight w:val="0"/>
          <w:marTop w:val="0"/>
          <w:marBottom w:val="0"/>
          <w:divBdr>
            <w:top w:val="none" w:sz="0" w:space="0" w:color="auto"/>
            <w:left w:val="none" w:sz="0" w:space="0" w:color="auto"/>
            <w:bottom w:val="none" w:sz="0" w:space="0" w:color="auto"/>
            <w:right w:val="none" w:sz="0" w:space="0" w:color="auto"/>
          </w:divBdr>
          <w:divsChild>
            <w:div w:id="1793552459">
              <w:marLeft w:val="0"/>
              <w:marRight w:val="0"/>
              <w:marTop w:val="0"/>
              <w:marBottom w:val="0"/>
              <w:divBdr>
                <w:top w:val="none" w:sz="0" w:space="0" w:color="auto"/>
                <w:left w:val="none" w:sz="0" w:space="0" w:color="auto"/>
                <w:bottom w:val="none" w:sz="0" w:space="0" w:color="auto"/>
                <w:right w:val="none" w:sz="0" w:space="0" w:color="auto"/>
              </w:divBdr>
              <w:divsChild>
                <w:div w:id="124166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footer" Target="footer3.xml"/><Relationship Id="rId10" Type="http://schemas.openxmlformats.org/officeDocument/2006/relationships/chart" Target="charts/chart4.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Users\alemlaimchen\Library\Containers\com.microsoft.Excel\Data\Library\Application%20Support\Microsoft\paper%203%20charts%20(version%201).xlsb"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Users\alemlaimchen\Library\Containers\com.microsoft.Excel\Data\Library\Application%20Support\Microsoft\paper%203%20charts%20(version%201).xlsb"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Users\alemlaimchen\Library\Containers\com.microsoft.Excel\Data\Library\Application%20Support\Microsoft\paper%203%20charts%20(version%201).xlsb"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alemlaimchen\Library\Containers\com.microsoft.Excel\Data\Library\Application%20Support\Microsoft\paper%203%20charts%20(version%201).xlsb"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alemlaimchen\Library\Containers\com.microsoft.Excel\Data\Library\Application%20Support\Microsoft\paper%203%20charts%20(version%201).xlsb"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alemlaimchen\Library\Containers\com.microsoft.Excel\Data\Library\Application%20Support\Microsoft\paper%203%20charts%20(version%201).xlsb"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alemlaimchen\Library\Containers\com.microsoft.Excel\Data\Library\Application%20Support\Microsoft\paper%203%20charts%20(version%201).xlsb"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Users\alemlaimchen\Library\Containers\com.microsoft.Excel\Data\Library\Application%20Support\Microsoft\paper%203%20charts%20(version%201).xlsb"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Users\alemlaimchen\Library\Containers\com.microsoft.Excel\Data\Library\Application%20Support\Microsoft\paper%203%20charts%20(version%201).xlsb"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Users\alemlaimchen\Library\Containers\com.microsoft.Excel\Data\Library\Application%20Support\Microsoft\paper%203%20charts%20(version%201).xlsb"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600" b="1" i="0" u="none" strike="noStrike" kern="1200" spc="0" baseline="0">
                <a:solidFill>
                  <a:schemeClr val="tx1">
                    <a:lumMod val="65000"/>
                    <a:lumOff val="35000"/>
                  </a:schemeClr>
                </a:solidFill>
                <a:latin typeface="+mn-lt"/>
                <a:ea typeface="+mn-ea"/>
                <a:cs typeface="+mn-cs"/>
              </a:defRPr>
            </a:pPr>
            <a:r>
              <a:rPr lang="en-GB"/>
              <a:t>Firmness (kg/cm2)</a:t>
            </a:r>
          </a:p>
        </c:rich>
      </c:tx>
      <c:overlay val="0"/>
      <c:spPr>
        <a:noFill/>
        <a:ln>
          <a:noFill/>
        </a:ln>
        <a:effectLst/>
      </c:spPr>
      <c:txPr>
        <a:bodyPr rot="0" spcFirstLastPara="1" vertOverflow="ellipsis" vert="horz" wrap="square" anchor="ctr" anchorCtr="1"/>
        <a:lstStyle/>
        <a:p>
          <a:pPr>
            <a:defRPr sz="6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Sheet1!$A$3</c:f>
              <c:strCache>
                <c:ptCount val="1"/>
                <c:pt idx="0">
                  <c:v>H1</c:v>
                </c:pt>
              </c:strCache>
            </c:strRef>
          </c:tx>
          <c:spPr>
            <a:solidFill>
              <a:schemeClr val="accent1"/>
            </a:solidFill>
            <a:ln>
              <a:noFill/>
            </a:ln>
            <a:effectLst/>
          </c:spPr>
          <c:invertIfNegative val="0"/>
          <c:errBars>
            <c:errBarType val="both"/>
            <c:errValType val="cust"/>
            <c:noEndCap val="0"/>
            <c:plus>
              <c:numRef>
                <c:f>Sheet1!$B$6:$D$6</c:f>
                <c:numCache>
                  <c:formatCode>General</c:formatCode>
                  <c:ptCount val="3"/>
                  <c:pt idx="0">
                    <c:v>1.5383215961993555</c:v>
                  </c:pt>
                  <c:pt idx="1">
                    <c:v>1.9350538321538622</c:v>
                  </c:pt>
                  <c:pt idx="2">
                    <c:v>1.7298843892006213</c:v>
                  </c:pt>
                </c:numCache>
              </c:numRef>
            </c:plus>
            <c:minus>
              <c:numRef>
                <c:f>Sheet1!$B$6:$D$6</c:f>
                <c:numCache>
                  <c:formatCode>General</c:formatCode>
                  <c:ptCount val="3"/>
                  <c:pt idx="0">
                    <c:v>1.5383215961993555</c:v>
                  </c:pt>
                  <c:pt idx="1">
                    <c:v>1.9350538321538622</c:v>
                  </c:pt>
                  <c:pt idx="2">
                    <c:v>1.7298843892006213</c:v>
                  </c:pt>
                </c:numCache>
              </c:numRef>
            </c:minus>
            <c:spPr>
              <a:noFill/>
              <a:ln w="9525" cap="flat" cmpd="sng" algn="ctr">
                <a:solidFill>
                  <a:schemeClr val="tx1">
                    <a:lumMod val="65000"/>
                    <a:lumOff val="35000"/>
                  </a:schemeClr>
                </a:solidFill>
                <a:round/>
              </a:ln>
              <a:effectLst/>
            </c:spPr>
          </c:errBars>
          <c:cat>
            <c:strRef>
              <c:f>Sheet1!$B$2:$D$2</c:f>
              <c:strCache>
                <c:ptCount val="3"/>
                <c:pt idx="0">
                  <c:v>2021</c:v>
                </c:pt>
                <c:pt idx="1">
                  <c:v>2022</c:v>
                </c:pt>
                <c:pt idx="2">
                  <c:v>Pooled</c:v>
                </c:pt>
              </c:strCache>
            </c:strRef>
          </c:cat>
          <c:val>
            <c:numRef>
              <c:f>Sheet1!$B$3:$D$3</c:f>
              <c:numCache>
                <c:formatCode>General</c:formatCode>
                <c:ptCount val="3"/>
                <c:pt idx="0">
                  <c:v>10.91</c:v>
                </c:pt>
                <c:pt idx="1">
                  <c:v>11.23</c:v>
                </c:pt>
                <c:pt idx="2">
                  <c:v>11.07</c:v>
                </c:pt>
              </c:numCache>
            </c:numRef>
          </c:val>
          <c:extLst>
            <c:ext xmlns:c16="http://schemas.microsoft.com/office/drawing/2014/chart" uri="{C3380CC4-5D6E-409C-BE32-E72D297353CC}">
              <c16:uniqueId val="{00000000-97C0-6A49-AD89-E1112753BD86}"/>
            </c:ext>
          </c:extLst>
        </c:ser>
        <c:ser>
          <c:idx val="1"/>
          <c:order val="1"/>
          <c:tx>
            <c:strRef>
              <c:f>Sheet1!$A$4</c:f>
              <c:strCache>
                <c:ptCount val="1"/>
                <c:pt idx="0">
                  <c:v>H2</c:v>
                </c:pt>
              </c:strCache>
            </c:strRef>
          </c:tx>
          <c:spPr>
            <a:solidFill>
              <a:schemeClr val="accent2"/>
            </a:solidFill>
            <a:ln>
              <a:noFill/>
            </a:ln>
            <a:effectLst/>
          </c:spPr>
          <c:invertIfNegative val="0"/>
          <c:errBars>
            <c:errBarType val="both"/>
            <c:errValType val="cust"/>
            <c:noEndCap val="0"/>
            <c:plus>
              <c:numRef>
                <c:f>Sheet1!$B$6:$D$6</c:f>
                <c:numCache>
                  <c:formatCode>General</c:formatCode>
                  <c:ptCount val="3"/>
                  <c:pt idx="0">
                    <c:v>1.5383215961993555</c:v>
                  </c:pt>
                  <c:pt idx="1">
                    <c:v>1.9350538321538622</c:v>
                  </c:pt>
                  <c:pt idx="2">
                    <c:v>1.7298843892006213</c:v>
                  </c:pt>
                </c:numCache>
              </c:numRef>
            </c:plus>
            <c:minus>
              <c:numRef>
                <c:f>Sheet1!$B$6:$D$6</c:f>
                <c:numCache>
                  <c:formatCode>General</c:formatCode>
                  <c:ptCount val="3"/>
                  <c:pt idx="0">
                    <c:v>1.5383215961993555</c:v>
                  </c:pt>
                  <c:pt idx="1">
                    <c:v>1.9350538321538622</c:v>
                  </c:pt>
                  <c:pt idx="2">
                    <c:v>1.7298843892006213</c:v>
                  </c:pt>
                </c:numCache>
              </c:numRef>
            </c:minus>
            <c:spPr>
              <a:noFill/>
              <a:ln w="9525" cap="flat" cmpd="sng" algn="ctr">
                <a:solidFill>
                  <a:schemeClr val="tx1">
                    <a:lumMod val="65000"/>
                    <a:lumOff val="35000"/>
                  </a:schemeClr>
                </a:solidFill>
                <a:round/>
              </a:ln>
              <a:effectLst/>
            </c:spPr>
          </c:errBars>
          <c:cat>
            <c:strRef>
              <c:f>Sheet1!$B$2:$D$2</c:f>
              <c:strCache>
                <c:ptCount val="3"/>
                <c:pt idx="0">
                  <c:v>2021</c:v>
                </c:pt>
                <c:pt idx="1">
                  <c:v>2022</c:v>
                </c:pt>
                <c:pt idx="2">
                  <c:v>Pooled</c:v>
                </c:pt>
              </c:strCache>
            </c:strRef>
          </c:cat>
          <c:val>
            <c:numRef>
              <c:f>Sheet1!$B$4:$D$4</c:f>
              <c:numCache>
                <c:formatCode>General</c:formatCode>
                <c:ptCount val="3"/>
                <c:pt idx="0">
                  <c:v>8.98</c:v>
                </c:pt>
                <c:pt idx="1">
                  <c:v>9.27</c:v>
                </c:pt>
                <c:pt idx="2">
                  <c:v>9.1199999999999992</c:v>
                </c:pt>
              </c:numCache>
            </c:numRef>
          </c:val>
          <c:extLst>
            <c:ext xmlns:c16="http://schemas.microsoft.com/office/drawing/2014/chart" uri="{C3380CC4-5D6E-409C-BE32-E72D297353CC}">
              <c16:uniqueId val="{00000001-97C0-6A49-AD89-E1112753BD86}"/>
            </c:ext>
          </c:extLst>
        </c:ser>
        <c:ser>
          <c:idx val="2"/>
          <c:order val="2"/>
          <c:tx>
            <c:strRef>
              <c:f>Sheet1!$A$5</c:f>
              <c:strCache>
                <c:ptCount val="1"/>
                <c:pt idx="0">
                  <c:v>H3</c:v>
                </c:pt>
              </c:strCache>
            </c:strRef>
          </c:tx>
          <c:spPr>
            <a:solidFill>
              <a:schemeClr val="accent3"/>
            </a:solidFill>
            <a:ln>
              <a:noFill/>
            </a:ln>
            <a:effectLst/>
          </c:spPr>
          <c:invertIfNegative val="0"/>
          <c:errBars>
            <c:errBarType val="both"/>
            <c:errValType val="cust"/>
            <c:noEndCap val="0"/>
            <c:plus>
              <c:numRef>
                <c:f>Sheet1!$B$6:$D$6</c:f>
                <c:numCache>
                  <c:formatCode>General</c:formatCode>
                  <c:ptCount val="3"/>
                  <c:pt idx="0">
                    <c:v>1.5383215961993555</c:v>
                  </c:pt>
                  <c:pt idx="1">
                    <c:v>1.9350538321538622</c:v>
                  </c:pt>
                  <c:pt idx="2">
                    <c:v>1.7298843892006213</c:v>
                  </c:pt>
                </c:numCache>
              </c:numRef>
            </c:plus>
            <c:minus>
              <c:numRef>
                <c:f>Sheet1!$B$6:$D$6</c:f>
                <c:numCache>
                  <c:formatCode>General</c:formatCode>
                  <c:ptCount val="3"/>
                  <c:pt idx="0">
                    <c:v>1.5383215961993555</c:v>
                  </c:pt>
                  <c:pt idx="1">
                    <c:v>1.9350538321538622</c:v>
                  </c:pt>
                  <c:pt idx="2">
                    <c:v>1.7298843892006213</c:v>
                  </c:pt>
                </c:numCache>
              </c:numRef>
            </c:minus>
            <c:spPr>
              <a:noFill/>
              <a:ln w="9525" cap="flat" cmpd="sng" algn="ctr">
                <a:solidFill>
                  <a:schemeClr val="tx1">
                    <a:lumMod val="65000"/>
                    <a:lumOff val="35000"/>
                  </a:schemeClr>
                </a:solidFill>
                <a:round/>
              </a:ln>
              <a:effectLst/>
            </c:spPr>
          </c:errBars>
          <c:cat>
            <c:strRef>
              <c:f>Sheet1!$B$2:$D$2</c:f>
              <c:strCache>
                <c:ptCount val="3"/>
                <c:pt idx="0">
                  <c:v>2021</c:v>
                </c:pt>
                <c:pt idx="1">
                  <c:v>2022</c:v>
                </c:pt>
                <c:pt idx="2">
                  <c:v>Pooled</c:v>
                </c:pt>
              </c:strCache>
            </c:strRef>
          </c:cat>
          <c:val>
            <c:numRef>
              <c:f>Sheet1!$B$5:$D$5</c:f>
              <c:numCache>
                <c:formatCode>General</c:formatCode>
                <c:ptCount val="3"/>
                <c:pt idx="0">
                  <c:v>7.87</c:v>
                </c:pt>
                <c:pt idx="1">
                  <c:v>7.36</c:v>
                </c:pt>
                <c:pt idx="2">
                  <c:v>7.62</c:v>
                </c:pt>
              </c:numCache>
            </c:numRef>
          </c:val>
          <c:extLst>
            <c:ext xmlns:c16="http://schemas.microsoft.com/office/drawing/2014/chart" uri="{C3380CC4-5D6E-409C-BE32-E72D297353CC}">
              <c16:uniqueId val="{00000002-97C0-6A49-AD89-E1112753BD86}"/>
            </c:ext>
          </c:extLst>
        </c:ser>
        <c:dLbls>
          <c:showLegendKey val="0"/>
          <c:showVal val="0"/>
          <c:showCatName val="0"/>
          <c:showSerName val="0"/>
          <c:showPercent val="0"/>
          <c:showBubbleSize val="0"/>
        </c:dLbls>
        <c:gapWidth val="219"/>
        <c:overlap val="-27"/>
        <c:axId val="2118156816"/>
        <c:axId val="2118236576"/>
      </c:barChart>
      <c:catAx>
        <c:axId val="2118156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1" i="0" u="none" strike="noStrike" kern="1200" baseline="0">
                <a:solidFill>
                  <a:schemeClr val="tx1">
                    <a:lumMod val="65000"/>
                    <a:lumOff val="35000"/>
                  </a:schemeClr>
                </a:solidFill>
                <a:latin typeface="+mn-lt"/>
                <a:ea typeface="+mn-ea"/>
                <a:cs typeface="+mn-cs"/>
              </a:defRPr>
            </a:pPr>
            <a:endParaRPr lang="en-US"/>
          </a:p>
        </c:txPr>
        <c:crossAx val="2118236576"/>
        <c:crosses val="autoZero"/>
        <c:auto val="1"/>
        <c:lblAlgn val="ctr"/>
        <c:lblOffset val="100"/>
        <c:noMultiLvlLbl val="0"/>
      </c:catAx>
      <c:valAx>
        <c:axId val="2118236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500" b="1" i="0" u="none" strike="noStrike" kern="1200" baseline="0">
                <a:solidFill>
                  <a:schemeClr val="tx1">
                    <a:lumMod val="65000"/>
                    <a:lumOff val="35000"/>
                  </a:schemeClr>
                </a:solidFill>
                <a:latin typeface="+mn-lt"/>
                <a:ea typeface="+mn-ea"/>
                <a:cs typeface="+mn-cs"/>
              </a:defRPr>
            </a:pPr>
            <a:endParaRPr lang="en-US"/>
          </a:p>
        </c:txPr>
        <c:crossAx val="2118156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5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500" b="1"/>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Reducing sugar</a:t>
            </a:r>
          </a:p>
        </c:rich>
      </c:tx>
      <c:overlay val="0"/>
      <c:spPr>
        <a:noFill/>
        <a:ln>
          <a:noFill/>
        </a:ln>
        <a:effectLst/>
      </c:spPr>
      <c:txPr>
        <a:bodyPr rot="0" spcFirstLastPara="1" vertOverflow="ellipsis" vert="horz" wrap="square" anchor="ctr" anchorCtr="1"/>
        <a:lstStyle/>
        <a:p>
          <a:pPr>
            <a:defRPr sz="72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Sheet1!$M$21</c:f>
              <c:strCache>
                <c:ptCount val="1"/>
                <c:pt idx="0">
                  <c:v>H1</c:v>
                </c:pt>
              </c:strCache>
            </c:strRef>
          </c:tx>
          <c:spPr>
            <a:solidFill>
              <a:schemeClr val="accent1"/>
            </a:solidFill>
            <a:ln>
              <a:noFill/>
            </a:ln>
            <a:effectLst/>
          </c:spPr>
          <c:invertIfNegative val="0"/>
          <c:errBars>
            <c:errBarType val="both"/>
            <c:errValType val="cust"/>
            <c:noEndCap val="0"/>
            <c:plus>
              <c:numRef>
                <c:f>Sheet1!$N$24:$P$24</c:f>
                <c:numCache>
                  <c:formatCode>General</c:formatCode>
                  <c:ptCount val="3"/>
                  <c:pt idx="0">
                    <c:v>0.94028364514828267</c:v>
                  </c:pt>
                  <c:pt idx="1">
                    <c:v>0.95817534929677617</c:v>
                  </c:pt>
                  <c:pt idx="2">
                    <c:v>0.94743513410329649</c:v>
                  </c:pt>
                </c:numCache>
              </c:numRef>
            </c:plus>
            <c:minus>
              <c:numRef>
                <c:f>Sheet1!$N$24:$P$24</c:f>
                <c:numCache>
                  <c:formatCode>General</c:formatCode>
                  <c:ptCount val="3"/>
                  <c:pt idx="0">
                    <c:v>0.94028364514828267</c:v>
                  </c:pt>
                  <c:pt idx="1">
                    <c:v>0.95817534929677617</c:v>
                  </c:pt>
                  <c:pt idx="2">
                    <c:v>0.94743513410329649</c:v>
                  </c:pt>
                </c:numCache>
              </c:numRef>
            </c:minus>
            <c:spPr>
              <a:noFill/>
              <a:ln w="9525" cap="flat" cmpd="sng" algn="ctr">
                <a:solidFill>
                  <a:schemeClr val="tx1">
                    <a:lumMod val="65000"/>
                    <a:lumOff val="35000"/>
                  </a:schemeClr>
                </a:solidFill>
                <a:round/>
              </a:ln>
              <a:effectLst/>
            </c:spPr>
          </c:errBars>
          <c:cat>
            <c:strRef>
              <c:f>Sheet1!$N$20:$P$20</c:f>
              <c:strCache>
                <c:ptCount val="3"/>
                <c:pt idx="0">
                  <c:v>2021</c:v>
                </c:pt>
                <c:pt idx="1">
                  <c:v>2022</c:v>
                </c:pt>
                <c:pt idx="2">
                  <c:v>Pooled</c:v>
                </c:pt>
              </c:strCache>
            </c:strRef>
          </c:cat>
          <c:val>
            <c:numRef>
              <c:f>Sheet1!$N$21:$P$21</c:f>
              <c:numCache>
                <c:formatCode>General</c:formatCode>
                <c:ptCount val="3"/>
                <c:pt idx="0">
                  <c:v>3.39</c:v>
                </c:pt>
                <c:pt idx="1">
                  <c:v>3.57</c:v>
                </c:pt>
                <c:pt idx="2">
                  <c:v>3.48</c:v>
                </c:pt>
              </c:numCache>
            </c:numRef>
          </c:val>
          <c:extLst>
            <c:ext xmlns:c16="http://schemas.microsoft.com/office/drawing/2014/chart" uri="{C3380CC4-5D6E-409C-BE32-E72D297353CC}">
              <c16:uniqueId val="{00000000-2752-FA48-8972-5C594C4A2995}"/>
            </c:ext>
          </c:extLst>
        </c:ser>
        <c:ser>
          <c:idx val="1"/>
          <c:order val="1"/>
          <c:tx>
            <c:strRef>
              <c:f>Sheet1!$M$22</c:f>
              <c:strCache>
                <c:ptCount val="1"/>
                <c:pt idx="0">
                  <c:v>H2</c:v>
                </c:pt>
              </c:strCache>
            </c:strRef>
          </c:tx>
          <c:spPr>
            <a:solidFill>
              <a:schemeClr val="accent2"/>
            </a:solidFill>
            <a:ln>
              <a:noFill/>
            </a:ln>
            <a:effectLst/>
          </c:spPr>
          <c:invertIfNegative val="0"/>
          <c:errBars>
            <c:errBarType val="both"/>
            <c:errValType val="cust"/>
            <c:noEndCap val="0"/>
            <c:plus>
              <c:numRef>
                <c:f>Sheet1!$N$24:$P$24</c:f>
                <c:numCache>
                  <c:formatCode>General</c:formatCode>
                  <c:ptCount val="3"/>
                  <c:pt idx="0">
                    <c:v>0.94028364514828267</c:v>
                  </c:pt>
                  <c:pt idx="1">
                    <c:v>0.95817534929677617</c:v>
                  </c:pt>
                  <c:pt idx="2">
                    <c:v>0.94743513410329649</c:v>
                  </c:pt>
                </c:numCache>
              </c:numRef>
            </c:plus>
            <c:minus>
              <c:numRef>
                <c:f>Sheet1!$N$24:$P$24</c:f>
                <c:numCache>
                  <c:formatCode>General</c:formatCode>
                  <c:ptCount val="3"/>
                  <c:pt idx="0">
                    <c:v>0.94028364514828267</c:v>
                  </c:pt>
                  <c:pt idx="1">
                    <c:v>0.95817534929677617</c:v>
                  </c:pt>
                  <c:pt idx="2">
                    <c:v>0.94743513410329649</c:v>
                  </c:pt>
                </c:numCache>
              </c:numRef>
            </c:minus>
            <c:spPr>
              <a:noFill/>
              <a:ln w="9525" cap="flat" cmpd="sng" algn="ctr">
                <a:solidFill>
                  <a:schemeClr val="tx1">
                    <a:lumMod val="65000"/>
                    <a:lumOff val="35000"/>
                  </a:schemeClr>
                </a:solidFill>
                <a:round/>
              </a:ln>
              <a:effectLst/>
            </c:spPr>
          </c:errBars>
          <c:cat>
            <c:strRef>
              <c:f>Sheet1!$N$20:$P$20</c:f>
              <c:strCache>
                <c:ptCount val="3"/>
                <c:pt idx="0">
                  <c:v>2021</c:v>
                </c:pt>
                <c:pt idx="1">
                  <c:v>2022</c:v>
                </c:pt>
                <c:pt idx="2">
                  <c:v>Pooled</c:v>
                </c:pt>
              </c:strCache>
            </c:strRef>
          </c:cat>
          <c:val>
            <c:numRef>
              <c:f>Sheet1!$N$22:$P$22</c:f>
              <c:numCache>
                <c:formatCode>General</c:formatCode>
                <c:ptCount val="3"/>
                <c:pt idx="0">
                  <c:v>4.71</c:v>
                </c:pt>
                <c:pt idx="1">
                  <c:v>4.66</c:v>
                </c:pt>
                <c:pt idx="2">
                  <c:v>4.68</c:v>
                </c:pt>
              </c:numCache>
            </c:numRef>
          </c:val>
          <c:extLst>
            <c:ext xmlns:c16="http://schemas.microsoft.com/office/drawing/2014/chart" uri="{C3380CC4-5D6E-409C-BE32-E72D297353CC}">
              <c16:uniqueId val="{00000001-2752-FA48-8972-5C594C4A2995}"/>
            </c:ext>
          </c:extLst>
        </c:ser>
        <c:ser>
          <c:idx val="2"/>
          <c:order val="2"/>
          <c:tx>
            <c:strRef>
              <c:f>Sheet1!$M$23</c:f>
              <c:strCache>
                <c:ptCount val="1"/>
                <c:pt idx="0">
                  <c:v>H3</c:v>
                </c:pt>
              </c:strCache>
            </c:strRef>
          </c:tx>
          <c:spPr>
            <a:solidFill>
              <a:schemeClr val="accent3"/>
            </a:solidFill>
            <a:ln>
              <a:noFill/>
            </a:ln>
            <a:effectLst/>
          </c:spPr>
          <c:invertIfNegative val="0"/>
          <c:errBars>
            <c:errBarType val="both"/>
            <c:errValType val="cust"/>
            <c:noEndCap val="0"/>
            <c:plus>
              <c:numRef>
                <c:f>Sheet1!$N$24:$P$24</c:f>
                <c:numCache>
                  <c:formatCode>General</c:formatCode>
                  <c:ptCount val="3"/>
                  <c:pt idx="0">
                    <c:v>0.94028364514828267</c:v>
                  </c:pt>
                  <c:pt idx="1">
                    <c:v>0.95817534929677617</c:v>
                  </c:pt>
                  <c:pt idx="2">
                    <c:v>0.94743513410329649</c:v>
                  </c:pt>
                </c:numCache>
              </c:numRef>
            </c:plus>
            <c:minus>
              <c:numRef>
                <c:f>Sheet1!$N$24:$P$24</c:f>
                <c:numCache>
                  <c:formatCode>General</c:formatCode>
                  <c:ptCount val="3"/>
                  <c:pt idx="0">
                    <c:v>0.94028364514828267</c:v>
                  </c:pt>
                  <c:pt idx="1">
                    <c:v>0.95817534929677617</c:v>
                  </c:pt>
                  <c:pt idx="2">
                    <c:v>0.94743513410329649</c:v>
                  </c:pt>
                </c:numCache>
              </c:numRef>
            </c:minus>
            <c:spPr>
              <a:noFill/>
              <a:ln w="9525" cap="flat" cmpd="sng" algn="ctr">
                <a:solidFill>
                  <a:schemeClr val="tx1">
                    <a:lumMod val="65000"/>
                    <a:lumOff val="35000"/>
                  </a:schemeClr>
                </a:solidFill>
                <a:round/>
              </a:ln>
              <a:effectLst/>
            </c:spPr>
          </c:errBars>
          <c:cat>
            <c:strRef>
              <c:f>Sheet1!$N$20:$P$20</c:f>
              <c:strCache>
                <c:ptCount val="3"/>
                <c:pt idx="0">
                  <c:v>2021</c:v>
                </c:pt>
                <c:pt idx="1">
                  <c:v>2022</c:v>
                </c:pt>
                <c:pt idx="2">
                  <c:v>Pooled</c:v>
                </c:pt>
              </c:strCache>
            </c:strRef>
          </c:cat>
          <c:val>
            <c:numRef>
              <c:f>Sheet1!$N$23:$P$23</c:f>
              <c:numCache>
                <c:formatCode>General</c:formatCode>
                <c:ptCount val="3"/>
                <c:pt idx="0">
                  <c:v>5.21</c:v>
                </c:pt>
                <c:pt idx="1">
                  <c:v>5.48</c:v>
                </c:pt>
                <c:pt idx="2">
                  <c:v>5.35</c:v>
                </c:pt>
              </c:numCache>
            </c:numRef>
          </c:val>
          <c:extLst>
            <c:ext xmlns:c16="http://schemas.microsoft.com/office/drawing/2014/chart" uri="{C3380CC4-5D6E-409C-BE32-E72D297353CC}">
              <c16:uniqueId val="{00000002-2752-FA48-8972-5C594C4A2995}"/>
            </c:ext>
          </c:extLst>
        </c:ser>
        <c:dLbls>
          <c:showLegendKey val="0"/>
          <c:showVal val="0"/>
          <c:showCatName val="0"/>
          <c:showSerName val="0"/>
          <c:showPercent val="0"/>
          <c:showBubbleSize val="0"/>
        </c:dLbls>
        <c:gapWidth val="219"/>
        <c:overlap val="-27"/>
        <c:axId val="41457423"/>
        <c:axId val="1977012176"/>
      </c:barChart>
      <c:catAx>
        <c:axId val="41457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77012176"/>
        <c:crosses val="autoZero"/>
        <c:auto val="1"/>
        <c:lblAlgn val="ctr"/>
        <c:lblOffset val="100"/>
        <c:noMultiLvlLbl val="0"/>
      </c:catAx>
      <c:valAx>
        <c:axId val="1977012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14574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Non-reducing sugar</a:t>
            </a:r>
          </a:p>
        </c:rich>
      </c:tx>
      <c:overlay val="0"/>
      <c:spPr>
        <a:noFill/>
        <a:ln>
          <a:noFill/>
        </a:ln>
        <a:effectLst/>
      </c:spPr>
      <c:txPr>
        <a:bodyPr rot="0" spcFirstLastPara="1" vertOverflow="ellipsis" vert="horz" wrap="square" anchor="ctr" anchorCtr="1"/>
        <a:lstStyle/>
        <a:p>
          <a:pPr>
            <a:defRPr sz="72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Sheet1!$M$45</c:f>
              <c:strCache>
                <c:ptCount val="1"/>
                <c:pt idx="0">
                  <c:v>H1</c:v>
                </c:pt>
              </c:strCache>
            </c:strRef>
          </c:tx>
          <c:spPr>
            <a:solidFill>
              <a:schemeClr val="accent1"/>
            </a:solidFill>
            <a:ln>
              <a:noFill/>
            </a:ln>
            <a:effectLst/>
          </c:spPr>
          <c:invertIfNegative val="0"/>
          <c:errBars>
            <c:errBarType val="both"/>
            <c:errValType val="cust"/>
            <c:noEndCap val="0"/>
            <c:plus>
              <c:numRef>
                <c:f>Sheet1!$N$48:$P$48</c:f>
                <c:numCache>
                  <c:formatCode>General</c:formatCode>
                  <c:ptCount val="3"/>
                  <c:pt idx="0">
                    <c:v>0.9208872533233009</c:v>
                  </c:pt>
                  <c:pt idx="1">
                    <c:v>1.2702099563982849</c:v>
                  </c:pt>
                  <c:pt idx="2">
                    <c:v>0.94875356828490032</c:v>
                  </c:pt>
                </c:numCache>
              </c:numRef>
            </c:plus>
            <c:minus>
              <c:numRef>
                <c:f>Sheet1!$N$48:$P$48</c:f>
                <c:numCache>
                  <c:formatCode>General</c:formatCode>
                  <c:ptCount val="3"/>
                  <c:pt idx="0">
                    <c:v>0.9208872533233009</c:v>
                  </c:pt>
                  <c:pt idx="1">
                    <c:v>1.2702099563982849</c:v>
                  </c:pt>
                  <c:pt idx="2">
                    <c:v>0.94875356828490032</c:v>
                  </c:pt>
                </c:numCache>
              </c:numRef>
            </c:minus>
            <c:spPr>
              <a:noFill/>
              <a:ln w="9525" cap="flat" cmpd="sng" algn="ctr">
                <a:solidFill>
                  <a:schemeClr val="tx1">
                    <a:lumMod val="65000"/>
                    <a:lumOff val="35000"/>
                  </a:schemeClr>
                </a:solidFill>
                <a:round/>
              </a:ln>
              <a:effectLst/>
            </c:spPr>
          </c:errBars>
          <c:cat>
            <c:strRef>
              <c:f>Sheet1!$N$44:$P$44</c:f>
              <c:strCache>
                <c:ptCount val="3"/>
                <c:pt idx="0">
                  <c:v>2021</c:v>
                </c:pt>
                <c:pt idx="1">
                  <c:v>2022</c:v>
                </c:pt>
                <c:pt idx="2">
                  <c:v>Pooled</c:v>
                </c:pt>
              </c:strCache>
            </c:strRef>
          </c:cat>
          <c:val>
            <c:numRef>
              <c:f>Sheet1!$N$45:$P$45</c:f>
              <c:numCache>
                <c:formatCode>General</c:formatCode>
                <c:ptCount val="3"/>
                <c:pt idx="0">
                  <c:v>1.45</c:v>
                </c:pt>
                <c:pt idx="1">
                  <c:v>1.25</c:v>
                </c:pt>
                <c:pt idx="2">
                  <c:v>1.35</c:v>
                </c:pt>
              </c:numCache>
            </c:numRef>
          </c:val>
          <c:extLst>
            <c:ext xmlns:c16="http://schemas.microsoft.com/office/drawing/2014/chart" uri="{C3380CC4-5D6E-409C-BE32-E72D297353CC}">
              <c16:uniqueId val="{00000000-A97C-A041-BF12-DE6C24CC456F}"/>
            </c:ext>
          </c:extLst>
        </c:ser>
        <c:ser>
          <c:idx val="1"/>
          <c:order val="1"/>
          <c:tx>
            <c:strRef>
              <c:f>Sheet1!$M$46</c:f>
              <c:strCache>
                <c:ptCount val="1"/>
                <c:pt idx="0">
                  <c:v>H2</c:v>
                </c:pt>
              </c:strCache>
            </c:strRef>
          </c:tx>
          <c:spPr>
            <a:solidFill>
              <a:schemeClr val="accent2"/>
            </a:solidFill>
            <a:ln>
              <a:noFill/>
            </a:ln>
            <a:effectLst/>
          </c:spPr>
          <c:invertIfNegative val="0"/>
          <c:errBars>
            <c:errBarType val="both"/>
            <c:errValType val="cust"/>
            <c:noEndCap val="0"/>
            <c:plus>
              <c:numRef>
                <c:f>Sheet1!$N$48:$P$48</c:f>
                <c:numCache>
                  <c:formatCode>General</c:formatCode>
                  <c:ptCount val="3"/>
                  <c:pt idx="0">
                    <c:v>0.9208872533233009</c:v>
                  </c:pt>
                  <c:pt idx="1">
                    <c:v>1.2702099563982849</c:v>
                  </c:pt>
                  <c:pt idx="2">
                    <c:v>0.94875356828490032</c:v>
                  </c:pt>
                </c:numCache>
              </c:numRef>
            </c:plus>
            <c:minus>
              <c:numRef>
                <c:f>Sheet1!$N$48:$P$48</c:f>
                <c:numCache>
                  <c:formatCode>General</c:formatCode>
                  <c:ptCount val="3"/>
                  <c:pt idx="0">
                    <c:v>0.9208872533233009</c:v>
                  </c:pt>
                  <c:pt idx="1">
                    <c:v>1.2702099563982849</c:v>
                  </c:pt>
                  <c:pt idx="2">
                    <c:v>0.94875356828490032</c:v>
                  </c:pt>
                </c:numCache>
              </c:numRef>
            </c:minus>
            <c:spPr>
              <a:noFill/>
              <a:ln w="9525" cap="flat" cmpd="sng" algn="ctr">
                <a:solidFill>
                  <a:schemeClr val="tx1">
                    <a:lumMod val="65000"/>
                    <a:lumOff val="35000"/>
                  </a:schemeClr>
                </a:solidFill>
                <a:round/>
              </a:ln>
              <a:effectLst/>
            </c:spPr>
          </c:errBars>
          <c:cat>
            <c:strRef>
              <c:f>Sheet1!$N$44:$P$44</c:f>
              <c:strCache>
                <c:ptCount val="3"/>
                <c:pt idx="0">
                  <c:v>2021</c:v>
                </c:pt>
                <c:pt idx="1">
                  <c:v>2022</c:v>
                </c:pt>
                <c:pt idx="2">
                  <c:v>Pooled</c:v>
                </c:pt>
              </c:strCache>
            </c:strRef>
          </c:cat>
          <c:val>
            <c:numRef>
              <c:f>Sheet1!$N$46:$P$46</c:f>
              <c:numCache>
                <c:formatCode>General</c:formatCode>
                <c:ptCount val="3"/>
                <c:pt idx="0">
                  <c:v>2.2999999999999998</c:v>
                </c:pt>
                <c:pt idx="1">
                  <c:v>3.79</c:v>
                </c:pt>
                <c:pt idx="2">
                  <c:v>3.05</c:v>
                </c:pt>
              </c:numCache>
            </c:numRef>
          </c:val>
          <c:extLst>
            <c:ext xmlns:c16="http://schemas.microsoft.com/office/drawing/2014/chart" uri="{C3380CC4-5D6E-409C-BE32-E72D297353CC}">
              <c16:uniqueId val="{00000001-A97C-A041-BF12-DE6C24CC456F}"/>
            </c:ext>
          </c:extLst>
        </c:ser>
        <c:ser>
          <c:idx val="2"/>
          <c:order val="2"/>
          <c:tx>
            <c:strRef>
              <c:f>Sheet1!$M$47</c:f>
              <c:strCache>
                <c:ptCount val="1"/>
                <c:pt idx="0">
                  <c:v>H3</c:v>
                </c:pt>
              </c:strCache>
            </c:strRef>
          </c:tx>
          <c:spPr>
            <a:solidFill>
              <a:schemeClr val="accent3"/>
            </a:solidFill>
            <a:ln>
              <a:noFill/>
            </a:ln>
            <a:effectLst/>
          </c:spPr>
          <c:invertIfNegative val="0"/>
          <c:errBars>
            <c:errBarType val="both"/>
            <c:errValType val="cust"/>
            <c:noEndCap val="0"/>
            <c:plus>
              <c:numRef>
                <c:f>Sheet1!$N$48:$P$48</c:f>
                <c:numCache>
                  <c:formatCode>General</c:formatCode>
                  <c:ptCount val="3"/>
                  <c:pt idx="0">
                    <c:v>0.9208872533233009</c:v>
                  </c:pt>
                  <c:pt idx="1">
                    <c:v>1.2702099563982849</c:v>
                  </c:pt>
                  <c:pt idx="2">
                    <c:v>0.94875356828490032</c:v>
                  </c:pt>
                </c:numCache>
              </c:numRef>
            </c:plus>
            <c:minus>
              <c:numRef>
                <c:f>Sheet1!$N$48:$P$48</c:f>
                <c:numCache>
                  <c:formatCode>General</c:formatCode>
                  <c:ptCount val="3"/>
                  <c:pt idx="0">
                    <c:v>0.9208872533233009</c:v>
                  </c:pt>
                  <c:pt idx="1">
                    <c:v>1.2702099563982849</c:v>
                  </c:pt>
                  <c:pt idx="2">
                    <c:v>0.94875356828490032</c:v>
                  </c:pt>
                </c:numCache>
              </c:numRef>
            </c:minus>
            <c:spPr>
              <a:noFill/>
              <a:ln w="9525" cap="flat" cmpd="sng" algn="ctr">
                <a:solidFill>
                  <a:schemeClr val="tx1">
                    <a:lumMod val="65000"/>
                    <a:lumOff val="35000"/>
                  </a:schemeClr>
                </a:solidFill>
                <a:round/>
              </a:ln>
              <a:effectLst/>
            </c:spPr>
          </c:errBars>
          <c:cat>
            <c:strRef>
              <c:f>Sheet1!$N$44:$P$44</c:f>
              <c:strCache>
                <c:ptCount val="3"/>
                <c:pt idx="0">
                  <c:v>2021</c:v>
                </c:pt>
                <c:pt idx="1">
                  <c:v>2022</c:v>
                </c:pt>
                <c:pt idx="2">
                  <c:v>Pooled</c:v>
                </c:pt>
              </c:strCache>
            </c:strRef>
          </c:cat>
          <c:val>
            <c:numRef>
              <c:f>Sheet1!$N$47:$P$47</c:f>
              <c:numCache>
                <c:formatCode>General</c:formatCode>
                <c:ptCount val="3"/>
                <c:pt idx="0">
                  <c:v>3.29</c:v>
                </c:pt>
                <c:pt idx="1">
                  <c:v>2.56</c:v>
                </c:pt>
                <c:pt idx="2">
                  <c:v>2.93</c:v>
                </c:pt>
              </c:numCache>
            </c:numRef>
          </c:val>
          <c:extLst>
            <c:ext xmlns:c16="http://schemas.microsoft.com/office/drawing/2014/chart" uri="{C3380CC4-5D6E-409C-BE32-E72D297353CC}">
              <c16:uniqueId val="{00000002-A97C-A041-BF12-DE6C24CC456F}"/>
            </c:ext>
          </c:extLst>
        </c:ser>
        <c:dLbls>
          <c:showLegendKey val="0"/>
          <c:showVal val="0"/>
          <c:showCatName val="0"/>
          <c:showSerName val="0"/>
          <c:showPercent val="0"/>
          <c:showBubbleSize val="0"/>
        </c:dLbls>
        <c:gapWidth val="219"/>
        <c:overlap val="-27"/>
        <c:axId val="1982287984"/>
        <c:axId val="1976708528"/>
      </c:barChart>
      <c:catAx>
        <c:axId val="1982287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76708528"/>
        <c:crosses val="autoZero"/>
        <c:auto val="1"/>
        <c:lblAlgn val="ctr"/>
        <c:lblOffset val="100"/>
        <c:noMultiLvlLbl val="0"/>
      </c:catAx>
      <c:valAx>
        <c:axId val="1976708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82287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Sheet2!$A$28</c:f>
              <c:strCache>
                <c:ptCount val="1"/>
                <c:pt idx="0">
                  <c:v>H1</c:v>
                </c:pt>
              </c:strCache>
            </c:strRef>
          </c:tx>
          <c:spPr>
            <a:solidFill>
              <a:schemeClr val="accent1">
                <a:alpha val="70000"/>
              </a:schemeClr>
            </a:solidFill>
            <a:ln>
              <a:noFill/>
            </a:ln>
            <a:effectLst/>
          </c:spPr>
          <c:invertIfNegative val="0"/>
          <c:cat>
            <c:multiLvlStrRef>
              <c:f>Sheet2!$B$26:$J$27</c:f>
              <c:multiLvlStrCache>
                <c:ptCount val="9"/>
                <c:lvl>
                  <c:pt idx="0">
                    <c:v>2021</c:v>
                  </c:pt>
                  <c:pt idx="1">
                    <c:v>2022</c:v>
                  </c:pt>
                  <c:pt idx="2">
                    <c:v>Pooled</c:v>
                  </c:pt>
                  <c:pt idx="3">
                    <c:v>2021</c:v>
                  </c:pt>
                  <c:pt idx="4">
                    <c:v>2022</c:v>
                  </c:pt>
                  <c:pt idx="5">
                    <c:v>Pooled</c:v>
                  </c:pt>
                  <c:pt idx="6">
                    <c:v>2021</c:v>
                  </c:pt>
                  <c:pt idx="7">
                    <c:v>2022</c:v>
                  </c:pt>
                  <c:pt idx="8">
                    <c:v>Pooled</c:v>
                  </c:pt>
                </c:lvl>
                <c:lvl>
                  <c:pt idx="0">
                    <c:v>Day 4</c:v>
                  </c:pt>
                  <c:pt idx="3">
                    <c:v>Day 6</c:v>
                  </c:pt>
                  <c:pt idx="6">
                    <c:v>Day 8</c:v>
                  </c:pt>
                </c:lvl>
              </c:multiLvlStrCache>
            </c:multiLvlStrRef>
          </c:cat>
          <c:val>
            <c:numRef>
              <c:f>Sheet2!$B$28:$J$28</c:f>
              <c:numCache>
                <c:formatCode>General</c:formatCode>
                <c:ptCount val="9"/>
                <c:pt idx="0">
                  <c:v>0</c:v>
                </c:pt>
                <c:pt idx="1">
                  <c:v>0</c:v>
                </c:pt>
                <c:pt idx="2">
                  <c:v>0</c:v>
                </c:pt>
                <c:pt idx="3">
                  <c:v>4.43</c:v>
                </c:pt>
                <c:pt idx="4">
                  <c:v>4.6500000000000004</c:v>
                </c:pt>
                <c:pt idx="5">
                  <c:v>4.54</c:v>
                </c:pt>
                <c:pt idx="6">
                  <c:v>17</c:v>
                </c:pt>
                <c:pt idx="7">
                  <c:v>16.52</c:v>
                </c:pt>
                <c:pt idx="8">
                  <c:v>16.760000000000002</c:v>
                </c:pt>
              </c:numCache>
            </c:numRef>
          </c:val>
          <c:extLst>
            <c:ext xmlns:c16="http://schemas.microsoft.com/office/drawing/2014/chart" uri="{C3380CC4-5D6E-409C-BE32-E72D297353CC}">
              <c16:uniqueId val="{00000000-B05A-024D-8694-77429043D656}"/>
            </c:ext>
          </c:extLst>
        </c:ser>
        <c:ser>
          <c:idx val="1"/>
          <c:order val="1"/>
          <c:tx>
            <c:strRef>
              <c:f>Sheet2!$A$29</c:f>
              <c:strCache>
                <c:ptCount val="1"/>
                <c:pt idx="0">
                  <c:v>H2</c:v>
                </c:pt>
              </c:strCache>
            </c:strRef>
          </c:tx>
          <c:spPr>
            <a:solidFill>
              <a:schemeClr val="accent2">
                <a:alpha val="70000"/>
              </a:schemeClr>
            </a:solidFill>
            <a:ln>
              <a:noFill/>
            </a:ln>
            <a:effectLst/>
          </c:spPr>
          <c:invertIfNegative val="0"/>
          <c:cat>
            <c:multiLvlStrRef>
              <c:f>Sheet2!$B$26:$J$27</c:f>
              <c:multiLvlStrCache>
                <c:ptCount val="9"/>
                <c:lvl>
                  <c:pt idx="0">
                    <c:v>2021</c:v>
                  </c:pt>
                  <c:pt idx="1">
                    <c:v>2022</c:v>
                  </c:pt>
                  <c:pt idx="2">
                    <c:v>Pooled</c:v>
                  </c:pt>
                  <c:pt idx="3">
                    <c:v>2021</c:v>
                  </c:pt>
                  <c:pt idx="4">
                    <c:v>2022</c:v>
                  </c:pt>
                  <c:pt idx="5">
                    <c:v>Pooled</c:v>
                  </c:pt>
                  <c:pt idx="6">
                    <c:v>2021</c:v>
                  </c:pt>
                  <c:pt idx="7">
                    <c:v>2022</c:v>
                  </c:pt>
                  <c:pt idx="8">
                    <c:v>Pooled</c:v>
                  </c:pt>
                </c:lvl>
                <c:lvl>
                  <c:pt idx="0">
                    <c:v>Day 4</c:v>
                  </c:pt>
                  <c:pt idx="3">
                    <c:v>Day 6</c:v>
                  </c:pt>
                  <c:pt idx="6">
                    <c:v>Day 8</c:v>
                  </c:pt>
                </c:lvl>
              </c:multiLvlStrCache>
            </c:multiLvlStrRef>
          </c:cat>
          <c:val>
            <c:numRef>
              <c:f>Sheet2!$B$29:$J$29</c:f>
              <c:numCache>
                <c:formatCode>General</c:formatCode>
                <c:ptCount val="9"/>
                <c:pt idx="0">
                  <c:v>4.07</c:v>
                </c:pt>
                <c:pt idx="1">
                  <c:v>5.03</c:v>
                </c:pt>
                <c:pt idx="2">
                  <c:v>4.55</c:v>
                </c:pt>
                <c:pt idx="3">
                  <c:v>11.92</c:v>
                </c:pt>
                <c:pt idx="4">
                  <c:v>12.91</c:v>
                </c:pt>
                <c:pt idx="5">
                  <c:v>12.41</c:v>
                </c:pt>
                <c:pt idx="6">
                  <c:v>33.24</c:v>
                </c:pt>
                <c:pt idx="7">
                  <c:v>26.48</c:v>
                </c:pt>
                <c:pt idx="8">
                  <c:v>29.86</c:v>
                </c:pt>
              </c:numCache>
            </c:numRef>
          </c:val>
          <c:extLst>
            <c:ext xmlns:c16="http://schemas.microsoft.com/office/drawing/2014/chart" uri="{C3380CC4-5D6E-409C-BE32-E72D297353CC}">
              <c16:uniqueId val="{00000001-B05A-024D-8694-77429043D656}"/>
            </c:ext>
          </c:extLst>
        </c:ser>
        <c:ser>
          <c:idx val="2"/>
          <c:order val="2"/>
          <c:tx>
            <c:strRef>
              <c:f>Sheet2!$A$30</c:f>
              <c:strCache>
                <c:ptCount val="1"/>
                <c:pt idx="0">
                  <c:v>H3</c:v>
                </c:pt>
              </c:strCache>
            </c:strRef>
          </c:tx>
          <c:spPr>
            <a:solidFill>
              <a:schemeClr val="accent3">
                <a:alpha val="70000"/>
              </a:schemeClr>
            </a:solidFill>
            <a:ln>
              <a:noFill/>
            </a:ln>
            <a:effectLst/>
          </c:spPr>
          <c:invertIfNegative val="0"/>
          <c:cat>
            <c:multiLvlStrRef>
              <c:f>Sheet2!$B$26:$J$27</c:f>
              <c:multiLvlStrCache>
                <c:ptCount val="9"/>
                <c:lvl>
                  <c:pt idx="0">
                    <c:v>2021</c:v>
                  </c:pt>
                  <c:pt idx="1">
                    <c:v>2022</c:v>
                  </c:pt>
                  <c:pt idx="2">
                    <c:v>Pooled</c:v>
                  </c:pt>
                  <c:pt idx="3">
                    <c:v>2021</c:v>
                  </c:pt>
                  <c:pt idx="4">
                    <c:v>2022</c:v>
                  </c:pt>
                  <c:pt idx="5">
                    <c:v>Pooled</c:v>
                  </c:pt>
                  <c:pt idx="6">
                    <c:v>2021</c:v>
                  </c:pt>
                  <c:pt idx="7">
                    <c:v>2022</c:v>
                  </c:pt>
                  <c:pt idx="8">
                    <c:v>Pooled</c:v>
                  </c:pt>
                </c:lvl>
                <c:lvl>
                  <c:pt idx="0">
                    <c:v>Day 4</c:v>
                  </c:pt>
                  <c:pt idx="3">
                    <c:v>Day 6</c:v>
                  </c:pt>
                  <c:pt idx="6">
                    <c:v>Day 8</c:v>
                  </c:pt>
                </c:lvl>
              </c:multiLvlStrCache>
            </c:multiLvlStrRef>
          </c:cat>
          <c:val>
            <c:numRef>
              <c:f>Sheet2!$B$30:$J$30</c:f>
              <c:numCache>
                <c:formatCode>General</c:formatCode>
                <c:ptCount val="9"/>
                <c:pt idx="0">
                  <c:v>7.59</c:v>
                </c:pt>
                <c:pt idx="1">
                  <c:v>5.68</c:v>
                </c:pt>
                <c:pt idx="2">
                  <c:v>6.64</c:v>
                </c:pt>
                <c:pt idx="3">
                  <c:v>21.82</c:v>
                </c:pt>
                <c:pt idx="4">
                  <c:v>24.58</c:v>
                </c:pt>
                <c:pt idx="5">
                  <c:v>23.2</c:v>
                </c:pt>
                <c:pt idx="6">
                  <c:v>41.19</c:v>
                </c:pt>
                <c:pt idx="7">
                  <c:v>45.87</c:v>
                </c:pt>
                <c:pt idx="8">
                  <c:v>43.53</c:v>
                </c:pt>
              </c:numCache>
            </c:numRef>
          </c:val>
          <c:extLst>
            <c:ext xmlns:c16="http://schemas.microsoft.com/office/drawing/2014/chart" uri="{C3380CC4-5D6E-409C-BE32-E72D297353CC}">
              <c16:uniqueId val="{00000002-B05A-024D-8694-77429043D656}"/>
            </c:ext>
          </c:extLst>
        </c:ser>
        <c:dLbls>
          <c:showLegendKey val="0"/>
          <c:showVal val="0"/>
          <c:showCatName val="0"/>
          <c:showSerName val="0"/>
          <c:showPercent val="0"/>
          <c:showBubbleSize val="0"/>
        </c:dLbls>
        <c:gapWidth val="80"/>
        <c:overlap val="25"/>
        <c:axId val="1615506336"/>
        <c:axId val="1615275808"/>
      </c:barChart>
      <c:catAx>
        <c:axId val="161550633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500" b="1" i="0" u="none" strike="noStrike" kern="1200" cap="none" spc="20" normalizeH="0" baseline="0">
                <a:solidFill>
                  <a:schemeClr val="tx1">
                    <a:lumMod val="65000"/>
                    <a:lumOff val="35000"/>
                  </a:schemeClr>
                </a:solidFill>
                <a:latin typeface="+mn-lt"/>
                <a:ea typeface="+mn-ea"/>
                <a:cs typeface="+mn-cs"/>
              </a:defRPr>
            </a:pPr>
            <a:endParaRPr lang="en-US"/>
          </a:p>
        </c:txPr>
        <c:crossAx val="1615275808"/>
        <c:crosses val="autoZero"/>
        <c:auto val="1"/>
        <c:lblAlgn val="ctr"/>
        <c:lblOffset val="100"/>
        <c:noMultiLvlLbl val="0"/>
      </c:catAx>
      <c:valAx>
        <c:axId val="1615275808"/>
        <c:scaling>
          <c:orientation val="minMax"/>
        </c:scaling>
        <c:delete val="0"/>
        <c:axPos val="l"/>
        <c:majorGridlines>
          <c:spPr>
            <a:ln w="9525" cap="flat" cmpd="sng" algn="ctr">
              <a:solidFill>
                <a:schemeClr val="tx1">
                  <a:lumMod val="5000"/>
                  <a:lumOff val="95000"/>
                </a:schemeClr>
              </a:solidFill>
              <a:round/>
            </a:ln>
            <a:effectLst/>
          </c:spPr>
        </c:majorGridlines>
        <c:title>
          <c:tx>
            <c:rich>
              <a:bodyPr rot="-5400000" spcFirstLastPara="1" vertOverflow="ellipsis" vert="horz" wrap="square" anchor="ctr" anchorCtr="1"/>
              <a:lstStyle/>
              <a:p>
                <a:pPr>
                  <a:defRPr sz="500" b="1" i="0" u="none" strike="noStrike" kern="1200" cap="all" baseline="0">
                    <a:solidFill>
                      <a:schemeClr val="tx1">
                        <a:lumMod val="65000"/>
                        <a:lumOff val="35000"/>
                      </a:schemeClr>
                    </a:solidFill>
                    <a:latin typeface="+mn-lt"/>
                    <a:ea typeface="+mn-ea"/>
                    <a:cs typeface="+mn-cs"/>
                  </a:defRPr>
                </a:pPr>
                <a:r>
                  <a:rPr lang="en-GB"/>
                  <a:t>POST HARVEST SPOILAGE (%)</a:t>
                </a:r>
              </a:p>
            </c:rich>
          </c:tx>
          <c:overlay val="0"/>
          <c:spPr>
            <a:noFill/>
            <a:ln>
              <a:noFill/>
            </a:ln>
            <a:effectLst/>
          </c:spPr>
          <c:txPr>
            <a:bodyPr rot="-5400000" spcFirstLastPara="1" vertOverflow="ellipsis" vert="horz" wrap="square" anchor="ctr" anchorCtr="1"/>
            <a:lstStyle/>
            <a:p>
              <a:pPr>
                <a:defRPr sz="500" b="1"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500" b="1" i="0" u="none" strike="noStrike" kern="1200" spc="20" baseline="0">
                <a:solidFill>
                  <a:schemeClr val="tx1">
                    <a:lumMod val="65000"/>
                    <a:lumOff val="35000"/>
                  </a:schemeClr>
                </a:solidFill>
                <a:latin typeface="+mn-lt"/>
                <a:ea typeface="+mn-ea"/>
                <a:cs typeface="+mn-cs"/>
              </a:defRPr>
            </a:pPr>
            <a:endParaRPr lang="en-US"/>
          </a:p>
        </c:txPr>
        <c:crossAx val="1615506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5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500" b="1"/>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Pulp weight (g)</a:t>
            </a:r>
          </a:p>
        </c:rich>
      </c:tx>
      <c:overlay val="0"/>
      <c:spPr>
        <a:noFill/>
        <a:ln>
          <a:noFill/>
        </a:ln>
        <a:effectLst/>
      </c:spPr>
      <c:txPr>
        <a:bodyPr rot="0" spcFirstLastPara="1" vertOverflow="ellipsis" vert="horz" wrap="square" anchor="ctr" anchorCtr="1"/>
        <a:lstStyle/>
        <a:p>
          <a:pPr>
            <a:defRPr sz="72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Sheet1!$A$35</c:f>
              <c:strCache>
                <c:ptCount val="1"/>
                <c:pt idx="0">
                  <c:v>H1</c:v>
                </c:pt>
              </c:strCache>
            </c:strRef>
          </c:tx>
          <c:spPr>
            <a:solidFill>
              <a:schemeClr val="accent1"/>
            </a:solidFill>
            <a:ln>
              <a:noFill/>
            </a:ln>
            <a:effectLst/>
          </c:spPr>
          <c:invertIfNegative val="0"/>
          <c:errBars>
            <c:errBarType val="both"/>
            <c:errValType val="cust"/>
            <c:noEndCap val="0"/>
            <c:plus>
              <c:numRef>
                <c:f>Sheet1!$B$38:$D$38</c:f>
                <c:numCache>
                  <c:formatCode>General</c:formatCode>
                  <c:ptCount val="3"/>
                  <c:pt idx="0">
                    <c:v>35.502651074720085</c:v>
                  </c:pt>
                  <c:pt idx="1">
                    <c:v>46.448070286432042</c:v>
                  </c:pt>
                  <c:pt idx="2">
                    <c:v>40.793501116395092</c:v>
                  </c:pt>
                </c:numCache>
              </c:numRef>
            </c:plus>
            <c:minus>
              <c:numRef>
                <c:f>Sheet1!$B$38:$D$38</c:f>
                <c:numCache>
                  <c:formatCode>General</c:formatCode>
                  <c:ptCount val="3"/>
                  <c:pt idx="0">
                    <c:v>35.502651074720085</c:v>
                  </c:pt>
                  <c:pt idx="1">
                    <c:v>46.448070286432042</c:v>
                  </c:pt>
                  <c:pt idx="2">
                    <c:v>40.793501116395092</c:v>
                  </c:pt>
                </c:numCache>
              </c:numRef>
            </c:minus>
            <c:spPr>
              <a:noFill/>
              <a:ln w="9525" cap="flat" cmpd="sng" algn="ctr">
                <a:solidFill>
                  <a:schemeClr val="tx1">
                    <a:lumMod val="65000"/>
                    <a:lumOff val="35000"/>
                  </a:schemeClr>
                </a:solidFill>
                <a:round/>
              </a:ln>
              <a:effectLst/>
            </c:spPr>
          </c:errBars>
          <c:cat>
            <c:strRef>
              <c:f>Sheet1!$B$34:$D$34</c:f>
              <c:strCache>
                <c:ptCount val="3"/>
                <c:pt idx="0">
                  <c:v>2021</c:v>
                </c:pt>
                <c:pt idx="1">
                  <c:v>2022</c:v>
                </c:pt>
                <c:pt idx="2">
                  <c:v>Pooled</c:v>
                </c:pt>
              </c:strCache>
            </c:strRef>
          </c:cat>
          <c:val>
            <c:numRef>
              <c:f>Sheet1!$B$35:$D$35</c:f>
              <c:numCache>
                <c:formatCode>General</c:formatCode>
                <c:ptCount val="3"/>
                <c:pt idx="0">
                  <c:v>107.47</c:v>
                </c:pt>
                <c:pt idx="1">
                  <c:v>98.53</c:v>
                </c:pt>
                <c:pt idx="2">
                  <c:v>103</c:v>
                </c:pt>
              </c:numCache>
            </c:numRef>
          </c:val>
          <c:extLst>
            <c:ext xmlns:c16="http://schemas.microsoft.com/office/drawing/2014/chart" uri="{C3380CC4-5D6E-409C-BE32-E72D297353CC}">
              <c16:uniqueId val="{00000000-F362-0241-BAD5-D709C3C8E8EC}"/>
            </c:ext>
          </c:extLst>
        </c:ser>
        <c:ser>
          <c:idx val="1"/>
          <c:order val="1"/>
          <c:tx>
            <c:strRef>
              <c:f>Sheet1!$A$36</c:f>
              <c:strCache>
                <c:ptCount val="1"/>
                <c:pt idx="0">
                  <c:v>H2</c:v>
                </c:pt>
              </c:strCache>
            </c:strRef>
          </c:tx>
          <c:spPr>
            <a:solidFill>
              <a:schemeClr val="accent2"/>
            </a:solidFill>
            <a:ln>
              <a:noFill/>
            </a:ln>
            <a:effectLst/>
          </c:spPr>
          <c:invertIfNegative val="0"/>
          <c:errBars>
            <c:errBarType val="both"/>
            <c:errValType val="cust"/>
            <c:noEndCap val="0"/>
            <c:plus>
              <c:numRef>
                <c:f>Sheet1!$B$38:$D$38</c:f>
                <c:numCache>
                  <c:formatCode>General</c:formatCode>
                  <c:ptCount val="3"/>
                  <c:pt idx="0">
                    <c:v>35.502651074720085</c:v>
                  </c:pt>
                  <c:pt idx="1">
                    <c:v>46.448070286432042</c:v>
                  </c:pt>
                  <c:pt idx="2">
                    <c:v>40.793501116395092</c:v>
                  </c:pt>
                </c:numCache>
              </c:numRef>
            </c:plus>
            <c:minus>
              <c:numRef>
                <c:f>Sheet1!$B$38:$D$38</c:f>
                <c:numCache>
                  <c:formatCode>General</c:formatCode>
                  <c:ptCount val="3"/>
                  <c:pt idx="0">
                    <c:v>35.502651074720085</c:v>
                  </c:pt>
                  <c:pt idx="1">
                    <c:v>46.448070286432042</c:v>
                  </c:pt>
                  <c:pt idx="2">
                    <c:v>40.793501116395092</c:v>
                  </c:pt>
                </c:numCache>
              </c:numRef>
            </c:minus>
            <c:spPr>
              <a:noFill/>
              <a:ln w="9525" cap="flat" cmpd="sng" algn="ctr">
                <a:solidFill>
                  <a:schemeClr val="tx1">
                    <a:lumMod val="65000"/>
                    <a:lumOff val="35000"/>
                  </a:schemeClr>
                </a:solidFill>
                <a:round/>
              </a:ln>
              <a:effectLst/>
            </c:spPr>
          </c:errBars>
          <c:cat>
            <c:strRef>
              <c:f>Sheet1!$B$34:$D$34</c:f>
              <c:strCache>
                <c:ptCount val="3"/>
                <c:pt idx="0">
                  <c:v>2021</c:v>
                </c:pt>
                <c:pt idx="1">
                  <c:v>2022</c:v>
                </c:pt>
                <c:pt idx="2">
                  <c:v>Pooled</c:v>
                </c:pt>
              </c:strCache>
            </c:strRef>
          </c:cat>
          <c:val>
            <c:numRef>
              <c:f>Sheet1!$B$36:$D$36</c:f>
              <c:numCache>
                <c:formatCode>General</c:formatCode>
                <c:ptCount val="3"/>
                <c:pt idx="0">
                  <c:v>153.4</c:v>
                </c:pt>
                <c:pt idx="1">
                  <c:v>144.05000000000001</c:v>
                </c:pt>
                <c:pt idx="2">
                  <c:v>148.72</c:v>
                </c:pt>
              </c:numCache>
            </c:numRef>
          </c:val>
          <c:extLst>
            <c:ext xmlns:c16="http://schemas.microsoft.com/office/drawing/2014/chart" uri="{C3380CC4-5D6E-409C-BE32-E72D297353CC}">
              <c16:uniqueId val="{00000001-F362-0241-BAD5-D709C3C8E8EC}"/>
            </c:ext>
          </c:extLst>
        </c:ser>
        <c:ser>
          <c:idx val="2"/>
          <c:order val="2"/>
          <c:tx>
            <c:strRef>
              <c:f>Sheet1!$A$37</c:f>
              <c:strCache>
                <c:ptCount val="1"/>
                <c:pt idx="0">
                  <c:v>H3</c:v>
                </c:pt>
              </c:strCache>
            </c:strRef>
          </c:tx>
          <c:spPr>
            <a:solidFill>
              <a:schemeClr val="accent3"/>
            </a:solidFill>
            <a:ln>
              <a:noFill/>
            </a:ln>
            <a:effectLst/>
          </c:spPr>
          <c:invertIfNegative val="0"/>
          <c:errBars>
            <c:errBarType val="both"/>
            <c:errValType val="cust"/>
            <c:noEndCap val="0"/>
            <c:plus>
              <c:numRef>
                <c:f>Sheet1!$B$38:$D$38</c:f>
                <c:numCache>
                  <c:formatCode>General</c:formatCode>
                  <c:ptCount val="3"/>
                  <c:pt idx="0">
                    <c:v>35.502651074720085</c:v>
                  </c:pt>
                  <c:pt idx="1">
                    <c:v>46.448070286432042</c:v>
                  </c:pt>
                  <c:pt idx="2">
                    <c:v>40.793501116395092</c:v>
                  </c:pt>
                </c:numCache>
              </c:numRef>
            </c:plus>
            <c:minus>
              <c:numRef>
                <c:f>Sheet1!$B$38:$D$38</c:f>
                <c:numCache>
                  <c:formatCode>General</c:formatCode>
                  <c:ptCount val="3"/>
                  <c:pt idx="0">
                    <c:v>35.502651074720085</c:v>
                  </c:pt>
                  <c:pt idx="1">
                    <c:v>46.448070286432042</c:v>
                  </c:pt>
                  <c:pt idx="2">
                    <c:v>40.793501116395092</c:v>
                  </c:pt>
                </c:numCache>
              </c:numRef>
            </c:minus>
            <c:spPr>
              <a:noFill/>
              <a:ln w="9525" cap="flat" cmpd="sng" algn="ctr">
                <a:solidFill>
                  <a:schemeClr val="tx1">
                    <a:lumMod val="65000"/>
                    <a:lumOff val="35000"/>
                  </a:schemeClr>
                </a:solidFill>
                <a:round/>
              </a:ln>
              <a:effectLst/>
            </c:spPr>
          </c:errBars>
          <c:cat>
            <c:strRef>
              <c:f>Sheet1!$B$34:$D$34</c:f>
              <c:strCache>
                <c:ptCount val="3"/>
                <c:pt idx="0">
                  <c:v>2021</c:v>
                </c:pt>
                <c:pt idx="1">
                  <c:v>2022</c:v>
                </c:pt>
                <c:pt idx="2">
                  <c:v>Pooled</c:v>
                </c:pt>
              </c:strCache>
            </c:strRef>
          </c:cat>
          <c:val>
            <c:numRef>
              <c:f>Sheet1!$B$37:$D$37</c:f>
              <c:numCache>
                <c:formatCode>General</c:formatCode>
                <c:ptCount val="3"/>
                <c:pt idx="0">
                  <c:v>177.33</c:v>
                </c:pt>
                <c:pt idx="1">
                  <c:v>191.42</c:v>
                </c:pt>
                <c:pt idx="2">
                  <c:v>184.38</c:v>
                </c:pt>
              </c:numCache>
            </c:numRef>
          </c:val>
          <c:extLst>
            <c:ext xmlns:c16="http://schemas.microsoft.com/office/drawing/2014/chart" uri="{C3380CC4-5D6E-409C-BE32-E72D297353CC}">
              <c16:uniqueId val="{00000002-F362-0241-BAD5-D709C3C8E8EC}"/>
            </c:ext>
          </c:extLst>
        </c:ser>
        <c:dLbls>
          <c:showLegendKey val="0"/>
          <c:showVal val="0"/>
          <c:showCatName val="0"/>
          <c:showSerName val="0"/>
          <c:showPercent val="0"/>
          <c:showBubbleSize val="0"/>
        </c:dLbls>
        <c:gapWidth val="219"/>
        <c:overlap val="-27"/>
        <c:axId val="175229775"/>
        <c:axId val="65811151"/>
      </c:barChart>
      <c:catAx>
        <c:axId val="175229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5811151"/>
        <c:crosses val="autoZero"/>
        <c:auto val="1"/>
        <c:lblAlgn val="ctr"/>
        <c:lblOffset val="100"/>
        <c:noMultiLvlLbl val="0"/>
      </c:catAx>
      <c:valAx>
        <c:axId val="658111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52297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Peel weight (g)</a:t>
            </a:r>
          </a:p>
        </c:rich>
      </c:tx>
      <c:overlay val="0"/>
      <c:spPr>
        <a:noFill/>
        <a:ln>
          <a:noFill/>
        </a:ln>
        <a:effectLst/>
      </c:spPr>
      <c:txPr>
        <a:bodyPr rot="0" spcFirstLastPara="1" vertOverflow="ellipsis" vert="horz" wrap="square" anchor="ctr" anchorCtr="1"/>
        <a:lstStyle/>
        <a:p>
          <a:pPr>
            <a:defRPr sz="72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Sheet1!$A$29</c:f>
              <c:strCache>
                <c:ptCount val="1"/>
                <c:pt idx="0">
                  <c:v>H1</c:v>
                </c:pt>
              </c:strCache>
            </c:strRef>
          </c:tx>
          <c:spPr>
            <a:solidFill>
              <a:schemeClr val="accent1"/>
            </a:solidFill>
            <a:ln>
              <a:noFill/>
            </a:ln>
            <a:effectLst/>
          </c:spPr>
          <c:invertIfNegative val="0"/>
          <c:errBars>
            <c:errBarType val="both"/>
            <c:errValType val="cust"/>
            <c:noEndCap val="0"/>
            <c:plus>
              <c:numRef>
                <c:f>Sheet1!$B$32:$D$32</c:f>
                <c:numCache>
                  <c:formatCode>General</c:formatCode>
                  <c:ptCount val="3"/>
                  <c:pt idx="0">
                    <c:v>8.4663825411642826</c:v>
                  </c:pt>
                  <c:pt idx="1">
                    <c:v>16.479033143159057</c:v>
                  </c:pt>
                  <c:pt idx="2">
                    <c:v>12.451105707258758</c:v>
                  </c:pt>
                </c:numCache>
              </c:numRef>
            </c:plus>
            <c:minus>
              <c:numRef>
                <c:f>Sheet1!$B$32:$D$32</c:f>
                <c:numCache>
                  <c:formatCode>General</c:formatCode>
                  <c:ptCount val="3"/>
                  <c:pt idx="0">
                    <c:v>8.4663825411642826</c:v>
                  </c:pt>
                  <c:pt idx="1">
                    <c:v>16.479033143159057</c:v>
                  </c:pt>
                  <c:pt idx="2">
                    <c:v>12.451105707258758</c:v>
                  </c:pt>
                </c:numCache>
              </c:numRef>
            </c:minus>
            <c:spPr>
              <a:noFill/>
              <a:ln w="9525" cap="flat" cmpd="sng" algn="ctr">
                <a:solidFill>
                  <a:schemeClr val="tx1">
                    <a:lumMod val="65000"/>
                    <a:lumOff val="35000"/>
                  </a:schemeClr>
                </a:solidFill>
                <a:round/>
              </a:ln>
              <a:effectLst/>
            </c:spPr>
          </c:errBars>
          <c:cat>
            <c:strRef>
              <c:f>Sheet1!$B$28:$D$28</c:f>
              <c:strCache>
                <c:ptCount val="3"/>
                <c:pt idx="0">
                  <c:v>2021</c:v>
                </c:pt>
                <c:pt idx="1">
                  <c:v>2022</c:v>
                </c:pt>
                <c:pt idx="2">
                  <c:v>Pooled</c:v>
                </c:pt>
              </c:strCache>
            </c:strRef>
          </c:cat>
          <c:val>
            <c:numRef>
              <c:f>Sheet1!$B$29:$D$29</c:f>
              <c:numCache>
                <c:formatCode>General</c:formatCode>
                <c:ptCount val="3"/>
                <c:pt idx="0">
                  <c:v>71.8</c:v>
                </c:pt>
                <c:pt idx="1">
                  <c:v>89.18</c:v>
                </c:pt>
                <c:pt idx="2">
                  <c:v>80.489999999999995</c:v>
                </c:pt>
              </c:numCache>
            </c:numRef>
          </c:val>
          <c:extLst>
            <c:ext xmlns:c16="http://schemas.microsoft.com/office/drawing/2014/chart" uri="{C3380CC4-5D6E-409C-BE32-E72D297353CC}">
              <c16:uniqueId val="{00000000-2B0D-AA46-8986-5418D32C1577}"/>
            </c:ext>
          </c:extLst>
        </c:ser>
        <c:ser>
          <c:idx val="1"/>
          <c:order val="1"/>
          <c:tx>
            <c:strRef>
              <c:f>Sheet1!$A$30</c:f>
              <c:strCache>
                <c:ptCount val="1"/>
                <c:pt idx="0">
                  <c:v>H2</c:v>
                </c:pt>
              </c:strCache>
            </c:strRef>
          </c:tx>
          <c:spPr>
            <a:solidFill>
              <a:schemeClr val="accent2"/>
            </a:solidFill>
            <a:ln>
              <a:noFill/>
            </a:ln>
            <a:effectLst/>
          </c:spPr>
          <c:invertIfNegative val="0"/>
          <c:errBars>
            <c:errBarType val="both"/>
            <c:errValType val="cust"/>
            <c:noEndCap val="0"/>
            <c:plus>
              <c:numRef>
                <c:f>Sheet1!$B$32:$D$32</c:f>
                <c:numCache>
                  <c:formatCode>General</c:formatCode>
                  <c:ptCount val="3"/>
                  <c:pt idx="0">
                    <c:v>8.4663825411642826</c:v>
                  </c:pt>
                  <c:pt idx="1">
                    <c:v>16.479033143159057</c:v>
                  </c:pt>
                  <c:pt idx="2">
                    <c:v>12.451105707258758</c:v>
                  </c:pt>
                </c:numCache>
              </c:numRef>
            </c:plus>
            <c:minus>
              <c:numRef>
                <c:f>Sheet1!$B$32:$D$32</c:f>
                <c:numCache>
                  <c:formatCode>General</c:formatCode>
                  <c:ptCount val="3"/>
                  <c:pt idx="0">
                    <c:v>8.4663825411642826</c:v>
                  </c:pt>
                  <c:pt idx="1">
                    <c:v>16.479033143159057</c:v>
                  </c:pt>
                  <c:pt idx="2">
                    <c:v>12.451105707258758</c:v>
                  </c:pt>
                </c:numCache>
              </c:numRef>
            </c:minus>
            <c:spPr>
              <a:noFill/>
              <a:ln w="9525" cap="flat" cmpd="sng" algn="ctr">
                <a:solidFill>
                  <a:schemeClr val="tx1">
                    <a:lumMod val="65000"/>
                    <a:lumOff val="35000"/>
                  </a:schemeClr>
                </a:solidFill>
                <a:round/>
              </a:ln>
              <a:effectLst/>
            </c:spPr>
          </c:errBars>
          <c:cat>
            <c:strRef>
              <c:f>Sheet1!$B$28:$D$28</c:f>
              <c:strCache>
                <c:ptCount val="3"/>
                <c:pt idx="0">
                  <c:v>2021</c:v>
                </c:pt>
                <c:pt idx="1">
                  <c:v>2022</c:v>
                </c:pt>
                <c:pt idx="2">
                  <c:v>Pooled</c:v>
                </c:pt>
              </c:strCache>
            </c:strRef>
          </c:cat>
          <c:val>
            <c:numRef>
              <c:f>Sheet1!$B$30:$D$30</c:f>
              <c:numCache>
                <c:formatCode>General</c:formatCode>
                <c:ptCount val="3"/>
                <c:pt idx="0">
                  <c:v>63.07</c:v>
                </c:pt>
                <c:pt idx="1">
                  <c:v>69.02</c:v>
                </c:pt>
                <c:pt idx="2">
                  <c:v>66.05</c:v>
                </c:pt>
              </c:numCache>
            </c:numRef>
          </c:val>
          <c:extLst>
            <c:ext xmlns:c16="http://schemas.microsoft.com/office/drawing/2014/chart" uri="{C3380CC4-5D6E-409C-BE32-E72D297353CC}">
              <c16:uniqueId val="{00000001-2B0D-AA46-8986-5418D32C1577}"/>
            </c:ext>
          </c:extLst>
        </c:ser>
        <c:ser>
          <c:idx val="2"/>
          <c:order val="2"/>
          <c:tx>
            <c:strRef>
              <c:f>Sheet1!$A$31</c:f>
              <c:strCache>
                <c:ptCount val="1"/>
                <c:pt idx="0">
                  <c:v>H3</c:v>
                </c:pt>
              </c:strCache>
            </c:strRef>
          </c:tx>
          <c:spPr>
            <a:solidFill>
              <a:schemeClr val="accent3"/>
            </a:solidFill>
            <a:ln>
              <a:noFill/>
            </a:ln>
            <a:effectLst/>
          </c:spPr>
          <c:invertIfNegative val="0"/>
          <c:errBars>
            <c:errBarType val="both"/>
            <c:errValType val="fixedVal"/>
            <c:noEndCap val="0"/>
            <c:val val="20"/>
            <c:spPr>
              <a:noFill/>
              <a:ln w="9525" cap="flat" cmpd="sng" algn="ctr">
                <a:solidFill>
                  <a:schemeClr val="tx1">
                    <a:lumMod val="65000"/>
                    <a:lumOff val="35000"/>
                  </a:schemeClr>
                </a:solidFill>
                <a:round/>
              </a:ln>
              <a:effectLst/>
            </c:spPr>
          </c:errBars>
          <c:cat>
            <c:strRef>
              <c:f>Sheet1!$B$28:$D$28</c:f>
              <c:strCache>
                <c:ptCount val="3"/>
                <c:pt idx="0">
                  <c:v>2021</c:v>
                </c:pt>
                <c:pt idx="1">
                  <c:v>2022</c:v>
                </c:pt>
                <c:pt idx="2">
                  <c:v>Pooled</c:v>
                </c:pt>
              </c:strCache>
            </c:strRef>
          </c:cat>
          <c:val>
            <c:numRef>
              <c:f>Sheet1!$B$31:$D$31</c:f>
              <c:numCache>
                <c:formatCode>General</c:formatCode>
                <c:ptCount val="3"/>
                <c:pt idx="0">
                  <c:v>54.87</c:v>
                </c:pt>
                <c:pt idx="1">
                  <c:v>56.52</c:v>
                </c:pt>
                <c:pt idx="2">
                  <c:v>55.7</c:v>
                </c:pt>
              </c:numCache>
            </c:numRef>
          </c:val>
          <c:extLst>
            <c:ext xmlns:c16="http://schemas.microsoft.com/office/drawing/2014/chart" uri="{C3380CC4-5D6E-409C-BE32-E72D297353CC}">
              <c16:uniqueId val="{00000002-2B0D-AA46-8986-5418D32C1577}"/>
            </c:ext>
          </c:extLst>
        </c:ser>
        <c:dLbls>
          <c:showLegendKey val="0"/>
          <c:showVal val="0"/>
          <c:showCatName val="0"/>
          <c:showSerName val="0"/>
          <c:showPercent val="0"/>
          <c:showBubbleSize val="0"/>
        </c:dLbls>
        <c:gapWidth val="219"/>
        <c:overlap val="-27"/>
        <c:axId val="65128063"/>
        <c:axId val="2118221360"/>
      </c:barChart>
      <c:catAx>
        <c:axId val="65128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18221360"/>
        <c:crosses val="autoZero"/>
        <c:auto val="1"/>
        <c:lblAlgn val="ctr"/>
        <c:lblOffset val="100"/>
        <c:noMultiLvlLbl val="0"/>
      </c:catAx>
      <c:valAx>
        <c:axId val="2118221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51280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Fruit weight (g)</a:t>
            </a:r>
          </a:p>
        </c:rich>
      </c:tx>
      <c:overlay val="0"/>
      <c:spPr>
        <a:noFill/>
        <a:ln>
          <a:noFill/>
        </a:ln>
        <a:effectLst/>
      </c:spPr>
      <c:txPr>
        <a:bodyPr rot="0" spcFirstLastPara="1" vertOverflow="ellipsis" vert="horz" wrap="square" anchor="ctr" anchorCtr="1"/>
        <a:lstStyle/>
        <a:p>
          <a:pPr>
            <a:defRPr sz="72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Sheet1!$A$23</c:f>
              <c:strCache>
                <c:ptCount val="1"/>
                <c:pt idx="0">
                  <c:v>H1</c:v>
                </c:pt>
              </c:strCache>
            </c:strRef>
          </c:tx>
          <c:spPr>
            <a:solidFill>
              <a:schemeClr val="accent1"/>
            </a:solidFill>
            <a:ln>
              <a:noFill/>
            </a:ln>
            <a:effectLst/>
          </c:spPr>
          <c:invertIfNegative val="0"/>
          <c:errBars>
            <c:errBarType val="both"/>
            <c:errValType val="cust"/>
            <c:noEndCap val="0"/>
            <c:plus>
              <c:numRef>
                <c:f>Sheet1!$B$26:$D$26</c:f>
                <c:numCache>
                  <c:formatCode>General</c:formatCode>
                  <c:ptCount val="3"/>
                  <c:pt idx="0">
                    <c:v>27.181052837101863</c:v>
                  </c:pt>
                  <c:pt idx="1">
                    <c:v>30.612496359058248</c:v>
                  </c:pt>
                  <c:pt idx="2">
                    <c:v>28.511359724386018</c:v>
                  </c:pt>
                </c:numCache>
              </c:numRef>
            </c:plus>
            <c:minus>
              <c:numRef>
                <c:f>Sheet1!$B$26:$D$26</c:f>
                <c:numCache>
                  <c:formatCode>General</c:formatCode>
                  <c:ptCount val="3"/>
                  <c:pt idx="0">
                    <c:v>27.181052837101863</c:v>
                  </c:pt>
                  <c:pt idx="1">
                    <c:v>30.612496359058248</c:v>
                  </c:pt>
                  <c:pt idx="2">
                    <c:v>28.511359724386018</c:v>
                  </c:pt>
                </c:numCache>
              </c:numRef>
            </c:minus>
            <c:spPr>
              <a:noFill/>
              <a:ln w="9525" cap="flat" cmpd="sng" algn="ctr">
                <a:solidFill>
                  <a:schemeClr val="tx1">
                    <a:lumMod val="65000"/>
                    <a:lumOff val="35000"/>
                  </a:schemeClr>
                </a:solidFill>
                <a:round/>
              </a:ln>
              <a:effectLst/>
            </c:spPr>
          </c:errBars>
          <c:cat>
            <c:strRef>
              <c:f>Sheet1!$B$22:$D$22</c:f>
              <c:strCache>
                <c:ptCount val="3"/>
                <c:pt idx="0">
                  <c:v>2021</c:v>
                </c:pt>
                <c:pt idx="1">
                  <c:v>2022</c:v>
                </c:pt>
                <c:pt idx="2">
                  <c:v>Pooled</c:v>
                </c:pt>
              </c:strCache>
            </c:strRef>
          </c:cat>
          <c:val>
            <c:numRef>
              <c:f>Sheet1!$B$23:$D$23</c:f>
              <c:numCache>
                <c:formatCode>General</c:formatCode>
                <c:ptCount val="3"/>
                <c:pt idx="0">
                  <c:v>179.27</c:v>
                </c:pt>
                <c:pt idx="1">
                  <c:v>187.71</c:v>
                </c:pt>
                <c:pt idx="2">
                  <c:v>183.49</c:v>
                </c:pt>
              </c:numCache>
            </c:numRef>
          </c:val>
          <c:extLst>
            <c:ext xmlns:c16="http://schemas.microsoft.com/office/drawing/2014/chart" uri="{C3380CC4-5D6E-409C-BE32-E72D297353CC}">
              <c16:uniqueId val="{00000000-C545-9746-8CC5-40DD04AE3BC8}"/>
            </c:ext>
          </c:extLst>
        </c:ser>
        <c:ser>
          <c:idx val="1"/>
          <c:order val="1"/>
          <c:tx>
            <c:strRef>
              <c:f>Sheet1!$A$24</c:f>
              <c:strCache>
                <c:ptCount val="1"/>
                <c:pt idx="0">
                  <c:v>H2</c:v>
                </c:pt>
              </c:strCache>
            </c:strRef>
          </c:tx>
          <c:spPr>
            <a:solidFill>
              <a:schemeClr val="accent2"/>
            </a:solidFill>
            <a:ln>
              <a:noFill/>
            </a:ln>
            <a:effectLst/>
          </c:spPr>
          <c:invertIfNegative val="0"/>
          <c:errBars>
            <c:errBarType val="both"/>
            <c:errValType val="fixedVal"/>
            <c:noEndCap val="0"/>
            <c:val val="50"/>
            <c:spPr>
              <a:noFill/>
              <a:ln w="9525" cap="flat" cmpd="sng" algn="ctr">
                <a:solidFill>
                  <a:schemeClr val="tx1">
                    <a:lumMod val="65000"/>
                    <a:lumOff val="35000"/>
                  </a:schemeClr>
                </a:solidFill>
                <a:round/>
              </a:ln>
              <a:effectLst/>
            </c:spPr>
          </c:errBars>
          <c:cat>
            <c:strRef>
              <c:f>Sheet1!$B$22:$D$22</c:f>
              <c:strCache>
                <c:ptCount val="3"/>
                <c:pt idx="0">
                  <c:v>2021</c:v>
                </c:pt>
                <c:pt idx="1">
                  <c:v>2022</c:v>
                </c:pt>
                <c:pt idx="2">
                  <c:v>Pooled</c:v>
                </c:pt>
              </c:strCache>
            </c:strRef>
          </c:cat>
          <c:val>
            <c:numRef>
              <c:f>Sheet1!$B$24:$D$24</c:f>
              <c:numCache>
                <c:formatCode>General</c:formatCode>
                <c:ptCount val="3"/>
                <c:pt idx="0">
                  <c:v>216.47</c:v>
                </c:pt>
                <c:pt idx="1">
                  <c:v>213.07</c:v>
                </c:pt>
                <c:pt idx="2">
                  <c:v>214.77</c:v>
                </c:pt>
              </c:numCache>
            </c:numRef>
          </c:val>
          <c:extLst>
            <c:ext xmlns:c16="http://schemas.microsoft.com/office/drawing/2014/chart" uri="{C3380CC4-5D6E-409C-BE32-E72D297353CC}">
              <c16:uniqueId val="{00000001-C545-9746-8CC5-40DD04AE3BC8}"/>
            </c:ext>
          </c:extLst>
        </c:ser>
        <c:ser>
          <c:idx val="2"/>
          <c:order val="2"/>
          <c:tx>
            <c:strRef>
              <c:f>Sheet1!$A$25</c:f>
              <c:strCache>
                <c:ptCount val="1"/>
                <c:pt idx="0">
                  <c:v>H3</c:v>
                </c:pt>
              </c:strCache>
            </c:strRef>
          </c:tx>
          <c:spPr>
            <a:solidFill>
              <a:schemeClr val="accent3"/>
            </a:solidFill>
            <a:ln>
              <a:noFill/>
            </a:ln>
            <a:effectLst/>
          </c:spPr>
          <c:invertIfNegative val="0"/>
          <c:errBars>
            <c:errBarType val="both"/>
            <c:errValType val="cust"/>
            <c:noEndCap val="0"/>
            <c:plus>
              <c:numRef>
                <c:f>Sheet1!$B$26:$D$26</c:f>
                <c:numCache>
                  <c:formatCode>General</c:formatCode>
                  <c:ptCount val="3"/>
                  <c:pt idx="0">
                    <c:v>27.181052837101863</c:v>
                  </c:pt>
                  <c:pt idx="1">
                    <c:v>30.612496359058248</c:v>
                  </c:pt>
                  <c:pt idx="2">
                    <c:v>28.511359724386018</c:v>
                  </c:pt>
                </c:numCache>
              </c:numRef>
            </c:plus>
            <c:minus>
              <c:numRef>
                <c:f>Sheet1!$B$26:$D$26</c:f>
                <c:numCache>
                  <c:formatCode>General</c:formatCode>
                  <c:ptCount val="3"/>
                  <c:pt idx="0">
                    <c:v>27.181052837101863</c:v>
                  </c:pt>
                  <c:pt idx="1">
                    <c:v>30.612496359058248</c:v>
                  </c:pt>
                  <c:pt idx="2">
                    <c:v>28.511359724386018</c:v>
                  </c:pt>
                </c:numCache>
              </c:numRef>
            </c:minus>
            <c:spPr>
              <a:noFill/>
              <a:ln w="9525" cap="flat" cmpd="sng" algn="ctr">
                <a:solidFill>
                  <a:schemeClr val="tx1">
                    <a:lumMod val="65000"/>
                    <a:lumOff val="35000"/>
                  </a:schemeClr>
                </a:solidFill>
                <a:round/>
              </a:ln>
              <a:effectLst/>
            </c:spPr>
          </c:errBars>
          <c:cat>
            <c:strRef>
              <c:f>Sheet1!$B$22:$D$22</c:f>
              <c:strCache>
                <c:ptCount val="3"/>
                <c:pt idx="0">
                  <c:v>2021</c:v>
                </c:pt>
                <c:pt idx="1">
                  <c:v>2022</c:v>
                </c:pt>
                <c:pt idx="2">
                  <c:v>Pooled</c:v>
                </c:pt>
              </c:strCache>
            </c:strRef>
          </c:cat>
          <c:val>
            <c:numRef>
              <c:f>Sheet1!$B$25:$D$25</c:f>
              <c:numCache>
                <c:formatCode>General</c:formatCode>
                <c:ptCount val="3"/>
                <c:pt idx="0">
                  <c:v>232.2</c:v>
                </c:pt>
                <c:pt idx="1">
                  <c:v>248.65</c:v>
                </c:pt>
                <c:pt idx="2">
                  <c:v>240.42</c:v>
                </c:pt>
              </c:numCache>
            </c:numRef>
          </c:val>
          <c:extLst>
            <c:ext xmlns:c16="http://schemas.microsoft.com/office/drawing/2014/chart" uri="{C3380CC4-5D6E-409C-BE32-E72D297353CC}">
              <c16:uniqueId val="{00000002-C545-9746-8CC5-40DD04AE3BC8}"/>
            </c:ext>
          </c:extLst>
        </c:ser>
        <c:dLbls>
          <c:showLegendKey val="0"/>
          <c:showVal val="0"/>
          <c:showCatName val="0"/>
          <c:showSerName val="0"/>
          <c:showPercent val="0"/>
          <c:showBubbleSize val="0"/>
        </c:dLbls>
        <c:gapWidth val="219"/>
        <c:overlap val="-27"/>
        <c:axId val="83298831"/>
        <c:axId val="1968010816"/>
      </c:barChart>
      <c:catAx>
        <c:axId val="83298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68010816"/>
        <c:crosses val="autoZero"/>
        <c:auto val="1"/>
        <c:lblAlgn val="ctr"/>
        <c:lblOffset val="100"/>
        <c:noMultiLvlLbl val="0"/>
      </c:catAx>
      <c:valAx>
        <c:axId val="1968010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32988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TSS- Acid ratio</a:t>
            </a:r>
          </a:p>
        </c:rich>
      </c:tx>
      <c:overlay val="0"/>
      <c:spPr>
        <a:noFill/>
        <a:ln>
          <a:noFill/>
        </a:ln>
        <a:effectLst/>
      </c:spPr>
      <c:txPr>
        <a:bodyPr rot="0" spcFirstLastPara="1" vertOverflow="ellipsis" vert="horz" wrap="square" anchor="ctr" anchorCtr="1"/>
        <a:lstStyle/>
        <a:p>
          <a:pPr>
            <a:defRPr sz="72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Sheet1!$M$15</c:f>
              <c:strCache>
                <c:ptCount val="1"/>
                <c:pt idx="0">
                  <c:v>H1</c:v>
                </c:pt>
              </c:strCache>
            </c:strRef>
          </c:tx>
          <c:spPr>
            <a:solidFill>
              <a:schemeClr val="accent1"/>
            </a:solidFill>
            <a:ln>
              <a:noFill/>
            </a:ln>
            <a:effectLst/>
          </c:spPr>
          <c:invertIfNegative val="0"/>
          <c:errBars>
            <c:errBarType val="both"/>
            <c:errValType val="cust"/>
            <c:noEndCap val="0"/>
            <c:plus>
              <c:numRef>
                <c:f>Sheet1!$N$18</c:f>
                <c:numCache>
                  <c:formatCode>General</c:formatCode>
                  <c:ptCount val="1"/>
                  <c:pt idx="0">
                    <c:v>16.93091354101524</c:v>
                  </c:pt>
                </c:numCache>
              </c:numRef>
            </c:plus>
            <c:minus>
              <c:numRef>
                <c:f>Sheet1!$N$18</c:f>
                <c:numCache>
                  <c:formatCode>General</c:formatCode>
                  <c:ptCount val="1"/>
                  <c:pt idx="0">
                    <c:v>16.93091354101524</c:v>
                  </c:pt>
                </c:numCache>
              </c:numRef>
            </c:minus>
            <c:spPr>
              <a:noFill/>
              <a:ln w="9525" cap="flat" cmpd="sng" algn="ctr">
                <a:solidFill>
                  <a:schemeClr val="tx1">
                    <a:lumMod val="65000"/>
                    <a:lumOff val="35000"/>
                  </a:schemeClr>
                </a:solidFill>
                <a:round/>
              </a:ln>
              <a:effectLst/>
            </c:spPr>
          </c:errBars>
          <c:cat>
            <c:strRef>
              <c:f>Sheet1!$N$14:$P$14</c:f>
              <c:strCache>
                <c:ptCount val="3"/>
                <c:pt idx="0">
                  <c:v>2021</c:v>
                </c:pt>
                <c:pt idx="1">
                  <c:v>2022</c:v>
                </c:pt>
                <c:pt idx="2">
                  <c:v>Pooled</c:v>
                </c:pt>
              </c:strCache>
            </c:strRef>
          </c:cat>
          <c:val>
            <c:numRef>
              <c:f>Sheet1!$N$15:$P$15</c:f>
              <c:numCache>
                <c:formatCode>General</c:formatCode>
                <c:ptCount val="3"/>
                <c:pt idx="0">
                  <c:v>17.440000000000001</c:v>
                </c:pt>
                <c:pt idx="1">
                  <c:v>17.829999999999998</c:v>
                </c:pt>
                <c:pt idx="2">
                  <c:v>17.64</c:v>
                </c:pt>
              </c:numCache>
            </c:numRef>
          </c:val>
          <c:extLst>
            <c:ext xmlns:c16="http://schemas.microsoft.com/office/drawing/2014/chart" uri="{C3380CC4-5D6E-409C-BE32-E72D297353CC}">
              <c16:uniqueId val="{00000000-F663-CC44-AB65-9BA1CB58478F}"/>
            </c:ext>
          </c:extLst>
        </c:ser>
        <c:ser>
          <c:idx val="1"/>
          <c:order val="1"/>
          <c:tx>
            <c:strRef>
              <c:f>Sheet1!$M$16</c:f>
              <c:strCache>
                <c:ptCount val="1"/>
                <c:pt idx="0">
                  <c:v>H2</c:v>
                </c:pt>
              </c:strCache>
            </c:strRef>
          </c:tx>
          <c:spPr>
            <a:solidFill>
              <a:schemeClr val="accent2"/>
            </a:solidFill>
            <a:ln>
              <a:noFill/>
            </a:ln>
            <a:effectLst/>
          </c:spPr>
          <c:invertIfNegative val="0"/>
          <c:errBars>
            <c:errBarType val="both"/>
            <c:errValType val="cust"/>
            <c:noEndCap val="0"/>
            <c:plus>
              <c:numRef>
                <c:f>Sheet1!$N$18:$P$18</c:f>
                <c:numCache>
                  <c:formatCode>General</c:formatCode>
                  <c:ptCount val="3"/>
                  <c:pt idx="0">
                    <c:v>16.93091354101524</c:v>
                  </c:pt>
                  <c:pt idx="1">
                    <c:v>21.181593424480607</c:v>
                  </c:pt>
                  <c:pt idx="2">
                    <c:v>19.053255189949379</c:v>
                  </c:pt>
                </c:numCache>
              </c:numRef>
            </c:plus>
            <c:minus>
              <c:numRef>
                <c:f>Sheet1!$N$18:$P$18</c:f>
                <c:numCache>
                  <c:formatCode>General</c:formatCode>
                  <c:ptCount val="3"/>
                  <c:pt idx="0">
                    <c:v>16.93091354101524</c:v>
                  </c:pt>
                  <c:pt idx="1">
                    <c:v>21.181593424480607</c:v>
                  </c:pt>
                  <c:pt idx="2">
                    <c:v>19.053255189949379</c:v>
                  </c:pt>
                </c:numCache>
              </c:numRef>
            </c:minus>
            <c:spPr>
              <a:noFill/>
              <a:ln w="9525" cap="flat" cmpd="sng" algn="ctr">
                <a:solidFill>
                  <a:schemeClr val="tx1">
                    <a:lumMod val="65000"/>
                    <a:lumOff val="35000"/>
                  </a:schemeClr>
                </a:solidFill>
                <a:round/>
              </a:ln>
              <a:effectLst/>
            </c:spPr>
          </c:errBars>
          <c:cat>
            <c:strRef>
              <c:f>Sheet1!$N$14:$P$14</c:f>
              <c:strCache>
                <c:ptCount val="3"/>
                <c:pt idx="0">
                  <c:v>2021</c:v>
                </c:pt>
                <c:pt idx="1">
                  <c:v>2022</c:v>
                </c:pt>
                <c:pt idx="2">
                  <c:v>Pooled</c:v>
                </c:pt>
              </c:strCache>
            </c:strRef>
          </c:cat>
          <c:val>
            <c:numRef>
              <c:f>Sheet1!$N$16:$P$16</c:f>
              <c:numCache>
                <c:formatCode>General</c:formatCode>
                <c:ptCount val="3"/>
                <c:pt idx="0">
                  <c:v>35.14</c:v>
                </c:pt>
                <c:pt idx="1">
                  <c:v>39.46</c:v>
                </c:pt>
                <c:pt idx="2">
                  <c:v>37.299999999999997</c:v>
                </c:pt>
              </c:numCache>
            </c:numRef>
          </c:val>
          <c:extLst>
            <c:ext xmlns:c16="http://schemas.microsoft.com/office/drawing/2014/chart" uri="{C3380CC4-5D6E-409C-BE32-E72D297353CC}">
              <c16:uniqueId val="{00000001-F663-CC44-AB65-9BA1CB58478F}"/>
            </c:ext>
          </c:extLst>
        </c:ser>
        <c:ser>
          <c:idx val="2"/>
          <c:order val="2"/>
          <c:tx>
            <c:strRef>
              <c:f>Sheet1!$M$17</c:f>
              <c:strCache>
                <c:ptCount val="1"/>
                <c:pt idx="0">
                  <c:v>H3</c:v>
                </c:pt>
              </c:strCache>
            </c:strRef>
          </c:tx>
          <c:spPr>
            <a:solidFill>
              <a:schemeClr val="accent3"/>
            </a:solidFill>
            <a:ln>
              <a:noFill/>
            </a:ln>
            <a:effectLst/>
          </c:spPr>
          <c:invertIfNegative val="0"/>
          <c:errBars>
            <c:errBarType val="both"/>
            <c:errValType val="cust"/>
            <c:noEndCap val="0"/>
            <c:plus>
              <c:numRef>
                <c:f>Sheet1!$N$18:$P$18</c:f>
                <c:numCache>
                  <c:formatCode>General</c:formatCode>
                  <c:ptCount val="3"/>
                  <c:pt idx="0">
                    <c:v>16.93091354101524</c:v>
                  </c:pt>
                  <c:pt idx="1">
                    <c:v>21.181593424480607</c:v>
                  </c:pt>
                  <c:pt idx="2">
                    <c:v>19.053255189949379</c:v>
                  </c:pt>
                </c:numCache>
              </c:numRef>
            </c:plus>
            <c:minus>
              <c:numRef>
                <c:f>Sheet1!$N$18:$P$18</c:f>
                <c:numCache>
                  <c:formatCode>General</c:formatCode>
                  <c:ptCount val="3"/>
                  <c:pt idx="0">
                    <c:v>16.93091354101524</c:v>
                  </c:pt>
                  <c:pt idx="1">
                    <c:v>21.181593424480607</c:v>
                  </c:pt>
                  <c:pt idx="2">
                    <c:v>19.053255189949379</c:v>
                  </c:pt>
                </c:numCache>
              </c:numRef>
            </c:minus>
            <c:spPr>
              <a:noFill/>
              <a:ln w="9525" cap="flat" cmpd="sng" algn="ctr">
                <a:solidFill>
                  <a:schemeClr val="tx1">
                    <a:lumMod val="65000"/>
                    <a:lumOff val="35000"/>
                  </a:schemeClr>
                </a:solidFill>
                <a:round/>
              </a:ln>
              <a:effectLst/>
            </c:spPr>
          </c:errBars>
          <c:cat>
            <c:strRef>
              <c:f>Sheet1!$N$14:$P$14</c:f>
              <c:strCache>
                <c:ptCount val="3"/>
                <c:pt idx="0">
                  <c:v>2021</c:v>
                </c:pt>
                <c:pt idx="1">
                  <c:v>2022</c:v>
                </c:pt>
                <c:pt idx="2">
                  <c:v>Pooled</c:v>
                </c:pt>
              </c:strCache>
            </c:strRef>
          </c:cat>
          <c:val>
            <c:numRef>
              <c:f>Sheet1!$N$17:$P$17</c:f>
              <c:numCache>
                <c:formatCode>General</c:formatCode>
                <c:ptCount val="3"/>
                <c:pt idx="0">
                  <c:v>51.29</c:v>
                </c:pt>
                <c:pt idx="1">
                  <c:v>60.19</c:v>
                </c:pt>
                <c:pt idx="2">
                  <c:v>55.74</c:v>
                </c:pt>
              </c:numCache>
            </c:numRef>
          </c:val>
          <c:extLst>
            <c:ext xmlns:c16="http://schemas.microsoft.com/office/drawing/2014/chart" uri="{C3380CC4-5D6E-409C-BE32-E72D297353CC}">
              <c16:uniqueId val="{00000002-F663-CC44-AB65-9BA1CB58478F}"/>
            </c:ext>
          </c:extLst>
        </c:ser>
        <c:dLbls>
          <c:showLegendKey val="0"/>
          <c:showVal val="0"/>
          <c:showCatName val="0"/>
          <c:showSerName val="0"/>
          <c:showPercent val="0"/>
          <c:showBubbleSize val="0"/>
        </c:dLbls>
        <c:gapWidth val="219"/>
        <c:overlap val="-27"/>
        <c:axId val="1996786160"/>
        <c:axId val="1969037248"/>
      </c:barChart>
      <c:catAx>
        <c:axId val="1996786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69037248"/>
        <c:crosses val="autoZero"/>
        <c:auto val="1"/>
        <c:lblAlgn val="ctr"/>
        <c:lblOffset val="100"/>
        <c:noMultiLvlLbl val="0"/>
      </c:catAx>
      <c:valAx>
        <c:axId val="1969037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96786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Titratable acidity</a:t>
            </a:r>
          </a:p>
        </c:rich>
      </c:tx>
      <c:overlay val="0"/>
      <c:spPr>
        <a:noFill/>
        <a:ln>
          <a:noFill/>
        </a:ln>
        <a:effectLst/>
      </c:spPr>
      <c:txPr>
        <a:bodyPr rot="0" spcFirstLastPara="1" vertOverflow="ellipsis" vert="horz" wrap="square" anchor="ctr" anchorCtr="1"/>
        <a:lstStyle/>
        <a:p>
          <a:pPr>
            <a:defRPr sz="72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Sheet1!$M$9</c:f>
              <c:strCache>
                <c:ptCount val="1"/>
                <c:pt idx="0">
                  <c:v>H1</c:v>
                </c:pt>
              </c:strCache>
            </c:strRef>
          </c:tx>
          <c:spPr>
            <a:solidFill>
              <a:schemeClr val="accent1"/>
            </a:solidFill>
            <a:ln>
              <a:noFill/>
            </a:ln>
            <a:effectLst/>
          </c:spPr>
          <c:invertIfNegative val="0"/>
          <c:errBars>
            <c:errBarType val="both"/>
            <c:errValType val="cust"/>
            <c:noEndCap val="0"/>
            <c:plus>
              <c:numRef>
                <c:f>Sheet1!$N$12:$P$12</c:f>
                <c:numCache>
                  <c:formatCode>General</c:formatCode>
                  <c:ptCount val="3"/>
                  <c:pt idx="0">
                    <c:v>0.11135528725660067</c:v>
                  </c:pt>
                  <c:pt idx="1">
                    <c:v>0.12767145334803709</c:v>
                  </c:pt>
                  <c:pt idx="2">
                    <c:v>0.1222020185321557</c:v>
                  </c:pt>
                </c:numCache>
              </c:numRef>
            </c:plus>
            <c:minus>
              <c:numRef>
                <c:f>Sheet1!$N$12:$P$12</c:f>
                <c:numCache>
                  <c:formatCode>General</c:formatCode>
                  <c:ptCount val="3"/>
                  <c:pt idx="0">
                    <c:v>0.11135528725660067</c:v>
                  </c:pt>
                  <c:pt idx="1">
                    <c:v>0.12767145334803709</c:v>
                  </c:pt>
                  <c:pt idx="2">
                    <c:v>0.1222020185321557</c:v>
                  </c:pt>
                </c:numCache>
              </c:numRef>
            </c:minus>
            <c:spPr>
              <a:noFill/>
              <a:ln w="9525" cap="flat" cmpd="sng" algn="ctr">
                <a:solidFill>
                  <a:schemeClr val="tx1">
                    <a:lumMod val="65000"/>
                    <a:lumOff val="35000"/>
                  </a:schemeClr>
                </a:solidFill>
                <a:round/>
              </a:ln>
              <a:effectLst/>
            </c:spPr>
          </c:errBars>
          <c:cat>
            <c:strRef>
              <c:f>Sheet1!$N$8:$P$8</c:f>
              <c:strCache>
                <c:ptCount val="3"/>
                <c:pt idx="0">
                  <c:v>2021</c:v>
                </c:pt>
                <c:pt idx="1">
                  <c:v>2022</c:v>
                </c:pt>
                <c:pt idx="2">
                  <c:v>Pooled</c:v>
                </c:pt>
              </c:strCache>
            </c:strRef>
          </c:cat>
          <c:val>
            <c:numRef>
              <c:f>Sheet1!$N$9:$P$9</c:f>
              <c:numCache>
                <c:formatCode>General</c:formatCode>
                <c:ptCount val="3"/>
                <c:pt idx="0">
                  <c:v>0.49</c:v>
                </c:pt>
                <c:pt idx="1">
                  <c:v>0.48</c:v>
                </c:pt>
                <c:pt idx="2">
                  <c:v>0.49</c:v>
                </c:pt>
              </c:numCache>
            </c:numRef>
          </c:val>
          <c:extLst>
            <c:ext xmlns:c16="http://schemas.microsoft.com/office/drawing/2014/chart" uri="{C3380CC4-5D6E-409C-BE32-E72D297353CC}">
              <c16:uniqueId val="{00000000-16AB-2649-8DAE-4FF4DFA0B778}"/>
            </c:ext>
          </c:extLst>
        </c:ser>
        <c:ser>
          <c:idx val="1"/>
          <c:order val="1"/>
          <c:tx>
            <c:strRef>
              <c:f>Sheet1!$M$10</c:f>
              <c:strCache>
                <c:ptCount val="1"/>
                <c:pt idx="0">
                  <c:v>H2</c:v>
                </c:pt>
              </c:strCache>
            </c:strRef>
          </c:tx>
          <c:spPr>
            <a:solidFill>
              <a:schemeClr val="accent2"/>
            </a:solidFill>
            <a:ln>
              <a:noFill/>
            </a:ln>
            <a:effectLst/>
          </c:spPr>
          <c:invertIfNegative val="0"/>
          <c:errBars>
            <c:errBarType val="both"/>
            <c:errValType val="cust"/>
            <c:noEndCap val="0"/>
            <c:plus>
              <c:numRef>
                <c:f>Sheet1!$N$12:$P$12</c:f>
                <c:numCache>
                  <c:formatCode>General</c:formatCode>
                  <c:ptCount val="3"/>
                  <c:pt idx="0">
                    <c:v>0.11135528725660067</c:v>
                  </c:pt>
                  <c:pt idx="1">
                    <c:v>0.12767145334803709</c:v>
                  </c:pt>
                  <c:pt idx="2">
                    <c:v>0.1222020185321557</c:v>
                  </c:pt>
                </c:numCache>
              </c:numRef>
            </c:plus>
            <c:minus>
              <c:numRef>
                <c:f>Sheet1!$N$12:$P$12</c:f>
                <c:numCache>
                  <c:formatCode>General</c:formatCode>
                  <c:ptCount val="3"/>
                  <c:pt idx="0">
                    <c:v>0.11135528725660067</c:v>
                  </c:pt>
                  <c:pt idx="1">
                    <c:v>0.12767145334803709</c:v>
                  </c:pt>
                  <c:pt idx="2">
                    <c:v>0.1222020185321557</c:v>
                  </c:pt>
                </c:numCache>
              </c:numRef>
            </c:minus>
            <c:spPr>
              <a:noFill/>
              <a:ln w="9525" cap="flat" cmpd="sng" algn="ctr">
                <a:solidFill>
                  <a:schemeClr val="tx1">
                    <a:lumMod val="65000"/>
                    <a:lumOff val="35000"/>
                  </a:schemeClr>
                </a:solidFill>
                <a:round/>
              </a:ln>
              <a:effectLst/>
            </c:spPr>
          </c:errBars>
          <c:cat>
            <c:strRef>
              <c:f>Sheet1!$N$8:$P$8</c:f>
              <c:strCache>
                <c:ptCount val="3"/>
                <c:pt idx="0">
                  <c:v>2021</c:v>
                </c:pt>
                <c:pt idx="1">
                  <c:v>2022</c:v>
                </c:pt>
                <c:pt idx="2">
                  <c:v>Pooled</c:v>
                </c:pt>
              </c:strCache>
            </c:strRef>
          </c:cat>
          <c:val>
            <c:numRef>
              <c:f>Sheet1!$N$10:$P$10</c:f>
              <c:numCache>
                <c:formatCode>General</c:formatCode>
                <c:ptCount val="3"/>
                <c:pt idx="0">
                  <c:v>0.35</c:v>
                </c:pt>
                <c:pt idx="1">
                  <c:v>0.31</c:v>
                </c:pt>
                <c:pt idx="2">
                  <c:v>0.33</c:v>
                </c:pt>
              </c:numCache>
            </c:numRef>
          </c:val>
          <c:extLst>
            <c:ext xmlns:c16="http://schemas.microsoft.com/office/drawing/2014/chart" uri="{C3380CC4-5D6E-409C-BE32-E72D297353CC}">
              <c16:uniqueId val="{00000001-16AB-2649-8DAE-4FF4DFA0B778}"/>
            </c:ext>
          </c:extLst>
        </c:ser>
        <c:ser>
          <c:idx val="2"/>
          <c:order val="2"/>
          <c:tx>
            <c:strRef>
              <c:f>Sheet1!$M$11</c:f>
              <c:strCache>
                <c:ptCount val="1"/>
                <c:pt idx="0">
                  <c:v>H3</c:v>
                </c:pt>
              </c:strCache>
            </c:strRef>
          </c:tx>
          <c:spPr>
            <a:solidFill>
              <a:schemeClr val="accent3"/>
            </a:solidFill>
            <a:ln>
              <a:noFill/>
            </a:ln>
            <a:effectLst/>
          </c:spPr>
          <c:invertIfNegative val="0"/>
          <c:errBars>
            <c:errBarType val="both"/>
            <c:errValType val="cust"/>
            <c:noEndCap val="0"/>
            <c:plus>
              <c:numRef>
                <c:f>Sheet1!$N$12:$P$12</c:f>
                <c:numCache>
                  <c:formatCode>General</c:formatCode>
                  <c:ptCount val="3"/>
                  <c:pt idx="0">
                    <c:v>0.11135528725660067</c:v>
                  </c:pt>
                  <c:pt idx="1">
                    <c:v>0.12767145334803709</c:v>
                  </c:pt>
                  <c:pt idx="2">
                    <c:v>0.1222020185321557</c:v>
                  </c:pt>
                </c:numCache>
              </c:numRef>
            </c:plus>
            <c:minus>
              <c:numRef>
                <c:f>Sheet1!$N$12:$P$12</c:f>
                <c:numCache>
                  <c:formatCode>General</c:formatCode>
                  <c:ptCount val="3"/>
                  <c:pt idx="0">
                    <c:v>0.11135528725660067</c:v>
                  </c:pt>
                  <c:pt idx="1">
                    <c:v>0.12767145334803709</c:v>
                  </c:pt>
                  <c:pt idx="2">
                    <c:v>0.1222020185321557</c:v>
                  </c:pt>
                </c:numCache>
              </c:numRef>
            </c:minus>
            <c:spPr>
              <a:noFill/>
              <a:ln w="9525" cap="flat" cmpd="sng" algn="ctr">
                <a:solidFill>
                  <a:schemeClr val="tx1">
                    <a:lumMod val="65000"/>
                    <a:lumOff val="35000"/>
                  </a:schemeClr>
                </a:solidFill>
                <a:round/>
              </a:ln>
              <a:effectLst/>
            </c:spPr>
          </c:errBars>
          <c:cat>
            <c:strRef>
              <c:f>Sheet1!$N$8:$P$8</c:f>
              <c:strCache>
                <c:ptCount val="3"/>
                <c:pt idx="0">
                  <c:v>2021</c:v>
                </c:pt>
                <c:pt idx="1">
                  <c:v>2022</c:v>
                </c:pt>
                <c:pt idx="2">
                  <c:v>Pooled</c:v>
                </c:pt>
              </c:strCache>
            </c:strRef>
          </c:cat>
          <c:val>
            <c:numRef>
              <c:f>Sheet1!$N$11:$P$11</c:f>
              <c:numCache>
                <c:formatCode>General</c:formatCode>
                <c:ptCount val="3"/>
                <c:pt idx="0">
                  <c:v>0.27</c:v>
                </c:pt>
                <c:pt idx="1">
                  <c:v>0.23</c:v>
                </c:pt>
                <c:pt idx="2">
                  <c:v>0.25</c:v>
                </c:pt>
              </c:numCache>
            </c:numRef>
          </c:val>
          <c:extLst>
            <c:ext xmlns:c16="http://schemas.microsoft.com/office/drawing/2014/chart" uri="{C3380CC4-5D6E-409C-BE32-E72D297353CC}">
              <c16:uniqueId val="{00000002-16AB-2649-8DAE-4FF4DFA0B778}"/>
            </c:ext>
          </c:extLst>
        </c:ser>
        <c:dLbls>
          <c:showLegendKey val="0"/>
          <c:showVal val="0"/>
          <c:showCatName val="0"/>
          <c:showSerName val="0"/>
          <c:showPercent val="0"/>
          <c:showBubbleSize val="0"/>
        </c:dLbls>
        <c:gapWidth val="219"/>
        <c:overlap val="-27"/>
        <c:axId val="2025833488"/>
        <c:axId val="91125487"/>
      </c:barChart>
      <c:catAx>
        <c:axId val="2025833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1125487"/>
        <c:crosses val="autoZero"/>
        <c:auto val="1"/>
        <c:lblAlgn val="ctr"/>
        <c:lblOffset val="100"/>
        <c:noMultiLvlLbl val="0"/>
      </c:catAx>
      <c:valAx>
        <c:axId val="911254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25833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TSS (ºB)</a:t>
            </a:r>
          </a:p>
        </c:rich>
      </c:tx>
      <c:overlay val="0"/>
      <c:spPr>
        <a:noFill/>
        <a:ln>
          <a:noFill/>
        </a:ln>
        <a:effectLst/>
      </c:spPr>
      <c:txPr>
        <a:bodyPr rot="0" spcFirstLastPara="1" vertOverflow="ellipsis" vert="horz" wrap="square" anchor="ctr" anchorCtr="1"/>
        <a:lstStyle/>
        <a:p>
          <a:pPr>
            <a:defRPr sz="72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Sheet1!$M$33</c:f>
              <c:strCache>
                <c:ptCount val="1"/>
                <c:pt idx="0">
                  <c:v>H1</c:v>
                </c:pt>
              </c:strCache>
            </c:strRef>
          </c:tx>
          <c:spPr>
            <a:solidFill>
              <a:schemeClr val="accent1"/>
            </a:solidFill>
            <a:ln>
              <a:noFill/>
            </a:ln>
            <a:effectLst/>
          </c:spPr>
          <c:invertIfNegative val="0"/>
          <c:errBars>
            <c:errBarType val="both"/>
            <c:errValType val="cust"/>
            <c:noEndCap val="0"/>
            <c:plus>
              <c:numRef>
                <c:f>Sheet1!$N$36:$P$36</c:f>
                <c:numCache>
                  <c:formatCode>General</c:formatCode>
                  <c:ptCount val="3"/>
                  <c:pt idx="0">
                    <c:v>2.6060890238055934</c:v>
                  </c:pt>
                  <c:pt idx="1">
                    <c:v>2.5741859554689093</c:v>
                  </c:pt>
                  <c:pt idx="2">
                    <c:v>2.5865871980919848</c:v>
                  </c:pt>
                </c:numCache>
              </c:numRef>
            </c:plus>
            <c:minus>
              <c:numRef>
                <c:f>Sheet1!$N$36:$P$36</c:f>
                <c:numCache>
                  <c:formatCode>General</c:formatCode>
                  <c:ptCount val="3"/>
                  <c:pt idx="0">
                    <c:v>2.6060890238055934</c:v>
                  </c:pt>
                  <c:pt idx="1">
                    <c:v>2.5741859554689093</c:v>
                  </c:pt>
                  <c:pt idx="2">
                    <c:v>2.5865871980919848</c:v>
                  </c:pt>
                </c:numCache>
              </c:numRef>
            </c:minus>
            <c:spPr>
              <a:noFill/>
              <a:ln w="9525" cap="flat" cmpd="sng" algn="ctr">
                <a:solidFill>
                  <a:schemeClr val="tx1">
                    <a:lumMod val="65000"/>
                    <a:lumOff val="35000"/>
                  </a:schemeClr>
                </a:solidFill>
                <a:round/>
              </a:ln>
              <a:effectLst/>
            </c:spPr>
          </c:errBars>
          <c:cat>
            <c:strRef>
              <c:f>Sheet1!$N$32:$P$32</c:f>
              <c:strCache>
                <c:ptCount val="3"/>
                <c:pt idx="0">
                  <c:v>2021</c:v>
                </c:pt>
                <c:pt idx="1">
                  <c:v>2022</c:v>
                </c:pt>
                <c:pt idx="2">
                  <c:v>Pooled</c:v>
                </c:pt>
              </c:strCache>
            </c:strRef>
          </c:cat>
          <c:val>
            <c:numRef>
              <c:f>Sheet1!$N$33:$P$33</c:f>
              <c:numCache>
                <c:formatCode>General</c:formatCode>
                <c:ptCount val="3"/>
                <c:pt idx="0">
                  <c:v>8.44</c:v>
                </c:pt>
                <c:pt idx="1">
                  <c:v>8.44</c:v>
                </c:pt>
                <c:pt idx="2">
                  <c:v>8.44</c:v>
                </c:pt>
              </c:numCache>
            </c:numRef>
          </c:val>
          <c:extLst>
            <c:ext xmlns:c16="http://schemas.microsoft.com/office/drawing/2014/chart" uri="{C3380CC4-5D6E-409C-BE32-E72D297353CC}">
              <c16:uniqueId val="{00000000-A40E-FC4C-8F90-2AC3F21C6013}"/>
            </c:ext>
          </c:extLst>
        </c:ser>
        <c:ser>
          <c:idx val="1"/>
          <c:order val="1"/>
          <c:tx>
            <c:strRef>
              <c:f>Sheet1!$M$34</c:f>
              <c:strCache>
                <c:ptCount val="1"/>
                <c:pt idx="0">
                  <c:v>H2</c:v>
                </c:pt>
              </c:strCache>
            </c:strRef>
          </c:tx>
          <c:spPr>
            <a:solidFill>
              <a:schemeClr val="accent2"/>
            </a:solidFill>
            <a:ln>
              <a:noFill/>
            </a:ln>
            <a:effectLst/>
          </c:spPr>
          <c:invertIfNegative val="0"/>
          <c:errBars>
            <c:errBarType val="both"/>
            <c:errValType val="cust"/>
            <c:noEndCap val="0"/>
            <c:plus>
              <c:numRef>
                <c:f>Sheet1!$N$36:$P$36</c:f>
                <c:numCache>
                  <c:formatCode>General</c:formatCode>
                  <c:ptCount val="3"/>
                  <c:pt idx="0">
                    <c:v>2.6060890238055934</c:v>
                  </c:pt>
                  <c:pt idx="1">
                    <c:v>2.5741859554689093</c:v>
                  </c:pt>
                  <c:pt idx="2">
                    <c:v>2.5865871980919848</c:v>
                  </c:pt>
                </c:numCache>
              </c:numRef>
            </c:plus>
            <c:minus>
              <c:numRef>
                <c:f>Sheet1!$N$36:$P$36</c:f>
                <c:numCache>
                  <c:formatCode>General</c:formatCode>
                  <c:ptCount val="3"/>
                  <c:pt idx="0">
                    <c:v>2.6060890238055934</c:v>
                  </c:pt>
                  <c:pt idx="1">
                    <c:v>2.5741859554689093</c:v>
                  </c:pt>
                  <c:pt idx="2">
                    <c:v>2.5865871980919848</c:v>
                  </c:pt>
                </c:numCache>
              </c:numRef>
            </c:minus>
            <c:spPr>
              <a:noFill/>
              <a:ln w="9525" cap="flat" cmpd="sng" algn="ctr">
                <a:solidFill>
                  <a:schemeClr val="tx1">
                    <a:lumMod val="65000"/>
                    <a:lumOff val="35000"/>
                  </a:schemeClr>
                </a:solidFill>
                <a:round/>
              </a:ln>
              <a:effectLst/>
            </c:spPr>
          </c:errBars>
          <c:cat>
            <c:strRef>
              <c:f>Sheet1!$N$32:$P$32</c:f>
              <c:strCache>
                <c:ptCount val="3"/>
                <c:pt idx="0">
                  <c:v>2021</c:v>
                </c:pt>
                <c:pt idx="1">
                  <c:v>2022</c:v>
                </c:pt>
                <c:pt idx="2">
                  <c:v>Pooled</c:v>
                </c:pt>
              </c:strCache>
            </c:strRef>
          </c:cat>
          <c:val>
            <c:numRef>
              <c:f>Sheet1!$N$34:$P$34</c:f>
              <c:numCache>
                <c:formatCode>General</c:formatCode>
                <c:ptCount val="3"/>
                <c:pt idx="0">
                  <c:v>12.19</c:v>
                </c:pt>
                <c:pt idx="1">
                  <c:v>11.75</c:v>
                </c:pt>
                <c:pt idx="2">
                  <c:v>11.97</c:v>
                </c:pt>
              </c:numCache>
            </c:numRef>
          </c:val>
          <c:extLst>
            <c:ext xmlns:c16="http://schemas.microsoft.com/office/drawing/2014/chart" uri="{C3380CC4-5D6E-409C-BE32-E72D297353CC}">
              <c16:uniqueId val="{00000001-A40E-FC4C-8F90-2AC3F21C6013}"/>
            </c:ext>
          </c:extLst>
        </c:ser>
        <c:ser>
          <c:idx val="2"/>
          <c:order val="2"/>
          <c:tx>
            <c:strRef>
              <c:f>Sheet1!$M$35</c:f>
              <c:strCache>
                <c:ptCount val="1"/>
                <c:pt idx="0">
                  <c:v>H3</c:v>
                </c:pt>
              </c:strCache>
            </c:strRef>
          </c:tx>
          <c:spPr>
            <a:solidFill>
              <a:schemeClr val="accent3"/>
            </a:solidFill>
            <a:ln>
              <a:noFill/>
            </a:ln>
            <a:effectLst/>
          </c:spPr>
          <c:invertIfNegative val="0"/>
          <c:errBars>
            <c:errBarType val="both"/>
            <c:errValType val="cust"/>
            <c:noEndCap val="0"/>
            <c:plus>
              <c:numRef>
                <c:f>Sheet1!$N$36:$P$36</c:f>
                <c:numCache>
                  <c:formatCode>General</c:formatCode>
                  <c:ptCount val="3"/>
                  <c:pt idx="0">
                    <c:v>2.6060890238055934</c:v>
                  </c:pt>
                  <c:pt idx="1">
                    <c:v>2.5741859554689093</c:v>
                  </c:pt>
                  <c:pt idx="2">
                    <c:v>2.5865871980919848</c:v>
                  </c:pt>
                </c:numCache>
              </c:numRef>
            </c:plus>
            <c:minus>
              <c:numRef>
                <c:f>Sheet1!$N$36:$P$36</c:f>
                <c:numCache>
                  <c:formatCode>General</c:formatCode>
                  <c:ptCount val="3"/>
                  <c:pt idx="0">
                    <c:v>2.6060890238055934</c:v>
                  </c:pt>
                  <c:pt idx="1">
                    <c:v>2.5741859554689093</c:v>
                  </c:pt>
                  <c:pt idx="2">
                    <c:v>2.5865871980919848</c:v>
                  </c:pt>
                </c:numCache>
              </c:numRef>
            </c:minus>
            <c:spPr>
              <a:noFill/>
              <a:ln w="9525" cap="flat" cmpd="sng" algn="ctr">
                <a:solidFill>
                  <a:schemeClr val="tx1">
                    <a:lumMod val="65000"/>
                    <a:lumOff val="35000"/>
                  </a:schemeClr>
                </a:solidFill>
                <a:round/>
              </a:ln>
              <a:effectLst/>
            </c:spPr>
          </c:errBars>
          <c:cat>
            <c:strRef>
              <c:f>Sheet1!$N$32:$P$32</c:f>
              <c:strCache>
                <c:ptCount val="3"/>
                <c:pt idx="0">
                  <c:v>2021</c:v>
                </c:pt>
                <c:pt idx="1">
                  <c:v>2022</c:v>
                </c:pt>
                <c:pt idx="2">
                  <c:v>Pooled</c:v>
                </c:pt>
              </c:strCache>
            </c:strRef>
          </c:cat>
          <c:val>
            <c:numRef>
              <c:f>Sheet1!$N$35:$P$35</c:f>
              <c:numCache>
                <c:formatCode>General</c:formatCode>
                <c:ptCount val="3"/>
                <c:pt idx="0">
                  <c:v>13.45</c:v>
                </c:pt>
                <c:pt idx="1">
                  <c:v>13.51</c:v>
                </c:pt>
                <c:pt idx="2">
                  <c:v>13.48</c:v>
                </c:pt>
              </c:numCache>
            </c:numRef>
          </c:val>
          <c:extLst>
            <c:ext xmlns:c16="http://schemas.microsoft.com/office/drawing/2014/chart" uri="{C3380CC4-5D6E-409C-BE32-E72D297353CC}">
              <c16:uniqueId val="{00000002-A40E-FC4C-8F90-2AC3F21C6013}"/>
            </c:ext>
          </c:extLst>
        </c:ser>
        <c:dLbls>
          <c:showLegendKey val="0"/>
          <c:showVal val="0"/>
          <c:showCatName val="0"/>
          <c:showSerName val="0"/>
          <c:showPercent val="0"/>
          <c:showBubbleSize val="0"/>
        </c:dLbls>
        <c:gapWidth val="219"/>
        <c:overlap val="-27"/>
        <c:axId val="1975452352"/>
        <c:axId val="2115636384"/>
      </c:barChart>
      <c:catAx>
        <c:axId val="1975452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15636384"/>
        <c:crosses val="autoZero"/>
        <c:auto val="1"/>
        <c:lblAlgn val="ctr"/>
        <c:lblOffset val="100"/>
        <c:noMultiLvlLbl val="0"/>
      </c:catAx>
      <c:valAx>
        <c:axId val="2115636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75452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Total sugar</a:t>
            </a:r>
          </a:p>
        </c:rich>
      </c:tx>
      <c:overlay val="0"/>
      <c:spPr>
        <a:noFill/>
        <a:ln>
          <a:noFill/>
        </a:ln>
        <a:effectLst/>
      </c:spPr>
      <c:txPr>
        <a:bodyPr rot="0" spcFirstLastPara="1" vertOverflow="ellipsis" vert="horz" wrap="square" anchor="ctr" anchorCtr="1"/>
        <a:lstStyle/>
        <a:p>
          <a:pPr>
            <a:defRPr sz="72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Sheet1!$M$39</c:f>
              <c:strCache>
                <c:ptCount val="1"/>
                <c:pt idx="0">
                  <c:v>H1</c:v>
                </c:pt>
              </c:strCache>
            </c:strRef>
          </c:tx>
          <c:spPr>
            <a:solidFill>
              <a:schemeClr val="accent1"/>
            </a:solidFill>
            <a:ln>
              <a:noFill/>
            </a:ln>
            <a:effectLst/>
          </c:spPr>
          <c:invertIfNegative val="0"/>
          <c:errBars>
            <c:errBarType val="both"/>
            <c:errValType val="cust"/>
            <c:noEndCap val="0"/>
            <c:plus>
              <c:numRef>
                <c:f>Sheet1!$N$42:$P$42</c:f>
                <c:numCache>
                  <c:formatCode>General</c:formatCode>
                  <c:ptCount val="3"/>
                  <c:pt idx="0">
                    <c:v>1.8849491593497545</c:v>
                  </c:pt>
                  <c:pt idx="1">
                    <c:v>2.0486825034641178</c:v>
                  </c:pt>
                  <c:pt idx="2">
                    <c:v>1.9014292869663449</c:v>
                  </c:pt>
                </c:numCache>
              </c:numRef>
            </c:plus>
            <c:minus>
              <c:numRef>
                <c:f>Sheet1!$N$42:$P$42</c:f>
                <c:numCache>
                  <c:formatCode>General</c:formatCode>
                  <c:ptCount val="3"/>
                  <c:pt idx="0">
                    <c:v>1.8849491593497545</c:v>
                  </c:pt>
                  <c:pt idx="1">
                    <c:v>2.0486825034641178</c:v>
                  </c:pt>
                  <c:pt idx="2">
                    <c:v>1.9014292869663449</c:v>
                  </c:pt>
                </c:numCache>
              </c:numRef>
            </c:minus>
            <c:spPr>
              <a:noFill/>
              <a:ln w="9525" cap="flat" cmpd="sng" algn="ctr">
                <a:solidFill>
                  <a:schemeClr val="tx1">
                    <a:lumMod val="65000"/>
                    <a:lumOff val="35000"/>
                  </a:schemeClr>
                </a:solidFill>
                <a:round/>
              </a:ln>
              <a:effectLst/>
            </c:spPr>
          </c:errBars>
          <c:cat>
            <c:strRef>
              <c:f>Sheet1!$N$38:$P$38</c:f>
              <c:strCache>
                <c:ptCount val="3"/>
                <c:pt idx="0">
                  <c:v>2021</c:v>
                </c:pt>
                <c:pt idx="1">
                  <c:v>2022</c:v>
                </c:pt>
                <c:pt idx="2">
                  <c:v>Pooled</c:v>
                </c:pt>
              </c:strCache>
            </c:strRef>
          </c:cat>
          <c:val>
            <c:numRef>
              <c:f>Sheet1!$N$39:$P$39</c:f>
              <c:numCache>
                <c:formatCode>General</c:formatCode>
                <c:ptCount val="3"/>
                <c:pt idx="0">
                  <c:v>4.92</c:v>
                </c:pt>
                <c:pt idx="1">
                  <c:v>4.8899999999999997</c:v>
                </c:pt>
                <c:pt idx="2">
                  <c:v>4.9000000000000004</c:v>
                </c:pt>
              </c:numCache>
            </c:numRef>
          </c:val>
          <c:extLst>
            <c:ext xmlns:c16="http://schemas.microsoft.com/office/drawing/2014/chart" uri="{C3380CC4-5D6E-409C-BE32-E72D297353CC}">
              <c16:uniqueId val="{00000000-1E92-274D-985F-6F0651C8F519}"/>
            </c:ext>
          </c:extLst>
        </c:ser>
        <c:ser>
          <c:idx val="1"/>
          <c:order val="1"/>
          <c:tx>
            <c:strRef>
              <c:f>Sheet1!$M$40</c:f>
              <c:strCache>
                <c:ptCount val="1"/>
                <c:pt idx="0">
                  <c:v>H2</c:v>
                </c:pt>
              </c:strCache>
            </c:strRef>
          </c:tx>
          <c:spPr>
            <a:solidFill>
              <a:schemeClr val="accent2"/>
            </a:solidFill>
            <a:ln>
              <a:noFill/>
            </a:ln>
            <a:effectLst/>
          </c:spPr>
          <c:invertIfNegative val="0"/>
          <c:errBars>
            <c:errBarType val="both"/>
            <c:errValType val="cust"/>
            <c:noEndCap val="0"/>
            <c:plus>
              <c:numRef>
                <c:f>Sheet1!$N$42:$P$42</c:f>
                <c:numCache>
                  <c:formatCode>General</c:formatCode>
                  <c:ptCount val="3"/>
                  <c:pt idx="0">
                    <c:v>1.8849491593497545</c:v>
                  </c:pt>
                  <c:pt idx="1">
                    <c:v>2.0486825034641178</c:v>
                  </c:pt>
                  <c:pt idx="2">
                    <c:v>1.9014292869663449</c:v>
                  </c:pt>
                </c:numCache>
              </c:numRef>
            </c:plus>
            <c:minus>
              <c:numRef>
                <c:f>Sheet1!$N$42:$P$42</c:f>
                <c:numCache>
                  <c:formatCode>General</c:formatCode>
                  <c:ptCount val="3"/>
                  <c:pt idx="0">
                    <c:v>1.8849491593497545</c:v>
                  </c:pt>
                  <c:pt idx="1">
                    <c:v>2.0486825034641178</c:v>
                  </c:pt>
                  <c:pt idx="2">
                    <c:v>1.9014292869663449</c:v>
                  </c:pt>
                </c:numCache>
              </c:numRef>
            </c:minus>
            <c:spPr>
              <a:noFill/>
              <a:ln w="9525" cap="flat" cmpd="sng" algn="ctr">
                <a:solidFill>
                  <a:schemeClr val="tx1">
                    <a:lumMod val="65000"/>
                    <a:lumOff val="35000"/>
                  </a:schemeClr>
                </a:solidFill>
                <a:round/>
              </a:ln>
              <a:effectLst/>
            </c:spPr>
          </c:errBars>
          <c:cat>
            <c:strRef>
              <c:f>Sheet1!$N$38:$P$38</c:f>
              <c:strCache>
                <c:ptCount val="3"/>
                <c:pt idx="0">
                  <c:v>2021</c:v>
                </c:pt>
                <c:pt idx="1">
                  <c:v>2022</c:v>
                </c:pt>
                <c:pt idx="2">
                  <c:v>Pooled</c:v>
                </c:pt>
              </c:strCache>
            </c:strRef>
          </c:cat>
          <c:val>
            <c:numRef>
              <c:f>Sheet1!$N$40:$P$40</c:f>
              <c:numCache>
                <c:formatCode>General</c:formatCode>
                <c:ptCount val="3"/>
                <c:pt idx="0">
                  <c:v>7.13</c:v>
                </c:pt>
                <c:pt idx="1">
                  <c:v>8.65</c:v>
                </c:pt>
                <c:pt idx="2">
                  <c:v>7.89</c:v>
                </c:pt>
              </c:numCache>
            </c:numRef>
          </c:val>
          <c:extLst>
            <c:ext xmlns:c16="http://schemas.microsoft.com/office/drawing/2014/chart" uri="{C3380CC4-5D6E-409C-BE32-E72D297353CC}">
              <c16:uniqueId val="{00000001-1E92-274D-985F-6F0651C8F519}"/>
            </c:ext>
          </c:extLst>
        </c:ser>
        <c:ser>
          <c:idx val="2"/>
          <c:order val="2"/>
          <c:tx>
            <c:strRef>
              <c:f>Sheet1!$M$41</c:f>
              <c:strCache>
                <c:ptCount val="1"/>
                <c:pt idx="0">
                  <c:v>H3</c:v>
                </c:pt>
              </c:strCache>
            </c:strRef>
          </c:tx>
          <c:spPr>
            <a:solidFill>
              <a:schemeClr val="accent3"/>
            </a:solidFill>
            <a:ln>
              <a:noFill/>
            </a:ln>
            <a:effectLst/>
          </c:spPr>
          <c:invertIfNegative val="0"/>
          <c:errBars>
            <c:errBarType val="both"/>
            <c:errValType val="cust"/>
            <c:noEndCap val="0"/>
            <c:plus>
              <c:numRef>
                <c:f>Sheet1!$N$42:$P$42</c:f>
                <c:numCache>
                  <c:formatCode>General</c:formatCode>
                  <c:ptCount val="3"/>
                  <c:pt idx="0">
                    <c:v>1.8849491593497545</c:v>
                  </c:pt>
                  <c:pt idx="1">
                    <c:v>2.0486825034641178</c:v>
                  </c:pt>
                  <c:pt idx="2">
                    <c:v>1.9014292869663449</c:v>
                  </c:pt>
                </c:numCache>
              </c:numRef>
            </c:plus>
            <c:minus>
              <c:numRef>
                <c:f>Sheet1!$N$42:$P$42</c:f>
                <c:numCache>
                  <c:formatCode>General</c:formatCode>
                  <c:ptCount val="3"/>
                  <c:pt idx="0">
                    <c:v>1.8849491593497545</c:v>
                  </c:pt>
                  <c:pt idx="1">
                    <c:v>2.0486825034641178</c:v>
                  </c:pt>
                  <c:pt idx="2">
                    <c:v>1.9014292869663449</c:v>
                  </c:pt>
                </c:numCache>
              </c:numRef>
            </c:minus>
            <c:spPr>
              <a:noFill/>
              <a:ln w="9525" cap="flat" cmpd="sng" algn="ctr">
                <a:solidFill>
                  <a:schemeClr val="tx1">
                    <a:lumMod val="65000"/>
                    <a:lumOff val="35000"/>
                  </a:schemeClr>
                </a:solidFill>
                <a:round/>
              </a:ln>
              <a:effectLst/>
            </c:spPr>
          </c:errBars>
          <c:cat>
            <c:strRef>
              <c:f>Sheet1!$N$38:$P$38</c:f>
              <c:strCache>
                <c:ptCount val="3"/>
                <c:pt idx="0">
                  <c:v>2021</c:v>
                </c:pt>
                <c:pt idx="1">
                  <c:v>2022</c:v>
                </c:pt>
                <c:pt idx="2">
                  <c:v>Pooled</c:v>
                </c:pt>
              </c:strCache>
            </c:strRef>
          </c:cat>
          <c:val>
            <c:numRef>
              <c:f>Sheet1!$N$41:$P$41</c:f>
              <c:numCache>
                <c:formatCode>General</c:formatCode>
                <c:ptCount val="3"/>
                <c:pt idx="0">
                  <c:v>8.67</c:v>
                </c:pt>
                <c:pt idx="1">
                  <c:v>8.18</c:v>
                </c:pt>
                <c:pt idx="2">
                  <c:v>8.43</c:v>
                </c:pt>
              </c:numCache>
            </c:numRef>
          </c:val>
          <c:extLst>
            <c:ext xmlns:c16="http://schemas.microsoft.com/office/drawing/2014/chart" uri="{C3380CC4-5D6E-409C-BE32-E72D297353CC}">
              <c16:uniqueId val="{00000002-1E92-274D-985F-6F0651C8F519}"/>
            </c:ext>
          </c:extLst>
        </c:ser>
        <c:dLbls>
          <c:showLegendKey val="0"/>
          <c:showVal val="0"/>
          <c:showCatName val="0"/>
          <c:showSerName val="0"/>
          <c:showPercent val="0"/>
          <c:showBubbleSize val="0"/>
        </c:dLbls>
        <c:gapWidth val="219"/>
        <c:overlap val="-27"/>
        <c:axId val="1971537360"/>
        <c:axId val="1971743456"/>
      </c:barChart>
      <c:catAx>
        <c:axId val="1971537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71743456"/>
        <c:crosses val="autoZero"/>
        <c:auto val="1"/>
        <c:lblAlgn val="ctr"/>
        <c:lblOffset val="100"/>
        <c:noMultiLvlLbl val="0"/>
      </c:catAx>
      <c:valAx>
        <c:axId val="1971743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71537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10</Pages>
  <Words>4452</Words>
  <Characters>25379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Alemla Imchen</dc:creator>
  <cp:keywords/>
  <dc:description/>
  <cp:lastModifiedBy>SDI 1183</cp:lastModifiedBy>
  <cp:revision>22</cp:revision>
  <dcterms:created xsi:type="dcterms:W3CDTF">2025-05-11T14:52:00Z</dcterms:created>
  <dcterms:modified xsi:type="dcterms:W3CDTF">2025-05-24T10:10:00Z</dcterms:modified>
</cp:coreProperties>
</file>