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E6355" w14:textId="77777777" w:rsidR="00812A31" w:rsidRDefault="00D73946" w:rsidP="00BF27C1">
      <w:pPr>
        <w:spacing w:line="360" w:lineRule="auto"/>
        <w:jc w:val="center"/>
        <w:rPr>
          <w:rFonts w:ascii="Times New Roman" w:hAnsi="Times New Roman" w:cs="Times New Roman"/>
          <w:b/>
          <w:color w:val="000000" w:themeColor="text1"/>
          <w:sz w:val="28"/>
          <w:szCs w:val="24"/>
          <w:lang w:val="en-US"/>
        </w:rPr>
      </w:pPr>
      <w:bookmarkStart w:id="0" w:name="_Hlk197956018"/>
      <w:r w:rsidRPr="00812A31">
        <w:rPr>
          <w:rFonts w:ascii="Times New Roman" w:hAnsi="Times New Roman" w:cs="Times New Roman"/>
          <w:b/>
          <w:color w:val="000000" w:themeColor="text1"/>
          <w:sz w:val="28"/>
          <w:szCs w:val="24"/>
          <w:lang w:val="en-US"/>
        </w:rPr>
        <w:t xml:space="preserve">Evaluation of </w:t>
      </w:r>
      <w:r w:rsidR="0069264B" w:rsidRPr="00812A31">
        <w:rPr>
          <w:rFonts w:ascii="Times New Roman" w:hAnsi="Times New Roman" w:cs="Times New Roman"/>
          <w:b/>
          <w:color w:val="000000" w:themeColor="text1"/>
          <w:sz w:val="28"/>
          <w:szCs w:val="24"/>
          <w:lang w:val="en-US"/>
        </w:rPr>
        <w:t>s</w:t>
      </w:r>
      <w:r w:rsidRPr="00812A31">
        <w:rPr>
          <w:rFonts w:ascii="Times New Roman" w:hAnsi="Times New Roman" w:cs="Times New Roman"/>
          <w:b/>
          <w:color w:val="000000" w:themeColor="text1"/>
          <w:sz w:val="28"/>
          <w:szCs w:val="24"/>
          <w:lang w:val="en-US"/>
        </w:rPr>
        <w:t xml:space="preserve">tay-green genotypes </w:t>
      </w:r>
      <w:r w:rsidR="00493D89" w:rsidRPr="00812A31">
        <w:rPr>
          <w:rFonts w:ascii="Times New Roman" w:hAnsi="Times New Roman" w:cs="Times New Roman"/>
          <w:b/>
          <w:color w:val="000000" w:themeColor="text1"/>
          <w:sz w:val="28"/>
          <w:szCs w:val="24"/>
          <w:lang w:val="en-US"/>
        </w:rPr>
        <w:t>at</w:t>
      </w:r>
      <w:r w:rsidR="0069264B" w:rsidRPr="00812A31">
        <w:rPr>
          <w:rFonts w:ascii="Times New Roman" w:hAnsi="Times New Roman" w:cs="Times New Roman"/>
          <w:b/>
          <w:color w:val="000000" w:themeColor="text1"/>
          <w:sz w:val="28"/>
          <w:szCs w:val="24"/>
          <w:lang w:val="en-US"/>
        </w:rPr>
        <w:t xml:space="preserve"> </w:t>
      </w:r>
      <w:r w:rsidRPr="00812A31">
        <w:rPr>
          <w:rFonts w:ascii="Times New Roman" w:hAnsi="Times New Roman" w:cs="Times New Roman"/>
          <w:b/>
          <w:color w:val="000000" w:themeColor="text1"/>
          <w:sz w:val="28"/>
          <w:szCs w:val="24"/>
          <w:lang w:val="en-US"/>
        </w:rPr>
        <w:t xml:space="preserve">post-flowering </w:t>
      </w:r>
      <w:r w:rsidR="00812A31" w:rsidRPr="00812A31">
        <w:rPr>
          <w:rFonts w:ascii="Times New Roman" w:hAnsi="Times New Roman" w:cs="Times New Roman"/>
          <w:b/>
          <w:color w:val="000000" w:themeColor="text1"/>
          <w:sz w:val="28"/>
          <w:szCs w:val="24"/>
          <w:lang w:val="en-US"/>
        </w:rPr>
        <w:t xml:space="preserve">stage </w:t>
      </w:r>
      <w:r w:rsidRPr="00812A31">
        <w:rPr>
          <w:rFonts w:ascii="Times New Roman" w:hAnsi="Times New Roman" w:cs="Times New Roman"/>
          <w:b/>
          <w:color w:val="000000" w:themeColor="text1"/>
          <w:sz w:val="28"/>
          <w:szCs w:val="24"/>
          <w:lang w:val="en-US"/>
        </w:rPr>
        <w:t>Sorghum</w:t>
      </w:r>
      <w:r w:rsidR="00812A31" w:rsidRPr="00812A31">
        <w:rPr>
          <w:rFonts w:ascii="Times New Roman" w:hAnsi="Times New Roman" w:cs="Times New Roman"/>
          <w:b/>
          <w:color w:val="000000" w:themeColor="text1"/>
          <w:sz w:val="28"/>
          <w:szCs w:val="24"/>
          <w:lang w:val="en-US"/>
        </w:rPr>
        <w:t xml:space="preserve"> </w:t>
      </w:r>
    </w:p>
    <w:p w14:paraId="1073F840" w14:textId="6E083560" w:rsidR="003C6ACE" w:rsidRPr="00812A31" w:rsidRDefault="00812A31" w:rsidP="00BF27C1">
      <w:pPr>
        <w:spacing w:line="360" w:lineRule="auto"/>
        <w:jc w:val="center"/>
        <w:rPr>
          <w:rFonts w:ascii="Times New Roman" w:hAnsi="Times New Roman" w:cs="Times New Roman"/>
          <w:b/>
          <w:bCs/>
          <w:color w:val="000000" w:themeColor="text1"/>
          <w:sz w:val="28"/>
          <w:szCs w:val="24"/>
          <w:lang w:val="en-US"/>
        </w:rPr>
      </w:pPr>
      <w:r w:rsidRPr="00812A31">
        <w:rPr>
          <w:rFonts w:ascii="Times New Roman" w:hAnsi="Times New Roman" w:cs="Times New Roman"/>
          <w:b/>
          <w:bCs/>
          <w:color w:val="000000" w:themeColor="text1"/>
          <w:sz w:val="24"/>
          <w:szCs w:val="24"/>
          <w:lang w:val="en-US"/>
        </w:rPr>
        <w:t>[</w:t>
      </w:r>
      <w:r w:rsidRPr="00812A31">
        <w:rPr>
          <w:rFonts w:ascii="Times New Roman" w:hAnsi="Times New Roman" w:cs="Times New Roman"/>
          <w:b/>
          <w:bCs/>
          <w:i/>
          <w:color w:val="000000" w:themeColor="text1"/>
          <w:sz w:val="24"/>
          <w:szCs w:val="24"/>
          <w:lang w:val="en-US"/>
        </w:rPr>
        <w:t>Sorghum</w:t>
      </w:r>
      <w:r w:rsidRPr="00812A31">
        <w:rPr>
          <w:rFonts w:ascii="Times New Roman" w:hAnsi="Times New Roman" w:cs="Times New Roman"/>
          <w:b/>
          <w:bCs/>
          <w:color w:val="000000" w:themeColor="text1"/>
          <w:sz w:val="24"/>
          <w:szCs w:val="24"/>
          <w:lang w:val="en-US"/>
        </w:rPr>
        <w:t xml:space="preserve"> </w:t>
      </w:r>
      <w:r w:rsidRPr="00812A31">
        <w:rPr>
          <w:rFonts w:ascii="Times New Roman" w:hAnsi="Times New Roman" w:cs="Times New Roman"/>
          <w:b/>
          <w:bCs/>
          <w:i/>
          <w:color w:val="000000" w:themeColor="text1"/>
          <w:sz w:val="24"/>
          <w:szCs w:val="24"/>
          <w:lang w:val="en-US"/>
        </w:rPr>
        <w:t>bicolor</w:t>
      </w:r>
      <w:r w:rsidRPr="00812A31">
        <w:rPr>
          <w:rFonts w:ascii="Times New Roman" w:hAnsi="Times New Roman" w:cs="Times New Roman"/>
          <w:b/>
          <w:bCs/>
          <w:color w:val="000000" w:themeColor="text1"/>
          <w:sz w:val="24"/>
          <w:szCs w:val="24"/>
          <w:lang w:val="en-US"/>
        </w:rPr>
        <w:t xml:space="preserve"> (L.) </w:t>
      </w:r>
      <w:proofErr w:type="spellStart"/>
      <w:r w:rsidRPr="00812A31">
        <w:rPr>
          <w:rFonts w:ascii="Times New Roman" w:hAnsi="Times New Roman" w:cs="Times New Roman"/>
          <w:b/>
          <w:bCs/>
          <w:color w:val="000000" w:themeColor="text1"/>
          <w:sz w:val="24"/>
          <w:szCs w:val="24"/>
          <w:lang w:val="en-US"/>
        </w:rPr>
        <w:t>Moench</w:t>
      </w:r>
      <w:proofErr w:type="spellEnd"/>
      <w:r w:rsidRPr="00812A31">
        <w:rPr>
          <w:rFonts w:ascii="Times New Roman" w:hAnsi="Times New Roman" w:cs="Times New Roman"/>
          <w:b/>
          <w:bCs/>
          <w:color w:val="000000" w:themeColor="text1"/>
          <w:sz w:val="24"/>
          <w:szCs w:val="24"/>
          <w:lang w:val="en-US"/>
        </w:rPr>
        <w:t>]</w:t>
      </w:r>
    </w:p>
    <w:p w14:paraId="662BFE8E" w14:textId="77777777" w:rsidR="00DA5767" w:rsidRDefault="00DA5767" w:rsidP="004814B0">
      <w:pPr>
        <w:spacing w:line="360" w:lineRule="auto"/>
        <w:rPr>
          <w:rFonts w:ascii="Times New Roman" w:hAnsi="Times New Roman" w:cs="Times New Roman"/>
          <w:b/>
          <w:sz w:val="24"/>
          <w:szCs w:val="24"/>
          <w:lang w:val="en-US"/>
        </w:rPr>
      </w:pPr>
      <w:bookmarkStart w:id="1" w:name="_Hlk197956026"/>
      <w:bookmarkEnd w:id="0"/>
    </w:p>
    <w:bookmarkEnd w:id="1"/>
    <w:p w14:paraId="51C67F47" w14:textId="77777777" w:rsidR="00751A35" w:rsidRDefault="00FF3E6B" w:rsidP="00751A35">
      <w:pPr>
        <w:spacing w:line="360" w:lineRule="auto"/>
        <w:rPr>
          <w:rFonts w:ascii="Times New Roman" w:hAnsi="Times New Roman" w:cs="Times New Roman"/>
          <w:b/>
          <w:sz w:val="24"/>
          <w:szCs w:val="24"/>
          <w:lang w:val="en-US"/>
        </w:rPr>
      </w:pPr>
      <w:r w:rsidRPr="00843B05">
        <w:rPr>
          <w:rFonts w:ascii="Times New Roman" w:hAnsi="Times New Roman" w:cs="Times New Roman"/>
          <w:b/>
          <w:sz w:val="24"/>
          <w:szCs w:val="24"/>
          <w:lang w:val="en-US"/>
        </w:rPr>
        <w:t>Abstract</w:t>
      </w:r>
    </w:p>
    <w:p w14:paraId="1DA83591" w14:textId="2099F6CF" w:rsidR="00751A35" w:rsidRPr="00751A35" w:rsidRDefault="00751A35" w:rsidP="00751A35">
      <w:pPr>
        <w:spacing w:line="360" w:lineRule="auto"/>
        <w:rPr>
          <w:rFonts w:ascii="Times New Roman" w:hAnsi="Times New Roman" w:cs="Times New Roman"/>
          <w:b/>
          <w:sz w:val="24"/>
          <w:szCs w:val="24"/>
          <w:lang w:val="en-US"/>
        </w:rPr>
      </w:pPr>
      <w:r w:rsidRPr="00751A35">
        <w:rPr>
          <w:rFonts w:ascii="Times New Roman" w:hAnsi="Times New Roman" w:cs="Times New Roman"/>
          <w:sz w:val="24"/>
          <w:szCs w:val="24"/>
          <w:lang w:val="en-US"/>
        </w:rPr>
        <w:t>Reduced leaf senescence, or stay-green, has been shown to enhance tolerance to post-flowering moisture stress in grain sorghum. This study evaluate</w:t>
      </w:r>
      <w:r w:rsidR="00CA02E5">
        <w:rPr>
          <w:rFonts w:ascii="Times New Roman" w:hAnsi="Times New Roman" w:cs="Times New Roman"/>
          <w:sz w:val="24"/>
          <w:szCs w:val="24"/>
          <w:lang w:val="en-US"/>
        </w:rPr>
        <w:t>d</w:t>
      </w:r>
      <w:r w:rsidRPr="00751A35">
        <w:rPr>
          <w:rFonts w:ascii="Times New Roman" w:hAnsi="Times New Roman" w:cs="Times New Roman"/>
          <w:sz w:val="24"/>
          <w:szCs w:val="24"/>
          <w:lang w:val="en-US"/>
        </w:rPr>
        <w:t xml:space="preserve"> stay-green donor and recipient lines, including F</w:t>
      </w:r>
      <w:r w:rsidRPr="00571CE9">
        <w:rPr>
          <w:rFonts w:ascii="Times New Roman" w:hAnsi="Times New Roman" w:cs="Times New Roman"/>
          <w:sz w:val="24"/>
          <w:szCs w:val="24"/>
          <w:vertAlign w:val="subscript"/>
          <w:lang w:val="en-US"/>
        </w:rPr>
        <w:t>3</w:t>
      </w:r>
      <w:r w:rsidRPr="00751A35">
        <w:rPr>
          <w:rFonts w:ascii="Times New Roman" w:hAnsi="Times New Roman" w:cs="Times New Roman"/>
          <w:sz w:val="24"/>
          <w:szCs w:val="24"/>
          <w:lang w:val="en-US"/>
        </w:rPr>
        <w:t xml:space="preserve"> recombinant lines, in both well-watered and post-flowering drought stress environments. The results demonstrate</w:t>
      </w:r>
      <w:r w:rsidR="00CA02E5">
        <w:rPr>
          <w:rFonts w:ascii="Times New Roman" w:hAnsi="Times New Roman" w:cs="Times New Roman"/>
          <w:sz w:val="24"/>
          <w:szCs w:val="24"/>
          <w:lang w:val="en-US"/>
        </w:rPr>
        <w:t>d</w:t>
      </w:r>
      <w:r w:rsidRPr="00751A35">
        <w:rPr>
          <w:rFonts w:ascii="Times New Roman" w:hAnsi="Times New Roman" w:cs="Times New Roman"/>
          <w:sz w:val="24"/>
          <w:szCs w:val="24"/>
          <w:lang w:val="en-US"/>
        </w:rPr>
        <w:t xml:space="preserve"> that most of the introgression lines exhibited higher leaf chlorophyll content at maturity and a greater percentage of green leaf area during the grain-filling stage compared to the </w:t>
      </w:r>
      <w:r w:rsidR="002872F4">
        <w:rPr>
          <w:rFonts w:ascii="Times New Roman" w:hAnsi="Times New Roman" w:cs="Times New Roman"/>
          <w:sz w:val="24"/>
          <w:szCs w:val="24"/>
          <w:lang w:val="en-US"/>
        </w:rPr>
        <w:t xml:space="preserve">recurrent parents, including </w:t>
      </w:r>
      <w:r w:rsidRPr="00751A35">
        <w:rPr>
          <w:rFonts w:ascii="Times New Roman" w:hAnsi="Times New Roman" w:cs="Times New Roman"/>
          <w:sz w:val="24"/>
          <w:szCs w:val="24"/>
          <w:lang w:val="en-US"/>
        </w:rPr>
        <w:t>R1</w:t>
      </w:r>
      <w:r w:rsidR="002872F4">
        <w:rPr>
          <w:rFonts w:ascii="Times New Roman" w:hAnsi="Times New Roman" w:cs="Times New Roman"/>
          <w:sz w:val="24"/>
          <w:szCs w:val="24"/>
          <w:lang w:val="en-US"/>
        </w:rPr>
        <w:t>6</w:t>
      </w:r>
      <w:r w:rsidRPr="00751A35">
        <w:rPr>
          <w:rFonts w:ascii="Times New Roman" w:hAnsi="Times New Roman" w:cs="Times New Roman"/>
          <w:sz w:val="24"/>
          <w:szCs w:val="24"/>
          <w:lang w:val="en-US"/>
        </w:rPr>
        <w:t>, indicating the successful expression of the STG3B QTL for stay-green under drought stress. These findings suggest</w:t>
      </w:r>
      <w:r w:rsidR="00CA02E5">
        <w:rPr>
          <w:rFonts w:ascii="Times New Roman" w:hAnsi="Times New Roman" w:cs="Times New Roman"/>
          <w:sz w:val="24"/>
          <w:szCs w:val="24"/>
          <w:lang w:val="en-US"/>
        </w:rPr>
        <w:t>ed</w:t>
      </w:r>
      <w:r w:rsidRPr="00751A35">
        <w:rPr>
          <w:rFonts w:ascii="Times New Roman" w:hAnsi="Times New Roman" w:cs="Times New Roman"/>
          <w:sz w:val="24"/>
          <w:szCs w:val="24"/>
          <w:lang w:val="en-US"/>
        </w:rPr>
        <w:t xml:space="preserve"> that the F</w:t>
      </w:r>
      <w:r w:rsidRPr="002872F4">
        <w:rPr>
          <w:rFonts w:ascii="Times New Roman" w:hAnsi="Times New Roman" w:cs="Times New Roman"/>
          <w:sz w:val="24"/>
          <w:szCs w:val="24"/>
          <w:vertAlign w:val="subscript"/>
          <w:lang w:val="en-US"/>
        </w:rPr>
        <w:t xml:space="preserve">3 </w:t>
      </w:r>
      <w:r w:rsidRPr="00751A35">
        <w:rPr>
          <w:rFonts w:ascii="Times New Roman" w:hAnsi="Times New Roman" w:cs="Times New Roman"/>
          <w:sz w:val="24"/>
          <w:szCs w:val="24"/>
          <w:lang w:val="en-US"/>
        </w:rPr>
        <w:t xml:space="preserve">recombinants </w:t>
      </w:r>
      <w:r w:rsidR="00B71A8A">
        <w:rPr>
          <w:rFonts w:ascii="Times New Roman" w:hAnsi="Times New Roman" w:cs="Times New Roman"/>
          <w:sz w:val="24"/>
          <w:szCs w:val="24"/>
          <w:lang w:val="en-US"/>
        </w:rPr>
        <w:t xml:space="preserve">might </w:t>
      </w:r>
      <w:r w:rsidRPr="00751A35">
        <w:rPr>
          <w:rFonts w:ascii="Times New Roman" w:hAnsi="Times New Roman" w:cs="Times New Roman"/>
          <w:sz w:val="24"/>
          <w:szCs w:val="24"/>
          <w:lang w:val="en-US"/>
        </w:rPr>
        <w:t xml:space="preserve">contain the STG3B QTL </w:t>
      </w:r>
      <w:r w:rsidR="00B71A8A">
        <w:rPr>
          <w:rFonts w:ascii="Times New Roman" w:hAnsi="Times New Roman" w:cs="Times New Roman"/>
          <w:sz w:val="24"/>
          <w:szCs w:val="24"/>
          <w:lang w:val="en-US"/>
        </w:rPr>
        <w:t>is</w:t>
      </w:r>
      <w:r w:rsidRPr="00751A35">
        <w:rPr>
          <w:rFonts w:ascii="Times New Roman" w:hAnsi="Times New Roman" w:cs="Times New Roman"/>
          <w:sz w:val="24"/>
          <w:szCs w:val="24"/>
          <w:lang w:val="en-US"/>
        </w:rPr>
        <w:t xml:space="preserve"> significant potential for improving post-flowering drought tolerance in sorghum.</w:t>
      </w:r>
    </w:p>
    <w:p w14:paraId="01172753" w14:textId="49DA6CA0" w:rsidR="00C25314" w:rsidRDefault="00C25314" w:rsidP="0078447D">
      <w:pPr>
        <w:autoSpaceDE w:val="0"/>
        <w:autoSpaceDN w:val="0"/>
        <w:adjustRightInd w:val="0"/>
        <w:spacing w:line="360" w:lineRule="auto"/>
        <w:rPr>
          <w:rFonts w:ascii="Times New Roman" w:hAnsi="Times New Roman" w:cs="Times New Roman"/>
          <w:sz w:val="24"/>
          <w:szCs w:val="24"/>
          <w:lang w:val="en-US"/>
        </w:rPr>
      </w:pPr>
      <w:r w:rsidRPr="00C25314">
        <w:rPr>
          <w:rFonts w:ascii="Times New Roman" w:hAnsi="Times New Roman" w:cs="Times New Roman"/>
          <w:b/>
          <w:sz w:val="24"/>
          <w:szCs w:val="24"/>
          <w:lang w:val="en-US"/>
        </w:rPr>
        <w:t>Keywords</w:t>
      </w:r>
      <w:r w:rsidR="00F75FF9">
        <w:rPr>
          <w:rFonts w:ascii="Times New Roman" w:hAnsi="Times New Roman" w:cs="Times New Roman"/>
          <w:b/>
          <w:sz w:val="24"/>
          <w:szCs w:val="24"/>
          <w:lang w:val="en-US"/>
        </w:rPr>
        <w:t xml:space="preserve">: </w:t>
      </w:r>
      <w:r w:rsidR="00F75FF9" w:rsidRPr="00F75FF9">
        <w:rPr>
          <w:rFonts w:ascii="Times New Roman" w:hAnsi="Times New Roman" w:cs="Times New Roman"/>
          <w:sz w:val="24"/>
          <w:szCs w:val="24"/>
          <w:lang w:val="en-US"/>
        </w:rPr>
        <w:t>Sorghum,</w:t>
      </w:r>
      <w:r w:rsidR="00F75FF9">
        <w:rPr>
          <w:rFonts w:ascii="Times New Roman" w:hAnsi="Times New Roman" w:cs="Times New Roman"/>
          <w:b/>
          <w:sz w:val="24"/>
          <w:szCs w:val="24"/>
          <w:lang w:val="en-US"/>
        </w:rPr>
        <w:t xml:space="preserve"> </w:t>
      </w:r>
      <w:r w:rsidR="009351E5">
        <w:rPr>
          <w:rFonts w:ascii="Times New Roman" w:hAnsi="Times New Roman" w:cs="Times New Roman"/>
          <w:sz w:val="24"/>
          <w:szCs w:val="24"/>
          <w:lang w:val="en-US"/>
        </w:rPr>
        <w:t xml:space="preserve">Post-flowering, </w:t>
      </w:r>
      <w:r w:rsidRPr="00C25314">
        <w:rPr>
          <w:rFonts w:ascii="Times New Roman" w:hAnsi="Times New Roman" w:cs="Times New Roman"/>
          <w:sz w:val="24"/>
          <w:szCs w:val="24"/>
          <w:lang w:val="en-US"/>
        </w:rPr>
        <w:t>Stay-green</w:t>
      </w:r>
      <w:r w:rsidR="00F75FF9">
        <w:rPr>
          <w:rFonts w:ascii="Times New Roman" w:hAnsi="Times New Roman" w:cs="Times New Roman"/>
          <w:sz w:val="24"/>
          <w:szCs w:val="24"/>
          <w:lang w:val="en-US"/>
        </w:rPr>
        <w:t>,</w:t>
      </w:r>
      <w:r w:rsidRPr="00C25314">
        <w:rPr>
          <w:rFonts w:ascii="Times New Roman" w:hAnsi="Times New Roman" w:cs="Times New Roman"/>
          <w:sz w:val="24"/>
          <w:szCs w:val="24"/>
          <w:lang w:val="en-US"/>
        </w:rPr>
        <w:t xml:space="preserve"> </w:t>
      </w:r>
      <w:r w:rsidR="00F75FF9">
        <w:rPr>
          <w:rFonts w:ascii="Times New Roman" w:hAnsi="Times New Roman" w:cs="Times New Roman"/>
          <w:sz w:val="24"/>
          <w:szCs w:val="24"/>
          <w:lang w:val="en-US"/>
        </w:rPr>
        <w:t>D</w:t>
      </w:r>
      <w:r w:rsidRPr="00C25314">
        <w:rPr>
          <w:rFonts w:ascii="Times New Roman" w:hAnsi="Times New Roman" w:cs="Times New Roman"/>
          <w:sz w:val="24"/>
          <w:szCs w:val="24"/>
          <w:lang w:val="en-US"/>
        </w:rPr>
        <w:t>rought tolerance</w:t>
      </w:r>
    </w:p>
    <w:p w14:paraId="24C456DD" w14:textId="73426E3E" w:rsidR="00F80646" w:rsidRPr="00F80646" w:rsidRDefault="00DA5767" w:rsidP="00F80646">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F80646" w:rsidRPr="00F80646">
        <w:rPr>
          <w:rFonts w:ascii="Times New Roman" w:hAnsi="Times New Roman" w:cs="Times New Roman"/>
          <w:b/>
          <w:sz w:val="24"/>
          <w:szCs w:val="24"/>
          <w:lang w:val="en-US"/>
        </w:rPr>
        <w:t>Introduction</w:t>
      </w:r>
    </w:p>
    <w:p w14:paraId="7925982D" w14:textId="7C26081B" w:rsidR="003B2A6B" w:rsidRPr="000163F5" w:rsidRDefault="00F27230" w:rsidP="00FE1AD8">
      <w:pPr>
        <w:autoSpaceDE w:val="0"/>
        <w:autoSpaceDN w:val="0"/>
        <w:adjustRightInd w:val="0"/>
        <w:spacing w:line="360" w:lineRule="auto"/>
        <w:rPr>
          <w:rFonts w:ascii="Times New Roman" w:hAnsi="Times New Roman" w:cs="Times New Roman"/>
          <w:color w:val="000000" w:themeColor="text1"/>
          <w:sz w:val="24"/>
          <w:szCs w:val="24"/>
          <w:lang w:val="en-US"/>
        </w:rPr>
      </w:pPr>
      <w:r w:rsidRPr="000163F5">
        <w:rPr>
          <w:rFonts w:ascii="Times New Roman" w:hAnsi="Times New Roman" w:cs="Times New Roman"/>
          <w:color w:val="000000" w:themeColor="text1"/>
          <w:sz w:val="24"/>
          <w:szCs w:val="24"/>
          <w:lang w:val="en-US"/>
        </w:rPr>
        <w:t xml:space="preserve">Trailing behind the global </w:t>
      </w:r>
      <w:proofErr w:type="gramStart"/>
      <w:r w:rsidR="00DD677C" w:rsidRPr="000163F5">
        <w:rPr>
          <w:rFonts w:ascii="Times New Roman" w:hAnsi="Times New Roman" w:cs="Times New Roman"/>
          <w:color w:val="000000" w:themeColor="text1"/>
          <w:sz w:val="24"/>
          <w:szCs w:val="24"/>
          <w:lang w:val="en-US"/>
        </w:rPr>
        <w:t>giants</w:t>
      </w:r>
      <w:proofErr w:type="gramEnd"/>
      <w:r w:rsidR="001147DC" w:rsidRPr="000163F5">
        <w:rPr>
          <w:rFonts w:ascii="Times New Roman" w:hAnsi="Times New Roman" w:cs="Times New Roman"/>
          <w:color w:val="000000" w:themeColor="text1"/>
          <w:sz w:val="24"/>
          <w:szCs w:val="24"/>
          <w:lang w:val="en-US"/>
        </w:rPr>
        <w:t xml:space="preserve"> </w:t>
      </w:r>
      <w:r w:rsidRPr="000163F5">
        <w:rPr>
          <w:rFonts w:ascii="Times New Roman" w:hAnsi="Times New Roman" w:cs="Times New Roman"/>
          <w:color w:val="000000" w:themeColor="text1"/>
          <w:sz w:val="24"/>
          <w:szCs w:val="24"/>
          <w:lang w:val="en-US"/>
        </w:rPr>
        <w:t>wheat, maize, rice, and barley</w:t>
      </w:r>
      <w:r w:rsidR="001147DC" w:rsidRPr="000163F5">
        <w:rPr>
          <w:rFonts w:ascii="Times New Roman" w:hAnsi="Times New Roman" w:cs="Times New Roman"/>
          <w:color w:val="000000" w:themeColor="text1"/>
          <w:sz w:val="24"/>
          <w:szCs w:val="24"/>
          <w:lang w:val="en-US"/>
        </w:rPr>
        <w:t xml:space="preserve">- </w:t>
      </w:r>
      <w:r w:rsidRPr="000163F5">
        <w:rPr>
          <w:rFonts w:ascii="Times New Roman" w:hAnsi="Times New Roman" w:cs="Times New Roman"/>
          <w:color w:val="000000" w:themeColor="text1"/>
          <w:sz w:val="24"/>
          <w:szCs w:val="24"/>
          <w:lang w:val="en-US"/>
        </w:rPr>
        <w:t xml:space="preserve">sorghum </w:t>
      </w:r>
      <w:r w:rsidR="001147DC" w:rsidRPr="000163F5">
        <w:rPr>
          <w:rFonts w:ascii="Times New Roman" w:hAnsi="Times New Roman" w:cs="Times New Roman"/>
          <w:color w:val="000000" w:themeColor="text1"/>
          <w:sz w:val="24"/>
          <w:szCs w:val="24"/>
          <w:lang w:val="en-US"/>
        </w:rPr>
        <w:t>[</w:t>
      </w:r>
      <w:r w:rsidR="001147DC" w:rsidRPr="00DD677C">
        <w:rPr>
          <w:rFonts w:ascii="Times New Roman" w:hAnsi="Times New Roman" w:cs="Times New Roman"/>
          <w:i/>
          <w:iCs/>
          <w:color w:val="000000" w:themeColor="text1"/>
          <w:sz w:val="24"/>
          <w:szCs w:val="24"/>
          <w:lang w:val="en-US"/>
        </w:rPr>
        <w:t>Sorghum bicolor</w:t>
      </w:r>
      <w:r w:rsidR="001147DC" w:rsidRPr="000163F5">
        <w:rPr>
          <w:rFonts w:ascii="Times New Roman" w:hAnsi="Times New Roman" w:cs="Times New Roman"/>
          <w:color w:val="000000" w:themeColor="text1"/>
          <w:sz w:val="24"/>
          <w:szCs w:val="24"/>
          <w:lang w:val="en-US"/>
        </w:rPr>
        <w:t xml:space="preserve"> (L.) </w:t>
      </w:r>
      <w:proofErr w:type="spellStart"/>
      <w:r w:rsidR="001147DC" w:rsidRPr="000163F5">
        <w:rPr>
          <w:rFonts w:ascii="Times New Roman" w:hAnsi="Times New Roman" w:cs="Times New Roman"/>
          <w:color w:val="000000" w:themeColor="text1"/>
          <w:sz w:val="24"/>
          <w:szCs w:val="24"/>
          <w:lang w:val="en-US"/>
        </w:rPr>
        <w:t>Moench</w:t>
      </w:r>
      <w:proofErr w:type="spellEnd"/>
      <w:r w:rsidR="001147DC" w:rsidRPr="000163F5">
        <w:rPr>
          <w:rFonts w:ascii="Times New Roman" w:hAnsi="Times New Roman" w:cs="Times New Roman"/>
          <w:color w:val="000000" w:themeColor="text1"/>
          <w:sz w:val="24"/>
          <w:szCs w:val="24"/>
          <w:lang w:val="en-US"/>
        </w:rPr>
        <w:t xml:space="preserve">] </w:t>
      </w:r>
      <w:r w:rsidRPr="000163F5">
        <w:rPr>
          <w:rFonts w:ascii="Times New Roman" w:hAnsi="Times New Roman" w:cs="Times New Roman"/>
          <w:color w:val="000000" w:themeColor="text1"/>
          <w:sz w:val="24"/>
          <w:szCs w:val="24"/>
          <w:lang w:val="en-US"/>
        </w:rPr>
        <w:t>stands tall as the resilient fifth pillar in the world’s cereal kingdom</w:t>
      </w:r>
      <w:r w:rsidR="001147DC" w:rsidRPr="000163F5">
        <w:rPr>
          <w:rFonts w:ascii="Times New Roman" w:hAnsi="Times New Roman" w:cs="Times New Roman"/>
          <w:color w:val="000000" w:themeColor="text1"/>
          <w:sz w:val="24"/>
          <w:szCs w:val="24"/>
          <w:lang w:val="en-US"/>
        </w:rPr>
        <w:t xml:space="preserve"> </w:t>
      </w:r>
      <w:r w:rsidR="00F80646" w:rsidRPr="000163F5">
        <w:rPr>
          <w:rFonts w:ascii="Times New Roman" w:hAnsi="Times New Roman" w:cs="Times New Roman"/>
          <w:color w:val="000000" w:themeColor="text1"/>
          <w:sz w:val="24"/>
          <w:szCs w:val="24"/>
          <w:lang w:val="en-US"/>
        </w:rPr>
        <w:t>(</w:t>
      </w:r>
      <w:proofErr w:type="spellStart"/>
      <w:r w:rsidR="00764130" w:rsidRPr="000163F5">
        <w:rPr>
          <w:rFonts w:ascii="Times New Roman" w:hAnsi="Times New Roman" w:cs="Times New Roman"/>
          <w:color w:val="000000" w:themeColor="text1"/>
          <w:sz w:val="24"/>
          <w:szCs w:val="24"/>
          <w:shd w:val="clear" w:color="auto" w:fill="FFFFFF"/>
        </w:rPr>
        <w:t>Muitire</w:t>
      </w:r>
      <w:proofErr w:type="spellEnd"/>
      <w:r w:rsidR="00764130" w:rsidRPr="000163F5">
        <w:rPr>
          <w:rFonts w:ascii="Times New Roman" w:hAnsi="Times New Roman" w:cs="Times New Roman"/>
          <w:color w:val="000000" w:themeColor="text1"/>
          <w:sz w:val="24"/>
          <w:szCs w:val="24"/>
          <w:lang w:val="en-US"/>
        </w:rPr>
        <w:t xml:space="preserve"> et al., </w:t>
      </w:r>
      <w:r w:rsidR="00F80646" w:rsidRPr="000163F5">
        <w:rPr>
          <w:rFonts w:ascii="Times New Roman" w:hAnsi="Times New Roman" w:cs="Times New Roman"/>
          <w:color w:val="000000" w:themeColor="text1"/>
          <w:sz w:val="24"/>
          <w:szCs w:val="24"/>
          <w:lang w:val="en-US"/>
        </w:rPr>
        <w:t>20</w:t>
      </w:r>
      <w:r w:rsidR="00174E33" w:rsidRPr="000163F5">
        <w:rPr>
          <w:rFonts w:ascii="Times New Roman" w:hAnsi="Times New Roman" w:cs="Times New Roman"/>
          <w:color w:val="000000" w:themeColor="text1"/>
          <w:sz w:val="24"/>
          <w:szCs w:val="24"/>
          <w:lang w:val="en-US"/>
        </w:rPr>
        <w:t>2</w:t>
      </w:r>
      <w:r w:rsidR="008C3942" w:rsidRPr="000163F5">
        <w:rPr>
          <w:rFonts w:ascii="Times New Roman" w:hAnsi="Times New Roman" w:cs="Times New Roman"/>
          <w:color w:val="000000" w:themeColor="text1"/>
          <w:sz w:val="24"/>
          <w:szCs w:val="24"/>
          <w:lang w:val="en-US"/>
        </w:rPr>
        <w:t>1</w:t>
      </w:r>
      <w:r w:rsidR="00F80646" w:rsidRPr="000163F5">
        <w:rPr>
          <w:rFonts w:ascii="Times New Roman" w:hAnsi="Times New Roman" w:cs="Times New Roman"/>
          <w:color w:val="000000" w:themeColor="text1"/>
          <w:sz w:val="24"/>
          <w:szCs w:val="24"/>
          <w:lang w:val="en-US"/>
        </w:rPr>
        <w:t xml:space="preserve">). </w:t>
      </w:r>
      <w:r w:rsidR="00C17C5F" w:rsidRPr="000163F5">
        <w:rPr>
          <w:rFonts w:ascii="Times New Roman" w:hAnsi="Times New Roman" w:cs="Times New Roman"/>
          <w:color w:val="000000" w:themeColor="text1"/>
          <w:sz w:val="24"/>
          <w:szCs w:val="24"/>
          <w:lang w:val="en-US"/>
        </w:rPr>
        <w:t>In the sun-scorched stretches of the semiarid tropics, sorghum grain serves as a lifeline, the humble staple that sustains the world’s poorest and most food-insecure communities</w:t>
      </w:r>
      <w:r w:rsidR="001E6073" w:rsidRPr="000163F5">
        <w:rPr>
          <w:rFonts w:ascii="Times New Roman" w:hAnsi="Times New Roman" w:cs="Times New Roman"/>
          <w:color w:val="000000" w:themeColor="text1"/>
          <w:sz w:val="24"/>
          <w:szCs w:val="24"/>
          <w:lang w:val="en-US"/>
        </w:rPr>
        <w:t xml:space="preserve"> (</w:t>
      </w:r>
      <w:proofErr w:type="spellStart"/>
      <w:r w:rsidR="00933E36" w:rsidRPr="000163F5">
        <w:rPr>
          <w:rFonts w:ascii="Times New Roman" w:hAnsi="Times New Roman" w:cs="Times New Roman"/>
          <w:color w:val="000000" w:themeColor="text1"/>
          <w:sz w:val="24"/>
          <w:szCs w:val="24"/>
          <w:lang w:val="en-US"/>
        </w:rPr>
        <w:t>Gomashe</w:t>
      </w:r>
      <w:proofErr w:type="spellEnd"/>
      <w:r w:rsidR="00933E36" w:rsidRPr="000163F5">
        <w:rPr>
          <w:rFonts w:ascii="Times New Roman" w:hAnsi="Times New Roman" w:cs="Times New Roman"/>
          <w:color w:val="000000" w:themeColor="text1"/>
          <w:sz w:val="24"/>
          <w:szCs w:val="24"/>
          <w:lang w:val="en-US"/>
        </w:rPr>
        <w:t xml:space="preserve"> et al., </w:t>
      </w:r>
      <w:r w:rsidR="001E6073" w:rsidRPr="000163F5">
        <w:rPr>
          <w:rFonts w:ascii="Times New Roman" w:hAnsi="Times New Roman" w:cs="Times New Roman"/>
          <w:color w:val="000000" w:themeColor="text1"/>
          <w:sz w:val="24"/>
          <w:szCs w:val="24"/>
          <w:lang w:val="en-US"/>
        </w:rPr>
        <w:t>2025).</w:t>
      </w:r>
      <w:r w:rsidR="00802025" w:rsidRPr="000163F5">
        <w:rPr>
          <w:rFonts w:ascii="Times New Roman" w:hAnsi="Times New Roman" w:cs="Times New Roman"/>
          <w:color w:val="000000" w:themeColor="text1"/>
          <w:sz w:val="24"/>
          <w:szCs w:val="24"/>
          <w:lang w:val="en-US"/>
        </w:rPr>
        <w:t xml:space="preserve"> </w:t>
      </w:r>
      <w:r w:rsidR="00E00194" w:rsidRPr="000163F5">
        <w:rPr>
          <w:rFonts w:ascii="Times New Roman" w:hAnsi="Times New Roman" w:cs="Times New Roman"/>
          <w:color w:val="000000" w:themeColor="text1"/>
          <w:sz w:val="24"/>
          <w:szCs w:val="24"/>
          <w:lang w:val="en-US"/>
        </w:rPr>
        <w:t>T</w:t>
      </w:r>
      <w:r w:rsidR="00C17C5F" w:rsidRPr="000163F5">
        <w:rPr>
          <w:rFonts w:ascii="Times New Roman" w:hAnsi="Times New Roman" w:cs="Times New Roman"/>
          <w:color w:val="000000" w:themeColor="text1"/>
          <w:sz w:val="24"/>
          <w:szCs w:val="24"/>
          <w:lang w:val="en-US"/>
        </w:rPr>
        <w:t xml:space="preserve">he world harvested around </w:t>
      </w:r>
      <w:r w:rsidR="00E00194" w:rsidRPr="000163F5">
        <w:rPr>
          <w:rFonts w:ascii="Times New Roman" w:hAnsi="Times New Roman" w:cs="Times New Roman"/>
          <w:color w:val="000000" w:themeColor="text1"/>
          <w:sz w:val="24"/>
          <w:szCs w:val="24"/>
          <w:lang w:val="en-US"/>
        </w:rPr>
        <w:t>58.3</w:t>
      </w:r>
      <w:r w:rsidR="00C17C5F" w:rsidRPr="000163F5">
        <w:rPr>
          <w:rFonts w:ascii="Times New Roman" w:hAnsi="Times New Roman" w:cs="Times New Roman"/>
          <w:color w:val="000000" w:themeColor="text1"/>
          <w:sz w:val="24"/>
          <w:szCs w:val="24"/>
          <w:lang w:val="en-US"/>
        </w:rPr>
        <w:t xml:space="preserve"> million metric tons of sorghum an overwhelming 90% of which lay in developing nations, where the crop thrives across the semi-arid expanses of Africa and Asia</w:t>
      </w:r>
      <w:r w:rsidR="00A51BA8" w:rsidRPr="000163F5">
        <w:rPr>
          <w:rFonts w:ascii="Times New Roman" w:hAnsi="Times New Roman" w:cs="Times New Roman"/>
          <w:color w:val="000000" w:themeColor="text1"/>
          <w:sz w:val="24"/>
          <w:szCs w:val="24"/>
          <w:lang w:val="en-US"/>
        </w:rPr>
        <w:t xml:space="preserve"> </w:t>
      </w:r>
      <w:r w:rsidR="00802025" w:rsidRPr="000163F5">
        <w:rPr>
          <w:rFonts w:ascii="Times New Roman" w:hAnsi="Times New Roman" w:cs="Times New Roman"/>
          <w:color w:val="000000" w:themeColor="text1"/>
          <w:sz w:val="24"/>
          <w:szCs w:val="24"/>
          <w:lang w:val="en-US"/>
        </w:rPr>
        <w:t>(</w:t>
      </w:r>
      <w:proofErr w:type="spellStart"/>
      <w:r w:rsidR="00E00194" w:rsidRPr="000163F5">
        <w:rPr>
          <w:rFonts w:ascii="Times New Roman" w:hAnsi="Times New Roman" w:cs="Times New Roman"/>
          <w:color w:val="000000" w:themeColor="text1"/>
          <w:sz w:val="24"/>
          <w:szCs w:val="24"/>
          <w:shd w:val="clear" w:color="auto" w:fill="FFFFFF"/>
        </w:rPr>
        <w:t>Charyulu</w:t>
      </w:r>
      <w:proofErr w:type="spellEnd"/>
      <w:r w:rsidR="00E00194" w:rsidRPr="000163F5">
        <w:rPr>
          <w:rFonts w:ascii="Times New Roman" w:hAnsi="Times New Roman" w:cs="Times New Roman"/>
          <w:color w:val="000000" w:themeColor="text1"/>
          <w:sz w:val="24"/>
          <w:szCs w:val="24"/>
          <w:lang w:val="en-US"/>
        </w:rPr>
        <w:t xml:space="preserve"> et al., </w:t>
      </w:r>
      <w:r w:rsidR="00E80001" w:rsidRPr="000163F5">
        <w:rPr>
          <w:rFonts w:ascii="Times New Roman" w:hAnsi="Times New Roman" w:cs="Times New Roman"/>
          <w:color w:val="000000" w:themeColor="text1"/>
          <w:sz w:val="24"/>
          <w:szCs w:val="24"/>
          <w:lang w:val="en-US"/>
        </w:rPr>
        <w:t>202</w:t>
      </w:r>
      <w:r w:rsidR="00E00194" w:rsidRPr="000163F5">
        <w:rPr>
          <w:rFonts w:ascii="Times New Roman" w:hAnsi="Times New Roman" w:cs="Times New Roman"/>
          <w:color w:val="000000" w:themeColor="text1"/>
          <w:sz w:val="24"/>
          <w:szCs w:val="24"/>
          <w:lang w:val="en-US"/>
        </w:rPr>
        <w:t>4</w:t>
      </w:r>
      <w:r w:rsidR="00802025" w:rsidRPr="000163F5">
        <w:rPr>
          <w:rFonts w:ascii="Times New Roman" w:hAnsi="Times New Roman" w:cs="Times New Roman"/>
          <w:color w:val="000000" w:themeColor="text1"/>
          <w:sz w:val="24"/>
          <w:szCs w:val="24"/>
          <w:lang w:val="en-US"/>
        </w:rPr>
        <w:t xml:space="preserve">). </w:t>
      </w:r>
      <w:r w:rsidR="00A628D0" w:rsidRPr="000163F5">
        <w:rPr>
          <w:rFonts w:ascii="Times New Roman" w:hAnsi="Times New Roman" w:cs="Times New Roman"/>
          <w:color w:val="000000" w:themeColor="text1"/>
          <w:sz w:val="24"/>
          <w:szCs w:val="24"/>
          <w:lang w:val="en-US"/>
        </w:rPr>
        <w:t>Across peninsular India, sorghum covers 5.5 million hectares after the monsoon retreats, drawing life from lingering soil moisture</w:t>
      </w:r>
      <w:r w:rsidR="00C43BD8" w:rsidRPr="000163F5">
        <w:rPr>
          <w:rFonts w:ascii="Times New Roman" w:hAnsi="Times New Roman" w:cs="Times New Roman"/>
          <w:color w:val="000000" w:themeColor="text1"/>
          <w:sz w:val="24"/>
          <w:szCs w:val="24"/>
          <w:lang w:val="en-US"/>
        </w:rPr>
        <w:t xml:space="preserve"> (</w:t>
      </w:r>
      <w:r w:rsidR="00C43BD8" w:rsidRPr="000163F5">
        <w:rPr>
          <w:rFonts w:ascii="Times New Roman" w:hAnsi="Times New Roman" w:cs="Times New Roman"/>
          <w:color w:val="000000" w:themeColor="text1"/>
          <w:sz w:val="24"/>
          <w:szCs w:val="24"/>
          <w:shd w:val="clear" w:color="auto" w:fill="FFFFFF"/>
        </w:rPr>
        <w:t>Chadalavada et al., 2021)</w:t>
      </w:r>
      <w:r w:rsidR="00A628D0" w:rsidRPr="000163F5">
        <w:rPr>
          <w:rFonts w:ascii="Times New Roman" w:hAnsi="Times New Roman" w:cs="Times New Roman"/>
          <w:color w:val="000000" w:themeColor="text1"/>
          <w:sz w:val="24"/>
          <w:szCs w:val="24"/>
          <w:lang w:val="en-US"/>
        </w:rPr>
        <w:t>. This distinctive growing season yields high-quality grain and stover, yet farmers face a mounting challenge intensifying moisture stress as the rainf</w:t>
      </w:r>
      <w:r w:rsidR="00CC629F">
        <w:rPr>
          <w:rFonts w:ascii="Times New Roman" w:hAnsi="Times New Roman" w:cs="Times New Roman"/>
          <w:color w:val="000000" w:themeColor="text1"/>
          <w:sz w:val="24"/>
          <w:szCs w:val="24"/>
          <w:lang w:val="en-US"/>
        </w:rPr>
        <w:t>ed</w:t>
      </w:r>
      <w:r w:rsidR="00A628D0" w:rsidRPr="000163F5">
        <w:rPr>
          <w:rFonts w:ascii="Times New Roman" w:hAnsi="Times New Roman" w:cs="Times New Roman"/>
          <w:color w:val="000000" w:themeColor="text1"/>
          <w:sz w:val="24"/>
          <w:szCs w:val="24"/>
          <w:lang w:val="en-US"/>
        </w:rPr>
        <w:t xml:space="preserve"> and the </w:t>
      </w:r>
      <w:r w:rsidR="00CC629F" w:rsidRPr="000163F5">
        <w:rPr>
          <w:rFonts w:ascii="Times New Roman" w:hAnsi="Times New Roman" w:cs="Times New Roman"/>
          <w:color w:val="000000" w:themeColor="text1"/>
          <w:sz w:val="24"/>
          <w:szCs w:val="24"/>
          <w:lang w:val="en-US"/>
        </w:rPr>
        <w:t>deepen</w:t>
      </w:r>
      <w:r w:rsidR="00CC629F">
        <w:rPr>
          <w:rFonts w:ascii="Times New Roman" w:hAnsi="Times New Roman" w:cs="Times New Roman"/>
          <w:color w:val="000000" w:themeColor="text1"/>
          <w:sz w:val="24"/>
          <w:szCs w:val="24"/>
          <w:lang w:val="en-US"/>
        </w:rPr>
        <w:t>ed</w:t>
      </w:r>
      <w:r w:rsidR="00CC629F" w:rsidRPr="000163F5">
        <w:rPr>
          <w:rFonts w:ascii="Times New Roman" w:hAnsi="Times New Roman" w:cs="Times New Roman"/>
          <w:color w:val="000000" w:themeColor="text1"/>
          <w:sz w:val="24"/>
          <w:szCs w:val="24"/>
          <w:lang w:val="en-US"/>
        </w:rPr>
        <w:t xml:space="preserve"> </w:t>
      </w:r>
      <w:r w:rsidR="00A628D0" w:rsidRPr="000163F5">
        <w:rPr>
          <w:rFonts w:ascii="Times New Roman" w:hAnsi="Times New Roman" w:cs="Times New Roman"/>
          <w:color w:val="000000" w:themeColor="text1"/>
          <w:sz w:val="24"/>
          <w:szCs w:val="24"/>
          <w:lang w:val="en-US"/>
        </w:rPr>
        <w:t xml:space="preserve">dry spell </w:t>
      </w:r>
      <w:r w:rsidR="00E80001" w:rsidRPr="000163F5">
        <w:rPr>
          <w:rFonts w:ascii="Times New Roman" w:hAnsi="Times New Roman" w:cs="Times New Roman"/>
          <w:color w:val="000000" w:themeColor="text1"/>
          <w:sz w:val="24"/>
          <w:szCs w:val="24"/>
          <w:lang w:val="en-US"/>
        </w:rPr>
        <w:t>(</w:t>
      </w:r>
      <w:r w:rsidR="00FD147F" w:rsidRPr="000163F5">
        <w:rPr>
          <w:rFonts w:ascii="Times New Roman" w:hAnsi="Times New Roman" w:cs="Times New Roman"/>
          <w:color w:val="000000" w:themeColor="text1"/>
          <w:sz w:val="24"/>
          <w:szCs w:val="24"/>
          <w:shd w:val="clear" w:color="auto" w:fill="FFFFFF"/>
        </w:rPr>
        <w:t xml:space="preserve">Karthik &amp; </w:t>
      </w:r>
      <w:proofErr w:type="spellStart"/>
      <w:r w:rsidR="00FD147F" w:rsidRPr="000163F5">
        <w:rPr>
          <w:rFonts w:ascii="Times New Roman" w:hAnsi="Times New Roman" w:cs="Times New Roman"/>
          <w:color w:val="000000" w:themeColor="text1"/>
          <w:sz w:val="24"/>
          <w:szCs w:val="24"/>
          <w:shd w:val="clear" w:color="auto" w:fill="FFFFFF"/>
        </w:rPr>
        <w:t>Hanamaratti</w:t>
      </w:r>
      <w:proofErr w:type="spellEnd"/>
      <w:r w:rsidR="00FD147F" w:rsidRPr="000163F5">
        <w:rPr>
          <w:rFonts w:ascii="Times New Roman" w:hAnsi="Times New Roman" w:cs="Times New Roman"/>
          <w:color w:val="000000" w:themeColor="text1"/>
          <w:sz w:val="24"/>
          <w:szCs w:val="24"/>
          <w:lang w:val="en-US"/>
        </w:rPr>
        <w:t xml:space="preserve">, </w:t>
      </w:r>
      <w:r w:rsidR="00E80001" w:rsidRPr="000163F5">
        <w:rPr>
          <w:rFonts w:ascii="Times New Roman" w:hAnsi="Times New Roman" w:cs="Times New Roman"/>
          <w:color w:val="000000" w:themeColor="text1"/>
          <w:sz w:val="24"/>
          <w:szCs w:val="24"/>
          <w:lang w:val="en-US"/>
        </w:rPr>
        <w:t>2025).</w:t>
      </w:r>
      <w:r w:rsidR="00BA5710" w:rsidRPr="000163F5">
        <w:rPr>
          <w:rFonts w:ascii="Times New Roman" w:hAnsi="Times New Roman" w:cs="Times New Roman"/>
          <w:color w:val="000000" w:themeColor="text1"/>
          <w:sz w:val="24"/>
          <w:szCs w:val="24"/>
          <w:lang w:val="en-US"/>
        </w:rPr>
        <w:t xml:space="preserve"> </w:t>
      </w:r>
      <w:r w:rsidR="00CD0407" w:rsidRPr="000163F5">
        <w:rPr>
          <w:rFonts w:ascii="Times New Roman" w:hAnsi="Times New Roman" w:cs="Times New Roman"/>
          <w:color w:val="000000" w:themeColor="text1"/>
          <w:sz w:val="24"/>
          <w:szCs w:val="24"/>
          <w:lang w:val="en-US"/>
        </w:rPr>
        <w:t>The most devastating blow from drought strikes during the crop’s final act is post-flowering, when terminal drought sets in, threatening yield just as the grain begins to fill</w:t>
      </w:r>
      <w:r w:rsidR="00D23546" w:rsidRPr="000163F5">
        <w:rPr>
          <w:rFonts w:ascii="Times New Roman" w:hAnsi="Times New Roman" w:cs="Times New Roman"/>
          <w:color w:val="000000" w:themeColor="text1"/>
          <w:sz w:val="24"/>
          <w:szCs w:val="24"/>
          <w:lang w:val="en-US"/>
        </w:rPr>
        <w:t xml:space="preserve"> (</w:t>
      </w:r>
      <w:proofErr w:type="spellStart"/>
      <w:r w:rsidR="00A36ECC" w:rsidRPr="000163F5">
        <w:rPr>
          <w:rFonts w:ascii="Times New Roman" w:hAnsi="Times New Roman" w:cs="Times New Roman"/>
          <w:color w:val="000000" w:themeColor="text1"/>
          <w:sz w:val="24"/>
          <w:szCs w:val="24"/>
          <w:shd w:val="clear" w:color="auto" w:fill="FFFFFF"/>
        </w:rPr>
        <w:t>Otwani</w:t>
      </w:r>
      <w:proofErr w:type="spellEnd"/>
      <w:r w:rsidR="00A36ECC" w:rsidRPr="000163F5">
        <w:rPr>
          <w:rFonts w:ascii="Times New Roman" w:hAnsi="Times New Roman" w:cs="Times New Roman"/>
          <w:color w:val="000000" w:themeColor="text1"/>
          <w:sz w:val="24"/>
          <w:szCs w:val="24"/>
          <w:lang w:val="en-US"/>
        </w:rPr>
        <w:t xml:space="preserve"> et al., </w:t>
      </w:r>
      <w:r w:rsidR="00D23546" w:rsidRPr="000163F5">
        <w:rPr>
          <w:rFonts w:ascii="Times New Roman" w:hAnsi="Times New Roman" w:cs="Times New Roman"/>
          <w:color w:val="000000" w:themeColor="text1"/>
          <w:sz w:val="24"/>
          <w:szCs w:val="24"/>
          <w:lang w:val="en-US"/>
        </w:rPr>
        <w:t>2025).</w:t>
      </w:r>
      <w:r w:rsidR="00647605" w:rsidRPr="000163F5">
        <w:rPr>
          <w:rFonts w:ascii="Times New Roman" w:hAnsi="Times New Roman" w:cs="Times New Roman"/>
          <w:color w:val="000000" w:themeColor="text1"/>
          <w:sz w:val="24"/>
          <w:szCs w:val="24"/>
          <w:lang w:val="en-US"/>
        </w:rPr>
        <w:t xml:space="preserve"> Genotypes vulnerable to terminal drought often show early signs of decline leaves and plants wither prematurely, stalks weaken and collapse, lodging becomes common, charcoal rot takes hold, and grain number and size diminish </w:t>
      </w:r>
      <w:r w:rsidR="00D23546" w:rsidRPr="000163F5">
        <w:rPr>
          <w:rFonts w:ascii="Times New Roman" w:hAnsi="Times New Roman" w:cs="Times New Roman"/>
          <w:color w:val="000000" w:themeColor="text1"/>
          <w:sz w:val="24"/>
          <w:szCs w:val="24"/>
          <w:lang w:val="en-US"/>
        </w:rPr>
        <w:t>(</w:t>
      </w:r>
      <w:r w:rsidR="0032009C" w:rsidRPr="000163F5">
        <w:rPr>
          <w:rFonts w:ascii="Times New Roman" w:hAnsi="Times New Roman" w:cs="Times New Roman"/>
          <w:color w:val="000000" w:themeColor="text1"/>
          <w:sz w:val="24"/>
          <w:szCs w:val="24"/>
          <w:shd w:val="clear" w:color="auto" w:fill="FFFFFF"/>
        </w:rPr>
        <w:t xml:space="preserve">Suman &amp; Chandra, </w:t>
      </w:r>
      <w:r w:rsidR="00D23546" w:rsidRPr="000163F5">
        <w:rPr>
          <w:rFonts w:ascii="Times New Roman" w:hAnsi="Times New Roman" w:cs="Times New Roman"/>
          <w:color w:val="000000" w:themeColor="text1"/>
          <w:sz w:val="24"/>
          <w:szCs w:val="24"/>
          <w:lang w:val="en-US"/>
        </w:rPr>
        <w:t>2025).</w:t>
      </w:r>
      <w:r w:rsidR="00BA5710" w:rsidRPr="000163F5">
        <w:rPr>
          <w:rFonts w:ascii="Times New Roman" w:hAnsi="Times New Roman" w:cs="Times New Roman"/>
          <w:color w:val="000000" w:themeColor="text1"/>
          <w:sz w:val="24"/>
          <w:szCs w:val="24"/>
          <w:lang w:val="en-US"/>
        </w:rPr>
        <w:t xml:space="preserve"> </w:t>
      </w:r>
      <w:r w:rsidR="00647605" w:rsidRPr="000163F5">
        <w:rPr>
          <w:rFonts w:ascii="Times New Roman" w:hAnsi="Times New Roman" w:cs="Times New Roman"/>
          <w:color w:val="000000" w:themeColor="text1"/>
          <w:sz w:val="24"/>
          <w:szCs w:val="24"/>
          <w:lang w:val="en-US"/>
        </w:rPr>
        <w:t xml:space="preserve">In </w:t>
      </w:r>
      <w:r w:rsidR="00647605" w:rsidRPr="000163F5">
        <w:rPr>
          <w:rFonts w:ascii="Times New Roman" w:hAnsi="Times New Roman" w:cs="Times New Roman"/>
          <w:color w:val="000000" w:themeColor="text1"/>
          <w:sz w:val="24"/>
          <w:szCs w:val="24"/>
          <w:lang w:val="en-US"/>
        </w:rPr>
        <w:lastRenderedPageBreak/>
        <w:t>sorghum, the most well-known defense against terminal drought is the 'stay-green' trait</w:t>
      </w:r>
      <w:r w:rsidR="00CC629F">
        <w:rPr>
          <w:rFonts w:ascii="Times New Roman" w:hAnsi="Times New Roman" w:cs="Times New Roman"/>
          <w:color w:val="000000" w:themeColor="text1"/>
          <w:sz w:val="24"/>
          <w:szCs w:val="24"/>
          <w:lang w:val="en-US"/>
        </w:rPr>
        <w:t xml:space="preserve">, </w:t>
      </w:r>
      <w:r w:rsidR="00647605" w:rsidRPr="000163F5">
        <w:rPr>
          <w:rFonts w:ascii="Times New Roman" w:hAnsi="Times New Roman" w:cs="Times New Roman"/>
          <w:color w:val="000000" w:themeColor="text1"/>
          <w:sz w:val="24"/>
          <w:szCs w:val="24"/>
          <w:lang w:val="en-US"/>
        </w:rPr>
        <w:t>a remarkable ability to resist early senescence, maintain green leaf area, stand firm against lodging, and continue grain filling</w:t>
      </w:r>
      <w:r w:rsidR="0032009C" w:rsidRPr="000163F5">
        <w:rPr>
          <w:rFonts w:ascii="Times New Roman" w:hAnsi="Times New Roman" w:cs="Times New Roman"/>
          <w:color w:val="000000" w:themeColor="text1"/>
          <w:sz w:val="24"/>
          <w:szCs w:val="24"/>
          <w:lang w:val="en-US"/>
        </w:rPr>
        <w:t xml:space="preserve"> </w:t>
      </w:r>
      <w:r w:rsidR="00BA5710" w:rsidRPr="000163F5">
        <w:rPr>
          <w:rFonts w:ascii="Times New Roman" w:hAnsi="Times New Roman" w:cs="Times New Roman"/>
          <w:color w:val="000000" w:themeColor="text1"/>
          <w:sz w:val="24"/>
          <w:szCs w:val="24"/>
          <w:lang w:val="en-US"/>
        </w:rPr>
        <w:t>(</w:t>
      </w:r>
      <w:r w:rsidR="0032009C" w:rsidRPr="000163F5">
        <w:rPr>
          <w:rFonts w:ascii="Times New Roman" w:hAnsi="Times New Roman" w:cs="Times New Roman"/>
          <w:color w:val="000000" w:themeColor="text1"/>
          <w:sz w:val="24"/>
          <w:szCs w:val="24"/>
          <w:shd w:val="clear" w:color="auto" w:fill="FFFFFF"/>
        </w:rPr>
        <w:t>Pugh</w:t>
      </w:r>
      <w:r w:rsidR="00BA5710" w:rsidRPr="000163F5">
        <w:rPr>
          <w:rFonts w:ascii="Times New Roman" w:hAnsi="Times New Roman" w:cs="Times New Roman"/>
          <w:color w:val="000000" w:themeColor="text1"/>
          <w:sz w:val="24"/>
          <w:szCs w:val="24"/>
          <w:lang w:val="en-US"/>
        </w:rPr>
        <w:t xml:space="preserve"> et al. </w:t>
      </w:r>
      <w:r w:rsidR="0032009C" w:rsidRPr="000163F5">
        <w:rPr>
          <w:rFonts w:ascii="Times New Roman" w:hAnsi="Times New Roman" w:cs="Times New Roman"/>
          <w:color w:val="000000" w:themeColor="text1"/>
          <w:sz w:val="24"/>
          <w:szCs w:val="24"/>
          <w:lang w:val="en-US"/>
        </w:rPr>
        <w:t>2025</w:t>
      </w:r>
      <w:r w:rsidR="00BA5710" w:rsidRPr="000163F5">
        <w:rPr>
          <w:rFonts w:ascii="Times New Roman" w:hAnsi="Times New Roman" w:cs="Times New Roman"/>
          <w:color w:val="000000" w:themeColor="text1"/>
          <w:sz w:val="24"/>
          <w:szCs w:val="24"/>
          <w:lang w:val="en-US"/>
        </w:rPr>
        <w:t xml:space="preserve">). </w:t>
      </w:r>
      <w:r w:rsidR="00647605" w:rsidRPr="000163F5">
        <w:rPr>
          <w:rFonts w:ascii="Times New Roman" w:hAnsi="Times New Roman" w:cs="Times New Roman"/>
          <w:color w:val="000000" w:themeColor="text1"/>
          <w:sz w:val="24"/>
          <w:szCs w:val="24"/>
          <w:lang w:val="en-US"/>
        </w:rPr>
        <w:t xml:space="preserve">When water grows scarce during the grain-filling stage, sorghum genotypes with the stay-green trait hold keeping their leaves green and photosynthetically active far longer than their drought-sensitive counterparts </w:t>
      </w:r>
      <w:r w:rsidR="00BA5710" w:rsidRPr="000163F5">
        <w:rPr>
          <w:rFonts w:ascii="Times New Roman" w:hAnsi="Times New Roman" w:cs="Times New Roman"/>
          <w:color w:val="000000" w:themeColor="text1"/>
          <w:sz w:val="24"/>
          <w:szCs w:val="24"/>
          <w:lang w:val="en-US"/>
        </w:rPr>
        <w:t>(</w:t>
      </w:r>
      <w:r w:rsidR="00154D35" w:rsidRPr="000163F5">
        <w:rPr>
          <w:rFonts w:ascii="Times New Roman" w:hAnsi="Times New Roman" w:cs="Times New Roman"/>
          <w:color w:val="000000" w:themeColor="text1"/>
          <w:sz w:val="24"/>
          <w:szCs w:val="24"/>
          <w:lang w:val="en-US"/>
        </w:rPr>
        <w:t>Tulu et al., 2025</w:t>
      </w:r>
      <w:r w:rsidR="00BA5710" w:rsidRPr="000163F5">
        <w:rPr>
          <w:rFonts w:ascii="Times New Roman" w:hAnsi="Times New Roman" w:cs="Times New Roman"/>
          <w:color w:val="000000" w:themeColor="text1"/>
          <w:sz w:val="24"/>
          <w:szCs w:val="24"/>
          <w:lang w:val="en-US"/>
        </w:rPr>
        <w:t xml:space="preserve">). </w:t>
      </w:r>
      <w:r w:rsidR="00647605" w:rsidRPr="000163F5">
        <w:rPr>
          <w:rFonts w:ascii="Times New Roman" w:hAnsi="Times New Roman" w:cs="Times New Roman"/>
          <w:color w:val="000000" w:themeColor="text1"/>
          <w:sz w:val="24"/>
          <w:szCs w:val="24"/>
          <w:lang w:val="en-US"/>
        </w:rPr>
        <w:t xml:space="preserve">Delayed leaf senescence in sorghum has been closely tied to higher grain yields, especially in environments where water runs short during grain filling and can’t meet the crop’s full thirst for transpiration </w:t>
      </w:r>
      <w:r w:rsidR="00740552" w:rsidRPr="000163F5">
        <w:rPr>
          <w:rFonts w:ascii="Times New Roman" w:hAnsi="Times New Roman" w:cs="Times New Roman"/>
          <w:color w:val="000000" w:themeColor="text1"/>
          <w:sz w:val="24"/>
          <w:szCs w:val="24"/>
          <w:lang w:val="en-US"/>
        </w:rPr>
        <w:t>(</w:t>
      </w:r>
      <w:r w:rsidR="005A02E9" w:rsidRPr="000163F5">
        <w:rPr>
          <w:rFonts w:ascii="Times New Roman" w:hAnsi="Times New Roman" w:cs="Times New Roman"/>
          <w:color w:val="000000" w:themeColor="text1"/>
          <w:sz w:val="24"/>
          <w:szCs w:val="24"/>
          <w:lang w:val="en-US"/>
        </w:rPr>
        <w:t>Kamal et al., 2025</w:t>
      </w:r>
      <w:r w:rsidR="00740552" w:rsidRPr="000163F5">
        <w:rPr>
          <w:rFonts w:ascii="Times New Roman" w:hAnsi="Times New Roman" w:cs="Times New Roman"/>
          <w:color w:val="000000" w:themeColor="text1"/>
          <w:sz w:val="24"/>
          <w:szCs w:val="24"/>
          <w:lang w:val="en-US"/>
        </w:rPr>
        <w:t xml:space="preserve">). </w:t>
      </w:r>
      <w:r w:rsidR="00F020E8" w:rsidRPr="000163F5">
        <w:rPr>
          <w:rFonts w:ascii="Times New Roman" w:hAnsi="Times New Roman" w:cs="Times New Roman"/>
          <w:color w:val="000000" w:themeColor="text1"/>
          <w:sz w:val="24"/>
          <w:szCs w:val="24"/>
          <w:lang w:val="en-US"/>
        </w:rPr>
        <w:t xml:space="preserve">Collaborative efforts by various research groups have shed light on the genetic roots of the stay-green trait, leading to the identification and mapping of QTLs linked to post-flowering drought tolerance in sorghum </w:t>
      </w:r>
      <w:r w:rsidR="0025285F" w:rsidRPr="000163F5">
        <w:rPr>
          <w:rFonts w:ascii="Times New Roman" w:hAnsi="Times New Roman" w:cs="Times New Roman"/>
          <w:color w:val="000000" w:themeColor="text1"/>
          <w:sz w:val="24"/>
          <w:szCs w:val="24"/>
          <w:lang w:val="en-US"/>
        </w:rPr>
        <w:t>(</w:t>
      </w:r>
      <w:proofErr w:type="spellStart"/>
      <w:r w:rsidR="00821005" w:rsidRPr="000163F5">
        <w:rPr>
          <w:rFonts w:ascii="Times New Roman" w:hAnsi="Times New Roman" w:cs="Times New Roman"/>
          <w:color w:val="000000" w:themeColor="text1"/>
          <w:sz w:val="24"/>
          <w:szCs w:val="24"/>
          <w:shd w:val="clear" w:color="auto" w:fill="FFFFFF"/>
        </w:rPr>
        <w:t>Endalamaw</w:t>
      </w:r>
      <w:proofErr w:type="spellEnd"/>
      <w:r w:rsidR="00821005" w:rsidRPr="000163F5">
        <w:rPr>
          <w:rFonts w:ascii="Times New Roman" w:hAnsi="Times New Roman" w:cs="Times New Roman"/>
          <w:color w:val="000000" w:themeColor="text1"/>
          <w:sz w:val="24"/>
          <w:szCs w:val="24"/>
          <w:lang w:val="en-US"/>
        </w:rPr>
        <w:t xml:space="preserve"> et al., 2025</w:t>
      </w:r>
      <w:r w:rsidR="0025285F" w:rsidRPr="000163F5">
        <w:rPr>
          <w:rFonts w:ascii="Times New Roman" w:hAnsi="Times New Roman" w:cs="Times New Roman"/>
          <w:color w:val="000000" w:themeColor="text1"/>
          <w:sz w:val="24"/>
          <w:szCs w:val="24"/>
          <w:lang w:val="en-US"/>
        </w:rPr>
        <w:t>)</w:t>
      </w:r>
      <w:r w:rsidR="00490D4E" w:rsidRPr="000163F5">
        <w:rPr>
          <w:rFonts w:ascii="Times New Roman" w:hAnsi="Times New Roman" w:cs="Times New Roman"/>
          <w:color w:val="000000" w:themeColor="text1"/>
          <w:sz w:val="24"/>
          <w:szCs w:val="24"/>
          <w:lang w:val="en-US"/>
        </w:rPr>
        <w:t xml:space="preserve">. </w:t>
      </w:r>
      <w:r w:rsidR="00F020E8" w:rsidRPr="000163F5">
        <w:rPr>
          <w:rFonts w:ascii="Times New Roman" w:hAnsi="Times New Roman" w:cs="Times New Roman"/>
          <w:color w:val="000000" w:themeColor="text1"/>
          <w:sz w:val="24"/>
          <w:szCs w:val="24"/>
          <w:lang w:val="en-US"/>
        </w:rPr>
        <w:t>To strengthen sorghum’s resilience against terminal drought, the International Crops Research Institute for the Semi-Arid Tropics (ICRISAT) had perfomed a large-scale marker-assisted backcrossing program, focused on embedding the stay-green trait into elite lines</w:t>
      </w:r>
      <w:r w:rsidR="0059583E" w:rsidRPr="000163F5">
        <w:rPr>
          <w:rFonts w:ascii="Times New Roman" w:hAnsi="Times New Roman" w:cs="Times New Roman"/>
          <w:color w:val="000000" w:themeColor="text1"/>
          <w:sz w:val="24"/>
          <w:szCs w:val="24"/>
          <w:lang w:val="en-US"/>
        </w:rPr>
        <w:t xml:space="preserve"> (</w:t>
      </w:r>
      <w:proofErr w:type="spellStart"/>
      <w:r w:rsidR="000163F5" w:rsidRPr="000163F5">
        <w:rPr>
          <w:rFonts w:ascii="Times New Roman" w:hAnsi="Times New Roman" w:cs="Times New Roman"/>
          <w:color w:val="000000" w:themeColor="text1"/>
          <w:sz w:val="24"/>
          <w:szCs w:val="24"/>
          <w:lang w:val="en-US"/>
        </w:rPr>
        <w:t>Gomashe</w:t>
      </w:r>
      <w:proofErr w:type="spellEnd"/>
      <w:r w:rsidR="000163F5" w:rsidRPr="000163F5">
        <w:rPr>
          <w:rFonts w:ascii="Times New Roman" w:hAnsi="Times New Roman" w:cs="Times New Roman"/>
          <w:color w:val="000000" w:themeColor="text1"/>
          <w:sz w:val="24"/>
          <w:szCs w:val="24"/>
          <w:lang w:val="en-US"/>
        </w:rPr>
        <w:t xml:space="preserve"> et al., 2025</w:t>
      </w:r>
      <w:r w:rsidR="0059583E" w:rsidRPr="000163F5">
        <w:rPr>
          <w:rFonts w:ascii="Times New Roman" w:hAnsi="Times New Roman" w:cs="Times New Roman"/>
          <w:color w:val="000000" w:themeColor="text1"/>
          <w:sz w:val="24"/>
          <w:szCs w:val="24"/>
          <w:lang w:val="en-US"/>
        </w:rPr>
        <w:t>)</w:t>
      </w:r>
      <w:r w:rsidR="00541A41" w:rsidRPr="000163F5">
        <w:rPr>
          <w:rFonts w:ascii="Times New Roman" w:hAnsi="Times New Roman" w:cs="Times New Roman"/>
          <w:color w:val="000000" w:themeColor="text1"/>
          <w:sz w:val="24"/>
          <w:szCs w:val="24"/>
          <w:lang w:val="en-US"/>
        </w:rPr>
        <w:t xml:space="preserve">. </w:t>
      </w:r>
      <w:r w:rsidR="003B2A6B" w:rsidRPr="000163F5">
        <w:rPr>
          <w:rFonts w:ascii="Times New Roman" w:hAnsi="Times New Roman" w:cs="Times New Roman"/>
          <w:color w:val="000000" w:themeColor="text1"/>
          <w:sz w:val="24"/>
          <w:szCs w:val="24"/>
          <w:lang w:val="en-US"/>
        </w:rPr>
        <w:t>As a key part of this initiative, the current study was carried out to assess the performance of the introgression line K359W, focusing on its stay-green expression and other vital agronomic traits under post-flowering drought stress</w:t>
      </w:r>
      <w:r w:rsidR="000163F5" w:rsidRPr="000163F5">
        <w:rPr>
          <w:rFonts w:ascii="Times New Roman" w:hAnsi="Times New Roman" w:cs="Times New Roman"/>
          <w:color w:val="000000" w:themeColor="text1"/>
          <w:sz w:val="24"/>
          <w:szCs w:val="24"/>
          <w:lang w:val="en-US"/>
        </w:rPr>
        <w:t>.</w:t>
      </w:r>
    </w:p>
    <w:p w14:paraId="0A98FAA5" w14:textId="77777777" w:rsidR="00C449E1" w:rsidRDefault="00DA5767" w:rsidP="00C449E1">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FE1AD8" w:rsidRPr="00FE1AD8">
        <w:rPr>
          <w:rFonts w:ascii="Times New Roman" w:hAnsi="Times New Roman" w:cs="Times New Roman"/>
          <w:b/>
          <w:sz w:val="24"/>
          <w:szCs w:val="24"/>
          <w:lang w:val="en-US"/>
        </w:rPr>
        <w:t>Materials and methods</w:t>
      </w:r>
    </w:p>
    <w:p w14:paraId="16C3311D" w14:textId="61DEF76F" w:rsidR="00B01526" w:rsidRPr="00B01526" w:rsidRDefault="0059583E" w:rsidP="00B01526">
      <w:pPr>
        <w:autoSpaceDE w:val="0"/>
        <w:autoSpaceDN w:val="0"/>
        <w:adjustRightInd w:val="0"/>
        <w:spacing w:line="360" w:lineRule="auto"/>
        <w:rPr>
          <w:rFonts w:ascii="Times New Roman" w:hAnsi="Times New Roman" w:cs="Times New Roman"/>
          <w:sz w:val="24"/>
          <w:szCs w:val="24"/>
          <w:lang w:val="en-US"/>
        </w:rPr>
      </w:pPr>
      <w:r w:rsidRPr="0059583E">
        <w:rPr>
          <w:rFonts w:ascii="Times New Roman" w:hAnsi="Times New Roman" w:cs="Times New Roman"/>
          <w:sz w:val="24"/>
          <w:szCs w:val="24"/>
          <w:lang w:val="en-US"/>
        </w:rPr>
        <w:t>This study focuse</w:t>
      </w:r>
      <w:r w:rsidR="00981B8C">
        <w:rPr>
          <w:rFonts w:ascii="Times New Roman" w:hAnsi="Times New Roman" w:cs="Times New Roman"/>
          <w:sz w:val="24"/>
          <w:szCs w:val="24"/>
          <w:lang w:val="en-US"/>
        </w:rPr>
        <w:t xml:space="preserve">d </w:t>
      </w:r>
      <w:r w:rsidRPr="0059583E">
        <w:rPr>
          <w:rFonts w:ascii="Times New Roman" w:hAnsi="Times New Roman" w:cs="Times New Roman"/>
          <w:sz w:val="24"/>
          <w:szCs w:val="24"/>
          <w:lang w:val="en-US"/>
        </w:rPr>
        <w:t xml:space="preserve">on the evaluation of the </w:t>
      </w:r>
      <w:r w:rsidR="00C449E1">
        <w:rPr>
          <w:rFonts w:ascii="Times New Roman" w:hAnsi="Times New Roman" w:cs="Times New Roman"/>
          <w:sz w:val="24"/>
          <w:szCs w:val="24"/>
          <w:lang w:val="en-US"/>
        </w:rPr>
        <w:t>F</w:t>
      </w:r>
      <w:r w:rsidR="00C449E1" w:rsidRPr="00C449E1">
        <w:rPr>
          <w:rFonts w:ascii="Times New Roman" w:hAnsi="Times New Roman" w:cs="Times New Roman"/>
          <w:sz w:val="24"/>
          <w:szCs w:val="24"/>
          <w:vertAlign w:val="subscript"/>
          <w:lang w:val="en-US"/>
        </w:rPr>
        <w:t>3</w:t>
      </w:r>
      <w:r w:rsidR="00C449E1">
        <w:rPr>
          <w:rFonts w:ascii="Times New Roman" w:hAnsi="Times New Roman" w:cs="Times New Roman"/>
          <w:sz w:val="24"/>
          <w:szCs w:val="24"/>
          <w:lang w:val="en-US"/>
        </w:rPr>
        <w:t xml:space="preserve"> recombinants, </w:t>
      </w:r>
      <w:r w:rsidRPr="0059583E">
        <w:rPr>
          <w:rFonts w:ascii="Times New Roman" w:hAnsi="Times New Roman" w:cs="Times New Roman"/>
          <w:sz w:val="24"/>
          <w:szCs w:val="24"/>
          <w:lang w:val="en-US"/>
        </w:rPr>
        <w:t>K359W</w:t>
      </w:r>
      <w:r w:rsidR="00C449E1">
        <w:rPr>
          <w:rFonts w:ascii="Times New Roman" w:hAnsi="Times New Roman" w:cs="Times New Roman"/>
          <w:sz w:val="24"/>
          <w:szCs w:val="24"/>
          <w:lang w:val="en-US"/>
        </w:rPr>
        <w:t xml:space="preserve"> </w:t>
      </w:r>
      <w:r w:rsidRPr="0059583E">
        <w:rPr>
          <w:rFonts w:ascii="Times New Roman" w:hAnsi="Times New Roman" w:cs="Times New Roman"/>
          <w:sz w:val="24"/>
          <w:szCs w:val="24"/>
          <w:lang w:val="en-US"/>
        </w:rPr>
        <w:t>stay-green donor parent, alongside its recurrent parent, R16, and a range of other sorghum lines. The test group also include</w:t>
      </w:r>
      <w:r w:rsidR="00981B8C">
        <w:rPr>
          <w:rFonts w:ascii="Times New Roman" w:hAnsi="Times New Roman" w:cs="Times New Roman"/>
          <w:sz w:val="24"/>
          <w:szCs w:val="24"/>
          <w:lang w:val="en-US"/>
        </w:rPr>
        <w:t xml:space="preserve">d </w:t>
      </w:r>
      <w:r w:rsidRPr="0059583E">
        <w:rPr>
          <w:rFonts w:ascii="Times New Roman" w:hAnsi="Times New Roman" w:cs="Times New Roman"/>
          <w:sz w:val="24"/>
          <w:szCs w:val="24"/>
          <w:lang w:val="en-US"/>
        </w:rPr>
        <w:t xml:space="preserve">various stay-green donors (B35, K260, E36-1, and 296B) as well as senescent lines (M35-1, </w:t>
      </w:r>
      <w:proofErr w:type="spellStart"/>
      <w:r w:rsidRPr="0059583E">
        <w:rPr>
          <w:rFonts w:ascii="Times New Roman" w:hAnsi="Times New Roman" w:cs="Times New Roman"/>
          <w:sz w:val="24"/>
          <w:szCs w:val="24"/>
          <w:lang w:val="en-US"/>
        </w:rPr>
        <w:t>Parbhani</w:t>
      </w:r>
      <w:proofErr w:type="spellEnd"/>
      <w:r w:rsidRPr="0059583E">
        <w:rPr>
          <w:rFonts w:ascii="Times New Roman" w:hAnsi="Times New Roman" w:cs="Times New Roman"/>
          <w:sz w:val="24"/>
          <w:szCs w:val="24"/>
          <w:lang w:val="en-US"/>
        </w:rPr>
        <w:t xml:space="preserve"> Moti, CRS1, and Phule Vasudha). K359W, developed at ICRISAT, </w:t>
      </w:r>
      <w:proofErr w:type="spellStart"/>
      <w:r w:rsidRPr="0059583E">
        <w:rPr>
          <w:rFonts w:ascii="Times New Roman" w:hAnsi="Times New Roman" w:cs="Times New Roman"/>
          <w:sz w:val="24"/>
          <w:szCs w:val="24"/>
          <w:lang w:val="en-US"/>
        </w:rPr>
        <w:t>Patancheru</w:t>
      </w:r>
      <w:proofErr w:type="spellEnd"/>
      <w:r w:rsidR="00051306">
        <w:rPr>
          <w:rFonts w:ascii="Times New Roman" w:hAnsi="Times New Roman" w:cs="Times New Roman"/>
          <w:sz w:val="24"/>
          <w:szCs w:val="24"/>
          <w:lang w:val="en-US"/>
        </w:rPr>
        <w:t xml:space="preserve">, </w:t>
      </w:r>
      <w:r w:rsidRPr="0059583E">
        <w:rPr>
          <w:rFonts w:ascii="Times New Roman" w:hAnsi="Times New Roman" w:cs="Times New Roman"/>
          <w:sz w:val="24"/>
          <w:szCs w:val="24"/>
          <w:lang w:val="en-US"/>
        </w:rPr>
        <w:t xml:space="preserve">is an </w:t>
      </w:r>
      <w:proofErr w:type="spellStart"/>
      <w:r w:rsidRPr="0059583E">
        <w:rPr>
          <w:rFonts w:ascii="Times New Roman" w:hAnsi="Times New Roman" w:cs="Times New Roman"/>
          <w:sz w:val="24"/>
          <w:szCs w:val="24"/>
          <w:lang w:val="en-US"/>
        </w:rPr>
        <w:t>introgressed</w:t>
      </w:r>
      <w:proofErr w:type="spellEnd"/>
      <w:r w:rsidRPr="0059583E">
        <w:rPr>
          <w:rFonts w:ascii="Times New Roman" w:hAnsi="Times New Roman" w:cs="Times New Roman"/>
          <w:sz w:val="24"/>
          <w:szCs w:val="24"/>
          <w:lang w:val="en-US"/>
        </w:rPr>
        <w:t xml:space="preserve"> line of STG3B, while R16 </w:t>
      </w:r>
      <w:r w:rsidR="00981B8C">
        <w:rPr>
          <w:rFonts w:ascii="Times New Roman" w:hAnsi="Times New Roman" w:cs="Times New Roman"/>
          <w:sz w:val="24"/>
          <w:szCs w:val="24"/>
          <w:lang w:val="en-US"/>
        </w:rPr>
        <w:t>was</w:t>
      </w:r>
      <w:r w:rsidRPr="0059583E">
        <w:rPr>
          <w:rFonts w:ascii="Times New Roman" w:hAnsi="Times New Roman" w:cs="Times New Roman"/>
          <w:sz w:val="24"/>
          <w:szCs w:val="24"/>
          <w:lang w:val="en-US"/>
        </w:rPr>
        <w:t xml:space="preserve"> a high-yielding, but highly senescent, variety grown in the post-rainy (rabi) season. The donor and recurrent parents were crossed, and the resulting F</w:t>
      </w:r>
      <w:r w:rsidRPr="0059583E">
        <w:rPr>
          <w:rFonts w:ascii="Times New Roman" w:hAnsi="Times New Roman" w:cs="Times New Roman"/>
          <w:sz w:val="24"/>
          <w:szCs w:val="24"/>
          <w:vertAlign w:val="subscript"/>
          <w:lang w:val="en-US"/>
        </w:rPr>
        <w:t>1</w:t>
      </w:r>
      <w:r w:rsidRPr="0059583E">
        <w:rPr>
          <w:rFonts w:ascii="Times New Roman" w:hAnsi="Times New Roman" w:cs="Times New Roman"/>
          <w:sz w:val="24"/>
          <w:szCs w:val="24"/>
          <w:lang w:val="en-US"/>
        </w:rPr>
        <w:t xml:space="preserve"> plants were </w:t>
      </w:r>
      <w:proofErr w:type="spellStart"/>
      <w:r w:rsidRPr="0059583E">
        <w:rPr>
          <w:rFonts w:ascii="Times New Roman" w:hAnsi="Times New Roman" w:cs="Times New Roman"/>
          <w:sz w:val="24"/>
          <w:szCs w:val="24"/>
          <w:lang w:val="en-US"/>
        </w:rPr>
        <w:t>selfed</w:t>
      </w:r>
      <w:proofErr w:type="spellEnd"/>
      <w:r w:rsidRPr="0059583E">
        <w:rPr>
          <w:rFonts w:ascii="Times New Roman" w:hAnsi="Times New Roman" w:cs="Times New Roman"/>
          <w:sz w:val="24"/>
          <w:szCs w:val="24"/>
          <w:lang w:val="en-US"/>
        </w:rPr>
        <w:t xml:space="preserve"> to generate a segregating F</w:t>
      </w:r>
      <w:r w:rsidRPr="0059583E">
        <w:rPr>
          <w:rFonts w:ascii="Times New Roman" w:hAnsi="Times New Roman" w:cs="Times New Roman"/>
          <w:sz w:val="24"/>
          <w:szCs w:val="24"/>
          <w:vertAlign w:val="subscript"/>
          <w:lang w:val="en-US"/>
        </w:rPr>
        <w:t>2</w:t>
      </w:r>
      <w:r w:rsidRPr="0059583E">
        <w:rPr>
          <w:rFonts w:ascii="Times New Roman" w:hAnsi="Times New Roman" w:cs="Times New Roman"/>
          <w:sz w:val="24"/>
          <w:szCs w:val="24"/>
          <w:lang w:val="en-US"/>
        </w:rPr>
        <w:t xml:space="preserve"> population. Using KASP genotypic data, 200 plants homozygous for the donor alleles were selected and </w:t>
      </w:r>
      <w:proofErr w:type="spellStart"/>
      <w:r w:rsidRPr="0059583E">
        <w:rPr>
          <w:rFonts w:ascii="Times New Roman" w:hAnsi="Times New Roman" w:cs="Times New Roman"/>
          <w:sz w:val="24"/>
          <w:szCs w:val="24"/>
          <w:lang w:val="en-US"/>
        </w:rPr>
        <w:t>selfed</w:t>
      </w:r>
      <w:proofErr w:type="spellEnd"/>
      <w:r w:rsidRPr="0059583E">
        <w:rPr>
          <w:rFonts w:ascii="Times New Roman" w:hAnsi="Times New Roman" w:cs="Times New Roman"/>
          <w:sz w:val="24"/>
          <w:szCs w:val="24"/>
          <w:lang w:val="en-US"/>
        </w:rPr>
        <w:t xml:space="preserve"> to produce the F</w:t>
      </w:r>
      <w:r w:rsidRPr="0059583E">
        <w:rPr>
          <w:rFonts w:ascii="Times New Roman" w:hAnsi="Times New Roman" w:cs="Times New Roman"/>
          <w:sz w:val="24"/>
          <w:szCs w:val="24"/>
          <w:vertAlign w:val="subscript"/>
          <w:lang w:val="en-US"/>
        </w:rPr>
        <w:t>3</w:t>
      </w:r>
      <w:r w:rsidRPr="0059583E">
        <w:rPr>
          <w:rFonts w:ascii="Times New Roman" w:hAnsi="Times New Roman" w:cs="Times New Roman"/>
          <w:sz w:val="24"/>
          <w:szCs w:val="24"/>
          <w:lang w:val="en-US"/>
        </w:rPr>
        <w:t xml:space="preserve"> progenies.</w:t>
      </w:r>
      <w:r w:rsidR="00E61EA0">
        <w:rPr>
          <w:rFonts w:ascii="Times New Roman" w:hAnsi="Times New Roman" w:cs="Times New Roman"/>
          <w:b/>
          <w:sz w:val="24"/>
          <w:szCs w:val="24"/>
          <w:lang w:val="en-US"/>
        </w:rPr>
        <w:t xml:space="preserve"> </w:t>
      </w:r>
      <w:r w:rsidRPr="0059583E">
        <w:rPr>
          <w:rFonts w:ascii="Times New Roman" w:hAnsi="Times New Roman" w:cs="Times New Roman"/>
          <w:sz w:val="24"/>
          <w:szCs w:val="24"/>
          <w:lang w:val="en-US"/>
        </w:rPr>
        <w:t xml:space="preserve">The </w:t>
      </w:r>
      <w:r w:rsidR="00E61EA0" w:rsidRPr="0059583E">
        <w:rPr>
          <w:rFonts w:ascii="Times New Roman" w:hAnsi="Times New Roman" w:cs="Times New Roman"/>
          <w:sz w:val="24"/>
          <w:szCs w:val="24"/>
          <w:lang w:val="en-US"/>
        </w:rPr>
        <w:t>F</w:t>
      </w:r>
      <w:r w:rsidR="00E61EA0" w:rsidRPr="0059583E">
        <w:rPr>
          <w:rFonts w:ascii="Times New Roman" w:hAnsi="Times New Roman" w:cs="Times New Roman"/>
          <w:sz w:val="24"/>
          <w:szCs w:val="24"/>
          <w:vertAlign w:val="subscript"/>
          <w:lang w:val="en-US"/>
        </w:rPr>
        <w:t>3</w:t>
      </w:r>
      <w:r w:rsidR="00E61EA0">
        <w:rPr>
          <w:rFonts w:ascii="Times New Roman" w:hAnsi="Times New Roman" w:cs="Times New Roman"/>
          <w:sz w:val="24"/>
          <w:szCs w:val="24"/>
          <w:vertAlign w:val="subscript"/>
          <w:lang w:val="en-US"/>
        </w:rPr>
        <w:t xml:space="preserve"> </w:t>
      </w:r>
      <w:r w:rsidR="00E61EA0">
        <w:rPr>
          <w:rFonts w:ascii="Times New Roman" w:hAnsi="Times New Roman" w:cs="Times New Roman"/>
          <w:sz w:val="24"/>
          <w:szCs w:val="24"/>
          <w:lang w:val="en-US"/>
        </w:rPr>
        <w:t xml:space="preserve">recombinant lines plus parental lines along with checks were sown </w:t>
      </w:r>
      <w:r w:rsidRPr="0059583E">
        <w:rPr>
          <w:rFonts w:ascii="Times New Roman" w:hAnsi="Times New Roman" w:cs="Times New Roman"/>
          <w:sz w:val="24"/>
          <w:szCs w:val="24"/>
          <w:lang w:val="en-US"/>
        </w:rPr>
        <w:t xml:space="preserve">during the post-rainy 2022–2023 season, at the ICRISAT research station in </w:t>
      </w:r>
      <w:proofErr w:type="spellStart"/>
      <w:r w:rsidRPr="0059583E">
        <w:rPr>
          <w:rFonts w:ascii="Times New Roman" w:hAnsi="Times New Roman" w:cs="Times New Roman"/>
          <w:sz w:val="24"/>
          <w:szCs w:val="24"/>
          <w:lang w:val="en-US"/>
        </w:rPr>
        <w:t>Patancheru</w:t>
      </w:r>
      <w:proofErr w:type="spellEnd"/>
      <w:r w:rsidRPr="0059583E">
        <w:rPr>
          <w:rFonts w:ascii="Times New Roman" w:hAnsi="Times New Roman" w:cs="Times New Roman"/>
          <w:sz w:val="24"/>
          <w:szCs w:val="24"/>
          <w:lang w:val="en-US"/>
        </w:rPr>
        <w:t xml:space="preserve">, India. The experimental setup followed the methodologies of </w:t>
      </w:r>
      <w:r w:rsidRPr="0059583E">
        <w:rPr>
          <w:rFonts w:ascii="Times New Roman" w:hAnsi="Times New Roman" w:cs="Times New Roman"/>
          <w:color w:val="000000" w:themeColor="text1"/>
          <w:sz w:val="24"/>
          <w:szCs w:val="24"/>
          <w:lang w:val="en-US"/>
        </w:rPr>
        <w:t xml:space="preserve">Mahalakshmi </w:t>
      </w:r>
      <w:r w:rsidR="00C513DF" w:rsidRPr="00C513DF">
        <w:rPr>
          <w:rFonts w:ascii="Times New Roman" w:hAnsi="Times New Roman" w:cs="Times New Roman"/>
          <w:color w:val="000000" w:themeColor="text1"/>
          <w:sz w:val="24"/>
          <w:szCs w:val="24"/>
          <w:lang w:val="en-US"/>
        </w:rPr>
        <w:t>&amp;</w:t>
      </w:r>
      <w:r w:rsidRPr="0059583E">
        <w:rPr>
          <w:rFonts w:ascii="Times New Roman" w:hAnsi="Times New Roman" w:cs="Times New Roman"/>
          <w:color w:val="000000" w:themeColor="text1"/>
          <w:sz w:val="24"/>
          <w:szCs w:val="24"/>
          <w:lang w:val="en-US"/>
        </w:rPr>
        <w:t xml:space="preserve"> Bidinger (2002). An alpha lattice design was used, comprising 16 blocks per replication, with </w:t>
      </w:r>
      <w:r w:rsidRPr="0059583E">
        <w:rPr>
          <w:rFonts w:ascii="Times New Roman" w:hAnsi="Times New Roman" w:cs="Times New Roman"/>
          <w:sz w:val="24"/>
          <w:szCs w:val="24"/>
          <w:lang w:val="en-US"/>
        </w:rPr>
        <w:t xml:space="preserve">each block containing 14 entries. Each experimental unit was a single-row plot, 4 meters long, with 45 cm between rows and 15 cm between plants. Before sowing, a </w:t>
      </w:r>
      <w:r w:rsidRPr="0059583E">
        <w:rPr>
          <w:rFonts w:ascii="Times New Roman" w:hAnsi="Times New Roman" w:cs="Times New Roman"/>
          <w:sz w:val="24"/>
          <w:szCs w:val="24"/>
          <w:lang w:val="en-US"/>
        </w:rPr>
        <w:lastRenderedPageBreak/>
        <w:t>basal fertilizer application of 20 kg ha⁻¹ nitrogen (N) and 20 kg ha⁻¹ phosphorus (P₂O₅) was made in the form of diammonium phosphate. The seeds were sown using a machine, and irrigation was provided via overhead sprinklers to ensure uniform germination.</w:t>
      </w:r>
      <w:r>
        <w:rPr>
          <w:rFonts w:ascii="Times New Roman" w:hAnsi="Times New Roman" w:cs="Times New Roman"/>
          <w:sz w:val="24"/>
          <w:szCs w:val="24"/>
          <w:lang w:val="en-US"/>
        </w:rPr>
        <w:t xml:space="preserve"> </w:t>
      </w:r>
      <w:r w:rsidRPr="0059583E">
        <w:rPr>
          <w:rFonts w:ascii="Times New Roman" w:hAnsi="Times New Roman" w:cs="Times New Roman"/>
          <w:sz w:val="24"/>
          <w:szCs w:val="24"/>
          <w:lang w:val="en-US"/>
        </w:rPr>
        <w:t xml:space="preserve">The field was located on shallow (40–60 cm) vertical </w:t>
      </w:r>
      <w:proofErr w:type="spellStart"/>
      <w:r w:rsidRPr="0059583E">
        <w:rPr>
          <w:rFonts w:ascii="Times New Roman" w:hAnsi="Times New Roman" w:cs="Times New Roman"/>
          <w:sz w:val="24"/>
          <w:szCs w:val="24"/>
          <w:lang w:val="en-US"/>
        </w:rPr>
        <w:t>inceptisol</w:t>
      </w:r>
      <w:proofErr w:type="spellEnd"/>
      <w:r w:rsidRPr="0059583E">
        <w:rPr>
          <w:rFonts w:ascii="Times New Roman" w:hAnsi="Times New Roman" w:cs="Times New Roman"/>
          <w:sz w:val="24"/>
          <w:szCs w:val="24"/>
          <w:lang w:val="en-US"/>
        </w:rPr>
        <w:t xml:space="preserve"> soil, ideal for root penetration but with limited plant-available water</w:t>
      </w:r>
      <w:r w:rsidR="000E7A23">
        <w:rPr>
          <w:rFonts w:ascii="Times New Roman" w:hAnsi="Times New Roman" w:cs="Times New Roman"/>
          <w:sz w:val="24"/>
          <w:szCs w:val="24"/>
          <w:lang w:val="en-US"/>
        </w:rPr>
        <w:t xml:space="preserve">. </w:t>
      </w:r>
      <w:r w:rsidRPr="0059583E">
        <w:rPr>
          <w:rFonts w:ascii="Times New Roman" w:hAnsi="Times New Roman" w:cs="Times New Roman"/>
          <w:sz w:val="24"/>
          <w:szCs w:val="24"/>
          <w:lang w:val="en-US"/>
        </w:rPr>
        <w:t xml:space="preserve">Thinning </w:t>
      </w:r>
      <w:r w:rsidR="00E61EA0">
        <w:rPr>
          <w:rFonts w:ascii="Times New Roman" w:hAnsi="Times New Roman" w:cs="Times New Roman"/>
          <w:sz w:val="24"/>
          <w:szCs w:val="24"/>
          <w:lang w:val="en-US"/>
        </w:rPr>
        <w:t>was performed</w:t>
      </w:r>
      <w:r w:rsidRPr="0059583E">
        <w:rPr>
          <w:rFonts w:ascii="Times New Roman" w:hAnsi="Times New Roman" w:cs="Times New Roman"/>
          <w:sz w:val="24"/>
          <w:szCs w:val="24"/>
          <w:lang w:val="en-US"/>
        </w:rPr>
        <w:t xml:space="preserve"> </w:t>
      </w:r>
      <w:r w:rsidR="002F6263">
        <w:rPr>
          <w:rFonts w:ascii="Times New Roman" w:hAnsi="Times New Roman" w:cs="Times New Roman"/>
          <w:sz w:val="24"/>
          <w:szCs w:val="24"/>
          <w:lang w:val="en-US"/>
        </w:rPr>
        <w:t xml:space="preserve">7 </w:t>
      </w:r>
      <w:r w:rsidRPr="0059583E">
        <w:rPr>
          <w:rFonts w:ascii="Times New Roman" w:hAnsi="Times New Roman" w:cs="Times New Roman"/>
          <w:sz w:val="24"/>
          <w:szCs w:val="24"/>
          <w:lang w:val="en-US"/>
        </w:rPr>
        <w:t>days after emergence (DAE). During the growing period, temperatures ranged from 30 to 40°C during the day and 28 to 37°C at night, providing optimal conditions for assessing the performance of the sorghum genotypes under both well-watered and drought-stressed environments.</w:t>
      </w:r>
      <w:r>
        <w:rPr>
          <w:rFonts w:ascii="Times New Roman" w:hAnsi="Times New Roman" w:cs="Times New Roman"/>
          <w:sz w:val="24"/>
          <w:szCs w:val="24"/>
          <w:lang w:val="en-US"/>
        </w:rPr>
        <w:t xml:space="preserve"> </w:t>
      </w:r>
      <w:r w:rsidRPr="0059583E">
        <w:rPr>
          <w:rFonts w:ascii="Times New Roman" w:hAnsi="Times New Roman" w:cs="Times New Roman"/>
          <w:sz w:val="24"/>
          <w:szCs w:val="24"/>
          <w:lang w:val="en-US"/>
        </w:rPr>
        <w:t>For supplementary irrigation, furrow irrigation was applied during flowering to ensure enough water for grain filling, preventing severe drought stress.</w:t>
      </w:r>
      <w:r w:rsidR="00F15E80">
        <w:rPr>
          <w:rFonts w:ascii="Times New Roman" w:hAnsi="Times New Roman" w:cs="Times New Roman"/>
          <w:sz w:val="24"/>
          <w:szCs w:val="24"/>
          <w:lang w:val="en-US"/>
        </w:rPr>
        <w:t xml:space="preserve"> </w:t>
      </w:r>
      <w:r w:rsidR="0060063B" w:rsidRPr="0060063B">
        <w:rPr>
          <w:rFonts w:ascii="Times New Roman" w:hAnsi="Times New Roman" w:cs="Times New Roman"/>
          <w:sz w:val="24"/>
          <w:szCs w:val="24"/>
          <w:lang w:val="en-US"/>
        </w:rPr>
        <w:t xml:space="preserve">One set of plants was subjected to stress shortly after flowering, while the other set continued to receive regular irrigation until the grain reached maturity. </w:t>
      </w:r>
      <w:r w:rsidRPr="0059583E">
        <w:rPr>
          <w:rFonts w:ascii="Times New Roman" w:hAnsi="Times New Roman" w:cs="Times New Roman"/>
          <w:sz w:val="24"/>
          <w:szCs w:val="24"/>
          <w:lang w:val="en-US"/>
        </w:rPr>
        <w:t xml:space="preserve">To control pests, weekly sprays of cypermethrin were used for the first </w:t>
      </w:r>
      <w:r w:rsidR="001E60B1">
        <w:rPr>
          <w:rFonts w:ascii="Times New Roman" w:hAnsi="Times New Roman" w:cs="Times New Roman"/>
          <w:sz w:val="24"/>
          <w:szCs w:val="24"/>
          <w:lang w:val="en-US"/>
        </w:rPr>
        <w:t>four</w:t>
      </w:r>
      <w:r w:rsidRPr="0059583E">
        <w:rPr>
          <w:rFonts w:ascii="Times New Roman" w:hAnsi="Times New Roman" w:cs="Times New Roman"/>
          <w:sz w:val="24"/>
          <w:szCs w:val="24"/>
          <w:lang w:val="en-US"/>
        </w:rPr>
        <w:t xml:space="preserve"> weeks after emergence to manage shoot fly, and a whorl application of carbofuran was applied </w:t>
      </w:r>
      <w:r w:rsidR="001E60B1">
        <w:rPr>
          <w:rFonts w:ascii="Times New Roman" w:hAnsi="Times New Roman" w:cs="Times New Roman"/>
          <w:sz w:val="24"/>
          <w:szCs w:val="24"/>
          <w:lang w:val="en-US"/>
        </w:rPr>
        <w:t>four</w:t>
      </w:r>
      <w:r w:rsidRPr="0059583E">
        <w:rPr>
          <w:rFonts w:ascii="Times New Roman" w:hAnsi="Times New Roman" w:cs="Times New Roman"/>
          <w:sz w:val="24"/>
          <w:szCs w:val="24"/>
          <w:lang w:val="en-US"/>
        </w:rPr>
        <w:t xml:space="preserve"> weeks after emergence to control stem borer. At flowering, three plants per plot were tagged for observations. Chlorophyll content (SPAD value) was measured using a Minolta Chlorophyll Meter (SPAD-502), following the method of </w:t>
      </w:r>
      <w:r w:rsidR="00DB2E19" w:rsidRPr="00DB2E19">
        <w:rPr>
          <w:rFonts w:ascii="Times New Roman" w:hAnsi="Times New Roman" w:cs="Times New Roman"/>
          <w:color w:val="000000" w:themeColor="text1"/>
          <w:sz w:val="24"/>
          <w:szCs w:val="24"/>
          <w:lang w:val="en-US"/>
        </w:rPr>
        <w:t xml:space="preserve">Rama </w:t>
      </w:r>
      <w:proofErr w:type="spellStart"/>
      <w:r w:rsidR="00DB2E19" w:rsidRPr="00DB2E19">
        <w:rPr>
          <w:rFonts w:ascii="Times New Roman" w:hAnsi="Times New Roman" w:cs="Times New Roman"/>
          <w:color w:val="000000" w:themeColor="text1"/>
          <w:sz w:val="24"/>
          <w:szCs w:val="24"/>
          <w:lang w:val="en-US"/>
        </w:rPr>
        <w:t>reddy</w:t>
      </w:r>
      <w:proofErr w:type="spellEnd"/>
      <w:r w:rsidRPr="0059583E">
        <w:rPr>
          <w:rFonts w:ascii="Times New Roman" w:hAnsi="Times New Roman" w:cs="Times New Roman"/>
          <w:color w:val="000000" w:themeColor="text1"/>
          <w:sz w:val="24"/>
          <w:szCs w:val="24"/>
          <w:lang w:val="en-US"/>
        </w:rPr>
        <w:t xml:space="preserve"> et al. (</w:t>
      </w:r>
      <w:r w:rsidR="00DB2E19" w:rsidRPr="00DB2E19">
        <w:rPr>
          <w:rFonts w:ascii="Times New Roman" w:hAnsi="Times New Roman" w:cs="Times New Roman"/>
          <w:color w:val="000000" w:themeColor="text1"/>
          <w:sz w:val="24"/>
          <w:szCs w:val="24"/>
          <w:lang w:val="en-US"/>
        </w:rPr>
        <w:t>2014</w:t>
      </w:r>
      <w:r w:rsidRPr="0059583E">
        <w:rPr>
          <w:rFonts w:ascii="Times New Roman" w:hAnsi="Times New Roman" w:cs="Times New Roman"/>
          <w:color w:val="000000" w:themeColor="text1"/>
          <w:sz w:val="24"/>
          <w:szCs w:val="24"/>
          <w:lang w:val="en-US"/>
        </w:rPr>
        <w:t xml:space="preserve">). SPAD readings were taken from the middle of the second and fourth leaves from the top of three plants per plot, and the average was calculated for </w:t>
      </w:r>
      <w:r w:rsidRPr="0059583E">
        <w:rPr>
          <w:rFonts w:ascii="Times New Roman" w:hAnsi="Times New Roman" w:cs="Times New Roman"/>
          <w:sz w:val="24"/>
          <w:szCs w:val="24"/>
          <w:lang w:val="en-US"/>
        </w:rPr>
        <w:t>each plot.</w:t>
      </w:r>
      <w:r w:rsidR="00B01526">
        <w:rPr>
          <w:rFonts w:ascii="Times New Roman" w:hAnsi="Times New Roman" w:cs="Times New Roman"/>
          <w:sz w:val="24"/>
          <w:szCs w:val="24"/>
          <w:lang w:val="en-US"/>
        </w:rPr>
        <w:t xml:space="preserve"> </w:t>
      </w:r>
      <w:r w:rsidR="00B01526" w:rsidRPr="008E0B6F">
        <w:rPr>
          <w:rFonts w:ascii="Times New Roman" w:hAnsi="Times New Roman" w:cs="Times New Roman"/>
          <w:sz w:val="24"/>
          <w:szCs w:val="24"/>
          <w:lang w:val="en-US"/>
        </w:rPr>
        <w:t xml:space="preserve">Genotypic variation </w:t>
      </w:r>
      <w:r w:rsidR="00A959A0">
        <w:rPr>
          <w:rFonts w:ascii="Times New Roman" w:hAnsi="Times New Roman" w:cs="Times New Roman"/>
          <w:sz w:val="24"/>
          <w:szCs w:val="24"/>
          <w:lang w:val="en-US"/>
        </w:rPr>
        <w:t>for several stay-green related traits as well as agronomic traits were</w:t>
      </w:r>
      <w:r w:rsidR="00B01526" w:rsidRPr="008E0B6F">
        <w:rPr>
          <w:rFonts w:ascii="Times New Roman" w:hAnsi="Times New Roman" w:cs="Times New Roman"/>
          <w:sz w:val="24"/>
          <w:szCs w:val="24"/>
          <w:lang w:val="en-US"/>
        </w:rPr>
        <w:t xml:space="preserve"> analyzed using one-way ANOVA followed by the Tukey–Kramer post-hoc test (</w:t>
      </w:r>
      <w:proofErr w:type="spellStart"/>
      <w:r w:rsidR="00B01526" w:rsidRPr="008E0B6F">
        <w:rPr>
          <w:rFonts w:ascii="Times New Roman" w:hAnsi="Times New Roman" w:cs="Times New Roman"/>
          <w:sz w:val="24"/>
          <w:szCs w:val="24"/>
          <w:lang w:val="en-US"/>
        </w:rPr>
        <w:t>CoStat</w:t>
      </w:r>
      <w:proofErr w:type="spellEnd"/>
      <w:r w:rsidR="00B01526" w:rsidRPr="008E0B6F">
        <w:rPr>
          <w:rFonts w:ascii="Times New Roman" w:hAnsi="Times New Roman" w:cs="Times New Roman"/>
          <w:sz w:val="24"/>
          <w:szCs w:val="24"/>
          <w:lang w:val="en-US"/>
        </w:rPr>
        <w:t xml:space="preserve"> v6.204, Cohort Software). </w:t>
      </w:r>
    </w:p>
    <w:p w14:paraId="74EE0526" w14:textId="3A8B4CA3" w:rsidR="00636D20" w:rsidRPr="00636D20" w:rsidRDefault="00DA5767" w:rsidP="00636D20">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00636D20" w:rsidRPr="00636D20">
        <w:rPr>
          <w:rFonts w:ascii="Times New Roman" w:hAnsi="Times New Roman" w:cs="Times New Roman"/>
          <w:b/>
          <w:sz w:val="24"/>
          <w:szCs w:val="24"/>
          <w:lang w:val="en-US"/>
        </w:rPr>
        <w:t>Results and discussion</w:t>
      </w:r>
    </w:p>
    <w:p w14:paraId="578770ED" w14:textId="6246C6A2" w:rsidR="008564E2" w:rsidRPr="000B3819" w:rsidRDefault="00DA5767"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3</w:t>
      </w:r>
      <w:r w:rsidR="008564E2">
        <w:rPr>
          <w:rFonts w:ascii="Times New Roman" w:eastAsia="Times New Roman" w:hAnsi="Times New Roman" w:cs="Times New Roman"/>
          <w:b/>
          <w:bCs/>
          <w:sz w:val="24"/>
          <w:szCs w:val="24"/>
          <w:lang w:eastAsia="en-IN"/>
        </w:rPr>
        <w:t>.</w:t>
      </w:r>
      <w:r w:rsidR="00501333">
        <w:rPr>
          <w:rFonts w:ascii="Times New Roman" w:eastAsia="Times New Roman" w:hAnsi="Times New Roman" w:cs="Times New Roman"/>
          <w:b/>
          <w:bCs/>
          <w:sz w:val="24"/>
          <w:szCs w:val="24"/>
          <w:lang w:eastAsia="en-IN"/>
        </w:rPr>
        <w:t xml:space="preserve">1. </w:t>
      </w:r>
      <w:r w:rsidR="008564E2" w:rsidRPr="000B3819">
        <w:rPr>
          <w:rFonts w:ascii="Times New Roman" w:hAnsi="Times New Roman" w:cs="Times New Roman"/>
          <w:b/>
          <w:bCs/>
          <w:color w:val="000000" w:themeColor="text1"/>
          <w:sz w:val="24"/>
          <w:szCs w:val="24"/>
        </w:rPr>
        <w:t>S</w:t>
      </w:r>
      <w:r w:rsidR="008564E2">
        <w:rPr>
          <w:rFonts w:ascii="Times New Roman" w:hAnsi="Times New Roman" w:cs="Times New Roman"/>
          <w:b/>
          <w:bCs/>
          <w:color w:val="000000" w:themeColor="text1"/>
          <w:sz w:val="24"/>
          <w:szCs w:val="24"/>
        </w:rPr>
        <w:t>PAD</w:t>
      </w:r>
      <w:r w:rsidR="008564E2" w:rsidRPr="000B3819">
        <w:rPr>
          <w:rFonts w:ascii="Times New Roman" w:hAnsi="Times New Roman" w:cs="Times New Roman"/>
          <w:b/>
          <w:bCs/>
          <w:color w:val="000000" w:themeColor="text1"/>
          <w:sz w:val="24"/>
          <w:szCs w:val="24"/>
        </w:rPr>
        <w:t xml:space="preserve"> </w:t>
      </w:r>
      <w:r w:rsidR="008564E2">
        <w:rPr>
          <w:rFonts w:ascii="Times New Roman" w:hAnsi="Times New Roman" w:cs="Times New Roman"/>
          <w:b/>
          <w:bCs/>
          <w:color w:val="000000" w:themeColor="text1"/>
          <w:sz w:val="24"/>
          <w:szCs w:val="24"/>
        </w:rPr>
        <w:t>at flowering</w:t>
      </w:r>
    </w:p>
    <w:p w14:paraId="02041A3B" w14:textId="156F7335" w:rsidR="008564E2" w:rsidRPr="0069264B" w:rsidRDefault="008564E2" w:rsidP="00184EC8">
      <w:pPr>
        <w:autoSpaceDE w:val="0"/>
        <w:autoSpaceDN w:val="0"/>
        <w:adjustRightInd w:val="0"/>
        <w:spacing w:line="360" w:lineRule="auto"/>
        <w:rPr>
          <w:rFonts w:ascii="Times New Roman" w:eastAsia="Times New Roman" w:hAnsi="Times New Roman" w:cs="Times New Roman"/>
          <w:color w:val="000000" w:themeColor="text1"/>
          <w:sz w:val="24"/>
          <w:szCs w:val="24"/>
          <w:lang w:eastAsia="en-IN"/>
        </w:rPr>
      </w:pPr>
      <w:r w:rsidRPr="0069264B">
        <w:rPr>
          <w:rFonts w:ascii="Times New Roman" w:hAnsi="Times New Roman" w:cs="Times New Roman"/>
          <w:color w:val="000000" w:themeColor="text1"/>
          <w:sz w:val="24"/>
          <w:szCs w:val="24"/>
        </w:rPr>
        <w:t>The SPAD at flowering values across the genotype</w:t>
      </w:r>
      <w:r w:rsidR="002F6263">
        <w:rPr>
          <w:rFonts w:ascii="Times New Roman" w:hAnsi="Times New Roman" w:cs="Times New Roman"/>
          <w:color w:val="000000" w:themeColor="text1"/>
          <w:sz w:val="24"/>
          <w:szCs w:val="24"/>
        </w:rPr>
        <w:t>d</w:t>
      </w:r>
      <w:r w:rsidRPr="0069264B">
        <w:rPr>
          <w:rFonts w:ascii="Times New Roman" w:hAnsi="Times New Roman" w:cs="Times New Roman"/>
          <w:color w:val="000000" w:themeColor="text1"/>
          <w:sz w:val="24"/>
          <w:szCs w:val="24"/>
        </w:rPr>
        <w:t xml:space="preserve"> show some variation. The highest SPAD at flowering value was recorded for B35 at 48.85, while the lowest was observed for CRS1 at 38.55. Other significant values include</w:t>
      </w:r>
      <w:r w:rsidR="002F6263">
        <w:rPr>
          <w:rFonts w:ascii="Times New Roman" w:hAnsi="Times New Roman" w:cs="Times New Roman"/>
          <w:color w:val="000000" w:themeColor="text1"/>
          <w:sz w:val="24"/>
          <w:szCs w:val="24"/>
        </w:rPr>
        <w:t>d</w:t>
      </w:r>
      <w:r w:rsidRPr="0069264B">
        <w:rPr>
          <w:rFonts w:ascii="Times New Roman" w:hAnsi="Times New Roman" w:cs="Times New Roman"/>
          <w:color w:val="000000" w:themeColor="text1"/>
          <w:sz w:val="24"/>
          <w:szCs w:val="24"/>
        </w:rPr>
        <w:t xml:space="preserve"> 47.52 for K359W, 45.02 for E36-1, and 44.41 for R16 (Table 1). The SPAD values at booting under water stress (WS) conditions show</w:t>
      </w:r>
      <w:r w:rsidR="002F6263">
        <w:rPr>
          <w:rFonts w:ascii="Times New Roman" w:hAnsi="Times New Roman" w:cs="Times New Roman"/>
          <w:color w:val="000000" w:themeColor="text1"/>
          <w:sz w:val="24"/>
          <w:szCs w:val="24"/>
        </w:rPr>
        <w:t>ed the</w:t>
      </w:r>
      <w:r w:rsidRPr="0069264B">
        <w:rPr>
          <w:rFonts w:ascii="Times New Roman" w:hAnsi="Times New Roman" w:cs="Times New Roman"/>
          <w:color w:val="000000" w:themeColor="text1"/>
          <w:sz w:val="24"/>
          <w:szCs w:val="24"/>
        </w:rPr>
        <w:t xml:space="preserve"> highest recorded for B35 at 49.05, followed closely by K359W at 47.97. Other notable values include</w:t>
      </w:r>
      <w:r w:rsidR="002F6263">
        <w:rPr>
          <w:rFonts w:ascii="Times New Roman" w:hAnsi="Times New Roman" w:cs="Times New Roman"/>
          <w:color w:val="000000" w:themeColor="text1"/>
          <w:sz w:val="24"/>
          <w:szCs w:val="24"/>
        </w:rPr>
        <w:t xml:space="preserve">d </w:t>
      </w:r>
      <w:r w:rsidRPr="0069264B">
        <w:rPr>
          <w:rFonts w:ascii="Times New Roman" w:hAnsi="Times New Roman" w:cs="Times New Roman"/>
          <w:color w:val="000000" w:themeColor="text1"/>
          <w:sz w:val="24"/>
          <w:szCs w:val="24"/>
        </w:rPr>
        <w:t>44.92 for R16, 44.65 for 296B, and 44.5 for E36-1. The lowest SPAD value was observed for CRS1 at 39.17, indicating a lower chlorophyll content compared to other genotypes</w:t>
      </w:r>
      <w:r w:rsidR="00DC5DAE" w:rsidRPr="0069264B">
        <w:rPr>
          <w:rFonts w:ascii="Times New Roman" w:hAnsi="Times New Roman" w:cs="Times New Roman"/>
          <w:color w:val="000000" w:themeColor="text1"/>
          <w:sz w:val="24"/>
          <w:szCs w:val="24"/>
        </w:rPr>
        <w:t xml:space="preserve"> </w:t>
      </w:r>
      <w:r w:rsidRPr="0069264B">
        <w:rPr>
          <w:rFonts w:ascii="Times New Roman" w:hAnsi="Times New Roman" w:cs="Times New Roman"/>
          <w:color w:val="000000" w:themeColor="text1"/>
          <w:sz w:val="24"/>
          <w:szCs w:val="24"/>
        </w:rPr>
        <w:t>(Table</w:t>
      </w:r>
      <w:bookmarkStart w:id="2" w:name="_GoBack"/>
      <w:bookmarkEnd w:id="2"/>
      <w:r w:rsidRPr="0069264B">
        <w:rPr>
          <w:rFonts w:ascii="Times New Roman" w:hAnsi="Times New Roman" w:cs="Times New Roman"/>
          <w:color w:val="000000" w:themeColor="text1"/>
          <w:sz w:val="24"/>
          <w:szCs w:val="24"/>
        </w:rPr>
        <w:t xml:space="preserve"> </w:t>
      </w:r>
      <w:r w:rsidR="00DC5DAE" w:rsidRPr="0069264B">
        <w:rPr>
          <w:rFonts w:ascii="Times New Roman" w:hAnsi="Times New Roman" w:cs="Times New Roman"/>
          <w:color w:val="000000" w:themeColor="text1"/>
          <w:sz w:val="24"/>
          <w:szCs w:val="24"/>
        </w:rPr>
        <w:t>3</w:t>
      </w:r>
      <w:r w:rsidRPr="0069264B">
        <w:rPr>
          <w:rFonts w:ascii="Times New Roman" w:hAnsi="Times New Roman" w:cs="Times New Roman"/>
          <w:color w:val="000000" w:themeColor="text1"/>
          <w:sz w:val="24"/>
          <w:szCs w:val="24"/>
        </w:rPr>
        <w:t xml:space="preserve">). </w:t>
      </w:r>
      <w:r w:rsidRPr="0069264B">
        <w:rPr>
          <w:rFonts w:ascii="Times New Roman" w:eastAsia="Times New Roman" w:hAnsi="Times New Roman" w:cs="Times New Roman"/>
          <w:color w:val="000000" w:themeColor="text1"/>
          <w:sz w:val="24"/>
          <w:szCs w:val="24"/>
          <w:lang w:eastAsia="en-IN"/>
        </w:rPr>
        <w:t xml:space="preserve">The mean values for SPAD at booting under well-watered (WW) and water stress (WS) </w:t>
      </w:r>
      <w:r w:rsidR="000E5476">
        <w:rPr>
          <w:rFonts w:ascii="Times New Roman" w:eastAsia="Times New Roman" w:hAnsi="Times New Roman" w:cs="Times New Roman"/>
          <w:color w:val="000000" w:themeColor="text1"/>
          <w:sz w:val="24"/>
          <w:szCs w:val="24"/>
          <w:lang w:eastAsia="en-IN"/>
        </w:rPr>
        <w:t xml:space="preserve">were measured. </w:t>
      </w:r>
      <w:r w:rsidRPr="0069264B">
        <w:rPr>
          <w:rFonts w:ascii="Times New Roman" w:eastAsia="Times New Roman" w:hAnsi="Times New Roman" w:cs="Times New Roman"/>
          <w:color w:val="000000" w:themeColor="text1"/>
          <w:sz w:val="24"/>
          <w:szCs w:val="24"/>
          <w:lang w:eastAsia="en-IN"/>
        </w:rPr>
        <w:t>Under well-watered conditions, R16 had a mean SPAD value of 44.41, F</w:t>
      </w:r>
      <w:r w:rsidRPr="0069264B">
        <w:rPr>
          <w:rFonts w:ascii="Times New Roman" w:eastAsia="Times New Roman" w:hAnsi="Times New Roman" w:cs="Times New Roman"/>
          <w:color w:val="000000" w:themeColor="text1"/>
          <w:sz w:val="24"/>
          <w:szCs w:val="24"/>
          <w:vertAlign w:val="subscript"/>
          <w:lang w:eastAsia="en-IN"/>
        </w:rPr>
        <w:t>3</w:t>
      </w:r>
      <w:r w:rsidRPr="0069264B">
        <w:rPr>
          <w:rFonts w:ascii="Times New Roman" w:eastAsia="Times New Roman" w:hAnsi="Times New Roman" w:cs="Times New Roman"/>
          <w:color w:val="000000" w:themeColor="text1"/>
          <w:sz w:val="24"/>
          <w:szCs w:val="24"/>
          <w:lang w:eastAsia="en-IN"/>
        </w:rPr>
        <w:t xml:space="preserve"> recombinants had a </w:t>
      </w:r>
      <w:r w:rsidRPr="0069264B">
        <w:rPr>
          <w:rFonts w:ascii="Times New Roman" w:eastAsia="Times New Roman" w:hAnsi="Times New Roman" w:cs="Times New Roman"/>
          <w:color w:val="000000" w:themeColor="text1"/>
          <w:sz w:val="24"/>
          <w:szCs w:val="24"/>
          <w:lang w:eastAsia="en-IN"/>
        </w:rPr>
        <w:lastRenderedPageBreak/>
        <w:t>mean of 44.59, and K359W had a mean of 47.53. Under water stress, R16's SPAD value increased slightly to 44.92, F</w:t>
      </w:r>
      <w:r w:rsidRPr="0069264B">
        <w:rPr>
          <w:rFonts w:ascii="Times New Roman" w:eastAsia="Times New Roman" w:hAnsi="Times New Roman" w:cs="Times New Roman"/>
          <w:color w:val="000000" w:themeColor="text1"/>
          <w:sz w:val="24"/>
          <w:szCs w:val="24"/>
          <w:vertAlign w:val="subscript"/>
          <w:lang w:eastAsia="en-IN"/>
        </w:rPr>
        <w:t>3</w:t>
      </w:r>
      <w:r w:rsidRPr="0069264B">
        <w:rPr>
          <w:rFonts w:ascii="Times New Roman" w:eastAsia="Times New Roman" w:hAnsi="Times New Roman" w:cs="Times New Roman"/>
          <w:color w:val="000000" w:themeColor="text1"/>
          <w:sz w:val="24"/>
          <w:szCs w:val="24"/>
          <w:lang w:eastAsia="en-IN"/>
        </w:rPr>
        <w:t xml:space="preserve"> recombinants showed a small increase to 44.67, and K359W experienced a marginal increase to 47.98 (Table </w:t>
      </w:r>
      <w:r w:rsidR="00DC5DAE" w:rsidRPr="0069264B">
        <w:rPr>
          <w:rFonts w:ascii="Times New Roman" w:eastAsia="Times New Roman" w:hAnsi="Times New Roman" w:cs="Times New Roman"/>
          <w:color w:val="000000" w:themeColor="text1"/>
          <w:sz w:val="24"/>
          <w:szCs w:val="24"/>
          <w:lang w:eastAsia="en-IN"/>
        </w:rPr>
        <w:t>5</w:t>
      </w:r>
      <w:r w:rsidRPr="0069264B">
        <w:rPr>
          <w:rFonts w:ascii="Times New Roman" w:eastAsia="Times New Roman" w:hAnsi="Times New Roman" w:cs="Times New Roman"/>
          <w:color w:val="000000" w:themeColor="text1"/>
          <w:sz w:val="24"/>
          <w:szCs w:val="24"/>
          <w:lang w:eastAsia="en-IN"/>
        </w:rPr>
        <w:t>)</w:t>
      </w:r>
      <w:r w:rsidR="002C4A6D">
        <w:rPr>
          <w:rFonts w:ascii="Times New Roman" w:eastAsia="Times New Roman" w:hAnsi="Times New Roman" w:cs="Times New Roman"/>
          <w:color w:val="000000" w:themeColor="text1"/>
          <w:sz w:val="24"/>
          <w:szCs w:val="24"/>
          <w:lang w:eastAsia="en-IN"/>
        </w:rPr>
        <w:t xml:space="preserve">. </w:t>
      </w:r>
      <w:r w:rsidRPr="0069264B">
        <w:rPr>
          <w:rFonts w:ascii="Times New Roman" w:eastAsia="Times New Roman" w:hAnsi="Times New Roman" w:cs="Times New Roman"/>
          <w:color w:val="000000" w:themeColor="text1"/>
          <w:sz w:val="24"/>
          <w:szCs w:val="24"/>
          <w:lang w:eastAsia="en-IN"/>
        </w:rPr>
        <w:t>This indicate</w:t>
      </w:r>
      <w:r w:rsidR="00DB4D30">
        <w:rPr>
          <w:rFonts w:ascii="Times New Roman" w:eastAsia="Times New Roman" w:hAnsi="Times New Roman" w:cs="Times New Roman"/>
          <w:color w:val="000000" w:themeColor="text1"/>
          <w:sz w:val="24"/>
          <w:szCs w:val="24"/>
          <w:lang w:eastAsia="en-IN"/>
        </w:rPr>
        <w:t>d</w:t>
      </w:r>
      <w:r w:rsidRPr="0069264B">
        <w:rPr>
          <w:rFonts w:ascii="Times New Roman" w:eastAsia="Times New Roman" w:hAnsi="Times New Roman" w:cs="Times New Roman"/>
          <w:color w:val="000000" w:themeColor="text1"/>
          <w:sz w:val="24"/>
          <w:szCs w:val="24"/>
          <w:lang w:eastAsia="en-IN"/>
        </w:rPr>
        <w:t xml:space="preserve"> that while all genotypes showed a slight increase in SPAD values under water stress, the changes were relatively small, suggesting that water stress had a minimal effect on chlorophyll content at booting for these genotypes. In line with Rajarajan et al. (2021), our findings also indicate</w:t>
      </w:r>
      <w:r w:rsidR="00DB4D30">
        <w:rPr>
          <w:rFonts w:ascii="Times New Roman" w:eastAsia="Times New Roman" w:hAnsi="Times New Roman" w:cs="Times New Roman"/>
          <w:color w:val="000000" w:themeColor="text1"/>
          <w:sz w:val="24"/>
          <w:szCs w:val="24"/>
          <w:lang w:eastAsia="en-IN"/>
        </w:rPr>
        <w:t xml:space="preserve">d </w:t>
      </w:r>
      <w:r w:rsidRPr="0069264B">
        <w:rPr>
          <w:rFonts w:ascii="Times New Roman" w:eastAsia="Times New Roman" w:hAnsi="Times New Roman" w:cs="Times New Roman"/>
          <w:color w:val="000000" w:themeColor="text1"/>
          <w:sz w:val="24"/>
          <w:szCs w:val="24"/>
          <w:lang w:eastAsia="en-IN"/>
        </w:rPr>
        <w:t xml:space="preserve">that drought-stressed plants exhibit a significant reduction in chlorophyll content compared to control plants. </w:t>
      </w:r>
    </w:p>
    <w:p w14:paraId="726EECA6" w14:textId="0D0547D4"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 xml:space="preserve">3.2. </w:t>
      </w:r>
      <w:r w:rsidRPr="000B3819">
        <w:rPr>
          <w:rFonts w:ascii="Times New Roman" w:hAnsi="Times New Roman" w:cs="Times New Roman"/>
          <w:b/>
          <w:bCs/>
          <w:color w:val="000000" w:themeColor="text1"/>
          <w:sz w:val="24"/>
          <w:szCs w:val="24"/>
        </w:rPr>
        <w:t>S</w:t>
      </w:r>
      <w:r>
        <w:rPr>
          <w:rFonts w:ascii="Times New Roman" w:hAnsi="Times New Roman" w:cs="Times New Roman"/>
          <w:b/>
          <w:bCs/>
          <w:color w:val="000000" w:themeColor="text1"/>
          <w:sz w:val="24"/>
          <w:szCs w:val="24"/>
        </w:rPr>
        <w:t>PAD at maturity</w:t>
      </w:r>
    </w:p>
    <w:p w14:paraId="24798462" w14:textId="2E850A9C" w:rsidR="008564E2" w:rsidRPr="0069264B" w:rsidRDefault="008564E2" w:rsidP="00184EC8">
      <w:pPr>
        <w:autoSpaceDE w:val="0"/>
        <w:autoSpaceDN w:val="0"/>
        <w:adjustRightInd w:val="0"/>
        <w:spacing w:line="360" w:lineRule="auto"/>
        <w:rPr>
          <w:rFonts w:ascii="Times New Roman" w:hAnsi="Times New Roman" w:cs="Times New Roman"/>
          <w:color w:val="000000" w:themeColor="text1"/>
          <w:sz w:val="24"/>
          <w:szCs w:val="24"/>
          <w:shd w:val="clear" w:color="auto" w:fill="FFFFFF"/>
        </w:rPr>
      </w:pPr>
      <w:r w:rsidRPr="0069264B">
        <w:rPr>
          <w:rFonts w:ascii="Times New Roman" w:hAnsi="Times New Roman" w:cs="Times New Roman"/>
          <w:color w:val="000000" w:themeColor="text1"/>
          <w:sz w:val="24"/>
          <w:szCs w:val="24"/>
        </w:rPr>
        <w:t>The SPAD values across the genotypes exhibit</w:t>
      </w:r>
      <w:r w:rsidR="004762A2">
        <w:rPr>
          <w:rFonts w:ascii="Times New Roman" w:hAnsi="Times New Roman" w:cs="Times New Roman"/>
          <w:color w:val="000000" w:themeColor="text1"/>
          <w:sz w:val="24"/>
          <w:szCs w:val="24"/>
        </w:rPr>
        <w:t>ed</w:t>
      </w:r>
      <w:r w:rsidRPr="0069264B">
        <w:rPr>
          <w:rFonts w:ascii="Times New Roman" w:hAnsi="Times New Roman" w:cs="Times New Roman"/>
          <w:color w:val="000000" w:themeColor="text1"/>
          <w:sz w:val="24"/>
          <w:szCs w:val="24"/>
        </w:rPr>
        <w:t xml:space="preserve"> a range of measurements. The highest SPAD_AM value was recorded for B35 at 41.8, while the lowest was observed for CRS1 at 29.72</w:t>
      </w:r>
      <w:r w:rsidR="00DD70D4" w:rsidRPr="0069264B">
        <w:rPr>
          <w:rFonts w:ascii="Times New Roman" w:hAnsi="Times New Roman" w:cs="Times New Roman"/>
          <w:color w:val="000000" w:themeColor="text1"/>
          <w:sz w:val="24"/>
          <w:szCs w:val="24"/>
        </w:rPr>
        <w:t xml:space="preserve"> </w:t>
      </w:r>
      <w:r w:rsidRPr="0069264B">
        <w:rPr>
          <w:rFonts w:ascii="Times New Roman" w:hAnsi="Times New Roman" w:cs="Times New Roman"/>
          <w:color w:val="000000" w:themeColor="text1"/>
          <w:sz w:val="24"/>
          <w:szCs w:val="24"/>
        </w:rPr>
        <w:t xml:space="preserve">(Table 1). </w:t>
      </w:r>
      <w:r w:rsidRPr="0069264B">
        <w:rPr>
          <w:rFonts w:ascii="Times New Roman" w:eastAsia="Times New Roman" w:hAnsi="Times New Roman" w:cs="Times New Roman"/>
          <w:sz w:val="24"/>
          <w:szCs w:val="24"/>
          <w:lang w:eastAsia="en-IN"/>
        </w:rPr>
        <w:t xml:space="preserve">The SPAD values at maturity under water stress (WS) </w:t>
      </w:r>
      <w:r w:rsidR="004762A2">
        <w:rPr>
          <w:rFonts w:ascii="Times New Roman" w:eastAsia="Times New Roman" w:hAnsi="Times New Roman" w:cs="Times New Roman"/>
          <w:sz w:val="24"/>
          <w:szCs w:val="24"/>
          <w:lang w:eastAsia="en-IN"/>
        </w:rPr>
        <w:t xml:space="preserve">the </w:t>
      </w:r>
      <w:r w:rsidRPr="0069264B">
        <w:rPr>
          <w:rFonts w:ascii="Times New Roman" w:eastAsia="Times New Roman" w:hAnsi="Times New Roman" w:cs="Times New Roman"/>
          <w:sz w:val="24"/>
          <w:szCs w:val="24"/>
          <w:lang w:eastAsia="en-IN"/>
        </w:rPr>
        <w:t>highest SPAD value was recorded for 296B at 40.45, followed closely by K359W at 39.61 and B35 at 39.45</w:t>
      </w:r>
      <w:r w:rsidR="007861D3" w:rsidRPr="0069264B">
        <w:rPr>
          <w:rFonts w:ascii="Times New Roman" w:eastAsia="Times New Roman" w:hAnsi="Times New Roman" w:cs="Times New Roman"/>
          <w:sz w:val="24"/>
          <w:szCs w:val="24"/>
          <w:lang w:eastAsia="en-IN"/>
        </w:rPr>
        <w:t xml:space="preserve">. </w:t>
      </w:r>
      <w:r w:rsidRPr="0069264B">
        <w:rPr>
          <w:rFonts w:ascii="Times New Roman" w:eastAsia="Times New Roman" w:hAnsi="Times New Roman" w:cs="Times New Roman"/>
          <w:sz w:val="24"/>
          <w:szCs w:val="24"/>
          <w:lang w:eastAsia="en-IN"/>
        </w:rPr>
        <w:t>In contrast, genotypes like CRS1 and M35-1 showed the lowest SPAD values at 25.65 and 29.87, respectively, indicating significantly lower chlorophyll content</w:t>
      </w:r>
      <w:r w:rsidR="007861D3" w:rsidRPr="0069264B">
        <w:rPr>
          <w:rFonts w:ascii="Times New Roman" w:eastAsia="Times New Roman" w:hAnsi="Times New Roman" w:cs="Times New Roman"/>
          <w:sz w:val="24"/>
          <w:szCs w:val="24"/>
          <w:lang w:eastAsia="en-IN"/>
        </w:rPr>
        <w:t xml:space="preserve"> (</w:t>
      </w:r>
      <w:r w:rsidR="007861D3" w:rsidRPr="0069264B">
        <w:rPr>
          <w:rFonts w:ascii="Times New Roman" w:hAnsi="Times New Roman" w:cs="Times New Roman"/>
          <w:color w:val="000000" w:themeColor="text1"/>
          <w:sz w:val="24"/>
          <w:szCs w:val="24"/>
        </w:rPr>
        <w:t>Table 3)</w:t>
      </w:r>
      <w:r w:rsidRPr="0069264B">
        <w:rPr>
          <w:rFonts w:ascii="Times New Roman" w:eastAsia="Times New Roman" w:hAnsi="Times New Roman" w:cs="Times New Roman"/>
          <w:sz w:val="24"/>
          <w:szCs w:val="24"/>
          <w:lang w:eastAsia="en-IN"/>
        </w:rPr>
        <w:t xml:space="preserve">. The mean values for SPAD at maturity under well-watered (WW) and water stress (WS) conditions </w:t>
      </w:r>
      <w:r w:rsidR="004762A2">
        <w:rPr>
          <w:rFonts w:ascii="Times New Roman" w:eastAsia="Times New Roman" w:hAnsi="Times New Roman" w:cs="Times New Roman"/>
          <w:sz w:val="24"/>
          <w:szCs w:val="24"/>
          <w:lang w:eastAsia="en-IN"/>
        </w:rPr>
        <w:t xml:space="preserve">were estimated. </w:t>
      </w:r>
      <w:r w:rsidRPr="0069264B">
        <w:rPr>
          <w:rFonts w:ascii="Times New Roman" w:eastAsia="Times New Roman" w:hAnsi="Times New Roman" w:cs="Times New Roman"/>
          <w:sz w:val="24"/>
          <w:szCs w:val="24"/>
          <w:lang w:eastAsia="en-IN"/>
        </w:rPr>
        <w:t>Under well-watered conditions, R16 had a mean SPAD value of 38.31, F</w:t>
      </w:r>
      <w:r w:rsidRPr="0069264B">
        <w:rPr>
          <w:rFonts w:ascii="Times New Roman" w:eastAsia="Times New Roman" w:hAnsi="Times New Roman" w:cs="Times New Roman"/>
          <w:sz w:val="24"/>
          <w:szCs w:val="24"/>
          <w:vertAlign w:val="subscript"/>
          <w:lang w:eastAsia="en-IN"/>
        </w:rPr>
        <w:t>3</w:t>
      </w:r>
      <w:r w:rsidRPr="0069264B">
        <w:rPr>
          <w:rFonts w:ascii="Times New Roman" w:eastAsia="Times New Roman" w:hAnsi="Times New Roman" w:cs="Times New Roman"/>
          <w:sz w:val="24"/>
          <w:szCs w:val="24"/>
          <w:lang w:eastAsia="en-IN"/>
        </w:rPr>
        <w:t xml:space="preserve"> recombinants had a mean of 39.13, and K359W had a mean of 41.36 (Table </w:t>
      </w:r>
      <w:r w:rsidR="007861D3" w:rsidRPr="0069264B">
        <w:rPr>
          <w:rFonts w:ascii="Times New Roman" w:eastAsia="Times New Roman" w:hAnsi="Times New Roman" w:cs="Times New Roman"/>
          <w:sz w:val="24"/>
          <w:szCs w:val="24"/>
          <w:lang w:eastAsia="en-IN"/>
        </w:rPr>
        <w:t>5</w:t>
      </w:r>
      <w:r w:rsidRPr="0069264B">
        <w:rPr>
          <w:rFonts w:ascii="Times New Roman" w:eastAsia="Times New Roman" w:hAnsi="Times New Roman" w:cs="Times New Roman"/>
          <w:sz w:val="24"/>
          <w:szCs w:val="24"/>
          <w:lang w:eastAsia="en-IN"/>
        </w:rPr>
        <w:t>). Under water stress, R16 saw a significant decrease in SPAD value to 31.09, F</w:t>
      </w:r>
      <w:r w:rsidRPr="0069264B">
        <w:rPr>
          <w:rFonts w:ascii="Times New Roman" w:eastAsia="Times New Roman" w:hAnsi="Times New Roman" w:cs="Times New Roman"/>
          <w:sz w:val="24"/>
          <w:szCs w:val="24"/>
          <w:vertAlign w:val="subscript"/>
          <w:lang w:eastAsia="en-IN"/>
        </w:rPr>
        <w:t>3</w:t>
      </w:r>
      <w:r w:rsidRPr="0069264B">
        <w:rPr>
          <w:rFonts w:ascii="Times New Roman" w:eastAsia="Times New Roman" w:hAnsi="Times New Roman" w:cs="Times New Roman"/>
          <w:sz w:val="24"/>
          <w:szCs w:val="24"/>
          <w:lang w:eastAsia="en-IN"/>
        </w:rPr>
        <w:t xml:space="preserve"> recombinants dropped to 33.59, and K359W showed a slight decline to 40.08 </w:t>
      </w:r>
      <w:r w:rsidR="007861D3" w:rsidRPr="0069264B">
        <w:rPr>
          <w:rFonts w:ascii="Times New Roman" w:eastAsia="Times New Roman" w:hAnsi="Times New Roman" w:cs="Times New Roman"/>
          <w:sz w:val="24"/>
          <w:szCs w:val="24"/>
          <w:lang w:eastAsia="en-IN"/>
        </w:rPr>
        <w:t>(Table 5)</w:t>
      </w:r>
      <w:r w:rsidRPr="0069264B">
        <w:rPr>
          <w:rFonts w:ascii="Times New Roman" w:eastAsia="Times New Roman" w:hAnsi="Times New Roman" w:cs="Times New Roman"/>
          <w:sz w:val="24"/>
          <w:szCs w:val="24"/>
          <w:lang w:eastAsia="en-IN"/>
        </w:rPr>
        <w:t>. This suggest</w:t>
      </w:r>
      <w:r w:rsidR="00F52239">
        <w:rPr>
          <w:rFonts w:ascii="Times New Roman" w:eastAsia="Times New Roman" w:hAnsi="Times New Roman" w:cs="Times New Roman"/>
          <w:sz w:val="24"/>
          <w:szCs w:val="24"/>
          <w:lang w:eastAsia="en-IN"/>
        </w:rPr>
        <w:t>ed</w:t>
      </w:r>
      <w:r w:rsidRPr="0069264B">
        <w:rPr>
          <w:rFonts w:ascii="Times New Roman" w:eastAsia="Times New Roman" w:hAnsi="Times New Roman" w:cs="Times New Roman"/>
          <w:sz w:val="24"/>
          <w:szCs w:val="24"/>
          <w:lang w:eastAsia="en-IN"/>
        </w:rPr>
        <w:t xml:space="preserve"> that water stress resulted in a substantial reduction in chlorophyll content, particularly for R16, while K359W maintained relatively better chlorophyll levels under stress.</w:t>
      </w:r>
      <w:r w:rsidRPr="0069264B">
        <w:rPr>
          <w:rFonts w:ascii="Times New Roman" w:hAnsi="Times New Roman" w:cs="Times New Roman"/>
          <w:color w:val="FF0000"/>
          <w:sz w:val="24"/>
          <w:szCs w:val="24"/>
          <w:shd w:val="clear" w:color="auto" w:fill="FFFFFF"/>
        </w:rPr>
        <w:t xml:space="preserve"> </w:t>
      </w:r>
      <w:r w:rsidRPr="0069264B">
        <w:rPr>
          <w:rFonts w:ascii="Times New Roman" w:hAnsi="Times New Roman" w:cs="Times New Roman"/>
          <w:color w:val="000000" w:themeColor="text1"/>
          <w:sz w:val="24"/>
          <w:szCs w:val="24"/>
          <w:shd w:val="clear" w:color="auto" w:fill="FFFFFF"/>
        </w:rPr>
        <w:t>The highest SPAD was recorded for K359W followed by progeny. At WS, F</w:t>
      </w:r>
      <w:r w:rsidRPr="0069264B">
        <w:rPr>
          <w:rFonts w:ascii="Times New Roman" w:hAnsi="Times New Roman" w:cs="Times New Roman"/>
          <w:color w:val="000000" w:themeColor="text1"/>
          <w:sz w:val="24"/>
          <w:szCs w:val="24"/>
          <w:shd w:val="clear" w:color="auto" w:fill="FFFFFF"/>
          <w:vertAlign w:val="subscript"/>
        </w:rPr>
        <w:t xml:space="preserve">3 </w:t>
      </w:r>
      <w:r w:rsidRPr="0069264B">
        <w:rPr>
          <w:rFonts w:ascii="Times New Roman" w:hAnsi="Times New Roman" w:cs="Times New Roman"/>
          <w:color w:val="000000" w:themeColor="text1"/>
          <w:sz w:val="24"/>
          <w:szCs w:val="24"/>
          <w:shd w:val="clear" w:color="auto" w:fill="FFFFFF"/>
        </w:rPr>
        <w:t>recombinants performed high SPAD than parents indicating, progeny have better chlorophyll content until physiological maturity</w:t>
      </w:r>
      <w:r w:rsidR="002278D1" w:rsidRPr="0069264B">
        <w:rPr>
          <w:rFonts w:ascii="Times New Roman" w:hAnsi="Times New Roman" w:cs="Times New Roman"/>
          <w:color w:val="000000" w:themeColor="text1"/>
          <w:sz w:val="24"/>
          <w:szCs w:val="24"/>
          <w:shd w:val="clear" w:color="auto" w:fill="FFFFFF"/>
        </w:rPr>
        <w:t xml:space="preserve">. </w:t>
      </w:r>
      <w:r w:rsidRPr="0069264B">
        <w:rPr>
          <w:rFonts w:ascii="Times New Roman" w:hAnsi="Times New Roman" w:cs="Times New Roman"/>
          <w:color w:val="000000" w:themeColor="text1"/>
          <w:sz w:val="24"/>
          <w:szCs w:val="24"/>
          <w:shd w:val="clear" w:color="auto" w:fill="FFFFFF"/>
        </w:rPr>
        <w:t xml:space="preserve">Similar results were reported by Abebe et al. (2021), where </w:t>
      </w:r>
      <w:proofErr w:type="spellStart"/>
      <w:r w:rsidRPr="0069264B">
        <w:rPr>
          <w:rFonts w:ascii="Times New Roman" w:hAnsi="Times New Roman" w:cs="Times New Roman"/>
          <w:color w:val="000000" w:themeColor="text1"/>
          <w:sz w:val="24"/>
          <w:szCs w:val="24"/>
          <w:shd w:val="clear" w:color="auto" w:fill="FFFFFF"/>
        </w:rPr>
        <w:t>intr</w:t>
      </w:r>
      <w:r w:rsidR="00F52239">
        <w:rPr>
          <w:rFonts w:ascii="Times New Roman" w:hAnsi="Times New Roman" w:cs="Times New Roman"/>
          <w:color w:val="000000" w:themeColor="text1"/>
          <w:sz w:val="24"/>
          <w:szCs w:val="24"/>
          <w:shd w:val="clear" w:color="auto" w:fill="FFFFFF"/>
        </w:rPr>
        <w:t>ogressed</w:t>
      </w:r>
      <w:proofErr w:type="spellEnd"/>
      <w:r w:rsidRPr="0069264B">
        <w:rPr>
          <w:rFonts w:ascii="Times New Roman" w:hAnsi="Times New Roman" w:cs="Times New Roman"/>
          <w:color w:val="000000" w:themeColor="text1"/>
          <w:sz w:val="24"/>
          <w:szCs w:val="24"/>
          <w:shd w:val="clear" w:color="auto" w:fill="FFFFFF"/>
        </w:rPr>
        <w:t xml:space="preserve"> </w:t>
      </w:r>
      <w:r w:rsidRPr="0069264B">
        <w:rPr>
          <w:rFonts w:ascii="Times New Roman" w:hAnsi="Times New Roman" w:cs="Times New Roman"/>
          <w:iCs/>
          <w:color w:val="000000" w:themeColor="text1"/>
          <w:sz w:val="24"/>
          <w:szCs w:val="24"/>
          <w:shd w:val="clear" w:color="auto" w:fill="FFFFFF"/>
        </w:rPr>
        <w:t>STG3B</w:t>
      </w:r>
      <w:r w:rsidRPr="0069264B">
        <w:rPr>
          <w:rFonts w:ascii="Times New Roman" w:hAnsi="Times New Roman" w:cs="Times New Roman"/>
          <w:color w:val="000000" w:themeColor="text1"/>
          <w:sz w:val="24"/>
          <w:szCs w:val="24"/>
          <w:shd w:val="clear" w:color="auto" w:fill="FFFFFF"/>
        </w:rPr>
        <w:t xml:space="preserve"> QTL-responsive genes significantly enhanced total chlorophyll content in leaves, contributing to improve structural and functional integrity under water stress conditions. </w:t>
      </w:r>
    </w:p>
    <w:p w14:paraId="64D8798B" w14:textId="5BED3EEB"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 xml:space="preserve">3.3. </w:t>
      </w:r>
      <w:r w:rsidRPr="00317BD1">
        <w:rPr>
          <w:rFonts w:ascii="Times New Roman" w:eastAsia="Times New Roman" w:hAnsi="Times New Roman" w:cs="Times New Roman"/>
          <w:b/>
          <w:bCs/>
          <w:sz w:val="24"/>
          <w:szCs w:val="24"/>
          <w:lang w:eastAsia="en-IN"/>
        </w:rPr>
        <w:t>Green leaf area at booting</w:t>
      </w:r>
      <w:r>
        <w:rPr>
          <w:rFonts w:ascii="Times New Roman" w:eastAsia="Times New Roman" w:hAnsi="Times New Roman" w:cs="Times New Roman"/>
          <w:b/>
          <w:bCs/>
          <w:sz w:val="24"/>
          <w:szCs w:val="24"/>
          <w:lang w:eastAsia="en-IN"/>
        </w:rPr>
        <w:t xml:space="preserve"> (GLAB, </w:t>
      </w:r>
      <w:r w:rsidRPr="00E70EBB">
        <w:rPr>
          <w:rFonts w:ascii="Times New Roman" w:eastAsia="Times New Roman" w:hAnsi="Times New Roman" w:cs="Times New Roman"/>
          <w:b/>
          <w:bCs/>
          <w:sz w:val="24"/>
          <w:szCs w:val="24"/>
          <w:lang w:eastAsia="en-IN"/>
        </w:rPr>
        <w:t>cm²</w:t>
      </w:r>
      <w:r>
        <w:rPr>
          <w:rFonts w:ascii="Times New Roman" w:eastAsia="Times New Roman" w:hAnsi="Times New Roman" w:cs="Times New Roman"/>
          <w:b/>
          <w:bCs/>
          <w:sz w:val="24"/>
          <w:szCs w:val="24"/>
          <w:lang w:eastAsia="en-IN"/>
        </w:rPr>
        <w:t>)</w:t>
      </w:r>
    </w:p>
    <w:p w14:paraId="5FBBB072" w14:textId="3FECC04E" w:rsidR="008564E2" w:rsidRPr="00D457D1" w:rsidRDefault="008564E2" w:rsidP="00184EC8">
      <w:pPr>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The maximum green leaf area was recorded for 296B at 417.69, while the minimum was observed for R16 at 295.6</w:t>
      </w:r>
      <w:r w:rsidR="00741212" w:rsidRPr="00D457D1">
        <w:rPr>
          <w:rFonts w:ascii="Times New Roman" w:hAnsi="Times New Roman" w:cs="Times New Roman"/>
          <w:color w:val="000000" w:themeColor="text1"/>
          <w:sz w:val="24"/>
          <w:szCs w:val="24"/>
        </w:rPr>
        <w:t xml:space="preserve"> </w:t>
      </w:r>
      <w:r w:rsidRPr="00D457D1">
        <w:rPr>
          <w:rFonts w:ascii="Times New Roman" w:hAnsi="Times New Roman" w:cs="Times New Roman"/>
          <w:color w:val="000000" w:themeColor="text1"/>
          <w:sz w:val="24"/>
          <w:szCs w:val="24"/>
        </w:rPr>
        <w:t>(Table 1). The green leaf area at booting under water stress (WS) conditions show</w:t>
      </w:r>
      <w:r w:rsidR="00F52239">
        <w:rPr>
          <w:rFonts w:ascii="Times New Roman" w:hAnsi="Times New Roman" w:cs="Times New Roman"/>
          <w:color w:val="000000" w:themeColor="text1"/>
          <w:sz w:val="24"/>
          <w:szCs w:val="24"/>
        </w:rPr>
        <w:t xml:space="preserve">ed </w:t>
      </w:r>
      <w:r w:rsidRPr="00D457D1">
        <w:rPr>
          <w:rFonts w:ascii="Times New Roman" w:hAnsi="Times New Roman" w:cs="Times New Roman"/>
          <w:color w:val="000000" w:themeColor="text1"/>
          <w:sz w:val="24"/>
          <w:szCs w:val="24"/>
        </w:rPr>
        <w:t xml:space="preserve">variation in leaf development across the genotypes. The highest green leaf area was recorded for 296B at 420.26 cm², followed by CRS1 at </w:t>
      </w:r>
      <w:r w:rsidRPr="00D457D1">
        <w:rPr>
          <w:rFonts w:ascii="Times New Roman" w:hAnsi="Times New Roman" w:cs="Times New Roman"/>
          <w:color w:val="000000" w:themeColor="text1"/>
          <w:sz w:val="24"/>
          <w:szCs w:val="24"/>
        </w:rPr>
        <w:lastRenderedPageBreak/>
        <w:t xml:space="preserve">352.64 cm² and B35 at 349.19 cm² (Table </w:t>
      </w:r>
      <w:r w:rsidR="002278D1"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Other notable values include</w:t>
      </w:r>
      <w:r w:rsidR="00F52239">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340.88 cm² for Phule Vasudha, 340.14 cm² for K359W, and 346.78 cm² for M35-1. The smallest green leaf area was observed for R16 at 293.35 cm², followed by E36-1 at 314.88 cm² and K260 at 318.66 cm². </w:t>
      </w:r>
      <w:r w:rsidRPr="00D457D1">
        <w:rPr>
          <w:rFonts w:ascii="Times New Roman" w:eastAsia="Times New Roman" w:hAnsi="Times New Roman" w:cs="Times New Roman"/>
          <w:sz w:val="24"/>
          <w:szCs w:val="24"/>
          <w:lang w:eastAsia="en-IN"/>
        </w:rPr>
        <w:t>T</w:t>
      </w:r>
      <w:r w:rsidRPr="00D457D1">
        <w:rPr>
          <w:rFonts w:ascii="Times New Roman" w:hAnsi="Times New Roman" w:cs="Times New Roman"/>
          <w:color w:val="000000" w:themeColor="text1"/>
          <w:sz w:val="24"/>
          <w:szCs w:val="24"/>
        </w:rPr>
        <w:t xml:space="preserve">he mean values for </w:t>
      </w:r>
      <w:r w:rsidR="00F52239">
        <w:rPr>
          <w:rFonts w:ascii="Times New Roman" w:hAnsi="Times New Roman" w:cs="Times New Roman"/>
          <w:color w:val="000000" w:themeColor="text1"/>
          <w:sz w:val="24"/>
          <w:szCs w:val="24"/>
        </w:rPr>
        <w:t>g</w:t>
      </w:r>
      <w:r w:rsidRPr="00D457D1">
        <w:rPr>
          <w:rFonts w:ascii="Times New Roman" w:hAnsi="Times New Roman" w:cs="Times New Roman"/>
          <w:color w:val="000000" w:themeColor="text1"/>
          <w:sz w:val="24"/>
          <w:szCs w:val="24"/>
        </w:rPr>
        <w:t xml:space="preserve">reen leaf area at booting under well-watered (WW) and water stress (WS) conditions </w:t>
      </w:r>
      <w:r w:rsidR="00F52239">
        <w:rPr>
          <w:rFonts w:ascii="Times New Roman" w:hAnsi="Times New Roman" w:cs="Times New Roman"/>
          <w:color w:val="000000" w:themeColor="text1"/>
          <w:sz w:val="24"/>
          <w:szCs w:val="24"/>
        </w:rPr>
        <w:t xml:space="preserve">were obtained. </w:t>
      </w:r>
      <w:r w:rsidRPr="00D457D1">
        <w:rPr>
          <w:rFonts w:ascii="Times New Roman" w:hAnsi="Times New Roman" w:cs="Times New Roman"/>
          <w:color w:val="000000" w:themeColor="text1"/>
          <w:sz w:val="24"/>
          <w:szCs w:val="24"/>
        </w:rPr>
        <w:t>For R16, the green leaf area was 290 cm² under well-watered conditions and slightly increased to 295.35 cm² under water stress.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showed a similar pattern, with a slight increase from 297.74 cm² under well-watered conditions to 296.71 cm² under water stress. For K359W, the green leaf area remained almost the same, with 341.7 cm² under well-watered and 340.64 cm² under water stress (Table </w:t>
      </w:r>
      <w:r w:rsidR="002278D1"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 These results suggest</w:t>
      </w:r>
      <w:r w:rsidR="009D67AB">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that water stress did not significantly affect the green leaf area at booting for any of the genotypes. The findings of the present study </w:t>
      </w:r>
      <w:proofErr w:type="gramStart"/>
      <w:r w:rsidRPr="00D457D1">
        <w:rPr>
          <w:rFonts w:ascii="Times New Roman" w:hAnsi="Times New Roman" w:cs="Times New Roman"/>
          <w:color w:val="000000" w:themeColor="text1"/>
          <w:sz w:val="24"/>
          <w:szCs w:val="24"/>
        </w:rPr>
        <w:t>are in agreement</w:t>
      </w:r>
      <w:proofErr w:type="gramEnd"/>
      <w:r w:rsidRPr="00D457D1">
        <w:rPr>
          <w:rFonts w:ascii="Times New Roman" w:hAnsi="Times New Roman" w:cs="Times New Roman"/>
          <w:color w:val="000000" w:themeColor="text1"/>
          <w:sz w:val="24"/>
          <w:szCs w:val="24"/>
        </w:rPr>
        <w:t xml:space="preserve"> with those reported by Harris et al. (2007)</w:t>
      </w:r>
      <w:r w:rsidR="009D67AB">
        <w:rPr>
          <w:rFonts w:ascii="Times New Roman" w:hAnsi="Times New Roman" w:cs="Times New Roman"/>
          <w:color w:val="000000" w:themeColor="text1"/>
          <w:sz w:val="24"/>
          <w:szCs w:val="24"/>
        </w:rPr>
        <w:t xml:space="preserve">, </w:t>
      </w:r>
      <w:r w:rsidRPr="00D457D1">
        <w:rPr>
          <w:rFonts w:ascii="Times New Roman" w:hAnsi="Times New Roman" w:cs="Times New Roman"/>
          <w:color w:val="000000" w:themeColor="text1"/>
          <w:sz w:val="24"/>
          <w:szCs w:val="24"/>
        </w:rPr>
        <w:t xml:space="preserve">reported that stay-green lines (Stg1, Stg2, and Stg1+4) maintained higher GLA than the recurrent parent TAB under various drought conditions. </w:t>
      </w:r>
    </w:p>
    <w:p w14:paraId="3E6CF548" w14:textId="3E1C053E" w:rsidR="008564E2" w:rsidRPr="00317BD1" w:rsidRDefault="008564E2" w:rsidP="00184EC8">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3.4. </w:t>
      </w:r>
      <w:r w:rsidRPr="00317BD1">
        <w:rPr>
          <w:rFonts w:ascii="Times New Roman" w:eastAsia="Times New Roman" w:hAnsi="Times New Roman" w:cs="Times New Roman"/>
          <w:b/>
          <w:bCs/>
          <w:sz w:val="24"/>
          <w:szCs w:val="24"/>
          <w:lang w:eastAsia="en-IN"/>
        </w:rPr>
        <w:t xml:space="preserve">Green leaf area at </w:t>
      </w:r>
      <w:r>
        <w:rPr>
          <w:rFonts w:ascii="Times New Roman" w:eastAsia="Times New Roman" w:hAnsi="Times New Roman" w:cs="Times New Roman"/>
          <w:b/>
          <w:bCs/>
          <w:sz w:val="24"/>
          <w:szCs w:val="24"/>
          <w:lang w:eastAsia="en-IN"/>
        </w:rPr>
        <w:t xml:space="preserve">maturity (GLAM, </w:t>
      </w:r>
      <w:r w:rsidRPr="00E70EBB">
        <w:rPr>
          <w:rFonts w:ascii="Times New Roman" w:eastAsia="Times New Roman" w:hAnsi="Times New Roman" w:cs="Times New Roman"/>
          <w:b/>
          <w:bCs/>
          <w:sz w:val="24"/>
          <w:szCs w:val="24"/>
          <w:lang w:eastAsia="en-IN"/>
        </w:rPr>
        <w:t>cm²</w:t>
      </w:r>
      <w:r>
        <w:rPr>
          <w:rFonts w:ascii="Times New Roman" w:eastAsia="Times New Roman" w:hAnsi="Times New Roman" w:cs="Times New Roman"/>
          <w:b/>
          <w:bCs/>
          <w:sz w:val="24"/>
          <w:szCs w:val="24"/>
          <w:lang w:eastAsia="en-IN"/>
        </w:rPr>
        <w:t>)</w:t>
      </w:r>
    </w:p>
    <w:p w14:paraId="750AAC43" w14:textId="00B0A6A1" w:rsidR="008564E2" w:rsidRPr="00D457D1" w:rsidRDefault="008564E2" w:rsidP="00184EC8">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Under well-watered (irrigated) conditions, the maximum green leaf area was recorded for 296B at 363.87, while the minimum was observed for R16 at 254.92</w:t>
      </w:r>
      <w:r w:rsidR="003A0303" w:rsidRPr="00D457D1">
        <w:rPr>
          <w:rFonts w:ascii="Times New Roman" w:hAnsi="Times New Roman" w:cs="Times New Roman"/>
          <w:color w:val="000000" w:themeColor="text1"/>
          <w:sz w:val="24"/>
          <w:szCs w:val="24"/>
        </w:rPr>
        <w:t xml:space="preserve"> </w:t>
      </w:r>
      <w:r w:rsidRPr="00D457D1">
        <w:rPr>
          <w:rFonts w:ascii="Times New Roman" w:hAnsi="Times New Roman" w:cs="Times New Roman"/>
          <w:color w:val="000000" w:themeColor="text1"/>
          <w:sz w:val="24"/>
          <w:szCs w:val="24"/>
        </w:rPr>
        <w:t>(Table 1). The green leaf area at maturity under water stress (WS) conditions show</w:t>
      </w:r>
      <w:r w:rsidR="009D67AB">
        <w:rPr>
          <w:rFonts w:ascii="Times New Roman" w:hAnsi="Times New Roman" w:cs="Times New Roman"/>
          <w:color w:val="000000" w:themeColor="text1"/>
          <w:sz w:val="24"/>
          <w:szCs w:val="24"/>
        </w:rPr>
        <w:t xml:space="preserve">ed </w:t>
      </w:r>
      <w:r w:rsidRPr="00D457D1">
        <w:rPr>
          <w:rFonts w:ascii="Times New Roman" w:hAnsi="Times New Roman" w:cs="Times New Roman"/>
          <w:color w:val="000000" w:themeColor="text1"/>
          <w:sz w:val="24"/>
          <w:szCs w:val="24"/>
        </w:rPr>
        <w:t xml:space="preserve">considerable variation across the genotypes. The highest green leaf area was recorded for 296B at 353.2 cm², followed by B35 at 326.74 cm² (Table </w:t>
      </w:r>
      <w:r w:rsidR="002278D1"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xml:space="preserve">). The smallest green leaf areas were observed for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at 185.48 cm² and R16 at 186.9 cm². The mean values for </w:t>
      </w:r>
      <w:r w:rsidR="009D67AB">
        <w:rPr>
          <w:rFonts w:ascii="Times New Roman" w:hAnsi="Times New Roman" w:cs="Times New Roman"/>
          <w:color w:val="000000" w:themeColor="text1"/>
          <w:sz w:val="24"/>
          <w:szCs w:val="24"/>
        </w:rPr>
        <w:t>g</w:t>
      </w:r>
      <w:r w:rsidRPr="00D457D1">
        <w:rPr>
          <w:rFonts w:ascii="Times New Roman" w:hAnsi="Times New Roman" w:cs="Times New Roman"/>
          <w:color w:val="000000" w:themeColor="text1"/>
          <w:sz w:val="24"/>
          <w:szCs w:val="24"/>
        </w:rPr>
        <w:t>reen leaf area at maturity under well-watered (WW) and water stress (WS) conditions show</w:t>
      </w:r>
      <w:r w:rsidR="009D67AB">
        <w:rPr>
          <w:rFonts w:ascii="Times New Roman" w:hAnsi="Times New Roman" w:cs="Times New Roman"/>
          <w:color w:val="000000" w:themeColor="text1"/>
          <w:sz w:val="24"/>
          <w:szCs w:val="24"/>
        </w:rPr>
        <w:t xml:space="preserve">ed </w:t>
      </w:r>
      <w:r w:rsidRPr="00D457D1">
        <w:rPr>
          <w:rFonts w:ascii="Times New Roman" w:hAnsi="Times New Roman" w:cs="Times New Roman"/>
          <w:color w:val="000000" w:themeColor="text1"/>
          <w:sz w:val="24"/>
          <w:szCs w:val="24"/>
        </w:rPr>
        <w:t>a noticeable reduction across all genotypes when subjected to water stress (Table 4). For R16, the green leaf area decreased from 254.93 cm² under well-watered conditions to 186.93 cm² under water stress.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exhibited a similar decrease, from 203.79 cm² under well-watered conditions to 190.62 cm² under water stress. K359W had a relatively higher green leaf area, with 302.54 cm² under well-watered conditions and 284.39 cm² under water stress (Table </w:t>
      </w:r>
      <w:r w:rsidR="002278D1"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 These results suggest</w:t>
      </w:r>
      <w:r w:rsidR="009D67AB">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that water stress led to a reduction in the green leaf area with R16 showing the greatest decrease. Abebe et al. (2021) reported higher project</w:t>
      </w:r>
      <w:r w:rsidR="009D67AB">
        <w:rPr>
          <w:rFonts w:ascii="Times New Roman" w:hAnsi="Times New Roman" w:cs="Times New Roman"/>
          <w:color w:val="000000" w:themeColor="text1"/>
          <w:sz w:val="24"/>
          <w:szCs w:val="24"/>
        </w:rPr>
        <w:t xml:space="preserve">ion of </w:t>
      </w:r>
      <w:r w:rsidRPr="00D457D1">
        <w:rPr>
          <w:rFonts w:ascii="Times New Roman" w:hAnsi="Times New Roman" w:cs="Times New Roman"/>
          <w:color w:val="000000" w:themeColor="text1"/>
          <w:sz w:val="24"/>
          <w:szCs w:val="24"/>
        </w:rPr>
        <w:t xml:space="preserve">green leaf area at maturity (PGLAM) in recombinants and converted progeny, indicating improved drought tolerance. </w:t>
      </w:r>
    </w:p>
    <w:p w14:paraId="5CD0685C" w14:textId="77777777" w:rsidR="009D67AB" w:rsidRDefault="009D67AB" w:rsidP="00184EC8">
      <w:pPr>
        <w:autoSpaceDE w:val="0"/>
        <w:autoSpaceDN w:val="0"/>
        <w:adjustRightInd w:val="0"/>
        <w:spacing w:line="360" w:lineRule="auto"/>
        <w:rPr>
          <w:rFonts w:ascii="Times New Roman" w:eastAsia="Times New Roman" w:hAnsi="Times New Roman" w:cs="Times New Roman"/>
          <w:b/>
          <w:bCs/>
          <w:sz w:val="24"/>
          <w:szCs w:val="24"/>
          <w:lang w:eastAsia="en-IN"/>
        </w:rPr>
      </w:pPr>
    </w:p>
    <w:p w14:paraId="357F6FC4" w14:textId="035B336C"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 xml:space="preserve">3.5. </w:t>
      </w:r>
      <w:r w:rsidRPr="000B3819">
        <w:rPr>
          <w:rFonts w:ascii="Times New Roman" w:hAnsi="Times New Roman" w:cs="Times New Roman"/>
          <w:b/>
          <w:bCs/>
          <w:color w:val="000000" w:themeColor="text1"/>
          <w:sz w:val="24"/>
          <w:szCs w:val="24"/>
        </w:rPr>
        <w:t>Rate of leaf senescence</w:t>
      </w:r>
      <w:r>
        <w:rPr>
          <w:rFonts w:ascii="Times New Roman" w:hAnsi="Times New Roman" w:cs="Times New Roman"/>
          <w:b/>
          <w:bCs/>
          <w:color w:val="000000" w:themeColor="text1"/>
          <w:sz w:val="24"/>
          <w:szCs w:val="24"/>
        </w:rPr>
        <w:t xml:space="preserve"> </w:t>
      </w:r>
      <w:r>
        <w:rPr>
          <w:rFonts w:ascii="Times New Roman" w:eastAsia="Times New Roman" w:hAnsi="Times New Roman" w:cs="Times New Roman"/>
          <w:b/>
          <w:bCs/>
          <w:sz w:val="24"/>
          <w:szCs w:val="24"/>
          <w:lang w:eastAsia="en-IN"/>
        </w:rPr>
        <w:t>(RLS)</w:t>
      </w:r>
    </w:p>
    <w:p w14:paraId="74EF7B8E" w14:textId="065AB850" w:rsidR="008564E2" w:rsidRPr="00D457D1" w:rsidRDefault="0054685A" w:rsidP="00184EC8">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lastRenderedPageBreak/>
        <w:t>T</w:t>
      </w:r>
      <w:r w:rsidR="008564E2" w:rsidRPr="00D457D1">
        <w:rPr>
          <w:rFonts w:ascii="Times New Roman" w:hAnsi="Times New Roman" w:cs="Times New Roman"/>
          <w:color w:val="000000" w:themeColor="text1"/>
          <w:sz w:val="24"/>
          <w:szCs w:val="24"/>
        </w:rPr>
        <w:t>he lowest rate of senescence was observed for B35 at 0.44, while the highest was recorded for Phule Vasudha at 1.15. (Table 1). The rate of leaf senescence under water stress (WS)</w:t>
      </w:r>
      <w:r w:rsidR="009D67AB">
        <w:rPr>
          <w:rFonts w:ascii="Times New Roman" w:hAnsi="Times New Roman" w:cs="Times New Roman"/>
          <w:color w:val="000000" w:themeColor="text1"/>
          <w:sz w:val="24"/>
          <w:szCs w:val="24"/>
        </w:rPr>
        <w:t xml:space="preserve"> indicated that the </w:t>
      </w:r>
      <w:r w:rsidR="008564E2" w:rsidRPr="00D457D1">
        <w:rPr>
          <w:rFonts w:ascii="Times New Roman" w:hAnsi="Times New Roman" w:cs="Times New Roman"/>
          <w:color w:val="000000" w:themeColor="text1"/>
          <w:sz w:val="24"/>
          <w:szCs w:val="24"/>
        </w:rPr>
        <w:t xml:space="preserve">lowest rate of senescence was for B35 and E36-1, both at 1.22, indicating slower senescence. The highest rate of leaf senescence was recorded for </w:t>
      </w:r>
      <w:proofErr w:type="spellStart"/>
      <w:r w:rsidR="008564E2" w:rsidRPr="00D457D1">
        <w:rPr>
          <w:rFonts w:ascii="Times New Roman" w:hAnsi="Times New Roman" w:cs="Times New Roman"/>
          <w:color w:val="000000" w:themeColor="text1"/>
          <w:sz w:val="24"/>
          <w:szCs w:val="24"/>
        </w:rPr>
        <w:t>Parbhani</w:t>
      </w:r>
      <w:proofErr w:type="spellEnd"/>
      <w:r w:rsidR="008564E2" w:rsidRPr="00D457D1">
        <w:rPr>
          <w:rFonts w:ascii="Times New Roman" w:hAnsi="Times New Roman" w:cs="Times New Roman"/>
          <w:color w:val="000000" w:themeColor="text1"/>
          <w:sz w:val="24"/>
          <w:szCs w:val="24"/>
        </w:rPr>
        <w:t xml:space="preserve"> Moti at 2.87, followed by CRS1 at 2.64 and M35-1 at 2.37. Other genotypes like Phule Vasudha and R16 had intermediate values of 2.45 and 2.35, respectively (Table </w:t>
      </w:r>
      <w:r w:rsidR="002278D1" w:rsidRPr="00D457D1">
        <w:rPr>
          <w:rFonts w:ascii="Times New Roman" w:hAnsi="Times New Roman" w:cs="Times New Roman"/>
          <w:color w:val="000000" w:themeColor="text1"/>
          <w:sz w:val="24"/>
          <w:szCs w:val="24"/>
        </w:rPr>
        <w:t>3</w:t>
      </w:r>
      <w:r w:rsidR="008564E2" w:rsidRPr="00D457D1">
        <w:rPr>
          <w:rFonts w:ascii="Times New Roman" w:hAnsi="Times New Roman" w:cs="Times New Roman"/>
          <w:color w:val="000000" w:themeColor="text1"/>
          <w:sz w:val="24"/>
          <w:szCs w:val="24"/>
        </w:rPr>
        <w:t xml:space="preserve">). The </w:t>
      </w:r>
      <w:r w:rsidR="0062367D">
        <w:rPr>
          <w:rFonts w:ascii="Times New Roman" w:hAnsi="Times New Roman" w:cs="Times New Roman"/>
          <w:color w:val="000000" w:themeColor="text1"/>
          <w:sz w:val="24"/>
          <w:szCs w:val="24"/>
        </w:rPr>
        <w:t>r</w:t>
      </w:r>
      <w:r w:rsidR="008564E2" w:rsidRPr="00D457D1">
        <w:rPr>
          <w:rFonts w:ascii="Times New Roman" w:hAnsi="Times New Roman" w:cs="Times New Roman"/>
          <w:color w:val="000000" w:themeColor="text1"/>
          <w:sz w:val="24"/>
          <w:szCs w:val="24"/>
        </w:rPr>
        <w:t>ate of leaf senescence increased under water stress (WS) for all genotypes when compared to well-watered (WW) conditions. For R16, the rate of leaf senescence rose from 0.75 under WW to 2.36 under WS, indicating a significant increase. Similarly, F</w:t>
      </w:r>
      <w:r w:rsidR="008564E2" w:rsidRPr="00D457D1">
        <w:rPr>
          <w:rFonts w:ascii="Times New Roman" w:hAnsi="Times New Roman" w:cs="Times New Roman"/>
          <w:color w:val="000000" w:themeColor="text1"/>
          <w:sz w:val="24"/>
          <w:szCs w:val="24"/>
          <w:vertAlign w:val="subscript"/>
        </w:rPr>
        <w:t>3</w:t>
      </w:r>
      <w:r w:rsidR="008564E2" w:rsidRPr="00D457D1">
        <w:rPr>
          <w:rFonts w:ascii="Times New Roman" w:hAnsi="Times New Roman" w:cs="Times New Roman"/>
          <w:color w:val="000000" w:themeColor="text1"/>
          <w:sz w:val="24"/>
          <w:szCs w:val="24"/>
        </w:rPr>
        <w:t xml:space="preserve"> recombinants showed an increase from 2.04 under WW to 2.31 under WS. K359W exhibited a milder change, with the rate of senescence increasing from 0.44 under WW to 1.43 under WS (Table </w:t>
      </w:r>
      <w:r w:rsidR="002278D1" w:rsidRPr="00D457D1">
        <w:rPr>
          <w:rFonts w:ascii="Times New Roman" w:hAnsi="Times New Roman" w:cs="Times New Roman"/>
          <w:color w:val="000000" w:themeColor="text1"/>
          <w:sz w:val="24"/>
          <w:szCs w:val="24"/>
        </w:rPr>
        <w:t>5</w:t>
      </w:r>
      <w:r w:rsidR="008564E2" w:rsidRPr="00D457D1">
        <w:rPr>
          <w:rFonts w:ascii="Times New Roman" w:hAnsi="Times New Roman" w:cs="Times New Roman"/>
          <w:color w:val="000000" w:themeColor="text1"/>
          <w:sz w:val="24"/>
          <w:szCs w:val="24"/>
        </w:rPr>
        <w:t>). This pattern suggest</w:t>
      </w:r>
      <w:r w:rsidR="0062367D">
        <w:rPr>
          <w:rFonts w:ascii="Times New Roman" w:hAnsi="Times New Roman" w:cs="Times New Roman"/>
          <w:color w:val="000000" w:themeColor="text1"/>
          <w:sz w:val="24"/>
          <w:szCs w:val="24"/>
        </w:rPr>
        <w:t>ed</w:t>
      </w:r>
      <w:r w:rsidR="008564E2" w:rsidRPr="00D457D1">
        <w:rPr>
          <w:rFonts w:ascii="Times New Roman" w:hAnsi="Times New Roman" w:cs="Times New Roman"/>
          <w:color w:val="000000" w:themeColor="text1"/>
          <w:sz w:val="24"/>
          <w:szCs w:val="24"/>
        </w:rPr>
        <w:t xml:space="preserve"> that water stress accelerate</w:t>
      </w:r>
      <w:r w:rsidR="0062367D">
        <w:rPr>
          <w:rFonts w:ascii="Times New Roman" w:hAnsi="Times New Roman" w:cs="Times New Roman"/>
          <w:color w:val="000000" w:themeColor="text1"/>
          <w:sz w:val="24"/>
          <w:szCs w:val="24"/>
        </w:rPr>
        <w:t xml:space="preserve">d </w:t>
      </w:r>
      <w:r w:rsidR="008564E2" w:rsidRPr="00D457D1">
        <w:rPr>
          <w:rFonts w:ascii="Times New Roman" w:hAnsi="Times New Roman" w:cs="Times New Roman"/>
          <w:color w:val="000000" w:themeColor="text1"/>
          <w:sz w:val="24"/>
          <w:szCs w:val="24"/>
        </w:rPr>
        <w:t xml:space="preserve">leaf senescence with R16 showing the most notable increase in senescence rate. </w:t>
      </w:r>
      <w:proofErr w:type="spellStart"/>
      <w:r w:rsidR="008564E2" w:rsidRPr="00D457D1">
        <w:rPr>
          <w:rFonts w:ascii="Times New Roman" w:hAnsi="Times New Roman" w:cs="Times New Roman"/>
          <w:color w:val="000000" w:themeColor="text1"/>
          <w:sz w:val="24"/>
          <w:szCs w:val="24"/>
        </w:rPr>
        <w:t>Kirnmayee</w:t>
      </w:r>
      <w:proofErr w:type="spellEnd"/>
      <w:r w:rsidR="008564E2" w:rsidRPr="00D457D1">
        <w:rPr>
          <w:rFonts w:ascii="Times New Roman" w:hAnsi="Times New Roman" w:cs="Times New Roman"/>
          <w:color w:val="000000" w:themeColor="text1"/>
          <w:sz w:val="24"/>
          <w:szCs w:val="24"/>
        </w:rPr>
        <w:t xml:space="preserve"> et al. (2020) observed that the donor parent RSG04008-6 exhibited a lower rate of senescence than the recurrent J2614-11, indicating its stable stay-green nature. </w:t>
      </w:r>
    </w:p>
    <w:p w14:paraId="2263F01F" w14:textId="66F876B7" w:rsidR="008564E2" w:rsidRPr="00317BD1" w:rsidRDefault="008564E2" w:rsidP="00184EC8">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3.6. Stay green score at 7 days after flowering (STG score@7 DAF)</w:t>
      </w:r>
    </w:p>
    <w:p w14:paraId="6EFFA0B6" w14:textId="59A862C7" w:rsidR="008564E2" w:rsidRDefault="008564E2" w:rsidP="00184EC8">
      <w:pPr>
        <w:autoSpaceDE w:val="0"/>
        <w:autoSpaceDN w:val="0"/>
        <w:adjustRightInd w:val="0"/>
        <w:spacing w:line="360" w:lineRule="auto"/>
        <w:rPr>
          <w:rFonts w:ascii="Times New Roman" w:eastAsia="Times New Roman" w:hAnsi="Times New Roman" w:cs="Times New Roman"/>
          <w:sz w:val="24"/>
          <w:szCs w:val="24"/>
          <w:lang w:eastAsia="en-IN"/>
        </w:rPr>
      </w:pPr>
      <w:r w:rsidRPr="00D457D1">
        <w:rPr>
          <w:rFonts w:ascii="Times New Roman" w:hAnsi="Times New Roman" w:cs="Times New Roman"/>
          <w:color w:val="000000" w:themeColor="text1"/>
          <w:sz w:val="24"/>
          <w:szCs w:val="24"/>
        </w:rPr>
        <w:t>The Stg score at 7 days after flowering (7DAF) data show</w:t>
      </w:r>
      <w:r w:rsidR="0062367D">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significant variation</w:t>
      </w:r>
      <w:r w:rsidR="0018095D" w:rsidRPr="00D457D1">
        <w:rPr>
          <w:rFonts w:ascii="Times New Roman" w:hAnsi="Times New Roman" w:cs="Times New Roman"/>
          <w:color w:val="000000" w:themeColor="text1"/>
          <w:sz w:val="24"/>
          <w:szCs w:val="24"/>
        </w:rPr>
        <w:t xml:space="preserve">. </w:t>
      </w:r>
      <w:r w:rsidRPr="00D457D1">
        <w:rPr>
          <w:rFonts w:ascii="Times New Roman" w:hAnsi="Times New Roman" w:cs="Times New Roman"/>
          <w:color w:val="000000" w:themeColor="text1"/>
          <w:sz w:val="24"/>
          <w:szCs w:val="24"/>
        </w:rPr>
        <w:t xml:space="preserve">The lowest Stg score, indicating the most-green and least senescent, was recorded for B35 at 2.36. On the other hand, genotypes like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and Phule Vasudha had the highest scores, 4.37 and 3.97, respectively, indicating more senescence (Table </w:t>
      </w:r>
      <w:r w:rsidR="002278D1" w:rsidRPr="00D457D1">
        <w:rPr>
          <w:rFonts w:ascii="Times New Roman" w:hAnsi="Times New Roman" w:cs="Times New Roman"/>
          <w:color w:val="000000" w:themeColor="text1"/>
          <w:sz w:val="24"/>
          <w:szCs w:val="24"/>
        </w:rPr>
        <w:t>1</w:t>
      </w:r>
      <w:r w:rsidRPr="00D457D1">
        <w:rPr>
          <w:rFonts w:ascii="Times New Roman" w:hAnsi="Times New Roman" w:cs="Times New Roman"/>
          <w:color w:val="000000" w:themeColor="text1"/>
          <w:sz w:val="24"/>
          <w:szCs w:val="24"/>
        </w:rPr>
        <w:t xml:space="preserve">). </w:t>
      </w:r>
      <w:r w:rsidRPr="00D457D1">
        <w:rPr>
          <w:rFonts w:ascii="Times New Roman" w:eastAsia="Times New Roman" w:hAnsi="Times New Roman" w:cs="Times New Roman"/>
          <w:sz w:val="24"/>
          <w:szCs w:val="24"/>
          <w:lang w:eastAsia="en-IN"/>
        </w:rPr>
        <w:t>The S</w:t>
      </w:r>
      <w:r w:rsidR="0062367D">
        <w:rPr>
          <w:rFonts w:ascii="Times New Roman" w:eastAsia="Times New Roman" w:hAnsi="Times New Roman" w:cs="Times New Roman"/>
          <w:sz w:val="24"/>
          <w:szCs w:val="24"/>
          <w:lang w:eastAsia="en-IN"/>
        </w:rPr>
        <w:t>tg</w:t>
      </w:r>
      <w:r w:rsidRPr="00D457D1">
        <w:rPr>
          <w:rFonts w:ascii="Times New Roman" w:eastAsia="Times New Roman" w:hAnsi="Times New Roman" w:cs="Times New Roman"/>
          <w:sz w:val="24"/>
          <w:szCs w:val="24"/>
          <w:lang w:eastAsia="en-IN"/>
        </w:rPr>
        <w:t xml:space="preserve"> score at 7 days after flowering (DAF) under water stress (WS) conditions show</w:t>
      </w:r>
      <w:r w:rsidR="0062367D">
        <w:rPr>
          <w:rFonts w:ascii="Times New Roman" w:eastAsia="Times New Roman" w:hAnsi="Times New Roman" w:cs="Times New Roman"/>
          <w:sz w:val="24"/>
          <w:szCs w:val="24"/>
          <w:lang w:eastAsia="en-IN"/>
        </w:rPr>
        <w:t xml:space="preserve">ed Stg </w:t>
      </w:r>
      <w:r w:rsidRPr="00D457D1">
        <w:rPr>
          <w:rFonts w:ascii="Times New Roman" w:eastAsia="Times New Roman" w:hAnsi="Times New Roman" w:cs="Times New Roman"/>
          <w:sz w:val="24"/>
          <w:szCs w:val="24"/>
          <w:lang w:eastAsia="en-IN"/>
        </w:rPr>
        <w:t>variation in the degree of senescence across the genotypes. The lowest STG score, was observed for 296B at 3.17, followed closely by B35 at 3.25 and K260 at 3.42. Other genotypes with lower senescence scores include</w:t>
      </w:r>
      <w:r w:rsidR="0062367D">
        <w:rPr>
          <w:rFonts w:ascii="Times New Roman" w:eastAsia="Times New Roman" w:hAnsi="Times New Roman" w:cs="Times New Roman"/>
          <w:sz w:val="24"/>
          <w:szCs w:val="24"/>
          <w:lang w:eastAsia="en-IN"/>
        </w:rPr>
        <w:t>d</w:t>
      </w:r>
      <w:r w:rsidRPr="00D457D1">
        <w:rPr>
          <w:rFonts w:ascii="Times New Roman" w:eastAsia="Times New Roman" w:hAnsi="Times New Roman" w:cs="Times New Roman"/>
          <w:sz w:val="24"/>
          <w:szCs w:val="24"/>
          <w:lang w:eastAsia="en-IN"/>
        </w:rPr>
        <w:t xml:space="preserve"> K359W at 3.45 and M35-1 at 3.69 </w:t>
      </w:r>
      <w:r w:rsidRPr="00D457D1">
        <w:rPr>
          <w:rFonts w:ascii="Times New Roman" w:hAnsi="Times New Roman" w:cs="Times New Roman"/>
          <w:color w:val="000000" w:themeColor="text1"/>
          <w:sz w:val="24"/>
          <w:szCs w:val="24"/>
        </w:rPr>
        <w:t xml:space="preserve">(Table </w:t>
      </w:r>
      <w:r w:rsidR="002278D1"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 highest </w:t>
      </w:r>
      <w:r w:rsidR="0062367D">
        <w:rPr>
          <w:rFonts w:ascii="Times New Roman" w:eastAsia="Times New Roman" w:hAnsi="Times New Roman" w:cs="Times New Roman"/>
          <w:sz w:val="24"/>
          <w:szCs w:val="24"/>
          <w:lang w:eastAsia="en-IN"/>
        </w:rPr>
        <w:t>Stg</w:t>
      </w:r>
      <w:r w:rsidRPr="00D457D1">
        <w:rPr>
          <w:rFonts w:ascii="Times New Roman" w:eastAsia="Times New Roman" w:hAnsi="Times New Roman" w:cs="Times New Roman"/>
          <w:sz w:val="24"/>
          <w:szCs w:val="24"/>
          <w:lang w:eastAsia="en-IN"/>
        </w:rPr>
        <w:t xml:space="preserve"> scores, indicating more senescence, were recorded for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4.62 and Phule Vasudha at 4.24. The </w:t>
      </w:r>
      <w:r w:rsidR="0062367D">
        <w:rPr>
          <w:rFonts w:ascii="Times New Roman" w:eastAsia="Times New Roman" w:hAnsi="Times New Roman" w:cs="Times New Roman"/>
          <w:sz w:val="24"/>
          <w:szCs w:val="24"/>
          <w:lang w:eastAsia="en-IN"/>
        </w:rPr>
        <w:t>Stg s</w:t>
      </w:r>
      <w:r w:rsidRPr="00D457D1">
        <w:rPr>
          <w:rFonts w:ascii="Times New Roman" w:eastAsia="Times New Roman" w:hAnsi="Times New Roman" w:cs="Times New Roman"/>
          <w:sz w:val="24"/>
          <w:szCs w:val="24"/>
          <w:lang w:eastAsia="en-IN"/>
        </w:rPr>
        <w:t>core at 7 DAF show</w:t>
      </w:r>
      <w:r w:rsidR="0062367D">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an increase under water stress (WS) for all genotypes when compared to well-watered (WW) conditions. For R16, the score increased from 3.24 under WW to 3.91 under WS, indicating a notable rise in the senescence rate. The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also displayed an increase, from 2.09 under WW to 2.94 under WS, and K359W showed an increase from 2.95 under WW to 3.46 under WS </w:t>
      </w:r>
      <w:r w:rsidRPr="00D457D1">
        <w:rPr>
          <w:rFonts w:ascii="Times New Roman" w:hAnsi="Times New Roman" w:cs="Times New Roman"/>
          <w:color w:val="000000" w:themeColor="text1"/>
          <w:sz w:val="24"/>
          <w:szCs w:val="24"/>
        </w:rPr>
        <w:t xml:space="preserve">(Table </w:t>
      </w:r>
      <w:r w:rsidR="00E67362"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Based on these increases, R16 exhibit</w:t>
      </w:r>
      <w:r w:rsidR="00836AE7">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the highest </w:t>
      </w:r>
      <w:r w:rsidR="00836AE7">
        <w:rPr>
          <w:rFonts w:ascii="Times New Roman" w:eastAsia="Times New Roman" w:hAnsi="Times New Roman" w:cs="Times New Roman"/>
          <w:sz w:val="24"/>
          <w:szCs w:val="24"/>
          <w:lang w:eastAsia="en-IN"/>
        </w:rPr>
        <w:t>Stg score</w:t>
      </w:r>
      <w:r w:rsidRPr="00D457D1">
        <w:rPr>
          <w:rFonts w:ascii="Times New Roman" w:eastAsia="Times New Roman" w:hAnsi="Times New Roman" w:cs="Times New Roman"/>
          <w:sz w:val="24"/>
          <w:szCs w:val="24"/>
          <w:lang w:eastAsia="en-IN"/>
        </w:rPr>
        <w:t xml:space="preserve"> under both conditions, indicating that it has the most pronounced leaf senescence compared to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and K359W, which showed relatively </w:t>
      </w:r>
      <w:r w:rsidRPr="00D457D1">
        <w:rPr>
          <w:rFonts w:ascii="Times New Roman" w:eastAsia="Times New Roman" w:hAnsi="Times New Roman" w:cs="Times New Roman"/>
          <w:sz w:val="24"/>
          <w:szCs w:val="24"/>
          <w:lang w:eastAsia="en-IN"/>
        </w:rPr>
        <w:lastRenderedPageBreak/>
        <w:t xml:space="preserve">lower scores. </w:t>
      </w:r>
      <w:r w:rsidRPr="00D457D1">
        <w:rPr>
          <w:rFonts w:ascii="Times New Roman" w:eastAsia="Times New Roman" w:hAnsi="Times New Roman" w:cs="Times New Roman"/>
          <w:color w:val="000000" w:themeColor="text1"/>
          <w:sz w:val="24"/>
          <w:szCs w:val="24"/>
          <w:lang w:eastAsia="en-IN"/>
        </w:rPr>
        <w:t xml:space="preserve">Subudhi et al. (2000) further demonstrated </w:t>
      </w:r>
      <w:r w:rsidRPr="00D457D1">
        <w:rPr>
          <w:rFonts w:ascii="Times New Roman" w:eastAsia="Times New Roman" w:hAnsi="Times New Roman" w:cs="Times New Roman"/>
          <w:sz w:val="24"/>
          <w:szCs w:val="24"/>
          <w:lang w:eastAsia="en-IN"/>
        </w:rPr>
        <w:t xml:space="preserve">the effectiveness of visual ratings by comparing RILs with different QTL combinations, showing that RILs possessing Stg2 and Stg3 had better stay-green scores than those with other QTL combinations, and revealing possible epistatic interactions. </w:t>
      </w:r>
    </w:p>
    <w:p w14:paraId="5FC562F2" w14:textId="3D7DBC9A"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3.7. Stay green score at 14 days after flowering (S</w:t>
      </w:r>
      <w:r w:rsidR="00836AE7">
        <w:rPr>
          <w:rFonts w:ascii="Times New Roman" w:eastAsia="Times New Roman" w:hAnsi="Times New Roman" w:cs="Times New Roman"/>
          <w:b/>
          <w:bCs/>
          <w:sz w:val="24"/>
          <w:szCs w:val="24"/>
          <w:lang w:eastAsia="en-IN"/>
        </w:rPr>
        <w:t xml:space="preserve">tg </w:t>
      </w:r>
      <w:r>
        <w:rPr>
          <w:rFonts w:ascii="Times New Roman" w:eastAsia="Times New Roman" w:hAnsi="Times New Roman" w:cs="Times New Roman"/>
          <w:b/>
          <w:bCs/>
          <w:sz w:val="24"/>
          <w:szCs w:val="24"/>
          <w:lang w:eastAsia="en-IN"/>
        </w:rPr>
        <w:t>score@14 DAF)</w:t>
      </w:r>
    </w:p>
    <w:p w14:paraId="3271CF6E" w14:textId="4FAA8F30" w:rsidR="008564E2" w:rsidRDefault="008564E2" w:rsidP="00184EC8">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Based on the data for Stg score at 14 days after flowering (14DAF), lower values indicate</w:t>
      </w:r>
      <w:r w:rsidR="00836AE7">
        <w:rPr>
          <w:rFonts w:ascii="Times New Roman" w:hAnsi="Times New Roman" w:cs="Times New Roman"/>
          <w:color w:val="000000" w:themeColor="text1"/>
          <w:sz w:val="24"/>
          <w:szCs w:val="24"/>
        </w:rPr>
        <w:t xml:space="preserve">d </w:t>
      </w:r>
      <w:r w:rsidRPr="00D457D1">
        <w:rPr>
          <w:rFonts w:ascii="Times New Roman" w:hAnsi="Times New Roman" w:cs="Times New Roman"/>
          <w:color w:val="000000" w:themeColor="text1"/>
          <w:sz w:val="24"/>
          <w:szCs w:val="24"/>
        </w:rPr>
        <w:t xml:space="preserve">more greenness and less senescence. The lowest Stg score was recorded for B35 at 2.61, indicating the greenest and least senescent. Other genotypes with relatively low scores include 296B at 3.07 and M35-1 at 3.15. In contrast,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showed the highest Stg score at 4.85, suggesting more senescence. Other genotypes with higher scores include</w:t>
      </w:r>
      <w:r w:rsidR="00836AE7">
        <w:rPr>
          <w:rFonts w:ascii="Times New Roman" w:hAnsi="Times New Roman" w:cs="Times New Roman"/>
          <w:color w:val="000000" w:themeColor="text1"/>
          <w:sz w:val="24"/>
          <w:szCs w:val="24"/>
        </w:rPr>
        <w:t xml:space="preserve">d </w:t>
      </w:r>
      <w:r w:rsidRPr="00D457D1">
        <w:rPr>
          <w:rFonts w:ascii="Times New Roman" w:hAnsi="Times New Roman" w:cs="Times New Roman"/>
          <w:color w:val="000000" w:themeColor="text1"/>
          <w:sz w:val="24"/>
          <w:szCs w:val="24"/>
        </w:rPr>
        <w:t xml:space="preserve">Phule </w:t>
      </w:r>
      <w:proofErr w:type="spellStart"/>
      <w:r w:rsidRPr="00D457D1">
        <w:rPr>
          <w:rFonts w:ascii="Times New Roman" w:hAnsi="Times New Roman" w:cs="Times New Roman"/>
          <w:color w:val="000000" w:themeColor="text1"/>
          <w:sz w:val="24"/>
          <w:szCs w:val="24"/>
        </w:rPr>
        <w:t>Vasudha</w:t>
      </w:r>
      <w:proofErr w:type="spellEnd"/>
      <w:r w:rsidRPr="00D457D1">
        <w:rPr>
          <w:rFonts w:ascii="Times New Roman" w:hAnsi="Times New Roman" w:cs="Times New Roman"/>
          <w:color w:val="000000" w:themeColor="text1"/>
          <w:sz w:val="24"/>
          <w:szCs w:val="24"/>
        </w:rPr>
        <w:t xml:space="preserve"> at 4.27 and R16 at 4.23 (Table 1). These values reflect</w:t>
      </w:r>
      <w:r w:rsidR="00836AE7">
        <w:rPr>
          <w:rFonts w:ascii="Times New Roman" w:hAnsi="Times New Roman" w:cs="Times New Roman"/>
          <w:color w:val="000000" w:themeColor="text1"/>
          <w:sz w:val="24"/>
          <w:szCs w:val="24"/>
        </w:rPr>
        <w:t xml:space="preserve">ed </w:t>
      </w:r>
      <w:r w:rsidRPr="00D457D1">
        <w:rPr>
          <w:rFonts w:ascii="Times New Roman" w:hAnsi="Times New Roman" w:cs="Times New Roman"/>
          <w:color w:val="000000" w:themeColor="text1"/>
          <w:sz w:val="24"/>
          <w:szCs w:val="24"/>
        </w:rPr>
        <w:t xml:space="preserve">the variation in leaf senescence and greenness across the genotypes at 14DAF. The </w:t>
      </w:r>
      <w:r w:rsidR="00D82CFA">
        <w:rPr>
          <w:rFonts w:ascii="Times New Roman" w:hAnsi="Times New Roman" w:cs="Times New Roman"/>
          <w:color w:val="000000" w:themeColor="text1"/>
          <w:sz w:val="24"/>
          <w:szCs w:val="24"/>
        </w:rPr>
        <w:t xml:space="preserve">Stg </w:t>
      </w:r>
      <w:r w:rsidRPr="00D457D1">
        <w:rPr>
          <w:rFonts w:ascii="Times New Roman" w:hAnsi="Times New Roman" w:cs="Times New Roman"/>
          <w:color w:val="000000" w:themeColor="text1"/>
          <w:sz w:val="24"/>
          <w:szCs w:val="24"/>
        </w:rPr>
        <w:t>score at 14 days after flowering (DAF) under water stress (WS) conditions show</w:t>
      </w:r>
      <w:r w:rsidR="00D82CFA">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variation in senescence across the genotypes. The lowest S</w:t>
      </w:r>
      <w:r w:rsidR="00D82CFA">
        <w:rPr>
          <w:rFonts w:ascii="Times New Roman" w:hAnsi="Times New Roman" w:cs="Times New Roman"/>
          <w:color w:val="000000" w:themeColor="text1"/>
          <w:sz w:val="24"/>
          <w:szCs w:val="24"/>
        </w:rPr>
        <w:t>tg</w:t>
      </w:r>
      <w:r w:rsidRPr="00D457D1">
        <w:rPr>
          <w:rFonts w:ascii="Times New Roman" w:hAnsi="Times New Roman" w:cs="Times New Roman"/>
          <w:color w:val="000000" w:themeColor="text1"/>
          <w:sz w:val="24"/>
          <w:szCs w:val="24"/>
        </w:rPr>
        <w:t xml:space="preserve"> score, indicating less senescence,</w:t>
      </w:r>
      <w:r w:rsidR="00D82CFA">
        <w:rPr>
          <w:rFonts w:ascii="Times New Roman" w:hAnsi="Times New Roman" w:cs="Times New Roman"/>
          <w:color w:val="000000" w:themeColor="text1"/>
          <w:sz w:val="24"/>
          <w:szCs w:val="24"/>
        </w:rPr>
        <w:t xml:space="preserve"> </w:t>
      </w:r>
      <w:r w:rsidRPr="00D457D1">
        <w:rPr>
          <w:rFonts w:ascii="Times New Roman" w:hAnsi="Times New Roman" w:cs="Times New Roman"/>
          <w:color w:val="000000" w:themeColor="text1"/>
          <w:sz w:val="24"/>
          <w:szCs w:val="24"/>
        </w:rPr>
        <w:t>for E36-1 at 3.55, followed by B35 at 3.37 and K359W at 3.64. Other genotypes with relatively low senescence include</w:t>
      </w:r>
      <w:r w:rsidR="003A644D">
        <w:rPr>
          <w:rFonts w:ascii="Times New Roman" w:hAnsi="Times New Roman" w:cs="Times New Roman"/>
          <w:color w:val="000000" w:themeColor="text1"/>
          <w:sz w:val="24"/>
          <w:szCs w:val="24"/>
        </w:rPr>
        <w:t xml:space="preserve">d </w:t>
      </w:r>
      <w:r w:rsidRPr="00D457D1">
        <w:rPr>
          <w:rFonts w:ascii="Times New Roman" w:hAnsi="Times New Roman" w:cs="Times New Roman"/>
          <w:color w:val="000000" w:themeColor="text1"/>
          <w:sz w:val="24"/>
          <w:szCs w:val="24"/>
        </w:rPr>
        <w:t xml:space="preserve">M35-1 at 3.75. The highest STG scores, indicating more senescence, were recorded for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at 4.9, followed by Phule Vasudha at 4.6 and R16 at 4.56. Other genotypes like 296B, K260, and CRS1 showed intermediate senescence with scores ranging from 4.25 to 4.37 (Table </w:t>
      </w:r>
      <w:r w:rsidR="00E67362"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These values highligh</w:t>
      </w:r>
      <w:r w:rsidR="003A644D">
        <w:rPr>
          <w:rFonts w:ascii="Times New Roman" w:hAnsi="Times New Roman" w:cs="Times New Roman"/>
          <w:color w:val="000000" w:themeColor="text1"/>
          <w:sz w:val="24"/>
          <w:szCs w:val="24"/>
        </w:rPr>
        <w:t>ted</w:t>
      </w:r>
      <w:r w:rsidRPr="00D457D1">
        <w:rPr>
          <w:rFonts w:ascii="Times New Roman" w:hAnsi="Times New Roman" w:cs="Times New Roman"/>
          <w:color w:val="000000" w:themeColor="text1"/>
          <w:sz w:val="24"/>
          <w:szCs w:val="24"/>
        </w:rPr>
        <w:t xml:space="preserve"> the variation in leaf senescence at 14 DAF under water stress conditions, with some genotypes showing more resistance to senescence than others. The S</w:t>
      </w:r>
      <w:r w:rsidR="003A644D">
        <w:rPr>
          <w:rFonts w:ascii="Times New Roman" w:hAnsi="Times New Roman" w:cs="Times New Roman"/>
          <w:color w:val="000000" w:themeColor="text1"/>
          <w:sz w:val="24"/>
          <w:szCs w:val="24"/>
        </w:rPr>
        <w:t>tg score</w:t>
      </w:r>
      <w:r w:rsidRPr="00D457D1">
        <w:rPr>
          <w:rFonts w:ascii="Times New Roman" w:hAnsi="Times New Roman" w:cs="Times New Roman"/>
          <w:color w:val="000000" w:themeColor="text1"/>
          <w:sz w:val="24"/>
          <w:szCs w:val="24"/>
        </w:rPr>
        <w:t xml:space="preserve"> at 14 DAF for all genotypes also indicate</w:t>
      </w:r>
      <w:r w:rsidR="003A644D">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an increase under water stress (WS) compared to well-watered (WW) conditions. R16 showed a higher Stay Green score than both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Under water stress (WS), R16's St</w:t>
      </w:r>
      <w:r w:rsidR="003A644D">
        <w:rPr>
          <w:rFonts w:ascii="Times New Roman" w:hAnsi="Times New Roman" w:cs="Times New Roman"/>
          <w:color w:val="000000" w:themeColor="text1"/>
          <w:sz w:val="24"/>
          <w:szCs w:val="24"/>
        </w:rPr>
        <w:t>g s</w:t>
      </w:r>
      <w:r w:rsidRPr="00D457D1">
        <w:rPr>
          <w:rFonts w:ascii="Times New Roman" w:hAnsi="Times New Roman" w:cs="Times New Roman"/>
          <w:color w:val="000000" w:themeColor="text1"/>
          <w:sz w:val="24"/>
          <w:szCs w:val="24"/>
        </w:rPr>
        <w:t>core increased from 4.34 (WW) to 4.56 (WS), indicating a higher level of senescence compared to the other two. On the other hand,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exhibited a smaller increase in their S</w:t>
      </w:r>
      <w:r w:rsidR="00E8028A">
        <w:rPr>
          <w:rFonts w:ascii="Times New Roman" w:hAnsi="Times New Roman" w:cs="Times New Roman"/>
          <w:color w:val="000000" w:themeColor="text1"/>
          <w:sz w:val="24"/>
          <w:szCs w:val="24"/>
        </w:rPr>
        <w:t xml:space="preserve">tg </w:t>
      </w:r>
      <w:r w:rsidRPr="00D457D1">
        <w:rPr>
          <w:rFonts w:ascii="Times New Roman" w:hAnsi="Times New Roman" w:cs="Times New Roman"/>
          <w:color w:val="000000" w:themeColor="text1"/>
          <w:sz w:val="24"/>
          <w:szCs w:val="24"/>
        </w:rPr>
        <w:t>score, going from 2.56 (WW) to 3.48 (WS), suggesting moderate senescence under water stress. K359W, with a score increase from 3.45 (WW) to 3.69 (WS), also showed an increase in senescence, but it was less pronounced than the increase seen in R16 (Table</w:t>
      </w:r>
      <w:r w:rsidR="00E67362" w:rsidRPr="00D457D1">
        <w:rPr>
          <w:rFonts w:ascii="Times New Roman" w:hAnsi="Times New Roman" w:cs="Times New Roman"/>
          <w:color w:val="000000" w:themeColor="text1"/>
          <w:sz w:val="24"/>
          <w:szCs w:val="24"/>
        </w:rPr>
        <w:t xml:space="preserve"> 5</w:t>
      </w:r>
      <w:r w:rsidRPr="00D457D1">
        <w:rPr>
          <w:rFonts w:ascii="Times New Roman" w:hAnsi="Times New Roman" w:cs="Times New Roman"/>
          <w:color w:val="000000" w:themeColor="text1"/>
          <w:sz w:val="24"/>
          <w:szCs w:val="24"/>
        </w:rPr>
        <w:t>). Therefore, R16 had the highest St</w:t>
      </w:r>
      <w:r w:rsidR="00E8028A">
        <w:rPr>
          <w:rFonts w:ascii="Times New Roman" w:hAnsi="Times New Roman" w:cs="Times New Roman"/>
          <w:color w:val="000000" w:themeColor="text1"/>
          <w:sz w:val="24"/>
          <w:szCs w:val="24"/>
        </w:rPr>
        <w:t xml:space="preserve">g </w:t>
      </w:r>
      <w:r w:rsidRPr="00D457D1">
        <w:rPr>
          <w:rFonts w:ascii="Times New Roman" w:hAnsi="Times New Roman" w:cs="Times New Roman"/>
          <w:color w:val="000000" w:themeColor="text1"/>
          <w:sz w:val="24"/>
          <w:szCs w:val="24"/>
        </w:rPr>
        <w:t xml:space="preserve">score, indicating more pronounced senescence and less green retention under water stress. Reddy et al. (2007) reported variation in </w:t>
      </w:r>
      <w:r w:rsidR="00E8028A">
        <w:rPr>
          <w:rFonts w:ascii="Times New Roman" w:hAnsi="Times New Roman" w:cs="Times New Roman"/>
          <w:color w:val="000000" w:themeColor="text1"/>
          <w:sz w:val="24"/>
          <w:szCs w:val="24"/>
        </w:rPr>
        <w:t>Stg</w:t>
      </w:r>
      <w:r w:rsidRPr="00D457D1">
        <w:rPr>
          <w:rFonts w:ascii="Times New Roman" w:hAnsi="Times New Roman" w:cs="Times New Roman"/>
          <w:color w:val="000000" w:themeColor="text1"/>
          <w:sz w:val="24"/>
          <w:szCs w:val="24"/>
        </w:rPr>
        <w:t xml:space="preserve"> scores among parental lines, with 296B showing a </w:t>
      </w:r>
      <w:r w:rsidR="00E8028A">
        <w:rPr>
          <w:rFonts w:ascii="Times New Roman" w:hAnsi="Times New Roman" w:cs="Times New Roman"/>
          <w:color w:val="000000" w:themeColor="text1"/>
          <w:sz w:val="24"/>
          <w:szCs w:val="24"/>
        </w:rPr>
        <w:t>Stg</w:t>
      </w:r>
      <w:r w:rsidRPr="00D457D1">
        <w:rPr>
          <w:rFonts w:ascii="Times New Roman" w:hAnsi="Times New Roman" w:cs="Times New Roman"/>
          <w:color w:val="000000" w:themeColor="text1"/>
          <w:sz w:val="24"/>
          <w:szCs w:val="24"/>
        </w:rPr>
        <w:t xml:space="preserve"> score of 2.5, M35-1 scoring 3.0, and R16 having a higher score of 3.5, indicating a relatively higher degree of senescence. </w:t>
      </w:r>
    </w:p>
    <w:p w14:paraId="532F8FEB" w14:textId="41C2B567" w:rsidR="008564E2" w:rsidRPr="00317BD1" w:rsidRDefault="008564E2" w:rsidP="00184EC8">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3.8. Stay green score at 21 days after flowering (S</w:t>
      </w:r>
      <w:r w:rsidR="00E8028A">
        <w:rPr>
          <w:rFonts w:ascii="Times New Roman" w:eastAsia="Times New Roman" w:hAnsi="Times New Roman" w:cs="Times New Roman"/>
          <w:b/>
          <w:bCs/>
          <w:sz w:val="24"/>
          <w:szCs w:val="24"/>
          <w:lang w:eastAsia="en-IN"/>
        </w:rPr>
        <w:t xml:space="preserve">tg </w:t>
      </w:r>
      <w:r>
        <w:rPr>
          <w:rFonts w:ascii="Times New Roman" w:eastAsia="Times New Roman" w:hAnsi="Times New Roman" w:cs="Times New Roman"/>
          <w:b/>
          <w:bCs/>
          <w:sz w:val="24"/>
          <w:szCs w:val="24"/>
          <w:lang w:eastAsia="en-IN"/>
        </w:rPr>
        <w:t>score@21 DAF)</w:t>
      </w:r>
    </w:p>
    <w:p w14:paraId="62B105DB" w14:textId="26399CD0" w:rsidR="008564E2" w:rsidRPr="00D457D1" w:rsidRDefault="008564E2" w:rsidP="00184EC8">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The Stg score at 21 days after flowering (21DAF) data show</w:t>
      </w:r>
      <w:r w:rsidR="00E8028A">
        <w:rPr>
          <w:rFonts w:ascii="Times New Roman" w:hAnsi="Times New Roman" w:cs="Times New Roman"/>
          <w:color w:val="000000" w:themeColor="text1"/>
          <w:sz w:val="24"/>
          <w:szCs w:val="24"/>
        </w:rPr>
        <w:t xml:space="preserve">ed </w:t>
      </w:r>
      <w:r w:rsidRPr="00D457D1">
        <w:rPr>
          <w:rFonts w:ascii="Times New Roman" w:hAnsi="Times New Roman" w:cs="Times New Roman"/>
          <w:color w:val="000000" w:themeColor="text1"/>
          <w:sz w:val="24"/>
          <w:szCs w:val="24"/>
        </w:rPr>
        <w:t xml:space="preserve">a continued range of senescence across the genotypes. The lowest Stg score, indicating the </w:t>
      </w:r>
      <w:proofErr w:type="gramStart"/>
      <w:r w:rsidRPr="00D457D1">
        <w:rPr>
          <w:rFonts w:ascii="Times New Roman" w:hAnsi="Times New Roman" w:cs="Times New Roman"/>
          <w:color w:val="000000" w:themeColor="text1"/>
          <w:sz w:val="24"/>
          <w:szCs w:val="24"/>
        </w:rPr>
        <w:t>most green</w:t>
      </w:r>
      <w:proofErr w:type="gramEnd"/>
      <w:r w:rsidRPr="00D457D1">
        <w:rPr>
          <w:rFonts w:ascii="Times New Roman" w:hAnsi="Times New Roman" w:cs="Times New Roman"/>
          <w:color w:val="000000" w:themeColor="text1"/>
          <w:sz w:val="24"/>
          <w:szCs w:val="24"/>
        </w:rPr>
        <w:t xml:space="preserve"> and least senescent, was recorded for B35 at 3.02. Other genotypes with relatively low scores include</w:t>
      </w:r>
      <w:r w:rsidR="00E8028A">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K359W at 3.60 and M35-1 at 4.37. On the other hand, genotypes like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and R16 had the highest scores, 5.17 and 5.13, respectively, reflecting more senescence. Other notable values include</w:t>
      </w:r>
      <w:r w:rsidR="00E8028A">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4.60 for Phule Vasudha and 4.47 for CRS1 (Table 1). These values highlight the variation in leaf senescence and greenness at 21DAF among the genotypes. The STG score at 21 days after flowering (DAF) under water stress (WS) conditions reflects further variation in the rate of senescence across the genotypes. The lowest STG score, indicating less senescence, was observed for B35 at 3.52, followed by M35-1 at 4.25 and K359W at 4.15. Other genotypes with relatively low senescence include E36-1 at 4.42. The highest STG scores, indicating more senescence, were recorded for R16 at 6.25, followed by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at 5.52 and K260 at 5.27. Other genotypes such as 296B, CRS1, and Phule Vasudha had intermediate senescence scores ranging from 4.65 to 5.12 (Table </w:t>
      </w:r>
      <w:r w:rsidR="00E67362"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These values highlight</w:t>
      </w:r>
      <w:r w:rsidR="007F3861">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the variation in leaf senescence at 21 DAF under water stress conditions, with some genotypes demonstrating better resistance to senescence than others. The </w:t>
      </w:r>
      <w:r w:rsidR="007F3861">
        <w:rPr>
          <w:rFonts w:ascii="Times New Roman" w:hAnsi="Times New Roman" w:cs="Times New Roman"/>
          <w:color w:val="000000" w:themeColor="text1"/>
          <w:sz w:val="24"/>
          <w:szCs w:val="24"/>
        </w:rPr>
        <w:t>Stg score</w:t>
      </w:r>
      <w:r w:rsidRPr="00D457D1">
        <w:rPr>
          <w:rFonts w:ascii="Times New Roman" w:hAnsi="Times New Roman" w:cs="Times New Roman"/>
          <w:color w:val="000000" w:themeColor="text1"/>
          <w:sz w:val="24"/>
          <w:szCs w:val="24"/>
        </w:rPr>
        <w:t xml:space="preserve"> at 21 DAF shows an increase under water stress (WS) for all genotypes when compared to well-watered (WW) conditions. For R16, the score increased from 5.54 under WW to 6.21 under WS, indicating a significant rise in the senescence rate.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also displayed an increase, from 3.08 under WW to 4.15 under WS, and K359W showed an increase from 3.6 under WW to 4.25 under WS (Table </w:t>
      </w:r>
      <w:r w:rsidR="00E67362"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 Based on these increases, R16 exhibit</w:t>
      </w:r>
      <w:r w:rsidR="007F3861">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the highest </w:t>
      </w:r>
      <w:r w:rsidR="007F3861">
        <w:rPr>
          <w:rFonts w:ascii="Times New Roman" w:hAnsi="Times New Roman" w:cs="Times New Roman"/>
          <w:color w:val="000000" w:themeColor="text1"/>
          <w:sz w:val="24"/>
          <w:szCs w:val="24"/>
        </w:rPr>
        <w:t>Stg score</w:t>
      </w:r>
      <w:r w:rsidRPr="00D457D1">
        <w:rPr>
          <w:rFonts w:ascii="Times New Roman" w:hAnsi="Times New Roman" w:cs="Times New Roman"/>
          <w:color w:val="000000" w:themeColor="text1"/>
          <w:sz w:val="24"/>
          <w:szCs w:val="24"/>
        </w:rPr>
        <w:t xml:space="preserve"> under both conditions, indicating that it has the most pronounced leaf senescence compared to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which showed relatively lower scores. Thus, R16 is the most senescent genotype under water stress conditions at 21 DAF. </w:t>
      </w:r>
      <w:proofErr w:type="gramStart"/>
      <w:r w:rsidRPr="00D457D1">
        <w:rPr>
          <w:rFonts w:ascii="Times New Roman" w:hAnsi="Times New Roman" w:cs="Times New Roman"/>
          <w:color w:val="000000" w:themeColor="text1"/>
          <w:sz w:val="24"/>
          <w:szCs w:val="24"/>
        </w:rPr>
        <w:t>Th</w:t>
      </w:r>
      <w:r w:rsidR="007F3861">
        <w:rPr>
          <w:rFonts w:ascii="Times New Roman" w:hAnsi="Times New Roman" w:cs="Times New Roman"/>
          <w:color w:val="000000" w:themeColor="text1"/>
          <w:sz w:val="24"/>
          <w:szCs w:val="24"/>
        </w:rPr>
        <w:t>ese</w:t>
      </w:r>
      <w:r w:rsidRPr="00D457D1">
        <w:rPr>
          <w:rFonts w:ascii="Times New Roman" w:hAnsi="Times New Roman" w:cs="Times New Roman"/>
          <w:color w:val="000000" w:themeColor="text1"/>
          <w:sz w:val="24"/>
          <w:szCs w:val="24"/>
        </w:rPr>
        <w:t xml:space="preserve"> result</w:t>
      </w:r>
      <w:proofErr w:type="gramEnd"/>
      <w:r w:rsidRPr="00D457D1">
        <w:rPr>
          <w:rFonts w:ascii="Times New Roman" w:hAnsi="Times New Roman" w:cs="Times New Roman"/>
          <w:color w:val="000000" w:themeColor="text1"/>
          <w:sz w:val="24"/>
          <w:szCs w:val="24"/>
        </w:rPr>
        <w:t xml:space="preserve"> echoe</w:t>
      </w:r>
      <w:r w:rsidR="007F3861">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the findings of</w:t>
      </w:r>
      <w:r w:rsidRPr="00D457D1">
        <w:rPr>
          <w:color w:val="000000" w:themeColor="text1"/>
        </w:rPr>
        <w:t xml:space="preserve"> </w:t>
      </w:r>
      <w:r w:rsidRPr="00D457D1">
        <w:rPr>
          <w:rFonts w:ascii="Times New Roman" w:hAnsi="Times New Roman" w:cs="Times New Roman"/>
          <w:color w:val="000000" w:themeColor="text1"/>
          <w:sz w:val="24"/>
          <w:szCs w:val="24"/>
        </w:rPr>
        <w:t xml:space="preserve">Abebe et al. (2021) who found that donor parent B35 had a low LS score of 2.25, and genotypes exhibiting the stay-green trait showed consistently lower RLS. </w:t>
      </w:r>
    </w:p>
    <w:p w14:paraId="3C3A9A72" w14:textId="7843C3B2" w:rsidR="008564E2" w:rsidRPr="00317BD1" w:rsidRDefault="008564E2" w:rsidP="00184EC8">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3.9. Stay green score at 28 days after flowering (S</w:t>
      </w:r>
      <w:r w:rsidR="007F3861">
        <w:rPr>
          <w:rFonts w:ascii="Times New Roman" w:eastAsia="Times New Roman" w:hAnsi="Times New Roman" w:cs="Times New Roman"/>
          <w:b/>
          <w:bCs/>
          <w:sz w:val="24"/>
          <w:szCs w:val="24"/>
          <w:lang w:eastAsia="en-IN"/>
        </w:rPr>
        <w:t>tg</w:t>
      </w:r>
      <w:r>
        <w:rPr>
          <w:rFonts w:ascii="Times New Roman" w:eastAsia="Times New Roman" w:hAnsi="Times New Roman" w:cs="Times New Roman"/>
          <w:b/>
          <w:bCs/>
          <w:sz w:val="24"/>
          <w:szCs w:val="24"/>
          <w:lang w:eastAsia="en-IN"/>
        </w:rPr>
        <w:t xml:space="preserve"> score@28 DAF)</w:t>
      </w:r>
    </w:p>
    <w:p w14:paraId="2F43D2DE" w14:textId="26C9325E" w:rsidR="008564E2" w:rsidRPr="00D457D1" w:rsidRDefault="008564E2" w:rsidP="00184EC8">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The Stg score at 28 days after flowering (28DAF) data show</w:t>
      </w:r>
      <w:r w:rsidR="007F3861">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further variation in leaf senescence across the genotypes. The lowest Stg score, indicating the </w:t>
      </w:r>
      <w:proofErr w:type="gramStart"/>
      <w:r w:rsidRPr="00D457D1">
        <w:rPr>
          <w:rFonts w:ascii="Times New Roman" w:hAnsi="Times New Roman" w:cs="Times New Roman"/>
          <w:color w:val="000000" w:themeColor="text1"/>
          <w:sz w:val="24"/>
          <w:szCs w:val="24"/>
        </w:rPr>
        <w:t>most green</w:t>
      </w:r>
      <w:proofErr w:type="gramEnd"/>
      <w:r w:rsidRPr="00D457D1">
        <w:rPr>
          <w:rFonts w:ascii="Times New Roman" w:hAnsi="Times New Roman" w:cs="Times New Roman"/>
          <w:color w:val="000000" w:themeColor="text1"/>
          <w:sz w:val="24"/>
          <w:szCs w:val="24"/>
        </w:rPr>
        <w:t xml:space="preserve"> and least senescent</w:t>
      </w:r>
      <w:r w:rsidR="007F3861">
        <w:rPr>
          <w:rFonts w:ascii="Times New Roman" w:hAnsi="Times New Roman" w:cs="Times New Roman"/>
          <w:color w:val="000000" w:themeColor="text1"/>
          <w:sz w:val="24"/>
          <w:szCs w:val="24"/>
        </w:rPr>
        <w:t xml:space="preserve"> </w:t>
      </w:r>
      <w:r w:rsidRPr="00D457D1">
        <w:rPr>
          <w:rFonts w:ascii="Times New Roman" w:hAnsi="Times New Roman" w:cs="Times New Roman"/>
          <w:color w:val="000000" w:themeColor="text1"/>
          <w:sz w:val="24"/>
          <w:szCs w:val="24"/>
        </w:rPr>
        <w:t xml:space="preserve">for B35 at 3.42. Other genotypes with relatively low scores include K359W at 4.00 and E36-1 at 4.35. On the other hand, genotypes like R16 and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w:t>
      </w:r>
      <w:r w:rsidRPr="00D457D1">
        <w:rPr>
          <w:rFonts w:ascii="Times New Roman" w:hAnsi="Times New Roman" w:cs="Times New Roman"/>
          <w:color w:val="000000" w:themeColor="text1"/>
          <w:sz w:val="24"/>
          <w:szCs w:val="24"/>
        </w:rPr>
        <w:lastRenderedPageBreak/>
        <w:t>Moti had the highest scores, 5.45 and 5.27, respectively, indicating more senescence. Other notable values include 4.65 for M35-1 and Phule Vasudha, and 4.57 for K260 (Table 1). These values illustrate</w:t>
      </w:r>
      <w:r w:rsidR="007F3861">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the variation in leaf senescence and greenness at 28DAF among the genotypes. The S</w:t>
      </w:r>
      <w:r w:rsidR="00040F24">
        <w:rPr>
          <w:rFonts w:ascii="Times New Roman" w:hAnsi="Times New Roman" w:cs="Times New Roman"/>
          <w:color w:val="000000" w:themeColor="text1"/>
          <w:sz w:val="24"/>
          <w:szCs w:val="24"/>
        </w:rPr>
        <w:t>tg</w:t>
      </w:r>
      <w:r w:rsidRPr="00D457D1">
        <w:rPr>
          <w:rFonts w:ascii="Times New Roman" w:hAnsi="Times New Roman" w:cs="Times New Roman"/>
          <w:color w:val="000000" w:themeColor="text1"/>
          <w:sz w:val="24"/>
          <w:szCs w:val="24"/>
        </w:rPr>
        <w:t xml:space="preserve"> score at 28 days after flowering (DAF) under water stress (WS) conditions show</w:t>
      </w:r>
      <w:r w:rsidR="00040F24">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continued variation in the degree of senescence among the genotypes. The lowest S</w:t>
      </w:r>
      <w:r w:rsidR="00040F24">
        <w:rPr>
          <w:rFonts w:ascii="Times New Roman" w:hAnsi="Times New Roman" w:cs="Times New Roman"/>
          <w:color w:val="000000" w:themeColor="text1"/>
          <w:sz w:val="24"/>
          <w:szCs w:val="24"/>
        </w:rPr>
        <w:t>tg</w:t>
      </w:r>
      <w:r w:rsidRPr="00D457D1">
        <w:rPr>
          <w:rFonts w:ascii="Times New Roman" w:hAnsi="Times New Roman" w:cs="Times New Roman"/>
          <w:color w:val="000000" w:themeColor="text1"/>
          <w:sz w:val="24"/>
          <w:szCs w:val="24"/>
        </w:rPr>
        <w:t xml:space="preserve"> score, indicating less senescence</w:t>
      </w:r>
      <w:r w:rsidR="00040F24">
        <w:rPr>
          <w:rFonts w:ascii="Times New Roman" w:hAnsi="Times New Roman" w:cs="Times New Roman"/>
          <w:color w:val="000000" w:themeColor="text1"/>
          <w:sz w:val="24"/>
          <w:szCs w:val="24"/>
        </w:rPr>
        <w:t xml:space="preserve"> </w:t>
      </w:r>
      <w:r w:rsidRPr="00D457D1">
        <w:rPr>
          <w:rFonts w:ascii="Times New Roman" w:hAnsi="Times New Roman" w:cs="Times New Roman"/>
          <w:color w:val="000000" w:themeColor="text1"/>
          <w:sz w:val="24"/>
          <w:szCs w:val="24"/>
        </w:rPr>
        <w:t>for B35 at 3.96, followed by E36-1 at 4.47 and K359W at 4.75. Other genotypes with relatively low senescence include</w:t>
      </w:r>
      <w:r w:rsidR="00040F24">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296B at 4.72 (Table </w:t>
      </w:r>
      <w:r w:rsidR="00A21D88"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The highest S</w:t>
      </w:r>
      <w:r w:rsidR="00196BC0">
        <w:rPr>
          <w:rFonts w:ascii="Times New Roman" w:hAnsi="Times New Roman" w:cs="Times New Roman"/>
          <w:color w:val="000000" w:themeColor="text1"/>
          <w:sz w:val="24"/>
          <w:szCs w:val="24"/>
        </w:rPr>
        <w:t>tg</w:t>
      </w:r>
      <w:r w:rsidRPr="00D457D1">
        <w:rPr>
          <w:rFonts w:ascii="Times New Roman" w:hAnsi="Times New Roman" w:cs="Times New Roman"/>
          <w:color w:val="000000" w:themeColor="text1"/>
          <w:sz w:val="24"/>
          <w:szCs w:val="24"/>
        </w:rPr>
        <w:t xml:space="preserve"> scores, indicating more senescence, were recorded for R16 at 6.57, followed by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at 5.82 and K260 at 5.65. Other genotypes like M35-1, CRS1, and Phule Vasudha had intermediate senescence scores ranging from 5.12 to 5.35. These values highlight the differences in leaf senescence at 28 DAF under water stress, with some genotypes demonstrating greater resistance to senescence than others. The St</w:t>
      </w:r>
      <w:r w:rsidR="00196BC0">
        <w:rPr>
          <w:rFonts w:ascii="Times New Roman" w:hAnsi="Times New Roman" w:cs="Times New Roman"/>
          <w:color w:val="000000" w:themeColor="text1"/>
          <w:sz w:val="24"/>
          <w:szCs w:val="24"/>
        </w:rPr>
        <w:t>g s</w:t>
      </w:r>
      <w:r w:rsidRPr="00D457D1">
        <w:rPr>
          <w:rFonts w:ascii="Times New Roman" w:hAnsi="Times New Roman" w:cs="Times New Roman"/>
          <w:color w:val="000000" w:themeColor="text1"/>
          <w:sz w:val="24"/>
          <w:szCs w:val="24"/>
        </w:rPr>
        <w:t>core at 28 DAF show</w:t>
      </w:r>
      <w:r w:rsidR="00196BC0">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an increase under water stress (WS) for all genotypes when compared to well-watered (WW) conditions. For R16, the score increased from 5.85 under WW to 6.57 under WS, indicating a notable rise in the senescence rate.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also displayed an increase, from 3.36 under WW to 4.7 under WS, and K359W showed an increase from 4 under WW to 4.6 under WS (Table </w:t>
      </w:r>
      <w:r w:rsidR="00A21D88"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 Based on these increases, R16 exhibit</w:t>
      </w:r>
      <w:r w:rsidR="00F05217">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the highest </w:t>
      </w:r>
      <w:r w:rsidR="00F05217">
        <w:rPr>
          <w:rFonts w:ascii="Times New Roman" w:hAnsi="Times New Roman" w:cs="Times New Roman"/>
          <w:color w:val="000000" w:themeColor="text1"/>
          <w:sz w:val="24"/>
          <w:szCs w:val="24"/>
        </w:rPr>
        <w:t>Stg</w:t>
      </w:r>
      <w:r w:rsidRPr="00D457D1">
        <w:rPr>
          <w:rFonts w:ascii="Times New Roman" w:hAnsi="Times New Roman" w:cs="Times New Roman"/>
          <w:color w:val="000000" w:themeColor="text1"/>
          <w:sz w:val="24"/>
          <w:szCs w:val="24"/>
        </w:rPr>
        <w:t xml:space="preserve"> Score under both conditions, suggesting that it has the most pronounced leaf senescence compared to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which showed relatively lower scores. Thus, R16 is the most senescent genotype under water stress conditions at 28 DAF. This trend was similarly observed in the study by Kebede et al. (2001), where the </w:t>
      </w:r>
      <w:r w:rsidR="00F05217">
        <w:rPr>
          <w:rFonts w:ascii="Times New Roman" w:hAnsi="Times New Roman" w:cs="Times New Roman"/>
          <w:color w:val="000000" w:themeColor="text1"/>
          <w:sz w:val="24"/>
          <w:szCs w:val="24"/>
        </w:rPr>
        <w:t>Stg</w:t>
      </w:r>
      <w:r w:rsidRPr="00D457D1">
        <w:rPr>
          <w:rFonts w:ascii="Times New Roman" w:hAnsi="Times New Roman" w:cs="Times New Roman"/>
          <w:color w:val="000000" w:themeColor="text1"/>
          <w:sz w:val="24"/>
          <w:szCs w:val="24"/>
        </w:rPr>
        <w:t xml:space="preserve"> rating for SC56 (2.1) was significantly higher than Tx7000 (3.7). The mean </w:t>
      </w:r>
      <w:r w:rsidR="00F05217">
        <w:rPr>
          <w:rFonts w:ascii="Times New Roman" w:hAnsi="Times New Roman" w:cs="Times New Roman"/>
          <w:color w:val="000000" w:themeColor="text1"/>
          <w:sz w:val="24"/>
          <w:szCs w:val="24"/>
        </w:rPr>
        <w:t>Stg</w:t>
      </w:r>
      <w:r w:rsidRPr="00D457D1">
        <w:rPr>
          <w:rFonts w:ascii="Times New Roman" w:hAnsi="Times New Roman" w:cs="Times New Roman"/>
          <w:color w:val="000000" w:themeColor="text1"/>
          <w:sz w:val="24"/>
          <w:szCs w:val="24"/>
        </w:rPr>
        <w:t xml:space="preserve"> rating for the RILs was 2.5, ranging from 1.1 to 4.8. </w:t>
      </w:r>
    </w:p>
    <w:p w14:paraId="57FD651D" w14:textId="5C4E8453"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3.10. Stay green score at 35 days after flowering (S</w:t>
      </w:r>
      <w:r w:rsidR="00F05217">
        <w:rPr>
          <w:rFonts w:ascii="Times New Roman" w:eastAsia="Times New Roman" w:hAnsi="Times New Roman" w:cs="Times New Roman"/>
          <w:b/>
          <w:bCs/>
          <w:sz w:val="24"/>
          <w:szCs w:val="24"/>
          <w:lang w:eastAsia="en-IN"/>
        </w:rPr>
        <w:t>tg</w:t>
      </w:r>
      <w:r>
        <w:rPr>
          <w:rFonts w:ascii="Times New Roman" w:eastAsia="Times New Roman" w:hAnsi="Times New Roman" w:cs="Times New Roman"/>
          <w:b/>
          <w:bCs/>
          <w:sz w:val="24"/>
          <w:szCs w:val="24"/>
          <w:lang w:eastAsia="en-IN"/>
        </w:rPr>
        <w:t xml:space="preserve"> score@35 DAF)</w:t>
      </w:r>
    </w:p>
    <w:p w14:paraId="2F1CFAE7" w14:textId="581ECEDA" w:rsidR="008564E2" w:rsidRPr="00D457D1" w:rsidRDefault="008564E2" w:rsidP="00184EC8">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The Stg score at 35 days after flowering (35DAF) data show</w:t>
      </w:r>
      <w:r w:rsidR="00F05217">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continued variation in leaf senescence across the genotypes. The lowest Stg score, indicating the </w:t>
      </w:r>
      <w:proofErr w:type="gramStart"/>
      <w:r w:rsidRPr="00D457D1">
        <w:rPr>
          <w:rFonts w:ascii="Times New Roman" w:hAnsi="Times New Roman" w:cs="Times New Roman"/>
          <w:color w:val="000000" w:themeColor="text1"/>
          <w:sz w:val="24"/>
          <w:szCs w:val="24"/>
        </w:rPr>
        <w:t>most green</w:t>
      </w:r>
      <w:proofErr w:type="gramEnd"/>
      <w:r w:rsidRPr="00D457D1">
        <w:rPr>
          <w:rFonts w:ascii="Times New Roman" w:hAnsi="Times New Roman" w:cs="Times New Roman"/>
          <w:color w:val="000000" w:themeColor="text1"/>
          <w:sz w:val="24"/>
          <w:szCs w:val="24"/>
        </w:rPr>
        <w:t xml:space="preserve"> and least senescent, was recorded for B35 at 3.67. Other genotypes with relatively low scores include</w:t>
      </w:r>
      <w:r w:rsidR="00F05217">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K359W at 4.10 and 296B at 4.72. In contrast, genotypes like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and R16 had the highest scores, 6.17 and 6.11, respectively, reflecting more senescence. Other notable values include 5.32 for CRS1, 5.21 for M35-1, and 5.12 for E36-1 (Table 1). These values highlight the variation in leaf senescence and greenness at 35DAF among the genotypes. The STG score at 35 days after flowering (DAF) under water stress (WS) conditions shows continued variation in leaf senescence across the </w:t>
      </w:r>
      <w:r w:rsidRPr="00D457D1">
        <w:rPr>
          <w:rFonts w:ascii="Times New Roman" w:hAnsi="Times New Roman" w:cs="Times New Roman"/>
          <w:color w:val="000000" w:themeColor="text1"/>
          <w:sz w:val="24"/>
          <w:szCs w:val="24"/>
        </w:rPr>
        <w:lastRenderedPageBreak/>
        <w:t xml:space="preserve">genotypes. The lowest STG score, indicating less senescence, was observed for B35 at 4.15, followed by 296B at 5.05 and K260 at 5.32. Other genotypes with relatively lower senescence include K359W at 5.45 and E36-1 at 5.42. The highest STG scores, indicating more senescence, were recorded for R16 at 6.71, followed by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at 6.32. Other genotypes, such as M35-1, CRS1, and Phule Vasudha, showed intermediate senescence scores ranging from 5.74 to 5.82 (Table </w:t>
      </w:r>
      <w:r w:rsidR="00A21D88"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xml:space="preserve">). These values highlight the variation in senescence at 35 DAF under water stress, with some genotypes demonstrating more resistance to senescence than others. The </w:t>
      </w:r>
      <w:r w:rsidR="00F05217">
        <w:rPr>
          <w:rFonts w:ascii="Times New Roman" w:hAnsi="Times New Roman" w:cs="Times New Roman"/>
          <w:color w:val="000000" w:themeColor="text1"/>
          <w:sz w:val="24"/>
          <w:szCs w:val="24"/>
        </w:rPr>
        <w:t>Stg</w:t>
      </w:r>
      <w:r w:rsidRPr="00D457D1">
        <w:rPr>
          <w:rFonts w:ascii="Times New Roman" w:hAnsi="Times New Roman" w:cs="Times New Roman"/>
          <w:color w:val="000000" w:themeColor="text1"/>
          <w:sz w:val="24"/>
          <w:szCs w:val="24"/>
        </w:rPr>
        <w:t xml:space="preserve"> </w:t>
      </w:r>
      <w:r w:rsidR="00F05217">
        <w:rPr>
          <w:rFonts w:ascii="Times New Roman" w:hAnsi="Times New Roman" w:cs="Times New Roman"/>
          <w:color w:val="000000" w:themeColor="text1"/>
          <w:sz w:val="24"/>
          <w:szCs w:val="24"/>
        </w:rPr>
        <w:t>s</w:t>
      </w:r>
      <w:r w:rsidRPr="00D457D1">
        <w:rPr>
          <w:rFonts w:ascii="Times New Roman" w:hAnsi="Times New Roman" w:cs="Times New Roman"/>
          <w:color w:val="000000" w:themeColor="text1"/>
          <w:sz w:val="24"/>
          <w:szCs w:val="24"/>
        </w:rPr>
        <w:t>core at 35 DAF shows an increase under water stress (WS) for all genotypes when compared to well-watered (WW) conditions. For R16, the score increased from 6.21 under WW to 6.91 under WS, indicating a significant rise in the senescence rate.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also displayed an increase, from 3.68 under WW to 5.24 under WS, while K359W showed an increase from 4.1 under WW to 5.63 under WS (Table </w:t>
      </w:r>
      <w:r w:rsidR="00A21D88"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 Based on these results, R16 exhibit</w:t>
      </w:r>
      <w:r w:rsidR="00F05217">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the highest </w:t>
      </w:r>
      <w:r w:rsidR="00F05217">
        <w:rPr>
          <w:rFonts w:ascii="Times New Roman" w:hAnsi="Times New Roman" w:cs="Times New Roman"/>
          <w:color w:val="000000" w:themeColor="text1"/>
          <w:sz w:val="24"/>
          <w:szCs w:val="24"/>
        </w:rPr>
        <w:t xml:space="preserve">Stg score </w:t>
      </w:r>
      <w:r w:rsidRPr="00D457D1">
        <w:rPr>
          <w:rFonts w:ascii="Times New Roman" w:hAnsi="Times New Roman" w:cs="Times New Roman"/>
          <w:color w:val="000000" w:themeColor="text1"/>
          <w:sz w:val="24"/>
          <w:szCs w:val="24"/>
        </w:rPr>
        <w:t>under both conditions, suggesting that it is the most senescent genotype compared to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which showed relatively lower scores. Therefore, R16 has the highest level of senescence under water stress at 35 DAF.</w:t>
      </w:r>
    </w:p>
    <w:p w14:paraId="05D242F1" w14:textId="3510FC69"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3.11.</w:t>
      </w:r>
      <w:r>
        <w:rPr>
          <w:rFonts w:ascii="Times New Roman" w:hAnsi="Times New Roman" w:cs="Times New Roman"/>
          <w:b/>
          <w:bCs/>
          <w:color w:val="000000" w:themeColor="text1"/>
          <w:sz w:val="24"/>
          <w:szCs w:val="24"/>
        </w:rPr>
        <w:t xml:space="preserve"> </w:t>
      </w:r>
      <w:r>
        <w:rPr>
          <w:rFonts w:ascii="Times New Roman" w:eastAsia="Times New Roman" w:hAnsi="Times New Roman" w:cs="Times New Roman"/>
          <w:b/>
          <w:bCs/>
          <w:sz w:val="24"/>
          <w:szCs w:val="24"/>
          <w:lang w:eastAsia="en-IN"/>
        </w:rPr>
        <w:t>Stay green score at 42 days after flowering (S</w:t>
      </w:r>
      <w:r w:rsidR="008D0236">
        <w:rPr>
          <w:rFonts w:ascii="Times New Roman" w:eastAsia="Times New Roman" w:hAnsi="Times New Roman" w:cs="Times New Roman"/>
          <w:b/>
          <w:bCs/>
          <w:sz w:val="24"/>
          <w:szCs w:val="24"/>
          <w:lang w:eastAsia="en-IN"/>
        </w:rPr>
        <w:t>tg</w:t>
      </w:r>
      <w:r>
        <w:rPr>
          <w:rFonts w:ascii="Times New Roman" w:eastAsia="Times New Roman" w:hAnsi="Times New Roman" w:cs="Times New Roman"/>
          <w:b/>
          <w:bCs/>
          <w:sz w:val="24"/>
          <w:szCs w:val="24"/>
          <w:lang w:eastAsia="en-IN"/>
        </w:rPr>
        <w:t xml:space="preserve"> score@42 DAF)</w:t>
      </w:r>
    </w:p>
    <w:p w14:paraId="6E5ED4EA" w14:textId="4C23C18B" w:rsidR="008564E2" w:rsidRDefault="008564E2" w:rsidP="00184EC8">
      <w:pPr>
        <w:autoSpaceDE w:val="0"/>
        <w:autoSpaceDN w:val="0"/>
        <w:adjustRightInd w:val="0"/>
        <w:spacing w:line="360" w:lineRule="auto"/>
        <w:rPr>
          <w:rFonts w:ascii="Times New Roman" w:eastAsia="Times New Roman" w:hAnsi="Times New Roman" w:cs="Times New Roman"/>
          <w:sz w:val="24"/>
          <w:szCs w:val="24"/>
          <w:lang w:eastAsia="en-IN"/>
        </w:rPr>
      </w:pPr>
      <w:r w:rsidRPr="00D457D1">
        <w:rPr>
          <w:rFonts w:ascii="Times New Roman" w:hAnsi="Times New Roman" w:cs="Times New Roman"/>
          <w:color w:val="000000" w:themeColor="text1"/>
          <w:sz w:val="24"/>
          <w:szCs w:val="24"/>
        </w:rPr>
        <w:t>The Stg score at 42 days after flowering (42DAF) data show</w:t>
      </w:r>
      <w:r w:rsidR="008D0236">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continued variation in leaf senescence among the genotypes. The lowest Stg score, indicating the greenest and least senescent, was recorded for B35 at 4.06. Other genotypes with relatively low scores include</w:t>
      </w:r>
      <w:r w:rsidR="00B31BAB">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K359W at 4.40 and 296B at 4.95. In contrast, genotypes like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and R16 had the highest scores, 6.35 and 6.25, respectively, indicating more senescence. Other notable values include</w:t>
      </w:r>
      <w:r w:rsidR="00B31BAB">
        <w:rPr>
          <w:rFonts w:ascii="Times New Roman" w:hAnsi="Times New Roman" w:cs="Times New Roman"/>
          <w:color w:val="000000" w:themeColor="text1"/>
          <w:sz w:val="24"/>
          <w:szCs w:val="24"/>
        </w:rPr>
        <w:t xml:space="preserve">d </w:t>
      </w:r>
      <w:r w:rsidRPr="00D457D1">
        <w:rPr>
          <w:rFonts w:ascii="Times New Roman" w:hAnsi="Times New Roman" w:cs="Times New Roman"/>
          <w:color w:val="000000" w:themeColor="text1"/>
          <w:sz w:val="24"/>
          <w:szCs w:val="24"/>
        </w:rPr>
        <w:t>5.45 for CRS1, 5.37 for M35-1, and 5.25 for E36-1 (Table 1). These values illustrate</w:t>
      </w:r>
      <w:r w:rsidR="00B31BAB">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the variation in leaf senescence and greenness at 42DAF among the different genotypes. </w:t>
      </w:r>
      <w:r w:rsidRPr="00D457D1">
        <w:rPr>
          <w:rFonts w:ascii="Times New Roman" w:eastAsia="Times New Roman" w:hAnsi="Times New Roman" w:cs="Times New Roman"/>
          <w:sz w:val="24"/>
          <w:szCs w:val="24"/>
          <w:lang w:eastAsia="en-IN"/>
        </w:rPr>
        <w:t>The S</w:t>
      </w:r>
      <w:r w:rsidR="00B31BAB">
        <w:rPr>
          <w:rFonts w:ascii="Times New Roman" w:eastAsia="Times New Roman" w:hAnsi="Times New Roman" w:cs="Times New Roman"/>
          <w:sz w:val="24"/>
          <w:szCs w:val="24"/>
          <w:lang w:eastAsia="en-IN"/>
        </w:rPr>
        <w:t xml:space="preserve">tg </w:t>
      </w:r>
      <w:r w:rsidRPr="00D457D1">
        <w:rPr>
          <w:rFonts w:ascii="Times New Roman" w:eastAsia="Times New Roman" w:hAnsi="Times New Roman" w:cs="Times New Roman"/>
          <w:sz w:val="24"/>
          <w:szCs w:val="24"/>
          <w:lang w:eastAsia="en-IN"/>
        </w:rPr>
        <w:t>score at 42 days after flowering (DAF) under water stress (WS) conditions show</w:t>
      </w:r>
      <w:r w:rsidR="00B31BAB">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continued differences in the rate of leaf senescence across the genotypes. The lowest S</w:t>
      </w:r>
      <w:r w:rsidR="00B31BAB">
        <w:rPr>
          <w:rFonts w:ascii="Times New Roman" w:eastAsia="Times New Roman" w:hAnsi="Times New Roman" w:cs="Times New Roman"/>
          <w:sz w:val="24"/>
          <w:szCs w:val="24"/>
          <w:lang w:eastAsia="en-IN"/>
        </w:rPr>
        <w:t>tg</w:t>
      </w:r>
      <w:r w:rsidRPr="00D457D1">
        <w:rPr>
          <w:rFonts w:ascii="Times New Roman" w:eastAsia="Times New Roman" w:hAnsi="Times New Roman" w:cs="Times New Roman"/>
          <w:sz w:val="24"/>
          <w:szCs w:val="24"/>
          <w:lang w:eastAsia="en-IN"/>
        </w:rPr>
        <w:t xml:space="preserve"> score, indicating less senescence, was observed for B35 at 4.65, followed by 296B at 5.22 and E36-1 at 5.65. Other genotypes with relatively lower senescence include</w:t>
      </w:r>
      <w:r w:rsidR="00B31BAB">
        <w:rPr>
          <w:rFonts w:ascii="Times New Roman" w:eastAsia="Times New Roman" w:hAnsi="Times New Roman" w:cs="Times New Roman"/>
          <w:sz w:val="24"/>
          <w:szCs w:val="24"/>
          <w:lang w:eastAsia="en-IN"/>
        </w:rPr>
        <w:t>d</w:t>
      </w:r>
      <w:r w:rsidRPr="00D457D1">
        <w:rPr>
          <w:rFonts w:ascii="Times New Roman" w:eastAsia="Times New Roman" w:hAnsi="Times New Roman" w:cs="Times New Roman"/>
          <w:sz w:val="24"/>
          <w:szCs w:val="24"/>
          <w:lang w:eastAsia="en-IN"/>
        </w:rPr>
        <w:t xml:space="preserve"> K359W at 5.72 and K260 at 5.75. The highest STG scores, indicating more senescence, were recorded for R16 at 6.76, followed by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6.57. Other genotypes, such as M35-1, CRS1, and Phule Vasudha, showed intermediate senescence scores ranging from 6.25 to 6.36 </w:t>
      </w:r>
      <w:r w:rsidRPr="00D457D1">
        <w:rPr>
          <w:rFonts w:ascii="Times New Roman" w:hAnsi="Times New Roman" w:cs="Times New Roman"/>
          <w:color w:val="000000" w:themeColor="text1"/>
          <w:sz w:val="24"/>
          <w:szCs w:val="24"/>
        </w:rPr>
        <w:t xml:space="preserve">(Table </w:t>
      </w:r>
      <w:r w:rsidR="004F1BBB"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values illustrate</w:t>
      </w:r>
      <w:r w:rsidR="00B31BAB">
        <w:rPr>
          <w:rFonts w:ascii="Times New Roman" w:eastAsia="Times New Roman" w:hAnsi="Times New Roman" w:cs="Times New Roman"/>
          <w:sz w:val="24"/>
          <w:szCs w:val="24"/>
          <w:lang w:eastAsia="en-IN"/>
        </w:rPr>
        <w:t>d</w:t>
      </w:r>
      <w:r w:rsidRPr="00D457D1">
        <w:rPr>
          <w:rFonts w:ascii="Times New Roman" w:eastAsia="Times New Roman" w:hAnsi="Times New Roman" w:cs="Times New Roman"/>
          <w:sz w:val="24"/>
          <w:szCs w:val="24"/>
          <w:lang w:eastAsia="en-IN"/>
        </w:rPr>
        <w:t xml:space="preserve"> the variation in leaf senescence at 42 DAF under water stress, </w:t>
      </w:r>
      <w:r w:rsidRPr="00D457D1">
        <w:rPr>
          <w:rFonts w:ascii="Times New Roman" w:eastAsia="Times New Roman" w:hAnsi="Times New Roman" w:cs="Times New Roman"/>
          <w:sz w:val="24"/>
          <w:szCs w:val="24"/>
          <w:lang w:eastAsia="en-IN"/>
        </w:rPr>
        <w:lastRenderedPageBreak/>
        <w:t>with some genotypes exhibiting more resistance to senescence than others.</w:t>
      </w:r>
      <w:r w:rsidRPr="00D457D1">
        <w:rPr>
          <w:rFonts w:ascii="Times New Roman" w:hAnsi="Times New Roman" w:cs="Times New Roman"/>
          <w:color w:val="000000" w:themeColor="text1"/>
          <w:sz w:val="24"/>
          <w:szCs w:val="24"/>
        </w:rPr>
        <w:t xml:space="preserve"> </w:t>
      </w:r>
      <w:r w:rsidRPr="00D457D1">
        <w:rPr>
          <w:rFonts w:ascii="Times New Roman" w:eastAsia="Times New Roman" w:hAnsi="Times New Roman" w:cs="Times New Roman"/>
          <w:sz w:val="24"/>
          <w:szCs w:val="24"/>
          <w:lang w:eastAsia="en-IN"/>
        </w:rPr>
        <w:t xml:space="preserve">The </w:t>
      </w:r>
      <w:r w:rsidR="00B31BAB">
        <w:rPr>
          <w:rFonts w:ascii="Times New Roman" w:eastAsia="Times New Roman" w:hAnsi="Times New Roman" w:cs="Times New Roman"/>
          <w:sz w:val="24"/>
          <w:szCs w:val="24"/>
          <w:lang w:eastAsia="en-IN"/>
        </w:rPr>
        <w:t xml:space="preserve">Stg score </w:t>
      </w:r>
      <w:r w:rsidRPr="00D457D1">
        <w:rPr>
          <w:rFonts w:ascii="Times New Roman" w:eastAsia="Times New Roman" w:hAnsi="Times New Roman" w:cs="Times New Roman"/>
          <w:sz w:val="24"/>
          <w:szCs w:val="24"/>
          <w:lang w:eastAsia="en-IN"/>
        </w:rPr>
        <w:t>at 42 DAF shows an increase under water stress (WS) for all genotypes compared to well-watered (WW) conditions. For R16, the score increased from 6.45 under WW to 7.19 under WS, indicating a noticeable rise in senescence. The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also showed an increase, from 3.97 under WW to 5.74 under WS, while K359W showed an increase from 4.4 under WW to 5.85 under WS </w:t>
      </w:r>
      <w:r w:rsidRPr="00D457D1">
        <w:rPr>
          <w:rFonts w:ascii="Times New Roman" w:hAnsi="Times New Roman" w:cs="Times New Roman"/>
          <w:color w:val="000000" w:themeColor="text1"/>
          <w:sz w:val="24"/>
          <w:szCs w:val="24"/>
        </w:rPr>
        <w:t xml:space="preserve">(Table </w:t>
      </w:r>
      <w:r w:rsidR="00C76128"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Based on these results, R16 exhibit</w:t>
      </w:r>
      <w:r w:rsidR="00F30889">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the highest </w:t>
      </w:r>
      <w:r w:rsidR="00F30889">
        <w:rPr>
          <w:rFonts w:ascii="Times New Roman" w:eastAsia="Times New Roman" w:hAnsi="Times New Roman" w:cs="Times New Roman"/>
          <w:sz w:val="24"/>
          <w:szCs w:val="24"/>
          <w:lang w:eastAsia="en-IN"/>
        </w:rPr>
        <w:t>Stg score</w:t>
      </w:r>
      <w:r w:rsidRPr="00D457D1">
        <w:rPr>
          <w:rFonts w:ascii="Times New Roman" w:eastAsia="Times New Roman" w:hAnsi="Times New Roman" w:cs="Times New Roman"/>
          <w:sz w:val="24"/>
          <w:szCs w:val="24"/>
          <w:lang w:eastAsia="en-IN"/>
        </w:rPr>
        <w:t xml:space="preserve"> under both conditions, suggesting that R16 </w:t>
      </w:r>
      <w:r w:rsidR="00F30889">
        <w:rPr>
          <w:rFonts w:ascii="Times New Roman" w:eastAsia="Times New Roman" w:hAnsi="Times New Roman" w:cs="Times New Roman"/>
          <w:sz w:val="24"/>
          <w:szCs w:val="24"/>
          <w:lang w:eastAsia="en-IN"/>
        </w:rPr>
        <w:t>was</w:t>
      </w:r>
      <w:r w:rsidRPr="00D457D1">
        <w:rPr>
          <w:rFonts w:ascii="Times New Roman" w:eastAsia="Times New Roman" w:hAnsi="Times New Roman" w:cs="Times New Roman"/>
          <w:sz w:val="24"/>
          <w:szCs w:val="24"/>
          <w:lang w:eastAsia="en-IN"/>
        </w:rPr>
        <w:t xml:space="preserve"> the most senescent genotype compared to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and K359W, which showed lower levels of senescence. Thus, R16 ha</w:t>
      </w:r>
      <w:r w:rsidR="00E93501">
        <w:rPr>
          <w:rFonts w:ascii="Times New Roman" w:eastAsia="Times New Roman" w:hAnsi="Times New Roman" w:cs="Times New Roman"/>
          <w:sz w:val="24"/>
          <w:szCs w:val="24"/>
          <w:lang w:eastAsia="en-IN"/>
        </w:rPr>
        <w:t>d</w:t>
      </w:r>
      <w:r w:rsidRPr="00D457D1">
        <w:rPr>
          <w:rFonts w:ascii="Times New Roman" w:eastAsia="Times New Roman" w:hAnsi="Times New Roman" w:cs="Times New Roman"/>
          <w:sz w:val="24"/>
          <w:szCs w:val="24"/>
          <w:lang w:eastAsia="en-IN"/>
        </w:rPr>
        <w:t xml:space="preserve"> the highest level of senescence under water stress at 42 DAF.</w:t>
      </w:r>
      <w:r w:rsidRPr="00D457D1">
        <w:rPr>
          <w:rFonts w:ascii="Times New Roman" w:hAnsi="Times New Roman" w:cs="Times New Roman"/>
          <w:color w:val="000000" w:themeColor="text1"/>
          <w:sz w:val="24"/>
          <w:szCs w:val="24"/>
        </w:rPr>
        <w:t xml:space="preserve"> </w:t>
      </w:r>
      <w:r w:rsidRPr="00D457D1">
        <w:rPr>
          <w:rFonts w:ascii="Times New Roman" w:eastAsia="Times New Roman" w:hAnsi="Times New Roman" w:cs="Times New Roman"/>
          <w:sz w:val="24"/>
          <w:szCs w:val="24"/>
          <w:lang w:eastAsia="en-IN"/>
        </w:rPr>
        <w:t xml:space="preserve">Similar patterns were also reported </w:t>
      </w:r>
      <w:r w:rsidRPr="00D457D1">
        <w:rPr>
          <w:rFonts w:ascii="Times New Roman" w:eastAsia="Times New Roman" w:hAnsi="Times New Roman" w:cs="Times New Roman"/>
          <w:color w:val="000000" w:themeColor="text1"/>
          <w:sz w:val="24"/>
          <w:szCs w:val="24"/>
          <w:lang w:eastAsia="en-IN"/>
        </w:rPr>
        <w:t xml:space="preserve">by Tao et al. (2000), where </w:t>
      </w:r>
      <w:r w:rsidRPr="00D457D1">
        <w:rPr>
          <w:rFonts w:ascii="Times New Roman" w:eastAsia="Times New Roman" w:hAnsi="Times New Roman" w:cs="Times New Roman"/>
          <w:sz w:val="24"/>
          <w:szCs w:val="24"/>
          <w:lang w:eastAsia="en-IN"/>
        </w:rPr>
        <w:t xml:space="preserve">QL41 had a lower </w:t>
      </w:r>
      <w:r w:rsidR="00E93501">
        <w:rPr>
          <w:rFonts w:ascii="Times New Roman" w:eastAsia="Times New Roman" w:hAnsi="Times New Roman" w:cs="Times New Roman"/>
          <w:sz w:val="24"/>
          <w:szCs w:val="24"/>
          <w:lang w:eastAsia="en-IN"/>
        </w:rPr>
        <w:t>Stg</w:t>
      </w:r>
      <w:r w:rsidRPr="00D457D1">
        <w:rPr>
          <w:rFonts w:ascii="Times New Roman" w:eastAsia="Times New Roman" w:hAnsi="Times New Roman" w:cs="Times New Roman"/>
          <w:sz w:val="24"/>
          <w:szCs w:val="24"/>
          <w:lang w:eastAsia="en-IN"/>
        </w:rPr>
        <w:t xml:space="preserve"> rating than QL39. In the RIL, stay-green scores ranged from 5.4 to 8.4 at DA-96 and 2.6 to 7.2 at HE-96.</w:t>
      </w:r>
    </w:p>
    <w:p w14:paraId="471B0C25" w14:textId="64EEA3B9"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3.12. Stay green score at 49 days after flowering (S</w:t>
      </w:r>
      <w:r w:rsidR="00017EC6">
        <w:rPr>
          <w:rFonts w:ascii="Times New Roman" w:eastAsia="Times New Roman" w:hAnsi="Times New Roman" w:cs="Times New Roman"/>
          <w:b/>
          <w:bCs/>
          <w:sz w:val="24"/>
          <w:szCs w:val="24"/>
          <w:lang w:eastAsia="en-IN"/>
        </w:rPr>
        <w:t xml:space="preserve">tg </w:t>
      </w:r>
      <w:r>
        <w:rPr>
          <w:rFonts w:ascii="Times New Roman" w:eastAsia="Times New Roman" w:hAnsi="Times New Roman" w:cs="Times New Roman"/>
          <w:b/>
          <w:bCs/>
          <w:sz w:val="24"/>
          <w:szCs w:val="24"/>
          <w:lang w:eastAsia="en-IN"/>
        </w:rPr>
        <w:t>score@49 DAF)</w:t>
      </w:r>
    </w:p>
    <w:p w14:paraId="73ADBA16" w14:textId="11C7352A" w:rsidR="008564E2" w:rsidRPr="00D457D1" w:rsidRDefault="008564E2" w:rsidP="00184EC8">
      <w:pPr>
        <w:autoSpaceDE w:val="0"/>
        <w:autoSpaceDN w:val="0"/>
        <w:adjustRightInd w:val="0"/>
        <w:spacing w:line="360" w:lineRule="auto"/>
        <w:rPr>
          <w:rFonts w:ascii="Times New Roman" w:eastAsia="Times New Roman" w:hAnsi="Times New Roman" w:cs="Times New Roman"/>
          <w:color w:val="000000" w:themeColor="text1"/>
          <w:sz w:val="24"/>
          <w:szCs w:val="24"/>
          <w:lang w:eastAsia="en-IN"/>
        </w:rPr>
      </w:pPr>
      <w:r w:rsidRPr="00D457D1">
        <w:rPr>
          <w:rFonts w:ascii="Times New Roman" w:eastAsia="Times New Roman" w:hAnsi="Times New Roman" w:cs="Times New Roman"/>
          <w:color w:val="000000" w:themeColor="text1"/>
          <w:sz w:val="24"/>
          <w:szCs w:val="24"/>
          <w:lang w:eastAsia="en-IN"/>
        </w:rPr>
        <w:t>The Stg score at 49 days after flowering (49DAF) data continues to show</w:t>
      </w:r>
      <w:r w:rsidR="00017EC6">
        <w:rPr>
          <w:rFonts w:ascii="Times New Roman" w:eastAsia="Times New Roman" w:hAnsi="Times New Roman" w:cs="Times New Roman"/>
          <w:color w:val="000000" w:themeColor="text1"/>
          <w:sz w:val="24"/>
          <w:szCs w:val="24"/>
          <w:lang w:eastAsia="en-IN"/>
        </w:rPr>
        <w:t>ed</w:t>
      </w:r>
      <w:r w:rsidRPr="00D457D1">
        <w:rPr>
          <w:rFonts w:ascii="Times New Roman" w:eastAsia="Times New Roman" w:hAnsi="Times New Roman" w:cs="Times New Roman"/>
          <w:color w:val="000000" w:themeColor="text1"/>
          <w:sz w:val="24"/>
          <w:szCs w:val="24"/>
          <w:lang w:eastAsia="en-IN"/>
        </w:rPr>
        <w:t xml:space="preserve"> variation in leaf senescence across the genotypes. The lowest Stg score, indicating the </w:t>
      </w:r>
      <w:proofErr w:type="gramStart"/>
      <w:r w:rsidRPr="00D457D1">
        <w:rPr>
          <w:rFonts w:ascii="Times New Roman" w:eastAsia="Times New Roman" w:hAnsi="Times New Roman" w:cs="Times New Roman"/>
          <w:color w:val="000000" w:themeColor="text1"/>
          <w:sz w:val="24"/>
          <w:szCs w:val="24"/>
          <w:lang w:eastAsia="en-IN"/>
        </w:rPr>
        <w:t>most green</w:t>
      </w:r>
      <w:proofErr w:type="gramEnd"/>
      <w:r w:rsidRPr="00D457D1">
        <w:rPr>
          <w:rFonts w:ascii="Times New Roman" w:eastAsia="Times New Roman" w:hAnsi="Times New Roman" w:cs="Times New Roman"/>
          <w:color w:val="000000" w:themeColor="text1"/>
          <w:sz w:val="24"/>
          <w:szCs w:val="24"/>
          <w:lang w:eastAsia="en-IN"/>
        </w:rPr>
        <w:t xml:space="preserve"> and least senescent, was recorded for B35 at 4.75. Other genotypes with relatively low scores include</w:t>
      </w:r>
      <w:r w:rsidR="00017EC6">
        <w:rPr>
          <w:rFonts w:ascii="Times New Roman" w:eastAsia="Times New Roman" w:hAnsi="Times New Roman" w:cs="Times New Roman"/>
          <w:color w:val="000000" w:themeColor="text1"/>
          <w:sz w:val="24"/>
          <w:szCs w:val="24"/>
          <w:lang w:eastAsia="en-IN"/>
        </w:rPr>
        <w:t>d</w:t>
      </w:r>
      <w:r w:rsidRPr="00D457D1">
        <w:rPr>
          <w:rFonts w:ascii="Times New Roman" w:eastAsia="Times New Roman" w:hAnsi="Times New Roman" w:cs="Times New Roman"/>
          <w:color w:val="000000" w:themeColor="text1"/>
          <w:sz w:val="24"/>
          <w:szCs w:val="24"/>
          <w:lang w:eastAsia="en-IN"/>
        </w:rPr>
        <w:t xml:space="preserve"> K359W at 4.95 and 296B at 5.1. In contrast, genotypes like R16 and </w:t>
      </w:r>
      <w:proofErr w:type="spellStart"/>
      <w:r w:rsidRPr="00D457D1">
        <w:rPr>
          <w:rFonts w:ascii="Times New Roman" w:eastAsia="Times New Roman" w:hAnsi="Times New Roman" w:cs="Times New Roman"/>
          <w:color w:val="000000" w:themeColor="text1"/>
          <w:sz w:val="24"/>
          <w:szCs w:val="24"/>
          <w:lang w:eastAsia="en-IN"/>
        </w:rPr>
        <w:t>Parbhani</w:t>
      </w:r>
      <w:proofErr w:type="spellEnd"/>
      <w:r w:rsidRPr="00D457D1">
        <w:rPr>
          <w:rFonts w:ascii="Times New Roman" w:eastAsia="Times New Roman" w:hAnsi="Times New Roman" w:cs="Times New Roman"/>
          <w:color w:val="000000" w:themeColor="text1"/>
          <w:sz w:val="24"/>
          <w:szCs w:val="24"/>
          <w:lang w:eastAsia="en-IN"/>
        </w:rPr>
        <w:t xml:space="preserve"> Moti had the highest scores, 6.5 and 6.47, respectively, indicating more senescence. Other notable values include 5.75 for M35-1, 5.57 for E36-1, and 5.55 for CRS1 (Table 1). These values reflect the variation in leaf senescence and greenness at 49DAF among the genotypes. The S</w:t>
      </w:r>
      <w:r w:rsidR="00017EC6">
        <w:rPr>
          <w:rFonts w:ascii="Times New Roman" w:eastAsia="Times New Roman" w:hAnsi="Times New Roman" w:cs="Times New Roman"/>
          <w:color w:val="000000" w:themeColor="text1"/>
          <w:sz w:val="24"/>
          <w:szCs w:val="24"/>
          <w:lang w:eastAsia="en-IN"/>
        </w:rPr>
        <w:t>tg</w:t>
      </w:r>
      <w:r w:rsidRPr="00D457D1">
        <w:rPr>
          <w:rFonts w:ascii="Times New Roman" w:eastAsia="Times New Roman" w:hAnsi="Times New Roman" w:cs="Times New Roman"/>
          <w:color w:val="000000" w:themeColor="text1"/>
          <w:sz w:val="24"/>
          <w:szCs w:val="24"/>
          <w:lang w:eastAsia="en-IN"/>
        </w:rPr>
        <w:t xml:space="preserve"> score at 49 days after flowering (DAF) under water stress (WS) conditions show</w:t>
      </w:r>
      <w:r w:rsidR="00017EC6">
        <w:rPr>
          <w:rFonts w:ascii="Times New Roman" w:eastAsia="Times New Roman" w:hAnsi="Times New Roman" w:cs="Times New Roman"/>
          <w:color w:val="000000" w:themeColor="text1"/>
          <w:sz w:val="24"/>
          <w:szCs w:val="24"/>
          <w:lang w:eastAsia="en-IN"/>
        </w:rPr>
        <w:t>ed</w:t>
      </w:r>
      <w:r w:rsidRPr="00D457D1">
        <w:rPr>
          <w:rFonts w:ascii="Times New Roman" w:eastAsia="Times New Roman" w:hAnsi="Times New Roman" w:cs="Times New Roman"/>
          <w:color w:val="000000" w:themeColor="text1"/>
          <w:sz w:val="24"/>
          <w:szCs w:val="24"/>
          <w:lang w:eastAsia="en-IN"/>
        </w:rPr>
        <w:t xml:space="preserve"> continued variation in the degree of leaf senescence among the genotypes. The lowest S</w:t>
      </w:r>
      <w:r w:rsidR="00017EC6">
        <w:rPr>
          <w:rFonts w:ascii="Times New Roman" w:eastAsia="Times New Roman" w:hAnsi="Times New Roman" w:cs="Times New Roman"/>
          <w:color w:val="000000" w:themeColor="text1"/>
          <w:sz w:val="24"/>
          <w:szCs w:val="24"/>
          <w:lang w:eastAsia="en-IN"/>
        </w:rPr>
        <w:t>tg</w:t>
      </w:r>
      <w:r w:rsidRPr="00D457D1">
        <w:rPr>
          <w:rFonts w:ascii="Times New Roman" w:eastAsia="Times New Roman" w:hAnsi="Times New Roman" w:cs="Times New Roman"/>
          <w:color w:val="000000" w:themeColor="text1"/>
          <w:sz w:val="24"/>
          <w:szCs w:val="24"/>
          <w:lang w:eastAsia="en-IN"/>
        </w:rPr>
        <w:t xml:space="preserve"> score, indicating less senescence, was observed for B35 at 5.25, followed by 296B at 5.37 and K260 at 5.70. Other genotypes with relatively lower senescence include E36-1 at 5.8 and K359W at 6.15. The highest STG scores, indicating more senescence, were recorded for </w:t>
      </w:r>
      <w:proofErr w:type="spellStart"/>
      <w:r w:rsidRPr="00D457D1">
        <w:rPr>
          <w:rFonts w:ascii="Times New Roman" w:eastAsia="Times New Roman" w:hAnsi="Times New Roman" w:cs="Times New Roman"/>
          <w:color w:val="000000" w:themeColor="text1"/>
          <w:sz w:val="24"/>
          <w:szCs w:val="24"/>
          <w:lang w:eastAsia="en-IN"/>
        </w:rPr>
        <w:t>Parbhani</w:t>
      </w:r>
      <w:proofErr w:type="spellEnd"/>
      <w:r w:rsidRPr="00D457D1">
        <w:rPr>
          <w:rFonts w:ascii="Times New Roman" w:eastAsia="Times New Roman" w:hAnsi="Times New Roman" w:cs="Times New Roman"/>
          <w:color w:val="000000" w:themeColor="text1"/>
          <w:sz w:val="24"/>
          <w:szCs w:val="24"/>
          <w:lang w:eastAsia="en-IN"/>
        </w:rPr>
        <w:t xml:space="preserve"> Moti at 6.92, followed by R16 at 6.83. Other genotypes such as M35-1, CRS1, and Phule Vasudha had intermediate senescence scores ranging from 6.25 to 6.43 </w:t>
      </w:r>
      <w:r w:rsidRPr="00D457D1">
        <w:rPr>
          <w:rFonts w:ascii="Times New Roman" w:hAnsi="Times New Roman" w:cs="Times New Roman"/>
          <w:color w:val="000000" w:themeColor="text1"/>
          <w:sz w:val="24"/>
          <w:szCs w:val="24"/>
        </w:rPr>
        <w:t xml:space="preserve">(Table </w:t>
      </w:r>
      <w:r w:rsidR="00C76128"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color w:val="000000" w:themeColor="text1"/>
          <w:sz w:val="24"/>
          <w:szCs w:val="24"/>
          <w:lang w:eastAsia="en-IN"/>
        </w:rPr>
        <w:t xml:space="preserve"> These values highlight</w:t>
      </w:r>
      <w:r w:rsidR="00017EC6">
        <w:rPr>
          <w:rFonts w:ascii="Times New Roman" w:eastAsia="Times New Roman" w:hAnsi="Times New Roman" w:cs="Times New Roman"/>
          <w:color w:val="000000" w:themeColor="text1"/>
          <w:sz w:val="24"/>
          <w:szCs w:val="24"/>
          <w:lang w:eastAsia="en-IN"/>
        </w:rPr>
        <w:t>ed</w:t>
      </w:r>
      <w:r w:rsidRPr="00D457D1">
        <w:rPr>
          <w:rFonts w:ascii="Times New Roman" w:eastAsia="Times New Roman" w:hAnsi="Times New Roman" w:cs="Times New Roman"/>
          <w:color w:val="000000" w:themeColor="text1"/>
          <w:sz w:val="24"/>
          <w:szCs w:val="24"/>
          <w:lang w:eastAsia="en-IN"/>
        </w:rPr>
        <w:t xml:space="preserve"> the variation in leaf senescence at 49 DAF under water stress, with some genotypes demonstrating better resistance to senescence than others. The </w:t>
      </w:r>
      <w:r w:rsidR="00017EC6">
        <w:rPr>
          <w:rFonts w:ascii="Times New Roman" w:eastAsia="Times New Roman" w:hAnsi="Times New Roman" w:cs="Times New Roman"/>
          <w:color w:val="000000" w:themeColor="text1"/>
          <w:sz w:val="24"/>
          <w:szCs w:val="24"/>
          <w:lang w:eastAsia="en-IN"/>
        </w:rPr>
        <w:t>Stg score</w:t>
      </w:r>
      <w:r w:rsidRPr="00D457D1">
        <w:rPr>
          <w:rFonts w:ascii="Times New Roman" w:eastAsia="Times New Roman" w:hAnsi="Times New Roman" w:cs="Times New Roman"/>
          <w:color w:val="000000" w:themeColor="text1"/>
          <w:sz w:val="24"/>
          <w:szCs w:val="24"/>
          <w:lang w:eastAsia="en-IN"/>
        </w:rPr>
        <w:t xml:space="preserve"> at 49 DAF shows an increase under water stress (WS) for all genotypes compared to well-watered (WW) conditions. For R16, the score increased from 6.59 under WW to 7.41 under WS, indicating a notable rise in senescence. The F</w:t>
      </w:r>
      <w:r w:rsidRPr="00D457D1">
        <w:rPr>
          <w:rFonts w:ascii="Times New Roman" w:eastAsia="Times New Roman" w:hAnsi="Times New Roman" w:cs="Times New Roman"/>
          <w:color w:val="000000" w:themeColor="text1"/>
          <w:sz w:val="24"/>
          <w:szCs w:val="24"/>
          <w:vertAlign w:val="subscript"/>
          <w:lang w:eastAsia="en-IN"/>
        </w:rPr>
        <w:t>3</w:t>
      </w:r>
      <w:r w:rsidRPr="00D457D1">
        <w:rPr>
          <w:rFonts w:ascii="Times New Roman" w:eastAsia="Times New Roman" w:hAnsi="Times New Roman" w:cs="Times New Roman"/>
          <w:color w:val="000000" w:themeColor="text1"/>
          <w:sz w:val="24"/>
          <w:szCs w:val="24"/>
          <w:lang w:eastAsia="en-IN"/>
        </w:rPr>
        <w:t xml:space="preserve"> recombinants also exhibited an increase, from 4.22 under WW to 6.09 under WS, while K359W showed an increase </w:t>
      </w:r>
      <w:r w:rsidRPr="00D457D1">
        <w:rPr>
          <w:rFonts w:ascii="Times New Roman" w:eastAsia="Times New Roman" w:hAnsi="Times New Roman" w:cs="Times New Roman"/>
          <w:color w:val="000000" w:themeColor="text1"/>
          <w:sz w:val="24"/>
          <w:szCs w:val="24"/>
          <w:lang w:eastAsia="en-IN"/>
        </w:rPr>
        <w:lastRenderedPageBreak/>
        <w:t xml:space="preserve">from 4.95 under WW to 6.16 under WS </w:t>
      </w:r>
      <w:r w:rsidRPr="00D457D1">
        <w:rPr>
          <w:rFonts w:ascii="Times New Roman" w:hAnsi="Times New Roman" w:cs="Times New Roman"/>
          <w:color w:val="000000" w:themeColor="text1"/>
          <w:sz w:val="24"/>
          <w:szCs w:val="24"/>
        </w:rPr>
        <w:t xml:space="preserve">(Table </w:t>
      </w:r>
      <w:r w:rsidR="00C76128"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color w:val="000000" w:themeColor="text1"/>
          <w:sz w:val="24"/>
          <w:szCs w:val="24"/>
          <w:lang w:eastAsia="en-IN"/>
        </w:rPr>
        <w:t>. Based on these results, R16 shows the highest Stay Green Score under both conditions, suggesting that R16 is the most senescent genotype compared to F</w:t>
      </w:r>
      <w:r w:rsidRPr="00D457D1">
        <w:rPr>
          <w:rFonts w:ascii="Times New Roman" w:eastAsia="Times New Roman" w:hAnsi="Times New Roman" w:cs="Times New Roman"/>
          <w:color w:val="000000" w:themeColor="text1"/>
          <w:sz w:val="24"/>
          <w:szCs w:val="24"/>
          <w:vertAlign w:val="subscript"/>
          <w:lang w:eastAsia="en-IN"/>
        </w:rPr>
        <w:t>3</w:t>
      </w:r>
      <w:r w:rsidRPr="00D457D1">
        <w:rPr>
          <w:rFonts w:ascii="Times New Roman" w:eastAsia="Times New Roman" w:hAnsi="Times New Roman" w:cs="Times New Roman"/>
          <w:color w:val="000000" w:themeColor="text1"/>
          <w:sz w:val="24"/>
          <w:szCs w:val="24"/>
          <w:lang w:eastAsia="en-IN"/>
        </w:rPr>
        <w:t xml:space="preserve"> recombinants and K359W, which had lower levels of senescence. Therefore, R16 has the highest level of senescence under water stress at 49 DAF. These observations support the conclusions drawn by </w:t>
      </w:r>
      <w:proofErr w:type="spellStart"/>
      <w:r w:rsidRPr="00D457D1">
        <w:rPr>
          <w:rFonts w:ascii="Times New Roman" w:eastAsia="Times New Roman" w:hAnsi="Times New Roman" w:cs="Times New Roman"/>
          <w:color w:val="000000" w:themeColor="text1"/>
          <w:sz w:val="24"/>
          <w:szCs w:val="24"/>
          <w:lang w:eastAsia="en-IN"/>
        </w:rPr>
        <w:t>Kiranmayee</w:t>
      </w:r>
      <w:proofErr w:type="spellEnd"/>
      <w:r w:rsidRPr="00D457D1">
        <w:rPr>
          <w:rFonts w:ascii="Times New Roman" w:eastAsia="Times New Roman" w:hAnsi="Times New Roman" w:cs="Times New Roman"/>
          <w:color w:val="000000" w:themeColor="text1"/>
          <w:sz w:val="24"/>
          <w:szCs w:val="24"/>
          <w:lang w:eastAsia="en-IN"/>
        </w:rPr>
        <w:t xml:space="preserve"> et al. (2020), where F</w:t>
      </w:r>
      <w:r w:rsidRPr="00D457D1">
        <w:rPr>
          <w:rFonts w:ascii="Times New Roman" w:eastAsia="Times New Roman" w:hAnsi="Times New Roman" w:cs="Times New Roman"/>
          <w:color w:val="000000" w:themeColor="text1"/>
          <w:sz w:val="24"/>
          <w:szCs w:val="24"/>
          <w:vertAlign w:val="subscript"/>
          <w:lang w:eastAsia="en-IN"/>
        </w:rPr>
        <w:t>2:4</w:t>
      </w:r>
      <w:r w:rsidRPr="00D457D1">
        <w:rPr>
          <w:rFonts w:ascii="Times New Roman" w:eastAsia="Times New Roman" w:hAnsi="Times New Roman" w:cs="Times New Roman"/>
          <w:color w:val="000000" w:themeColor="text1"/>
          <w:sz w:val="24"/>
          <w:szCs w:val="24"/>
          <w:lang w:eastAsia="en-IN"/>
        </w:rPr>
        <w:t xml:space="preserve"> recombinants showed better stay-green performance than their parents. </w:t>
      </w:r>
    </w:p>
    <w:p w14:paraId="6AC8C53E" w14:textId="113D38C3" w:rsidR="008564E2" w:rsidRDefault="008564E2" w:rsidP="00184EC8">
      <w:pPr>
        <w:autoSpaceDE w:val="0"/>
        <w:autoSpaceDN w:val="0"/>
        <w:adjustRightInd w:val="0"/>
        <w:spacing w:line="360" w:lineRule="auto"/>
      </w:pPr>
      <w:r>
        <w:rPr>
          <w:rFonts w:ascii="Times New Roman" w:eastAsia="Times New Roman" w:hAnsi="Times New Roman" w:cs="Times New Roman"/>
          <w:b/>
          <w:bCs/>
          <w:sz w:val="24"/>
          <w:szCs w:val="24"/>
          <w:lang w:eastAsia="en-IN"/>
        </w:rPr>
        <w:t>3.13. Plant height (PH, cm)</w:t>
      </w:r>
    </w:p>
    <w:p w14:paraId="7B8BAEBA" w14:textId="29F17DC4" w:rsidR="00770C23" w:rsidRDefault="008564E2" w:rsidP="00184EC8">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 xml:space="preserve">The plant height (PH) data for the different genotypes shows notable variation. The maximum plant height was observed in PV at 194.60 cm, while the minimum was recorded in B35 at 81.00 cm. Other significant heights include 162.70 cm for PM, 152.60 cm for M35-1, and 145.80 cm for CRS1(Table </w:t>
      </w:r>
      <w:r w:rsidR="00C76128" w:rsidRPr="00D457D1">
        <w:rPr>
          <w:rFonts w:ascii="Times New Roman" w:hAnsi="Times New Roman" w:cs="Times New Roman"/>
          <w:color w:val="000000" w:themeColor="text1"/>
          <w:sz w:val="24"/>
          <w:szCs w:val="24"/>
        </w:rPr>
        <w:t>2</w:t>
      </w:r>
      <w:r w:rsidRPr="00D457D1">
        <w:rPr>
          <w:rFonts w:ascii="Times New Roman" w:hAnsi="Times New Roman" w:cs="Times New Roman"/>
          <w:color w:val="000000" w:themeColor="text1"/>
          <w:sz w:val="24"/>
          <w:szCs w:val="24"/>
        </w:rPr>
        <w:t xml:space="preserve">). These values highlight the diversity in plant heights among the genotypes. The plant height (PH) data under water stress conditions shows considerable variation across the genotypes. The tallest plant under water stress was observed for Phule Vasudha at 198.50 cm, followed by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at 159.77 cm and M35-1 at 156.37 cm. Other genotypes with relatively high plant heights include CRS1 at 142.15 cm, K260 at 121.67 cm, and E36-1 at 121.60 cm. In contrast, the shortest plant height under water stress was recorded for B35 at 82.97 cm, followed by 296B at 86.62 cm and R16 at 111.83 cm. These values highlight the variation in plant height under water stress conditions among the different genotypes (Table </w:t>
      </w:r>
      <w:r w:rsidR="00C76128"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 The mean plant height (PH) values for R16,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under well-watered (WW) and water stress (WS) conditions show</w:t>
      </w:r>
      <w:r w:rsidR="007E45A9">
        <w:rPr>
          <w:rFonts w:ascii="Times New Roman" w:hAnsi="Times New Roman" w:cs="Times New Roman"/>
          <w:color w:val="000000" w:themeColor="text1"/>
          <w:sz w:val="24"/>
          <w:szCs w:val="24"/>
        </w:rPr>
        <w:t xml:space="preserve">ed </w:t>
      </w:r>
      <w:r w:rsidRPr="00D457D1">
        <w:rPr>
          <w:rFonts w:ascii="Times New Roman" w:hAnsi="Times New Roman" w:cs="Times New Roman"/>
          <w:color w:val="000000" w:themeColor="text1"/>
          <w:sz w:val="24"/>
          <w:szCs w:val="24"/>
        </w:rPr>
        <w:t>varying degrees of response to water stress. Under well-watered conditions, the mean plant height for R16 was 114.34 cm, for F</w:t>
      </w:r>
      <w:r w:rsidRPr="00D457D1">
        <w:rPr>
          <w:rFonts w:ascii="Times New Roman" w:hAnsi="Times New Roman" w:cs="Times New Roman"/>
          <w:color w:val="000000" w:themeColor="text1"/>
          <w:sz w:val="24"/>
          <w:szCs w:val="24"/>
          <w:vertAlign w:val="subscript"/>
        </w:rPr>
        <w:t xml:space="preserve">3 </w:t>
      </w:r>
      <w:r w:rsidRPr="00D457D1">
        <w:rPr>
          <w:rFonts w:ascii="Times New Roman" w:hAnsi="Times New Roman" w:cs="Times New Roman"/>
          <w:color w:val="000000" w:themeColor="text1"/>
          <w:sz w:val="24"/>
          <w:szCs w:val="24"/>
        </w:rPr>
        <w:t>recombinants it was 121.3 cm, and for K359W it was 116.63 cm. Under water stress, the mean plant height decreased slightly for R16 to 111.84 cm, showing a moderate reduction.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experienced a more significant drop, with the mean plant height decreasing to 109.92 cm. K359W had a smaller reduction, with the mean plant height dropping to 111.39 cm under water stress (Table </w:t>
      </w:r>
      <w:r w:rsidR="00C76128"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 Overall, while all genotypes exhibited some reduction in plant height under water stress,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showed the most pronounced decrease, whereas R16 and K359W exhibited relatively better resilience under stress conditions. Our results reaffirm</w:t>
      </w:r>
      <w:r w:rsidR="005C044B">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previous findings by </w:t>
      </w:r>
      <w:proofErr w:type="spellStart"/>
      <w:r w:rsidRPr="00D457D1">
        <w:rPr>
          <w:rFonts w:ascii="Times New Roman" w:hAnsi="Times New Roman" w:cs="Times New Roman"/>
          <w:color w:val="000000" w:themeColor="text1"/>
          <w:sz w:val="24"/>
          <w:szCs w:val="24"/>
        </w:rPr>
        <w:t>Galyuon</w:t>
      </w:r>
      <w:proofErr w:type="spellEnd"/>
      <w:r w:rsidRPr="00D457D1">
        <w:rPr>
          <w:rFonts w:ascii="Times New Roman" w:hAnsi="Times New Roman" w:cs="Times New Roman"/>
          <w:color w:val="000000" w:themeColor="text1"/>
          <w:sz w:val="24"/>
          <w:szCs w:val="24"/>
        </w:rPr>
        <w:t xml:space="preserve"> et al. (2019) found no significant differences between WW and WL plants, but both RSG 03123 and R16 were significantly taller, suggesting the SG QTL from B35 did not affect height. </w:t>
      </w:r>
    </w:p>
    <w:p w14:paraId="4951EE5B" w14:textId="5F6B5D24" w:rsidR="008564E2" w:rsidRDefault="008564E2" w:rsidP="00184EC8">
      <w:pPr>
        <w:autoSpaceDE w:val="0"/>
        <w:autoSpaceDN w:val="0"/>
        <w:adjustRightInd w:val="0"/>
        <w:spacing w:line="360" w:lineRule="auto"/>
      </w:pPr>
      <w:r>
        <w:rPr>
          <w:rFonts w:ascii="Times New Roman" w:hAnsi="Times New Roman" w:cs="Times New Roman"/>
          <w:b/>
          <w:bCs/>
          <w:color w:val="000000" w:themeColor="text1"/>
          <w:sz w:val="24"/>
          <w:szCs w:val="24"/>
        </w:rPr>
        <w:lastRenderedPageBreak/>
        <w:t xml:space="preserve">3.14 </w:t>
      </w:r>
      <w:r>
        <w:rPr>
          <w:rFonts w:ascii="Times New Roman" w:eastAsia="Times New Roman" w:hAnsi="Times New Roman" w:cs="Times New Roman"/>
          <w:b/>
          <w:bCs/>
          <w:sz w:val="24"/>
          <w:szCs w:val="24"/>
          <w:lang w:eastAsia="en-IN"/>
        </w:rPr>
        <w:t>Effective tillers (ET)</w:t>
      </w:r>
    </w:p>
    <w:p w14:paraId="673202B5" w14:textId="793FCD48" w:rsidR="008564E2" w:rsidRDefault="008564E2" w:rsidP="00184EC8">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The data for tillers across the different genotypes show</w:t>
      </w:r>
      <w:r w:rsidR="005C044B">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a range of values. The maximum number of tillers was recorded in PV with 5.75, while the minimum was seen in B35 with 4.00. Other notable values include</w:t>
      </w:r>
      <w:r w:rsidR="005C044B">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6.5 for E36-1, 5.5 for PM, and 5.25 for M35-1 (Table </w:t>
      </w:r>
      <w:r w:rsidR="00C76128" w:rsidRPr="00D457D1">
        <w:rPr>
          <w:rFonts w:ascii="Times New Roman" w:hAnsi="Times New Roman" w:cs="Times New Roman"/>
          <w:color w:val="000000" w:themeColor="text1"/>
          <w:sz w:val="24"/>
          <w:szCs w:val="24"/>
        </w:rPr>
        <w:t>2</w:t>
      </w:r>
      <w:r w:rsidRPr="00D457D1">
        <w:rPr>
          <w:rFonts w:ascii="Times New Roman" w:hAnsi="Times New Roman" w:cs="Times New Roman"/>
          <w:color w:val="000000" w:themeColor="text1"/>
          <w:sz w:val="24"/>
          <w:szCs w:val="24"/>
        </w:rPr>
        <w:t>). These values illustrate</w:t>
      </w:r>
      <w:r w:rsidR="005C044B">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the variation in tiller production among the genotypes. The data for tillers under water stress (WS) conditions show</w:t>
      </w:r>
      <w:r w:rsidR="005C044B">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variation across the genotypes. The highest number of tillers was recorded for E36-1 at 4.75, followed by CRS1 at 4, and both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and Phule Vasudha with 4.25 tillers. Other notable values include</w:t>
      </w:r>
      <w:r w:rsidR="005C044B">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3.85 for 296B, 3.8 for K260, and 3.75 for both B35 and M35-1. The lowest number of tillers under water stress was observed for K359W at 3.12, while R16 had 3.84 tillers (Table </w:t>
      </w:r>
      <w:r w:rsidR="00B9198D"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 These values highlight the differences in tiller production under water stress among the genotypes. The mean values for ET (tillers) under well-watered (WW) and water stress (WS) conditions show</w:t>
      </w:r>
      <w:r w:rsidR="005C044B">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varied responses for R16,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Under well-watered conditions, R16 had a mean of 4.25 tillers,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had a mean of 1.49 tillers, and K359W had a mean of 4.13 tillers. Under water stress, R16's tiller number decreased to 3.58,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showed a larger drop to 1.24, and K359W had a slight reduction to 3.13 tillers (Table </w:t>
      </w:r>
      <w:r w:rsidR="00B9198D"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 This indicate</w:t>
      </w:r>
      <w:r w:rsidR="005C044B">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that all genotypes experienced a reduction in tiller production under water stress, with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showing the most significant decrease, while R16 and K359W maintained relatively better tiller numbers under stress. </w:t>
      </w:r>
      <w:r w:rsidRPr="00D457D1">
        <w:rPr>
          <w:rFonts w:ascii="Times New Roman" w:hAnsi="Times New Roman" w:cs="Times New Roman"/>
          <w:color w:val="000000" w:themeColor="text1"/>
          <w:sz w:val="24"/>
          <w:szCs w:val="24"/>
          <w:lang w:val="en-US"/>
        </w:rPr>
        <w:t xml:space="preserve">These differences are thought to reduce crop water usage prior to anthesis, resulting in greater water availability at the post-flowering stage. </w:t>
      </w:r>
      <w:proofErr w:type="gramStart"/>
      <w:r w:rsidRPr="00D457D1">
        <w:rPr>
          <w:rFonts w:ascii="Times New Roman" w:hAnsi="Times New Roman" w:cs="Times New Roman"/>
          <w:color w:val="000000" w:themeColor="text1"/>
          <w:sz w:val="24"/>
          <w:szCs w:val="24"/>
        </w:rPr>
        <w:t>Th</w:t>
      </w:r>
      <w:r w:rsidR="005C044B">
        <w:rPr>
          <w:rFonts w:ascii="Times New Roman" w:hAnsi="Times New Roman" w:cs="Times New Roman"/>
          <w:color w:val="000000" w:themeColor="text1"/>
          <w:sz w:val="24"/>
          <w:szCs w:val="24"/>
        </w:rPr>
        <w:t>ese</w:t>
      </w:r>
      <w:r w:rsidRPr="00D457D1">
        <w:rPr>
          <w:rFonts w:ascii="Times New Roman" w:hAnsi="Times New Roman" w:cs="Times New Roman"/>
          <w:color w:val="000000" w:themeColor="text1"/>
          <w:sz w:val="24"/>
          <w:szCs w:val="24"/>
        </w:rPr>
        <w:t xml:space="preserve"> result</w:t>
      </w:r>
      <w:proofErr w:type="gramEnd"/>
      <w:r w:rsidRPr="00D457D1">
        <w:rPr>
          <w:rFonts w:ascii="Times New Roman" w:hAnsi="Times New Roman" w:cs="Times New Roman"/>
          <w:color w:val="000000" w:themeColor="text1"/>
          <w:sz w:val="24"/>
          <w:szCs w:val="24"/>
        </w:rPr>
        <w:t xml:space="preserve"> corroborate</w:t>
      </w:r>
      <w:r w:rsidR="005C044B">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the findings of Borrell et al. (2022)</w:t>
      </w:r>
    </w:p>
    <w:p w14:paraId="049EB7F1" w14:textId="6D0D8389"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3.15. Days to a</w:t>
      </w:r>
      <w:r w:rsidRPr="000B3819">
        <w:rPr>
          <w:rFonts w:ascii="Times New Roman" w:hAnsi="Times New Roman" w:cs="Times New Roman"/>
          <w:b/>
          <w:bCs/>
          <w:color w:val="000000" w:themeColor="text1"/>
          <w:sz w:val="24"/>
          <w:szCs w:val="24"/>
        </w:rPr>
        <w:t>nthesis</w:t>
      </w:r>
      <w:r>
        <w:rPr>
          <w:rFonts w:ascii="Times New Roman" w:hAnsi="Times New Roman" w:cs="Times New Roman"/>
          <w:b/>
          <w:bCs/>
          <w:color w:val="000000" w:themeColor="text1"/>
          <w:sz w:val="24"/>
          <w:szCs w:val="24"/>
        </w:rPr>
        <w:t xml:space="preserve"> (DA)</w:t>
      </w:r>
    </w:p>
    <w:p w14:paraId="58035863" w14:textId="130C4295" w:rsidR="008564E2" w:rsidRDefault="008564E2" w:rsidP="00184EC8">
      <w:pPr>
        <w:autoSpaceDE w:val="0"/>
        <w:autoSpaceDN w:val="0"/>
        <w:adjustRightInd w:val="0"/>
        <w:spacing w:line="360" w:lineRule="auto"/>
        <w:rPr>
          <w:rFonts w:ascii="Times New Roman" w:eastAsia="Times New Roman" w:hAnsi="Times New Roman" w:cs="Times New Roman"/>
          <w:color w:val="000000" w:themeColor="text1"/>
          <w:sz w:val="24"/>
          <w:szCs w:val="24"/>
          <w:lang w:eastAsia="en-IN"/>
        </w:rPr>
      </w:pPr>
      <w:r w:rsidRPr="00D457D1">
        <w:rPr>
          <w:rFonts w:ascii="Times New Roman" w:hAnsi="Times New Roman" w:cs="Times New Roman"/>
          <w:color w:val="000000" w:themeColor="text1"/>
          <w:sz w:val="24"/>
          <w:szCs w:val="24"/>
        </w:rPr>
        <w:t>The anthesis data across the genotypes reveal</w:t>
      </w:r>
      <w:r w:rsidR="005C044B">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a range of flowering times. The earliest anthesis occurred in E36-1 and R16, both at 62.25 days, while the latest was recorded for PV at 71.5 days. Other notable values include</w:t>
      </w:r>
      <w:r w:rsidR="005C044B">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71.25 days for CRS1, 66.00 days for 296B, and 65.75 days for B35 (Table </w:t>
      </w:r>
      <w:r w:rsidR="00B9198D" w:rsidRPr="00D457D1">
        <w:rPr>
          <w:rFonts w:ascii="Times New Roman" w:hAnsi="Times New Roman" w:cs="Times New Roman"/>
          <w:color w:val="000000" w:themeColor="text1"/>
          <w:sz w:val="24"/>
          <w:szCs w:val="24"/>
        </w:rPr>
        <w:t>2</w:t>
      </w:r>
      <w:r w:rsidRPr="00D457D1">
        <w:rPr>
          <w:rFonts w:ascii="Times New Roman" w:hAnsi="Times New Roman" w:cs="Times New Roman"/>
          <w:color w:val="000000" w:themeColor="text1"/>
          <w:sz w:val="24"/>
          <w:szCs w:val="24"/>
        </w:rPr>
        <w:t>). These values illustrate</w:t>
      </w:r>
      <w:r w:rsidR="009D0D5D">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the variation in flowering time across the different genotypes. </w:t>
      </w:r>
      <w:r w:rsidRPr="00D457D1">
        <w:rPr>
          <w:rFonts w:ascii="Times New Roman" w:eastAsia="Times New Roman" w:hAnsi="Times New Roman" w:cs="Times New Roman"/>
          <w:sz w:val="24"/>
          <w:szCs w:val="24"/>
          <w:lang w:eastAsia="en-IN"/>
        </w:rPr>
        <w:t>The data for days to anthesis under water stress (WS) conditions show</w:t>
      </w:r>
      <w:r w:rsidR="009D0D5D">
        <w:rPr>
          <w:rFonts w:ascii="Times New Roman" w:eastAsia="Times New Roman" w:hAnsi="Times New Roman" w:cs="Times New Roman"/>
          <w:sz w:val="24"/>
          <w:szCs w:val="24"/>
          <w:lang w:eastAsia="en-IN"/>
        </w:rPr>
        <w:t xml:space="preserve">ed </w:t>
      </w:r>
      <w:r w:rsidRPr="00D457D1">
        <w:rPr>
          <w:rFonts w:ascii="Times New Roman" w:eastAsia="Times New Roman" w:hAnsi="Times New Roman" w:cs="Times New Roman"/>
          <w:sz w:val="24"/>
          <w:szCs w:val="24"/>
          <w:lang w:eastAsia="en-IN"/>
        </w:rPr>
        <w:t xml:space="preserve">variation in the time to flowering across the genotypes. The earliest anthesis occurred in E36-1, with a value of 62 days, followed by K359W at 64.5 days and R16 at 64.75 days. Other genotypes, such as K260 at 65.21 days and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66.46 days, had relatively early anthesis. The latest anthesis was observed for Phule Vasudha at 70.42 days, followed by CRS1 at 68.53 days and M35-</w:t>
      </w:r>
      <w:r w:rsidRPr="00D457D1">
        <w:rPr>
          <w:rFonts w:ascii="Times New Roman" w:eastAsia="Times New Roman" w:hAnsi="Times New Roman" w:cs="Times New Roman"/>
          <w:sz w:val="24"/>
          <w:szCs w:val="24"/>
          <w:lang w:eastAsia="en-IN"/>
        </w:rPr>
        <w:lastRenderedPageBreak/>
        <w:t xml:space="preserve">1 at 67.71 days </w:t>
      </w:r>
      <w:r w:rsidRPr="00D457D1">
        <w:rPr>
          <w:rFonts w:ascii="Times New Roman" w:hAnsi="Times New Roman" w:cs="Times New Roman"/>
          <w:color w:val="000000" w:themeColor="text1"/>
          <w:sz w:val="24"/>
          <w:szCs w:val="24"/>
        </w:rPr>
        <w:t xml:space="preserve">(Table </w:t>
      </w:r>
      <w:r w:rsidR="00B9198D"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values highlight the variation in the time to anthesis under water stress conditions among the different genotypes.</w:t>
      </w:r>
      <w:r w:rsidRPr="00D457D1">
        <w:rPr>
          <w:rFonts w:ascii="Times New Roman" w:hAnsi="Times New Roman" w:cs="Times New Roman"/>
          <w:color w:val="000000" w:themeColor="text1"/>
          <w:sz w:val="24"/>
          <w:szCs w:val="24"/>
        </w:rPr>
        <w:t xml:space="preserve"> </w:t>
      </w:r>
      <w:r w:rsidRPr="00D457D1">
        <w:rPr>
          <w:rFonts w:ascii="Times New Roman" w:eastAsia="Times New Roman" w:hAnsi="Times New Roman" w:cs="Times New Roman"/>
          <w:sz w:val="24"/>
          <w:szCs w:val="24"/>
          <w:lang w:eastAsia="en-IN"/>
        </w:rPr>
        <w:t>The mean values for Days to Anthesis under well-watered (WW) and water stress (WS) conditions show that water stress had a slight impact on the timing of anthesis for R16,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and K359W. Under well-watered conditions, R16 took 62.63 days to reach anthesis,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took 69.21 days, and K359W took 63.5 days. Under water stress, R16 experienced a slight delay, with anthesis occurring at 64.79 days, while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remained unchanged at 69.21 days, and K359W also showed a small delay, with anthesis occurring at 65 days </w:t>
      </w:r>
      <w:r w:rsidRPr="00D457D1">
        <w:rPr>
          <w:rFonts w:ascii="Times New Roman" w:hAnsi="Times New Roman" w:cs="Times New Roman"/>
          <w:color w:val="000000" w:themeColor="text1"/>
          <w:sz w:val="24"/>
          <w:szCs w:val="24"/>
        </w:rPr>
        <w:t xml:space="preserve">(Table </w:t>
      </w:r>
      <w:r w:rsidR="00B9198D"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results suggest that water stress led to a minor delay in anthesis, particularly for R16 and K359W, though the effect was relatively modest across the genotypes. </w:t>
      </w:r>
      <w:r w:rsidRPr="00D457D1">
        <w:rPr>
          <w:rFonts w:ascii="Times New Roman" w:hAnsi="Times New Roman" w:cs="Times New Roman"/>
          <w:color w:val="000000" w:themeColor="text1"/>
          <w:sz w:val="24"/>
          <w:szCs w:val="24"/>
        </w:rPr>
        <w:t xml:space="preserve">It was believed that the </w:t>
      </w:r>
      <w:bookmarkStart w:id="3" w:name="_Hlk181085016"/>
      <w:r w:rsidRPr="00D457D1">
        <w:rPr>
          <w:rFonts w:ascii="Times New Roman" w:hAnsi="Times New Roman" w:cs="Times New Roman"/>
          <w:color w:val="000000" w:themeColor="text1"/>
          <w:sz w:val="24"/>
          <w:szCs w:val="24"/>
        </w:rPr>
        <w:t>difference in DTF was attributed to the genetic background</w:t>
      </w:r>
      <w:bookmarkEnd w:id="3"/>
      <w:r w:rsidRPr="00D457D1">
        <w:rPr>
          <w:rFonts w:ascii="Times New Roman" w:hAnsi="Times New Roman" w:cs="Times New Roman"/>
          <w:color w:val="000000" w:themeColor="text1"/>
          <w:sz w:val="24"/>
          <w:szCs w:val="24"/>
        </w:rPr>
        <w:t xml:space="preserve">. </w:t>
      </w:r>
      <w:r w:rsidRPr="00D457D1">
        <w:rPr>
          <w:rFonts w:ascii="Times New Roman" w:eastAsia="Times New Roman" w:hAnsi="Times New Roman" w:cs="Times New Roman"/>
          <w:sz w:val="24"/>
          <w:szCs w:val="24"/>
          <w:lang w:eastAsia="en-IN"/>
        </w:rPr>
        <w:t xml:space="preserve">In agreement with our </w:t>
      </w:r>
      <w:r w:rsidRPr="00D457D1">
        <w:rPr>
          <w:rFonts w:ascii="Times New Roman" w:eastAsia="Times New Roman" w:hAnsi="Times New Roman" w:cs="Times New Roman"/>
          <w:color w:val="000000" w:themeColor="text1"/>
          <w:sz w:val="24"/>
          <w:szCs w:val="24"/>
          <w:lang w:eastAsia="en-IN"/>
        </w:rPr>
        <w:t xml:space="preserve">results, Abebe et al. (2021) </w:t>
      </w:r>
      <w:r w:rsidRPr="00D457D1">
        <w:rPr>
          <w:rFonts w:ascii="Times New Roman" w:eastAsia="Times New Roman" w:hAnsi="Times New Roman" w:cs="Times New Roman"/>
          <w:sz w:val="24"/>
          <w:szCs w:val="24"/>
          <w:lang w:eastAsia="en-IN"/>
        </w:rPr>
        <w:t xml:space="preserve">reported a mean of 82 days to flowering, with genetic background influencing DTF under uniform </w:t>
      </w:r>
      <w:r w:rsidRPr="00D457D1">
        <w:rPr>
          <w:rFonts w:ascii="Times New Roman" w:eastAsia="Times New Roman" w:hAnsi="Times New Roman" w:cs="Times New Roman"/>
          <w:color w:val="000000" w:themeColor="text1"/>
          <w:sz w:val="24"/>
          <w:szCs w:val="24"/>
          <w:lang w:eastAsia="en-IN"/>
        </w:rPr>
        <w:t>irrigation. Upadhyaya et al. (20</w:t>
      </w:r>
      <w:r w:rsidR="00FE6987">
        <w:rPr>
          <w:rFonts w:ascii="Times New Roman" w:eastAsia="Times New Roman" w:hAnsi="Times New Roman" w:cs="Times New Roman"/>
          <w:color w:val="000000" w:themeColor="text1"/>
          <w:sz w:val="24"/>
          <w:szCs w:val="24"/>
          <w:lang w:eastAsia="en-IN"/>
        </w:rPr>
        <w:t>21</w:t>
      </w:r>
      <w:r w:rsidRPr="00D457D1">
        <w:rPr>
          <w:rFonts w:ascii="Times New Roman" w:eastAsia="Times New Roman" w:hAnsi="Times New Roman" w:cs="Times New Roman"/>
          <w:color w:val="000000" w:themeColor="text1"/>
          <w:sz w:val="24"/>
          <w:szCs w:val="24"/>
          <w:lang w:eastAsia="en-IN"/>
        </w:rPr>
        <w:t xml:space="preserve">) observed </w:t>
      </w:r>
      <w:r w:rsidRPr="00D457D1">
        <w:rPr>
          <w:rFonts w:ascii="Times New Roman" w:eastAsia="Times New Roman" w:hAnsi="Times New Roman" w:cs="Times New Roman"/>
          <w:sz w:val="24"/>
          <w:szCs w:val="24"/>
          <w:lang w:eastAsia="en-IN"/>
        </w:rPr>
        <w:t xml:space="preserve">no significant difference in flowering between irrigated and drought-stressed conditions, though stress reduced grain </w:t>
      </w:r>
      <w:r w:rsidRPr="00D457D1">
        <w:rPr>
          <w:rFonts w:ascii="Times New Roman" w:eastAsia="Times New Roman" w:hAnsi="Times New Roman" w:cs="Times New Roman"/>
          <w:color w:val="000000" w:themeColor="text1"/>
          <w:sz w:val="24"/>
          <w:szCs w:val="24"/>
          <w:lang w:eastAsia="en-IN"/>
        </w:rPr>
        <w:t xml:space="preserve">yield. </w:t>
      </w:r>
    </w:p>
    <w:p w14:paraId="3F97E132" w14:textId="45D7E49C"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3.16. </w:t>
      </w:r>
      <w:r w:rsidRPr="000B3819">
        <w:rPr>
          <w:rFonts w:ascii="Times New Roman" w:hAnsi="Times New Roman" w:cs="Times New Roman"/>
          <w:b/>
          <w:bCs/>
          <w:color w:val="000000" w:themeColor="text1"/>
          <w:sz w:val="24"/>
          <w:szCs w:val="24"/>
        </w:rPr>
        <w:t>Days to 50% flowering</w:t>
      </w:r>
      <w:r>
        <w:rPr>
          <w:rFonts w:ascii="Times New Roman" w:hAnsi="Times New Roman" w:cs="Times New Roman"/>
          <w:b/>
          <w:bCs/>
          <w:color w:val="000000" w:themeColor="text1"/>
          <w:sz w:val="24"/>
          <w:szCs w:val="24"/>
        </w:rPr>
        <w:t xml:space="preserve"> (DFF)</w:t>
      </w:r>
    </w:p>
    <w:p w14:paraId="40A7014C" w14:textId="2F38F186" w:rsidR="008564E2" w:rsidRDefault="008564E2" w:rsidP="00184EC8">
      <w:pPr>
        <w:spacing w:line="360" w:lineRule="auto"/>
        <w:rPr>
          <w:rFonts w:ascii="Times New Roman" w:eastAsia="Times New Roman" w:hAnsi="Times New Roman" w:cs="Times New Roman"/>
          <w:sz w:val="24"/>
          <w:szCs w:val="24"/>
          <w:lang w:eastAsia="en-IN"/>
        </w:rPr>
      </w:pPr>
      <w:r w:rsidRPr="00D457D1">
        <w:rPr>
          <w:rFonts w:ascii="Times New Roman" w:hAnsi="Times New Roman" w:cs="Times New Roman"/>
          <w:color w:val="000000" w:themeColor="text1"/>
          <w:sz w:val="24"/>
          <w:szCs w:val="24"/>
        </w:rPr>
        <w:t>The data for days to 50% flowering show</w:t>
      </w:r>
      <w:r w:rsidR="009D0D5D">
        <w:rPr>
          <w:rFonts w:ascii="Times New Roman" w:hAnsi="Times New Roman" w:cs="Times New Roman"/>
          <w:color w:val="000000" w:themeColor="text1"/>
          <w:sz w:val="24"/>
          <w:szCs w:val="24"/>
        </w:rPr>
        <w:t>ed</w:t>
      </w:r>
      <w:r w:rsidRPr="00D457D1">
        <w:rPr>
          <w:rFonts w:ascii="Times New Roman" w:hAnsi="Times New Roman" w:cs="Times New Roman"/>
          <w:color w:val="000000" w:themeColor="text1"/>
          <w:sz w:val="24"/>
          <w:szCs w:val="24"/>
        </w:rPr>
        <w:t xml:space="preserve"> a wide range of flowering times across the genotypes. The earliest flowering occurred in E36-1 and R16, both at 70.25 days, while the latest was observed in PV at 81.00 days. Other significant values include</w:t>
      </w:r>
      <w:r w:rsidR="009D0D5D">
        <w:rPr>
          <w:rFonts w:ascii="Times New Roman" w:hAnsi="Times New Roman" w:cs="Times New Roman"/>
          <w:color w:val="000000" w:themeColor="text1"/>
          <w:sz w:val="24"/>
          <w:szCs w:val="24"/>
        </w:rPr>
        <w:t xml:space="preserve">d </w:t>
      </w:r>
      <w:r w:rsidRPr="00D457D1">
        <w:rPr>
          <w:rFonts w:ascii="Times New Roman" w:hAnsi="Times New Roman" w:cs="Times New Roman"/>
          <w:color w:val="000000" w:themeColor="text1"/>
          <w:sz w:val="24"/>
          <w:szCs w:val="24"/>
        </w:rPr>
        <w:t xml:space="preserve">80.25 days for CRS1, 74.25 days for B35, and 73.75 days for PM (Table </w:t>
      </w:r>
      <w:r w:rsidR="00B9198D" w:rsidRPr="00D457D1">
        <w:rPr>
          <w:rFonts w:ascii="Times New Roman" w:hAnsi="Times New Roman" w:cs="Times New Roman"/>
          <w:color w:val="000000" w:themeColor="text1"/>
          <w:sz w:val="24"/>
          <w:szCs w:val="24"/>
        </w:rPr>
        <w:t>2</w:t>
      </w:r>
      <w:r w:rsidRPr="00D457D1">
        <w:rPr>
          <w:rFonts w:ascii="Times New Roman" w:hAnsi="Times New Roman" w:cs="Times New Roman"/>
          <w:color w:val="000000" w:themeColor="text1"/>
          <w:sz w:val="24"/>
          <w:szCs w:val="24"/>
        </w:rPr>
        <w:t>). These values highlight</w:t>
      </w:r>
      <w:r w:rsidR="009D0D5D">
        <w:rPr>
          <w:rFonts w:ascii="Times New Roman" w:hAnsi="Times New Roman" w:cs="Times New Roman"/>
          <w:color w:val="000000" w:themeColor="text1"/>
          <w:sz w:val="24"/>
          <w:szCs w:val="24"/>
        </w:rPr>
        <w:t xml:space="preserve">ed </w:t>
      </w:r>
      <w:r w:rsidRPr="00D457D1">
        <w:rPr>
          <w:rFonts w:ascii="Times New Roman" w:hAnsi="Times New Roman" w:cs="Times New Roman"/>
          <w:color w:val="000000" w:themeColor="text1"/>
          <w:sz w:val="24"/>
          <w:szCs w:val="24"/>
        </w:rPr>
        <w:t xml:space="preserve">the variation in the time to reach 50% flowering across the different genotypes. </w:t>
      </w:r>
      <w:r w:rsidRPr="00D457D1">
        <w:rPr>
          <w:rFonts w:ascii="Times New Roman" w:eastAsia="Times New Roman" w:hAnsi="Times New Roman" w:cs="Times New Roman"/>
          <w:sz w:val="24"/>
          <w:szCs w:val="24"/>
          <w:lang w:eastAsia="en-IN"/>
        </w:rPr>
        <w:t>The data for days to 50% flowering under water stress (WS) conditions show</w:t>
      </w:r>
      <w:r w:rsidR="009D0D5D">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variation in the flowering time across the genotypes. The earliest 50% flowering occurred in E36-1 at 70.75 days, followed by K359W at 71.8 days and M35-1 at 71.42 days. Other genotypes with relatively early flowering include</w:t>
      </w:r>
      <w:r w:rsidR="009D0D5D">
        <w:rPr>
          <w:rFonts w:ascii="Times New Roman" w:eastAsia="Times New Roman" w:hAnsi="Times New Roman" w:cs="Times New Roman"/>
          <w:sz w:val="24"/>
          <w:szCs w:val="24"/>
          <w:lang w:eastAsia="en-IN"/>
        </w:rPr>
        <w:t>d</w:t>
      </w:r>
      <w:r w:rsidRPr="00D457D1">
        <w:rPr>
          <w:rFonts w:ascii="Times New Roman" w:eastAsia="Times New Roman" w:hAnsi="Times New Roman" w:cs="Times New Roman"/>
          <w:sz w:val="24"/>
          <w:szCs w:val="24"/>
          <w:lang w:eastAsia="en-IN"/>
        </w:rPr>
        <w:t xml:space="preserve"> K260 at 72.75 days and R16 at 73.37 days. The latest flowering was observed for Phule Vasudha at 82.14 days, followed by B35 at 79.25 days and CRS1 at 78.35 days </w:t>
      </w:r>
      <w:r w:rsidRPr="00D457D1">
        <w:rPr>
          <w:rFonts w:ascii="Times New Roman" w:hAnsi="Times New Roman" w:cs="Times New Roman"/>
          <w:color w:val="000000" w:themeColor="text1"/>
          <w:sz w:val="24"/>
          <w:szCs w:val="24"/>
        </w:rPr>
        <w:t xml:space="preserve">(Table </w:t>
      </w:r>
      <w:r w:rsidR="00B9198D"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values illustrate</w:t>
      </w:r>
      <w:r w:rsidR="009D0D5D">
        <w:rPr>
          <w:rFonts w:ascii="Times New Roman" w:eastAsia="Times New Roman" w:hAnsi="Times New Roman" w:cs="Times New Roman"/>
          <w:sz w:val="24"/>
          <w:szCs w:val="24"/>
          <w:lang w:eastAsia="en-IN"/>
        </w:rPr>
        <w:t>d</w:t>
      </w:r>
      <w:r w:rsidRPr="00D457D1">
        <w:rPr>
          <w:rFonts w:ascii="Times New Roman" w:eastAsia="Times New Roman" w:hAnsi="Times New Roman" w:cs="Times New Roman"/>
          <w:sz w:val="24"/>
          <w:szCs w:val="24"/>
          <w:lang w:eastAsia="en-IN"/>
        </w:rPr>
        <w:t xml:space="preserve"> the differences in flowering time under water stress conditions across the genotypes.</w:t>
      </w:r>
      <w:r w:rsidRPr="00D457D1">
        <w:rPr>
          <w:rFonts w:ascii="Times New Roman" w:hAnsi="Times New Roman" w:cs="Times New Roman"/>
          <w:color w:val="000000" w:themeColor="text1"/>
          <w:sz w:val="24"/>
          <w:szCs w:val="24"/>
        </w:rPr>
        <w:t xml:space="preserve"> </w:t>
      </w:r>
      <w:r w:rsidRPr="00D457D1">
        <w:rPr>
          <w:rFonts w:ascii="Times New Roman" w:eastAsia="Times New Roman" w:hAnsi="Times New Roman" w:cs="Times New Roman"/>
          <w:sz w:val="24"/>
          <w:szCs w:val="24"/>
          <w:lang w:eastAsia="en-IN"/>
        </w:rPr>
        <w:t xml:space="preserve">The mean values for </w:t>
      </w:r>
      <w:r w:rsidR="009D0D5D">
        <w:rPr>
          <w:rFonts w:ascii="Times New Roman" w:eastAsia="Times New Roman" w:hAnsi="Times New Roman" w:cs="Times New Roman"/>
          <w:sz w:val="24"/>
          <w:szCs w:val="24"/>
          <w:lang w:eastAsia="en-IN"/>
        </w:rPr>
        <w:t>d</w:t>
      </w:r>
      <w:r w:rsidRPr="00D457D1">
        <w:rPr>
          <w:rFonts w:ascii="Times New Roman" w:eastAsia="Times New Roman" w:hAnsi="Times New Roman" w:cs="Times New Roman"/>
          <w:sz w:val="24"/>
          <w:szCs w:val="24"/>
          <w:lang w:eastAsia="en-IN"/>
        </w:rPr>
        <w:t>ays to 50% flowering under well-watered (WW) and water stress (WS) conditions indicate</w:t>
      </w:r>
      <w:r w:rsidR="009D0D5D">
        <w:rPr>
          <w:rFonts w:ascii="Times New Roman" w:eastAsia="Times New Roman" w:hAnsi="Times New Roman" w:cs="Times New Roman"/>
          <w:sz w:val="24"/>
          <w:szCs w:val="24"/>
          <w:lang w:eastAsia="en-IN"/>
        </w:rPr>
        <w:t>d</w:t>
      </w:r>
      <w:r w:rsidRPr="00D457D1">
        <w:rPr>
          <w:rFonts w:ascii="Times New Roman" w:eastAsia="Times New Roman" w:hAnsi="Times New Roman" w:cs="Times New Roman"/>
          <w:sz w:val="24"/>
          <w:szCs w:val="24"/>
          <w:lang w:eastAsia="en-IN"/>
        </w:rPr>
        <w:t xml:space="preserve"> that water stress resulted in a slight delay in flowering for R16,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and K359W. Under well-watered conditions, R16 reached 50% flowering in 70.29 days,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in 83.23 days, and K359W in 70.88 days. Under water stress, R16 took 73.44 days, a slight delay from the well-</w:t>
      </w:r>
      <w:r w:rsidRPr="00D457D1">
        <w:rPr>
          <w:rFonts w:ascii="Times New Roman" w:eastAsia="Times New Roman" w:hAnsi="Times New Roman" w:cs="Times New Roman"/>
          <w:sz w:val="24"/>
          <w:szCs w:val="24"/>
          <w:lang w:eastAsia="en-IN"/>
        </w:rPr>
        <w:lastRenderedPageBreak/>
        <w:t>watered condition, while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and K359W also experienced slight delays, with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reaching 50% flowering at 83.21 days and K359W at 71.75 days </w:t>
      </w:r>
      <w:r w:rsidRPr="00D457D1">
        <w:rPr>
          <w:rFonts w:ascii="Times New Roman" w:hAnsi="Times New Roman" w:cs="Times New Roman"/>
          <w:color w:val="000000" w:themeColor="text1"/>
          <w:sz w:val="24"/>
          <w:szCs w:val="24"/>
        </w:rPr>
        <w:t xml:space="preserve">(Table </w:t>
      </w:r>
      <w:r w:rsidR="00B9198D"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results suggest</w:t>
      </w:r>
      <w:r w:rsidR="009D0D5D">
        <w:rPr>
          <w:rFonts w:ascii="Times New Roman" w:eastAsia="Times New Roman" w:hAnsi="Times New Roman" w:cs="Times New Roman"/>
          <w:sz w:val="24"/>
          <w:szCs w:val="24"/>
          <w:lang w:eastAsia="en-IN"/>
        </w:rPr>
        <w:t xml:space="preserve">ed </w:t>
      </w:r>
      <w:r w:rsidRPr="00D457D1">
        <w:rPr>
          <w:rFonts w:ascii="Times New Roman" w:eastAsia="Times New Roman" w:hAnsi="Times New Roman" w:cs="Times New Roman"/>
          <w:sz w:val="24"/>
          <w:szCs w:val="24"/>
          <w:lang w:eastAsia="en-IN"/>
        </w:rPr>
        <w:t>that water stress caused a minor delay in flowering, with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showing the most consistent both conditions.</w:t>
      </w:r>
      <w:r w:rsidRPr="00D457D1">
        <w:rPr>
          <w:rFonts w:ascii="Times New Roman" w:hAnsi="Times New Roman" w:cs="Times New Roman"/>
          <w:color w:val="000000" w:themeColor="text1"/>
          <w:sz w:val="24"/>
          <w:szCs w:val="24"/>
        </w:rPr>
        <w:t xml:space="preserve"> </w:t>
      </w:r>
      <w:r w:rsidRPr="00D457D1">
        <w:rPr>
          <w:rFonts w:ascii="Times New Roman" w:eastAsia="Times New Roman" w:hAnsi="Times New Roman" w:cs="Times New Roman"/>
          <w:sz w:val="24"/>
          <w:szCs w:val="24"/>
          <w:lang w:eastAsia="en-IN"/>
        </w:rPr>
        <w:t>These observations support</w:t>
      </w:r>
      <w:r w:rsidR="009D0D5D">
        <w:rPr>
          <w:rFonts w:ascii="Times New Roman" w:eastAsia="Times New Roman" w:hAnsi="Times New Roman" w:cs="Times New Roman"/>
          <w:sz w:val="24"/>
          <w:szCs w:val="24"/>
          <w:lang w:eastAsia="en-IN"/>
        </w:rPr>
        <w:t xml:space="preserve">ed </w:t>
      </w:r>
      <w:r w:rsidRPr="00D457D1">
        <w:rPr>
          <w:rFonts w:ascii="Times New Roman" w:eastAsia="Times New Roman" w:hAnsi="Times New Roman" w:cs="Times New Roman"/>
          <w:sz w:val="24"/>
          <w:szCs w:val="24"/>
          <w:lang w:eastAsia="en-IN"/>
        </w:rPr>
        <w:t xml:space="preserve">the </w:t>
      </w:r>
      <w:r w:rsidRPr="00D457D1">
        <w:rPr>
          <w:rFonts w:ascii="Times New Roman" w:eastAsia="Times New Roman" w:hAnsi="Times New Roman" w:cs="Times New Roman"/>
          <w:color w:val="000000" w:themeColor="text1"/>
          <w:sz w:val="24"/>
          <w:szCs w:val="24"/>
          <w:lang w:eastAsia="en-IN"/>
        </w:rPr>
        <w:t xml:space="preserve">conclusions drawn by </w:t>
      </w:r>
      <w:proofErr w:type="spellStart"/>
      <w:r w:rsidRPr="00D457D1">
        <w:rPr>
          <w:rFonts w:ascii="Times New Roman" w:eastAsia="Times New Roman" w:hAnsi="Times New Roman" w:cs="Times New Roman"/>
          <w:color w:val="000000" w:themeColor="text1"/>
          <w:sz w:val="24"/>
          <w:szCs w:val="24"/>
          <w:lang w:eastAsia="en-IN"/>
        </w:rPr>
        <w:t>Shivalli</w:t>
      </w:r>
      <w:proofErr w:type="spellEnd"/>
      <w:r w:rsidRPr="00D457D1">
        <w:rPr>
          <w:rFonts w:ascii="Times New Roman" w:eastAsia="Times New Roman" w:hAnsi="Times New Roman" w:cs="Times New Roman"/>
          <w:color w:val="000000" w:themeColor="text1"/>
          <w:sz w:val="24"/>
          <w:szCs w:val="24"/>
          <w:lang w:eastAsia="en-IN"/>
        </w:rPr>
        <w:t xml:space="preserve"> (2000), who found </w:t>
      </w:r>
      <w:r w:rsidRPr="00D457D1">
        <w:rPr>
          <w:rFonts w:ascii="Times New Roman" w:eastAsia="Times New Roman" w:hAnsi="Times New Roman" w:cs="Times New Roman"/>
          <w:sz w:val="24"/>
          <w:szCs w:val="24"/>
          <w:lang w:eastAsia="en-IN"/>
        </w:rPr>
        <w:t xml:space="preserve">that genotype M35-1 took the longest duration from 50% flowering to maturity and recorded higher grain yield. </w:t>
      </w:r>
    </w:p>
    <w:p w14:paraId="61E99B0C" w14:textId="6BED675D" w:rsidR="008564E2" w:rsidRPr="000B3819" w:rsidRDefault="008564E2" w:rsidP="00184EC8">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3.17. Time taken to g</w:t>
      </w:r>
      <w:r w:rsidRPr="000B3819">
        <w:rPr>
          <w:rFonts w:ascii="Times New Roman" w:eastAsia="Times New Roman" w:hAnsi="Times New Roman" w:cs="Times New Roman"/>
          <w:b/>
          <w:bCs/>
          <w:sz w:val="24"/>
          <w:szCs w:val="24"/>
          <w:lang w:eastAsia="en-IN"/>
        </w:rPr>
        <w:t>rain maturity</w:t>
      </w:r>
      <w:r>
        <w:rPr>
          <w:rFonts w:ascii="Times New Roman" w:eastAsia="Times New Roman" w:hAnsi="Times New Roman" w:cs="Times New Roman"/>
          <w:b/>
          <w:bCs/>
          <w:sz w:val="24"/>
          <w:szCs w:val="24"/>
          <w:lang w:eastAsia="en-IN"/>
        </w:rPr>
        <w:t xml:space="preserve"> (TGM)</w:t>
      </w:r>
    </w:p>
    <w:p w14:paraId="59EDFE6A" w14:textId="016352EA" w:rsidR="008564E2" w:rsidRDefault="008564E2" w:rsidP="00184EC8">
      <w:pPr>
        <w:autoSpaceDE w:val="0"/>
        <w:autoSpaceDN w:val="0"/>
        <w:adjustRightInd w:val="0"/>
        <w:spacing w:line="360" w:lineRule="auto"/>
        <w:rPr>
          <w:rFonts w:ascii="Times New Roman" w:eastAsia="Times New Roman" w:hAnsi="Times New Roman" w:cs="Times New Roman"/>
          <w:color w:val="000000" w:themeColor="text1"/>
          <w:sz w:val="24"/>
          <w:szCs w:val="24"/>
          <w:lang w:eastAsia="en-IN"/>
        </w:rPr>
      </w:pPr>
      <w:r w:rsidRPr="00D457D1">
        <w:rPr>
          <w:rFonts w:ascii="Times New Roman" w:eastAsia="Times New Roman" w:hAnsi="Times New Roman" w:cs="Times New Roman"/>
          <w:color w:val="000000" w:themeColor="text1"/>
          <w:sz w:val="24"/>
          <w:szCs w:val="24"/>
          <w:lang w:eastAsia="en-IN"/>
        </w:rPr>
        <w:t>The grain maturity data show</w:t>
      </w:r>
      <w:r w:rsidR="009D0D5D">
        <w:rPr>
          <w:rFonts w:ascii="Times New Roman" w:eastAsia="Times New Roman" w:hAnsi="Times New Roman" w:cs="Times New Roman"/>
          <w:color w:val="000000" w:themeColor="text1"/>
          <w:sz w:val="24"/>
          <w:szCs w:val="24"/>
          <w:lang w:eastAsia="en-IN"/>
        </w:rPr>
        <w:t>ed</w:t>
      </w:r>
      <w:r w:rsidRPr="00D457D1">
        <w:rPr>
          <w:rFonts w:ascii="Times New Roman" w:eastAsia="Times New Roman" w:hAnsi="Times New Roman" w:cs="Times New Roman"/>
          <w:color w:val="000000" w:themeColor="text1"/>
          <w:sz w:val="24"/>
          <w:szCs w:val="24"/>
          <w:lang w:eastAsia="en-IN"/>
        </w:rPr>
        <w:t xml:space="preserve"> a range of maturity times across the genotypes. The earliest grain maturity was recorded for E36-1 at 112.47 days, while the latest was observed for Phule Vasudha at 122.3 days. Other notable maturity times include 122.12 days for K359W, 119.87 days for CRS1, and 119.7 days for </w:t>
      </w:r>
      <w:proofErr w:type="spellStart"/>
      <w:r w:rsidRPr="00D457D1">
        <w:rPr>
          <w:rFonts w:ascii="Times New Roman" w:eastAsia="Times New Roman" w:hAnsi="Times New Roman" w:cs="Times New Roman"/>
          <w:color w:val="000000" w:themeColor="text1"/>
          <w:sz w:val="24"/>
          <w:szCs w:val="24"/>
          <w:lang w:eastAsia="en-IN"/>
        </w:rPr>
        <w:t>Parbhani</w:t>
      </w:r>
      <w:proofErr w:type="spellEnd"/>
      <w:r w:rsidRPr="00D457D1">
        <w:rPr>
          <w:rFonts w:ascii="Times New Roman" w:eastAsia="Times New Roman" w:hAnsi="Times New Roman" w:cs="Times New Roman"/>
          <w:color w:val="000000" w:themeColor="text1"/>
          <w:sz w:val="24"/>
          <w:szCs w:val="24"/>
          <w:lang w:eastAsia="en-IN"/>
        </w:rPr>
        <w:t xml:space="preserve"> Moti (Table </w:t>
      </w:r>
      <w:r w:rsidR="00B9198D" w:rsidRPr="00D457D1">
        <w:rPr>
          <w:rFonts w:ascii="Times New Roman" w:eastAsia="Times New Roman" w:hAnsi="Times New Roman" w:cs="Times New Roman"/>
          <w:color w:val="000000" w:themeColor="text1"/>
          <w:sz w:val="24"/>
          <w:szCs w:val="24"/>
          <w:lang w:eastAsia="en-IN"/>
        </w:rPr>
        <w:t>2</w:t>
      </w:r>
      <w:r w:rsidRPr="00D457D1">
        <w:rPr>
          <w:rFonts w:ascii="Times New Roman" w:eastAsia="Times New Roman" w:hAnsi="Times New Roman" w:cs="Times New Roman"/>
          <w:color w:val="000000" w:themeColor="text1"/>
          <w:sz w:val="24"/>
          <w:szCs w:val="24"/>
          <w:lang w:eastAsia="en-IN"/>
        </w:rPr>
        <w:t>). These values highlight</w:t>
      </w:r>
      <w:r w:rsidR="00A92300">
        <w:rPr>
          <w:rFonts w:ascii="Times New Roman" w:eastAsia="Times New Roman" w:hAnsi="Times New Roman" w:cs="Times New Roman"/>
          <w:color w:val="000000" w:themeColor="text1"/>
          <w:sz w:val="24"/>
          <w:szCs w:val="24"/>
          <w:lang w:eastAsia="en-IN"/>
        </w:rPr>
        <w:t>ed</w:t>
      </w:r>
      <w:r w:rsidRPr="00D457D1">
        <w:rPr>
          <w:rFonts w:ascii="Times New Roman" w:eastAsia="Times New Roman" w:hAnsi="Times New Roman" w:cs="Times New Roman"/>
          <w:color w:val="000000" w:themeColor="text1"/>
          <w:sz w:val="24"/>
          <w:szCs w:val="24"/>
          <w:lang w:eastAsia="en-IN"/>
        </w:rPr>
        <w:t xml:space="preserve"> the variation in grain maturity across the different genotypes. The days to grain maturity under water stress (WS) conditions show</w:t>
      </w:r>
      <w:r w:rsidR="00A92300">
        <w:rPr>
          <w:rFonts w:ascii="Times New Roman" w:eastAsia="Times New Roman" w:hAnsi="Times New Roman" w:cs="Times New Roman"/>
          <w:color w:val="000000" w:themeColor="text1"/>
          <w:sz w:val="24"/>
          <w:szCs w:val="24"/>
          <w:lang w:eastAsia="en-IN"/>
        </w:rPr>
        <w:t>ed</w:t>
      </w:r>
      <w:r w:rsidRPr="00D457D1">
        <w:rPr>
          <w:rFonts w:ascii="Times New Roman" w:eastAsia="Times New Roman" w:hAnsi="Times New Roman" w:cs="Times New Roman"/>
          <w:color w:val="000000" w:themeColor="text1"/>
          <w:sz w:val="24"/>
          <w:szCs w:val="24"/>
          <w:lang w:eastAsia="en-IN"/>
        </w:rPr>
        <w:t xml:space="preserve"> slight variation among the genotypes. The earliest maturity was observed in E36-1, with a value of 115.62 days, followed by K260 at 116.87 days and 296B at 117.57 days. Other genotypes such as R16 (117.86 days), M35-1 (118.82 days), and CRS1 (119.27 days) also matured relatively early. The latest grain maturity was observed in Phule Vasudha, with 123.15 days, followed by </w:t>
      </w:r>
      <w:proofErr w:type="spellStart"/>
      <w:r w:rsidRPr="00D457D1">
        <w:rPr>
          <w:rFonts w:ascii="Times New Roman" w:eastAsia="Times New Roman" w:hAnsi="Times New Roman" w:cs="Times New Roman"/>
          <w:color w:val="000000" w:themeColor="text1"/>
          <w:sz w:val="24"/>
          <w:szCs w:val="24"/>
          <w:lang w:eastAsia="en-IN"/>
        </w:rPr>
        <w:t>Parbhani</w:t>
      </w:r>
      <w:proofErr w:type="spellEnd"/>
      <w:r w:rsidRPr="00D457D1">
        <w:rPr>
          <w:rFonts w:ascii="Times New Roman" w:eastAsia="Times New Roman" w:hAnsi="Times New Roman" w:cs="Times New Roman"/>
          <w:color w:val="000000" w:themeColor="text1"/>
          <w:sz w:val="24"/>
          <w:szCs w:val="24"/>
          <w:lang w:eastAsia="en-IN"/>
        </w:rPr>
        <w:t xml:space="preserve"> Moti at 120.02 days and B35 at 119.2 days </w:t>
      </w:r>
      <w:r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color w:val="000000" w:themeColor="text1"/>
          <w:sz w:val="24"/>
          <w:szCs w:val="24"/>
          <w:lang w:eastAsia="en-IN"/>
        </w:rPr>
        <w:t>. These values indicate</w:t>
      </w:r>
      <w:r w:rsidR="00A92300">
        <w:rPr>
          <w:rFonts w:ascii="Times New Roman" w:eastAsia="Times New Roman" w:hAnsi="Times New Roman" w:cs="Times New Roman"/>
          <w:color w:val="000000" w:themeColor="text1"/>
          <w:sz w:val="24"/>
          <w:szCs w:val="24"/>
          <w:lang w:eastAsia="en-IN"/>
        </w:rPr>
        <w:t>d</w:t>
      </w:r>
      <w:r w:rsidRPr="00D457D1">
        <w:rPr>
          <w:rFonts w:ascii="Times New Roman" w:eastAsia="Times New Roman" w:hAnsi="Times New Roman" w:cs="Times New Roman"/>
          <w:color w:val="000000" w:themeColor="text1"/>
          <w:sz w:val="24"/>
          <w:szCs w:val="24"/>
          <w:lang w:eastAsia="en-IN"/>
        </w:rPr>
        <w:t xml:space="preserve"> that, under water stress, certain genotypes reach maturity faster than others, with E36-1 and K260 showing earlier maturity compared to the rest. The </w:t>
      </w:r>
      <w:r w:rsidR="00A92300">
        <w:rPr>
          <w:rFonts w:ascii="Times New Roman" w:eastAsia="Times New Roman" w:hAnsi="Times New Roman" w:cs="Times New Roman"/>
          <w:color w:val="000000" w:themeColor="text1"/>
          <w:sz w:val="24"/>
          <w:szCs w:val="24"/>
          <w:lang w:eastAsia="en-IN"/>
        </w:rPr>
        <w:t>d</w:t>
      </w:r>
      <w:r w:rsidRPr="00D457D1">
        <w:rPr>
          <w:rFonts w:ascii="Times New Roman" w:eastAsia="Times New Roman" w:hAnsi="Times New Roman" w:cs="Times New Roman"/>
          <w:color w:val="000000" w:themeColor="text1"/>
          <w:sz w:val="24"/>
          <w:szCs w:val="24"/>
          <w:lang w:eastAsia="en-IN"/>
        </w:rPr>
        <w:t xml:space="preserve">ays to </w:t>
      </w:r>
      <w:r w:rsidR="00A92300">
        <w:rPr>
          <w:rFonts w:ascii="Times New Roman" w:eastAsia="Times New Roman" w:hAnsi="Times New Roman" w:cs="Times New Roman"/>
          <w:color w:val="000000" w:themeColor="text1"/>
          <w:sz w:val="24"/>
          <w:szCs w:val="24"/>
          <w:lang w:eastAsia="en-IN"/>
        </w:rPr>
        <w:t>g</w:t>
      </w:r>
      <w:r w:rsidRPr="00D457D1">
        <w:rPr>
          <w:rFonts w:ascii="Times New Roman" w:eastAsia="Times New Roman" w:hAnsi="Times New Roman" w:cs="Times New Roman"/>
          <w:color w:val="000000" w:themeColor="text1"/>
          <w:sz w:val="24"/>
          <w:szCs w:val="24"/>
          <w:lang w:eastAsia="en-IN"/>
        </w:rPr>
        <w:t xml:space="preserve">rain </w:t>
      </w:r>
      <w:r w:rsidR="00A92300">
        <w:rPr>
          <w:rFonts w:ascii="Times New Roman" w:eastAsia="Times New Roman" w:hAnsi="Times New Roman" w:cs="Times New Roman"/>
          <w:color w:val="000000" w:themeColor="text1"/>
          <w:sz w:val="24"/>
          <w:szCs w:val="24"/>
          <w:lang w:eastAsia="en-IN"/>
        </w:rPr>
        <w:t>m</w:t>
      </w:r>
      <w:r w:rsidRPr="00D457D1">
        <w:rPr>
          <w:rFonts w:ascii="Times New Roman" w:eastAsia="Times New Roman" w:hAnsi="Times New Roman" w:cs="Times New Roman"/>
          <w:color w:val="000000" w:themeColor="text1"/>
          <w:sz w:val="24"/>
          <w:szCs w:val="24"/>
          <w:lang w:eastAsia="en-IN"/>
        </w:rPr>
        <w:t>aturity trait show</w:t>
      </w:r>
      <w:r w:rsidR="00A92300">
        <w:rPr>
          <w:rFonts w:ascii="Times New Roman" w:eastAsia="Times New Roman" w:hAnsi="Times New Roman" w:cs="Times New Roman"/>
          <w:color w:val="000000" w:themeColor="text1"/>
          <w:sz w:val="24"/>
          <w:szCs w:val="24"/>
          <w:lang w:eastAsia="en-IN"/>
        </w:rPr>
        <w:t xml:space="preserve">ed </w:t>
      </w:r>
      <w:r w:rsidRPr="00D457D1">
        <w:rPr>
          <w:rFonts w:ascii="Times New Roman" w:eastAsia="Times New Roman" w:hAnsi="Times New Roman" w:cs="Times New Roman"/>
          <w:color w:val="000000" w:themeColor="text1"/>
          <w:sz w:val="24"/>
          <w:szCs w:val="24"/>
          <w:lang w:eastAsia="en-IN"/>
        </w:rPr>
        <w:t>a decrease under water stress (WS) for most genotypes compared to well-watered (WW) conditions. For R16, the days to maturity decreased from 116.41 days under WW to 113.87 days under WS, indicating that water stress slightly accelerated the maturity. Similarly, F</w:t>
      </w:r>
      <w:r w:rsidRPr="00D457D1">
        <w:rPr>
          <w:rFonts w:ascii="Times New Roman" w:eastAsia="Times New Roman" w:hAnsi="Times New Roman" w:cs="Times New Roman"/>
          <w:color w:val="000000" w:themeColor="text1"/>
          <w:sz w:val="24"/>
          <w:szCs w:val="24"/>
          <w:vertAlign w:val="subscript"/>
          <w:lang w:eastAsia="en-IN"/>
        </w:rPr>
        <w:t>3</w:t>
      </w:r>
      <w:r w:rsidRPr="00D457D1">
        <w:rPr>
          <w:rFonts w:ascii="Times New Roman" w:eastAsia="Times New Roman" w:hAnsi="Times New Roman" w:cs="Times New Roman"/>
          <w:color w:val="000000" w:themeColor="text1"/>
          <w:sz w:val="24"/>
          <w:szCs w:val="24"/>
          <w:lang w:eastAsia="en-IN"/>
        </w:rPr>
        <w:t xml:space="preserve"> recombinants also showed a small decrease from 119.14 days under WW to 119.11 days under WS, while K359W had a slight decrease from 122.13 days under WW to 121.41 days under WS </w:t>
      </w:r>
      <w:r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color w:val="000000" w:themeColor="text1"/>
          <w:sz w:val="24"/>
          <w:szCs w:val="24"/>
          <w:lang w:eastAsia="en-IN"/>
        </w:rPr>
        <w:t>. These results suggest</w:t>
      </w:r>
      <w:r w:rsidR="00A92300">
        <w:rPr>
          <w:rFonts w:ascii="Times New Roman" w:eastAsia="Times New Roman" w:hAnsi="Times New Roman" w:cs="Times New Roman"/>
          <w:color w:val="000000" w:themeColor="text1"/>
          <w:sz w:val="24"/>
          <w:szCs w:val="24"/>
          <w:lang w:eastAsia="en-IN"/>
        </w:rPr>
        <w:t xml:space="preserve">ed </w:t>
      </w:r>
      <w:r w:rsidRPr="00D457D1">
        <w:rPr>
          <w:rFonts w:ascii="Times New Roman" w:eastAsia="Times New Roman" w:hAnsi="Times New Roman" w:cs="Times New Roman"/>
          <w:color w:val="000000" w:themeColor="text1"/>
          <w:sz w:val="24"/>
          <w:szCs w:val="24"/>
          <w:lang w:eastAsia="en-IN"/>
        </w:rPr>
        <w:t>that water stress slightly reduced the time to grain maturity for all genotypes, with R16 showing the most notable reduction in maturity days under water stress.</w:t>
      </w:r>
      <w:bookmarkStart w:id="4" w:name="_Hlk181085177"/>
      <w:r w:rsidRPr="00D457D1">
        <w:rPr>
          <w:rFonts w:ascii="Times New Roman" w:eastAsia="Times New Roman" w:hAnsi="Times New Roman" w:cs="Times New Roman"/>
          <w:color w:val="000000" w:themeColor="text1"/>
          <w:sz w:val="24"/>
          <w:szCs w:val="24"/>
          <w:lang w:eastAsia="en-IN"/>
        </w:rPr>
        <w:t xml:space="preserve"> </w:t>
      </w:r>
      <w:bookmarkEnd w:id="4"/>
      <w:r w:rsidRPr="00D457D1">
        <w:rPr>
          <w:rFonts w:ascii="Times New Roman" w:eastAsia="Times New Roman" w:hAnsi="Times New Roman" w:cs="Times New Roman"/>
          <w:color w:val="000000" w:themeColor="text1"/>
          <w:sz w:val="24"/>
          <w:szCs w:val="24"/>
          <w:lang w:eastAsia="en-IN"/>
        </w:rPr>
        <w:t>Our results align</w:t>
      </w:r>
      <w:r w:rsidR="00A92300">
        <w:rPr>
          <w:rFonts w:ascii="Times New Roman" w:eastAsia="Times New Roman" w:hAnsi="Times New Roman" w:cs="Times New Roman"/>
          <w:color w:val="000000" w:themeColor="text1"/>
          <w:sz w:val="24"/>
          <w:szCs w:val="24"/>
          <w:lang w:eastAsia="en-IN"/>
        </w:rPr>
        <w:t xml:space="preserve">ed </w:t>
      </w:r>
      <w:r w:rsidRPr="00D457D1">
        <w:rPr>
          <w:rFonts w:ascii="Times New Roman" w:eastAsia="Times New Roman" w:hAnsi="Times New Roman" w:cs="Times New Roman"/>
          <w:color w:val="000000" w:themeColor="text1"/>
          <w:sz w:val="24"/>
          <w:szCs w:val="24"/>
          <w:lang w:eastAsia="en-IN"/>
        </w:rPr>
        <w:t xml:space="preserve">with Abebe et al. (2021), where the longest days to maturity (DTM) were recorded for the developed progeny, ranging from 114 to 126.7 days, with B35 at 116.9 days. About 23% of the converted progeny showed significant delays in DTM, likely due to high vegetative growth, characteristic of the </w:t>
      </w:r>
      <w:r w:rsidRPr="00D457D1">
        <w:rPr>
          <w:rFonts w:ascii="Times New Roman" w:eastAsia="Times New Roman" w:hAnsi="Times New Roman" w:cs="Times New Roman"/>
          <w:color w:val="000000" w:themeColor="text1"/>
          <w:sz w:val="24"/>
          <w:szCs w:val="24"/>
          <w:lang w:eastAsia="en-IN"/>
        </w:rPr>
        <w:lastRenderedPageBreak/>
        <w:t xml:space="preserve">"stay-green" </w:t>
      </w:r>
      <w:proofErr w:type="spellStart"/>
      <w:r w:rsidRPr="00D457D1">
        <w:rPr>
          <w:rFonts w:ascii="Times New Roman" w:eastAsia="Times New Roman" w:hAnsi="Times New Roman" w:cs="Times New Roman"/>
          <w:color w:val="000000" w:themeColor="text1"/>
          <w:sz w:val="24"/>
          <w:szCs w:val="24"/>
          <w:lang w:eastAsia="en-IN"/>
        </w:rPr>
        <w:t>behavior</w:t>
      </w:r>
      <w:proofErr w:type="spellEnd"/>
      <w:r w:rsidRPr="00D457D1">
        <w:rPr>
          <w:rFonts w:ascii="Times New Roman" w:eastAsia="Times New Roman" w:hAnsi="Times New Roman" w:cs="Times New Roman"/>
          <w:color w:val="000000" w:themeColor="text1"/>
          <w:sz w:val="24"/>
          <w:szCs w:val="24"/>
          <w:lang w:eastAsia="en-IN"/>
        </w:rPr>
        <w:t xml:space="preserve">. Borrell et al. (2000) observed a similar delay in physiological maturity in A35 (stay-green) hybrids. </w:t>
      </w:r>
    </w:p>
    <w:p w14:paraId="1A46074B" w14:textId="08192390" w:rsidR="008564E2" w:rsidRPr="000B3819" w:rsidRDefault="008564E2" w:rsidP="00184EC8">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Pr="000B3819">
        <w:rPr>
          <w:rFonts w:ascii="Times New Roman" w:eastAsia="Times New Roman" w:hAnsi="Times New Roman" w:cs="Times New Roman"/>
          <w:b/>
          <w:bCs/>
          <w:sz w:val="24"/>
          <w:szCs w:val="24"/>
          <w:lang w:eastAsia="en-IN"/>
        </w:rPr>
        <w:t>18</w:t>
      </w:r>
      <w:r>
        <w:rPr>
          <w:rFonts w:ascii="Times New Roman" w:eastAsia="Times New Roman" w:hAnsi="Times New Roman" w:cs="Times New Roman"/>
          <w:b/>
          <w:bCs/>
          <w:sz w:val="24"/>
          <w:szCs w:val="24"/>
          <w:lang w:eastAsia="en-IN"/>
        </w:rPr>
        <w:t>.</w:t>
      </w:r>
      <w:r w:rsidRPr="000B3819">
        <w:rPr>
          <w:rFonts w:ascii="Times New Roman" w:eastAsia="Times New Roman" w:hAnsi="Times New Roman" w:cs="Times New Roman"/>
          <w:b/>
          <w:bCs/>
          <w:sz w:val="24"/>
          <w:szCs w:val="24"/>
          <w:lang w:eastAsia="en-IN"/>
        </w:rPr>
        <w:t xml:space="preserve"> Harvested panicle per plant</w:t>
      </w:r>
      <w:r>
        <w:rPr>
          <w:rFonts w:ascii="Times New Roman" w:eastAsia="Times New Roman" w:hAnsi="Times New Roman" w:cs="Times New Roman"/>
          <w:b/>
          <w:bCs/>
          <w:sz w:val="24"/>
          <w:szCs w:val="24"/>
          <w:lang w:eastAsia="en-IN"/>
        </w:rPr>
        <w:t xml:space="preserve"> (HPPP)</w:t>
      </w:r>
    </w:p>
    <w:p w14:paraId="0B929979" w14:textId="27533B97" w:rsidR="008564E2" w:rsidRPr="00D457D1" w:rsidRDefault="008564E2" w:rsidP="00184EC8">
      <w:pPr>
        <w:autoSpaceDE w:val="0"/>
        <w:autoSpaceDN w:val="0"/>
        <w:adjustRightInd w:val="0"/>
        <w:spacing w:line="360" w:lineRule="auto"/>
        <w:rPr>
          <w:rFonts w:ascii="Times New Roman" w:eastAsia="Times New Roman" w:hAnsi="Times New Roman" w:cs="Times New Roman"/>
          <w:sz w:val="24"/>
          <w:szCs w:val="24"/>
          <w:lang w:eastAsia="en-IN"/>
        </w:rPr>
      </w:pPr>
      <w:r w:rsidRPr="00D457D1">
        <w:rPr>
          <w:rFonts w:ascii="Times New Roman" w:eastAsia="Times New Roman" w:hAnsi="Times New Roman" w:cs="Times New Roman"/>
          <w:sz w:val="24"/>
          <w:szCs w:val="24"/>
          <w:lang w:eastAsia="en-IN"/>
        </w:rPr>
        <w:t>The harvested panicle per plant data show</w:t>
      </w:r>
      <w:r w:rsidR="00A92300">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variation in panicle production across the genotypes. The highest number of panicles per plant was recorded for Phule Vasudha at 6.5, followed closely by E36-1 at 6.25 and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5.75. Other notable values include</w:t>
      </w:r>
      <w:r w:rsidR="00A92300">
        <w:rPr>
          <w:rFonts w:ascii="Times New Roman" w:eastAsia="Times New Roman" w:hAnsi="Times New Roman" w:cs="Times New Roman"/>
          <w:sz w:val="24"/>
          <w:szCs w:val="24"/>
          <w:lang w:eastAsia="en-IN"/>
        </w:rPr>
        <w:t>d</w:t>
      </w:r>
      <w:r w:rsidRPr="00D457D1">
        <w:rPr>
          <w:rFonts w:ascii="Times New Roman" w:eastAsia="Times New Roman" w:hAnsi="Times New Roman" w:cs="Times New Roman"/>
          <w:sz w:val="24"/>
          <w:szCs w:val="24"/>
          <w:lang w:eastAsia="en-IN"/>
        </w:rPr>
        <w:t xml:space="preserve"> 5.5 for M35-1, 5.25 for K260 and CRS1, and 4.75 for 296B (Table </w:t>
      </w:r>
      <w:r w:rsidR="00E71AF3" w:rsidRPr="00D457D1">
        <w:rPr>
          <w:rFonts w:ascii="Times New Roman" w:eastAsia="Times New Roman" w:hAnsi="Times New Roman" w:cs="Times New Roman"/>
          <w:sz w:val="24"/>
          <w:szCs w:val="24"/>
          <w:lang w:eastAsia="en-IN"/>
        </w:rPr>
        <w:t>2</w:t>
      </w:r>
      <w:r w:rsidRPr="00D457D1">
        <w:rPr>
          <w:rFonts w:ascii="Times New Roman" w:eastAsia="Times New Roman" w:hAnsi="Times New Roman" w:cs="Times New Roman"/>
          <w:sz w:val="24"/>
          <w:szCs w:val="24"/>
          <w:lang w:eastAsia="en-IN"/>
        </w:rPr>
        <w:t>). The lowest number of panicles was observed for R16 at 3.75. These values demonstrate</w:t>
      </w:r>
      <w:r w:rsidR="00A92300">
        <w:rPr>
          <w:rFonts w:ascii="Times New Roman" w:eastAsia="Times New Roman" w:hAnsi="Times New Roman" w:cs="Times New Roman"/>
          <w:sz w:val="24"/>
          <w:szCs w:val="24"/>
          <w:lang w:eastAsia="en-IN"/>
        </w:rPr>
        <w:t xml:space="preserve">d </w:t>
      </w:r>
      <w:r w:rsidRPr="00D457D1">
        <w:rPr>
          <w:rFonts w:ascii="Times New Roman" w:eastAsia="Times New Roman" w:hAnsi="Times New Roman" w:cs="Times New Roman"/>
          <w:sz w:val="24"/>
          <w:szCs w:val="24"/>
          <w:lang w:eastAsia="en-IN"/>
        </w:rPr>
        <w:t>the differences in panicle production per plant among the genotypes. The number of harvested panicles per plant under water stress (WS) conditions varie</w:t>
      </w:r>
      <w:r w:rsidR="00A92300">
        <w:rPr>
          <w:rFonts w:ascii="Times New Roman" w:eastAsia="Times New Roman" w:hAnsi="Times New Roman" w:cs="Times New Roman"/>
          <w:sz w:val="24"/>
          <w:szCs w:val="24"/>
          <w:lang w:eastAsia="en-IN"/>
        </w:rPr>
        <w:t xml:space="preserve">d </w:t>
      </w:r>
      <w:r w:rsidRPr="00D457D1">
        <w:rPr>
          <w:rFonts w:ascii="Times New Roman" w:eastAsia="Times New Roman" w:hAnsi="Times New Roman" w:cs="Times New Roman"/>
          <w:sz w:val="24"/>
          <w:szCs w:val="24"/>
          <w:lang w:eastAsia="en-IN"/>
        </w:rPr>
        <w:t xml:space="preserve">among the genotypes. The lowest number of panicles was observed for R16 with 3.37, followed by M35-1 at 3.54 and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3.69. The highest number of panicles per plant was recorded for E36-1 at 5.35, followed by K260 at 5.14 and 296B at 4.52. Other genotypes, such as B35 and CRS1, had intermediate values of 4, and Phule Vasudha recorded 4.25 </w:t>
      </w:r>
      <w:r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results suggest</w:t>
      </w:r>
      <w:r w:rsidR="00A92300">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that certain genotypes, like E36-1 and K260, perform better in terms of panicle production under water stress conditions, while others, like R16, show</w:t>
      </w:r>
      <w:r w:rsidR="00A92300">
        <w:rPr>
          <w:rFonts w:ascii="Times New Roman" w:eastAsia="Times New Roman" w:hAnsi="Times New Roman" w:cs="Times New Roman"/>
          <w:sz w:val="24"/>
          <w:szCs w:val="24"/>
          <w:lang w:eastAsia="en-IN"/>
        </w:rPr>
        <w:t xml:space="preserve">ed </w:t>
      </w:r>
      <w:r w:rsidRPr="00D457D1">
        <w:rPr>
          <w:rFonts w:ascii="Times New Roman" w:eastAsia="Times New Roman" w:hAnsi="Times New Roman" w:cs="Times New Roman"/>
          <w:sz w:val="24"/>
          <w:szCs w:val="24"/>
          <w:lang w:eastAsia="en-IN"/>
        </w:rPr>
        <w:t xml:space="preserve">a lower number of harvested panicles per plant. The </w:t>
      </w:r>
      <w:r w:rsidR="00A92300">
        <w:rPr>
          <w:rFonts w:ascii="Times New Roman" w:eastAsia="Times New Roman" w:hAnsi="Times New Roman" w:cs="Times New Roman"/>
          <w:sz w:val="24"/>
          <w:szCs w:val="24"/>
          <w:lang w:eastAsia="en-IN"/>
        </w:rPr>
        <w:t>h</w:t>
      </w:r>
      <w:r w:rsidRPr="00D457D1">
        <w:rPr>
          <w:rFonts w:ascii="Times New Roman" w:eastAsia="Times New Roman" w:hAnsi="Times New Roman" w:cs="Times New Roman"/>
          <w:sz w:val="24"/>
          <w:szCs w:val="24"/>
          <w:lang w:eastAsia="en-IN"/>
        </w:rPr>
        <w:t xml:space="preserve">arvested </w:t>
      </w:r>
      <w:r w:rsidR="00A92300">
        <w:rPr>
          <w:rFonts w:ascii="Times New Roman" w:eastAsia="Times New Roman" w:hAnsi="Times New Roman" w:cs="Times New Roman"/>
          <w:sz w:val="24"/>
          <w:szCs w:val="24"/>
          <w:lang w:eastAsia="en-IN"/>
        </w:rPr>
        <w:t>p</w:t>
      </w:r>
      <w:r w:rsidRPr="00D457D1">
        <w:rPr>
          <w:rFonts w:ascii="Times New Roman" w:eastAsia="Times New Roman" w:hAnsi="Times New Roman" w:cs="Times New Roman"/>
          <w:sz w:val="24"/>
          <w:szCs w:val="24"/>
          <w:lang w:eastAsia="en-IN"/>
        </w:rPr>
        <w:t xml:space="preserve">anicle per </w:t>
      </w:r>
      <w:r w:rsidR="00A92300">
        <w:rPr>
          <w:rFonts w:ascii="Times New Roman" w:eastAsia="Times New Roman" w:hAnsi="Times New Roman" w:cs="Times New Roman"/>
          <w:sz w:val="24"/>
          <w:szCs w:val="24"/>
          <w:lang w:eastAsia="en-IN"/>
        </w:rPr>
        <w:t>p</w:t>
      </w:r>
      <w:r w:rsidRPr="00D457D1">
        <w:rPr>
          <w:rFonts w:ascii="Times New Roman" w:eastAsia="Times New Roman" w:hAnsi="Times New Roman" w:cs="Times New Roman"/>
          <w:sz w:val="24"/>
          <w:szCs w:val="24"/>
          <w:lang w:eastAsia="en-IN"/>
        </w:rPr>
        <w:t>lant trait show</w:t>
      </w:r>
      <w:r w:rsidR="00A92300">
        <w:rPr>
          <w:rFonts w:ascii="Times New Roman" w:eastAsia="Times New Roman" w:hAnsi="Times New Roman" w:cs="Times New Roman"/>
          <w:sz w:val="24"/>
          <w:szCs w:val="24"/>
          <w:lang w:eastAsia="en-IN"/>
        </w:rPr>
        <w:t xml:space="preserve">ed </w:t>
      </w:r>
      <w:r w:rsidRPr="00D457D1">
        <w:rPr>
          <w:rFonts w:ascii="Times New Roman" w:eastAsia="Times New Roman" w:hAnsi="Times New Roman" w:cs="Times New Roman"/>
          <w:sz w:val="24"/>
          <w:szCs w:val="24"/>
          <w:lang w:eastAsia="en-IN"/>
        </w:rPr>
        <w:t>a decrease under water stress (WS) for all genotypes compared to well-watered (WW) conditions. For R16, the number of harvested panicles per plant decreased from 3.58 under WW to 3.38 under WS, indicating a slight reduction due to water stress. Similarly,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exhibited a decline from 4.07 under WW to 2.99 under WS, showing a more significant decrease under water stress. K359W also showed a decrease from 4.38 under WW to 3.5 under WS </w:t>
      </w:r>
      <w:r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results suggest</w:t>
      </w:r>
      <w:r w:rsidR="00A92300">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that water stress negatively impacts the number of harvested panicles per plant, with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experiencing the most substantial reduction.</w:t>
      </w:r>
    </w:p>
    <w:p w14:paraId="1216668A" w14:textId="5CBD72E2"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3.19. </w:t>
      </w:r>
      <w:bookmarkStart w:id="5" w:name="_Hlk196478989"/>
      <w:r>
        <w:rPr>
          <w:rFonts w:ascii="Times New Roman" w:hAnsi="Times New Roman" w:cs="Times New Roman"/>
          <w:b/>
          <w:bCs/>
          <w:color w:val="000000" w:themeColor="text1"/>
          <w:sz w:val="24"/>
          <w:szCs w:val="24"/>
        </w:rPr>
        <w:t>Threshold g</w:t>
      </w:r>
      <w:r w:rsidRPr="000B3819">
        <w:rPr>
          <w:rFonts w:ascii="Times New Roman" w:hAnsi="Times New Roman" w:cs="Times New Roman"/>
          <w:b/>
          <w:bCs/>
          <w:color w:val="000000" w:themeColor="text1"/>
          <w:sz w:val="24"/>
          <w:szCs w:val="24"/>
        </w:rPr>
        <w:t>rain dry weight</w:t>
      </w:r>
      <w:r>
        <w:rPr>
          <w:rFonts w:ascii="Times New Roman" w:hAnsi="Times New Roman" w:cs="Times New Roman"/>
          <w:b/>
          <w:bCs/>
          <w:color w:val="000000" w:themeColor="text1"/>
          <w:sz w:val="24"/>
          <w:szCs w:val="24"/>
        </w:rPr>
        <w:t xml:space="preserve"> (TGDW, g)</w:t>
      </w:r>
    </w:p>
    <w:bookmarkEnd w:id="5"/>
    <w:p w14:paraId="00687CBA" w14:textId="6213C750" w:rsidR="008564E2" w:rsidRDefault="008564E2" w:rsidP="00184EC8">
      <w:pPr>
        <w:autoSpaceDE w:val="0"/>
        <w:autoSpaceDN w:val="0"/>
        <w:adjustRightInd w:val="0"/>
        <w:spacing w:line="360" w:lineRule="auto"/>
        <w:rPr>
          <w:rFonts w:ascii="Times New Roman" w:eastAsia="Times New Roman" w:hAnsi="Times New Roman" w:cs="Times New Roman"/>
          <w:sz w:val="24"/>
          <w:szCs w:val="24"/>
          <w:lang w:eastAsia="en-IN"/>
        </w:rPr>
      </w:pPr>
      <w:r w:rsidRPr="00D457D1">
        <w:rPr>
          <w:rFonts w:ascii="Times New Roman" w:eastAsia="Times New Roman" w:hAnsi="Times New Roman" w:cs="Times New Roman"/>
          <w:sz w:val="24"/>
          <w:szCs w:val="24"/>
          <w:lang w:eastAsia="en-IN"/>
        </w:rPr>
        <w:t>The grain dry weight data show</w:t>
      </w:r>
      <w:r w:rsidR="00A92300">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a range of values across the genotypes. The highest grain dry weight was recorded for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238.87, followed by E36-1 at 207.87 and Phule Vasudha at 206.75. Other notable values include</w:t>
      </w:r>
      <w:r w:rsidR="003324B1">
        <w:rPr>
          <w:rFonts w:ascii="Times New Roman" w:eastAsia="Times New Roman" w:hAnsi="Times New Roman" w:cs="Times New Roman"/>
          <w:sz w:val="24"/>
          <w:szCs w:val="24"/>
          <w:lang w:eastAsia="en-IN"/>
        </w:rPr>
        <w:t xml:space="preserve">d </w:t>
      </w:r>
      <w:r w:rsidRPr="00D457D1">
        <w:rPr>
          <w:rFonts w:ascii="Times New Roman" w:eastAsia="Times New Roman" w:hAnsi="Times New Roman" w:cs="Times New Roman"/>
          <w:sz w:val="24"/>
          <w:szCs w:val="24"/>
          <w:lang w:eastAsia="en-IN"/>
        </w:rPr>
        <w:t xml:space="preserve">202.6 for M35-1, 201.22 for K359W, and 188.57 for K260. The lowest grain dry weight was observed for R16 at 166.52, followed by 296B at 168.5 (Table </w:t>
      </w:r>
      <w:r w:rsidR="00E71AF3" w:rsidRPr="00D457D1">
        <w:rPr>
          <w:rFonts w:ascii="Times New Roman" w:eastAsia="Times New Roman" w:hAnsi="Times New Roman" w:cs="Times New Roman"/>
          <w:sz w:val="24"/>
          <w:szCs w:val="24"/>
          <w:lang w:eastAsia="en-IN"/>
        </w:rPr>
        <w:t>2</w:t>
      </w:r>
      <w:r w:rsidRPr="00D457D1">
        <w:rPr>
          <w:rFonts w:ascii="Times New Roman" w:eastAsia="Times New Roman" w:hAnsi="Times New Roman" w:cs="Times New Roman"/>
          <w:sz w:val="24"/>
          <w:szCs w:val="24"/>
          <w:lang w:eastAsia="en-IN"/>
        </w:rPr>
        <w:t>). These values highlight</w:t>
      </w:r>
      <w:r w:rsidR="003324B1">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the variation in grain dry weight across the different genotypes. The grain dry weight under water stress (WS) conditions show</w:t>
      </w:r>
      <w:r w:rsidR="003324B1">
        <w:rPr>
          <w:rFonts w:ascii="Times New Roman" w:eastAsia="Times New Roman" w:hAnsi="Times New Roman" w:cs="Times New Roman"/>
          <w:sz w:val="24"/>
          <w:szCs w:val="24"/>
          <w:lang w:eastAsia="en-IN"/>
        </w:rPr>
        <w:t xml:space="preserve">ed </w:t>
      </w:r>
      <w:r w:rsidRPr="00D457D1">
        <w:rPr>
          <w:rFonts w:ascii="Times New Roman" w:eastAsia="Times New Roman" w:hAnsi="Times New Roman" w:cs="Times New Roman"/>
          <w:sz w:val="24"/>
          <w:szCs w:val="24"/>
          <w:lang w:eastAsia="en-IN"/>
        </w:rPr>
        <w:t xml:space="preserve">significant variation across the genotypes. The </w:t>
      </w:r>
      <w:r w:rsidRPr="00D457D1">
        <w:rPr>
          <w:rFonts w:ascii="Times New Roman" w:eastAsia="Times New Roman" w:hAnsi="Times New Roman" w:cs="Times New Roman"/>
          <w:sz w:val="24"/>
          <w:szCs w:val="24"/>
          <w:lang w:eastAsia="en-IN"/>
        </w:rPr>
        <w:lastRenderedPageBreak/>
        <w:t xml:space="preserve">highest grain dry weight was observed for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204 g, followed closely by Phule Vasudha at 196 g. Other genotypes with relatively high grain dry weight include</w:t>
      </w:r>
      <w:r w:rsidR="003324B1">
        <w:rPr>
          <w:rFonts w:ascii="Times New Roman" w:eastAsia="Times New Roman" w:hAnsi="Times New Roman" w:cs="Times New Roman"/>
          <w:sz w:val="24"/>
          <w:szCs w:val="24"/>
          <w:lang w:eastAsia="en-IN"/>
        </w:rPr>
        <w:t xml:space="preserve">d </w:t>
      </w:r>
      <w:r w:rsidRPr="00D457D1">
        <w:rPr>
          <w:rFonts w:ascii="Times New Roman" w:eastAsia="Times New Roman" w:hAnsi="Times New Roman" w:cs="Times New Roman"/>
          <w:sz w:val="24"/>
          <w:szCs w:val="24"/>
          <w:lang w:eastAsia="en-IN"/>
        </w:rPr>
        <w:t xml:space="preserve">K359W at 189.32 g and E36-1 at 185 g. The lowest grain dry weight was recorded for R16 at 136.37 g, followed by 296B at 160.5 g and CRS1 at 149.92 g. Genotypes such as K260 (175 g), M35-1 (163.9 g), and B35 (166.82 g) showed moderate grain dry weight values </w:t>
      </w:r>
      <w:r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results highlight that certain genotypes, like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and Phule Vasudha, are more productive under water stress in terms of grain dry weight, while others, like R16 and 296B, perform less efficiently. The grain dry weight trait shows a decrease under water stress (WS) for all genotypes when compared to well-watered (WW) conditions. For R16, the grain dry weight decreased from 166.53 under WW to 136.38 under WS, indicating a notable reduction due to water stress. Similarly,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exhibited a decrease from 185.03 under WW to 125.52 under WS, showing a significant decline. K359W also experienced a reduction, from 201.23 under WW to 192.47 under WS </w:t>
      </w:r>
      <w:r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results suggest that water stress negatively impacts the grain dry weight across all genotypes, with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showing the largest decrease. This observation </w:t>
      </w:r>
      <w:r w:rsidR="003324B1">
        <w:rPr>
          <w:rFonts w:ascii="Times New Roman" w:eastAsia="Times New Roman" w:hAnsi="Times New Roman" w:cs="Times New Roman"/>
          <w:sz w:val="24"/>
          <w:szCs w:val="24"/>
          <w:lang w:eastAsia="en-IN"/>
        </w:rPr>
        <w:t xml:space="preserve">was </w:t>
      </w:r>
      <w:r w:rsidRPr="00D457D1">
        <w:rPr>
          <w:rFonts w:ascii="Times New Roman" w:eastAsia="Times New Roman" w:hAnsi="Times New Roman" w:cs="Times New Roman"/>
          <w:sz w:val="24"/>
          <w:szCs w:val="24"/>
          <w:lang w:eastAsia="en-IN"/>
        </w:rPr>
        <w:t xml:space="preserve">consistent with the </w:t>
      </w:r>
      <w:r w:rsidRPr="00D457D1">
        <w:rPr>
          <w:rFonts w:ascii="Times New Roman" w:eastAsia="Times New Roman" w:hAnsi="Times New Roman" w:cs="Times New Roman"/>
          <w:color w:val="000000" w:themeColor="text1"/>
          <w:sz w:val="24"/>
          <w:szCs w:val="24"/>
          <w:lang w:eastAsia="en-IN"/>
        </w:rPr>
        <w:t xml:space="preserve">findings of </w:t>
      </w:r>
      <w:proofErr w:type="spellStart"/>
      <w:r w:rsidRPr="00D457D1">
        <w:rPr>
          <w:rFonts w:ascii="Times New Roman" w:eastAsia="Times New Roman" w:hAnsi="Times New Roman" w:cs="Times New Roman"/>
          <w:color w:val="000000" w:themeColor="text1"/>
          <w:sz w:val="24"/>
          <w:szCs w:val="24"/>
          <w:lang w:eastAsia="en-IN"/>
        </w:rPr>
        <w:t>Adotey</w:t>
      </w:r>
      <w:proofErr w:type="spellEnd"/>
      <w:r w:rsidRPr="00D457D1">
        <w:rPr>
          <w:rFonts w:ascii="Times New Roman" w:eastAsia="Times New Roman" w:hAnsi="Times New Roman" w:cs="Times New Roman"/>
          <w:color w:val="000000" w:themeColor="text1"/>
          <w:sz w:val="24"/>
          <w:szCs w:val="24"/>
          <w:lang w:eastAsia="en-IN"/>
        </w:rPr>
        <w:t xml:space="preserve"> et al. (20</w:t>
      </w:r>
      <w:r w:rsidR="00DA521D">
        <w:rPr>
          <w:rFonts w:ascii="Times New Roman" w:eastAsia="Times New Roman" w:hAnsi="Times New Roman" w:cs="Times New Roman"/>
          <w:color w:val="000000" w:themeColor="text1"/>
          <w:sz w:val="24"/>
          <w:szCs w:val="24"/>
          <w:lang w:eastAsia="en-IN"/>
        </w:rPr>
        <w:t>21</w:t>
      </w:r>
      <w:r w:rsidRPr="00D457D1">
        <w:rPr>
          <w:rFonts w:ascii="Times New Roman" w:eastAsia="Times New Roman" w:hAnsi="Times New Roman" w:cs="Times New Roman"/>
          <w:color w:val="000000" w:themeColor="text1"/>
          <w:sz w:val="24"/>
          <w:szCs w:val="24"/>
          <w:lang w:eastAsia="en-IN"/>
        </w:rPr>
        <w:t xml:space="preserve">), who reported </w:t>
      </w:r>
      <w:r w:rsidRPr="00D457D1">
        <w:rPr>
          <w:rFonts w:ascii="Times New Roman" w:eastAsia="Times New Roman" w:hAnsi="Times New Roman" w:cs="Times New Roman"/>
          <w:sz w:val="24"/>
          <w:szCs w:val="24"/>
          <w:lang w:eastAsia="en-IN"/>
        </w:rPr>
        <w:t xml:space="preserve">that total grain yield of all genotypes was reduced under water-deficit stress, though the reduction was not significant for P898012, SC1103, and SC35, with RTx430 showing the least reduction. </w:t>
      </w:r>
    </w:p>
    <w:p w14:paraId="43858EB6" w14:textId="611A7362" w:rsidR="008564E2" w:rsidRPr="000B3819" w:rsidRDefault="008564E2" w:rsidP="00184EC8">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Pr="000B3819">
        <w:rPr>
          <w:rFonts w:ascii="Times New Roman" w:eastAsia="Times New Roman" w:hAnsi="Times New Roman" w:cs="Times New Roman"/>
          <w:b/>
          <w:bCs/>
          <w:sz w:val="24"/>
          <w:szCs w:val="24"/>
          <w:lang w:eastAsia="en-IN"/>
        </w:rPr>
        <w:t>20</w:t>
      </w:r>
      <w:r>
        <w:rPr>
          <w:rFonts w:ascii="Times New Roman" w:eastAsia="Times New Roman" w:hAnsi="Times New Roman" w:cs="Times New Roman"/>
          <w:b/>
          <w:bCs/>
          <w:sz w:val="24"/>
          <w:szCs w:val="24"/>
          <w:lang w:eastAsia="en-IN"/>
        </w:rPr>
        <w:t>.</w:t>
      </w:r>
      <w:r w:rsidRPr="000B3819">
        <w:rPr>
          <w:rFonts w:ascii="Times New Roman" w:eastAsia="Times New Roman" w:hAnsi="Times New Roman" w:cs="Times New Roman"/>
          <w:b/>
          <w:bCs/>
          <w:sz w:val="24"/>
          <w:szCs w:val="24"/>
          <w:lang w:eastAsia="en-IN"/>
        </w:rPr>
        <w:t xml:space="preserve"> Grain yield per plant</w:t>
      </w:r>
      <w:r>
        <w:rPr>
          <w:rFonts w:ascii="Times New Roman" w:eastAsia="Times New Roman" w:hAnsi="Times New Roman" w:cs="Times New Roman"/>
          <w:b/>
          <w:bCs/>
          <w:sz w:val="24"/>
          <w:szCs w:val="24"/>
          <w:lang w:eastAsia="en-IN"/>
        </w:rPr>
        <w:t xml:space="preserve"> (GYPP, g)</w:t>
      </w:r>
    </w:p>
    <w:p w14:paraId="75C0BD39" w14:textId="152FFDAE" w:rsidR="008564E2" w:rsidRPr="00D457D1" w:rsidRDefault="008564E2" w:rsidP="00184EC8">
      <w:pPr>
        <w:autoSpaceDE w:val="0"/>
        <w:autoSpaceDN w:val="0"/>
        <w:adjustRightInd w:val="0"/>
        <w:spacing w:line="360" w:lineRule="auto"/>
        <w:rPr>
          <w:rFonts w:ascii="Times New Roman" w:eastAsia="Times New Roman" w:hAnsi="Times New Roman" w:cs="Times New Roman"/>
          <w:color w:val="000000" w:themeColor="text1"/>
          <w:sz w:val="24"/>
          <w:szCs w:val="24"/>
          <w:lang w:eastAsia="en-IN"/>
        </w:rPr>
      </w:pPr>
      <w:r w:rsidRPr="00D457D1">
        <w:rPr>
          <w:rFonts w:ascii="Times New Roman" w:eastAsia="Times New Roman" w:hAnsi="Times New Roman" w:cs="Times New Roman"/>
          <w:sz w:val="24"/>
          <w:szCs w:val="24"/>
          <w:lang w:eastAsia="en-IN"/>
        </w:rPr>
        <w:t xml:space="preserve">The grain yield per plant data shows a range of yields across the genotypes. The highest grain yield per plant was recorded for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69.62, closely followed by E36-1 at 69.29 and Phule Vasudha at 68.91. Other notable yields include</w:t>
      </w:r>
      <w:r w:rsidR="003324B1">
        <w:rPr>
          <w:rFonts w:ascii="Times New Roman" w:eastAsia="Times New Roman" w:hAnsi="Times New Roman" w:cs="Times New Roman"/>
          <w:sz w:val="24"/>
          <w:szCs w:val="24"/>
          <w:lang w:eastAsia="en-IN"/>
        </w:rPr>
        <w:t xml:space="preserve">d </w:t>
      </w:r>
      <w:r w:rsidRPr="00D457D1">
        <w:rPr>
          <w:rFonts w:ascii="Times New Roman" w:eastAsia="Times New Roman" w:hAnsi="Times New Roman" w:cs="Times New Roman"/>
          <w:sz w:val="24"/>
          <w:szCs w:val="24"/>
          <w:lang w:eastAsia="en-IN"/>
        </w:rPr>
        <w:t xml:space="preserve">67.07 for K359W, 62.85 for K260, and 62.83 for CRS1. The lowest yield per plant was observed for 296B at 54.82, followed by R16 at 55.5 and M35-1 at 56.87 (Table </w:t>
      </w:r>
      <w:r w:rsidR="00E71AF3" w:rsidRPr="00D457D1">
        <w:rPr>
          <w:rFonts w:ascii="Times New Roman" w:eastAsia="Times New Roman" w:hAnsi="Times New Roman" w:cs="Times New Roman"/>
          <w:sz w:val="24"/>
          <w:szCs w:val="24"/>
          <w:lang w:eastAsia="en-IN"/>
        </w:rPr>
        <w:t>2</w:t>
      </w:r>
      <w:r w:rsidRPr="00D457D1">
        <w:rPr>
          <w:rFonts w:ascii="Times New Roman" w:eastAsia="Times New Roman" w:hAnsi="Times New Roman" w:cs="Times New Roman"/>
          <w:sz w:val="24"/>
          <w:szCs w:val="24"/>
          <w:lang w:eastAsia="en-IN"/>
        </w:rPr>
        <w:t>). These values highlight the variation in grain yield per plant among the different genotypes. The grain yield per plant under water stress (WS) conditions show</w:t>
      </w:r>
      <w:r w:rsidR="003324B1">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notable differences across the genotypes. The highest grain yield was observed </w:t>
      </w:r>
      <w:r w:rsidR="003324B1">
        <w:rPr>
          <w:rFonts w:ascii="Times New Roman" w:eastAsia="Times New Roman" w:hAnsi="Times New Roman" w:cs="Times New Roman"/>
          <w:sz w:val="24"/>
          <w:szCs w:val="24"/>
          <w:lang w:eastAsia="en-IN"/>
        </w:rPr>
        <w:t>in</w:t>
      </w:r>
      <w:r w:rsidRPr="00D457D1">
        <w:rPr>
          <w:rFonts w:ascii="Times New Roman" w:eastAsia="Times New Roman" w:hAnsi="Times New Roman" w:cs="Times New Roman"/>
          <w:sz w:val="24"/>
          <w:szCs w:val="24"/>
          <w:lang w:eastAsia="en-IN"/>
        </w:rPr>
        <w:t xml:space="preserve"> E36-1 at 61.69 g, followed by K260 at 58.34 g. Other genotypes with relatively high grain yields include K359W at 53.11 g and B35 at 52.27 g. The lowest grain yields were recorded for M35-1 at 41.32 g and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43.26 g. Other genotypes, such as R16 (45.45 g), CRS1 (46.64 g), and Phule Vasudha (45.33 g), exhibited moderate grain yield values </w:t>
      </w:r>
      <w:r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results indicate that certain genotypes, like E36-1 and K260, perform better in terms of grain yield under water stress, while others, such as M35-1, show lower productivity. The </w:t>
      </w:r>
      <w:r w:rsidRPr="00D457D1">
        <w:rPr>
          <w:rFonts w:ascii="Times New Roman" w:eastAsia="Times New Roman" w:hAnsi="Times New Roman" w:cs="Times New Roman"/>
          <w:sz w:val="24"/>
          <w:szCs w:val="24"/>
          <w:lang w:eastAsia="en-IN"/>
        </w:rPr>
        <w:lastRenderedPageBreak/>
        <w:t>grain yield per plant trait shows a decrease under water stress (WS) for all genotypes compared to well-watered (WW) conditions. In well-watered (WW) conditions, K359W had the maximum grain yield per plant at 67.08, while in water stress (WS) conditions, R16 had the maximum yield of 53.11. For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the highest yield under WW was 61.68, and under WS, it was 45.46 </w:t>
      </w:r>
      <w:r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results suggest</w:t>
      </w:r>
      <w:r w:rsidR="002F04A0">
        <w:rPr>
          <w:rFonts w:ascii="Times New Roman" w:eastAsia="Times New Roman" w:hAnsi="Times New Roman" w:cs="Times New Roman"/>
          <w:sz w:val="24"/>
          <w:szCs w:val="24"/>
          <w:lang w:eastAsia="en-IN"/>
        </w:rPr>
        <w:t xml:space="preserve">ed </w:t>
      </w:r>
      <w:r w:rsidRPr="00D457D1">
        <w:rPr>
          <w:rFonts w:ascii="Times New Roman" w:eastAsia="Times New Roman" w:hAnsi="Times New Roman" w:cs="Times New Roman"/>
          <w:sz w:val="24"/>
          <w:szCs w:val="24"/>
          <w:lang w:eastAsia="en-IN"/>
        </w:rPr>
        <w:t>that K359W performs the best in WW conditions, while R16 perform</w:t>
      </w:r>
      <w:r w:rsidR="002F04A0">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the best under WS conditions. Our </w:t>
      </w:r>
      <w:r w:rsidRPr="00D457D1">
        <w:rPr>
          <w:rFonts w:ascii="Times New Roman" w:eastAsia="Times New Roman" w:hAnsi="Times New Roman" w:cs="Times New Roman"/>
          <w:color w:val="000000" w:themeColor="text1"/>
          <w:sz w:val="24"/>
          <w:szCs w:val="24"/>
          <w:lang w:eastAsia="en-IN"/>
        </w:rPr>
        <w:t>results align</w:t>
      </w:r>
      <w:r w:rsidR="002F04A0">
        <w:rPr>
          <w:rFonts w:ascii="Times New Roman" w:eastAsia="Times New Roman" w:hAnsi="Times New Roman" w:cs="Times New Roman"/>
          <w:color w:val="000000" w:themeColor="text1"/>
          <w:sz w:val="24"/>
          <w:szCs w:val="24"/>
          <w:lang w:eastAsia="en-IN"/>
        </w:rPr>
        <w:t>ed</w:t>
      </w:r>
      <w:r w:rsidRPr="00D457D1">
        <w:rPr>
          <w:rFonts w:ascii="Times New Roman" w:eastAsia="Times New Roman" w:hAnsi="Times New Roman" w:cs="Times New Roman"/>
          <w:color w:val="000000" w:themeColor="text1"/>
          <w:sz w:val="24"/>
          <w:szCs w:val="24"/>
          <w:lang w:eastAsia="en-IN"/>
        </w:rPr>
        <w:t xml:space="preserve"> with Abebe et al. (2021) </w:t>
      </w:r>
      <w:r w:rsidRPr="00D457D1">
        <w:rPr>
          <w:rFonts w:ascii="Times New Roman" w:eastAsia="Times New Roman" w:hAnsi="Times New Roman" w:cs="Times New Roman"/>
          <w:sz w:val="24"/>
          <w:szCs w:val="24"/>
          <w:lang w:eastAsia="en-IN"/>
        </w:rPr>
        <w:t xml:space="preserve">reported higher yields in stay-green lines under drought, with Stg3 boosting yield up to 186.1%. </w:t>
      </w:r>
    </w:p>
    <w:p w14:paraId="7E282B84" w14:textId="2B1ED315" w:rsidR="008564E2" w:rsidRPr="000B3819" w:rsidRDefault="008564E2" w:rsidP="00184EC8">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Pr="000B3819">
        <w:rPr>
          <w:rFonts w:ascii="Times New Roman" w:eastAsia="Times New Roman" w:hAnsi="Times New Roman" w:cs="Times New Roman"/>
          <w:b/>
          <w:bCs/>
          <w:sz w:val="24"/>
          <w:szCs w:val="24"/>
          <w:lang w:eastAsia="en-IN"/>
        </w:rPr>
        <w:t>21</w:t>
      </w:r>
      <w:r>
        <w:rPr>
          <w:rFonts w:ascii="Times New Roman" w:eastAsia="Times New Roman" w:hAnsi="Times New Roman" w:cs="Times New Roman"/>
          <w:b/>
          <w:bCs/>
          <w:sz w:val="24"/>
          <w:szCs w:val="24"/>
          <w:lang w:eastAsia="en-IN"/>
        </w:rPr>
        <w:t>.</w:t>
      </w:r>
      <w:r w:rsidRPr="000B3819">
        <w:rPr>
          <w:rFonts w:ascii="Times New Roman" w:eastAsia="Times New Roman" w:hAnsi="Times New Roman" w:cs="Times New Roman"/>
          <w:b/>
          <w:bCs/>
          <w:sz w:val="24"/>
          <w:szCs w:val="24"/>
          <w:lang w:eastAsia="en-IN"/>
        </w:rPr>
        <w:t xml:space="preserve"> Dry stover weight</w:t>
      </w:r>
      <w:r>
        <w:rPr>
          <w:rFonts w:ascii="Times New Roman" w:eastAsia="Times New Roman" w:hAnsi="Times New Roman" w:cs="Times New Roman"/>
          <w:b/>
          <w:bCs/>
          <w:sz w:val="24"/>
          <w:szCs w:val="24"/>
          <w:lang w:eastAsia="en-IN"/>
        </w:rPr>
        <w:t xml:space="preserve"> (DSW, g)</w:t>
      </w:r>
    </w:p>
    <w:p w14:paraId="661A51E0" w14:textId="28D008A6" w:rsidR="008564E2" w:rsidRDefault="008564E2" w:rsidP="00184EC8">
      <w:pPr>
        <w:autoSpaceDE w:val="0"/>
        <w:autoSpaceDN w:val="0"/>
        <w:adjustRightInd w:val="0"/>
        <w:spacing w:line="360" w:lineRule="auto"/>
        <w:rPr>
          <w:rFonts w:ascii="Times New Roman" w:eastAsia="Times New Roman" w:hAnsi="Times New Roman" w:cs="Times New Roman"/>
          <w:sz w:val="24"/>
          <w:szCs w:val="24"/>
          <w:lang w:eastAsia="en-IN"/>
        </w:rPr>
      </w:pPr>
      <w:r w:rsidRPr="00D457D1">
        <w:rPr>
          <w:rFonts w:ascii="Times New Roman" w:eastAsia="Times New Roman" w:hAnsi="Times New Roman" w:cs="Times New Roman"/>
          <w:sz w:val="24"/>
          <w:szCs w:val="24"/>
          <w:lang w:eastAsia="en-IN"/>
        </w:rPr>
        <w:t xml:space="preserve">The dry </w:t>
      </w:r>
      <w:proofErr w:type="spellStart"/>
      <w:r w:rsidRPr="00D457D1">
        <w:rPr>
          <w:rFonts w:ascii="Times New Roman" w:eastAsia="Times New Roman" w:hAnsi="Times New Roman" w:cs="Times New Roman"/>
          <w:sz w:val="24"/>
          <w:szCs w:val="24"/>
          <w:lang w:eastAsia="en-IN"/>
        </w:rPr>
        <w:t>stover</w:t>
      </w:r>
      <w:proofErr w:type="spellEnd"/>
      <w:r w:rsidRPr="00D457D1">
        <w:rPr>
          <w:rFonts w:ascii="Times New Roman" w:eastAsia="Times New Roman" w:hAnsi="Times New Roman" w:cs="Times New Roman"/>
          <w:sz w:val="24"/>
          <w:szCs w:val="24"/>
          <w:lang w:eastAsia="en-IN"/>
        </w:rPr>
        <w:t xml:space="preserve"> weight data show</w:t>
      </w:r>
      <w:r w:rsidR="002F04A0">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variation in biomass production across the genotypes. The highest dry stover weight was recorded for Phule Vasudha at 925.85, followed closely by CRS1 at 921.47 and M35-1 at 856.35. Other notable values include</w:t>
      </w:r>
      <w:r w:rsidR="002F04A0">
        <w:rPr>
          <w:rFonts w:ascii="Times New Roman" w:eastAsia="Times New Roman" w:hAnsi="Times New Roman" w:cs="Times New Roman"/>
          <w:sz w:val="24"/>
          <w:szCs w:val="24"/>
          <w:lang w:eastAsia="en-IN"/>
        </w:rPr>
        <w:t xml:space="preserve">d </w:t>
      </w:r>
      <w:r w:rsidRPr="00D457D1">
        <w:rPr>
          <w:rFonts w:ascii="Times New Roman" w:eastAsia="Times New Roman" w:hAnsi="Times New Roman" w:cs="Times New Roman"/>
          <w:sz w:val="24"/>
          <w:szCs w:val="24"/>
          <w:lang w:eastAsia="en-IN"/>
        </w:rPr>
        <w:t xml:space="preserve">852.76 for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823.83 for K359W, and 749.17 for R16. The lowest dry stover weight was observed for 296B at 629.97, followed by K260 at 671.8 and B35 at 652.05 (Table </w:t>
      </w:r>
      <w:r w:rsidR="005365A8" w:rsidRPr="00D457D1">
        <w:rPr>
          <w:rFonts w:ascii="Times New Roman" w:eastAsia="Times New Roman" w:hAnsi="Times New Roman" w:cs="Times New Roman"/>
          <w:sz w:val="24"/>
          <w:szCs w:val="24"/>
          <w:lang w:eastAsia="en-IN"/>
        </w:rPr>
        <w:t>2</w:t>
      </w:r>
      <w:r w:rsidRPr="00D457D1">
        <w:rPr>
          <w:rFonts w:ascii="Times New Roman" w:eastAsia="Times New Roman" w:hAnsi="Times New Roman" w:cs="Times New Roman"/>
          <w:sz w:val="24"/>
          <w:szCs w:val="24"/>
          <w:lang w:eastAsia="en-IN"/>
        </w:rPr>
        <w:t>). These values reflect</w:t>
      </w:r>
      <w:r w:rsidR="002F04A0">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the differences in dry stover weight among the genotypes. The dry stover weight under water stress (WS) conditions varie</w:t>
      </w:r>
      <w:r w:rsidR="002F04A0">
        <w:rPr>
          <w:rFonts w:ascii="Times New Roman" w:eastAsia="Times New Roman" w:hAnsi="Times New Roman" w:cs="Times New Roman"/>
          <w:sz w:val="24"/>
          <w:szCs w:val="24"/>
          <w:lang w:eastAsia="en-IN"/>
        </w:rPr>
        <w:t>d</w:t>
      </w:r>
      <w:r w:rsidRPr="00D457D1">
        <w:rPr>
          <w:rFonts w:ascii="Times New Roman" w:eastAsia="Times New Roman" w:hAnsi="Times New Roman" w:cs="Times New Roman"/>
          <w:sz w:val="24"/>
          <w:szCs w:val="24"/>
          <w:lang w:eastAsia="en-IN"/>
        </w:rPr>
        <w:t xml:space="preserve"> among the genotypes. The highest dry stover weight was observed for K359W at 636.1 g, followed by 296B at 587.07 g and K260 at 576.60 g. Other genotypes with notable dry </w:t>
      </w:r>
      <w:proofErr w:type="spellStart"/>
      <w:r w:rsidRPr="00D457D1">
        <w:rPr>
          <w:rFonts w:ascii="Times New Roman" w:eastAsia="Times New Roman" w:hAnsi="Times New Roman" w:cs="Times New Roman"/>
          <w:sz w:val="24"/>
          <w:szCs w:val="24"/>
          <w:lang w:eastAsia="en-IN"/>
        </w:rPr>
        <w:t>stover</w:t>
      </w:r>
      <w:proofErr w:type="spellEnd"/>
      <w:r w:rsidRPr="00D457D1">
        <w:rPr>
          <w:rFonts w:ascii="Times New Roman" w:eastAsia="Times New Roman" w:hAnsi="Times New Roman" w:cs="Times New Roman"/>
          <w:sz w:val="24"/>
          <w:szCs w:val="24"/>
          <w:lang w:eastAsia="en-IN"/>
        </w:rPr>
        <w:t xml:space="preserve"> weights include</w:t>
      </w:r>
      <w:r w:rsidR="002F04A0">
        <w:rPr>
          <w:rFonts w:ascii="Times New Roman" w:eastAsia="Times New Roman" w:hAnsi="Times New Roman" w:cs="Times New Roman"/>
          <w:sz w:val="24"/>
          <w:szCs w:val="24"/>
          <w:lang w:eastAsia="en-IN"/>
        </w:rPr>
        <w:t>d</w:t>
      </w:r>
      <w:r w:rsidRPr="00D457D1">
        <w:rPr>
          <w:rFonts w:ascii="Times New Roman" w:eastAsia="Times New Roman" w:hAnsi="Times New Roman" w:cs="Times New Roman"/>
          <w:sz w:val="24"/>
          <w:szCs w:val="24"/>
          <w:lang w:eastAsia="en-IN"/>
        </w:rPr>
        <w:t xml:space="preserve"> B35 at 553.12 g and Phule Vasudha at 552.5 g. The lowest dry stover weight was recorded for CRS1 at 449 g, followed by R16 at 482.1 g and M35-1 at 525.1 g. E36-1 also showed a moderate value of 536.9 g </w:t>
      </w:r>
      <w:r w:rsidRPr="00D457D1">
        <w:rPr>
          <w:rFonts w:ascii="Times New Roman" w:hAnsi="Times New Roman" w:cs="Times New Roman"/>
          <w:color w:val="000000" w:themeColor="text1"/>
          <w:sz w:val="24"/>
          <w:szCs w:val="24"/>
        </w:rPr>
        <w:t>(Table.</w:t>
      </w:r>
      <w:r w:rsidR="005365A8"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results suggest</w:t>
      </w:r>
      <w:r w:rsidR="002F04A0">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that some genotypes, like K359W and 296B, accumulate</w:t>
      </w:r>
      <w:r w:rsidR="002F04A0">
        <w:rPr>
          <w:rFonts w:ascii="Times New Roman" w:eastAsia="Times New Roman" w:hAnsi="Times New Roman" w:cs="Times New Roman"/>
          <w:sz w:val="24"/>
          <w:szCs w:val="24"/>
          <w:lang w:eastAsia="en-IN"/>
        </w:rPr>
        <w:t>d</w:t>
      </w:r>
      <w:r w:rsidRPr="00D457D1">
        <w:rPr>
          <w:rFonts w:ascii="Times New Roman" w:eastAsia="Times New Roman" w:hAnsi="Times New Roman" w:cs="Times New Roman"/>
          <w:sz w:val="24"/>
          <w:szCs w:val="24"/>
          <w:lang w:eastAsia="en-IN"/>
        </w:rPr>
        <w:t xml:space="preserve"> </w:t>
      </w:r>
      <w:proofErr w:type="gramStart"/>
      <w:r w:rsidRPr="00D457D1">
        <w:rPr>
          <w:rFonts w:ascii="Times New Roman" w:eastAsia="Times New Roman" w:hAnsi="Times New Roman" w:cs="Times New Roman"/>
          <w:sz w:val="24"/>
          <w:szCs w:val="24"/>
          <w:lang w:eastAsia="en-IN"/>
        </w:rPr>
        <w:t>more dry</w:t>
      </w:r>
      <w:proofErr w:type="gramEnd"/>
      <w:r w:rsidRPr="00D457D1">
        <w:rPr>
          <w:rFonts w:ascii="Times New Roman" w:eastAsia="Times New Roman" w:hAnsi="Times New Roman" w:cs="Times New Roman"/>
          <w:sz w:val="24"/>
          <w:szCs w:val="24"/>
          <w:lang w:eastAsia="en-IN"/>
        </w:rPr>
        <w:t xml:space="preserve"> </w:t>
      </w:r>
      <w:proofErr w:type="spellStart"/>
      <w:r w:rsidRPr="00D457D1">
        <w:rPr>
          <w:rFonts w:ascii="Times New Roman" w:eastAsia="Times New Roman" w:hAnsi="Times New Roman" w:cs="Times New Roman"/>
          <w:sz w:val="24"/>
          <w:szCs w:val="24"/>
          <w:lang w:eastAsia="en-IN"/>
        </w:rPr>
        <w:t>stover</w:t>
      </w:r>
      <w:proofErr w:type="spellEnd"/>
      <w:r w:rsidRPr="00D457D1">
        <w:rPr>
          <w:rFonts w:ascii="Times New Roman" w:eastAsia="Times New Roman" w:hAnsi="Times New Roman" w:cs="Times New Roman"/>
          <w:sz w:val="24"/>
          <w:szCs w:val="24"/>
          <w:lang w:eastAsia="en-IN"/>
        </w:rPr>
        <w:t xml:space="preserve"> under water stress, while others, such as CRS1 and R16, exhibit lower dry stover weight. For the </w:t>
      </w:r>
      <w:r w:rsidR="002F04A0">
        <w:rPr>
          <w:rFonts w:ascii="Times New Roman" w:eastAsia="Times New Roman" w:hAnsi="Times New Roman" w:cs="Times New Roman"/>
          <w:sz w:val="24"/>
          <w:szCs w:val="24"/>
          <w:lang w:eastAsia="en-IN"/>
        </w:rPr>
        <w:t>d</w:t>
      </w:r>
      <w:r w:rsidRPr="00D457D1">
        <w:rPr>
          <w:rFonts w:ascii="Times New Roman" w:eastAsia="Times New Roman" w:hAnsi="Times New Roman" w:cs="Times New Roman"/>
          <w:sz w:val="24"/>
          <w:szCs w:val="24"/>
          <w:lang w:eastAsia="en-IN"/>
        </w:rPr>
        <w:t xml:space="preserve">ry </w:t>
      </w:r>
      <w:proofErr w:type="spellStart"/>
      <w:r w:rsidR="002F04A0">
        <w:rPr>
          <w:rFonts w:ascii="Times New Roman" w:eastAsia="Times New Roman" w:hAnsi="Times New Roman" w:cs="Times New Roman"/>
          <w:sz w:val="24"/>
          <w:szCs w:val="24"/>
          <w:lang w:eastAsia="en-IN"/>
        </w:rPr>
        <w:t>s</w:t>
      </w:r>
      <w:r w:rsidRPr="00D457D1">
        <w:rPr>
          <w:rFonts w:ascii="Times New Roman" w:eastAsia="Times New Roman" w:hAnsi="Times New Roman" w:cs="Times New Roman"/>
          <w:sz w:val="24"/>
          <w:szCs w:val="24"/>
          <w:lang w:eastAsia="en-IN"/>
        </w:rPr>
        <w:t>tover</w:t>
      </w:r>
      <w:proofErr w:type="spellEnd"/>
      <w:r w:rsidRPr="00D457D1">
        <w:rPr>
          <w:rFonts w:ascii="Times New Roman" w:eastAsia="Times New Roman" w:hAnsi="Times New Roman" w:cs="Times New Roman"/>
          <w:sz w:val="24"/>
          <w:szCs w:val="24"/>
          <w:lang w:eastAsia="en-IN"/>
        </w:rPr>
        <w:t xml:space="preserve"> </w:t>
      </w:r>
      <w:r w:rsidR="002F04A0">
        <w:rPr>
          <w:rFonts w:ascii="Times New Roman" w:eastAsia="Times New Roman" w:hAnsi="Times New Roman" w:cs="Times New Roman"/>
          <w:sz w:val="24"/>
          <w:szCs w:val="24"/>
          <w:lang w:eastAsia="en-IN"/>
        </w:rPr>
        <w:t>y</w:t>
      </w:r>
      <w:r w:rsidRPr="00D457D1">
        <w:rPr>
          <w:rFonts w:ascii="Times New Roman" w:eastAsia="Times New Roman" w:hAnsi="Times New Roman" w:cs="Times New Roman"/>
          <w:sz w:val="24"/>
          <w:szCs w:val="24"/>
          <w:lang w:eastAsia="en-IN"/>
        </w:rPr>
        <w:t>ield trait, the genotypes show</w:t>
      </w:r>
      <w:r w:rsidR="00F94844">
        <w:rPr>
          <w:rFonts w:ascii="Times New Roman" w:eastAsia="Times New Roman" w:hAnsi="Times New Roman" w:cs="Times New Roman"/>
          <w:sz w:val="24"/>
          <w:szCs w:val="24"/>
          <w:lang w:eastAsia="en-IN"/>
        </w:rPr>
        <w:t xml:space="preserve">ed </w:t>
      </w:r>
      <w:r w:rsidRPr="00D457D1">
        <w:rPr>
          <w:rFonts w:ascii="Times New Roman" w:eastAsia="Times New Roman" w:hAnsi="Times New Roman" w:cs="Times New Roman"/>
          <w:sz w:val="24"/>
          <w:szCs w:val="24"/>
          <w:lang w:eastAsia="en-IN"/>
        </w:rPr>
        <w:t>distinct performance under both well-watered (WW) and water stress (WS) conditions. In WW conditions, K359W exhibited the highest dry stover yield at 823.84, followed by R16 at 749.18 and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at 682.84 </w:t>
      </w:r>
      <w:r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However, under WS conditions, K359W still maintained the highest dry stover yield of 634.64, although the yield decreased in comparison to WW conditions. Following K359W under WS, R16 had a yield of 486.04, and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yielded 460.71 </w:t>
      </w:r>
      <w:r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findings indicate</w:t>
      </w:r>
      <w:r w:rsidR="00F94844">
        <w:rPr>
          <w:rFonts w:ascii="Times New Roman" w:eastAsia="Times New Roman" w:hAnsi="Times New Roman" w:cs="Times New Roman"/>
          <w:sz w:val="24"/>
          <w:szCs w:val="24"/>
          <w:lang w:eastAsia="en-IN"/>
        </w:rPr>
        <w:t xml:space="preserve">d </w:t>
      </w:r>
      <w:r w:rsidRPr="00D457D1">
        <w:rPr>
          <w:rFonts w:ascii="Times New Roman" w:eastAsia="Times New Roman" w:hAnsi="Times New Roman" w:cs="Times New Roman"/>
          <w:sz w:val="24"/>
          <w:szCs w:val="24"/>
          <w:lang w:eastAsia="en-IN"/>
        </w:rPr>
        <w:t>that K359W consistently produce</w:t>
      </w:r>
      <w:r w:rsidR="00F94844">
        <w:rPr>
          <w:rFonts w:ascii="Times New Roman" w:eastAsia="Times New Roman" w:hAnsi="Times New Roman" w:cs="Times New Roman"/>
          <w:sz w:val="24"/>
          <w:szCs w:val="24"/>
          <w:lang w:eastAsia="en-IN"/>
        </w:rPr>
        <w:t>d</w:t>
      </w:r>
      <w:r w:rsidRPr="00D457D1">
        <w:rPr>
          <w:rFonts w:ascii="Times New Roman" w:eastAsia="Times New Roman" w:hAnsi="Times New Roman" w:cs="Times New Roman"/>
          <w:sz w:val="24"/>
          <w:szCs w:val="24"/>
          <w:lang w:eastAsia="en-IN"/>
        </w:rPr>
        <w:t xml:space="preserve"> the highest dry stover yield in both WW and WS conditions, though all genotypes experience a reduction in yield when subjected to water stress </w:t>
      </w:r>
      <w:r w:rsidRPr="00D457D1">
        <w:rPr>
          <w:rFonts w:ascii="Times New Roman" w:hAnsi="Times New Roman" w:cs="Times New Roman"/>
          <w:color w:val="000000" w:themeColor="text1"/>
          <w:sz w:val="24"/>
          <w:szCs w:val="24"/>
        </w:rPr>
        <w:t>(Table 4)</w:t>
      </w:r>
      <w:r w:rsidRPr="00D457D1">
        <w:rPr>
          <w:rFonts w:ascii="Times New Roman" w:eastAsia="Times New Roman" w:hAnsi="Times New Roman" w:cs="Times New Roman"/>
          <w:sz w:val="24"/>
          <w:szCs w:val="24"/>
          <w:lang w:eastAsia="en-IN"/>
        </w:rPr>
        <w:t>. These results corroborate</w:t>
      </w:r>
      <w:r w:rsidR="00F94844">
        <w:rPr>
          <w:rFonts w:ascii="Times New Roman" w:eastAsia="Times New Roman" w:hAnsi="Times New Roman" w:cs="Times New Roman"/>
          <w:sz w:val="24"/>
          <w:szCs w:val="24"/>
          <w:lang w:eastAsia="en-IN"/>
        </w:rPr>
        <w:t>d</w:t>
      </w:r>
      <w:r w:rsidRPr="00D457D1">
        <w:rPr>
          <w:rFonts w:ascii="Times New Roman" w:eastAsia="Times New Roman" w:hAnsi="Times New Roman" w:cs="Times New Roman"/>
          <w:sz w:val="24"/>
          <w:szCs w:val="24"/>
          <w:lang w:eastAsia="en-IN"/>
        </w:rPr>
        <w:t xml:space="preserve"> the work of </w:t>
      </w:r>
      <w:r w:rsidRPr="00D457D1">
        <w:rPr>
          <w:rFonts w:ascii="Times New Roman" w:eastAsia="Times New Roman" w:hAnsi="Times New Roman" w:cs="Times New Roman"/>
          <w:color w:val="000000" w:themeColor="text1"/>
          <w:sz w:val="24"/>
          <w:szCs w:val="24"/>
          <w:lang w:eastAsia="en-IN"/>
        </w:rPr>
        <w:t xml:space="preserve">Navyashree et al. (2024), who </w:t>
      </w:r>
      <w:r w:rsidRPr="00D457D1">
        <w:rPr>
          <w:rFonts w:ascii="Times New Roman" w:eastAsia="Times New Roman" w:hAnsi="Times New Roman" w:cs="Times New Roman"/>
          <w:sz w:val="24"/>
          <w:szCs w:val="24"/>
          <w:lang w:eastAsia="en-IN"/>
        </w:rPr>
        <w:t xml:space="preserve">reported significantly higher stover yield under irrigation (5413 kg/ha) compared </w:t>
      </w:r>
      <w:r w:rsidRPr="00D457D1">
        <w:rPr>
          <w:rFonts w:ascii="Times New Roman" w:eastAsia="Times New Roman" w:hAnsi="Times New Roman" w:cs="Times New Roman"/>
          <w:sz w:val="24"/>
          <w:szCs w:val="24"/>
          <w:lang w:eastAsia="en-IN"/>
        </w:rPr>
        <w:lastRenderedPageBreak/>
        <w:t xml:space="preserve">to rainfed conditions (3761 kg/ha), with M-35-1 showing the highest yield and SVD1272R the greatest reduction under stress. </w:t>
      </w:r>
      <w:proofErr w:type="spellStart"/>
      <w:r w:rsidRPr="00D457D1">
        <w:rPr>
          <w:rFonts w:ascii="Times New Roman" w:eastAsia="Times New Roman" w:hAnsi="Times New Roman" w:cs="Times New Roman"/>
          <w:color w:val="000000" w:themeColor="text1"/>
          <w:sz w:val="24"/>
          <w:szCs w:val="24"/>
          <w:lang w:eastAsia="en-IN"/>
        </w:rPr>
        <w:t>Blümmel</w:t>
      </w:r>
      <w:proofErr w:type="spellEnd"/>
      <w:r w:rsidRPr="00D457D1">
        <w:rPr>
          <w:rFonts w:ascii="Times New Roman" w:eastAsia="Times New Roman" w:hAnsi="Times New Roman" w:cs="Times New Roman"/>
          <w:color w:val="000000" w:themeColor="text1"/>
          <w:sz w:val="24"/>
          <w:szCs w:val="24"/>
          <w:lang w:eastAsia="en-IN"/>
        </w:rPr>
        <w:t xml:space="preserve"> et al. (2015) found </w:t>
      </w:r>
      <w:r w:rsidRPr="00D457D1">
        <w:rPr>
          <w:rFonts w:ascii="Times New Roman" w:eastAsia="Times New Roman" w:hAnsi="Times New Roman" w:cs="Times New Roman"/>
          <w:sz w:val="24"/>
          <w:szCs w:val="24"/>
          <w:lang w:eastAsia="en-IN"/>
        </w:rPr>
        <w:t>that introgression lines with B35 QTLs achieved &gt;2× stover yield and 1.6× stover content compared to recurrent parents.</w:t>
      </w:r>
    </w:p>
    <w:p w14:paraId="1AC3E002" w14:textId="3E27A8C8" w:rsidR="008564E2" w:rsidRPr="000B3819" w:rsidRDefault="008564E2" w:rsidP="00184EC8">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Pr="000B3819">
        <w:rPr>
          <w:rFonts w:ascii="Times New Roman" w:eastAsia="Times New Roman" w:hAnsi="Times New Roman" w:cs="Times New Roman"/>
          <w:b/>
          <w:bCs/>
          <w:sz w:val="24"/>
          <w:szCs w:val="24"/>
          <w:lang w:eastAsia="en-IN"/>
        </w:rPr>
        <w:t>22</w:t>
      </w:r>
      <w:r>
        <w:rPr>
          <w:rFonts w:ascii="Times New Roman" w:eastAsia="Times New Roman" w:hAnsi="Times New Roman" w:cs="Times New Roman"/>
          <w:b/>
          <w:bCs/>
          <w:sz w:val="24"/>
          <w:szCs w:val="24"/>
          <w:lang w:eastAsia="en-IN"/>
        </w:rPr>
        <w:t>.</w:t>
      </w:r>
      <w:r w:rsidRPr="000B3819">
        <w:rPr>
          <w:rFonts w:ascii="Times New Roman" w:eastAsia="Times New Roman" w:hAnsi="Times New Roman" w:cs="Times New Roman"/>
          <w:b/>
          <w:bCs/>
          <w:sz w:val="24"/>
          <w:szCs w:val="24"/>
          <w:lang w:eastAsia="en-IN"/>
        </w:rPr>
        <w:t xml:space="preserve"> </w:t>
      </w:r>
      <w:bookmarkStart w:id="6" w:name="_Hlk196479682"/>
      <w:r w:rsidRPr="000B3819">
        <w:rPr>
          <w:rFonts w:ascii="Times New Roman" w:eastAsia="Times New Roman" w:hAnsi="Times New Roman" w:cs="Times New Roman"/>
          <w:b/>
          <w:bCs/>
          <w:sz w:val="24"/>
          <w:szCs w:val="24"/>
          <w:lang w:eastAsia="en-IN"/>
        </w:rPr>
        <w:t>Hundred seed weight</w:t>
      </w:r>
      <w:r>
        <w:rPr>
          <w:rFonts w:ascii="Times New Roman" w:eastAsia="Times New Roman" w:hAnsi="Times New Roman" w:cs="Times New Roman"/>
          <w:b/>
          <w:bCs/>
          <w:sz w:val="24"/>
          <w:szCs w:val="24"/>
          <w:lang w:eastAsia="en-IN"/>
        </w:rPr>
        <w:t xml:space="preserve"> (HSW, g)</w:t>
      </w:r>
    </w:p>
    <w:bookmarkEnd w:id="6"/>
    <w:p w14:paraId="67757A33" w14:textId="1B036C7C" w:rsidR="008564E2" w:rsidRPr="00D457D1" w:rsidRDefault="008564E2" w:rsidP="00184EC8">
      <w:pPr>
        <w:autoSpaceDE w:val="0"/>
        <w:autoSpaceDN w:val="0"/>
        <w:adjustRightInd w:val="0"/>
        <w:spacing w:line="360" w:lineRule="auto"/>
        <w:rPr>
          <w:rFonts w:ascii="Times New Roman" w:hAnsi="Times New Roman" w:cs="Times New Roman"/>
          <w:sz w:val="24"/>
          <w:szCs w:val="24"/>
          <w:lang w:val="en-US"/>
        </w:rPr>
        <w:sectPr w:rsidR="008564E2" w:rsidRPr="00D457D1" w:rsidSect="00C2037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160" w:header="706" w:footer="706" w:gutter="0"/>
          <w:cols w:space="708"/>
          <w:docGrid w:linePitch="360"/>
        </w:sectPr>
      </w:pPr>
      <w:r w:rsidRPr="00D457D1">
        <w:rPr>
          <w:rFonts w:ascii="Times New Roman" w:eastAsia="Times New Roman" w:hAnsi="Times New Roman" w:cs="Times New Roman"/>
          <w:sz w:val="24"/>
          <w:szCs w:val="24"/>
          <w:lang w:eastAsia="en-IN"/>
        </w:rPr>
        <w:t>The hundred seed weight data show</w:t>
      </w:r>
      <w:r w:rsidR="00F17F01">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variation across the genotypes. The highest hundred seed weight was recorded for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4.2, followed by M35-1 at 4.02. Other notable values include</w:t>
      </w:r>
      <w:r w:rsidR="00F17F01">
        <w:rPr>
          <w:rFonts w:ascii="Times New Roman" w:eastAsia="Times New Roman" w:hAnsi="Times New Roman" w:cs="Times New Roman"/>
          <w:sz w:val="24"/>
          <w:szCs w:val="24"/>
          <w:lang w:eastAsia="en-IN"/>
        </w:rPr>
        <w:t xml:space="preserve">d </w:t>
      </w:r>
      <w:r w:rsidRPr="00D457D1">
        <w:rPr>
          <w:rFonts w:ascii="Times New Roman" w:eastAsia="Times New Roman" w:hAnsi="Times New Roman" w:cs="Times New Roman"/>
          <w:sz w:val="24"/>
          <w:szCs w:val="24"/>
          <w:lang w:eastAsia="en-IN"/>
        </w:rPr>
        <w:t xml:space="preserve">3.77 for K260, 3.57 for both B35 and CRS1, and 3.55 for E36-1. The lowest hundred seed weight was observed for Phule Vasudha at 3.27, followed by R16 at 3.4 and 296B at 3.47 (Table </w:t>
      </w:r>
      <w:r w:rsidR="005365A8" w:rsidRPr="00D457D1">
        <w:rPr>
          <w:rFonts w:ascii="Times New Roman" w:eastAsia="Times New Roman" w:hAnsi="Times New Roman" w:cs="Times New Roman"/>
          <w:sz w:val="24"/>
          <w:szCs w:val="24"/>
          <w:lang w:eastAsia="en-IN"/>
        </w:rPr>
        <w:t>2</w:t>
      </w:r>
      <w:r w:rsidRPr="00D457D1">
        <w:rPr>
          <w:rFonts w:ascii="Times New Roman" w:eastAsia="Times New Roman" w:hAnsi="Times New Roman" w:cs="Times New Roman"/>
          <w:sz w:val="24"/>
          <w:szCs w:val="24"/>
          <w:lang w:eastAsia="en-IN"/>
        </w:rPr>
        <w:t>). These values highlight</w:t>
      </w:r>
      <w:r w:rsidR="00F17F01">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the differences in seed size among the genotypes. The hundred seed weight under water stress (WS) conditions varies across the genotypes. The highest hundred seed weight was observed for E36-1 at 3.32 g, followed closely by 296B at 3.29 g and K260 at 3.22 g. K359W also showed a relatively high value of 3.26 g. On the other hand, R16 and CRS1 recorded the lowest hundred seed weight at 2.23 g and 2.25 g, respectively. Other genotypes, such as B35 (3.15 g), M35-1 (2.89 g),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(2.64 g), and Phule Vasudha (2.82 g), displayed intermediate values </w:t>
      </w:r>
      <w:r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results indicate that some genotypes, like E36-1 and 296B, maintain a higher hundred seed weight under water stress, while others, like R16 and CRS1, show</w:t>
      </w:r>
      <w:r w:rsidR="00F17F01">
        <w:rPr>
          <w:rFonts w:ascii="Times New Roman" w:eastAsia="Times New Roman" w:hAnsi="Times New Roman" w:cs="Times New Roman"/>
          <w:sz w:val="24"/>
          <w:szCs w:val="24"/>
          <w:lang w:eastAsia="en-IN"/>
        </w:rPr>
        <w:t xml:space="preserve">ed </w:t>
      </w:r>
      <w:r w:rsidRPr="00D457D1">
        <w:rPr>
          <w:rFonts w:ascii="Times New Roman" w:eastAsia="Times New Roman" w:hAnsi="Times New Roman" w:cs="Times New Roman"/>
          <w:sz w:val="24"/>
          <w:szCs w:val="24"/>
          <w:lang w:eastAsia="en-IN"/>
        </w:rPr>
        <w:t>a significantly lower weight. For the hundred seed weight trait, the genotypes displayed a noticeable difference between well-watered (WW) and water stress (WS) conditions. Under WW conditions, K359W had the highest hundred seed weight at 3.91, followed by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at 3.57, and R16 at 3.4. In contrast, under WS conditions,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showed a slight increase in hundred seed weight to 2.81, while K359W decreased to 3.46, and R16 dropped significantly to 2.28 </w:t>
      </w:r>
      <w:r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results indicate</w:t>
      </w:r>
      <w:r w:rsidR="00F17F01">
        <w:rPr>
          <w:rFonts w:ascii="Times New Roman" w:eastAsia="Times New Roman" w:hAnsi="Times New Roman" w:cs="Times New Roman"/>
          <w:sz w:val="24"/>
          <w:szCs w:val="24"/>
          <w:lang w:eastAsia="en-IN"/>
        </w:rPr>
        <w:t>d</w:t>
      </w:r>
      <w:r w:rsidRPr="00D457D1">
        <w:rPr>
          <w:rFonts w:ascii="Times New Roman" w:eastAsia="Times New Roman" w:hAnsi="Times New Roman" w:cs="Times New Roman"/>
          <w:sz w:val="24"/>
          <w:szCs w:val="24"/>
          <w:lang w:eastAsia="en-IN"/>
        </w:rPr>
        <w:t xml:space="preserve"> that K359W maintains the highest seed weight under WW, while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perform</w:t>
      </w:r>
      <w:r w:rsidR="00F17F01">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better under WS, although all genotypes show</w:t>
      </w:r>
      <w:r w:rsidR="00F17F01">
        <w:rPr>
          <w:rFonts w:ascii="Times New Roman" w:eastAsia="Times New Roman" w:hAnsi="Times New Roman" w:cs="Times New Roman"/>
          <w:sz w:val="24"/>
          <w:szCs w:val="24"/>
          <w:lang w:eastAsia="en-IN"/>
        </w:rPr>
        <w:t xml:space="preserve">ed </w:t>
      </w:r>
      <w:r w:rsidRPr="00D457D1">
        <w:rPr>
          <w:rFonts w:ascii="Times New Roman" w:eastAsia="Times New Roman" w:hAnsi="Times New Roman" w:cs="Times New Roman"/>
          <w:sz w:val="24"/>
          <w:szCs w:val="24"/>
          <w:lang w:eastAsia="en-IN"/>
        </w:rPr>
        <w:t>a reduction in hundred seed weight under water stress. These observations support</w:t>
      </w:r>
      <w:r w:rsidR="00F17F01">
        <w:rPr>
          <w:rFonts w:ascii="Times New Roman" w:eastAsia="Times New Roman" w:hAnsi="Times New Roman" w:cs="Times New Roman"/>
          <w:sz w:val="24"/>
          <w:szCs w:val="24"/>
          <w:lang w:eastAsia="en-IN"/>
        </w:rPr>
        <w:t>ed</w:t>
      </w:r>
      <w:r w:rsidRPr="00D457D1">
        <w:rPr>
          <w:rFonts w:ascii="Times New Roman" w:eastAsia="Times New Roman" w:hAnsi="Times New Roman" w:cs="Times New Roman"/>
          <w:sz w:val="24"/>
          <w:szCs w:val="24"/>
          <w:lang w:eastAsia="en-IN"/>
        </w:rPr>
        <w:t xml:space="preserve"> the conclusions </w:t>
      </w:r>
      <w:r w:rsidRPr="00D457D1">
        <w:rPr>
          <w:rFonts w:ascii="Times New Roman" w:eastAsia="Times New Roman" w:hAnsi="Times New Roman" w:cs="Times New Roman"/>
          <w:color w:val="000000" w:themeColor="text1"/>
          <w:sz w:val="24"/>
          <w:szCs w:val="24"/>
          <w:lang w:eastAsia="en-IN"/>
        </w:rPr>
        <w:t xml:space="preserve">drawn by Abebe et al. (2021), </w:t>
      </w:r>
      <w:r w:rsidRPr="00D457D1">
        <w:rPr>
          <w:rFonts w:ascii="Times New Roman" w:eastAsia="Times New Roman" w:hAnsi="Times New Roman" w:cs="Times New Roman"/>
          <w:sz w:val="24"/>
          <w:szCs w:val="24"/>
          <w:lang w:eastAsia="en-IN"/>
        </w:rPr>
        <w:t xml:space="preserve">who reported TSW ranging from 20.8 to 41.7 g, with 36.1% of converted progeny showing superior weights (33.8–41.7 g). </w:t>
      </w:r>
    </w:p>
    <w:p w14:paraId="20DDEFB0" w14:textId="7C1F7C4C" w:rsidR="008564E2" w:rsidRPr="000B3819" w:rsidRDefault="008564E2" w:rsidP="008564E2">
      <w:pPr>
        <w:rPr>
          <w:rFonts w:ascii="Times New Roman" w:hAnsi="Times New Roman" w:cs="Times New Roman"/>
          <w:b/>
          <w:bCs/>
          <w:sz w:val="24"/>
          <w:szCs w:val="24"/>
          <w:lang w:val="en-US"/>
        </w:rPr>
      </w:pPr>
      <w:r w:rsidRPr="000B3819">
        <w:rPr>
          <w:rFonts w:ascii="Times New Roman" w:hAnsi="Times New Roman" w:cs="Times New Roman"/>
          <w:b/>
          <w:bCs/>
          <w:sz w:val="24"/>
          <w:szCs w:val="24"/>
          <w:lang w:val="en-US"/>
        </w:rPr>
        <w:lastRenderedPageBreak/>
        <w:t xml:space="preserve">Table </w:t>
      </w:r>
      <w:r>
        <w:rPr>
          <w:rFonts w:ascii="Times New Roman" w:hAnsi="Times New Roman" w:cs="Times New Roman"/>
          <w:b/>
          <w:bCs/>
          <w:sz w:val="24"/>
          <w:szCs w:val="24"/>
          <w:lang w:val="en-US"/>
        </w:rPr>
        <w:t>1:</w:t>
      </w:r>
      <w:r w:rsidRPr="000B3819">
        <w:rPr>
          <w:rFonts w:ascii="Times New Roman" w:hAnsi="Times New Roman" w:cs="Times New Roman"/>
          <w:b/>
          <w:bCs/>
          <w:sz w:val="24"/>
          <w:szCs w:val="24"/>
          <w:lang w:val="en-US"/>
        </w:rPr>
        <w:t xml:space="preserve"> ANOVA for stay-green related trait</w:t>
      </w:r>
      <w:r>
        <w:rPr>
          <w:rFonts w:ascii="Times New Roman" w:hAnsi="Times New Roman" w:cs="Times New Roman"/>
          <w:b/>
          <w:bCs/>
          <w:sz w:val="24"/>
          <w:szCs w:val="24"/>
          <w:lang w:val="en-US"/>
        </w:rPr>
        <w:t xml:space="preserve">s under WW condition in </w:t>
      </w:r>
      <w:r w:rsidRPr="000B3819">
        <w:rPr>
          <w:rFonts w:ascii="Times New Roman" w:hAnsi="Times New Roman" w:cs="Times New Roman"/>
          <w:b/>
          <w:bCs/>
          <w:sz w:val="24"/>
          <w:szCs w:val="24"/>
          <w:lang w:val="en-US"/>
        </w:rPr>
        <w:t>F</w:t>
      </w:r>
      <w:r w:rsidRPr="008D5216">
        <w:rPr>
          <w:rFonts w:ascii="Times New Roman" w:hAnsi="Times New Roman" w:cs="Times New Roman"/>
          <w:b/>
          <w:bCs/>
          <w:sz w:val="24"/>
          <w:szCs w:val="24"/>
          <w:vertAlign w:val="subscript"/>
          <w:lang w:val="en-US"/>
        </w:rPr>
        <w:t>3</w:t>
      </w:r>
      <w:r w:rsidRPr="000B381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generation</w:t>
      </w:r>
    </w:p>
    <w:tbl>
      <w:tblPr>
        <w:tblW w:w="14400" w:type="dxa"/>
        <w:tblInd w:w="-1085" w:type="dxa"/>
        <w:tblLook w:val="04A0" w:firstRow="1" w:lastRow="0" w:firstColumn="1" w:lastColumn="0" w:noHBand="0" w:noVBand="1"/>
      </w:tblPr>
      <w:tblGrid>
        <w:gridCol w:w="1206"/>
        <w:gridCol w:w="1262"/>
        <w:gridCol w:w="1335"/>
        <w:gridCol w:w="1220"/>
        <w:gridCol w:w="1113"/>
        <w:gridCol w:w="871"/>
        <w:gridCol w:w="977"/>
        <w:gridCol w:w="1081"/>
        <w:gridCol w:w="1081"/>
        <w:gridCol w:w="1081"/>
        <w:gridCol w:w="1081"/>
        <w:gridCol w:w="1081"/>
        <w:gridCol w:w="1164"/>
      </w:tblGrid>
      <w:tr w:rsidR="008564E2" w:rsidRPr="007A5F42" w14:paraId="2061D2EF" w14:textId="77777777" w:rsidTr="00C2037F">
        <w:trPr>
          <w:trHeight w:val="417"/>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101C2" w14:textId="77777777" w:rsidR="008564E2" w:rsidRPr="007A5F42" w:rsidRDefault="008564E2" w:rsidP="00C2037F">
            <w:pPr>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Genotypes</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41ED72FA"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w:t>
            </w:r>
            <w:r>
              <w:rPr>
                <w:rFonts w:ascii="Times New Roman" w:eastAsia="Times New Roman" w:hAnsi="Times New Roman" w:cs="Times New Roman"/>
                <w:b/>
                <w:bCs/>
                <w:lang w:eastAsia="en-IN"/>
              </w:rPr>
              <w:t>PAD</w:t>
            </w:r>
            <w:r w:rsidRPr="007A5F42">
              <w:rPr>
                <w:rFonts w:ascii="Times New Roman" w:eastAsia="Times New Roman" w:hAnsi="Times New Roman" w:cs="Times New Roman"/>
                <w:b/>
                <w:bCs/>
                <w:lang w:eastAsia="en-IN"/>
              </w:rPr>
              <w:t>_AF</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4D60B244"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w:t>
            </w:r>
            <w:r>
              <w:rPr>
                <w:rFonts w:ascii="Times New Roman" w:eastAsia="Times New Roman" w:hAnsi="Times New Roman" w:cs="Times New Roman"/>
                <w:b/>
                <w:bCs/>
                <w:lang w:eastAsia="en-IN"/>
              </w:rPr>
              <w:t>PAD</w:t>
            </w:r>
            <w:r w:rsidRPr="007A5F42">
              <w:rPr>
                <w:rFonts w:ascii="Times New Roman" w:eastAsia="Times New Roman" w:hAnsi="Times New Roman" w:cs="Times New Roman"/>
                <w:b/>
                <w:bCs/>
                <w:lang w:eastAsia="en-IN"/>
              </w:rPr>
              <w:t>_AM</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11A3C58E"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GLAB</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52DE8CCF"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GLAM</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3ECCD231"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RLS</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2A87858"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w:t>
            </w:r>
            <w:r w:rsidRPr="007A5F42">
              <w:rPr>
                <w:rFonts w:ascii="Times New Roman" w:eastAsia="Times New Roman" w:hAnsi="Times New Roman" w:cs="Times New Roman"/>
                <w:b/>
                <w:bCs/>
                <w:lang w:eastAsia="en-IN"/>
              </w:rPr>
              <w:t>7</w:t>
            </w:r>
          </w:p>
          <w:p w14:paraId="241D99F1"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1EA78174"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@14</w:t>
            </w:r>
          </w:p>
          <w:p w14:paraId="1B1DFCE2"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687B375A"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@21</w:t>
            </w:r>
          </w:p>
          <w:p w14:paraId="5A075BF3"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675F5477"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@28</w:t>
            </w:r>
          </w:p>
          <w:p w14:paraId="4F38353E"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3A5F6776"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@35</w:t>
            </w:r>
          </w:p>
          <w:p w14:paraId="7910EED5"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19A760D6"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@42</w:t>
            </w:r>
          </w:p>
          <w:p w14:paraId="453AA42B"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64" w:type="dxa"/>
            <w:tcBorders>
              <w:top w:val="single" w:sz="4" w:space="0" w:color="auto"/>
              <w:left w:val="nil"/>
              <w:bottom w:val="single" w:sz="4" w:space="0" w:color="auto"/>
              <w:right w:val="single" w:sz="4" w:space="0" w:color="auto"/>
            </w:tcBorders>
            <w:shd w:val="clear" w:color="auto" w:fill="auto"/>
            <w:noWrap/>
            <w:vAlign w:val="center"/>
          </w:tcPr>
          <w:p w14:paraId="75B8E8D3"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@49</w:t>
            </w:r>
          </w:p>
          <w:p w14:paraId="51C8D35F"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r>
      <w:tr w:rsidR="008564E2" w:rsidRPr="007A5F42" w14:paraId="3369FE93"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63E5D21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K359W</w:t>
            </w:r>
          </w:p>
        </w:tc>
        <w:tc>
          <w:tcPr>
            <w:tcW w:w="1262" w:type="dxa"/>
            <w:tcBorders>
              <w:top w:val="nil"/>
              <w:left w:val="nil"/>
              <w:bottom w:val="single" w:sz="4" w:space="0" w:color="auto"/>
              <w:right w:val="single" w:sz="4" w:space="0" w:color="auto"/>
            </w:tcBorders>
            <w:shd w:val="clear" w:color="auto" w:fill="auto"/>
            <w:noWrap/>
            <w:vAlign w:val="center"/>
            <w:hideMark/>
          </w:tcPr>
          <w:p w14:paraId="02BACB0E"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47.52 b</w:t>
            </w:r>
          </w:p>
        </w:tc>
        <w:tc>
          <w:tcPr>
            <w:tcW w:w="1335" w:type="dxa"/>
            <w:tcBorders>
              <w:top w:val="nil"/>
              <w:left w:val="nil"/>
              <w:bottom w:val="single" w:sz="4" w:space="0" w:color="auto"/>
              <w:right w:val="single" w:sz="4" w:space="0" w:color="auto"/>
            </w:tcBorders>
            <w:shd w:val="clear" w:color="auto" w:fill="auto"/>
            <w:noWrap/>
            <w:vAlign w:val="center"/>
            <w:hideMark/>
          </w:tcPr>
          <w:p w14:paraId="530C78C1"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41.36 ab</w:t>
            </w:r>
          </w:p>
        </w:tc>
        <w:tc>
          <w:tcPr>
            <w:tcW w:w="1220" w:type="dxa"/>
            <w:tcBorders>
              <w:top w:val="nil"/>
              <w:left w:val="nil"/>
              <w:bottom w:val="single" w:sz="4" w:space="0" w:color="auto"/>
              <w:right w:val="single" w:sz="4" w:space="0" w:color="auto"/>
            </w:tcBorders>
            <w:shd w:val="clear" w:color="auto" w:fill="auto"/>
            <w:noWrap/>
            <w:vAlign w:val="center"/>
            <w:hideMark/>
          </w:tcPr>
          <w:p w14:paraId="20816573"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341.69 d</w:t>
            </w:r>
          </w:p>
        </w:tc>
        <w:tc>
          <w:tcPr>
            <w:tcW w:w="1113" w:type="dxa"/>
            <w:tcBorders>
              <w:top w:val="nil"/>
              <w:left w:val="nil"/>
              <w:bottom w:val="single" w:sz="4" w:space="0" w:color="auto"/>
              <w:right w:val="single" w:sz="4" w:space="0" w:color="auto"/>
            </w:tcBorders>
            <w:shd w:val="clear" w:color="auto" w:fill="auto"/>
            <w:noWrap/>
            <w:vAlign w:val="center"/>
            <w:hideMark/>
          </w:tcPr>
          <w:p w14:paraId="1F1DB56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302.54 cd</w:t>
            </w:r>
          </w:p>
        </w:tc>
        <w:tc>
          <w:tcPr>
            <w:tcW w:w="871" w:type="dxa"/>
            <w:tcBorders>
              <w:top w:val="nil"/>
              <w:left w:val="nil"/>
              <w:bottom w:val="single" w:sz="4" w:space="0" w:color="auto"/>
              <w:right w:val="single" w:sz="4" w:space="0" w:color="auto"/>
            </w:tcBorders>
            <w:shd w:val="clear" w:color="auto" w:fill="auto"/>
            <w:noWrap/>
            <w:vAlign w:val="center"/>
            <w:hideMark/>
          </w:tcPr>
          <w:p w14:paraId="51C44AD1"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 xml:space="preserve">0.46 </w:t>
            </w:r>
            <w:proofErr w:type="spellStart"/>
            <w:r w:rsidRPr="007A5F42">
              <w:rPr>
                <w:rFonts w:ascii="Times New Roman" w:eastAsia="Times New Roman" w:hAnsi="Times New Roman" w:cs="Times New Roman"/>
                <w:color w:val="000000"/>
                <w:lang w:eastAsia="en-IN"/>
              </w:rPr>
              <w:t>bc</w:t>
            </w:r>
            <w:proofErr w:type="spellEnd"/>
          </w:p>
        </w:tc>
        <w:tc>
          <w:tcPr>
            <w:tcW w:w="977" w:type="dxa"/>
            <w:tcBorders>
              <w:top w:val="nil"/>
              <w:left w:val="nil"/>
              <w:bottom w:val="single" w:sz="4" w:space="0" w:color="auto"/>
              <w:right w:val="single" w:sz="4" w:space="0" w:color="auto"/>
            </w:tcBorders>
            <w:shd w:val="clear" w:color="auto" w:fill="auto"/>
            <w:noWrap/>
            <w:vAlign w:val="center"/>
            <w:hideMark/>
          </w:tcPr>
          <w:p w14:paraId="7277021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2.95 e</w:t>
            </w:r>
          </w:p>
        </w:tc>
        <w:tc>
          <w:tcPr>
            <w:tcW w:w="1077" w:type="dxa"/>
            <w:tcBorders>
              <w:top w:val="nil"/>
              <w:left w:val="nil"/>
              <w:bottom w:val="single" w:sz="4" w:space="0" w:color="auto"/>
              <w:right w:val="single" w:sz="4" w:space="0" w:color="auto"/>
            </w:tcBorders>
            <w:shd w:val="clear" w:color="auto" w:fill="auto"/>
            <w:noWrap/>
            <w:vAlign w:val="center"/>
            <w:hideMark/>
          </w:tcPr>
          <w:p w14:paraId="5A977E0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3.45 e</w:t>
            </w:r>
          </w:p>
        </w:tc>
        <w:tc>
          <w:tcPr>
            <w:tcW w:w="1077" w:type="dxa"/>
            <w:tcBorders>
              <w:top w:val="nil"/>
              <w:left w:val="nil"/>
              <w:bottom w:val="single" w:sz="4" w:space="0" w:color="auto"/>
              <w:right w:val="single" w:sz="4" w:space="0" w:color="auto"/>
            </w:tcBorders>
            <w:shd w:val="clear" w:color="auto" w:fill="auto"/>
            <w:noWrap/>
            <w:vAlign w:val="center"/>
            <w:hideMark/>
          </w:tcPr>
          <w:p w14:paraId="00CB88F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3.6 g</w:t>
            </w:r>
          </w:p>
        </w:tc>
        <w:tc>
          <w:tcPr>
            <w:tcW w:w="1077" w:type="dxa"/>
            <w:tcBorders>
              <w:top w:val="nil"/>
              <w:left w:val="nil"/>
              <w:bottom w:val="single" w:sz="4" w:space="0" w:color="auto"/>
              <w:right w:val="single" w:sz="4" w:space="0" w:color="auto"/>
            </w:tcBorders>
            <w:shd w:val="clear" w:color="auto" w:fill="auto"/>
            <w:noWrap/>
            <w:vAlign w:val="center"/>
            <w:hideMark/>
          </w:tcPr>
          <w:p w14:paraId="1B52808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 e</w:t>
            </w:r>
          </w:p>
        </w:tc>
        <w:tc>
          <w:tcPr>
            <w:tcW w:w="1077" w:type="dxa"/>
            <w:tcBorders>
              <w:top w:val="nil"/>
              <w:left w:val="nil"/>
              <w:bottom w:val="single" w:sz="4" w:space="0" w:color="auto"/>
              <w:right w:val="single" w:sz="4" w:space="0" w:color="auto"/>
            </w:tcBorders>
            <w:shd w:val="clear" w:color="auto" w:fill="auto"/>
            <w:noWrap/>
            <w:vAlign w:val="center"/>
            <w:hideMark/>
          </w:tcPr>
          <w:p w14:paraId="4719FDE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4.1 e</w:t>
            </w:r>
          </w:p>
        </w:tc>
        <w:tc>
          <w:tcPr>
            <w:tcW w:w="1077" w:type="dxa"/>
            <w:tcBorders>
              <w:top w:val="nil"/>
              <w:left w:val="nil"/>
              <w:bottom w:val="single" w:sz="4" w:space="0" w:color="auto"/>
              <w:right w:val="single" w:sz="4" w:space="0" w:color="auto"/>
            </w:tcBorders>
            <w:shd w:val="clear" w:color="auto" w:fill="auto"/>
            <w:noWrap/>
            <w:vAlign w:val="center"/>
            <w:hideMark/>
          </w:tcPr>
          <w:p w14:paraId="4B2F89F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4.4 d</w:t>
            </w:r>
          </w:p>
        </w:tc>
        <w:tc>
          <w:tcPr>
            <w:tcW w:w="1164" w:type="dxa"/>
            <w:tcBorders>
              <w:top w:val="nil"/>
              <w:left w:val="nil"/>
              <w:bottom w:val="single" w:sz="4" w:space="0" w:color="auto"/>
              <w:right w:val="single" w:sz="4" w:space="0" w:color="auto"/>
            </w:tcBorders>
            <w:shd w:val="clear" w:color="auto" w:fill="auto"/>
            <w:noWrap/>
            <w:vAlign w:val="center"/>
            <w:hideMark/>
          </w:tcPr>
          <w:p w14:paraId="79CC732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4.95 g</w:t>
            </w:r>
          </w:p>
        </w:tc>
      </w:tr>
      <w:tr w:rsidR="008564E2" w:rsidRPr="007A5F42" w14:paraId="392E19A3"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045826C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B35</w:t>
            </w:r>
          </w:p>
        </w:tc>
        <w:tc>
          <w:tcPr>
            <w:tcW w:w="1262" w:type="dxa"/>
            <w:tcBorders>
              <w:top w:val="nil"/>
              <w:left w:val="nil"/>
              <w:bottom w:val="single" w:sz="4" w:space="0" w:color="auto"/>
              <w:right w:val="single" w:sz="4" w:space="0" w:color="auto"/>
            </w:tcBorders>
            <w:shd w:val="clear" w:color="auto" w:fill="auto"/>
            <w:noWrap/>
            <w:vAlign w:val="center"/>
            <w:hideMark/>
          </w:tcPr>
          <w:p w14:paraId="44D507F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48.85 a</w:t>
            </w:r>
          </w:p>
        </w:tc>
        <w:tc>
          <w:tcPr>
            <w:tcW w:w="1335" w:type="dxa"/>
            <w:tcBorders>
              <w:top w:val="nil"/>
              <w:left w:val="nil"/>
              <w:bottom w:val="single" w:sz="4" w:space="0" w:color="auto"/>
              <w:right w:val="single" w:sz="4" w:space="0" w:color="auto"/>
            </w:tcBorders>
            <w:shd w:val="clear" w:color="auto" w:fill="auto"/>
            <w:noWrap/>
            <w:vAlign w:val="center"/>
            <w:hideMark/>
          </w:tcPr>
          <w:p w14:paraId="3B9FA73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41.8 a</w:t>
            </w:r>
          </w:p>
        </w:tc>
        <w:tc>
          <w:tcPr>
            <w:tcW w:w="1220" w:type="dxa"/>
            <w:tcBorders>
              <w:top w:val="nil"/>
              <w:left w:val="nil"/>
              <w:bottom w:val="single" w:sz="4" w:space="0" w:color="auto"/>
              <w:right w:val="single" w:sz="4" w:space="0" w:color="auto"/>
            </w:tcBorders>
            <w:shd w:val="clear" w:color="auto" w:fill="auto"/>
            <w:noWrap/>
            <w:vAlign w:val="center"/>
            <w:hideMark/>
          </w:tcPr>
          <w:p w14:paraId="76DE8E97"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356.7 ab</w:t>
            </w:r>
          </w:p>
        </w:tc>
        <w:tc>
          <w:tcPr>
            <w:tcW w:w="1113" w:type="dxa"/>
            <w:tcBorders>
              <w:top w:val="nil"/>
              <w:left w:val="nil"/>
              <w:bottom w:val="single" w:sz="4" w:space="0" w:color="auto"/>
              <w:right w:val="single" w:sz="4" w:space="0" w:color="auto"/>
            </w:tcBorders>
            <w:shd w:val="clear" w:color="auto" w:fill="auto"/>
            <w:noWrap/>
            <w:vAlign w:val="center"/>
            <w:hideMark/>
          </w:tcPr>
          <w:p w14:paraId="53113E1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334.82f</w:t>
            </w:r>
          </w:p>
        </w:tc>
        <w:tc>
          <w:tcPr>
            <w:tcW w:w="871" w:type="dxa"/>
            <w:tcBorders>
              <w:top w:val="nil"/>
              <w:left w:val="nil"/>
              <w:bottom w:val="single" w:sz="4" w:space="0" w:color="auto"/>
              <w:right w:val="single" w:sz="4" w:space="0" w:color="auto"/>
            </w:tcBorders>
            <w:shd w:val="clear" w:color="auto" w:fill="auto"/>
            <w:noWrap/>
            <w:vAlign w:val="center"/>
            <w:hideMark/>
          </w:tcPr>
          <w:p w14:paraId="5788400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0.44</w:t>
            </w:r>
          </w:p>
        </w:tc>
        <w:tc>
          <w:tcPr>
            <w:tcW w:w="977" w:type="dxa"/>
            <w:tcBorders>
              <w:top w:val="nil"/>
              <w:left w:val="nil"/>
              <w:bottom w:val="single" w:sz="4" w:space="0" w:color="auto"/>
              <w:right w:val="single" w:sz="4" w:space="0" w:color="auto"/>
            </w:tcBorders>
            <w:shd w:val="clear" w:color="auto" w:fill="auto"/>
            <w:noWrap/>
            <w:vAlign w:val="center"/>
            <w:hideMark/>
          </w:tcPr>
          <w:p w14:paraId="210D9C3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2.36 h</w:t>
            </w:r>
          </w:p>
        </w:tc>
        <w:tc>
          <w:tcPr>
            <w:tcW w:w="1077" w:type="dxa"/>
            <w:tcBorders>
              <w:top w:val="nil"/>
              <w:left w:val="nil"/>
              <w:bottom w:val="single" w:sz="4" w:space="0" w:color="auto"/>
              <w:right w:val="single" w:sz="4" w:space="0" w:color="auto"/>
            </w:tcBorders>
            <w:shd w:val="clear" w:color="auto" w:fill="auto"/>
            <w:noWrap/>
            <w:vAlign w:val="center"/>
            <w:hideMark/>
          </w:tcPr>
          <w:p w14:paraId="222FE3D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2.61 g</w:t>
            </w:r>
          </w:p>
        </w:tc>
        <w:tc>
          <w:tcPr>
            <w:tcW w:w="1077" w:type="dxa"/>
            <w:tcBorders>
              <w:top w:val="nil"/>
              <w:left w:val="nil"/>
              <w:bottom w:val="single" w:sz="4" w:space="0" w:color="auto"/>
              <w:right w:val="single" w:sz="4" w:space="0" w:color="auto"/>
            </w:tcBorders>
            <w:shd w:val="clear" w:color="auto" w:fill="auto"/>
            <w:noWrap/>
            <w:vAlign w:val="center"/>
            <w:hideMark/>
          </w:tcPr>
          <w:p w14:paraId="2244AFD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3.02 h</w:t>
            </w:r>
          </w:p>
        </w:tc>
        <w:tc>
          <w:tcPr>
            <w:tcW w:w="1077" w:type="dxa"/>
            <w:tcBorders>
              <w:top w:val="nil"/>
              <w:left w:val="nil"/>
              <w:bottom w:val="single" w:sz="4" w:space="0" w:color="auto"/>
              <w:right w:val="single" w:sz="4" w:space="0" w:color="auto"/>
            </w:tcBorders>
            <w:shd w:val="clear" w:color="auto" w:fill="auto"/>
            <w:noWrap/>
            <w:vAlign w:val="center"/>
            <w:hideMark/>
          </w:tcPr>
          <w:p w14:paraId="401A5A7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3.42 f</w:t>
            </w:r>
          </w:p>
        </w:tc>
        <w:tc>
          <w:tcPr>
            <w:tcW w:w="1077" w:type="dxa"/>
            <w:tcBorders>
              <w:top w:val="nil"/>
              <w:left w:val="nil"/>
              <w:bottom w:val="single" w:sz="4" w:space="0" w:color="auto"/>
              <w:right w:val="single" w:sz="4" w:space="0" w:color="auto"/>
            </w:tcBorders>
            <w:shd w:val="clear" w:color="auto" w:fill="auto"/>
            <w:noWrap/>
            <w:vAlign w:val="center"/>
            <w:hideMark/>
          </w:tcPr>
          <w:p w14:paraId="4E0D6A2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3.67 e</w:t>
            </w:r>
          </w:p>
        </w:tc>
        <w:tc>
          <w:tcPr>
            <w:tcW w:w="1077" w:type="dxa"/>
            <w:tcBorders>
              <w:top w:val="nil"/>
              <w:left w:val="nil"/>
              <w:bottom w:val="single" w:sz="4" w:space="0" w:color="auto"/>
              <w:right w:val="single" w:sz="4" w:space="0" w:color="auto"/>
            </w:tcBorders>
            <w:shd w:val="clear" w:color="auto" w:fill="auto"/>
            <w:noWrap/>
            <w:vAlign w:val="center"/>
            <w:hideMark/>
          </w:tcPr>
          <w:p w14:paraId="73AD918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4.06 d</w:t>
            </w:r>
          </w:p>
        </w:tc>
        <w:tc>
          <w:tcPr>
            <w:tcW w:w="1164" w:type="dxa"/>
            <w:tcBorders>
              <w:top w:val="nil"/>
              <w:left w:val="nil"/>
              <w:bottom w:val="single" w:sz="4" w:space="0" w:color="auto"/>
              <w:right w:val="single" w:sz="4" w:space="0" w:color="auto"/>
            </w:tcBorders>
            <w:shd w:val="clear" w:color="auto" w:fill="auto"/>
            <w:noWrap/>
            <w:vAlign w:val="center"/>
            <w:hideMark/>
          </w:tcPr>
          <w:p w14:paraId="64B61AC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4.75 h</w:t>
            </w:r>
          </w:p>
        </w:tc>
      </w:tr>
      <w:tr w:rsidR="008564E2" w:rsidRPr="007A5F42" w14:paraId="79E7BE13"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389A57C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K260</w:t>
            </w:r>
          </w:p>
        </w:tc>
        <w:tc>
          <w:tcPr>
            <w:tcW w:w="1262" w:type="dxa"/>
            <w:tcBorders>
              <w:top w:val="nil"/>
              <w:left w:val="nil"/>
              <w:bottom w:val="single" w:sz="4" w:space="0" w:color="auto"/>
              <w:right w:val="single" w:sz="4" w:space="0" w:color="auto"/>
            </w:tcBorders>
            <w:shd w:val="clear" w:color="auto" w:fill="auto"/>
            <w:noWrap/>
            <w:vAlign w:val="center"/>
            <w:hideMark/>
          </w:tcPr>
          <w:p w14:paraId="14267E22"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 xml:space="preserve">44.22 </w:t>
            </w:r>
            <w:proofErr w:type="spellStart"/>
            <w:r w:rsidRPr="007A5F42">
              <w:rPr>
                <w:rFonts w:ascii="Times New Roman" w:eastAsia="Times New Roman" w:hAnsi="Times New Roman" w:cs="Times New Roman"/>
                <w:lang w:eastAsia="en-IN"/>
              </w:rPr>
              <w:t>cde</w:t>
            </w:r>
            <w:proofErr w:type="spellEnd"/>
          </w:p>
        </w:tc>
        <w:tc>
          <w:tcPr>
            <w:tcW w:w="1335" w:type="dxa"/>
            <w:tcBorders>
              <w:top w:val="nil"/>
              <w:left w:val="nil"/>
              <w:bottom w:val="single" w:sz="4" w:space="0" w:color="auto"/>
              <w:right w:val="single" w:sz="4" w:space="0" w:color="auto"/>
            </w:tcBorders>
            <w:shd w:val="clear" w:color="auto" w:fill="auto"/>
            <w:noWrap/>
            <w:vAlign w:val="center"/>
            <w:hideMark/>
          </w:tcPr>
          <w:p w14:paraId="23C1961A"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38.1 c</w:t>
            </w:r>
          </w:p>
        </w:tc>
        <w:tc>
          <w:tcPr>
            <w:tcW w:w="1220" w:type="dxa"/>
            <w:tcBorders>
              <w:top w:val="nil"/>
              <w:left w:val="nil"/>
              <w:bottom w:val="single" w:sz="4" w:space="0" w:color="auto"/>
              <w:right w:val="single" w:sz="4" w:space="0" w:color="auto"/>
            </w:tcBorders>
            <w:shd w:val="clear" w:color="auto" w:fill="auto"/>
            <w:noWrap/>
            <w:vAlign w:val="center"/>
            <w:hideMark/>
          </w:tcPr>
          <w:p w14:paraId="54A81C51"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322.17 f</w:t>
            </w:r>
          </w:p>
        </w:tc>
        <w:tc>
          <w:tcPr>
            <w:tcW w:w="1113" w:type="dxa"/>
            <w:tcBorders>
              <w:top w:val="nil"/>
              <w:left w:val="nil"/>
              <w:bottom w:val="single" w:sz="4" w:space="0" w:color="auto"/>
              <w:right w:val="single" w:sz="4" w:space="0" w:color="auto"/>
            </w:tcBorders>
            <w:shd w:val="clear" w:color="auto" w:fill="auto"/>
            <w:noWrap/>
            <w:vAlign w:val="center"/>
            <w:hideMark/>
          </w:tcPr>
          <w:p w14:paraId="5053241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306.62 c</w:t>
            </w:r>
          </w:p>
        </w:tc>
        <w:tc>
          <w:tcPr>
            <w:tcW w:w="871" w:type="dxa"/>
            <w:tcBorders>
              <w:top w:val="nil"/>
              <w:left w:val="nil"/>
              <w:bottom w:val="single" w:sz="4" w:space="0" w:color="auto"/>
              <w:right w:val="single" w:sz="4" w:space="0" w:color="auto"/>
            </w:tcBorders>
            <w:shd w:val="clear" w:color="auto" w:fill="auto"/>
            <w:noWrap/>
            <w:vAlign w:val="center"/>
            <w:hideMark/>
          </w:tcPr>
          <w:p w14:paraId="209C904D"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0.55</w:t>
            </w:r>
          </w:p>
        </w:tc>
        <w:tc>
          <w:tcPr>
            <w:tcW w:w="977" w:type="dxa"/>
            <w:tcBorders>
              <w:top w:val="nil"/>
              <w:left w:val="nil"/>
              <w:bottom w:val="single" w:sz="4" w:space="0" w:color="auto"/>
              <w:right w:val="single" w:sz="4" w:space="0" w:color="auto"/>
            </w:tcBorders>
            <w:shd w:val="clear" w:color="auto" w:fill="auto"/>
            <w:noWrap/>
            <w:vAlign w:val="center"/>
            <w:hideMark/>
          </w:tcPr>
          <w:p w14:paraId="31589CC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2.72 f</w:t>
            </w:r>
          </w:p>
        </w:tc>
        <w:tc>
          <w:tcPr>
            <w:tcW w:w="1077" w:type="dxa"/>
            <w:tcBorders>
              <w:top w:val="nil"/>
              <w:left w:val="nil"/>
              <w:bottom w:val="single" w:sz="4" w:space="0" w:color="auto"/>
              <w:right w:val="single" w:sz="4" w:space="0" w:color="auto"/>
            </w:tcBorders>
            <w:shd w:val="clear" w:color="auto" w:fill="auto"/>
            <w:noWrap/>
            <w:vAlign w:val="center"/>
            <w:hideMark/>
          </w:tcPr>
          <w:p w14:paraId="2F848BF0"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3.7 d</w:t>
            </w:r>
          </w:p>
        </w:tc>
        <w:tc>
          <w:tcPr>
            <w:tcW w:w="1077" w:type="dxa"/>
            <w:tcBorders>
              <w:top w:val="nil"/>
              <w:left w:val="nil"/>
              <w:bottom w:val="single" w:sz="4" w:space="0" w:color="auto"/>
              <w:right w:val="single" w:sz="4" w:space="0" w:color="auto"/>
            </w:tcBorders>
            <w:shd w:val="clear" w:color="auto" w:fill="auto"/>
            <w:noWrap/>
            <w:vAlign w:val="center"/>
            <w:hideMark/>
          </w:tcPr>
          <w:p w14:paraId="0AF94EC2"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4.07</w:t>
            </w:r>
          </w:p>
        </w:tc>
        <w:tc>
          <w:tcPr>
            <w:tcW w:w="1077" w:type="dxa"/>
            <w:tcBorders>
              <w:top w:val="nil"/>
              <w:left w:val="nil"/>
              <w:bottom w:val="single" w:sz="4" w:space="0" w:color="auto"/>
              <w:right w:val="single" w:sz="4" w:space="0" w:color="auto"/>
            </w:tcBorders>
            <w:shd w:val="clear" w:color="auto" w:fill="auto"/>
            <w:noWrap/>
            <w:vAlign w:val="center"/>
            <w:hideMark/>
          </w:tcPr>
          <w:p w14:paraId="194F106B"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4.57 c</w:t>
            </w:r>
          </w:p>
        </w:tc>
        <w:tc>
          <w:tcPr>
            <w:tcW w:w="1077" w:type="dxa"/>
            <w:tcBorders>
              <w:top w:val="nil"/>
              <w:left w:val="nil"/>
              <w:bottom w:val="single" w:sz="4" w:space="0" w:color="auto"/>
              <w:right w:val="single" w:sz="4" w:space="0" w:color="auto"/>
            </w:tcBorders>
            <w:shd w:val="clear" w:color="auto" w:fill="auto"/>
            <w:noWrap/>
            <w:vAlign w:val="center"/>
            <w:hideMark/>
          </w:tcPr>
          <w:p w14:paraId="0935853B"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4.77 c</w:t>
            </w:r>
          </w:p>
        </w:tc>
        <w:tc>
          <w:tcPr>
            <w:tcW w:w="1077" w:type="dxa"/>
            <w:tcBorders>
              <w:top w:val="nil"/>
              <w:left w:val="nil"/>
              <w:bottom w:val="single" w:sz="4" w:space="0" w:color="auto"/>
              <w:right w:val="single" w:sz="4" w:space="0" w:color="auto"/>
            </w:tcBorders>
            <w:shd w:val="clear" w:color="auto" w:fill="auto"/>
            <w:noWrap/>
            <w:vAlign w:val="center"/>
            <w:hideMark/>
          </w:tcPr>
          <w:p w14:paraId="6544F04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 xml:space="preserve">5.2 </w:t>
            </w:r>
            <w:proofErr w:type="spellStart"/>
            <w:r w:rsidRPr="007A5F42">
              <w:rPr>
                <w:rFonts w:ascii="Times New Roman" w:eastAsia="Times New Roman" w:hAnsi="Times New Roman" w:cs="Times New Roman"/>
                <w:color w:val="000000"/>
                <w:lang w:eastAsia="en-IN"/>
              </w:rPr>
              <w:t>bc</w:t>
            </w:r>
            <w:proofErr w:type="spellEnd"/>
          </w:p>
        </w:tc>
        <w:tc>
          <w:tcPr>
            <w:tcW w:w="1164" w:type="dxa"/>
            <w:tcBorders>
              <w:top w:val="nil"/>
              <w:left w:val="nil"/>
              <w:bottom w:val="single" w:sz="4" w:space="0" w:color="auto"/>
              <w:right w:val="single" w:sz="4" w:space="0" w:color="auto"/>
            </w:tcBorders>
            <w:shd w:val="clear" w:color="auto" w:fill="auto"/>
            <w:noWrap/>
            <w:vAlign w:val="center"/>
            <w:hideMark/>
          </w:tcPr>
          <w:p w14:paraId="20C32824"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5.42 e</w:t>
            </w:r>
          </w:p>
        </w:tc>
      </w:tr>
      <w:tr w:rsidR="008564E2" w:rsidRPr="007A5F42" w14:paraId="31112DD5"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4A73C64E"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E36-1</w:t>
            </w:r>
          </w:p>
        </w:tc>
        <w:tc>
          <w:tcPr>
            <w:tcW w:w="1262" w:type="dxa"/>
            <w:tcBorders>
              <w:top w:val="nil"/>
              <w:left w:val="nil"/>
              <w:bottom w:val="single" w:sz="4" w:space="0" w:color="auto"/>
              <w:right w:val="single" w:sz="4" w:space="0" w:color="auto"/>
            </w:tcBorders>
            <w:shd w:val="clear" w:color="auto" w:fill="auto"/>
            <w:noWrap/>
            <w:vAlign w:val="center"/>
            <w:hideMark/>
          </w:tcPr>
          <w:p w14:paraId="568B6B49"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45.02 c</w:t>
            </w:r>
          </w:p>
        </w:tc>
        <w:tc>
          <w:tcPr>
            <w:tcW w:w="1335" w:type="dxa"/>
            <w:tcBorders>
              <w:top w:val="nil"/>
              <w:left w:val="nil"/>
              <w:bottom w:val="single" w:sz="4" w:space="0" w:color="auto"/>
              <w:right w:val="single" w:sz="4" w:space="0" w:color="auto"/>
            </w:tcBorders>
            <w:shd w:val="clear" w:color="auto" w:fill="auto"/>
            <w:noWrap/>
            <w:vAlign w:val="center"/>
            <w:hideMark/>
          </w:tcPr>
          <w:p w14:paraId="3D9FBE44"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40.375 b</w:t>
            </w:r>
          </w:p>
        </w:tc>
        <w:tc>
          <w:tcPr>
            <w:tcW w:w="1220" w:type="dxa"/>
            <w:tcBorders>
              <w:top w:val="nil"/>
              <w:left w:val="nil"/>
              <w:bottom w:val="single" w:sz="4" w:space="0" w:color="auto"/>
              <w:right w:val="single" w:sz="4" w:space="0" w:color="auto"/>
            </w:tcBorders>
            <w:shd w:val="clear" w:color="auto" w:fill="auto"/>
            <w:noWrap/>
            <w:vAlign w:val="center"/>
            <w:hideMark/>
          </w:tcPr>
          <w:p w14:paraId="3452FC03"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315.62 g</w:t>
            </w:r>
          </w:p>
        </w:tc>
        <w:tc>
          <w:tcPr>
            <w:tcW w:w="1113" w:type="dxa"/>
            <w:tcBorders>
              <w:top w:val="nil"/>
              <w:left w:val="nil"/>
              <w:bottom w:val="single" w:sz="4" w:space="0" w:color="auto"/>
              <w:right w:val="single" w:sz="4" w:space="0" w:color="auto"/>
            </w:tcBorders>
            <w:shd w:val="clear" w:color="auto" w:fill="auto"/>
            <w:noWrap/>
            <w:vAlign w:val="center"/>
            <w:hideMark/>
          </w:tcPr>
          <w:p w14:paraId="6E9AD99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298.78 cd</w:t>
            </w:r>
          </w:p>
        </w:tc>
        <w:tc>
          <w:tcPr>
            <w:tcW w:w="871" w:type="dxa"/>
            <w:tcBorders>
              <w:top w:val="nil"/>
              <w:left w:val="nil"/>
              <w:bottom w:val="single" w:sz="4" w:space="0" w:color="auto"/>
              <w:right w:val="single" w:sz="4" w:space="0" w:color="auto"/>
            </w:tcBorders>
            <w:shd w:val="clear" w:color="auto" w:fill="auto"/>
            <w:noWrap/>
            <w:vAlign w:val="center"/>
            <w:hideMark/>
          </w:tcPr>
          <w:p w14:paraId="459AD2F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0.65 d</w:t>
            </w:r>
          </w:p>
        </w:tc>
        <w:tc>
          <w:tcPr>
            <w:tcW w:w="977" w:type="dxa"/>
            <w:tcBorders>
              <w:top w:val="nil"/>
              <w:left w:val="nil"/>
              <w:bottom w:val="single" w:sz="4" w:space="0" w:color="auto"/>
              <w:right w:val="single" w:sz="4" w:space="0" w:color="auto"/>
            </w:tcBorders>
            <w:shd w:val="clear" w:color="auto" w:fill="auto"/>
            <w:noWrap/>
            <w:vAlign w:val="center"/>
            <w:hideMark/>
          </w:tcPr>
          <w:p w14:paraId="5F9C4ED5"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 xml:space="preserve">2.62 </w:t>
            </w:r>
            <w:proofErr w:type="spellStart"/>
            <w:r w:rsidRPr="007A5F42">
              <w:rPr>
                <w:rFonts w:ascii="Times New Roman" w:eastAsia="Times New Roman" w:hAnsi="Times New Roman" w:cs="Times New Roman"/>
                <w:color w:val="000000"/>
                <w:lang w:eastAsia="en-IN"/>
              </w:rPr>
              <w:t>fg</w:t>
            </w:r>
            <w:proofErr w:type="spellEnd"/>
          </w:p>
        </w:tc>
        <w:tc>
          <w:tcPr>
            <w:tcW w:w="1077" w:type="dxa"/>
            <w:tcBorders>
              <w:top w:val="nil"/>
              <w:left w:val="nil"/>
              <w:bottom w:val="single" w:sz="4" w:space="0" w:color="auto"/>
              <w:right w:val="single" w:sz="4" w:space="0" w:color="auto"/>
            </w:tcBorders>
            <w:shd w:val="clear" w:color="auto" w:fill="auto"/>
            <w:noWrap/>
            <w:vAlign w:val="center"/>
            <w:hideMark/>
          </w:tcPr>
          <w:p w14:paraId="0A8919F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3.42 e</w:t>
            </w:r>
          </w:p>
        </w:tc>
        <w:tc>
          <w:tcPr>
            <w:tcW w:w="1077" w:type="dxa"/>
            <w:tcBorders>
              <w:top w:val="nil"/>
              <w:left w:val="nil"/>
              <w:bottom w:val="single" w:sz="4" w:space="0" w:color="auto"/>
              <w:right w:val="single" w:sz="4" w:space="0" w:color="auto"/>
            </w:tcBorders>
            <w:shd w:val="clear" w:color="auto" w:fill="auto"/>
            <w:noWrap/>
            <w:vAlign w:val="center"/>
            <w:hideMark/>
          </w:tcPr>
          <w:p w14:paraId="48B5273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 xml:space="preserve">4.2 </w:t>
            </w:r>
            <w:proofErr w:type="spellStart"/>
            <w:r w:rsidRPr="007A5F42">
              <w:rPr>
                <w:rFonts w:ascii="Times New Roman" w:eastAsia="Times New Roman" w:hAnsi="Times New Roman" w:cs="Times New Roman"/>
                <w:color w:val="000000"/>
                <w:lang w:eastAsia="en-IN"/>
              </w:rPr>
              <w:t>ef</w:t>
            </w:r>
            <w:proofErr w:type="spellEnd"/>
          </w:p>
        </w:tc>
        <w:tc>
          <w:tcPr>
            <w:tcW w:w="1077" w:type="dxa"/>
            <w:tcBorders>
              <w:top w:val="nil"/>
              <w:left w:val="nil"/>
              <w:bottom w:val="single" w:sz="4" w:space="0" w:color="auto"/>
              <w:right w:val="single" w:sz="4" w:space="0" w:color="auto"/>
            </w:tcBorders>
            <w:shd w:val="clear" w:color="auto" w:fill="auto"/>
            <w:noWrap/>
            <w:vAlign w:val="center"/>
            <w:hideMark/>
          </w:tcPr>
          <w:p w14:paraId="68AE3BB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4.35 d</w:t>
            </w:r>
          </w:p>
        </w:tc>
        <w:tc>
          <w:tcPr>
            <w:tcW w:w="1077" w:type="dxa"/>
            <w:tcBorders>
              <w:top w:val="nil"/>
              <w:left w:val="nil"/>
              <w:bottom w:val="single" w:sz="4" w:space="0" w:color="auto"/>
              <w:right w:val="single" w:sz="4" w:space="0" w:color="auto"/>
            </w:tcBorders>
            <w:shd w:val="clear" w:color="auto" w:fill="auto"/>
            <w:noWrap/>
            <w:vAlign w:val="center"/>
            <w:hideMark/>
          </w:tcPr>
          <w:p w14:paraId="7F35303E"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5.12</w:t>
            </w:r>
          </w:p>
        </w:tc>
        <w:tc>
          <w:tcPr>
            <w:tcW w:w="1077" w:type="dxa"/>
            <w:tcBorders>
              <w:top w:val="nil"/>
              <w:left w:val="nil"/>
              <w:bottom w:val="single" w:sz="4" w:space="0" w:color="auto"/>
              <w:right w:val="single" w:sz="4" w:space="0" w:color="auto"/>
            </w:tcBorders>
            <w:shd w:val="clear" w:color="auto" w:fill="auto"/>
            <w:noWrap/>
            <w:vAlign w:val="center"/>
            <w:hideMark/>
          </w:tcPr>
          <w:p w14:paraId="3688C225"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5.25 b</w:t>
            </w:r>
          </w:p>
        </w:tc>
        <w:tc>
          <w:tcPr>
            <w:tcW w:w="1164" w:type="dxa"/>
            <w:tcBorders>
              <w:top w:val="nil"/>
              <w:left w:val="nil"/>
              <w:bottom w:val="single" w:sz="4" w:space="0" w:color="auto"/>
              <w:right w:val="single" w:sz="4" w:space="0" w:color="auto"/>
            </w:tcBorders>
            <w:shd w:val="clear" w:color="auto" w:fill="auto"/>
            <w:noWrap/>
            <w:vAlign w:val="center"/>
            <w:hideMark/>
          </w:tcPr>
          <w:p w14:paraId="378CD69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5.57 d</w:t>
            </w:r>
          </w:p>
        </w:tc>
      </w:tr>
      <w:tr w:rsidR="008564E2" w:rsidRPr="007A5F42" w14:paraId="57A83F98"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7B18091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296B</w:t>
            </w:r>
          </w:p>
        </w:tc>
        <w:tc>
          <w:tcPr>
            <w:tcW w:w="1262" w:type="dxa"/>
            <w:tcBorders>
              <w:top w:val="nil"/>
              <w:left w:val="nil"/>
              <w:bottom w:val="single" w:sz="4" w:space="0" w:color="auto"/>
              <w:right w:val="single" w:sz="4" w:space="0" w:color="auto"/>
            </w:tcBorders>
            <w:shd w:val="clear" w:color="auto" w:fill="auto"/>
            <w:noWrap/>
            <w:vAlign w:val="center"/>
            <w:hideMark/>
          </w:tcPr>
          <w:p w14:paraId="6421807C"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 xml:space="preserve">43.22 </w:t>
            </w:r>
            <w:proofErr w:type="spellStart"/>
            <w:r w:rsidRPr="007A5F42">
              <w:rPr>
                <w:rFonts w:ascii="Times New Roman" w:eastAsia="Times New Roman" w:hAnsi="Times New Roman" w:cs="Times New Roman"/>
                <w:lang w:eastAsia="en-IN"/>
              </w:rPr>
              <w:t>ef</w:t>
            </w:r>
            <w:proofErr w:type="spellEnd"/>
          </w:p>
        </w:tc>
        <w:tc>
          <w:tcPr>
            <w:tcW w:w="1335" w:type="dxa"/>
            <w:tcBorders>
              <w:top w:val="nil"/>
              <w:left w:val="nil"/>
              <w:bottom w:val="single" w:sz="4" w:space="0" w:color="auto"/>
              <w:right w:val="single" w:sz="4" w:space="0" w:color="auto"/>
            </w:tcBorders>
            <w:shd w:val="clear" w:color="auto" w:fill="auto"/>
            <w:noWrap/>
            <w:vAlign w:val="center"/>
            <w:hideMark/>
          </w:tcPr>
          <w:p w14:paraId="744AF9AC"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37.87 cd</w:t>
            </w:r>
          </w:p>
        </w:tc>
        <w:tc>
          <w:tcPr>
            <w:tcW w:w="1220" w:type="dxa"/>
            <w:tcBorders>
              <w:top w:val="nil"/>
              <w:left w:val="nil"/>
              <w:bottom w:val="single" w:sz="4" w:space="0" w:color="auto"/>
              <w:right w:val="single" w:sz="4" w:space="0" w:color="auto"/>
            </w:tcBorders>
            <w:shd w:val="clear" w:color="auto" w:fill="auto"/>
            <w:noWrap/>
            <w:vAlign w:val="center"/>
            <w:hideMark/>
          </w:tcPr>
          <w:p w14:paraId="7B593983"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417.69 a</w:t>
            </w:r>
          </w:p>
        </w:tc>
        <w:tc>
          <w:tcPr>
            <w:tcW w:w="1113" w:type="dxa"/>
            <w:tcBorders>
              <w:top w:val="nil"/>
              <w:left w:val="nil"/>
              <w:bottom w:val="single" w:sz="4" w:space="0" w:color="auto"/>
              <w:right w:val="single" w:sz="4" w:space="0" w:color="auto"/>
            </w:tcBorders>
            <w:shd w:val="clear" w:color="auto" w:fill="auto"/>
            <w:noWrap/>
            <w:vAlign w:val="center"/>
            <w:hideMark/>
          </w:tcPr>
          <w:p w14:paraId="2900448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363.87 a</w:t>
            </w:r>
          </w:p>
        </w:tc>
        <w:tc>
          <w:tcPr>
            <w:tcW w:w="871" w:type="dxa"/>
            <w:tcBorders>
              <w:top w:val="nil"/>
              <w:left w:val="nil"/>
              <w:bottom w:val="single" w:sz="4" w:space="0" w:color="auto"/>
              <w:right w:val="single" w:sz="4" w:space="0" w:color="auto"/>
            </w:tcBorders>
            <w:shd w:val="clear" w:color="auto" w:fill="auto"/>
            <w:noWrap/>
            <w:vAlign w:val="center"/>
            <w:hideMark/>
          </w:tcPr>
          <w:p w14:paraId="0A511B0D"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0.54 a</w:t>
            </w:r>
          </w:p>
        </w:tc>
        <w:tc>
          <w:tcPr>
            <w:tcW w:w="977" w:type="dxa"/>
            <w:tcBorders>
              <w:top w:val="nil"/>
              <w:left w:val="nil"/>
              <w:bottom w:val="single" w:sz="4" w:space="0" w:color="auto"/>
              <w:right w:val="single" w:sz="4" w:space="0" w:color="auto"/>
            </w:tcBorders>
            <w:shd w:val="clear" w:color="auto" w:fill="auto"/>
            <w:noWrap/>
            <w:vAlign w:val="center"/>
            <w:hideMark/>
          </w:tcPr>
          <w:p w14:paraId="648783C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2.55 g</w:t>
            </w:r>
          </w:p>
        </w:tc>
        <w:tc>
          <w:tcPr>
            <w:tcW w:w="1077" w:type="dxa"/>
            <w:tcBorders>
              <w:top w:val="nil"/>
              <w:left w:val="nil"/>
              <w:bottom w:val="single" w:sz="4" w:space="0" w:color="auto"/>
              <w:right w:val="single" w:sz="4" w:space="0" w:color="auto"/>
            </w:tcBorders>
            <w:shd w:val="clear" w:color="auto" w:fill="auto"/>
            <w:noWrap/>
            <w:vAlign w:val="center"/>
            <w:hideMark/>
          </w:tcPr>
          <w:p w14:paraId="3DD87DFB"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3.07 c</w:t>
            </w:r>
          </w:p>
        </w:tc>
        <w:tc>
          <w:tcPr>
            <w:tcW w:w="1077" w:type="dxa"/>
            <w:tcBorders>
              <w:top w:val="nil"/>
              <w:left w:val="nil"/>
              <w:bottom w:val="single" w:sz="4" w:space="0" w:color="auto"/>
              <w:right w:val="single" w:sz="4" w:space="0" w:color="auto"/>
            </w:tcBorders>
            <w:shd w:val="clear" w:color="auto" w:fill="auto"/>
            <w:noWrap/>
            <w:vAlign w:val="center"/>
            <w:hideMark/>
          </w:tcPr>
          <w:p w14:paraId="3565E19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4.09 de</w:t>
            </w:r>
          </w:p>
        </w:tc>
        <w:tc>
          <w:tcPr>
            <w:tcW w:w="1077" w:type="dxa"/>
            <w:tcBorders>
              <w:top w:val="nil"/>
              <w:left w:val="nil"/>
              <w:bottom w:val="single" w:sz="4" w:space="0" w:color="auto"/>
              <w:right w:val="single" w:sz="4" w:space="0" w:color="auto"/>
            </w:tcBorders>
            <w:shd w:val="clear" w:color="auto" w:fill="auto"/>
            <w:noWrap/>
            <w:vAlign w:val="center"/>
            <w:hideMark/>
          </w:tcPr>
          <w:p w14:paraId="208C752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4.45 cd</w:t>
            </w:r>
          </w:p>
        </w:tc>
        <w:tc>
          <w:tcPr>
            <w:tcW w:w="1077" w:type="dxa"/>
            <w:tcBorders>
              <w:top w:val="nil"/>
              <w:left w:val="nil"/>
              <w:bottom w:val="single" w:sz="4" w:space="0" w:color="auto"/>
              <w:right w:val="single" w:sz="4" w:space="0" w:color="auto"/>
            </w:tcBorders>
            <w:shd w:val="clear" w:color="auto" w:fill="auto"/>
            <w:noWrap/>
            <w:vAlign w:val="center"/>
            <w:hideMark/>
          </w:tcPr>
          <w:p w14:paraId="47768F4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4.72 c</w:t>
            </w:r>
          </w:p>
        </w:tc>
        <w:tc>
          <w:tcPr>
            <w:tcW w:w="1077" w:type="dxa"/>
            <w:tcBorders>
              <w:top w:val="nil"/>
              <w:left w:val="nil"/>
              <w:bottom w:val="single" w:sz="4" w:space="0" w:color="auto"/>
              <w:right w:val="single" w:sz="4" w:space="0" w:color="auto"/>
            </w:tcBorders>
            <w:shd w:val="clear" w:color="auto" w:fill="auto"/>
            <w:noWrap/>
            <w:vAlign w:val="center"/>
            <w:hideMark/>
          </w:tcPr>
          <w:p w14:paraId="2A63DFF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4.95 c</w:t>
            </w:r>
          </w:p>
        </w:tc>
        <w:tc>
          <w:tcPr>
            <w:tcW w:w="1164" w:type="dxa"/>
            <w:tcBorders>
              <w:top w:val="nil"/>
              <w:left w:val="nil"/>
              <w:bottom w:val="single" w:sz="4" w:space="0" w:color="auto"/>
              <w:right w:val="single" w:sz="4" w:space="0" w:color="auto"/>
            </w:tcBorders>
            <w:shd w:val="clear" w:color="auto" w:fill="auto"/>
            <w:noWrap/>
            <w:vAlign w:val="center"/>
            <w:hideMark/>
          </w:tcPr>
          <w:p w14:paraId="5494485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5.1 f</w:t>
            </w:r>
          </w:p>
        </w:tc>
      </w:tr>
      <w:tr w:rsidR="008564E2" w:rsidRPr="007A5F42" w14:paraId="5A62C3AF"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6C9C8C1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R16</w:t>
            </w:r>
          </w:p>
        </w:tc>
        <w:tc>
          <w:tcPr>
            <w:tcW w:w="1262" w:type="dxa"/>
            <w:tcBorders>
              <w:top w:val="nil"/>
              <w:left w:val="nil"/>
              <w:bottom w:val="single" w:sz="4" w:space="0" w:color="auto"/>
              <w:right w:val="single" w:sz="4" w:space="0" w:color="auto"/>
            </w:tcBorders>
            <w:shd w:val="clear" w:color="auto" w:fill="auto"/>
            <w:noWrap/>
            <w:vAlign w:val="center"/>
            <w:hideMark/>
          </w:tcPr>
          <w:p w14:paraId="4CB69748"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44.41 cd</w:t>
            </w:r>
          </w:p>
        </w:tc>
        <w:tc>
          <w:tcPr>
            <w:tcW w:w="1335" w:type="dxa"/>
            <w:tcBorders>
              <w:top w:val="nil"/>
              <w:left w:val="nil"/>
              <w:bottom w:val="single" w:sz="4" w:space="0" w:color="auto"/>
              <w:right w:val="single" w:sz="4" w:space="0" w:color="auto"/>
            </w:tcBorders>
            <w:shd w:val="clear" w:color="auto" w:fill="auto"/>
            <w:noWrap/>
            <w:vAlign w:val="center"/>
            <w:hideMark/>
          </w:tcPr>
          <w:p w14:paraId="13D69208"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38.12 c</w:t>
            </w:r>
          </w:p>
        </w:tc>
        <w:tc>
          <w:tcPr>
            <w:tcW w:w="1220" w:type="dxa"/>
            <w:tcBorders>
              <w:top w:val="nil"/>
              <w:left w:val="nil"/>
              <w:bottom w:val="single" w:sz="4" w:space="0" w:color="auto"/>
              <w:right w:val="single" w:sz="4" w:space="0" w:color="auto"/>
            </w:tcBorders>
            <w:shd w:val="clear" w:color="auto" w:fill="auto"/>
            <w:noWrap/>
            <w:vAlign w:val="center"/>
            <w:hideMark/>
          </w:tcPr>
          <w:p w14:paraId="29ACED76"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295.60 h</w:t>
            </w:r>
          </w:p>
        </w:tc>
        <w:tc>
          <w:tcPr>
            <w:tcW w:w="1113" w:type="dxa"/>
            <w:tcBorders>
              <w:top w:val="nil"/>
              <w:left w:val="nil"/>
              <w:bottom w:val="single" w:sz="4" w:space="0" w:color="auto"/>
              <w:right w:val="single" w:sz="4" w:space="0" w:color="auto"/>
            </w:tcBorders>
            <w:shd w:val="clear" w:color="auto" w:fill="auto"/>
            <w:noWrap/>
            <w:vAlign w:val="center"/>
            <w:hideMark/>
          </w:tcPr>
          <w:p w14:paraId="6A1E9651"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254.92 e</w:t>
            </w:r>
          </w:p>
        </w:tc>
        <w:tc>
          <w:tcPr>
            <w:tcW w:w="871" w:type="dxa"/>
            <w:tcBorders>
              <w:top w:val="nil"/>
              <w:left w:val="nil"/>
              <w:bottom w:val="single" w:sz="4" w:space="0" w:color="auto"/>
              <w:right w:val="single" w:sz="4" w:space="0" w:color="auto"/>
            </w:tcBorders>
            <w:shd w:val="clear" w:color="auto" w:fill="auto"/>
            <w:noWrap/>
            <w:vAlign w:val="center"/>
            <w:hideMark/>
          </w:tcPr>
          <w:p w14:paraId="3279821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0.76 c</w:t>
            </w:r>
          </w:p>
        </w:tc>
        <w:tc>
          <w:tcPr>
            <w:tcW w:w="977" w:type="dxa"/>
            <w:tcBorders>
              <w:top w:val="nil"/>
              <w:left w:val="nil"/>
              <w:bottom w:val="single" w:sz="4" w:space="0" w:color="auto"/>
              <w:right w:val="single" w:sz="4" w:space="0" w:color="auto"/>
            </w:tcBorders>
            <w:shd w:val="clear" w:color="auto" w:fill="auto"/>
            <w:noWrap/>
            <w:vAlign w:val="center"/>
            <w:hideMark/>
          </w:tcPr>
          <w:p w14:paraId="7A80459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3.23 d</w:t>
            </w:r>
          </w:p>
        </w:tc>
        <w:tc>
          <w:tcPr>
            <w:tcW w:w="1077" w:type="dxa"/>
            <w:tcBorders>
              <w:top w:val="nil"/>
              <w:left w:val="nil"/>
              <w:bottom w:val="single" w:sz="4" w:space="0" w:color="auto"/>
              <w:right w:val="single" w:sz="4" w:space="0" w:color="auto"/>
            </w:tcBorders>
            <w:shd w:val="clear" w:color="auto" w:fill="auto"/>
            <w:noWrap/>
            <w:vAlign w:val="center"/>
            <w:hideMark/>
          </w:tcPr>
          <w:p w14:paraId="25FB2D51"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4.23 b</w:t>
            </w:r>
          </w:p>
        </w:tc>
        <w:tc>
          <w:tcPr>
            <w:tcW w:w="1077" w:type="dxa"/>
            <w:tcBorders>
              <w:top w:val="nil"/>
              <w:left w:val="nil"/>
              <w:bottom w:val="single" w:sz="4" w:space="0" w:color="auto"/>
              <w:right w:val="single" w:sz="4" w:space="0" w:color="auto"/>
            </w:tcBorders>
            <w:shd w:val="clear" w:color="auto" w:fill="auto"/>
            <w:noWrap/>
            <w:vAlign w:val="center"/>
            <w:hideMark/>
          </w:tcPr>
          <w:p w14:paraId="30064662"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5.13 a</w:t>
            </w:r>
          </w:p>
        </w:tc>
        <w:tc>
          <w:tcPr>
            <w:tcW w:w="1077" w:type="dxa"/>
            <w:tcBorders>
              <w:top w:val="nil"/>
              <w:left w:val="nil"/>
              <w:bottom w:val="single" w:sz="4" w:space="0" w:color="auto"/>
              <w:right w:val="single" w:sz="4" w:space="0" w:color="auto"/>
            </w:tcBorders>
            <w:shd w:val="clear" w:color="auto" w:fill="auto"/>
            <w:noWrap/>
            <w:vAlign w:val="center"/>
            <w:hideMark/>
          </w:tcPr>
          <w:p w14:paraId="7BC6DBC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5.45 a</w:t>
            </w:r>
          </w:p>
        </w:tc>
        <w:tc>
          <w:tcPr>
            <w:tcW w:w="1077" w:type="dxa"/>
            <w:tcBorders>
              <w:top w:val="nil"/>
              <w:left w:val="nil"/>
              <w:bottom w:val="single" w:sz="4" w:space="0" w:color="auto"/>
              <w:right w:val="single" w:sz="4" w:space="0" w:color="auto"/>
            </w:tcBorders>
            <w:shd w:val="clear" w:color="auto" w:fill="auto"/>
            <w:noWrap/>
            <w:vAlign w:val="center"/>
            <w:hideMark/>
          </w:tcPr>
          <w:p w14:paraId="16EACB72"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6.11 a</w:t>
            </w:r>
          </w:p>
        </w:tc>
        <w:tc>
          <w:tcPr>
            <w:tcW w:w="1077" w:type="dxa"/>
            <w:tcBorders>
              <w:top w:val="nil"/>
              <w:left w:val="nil"/>
              <w:bottom w:val="single" w:sz="4" w:space="0" w:color="auto"/>
              <w:right w:val="single" w:sz="4" w:space="0" w:color="auto"/>
            </w:tcBorders>
            <w:shd w:val="clear" w:color="auto" w:fill="auto"/>
            <w:noWrap/>
            <w:vAlign w:val="center"/>
            <w:hideMark/>
          </w:tcPr>
          <w:p w14:paraId="488BA004"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6.25 a</w:t>
            </w:r>
          </w:p>
        </w:tc>
        <w:tc>
          <w:tcPr>
            <w:tcW w:w="1164" w:type="dxa"/>
            <w:tcBorders>
              <w:top w:val="nil"/>
              <w:left w:val="nil"/>
              <w:bottom w:val="single" w:sz="4" w:space="0" w:color="auto"/>
              <w:right w:val="single" w:sz="4" w:space="0" w:color="auto"/>
            </w:tcBorders>
            <w:shd w:val="clear" w:color="auto" w:fill="auto"/>
            <w:noWrap/>
            <w:vAlign w:val="center"/>
            <w:hideMark/>
          </w:tcPr>
          <w:p w14:paraId="2F869DD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6.50 a</w:t>
            </w:r>
          </w:p>
        </w:tc>
      </w:tr>
      <w:tr w:rsidR="008564E2" w:rsidRPr="007A5F42" w14:paraId="054B0D24"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19F9E45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M35-1</w:t>
            </w:r>
          </w:p>
        </w:tc>
        <w:tc>
          <w:tcPr>
            <w:tcW w:w="1262" w:type="dxa"/>
            <w:tcBorders>
              <w:top w:val="nil"/>
              <w:left w:val="nil"/>
              <w:bottom w:val="single" w:sz="4" w:space="0" w:color="auto"/>
              <w:right w:val="single" w:sz="4" w:space="0" w:color="auto"/>
            </w:tcBorders>
            <w:shd w:val="clear" w:color="auto" w:fill="auto"/>
            <w:noWrap/>
            <w:vAlign w:val="center"/>
            <w:hideMark/>
          </w:tcPr>
          <w:p w14:paraId="22B9E0A8"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43.32 def</w:t>
            </w:r>
          </w:p>
        </w:tc>
        <w:tc>
          <w:tcPr>
            <w:tcW w:w="1335" w:type="dxa"/>
            <w:tcBorders>
              <w:top w:val="nil"/>
              <w:left w:val="nil"/>
              <w:bottom w:val="single" w:sz="4" w:space="0" w:color="auto"/>
              <w:right w:val="single" w:sz="4" w:space="0" w:color="auto"/>
            </w:tcBorders>
            <w:shd w:val="clear" w:color="auto" w:fill="auto"/>
            <w:noWrap/>
            <w:vAlign w:val="center"/>
            <w:hideMark/>
          </w:tcPr>
          <w:p w14:paraId="4FEC5AF5"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32.55 cd</w:t>
            </w:r>
          </w:p>
        </w:tc>
        <w:tc>
          <w:tcPr>
            <w:tcW w:w="1220" w:type="dxa"/>
            <w:tcBorders>
              <w:top w:val="nil"/>
              <w:left w:val="nil"/>
              <w:bottom w:val="single" w:sz="4" w:space="0" w:color="auto"/>
              <w:right w:val="single" w:sz="4" w:space="0" w:color="auto"/>
            </w:tcBorders>
            <w:shd w:val="clear" w:color="auto" w:fill="auto"/>
            <w:noWrap/>
            <w:vAlign w:val="center"/>
            <w:hideMark/>
          </w:tcPr>
          <w:p w14:paraId="396A3F3F"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347.31 c</w:t>
            </w:r>
          </w:p>
        </w:tc>
        <w:tc>
          <w:tcPr>
            <w:tcW w:w="1113" w:type="dxa"/>
            <w:tcBorders>
              <w:top w:val="nil"/>
              <w:left w:val="nil"/>
              <w:bottom w:val="single" w:sz="4" w:space="0" w:color="auto"/>
              <w:right w:val="single" w:sz="4" w:space="0" w:color="auto"/>
            </w:tcBorders>
            <w:shd w:val="clear" w:color="auto" w:fill="auto"/>
            <w:noWrap/>
            <w:vAlign w:val="center"/>
            <w:hideMark/>
          </w:tcPr>
          <w:p w14:paraId="3C09305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296.23 cd</w:t>
            </w:r>
          </w:p>
        </w:tc>
        <w:tc>
          <w:tcPr>
            <w:tcW w:w="871" w:type="dxa"/>
            <w:tcBorders>
              <w:top w:val="nil"/>
              <w:left w:val="nil"/>
              <w:bottom w:val="single" w:sz="4" w:space="0" w:color="auto"/>
              <w:right w:val="single" w:sz="4" w:space="0" w:color="auto"/>
            </w:tcBorders>
            <w:shd w:val="clear" w:color="auto" w:fill="auto"/>
            <w:noWrap/>
            <w:vAlign w:val="center"/>
            <w:hideMark/>
          </w:tcPr>
          <w:p w14:paraId="4790A5B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1.1 ab</w:t>
            </w:r>
          </w:p>
        </w:tc>
        <w:tc>
          <w:tcPr>
            <w:tcW w:w="977" w:type="dxa"/>
            <w:tcBorders>
              <w:top w:val="nil"/>
              <w:left w:val="nil"/>
              <w:bottom w:val="single" w:sz="4" w:space="0" w:color="auto"/>
              <w:right w:val="single" w:sz="4" w:space="0" w:color="auto"/>
            </w:tcBorders>
            <w:shd w:val="clear" w:color="auto" w:fill="auto"/>
            <w:noWrap/>
            <w:vAlign w:val="center"/>
            <w:hideMark/>
          </w:tcPr>
          <w:p w14:paraId="1332401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2.85 h</w:t>
            </w:r>
          </w:p>
        </w:tc>
        <w:tc>
          <w:tcPr>
            <w:tcW w:w="1077" w:type="dxa"/>
            <w:tcBorders>
              <w:top w:val="nil"/>
              <w:left w:val="nil"/>
              <w:bottom w:val="single" w:sz="4" w:space="0" w:color="auto"/>
              <w:right w:val="single" w:sz="4" w:space="0" w:color="auto"/>
            </w:tcBorders>
            <w:shd w:val="clear" w:color="auto" w:fill="auto"/>
            <w:noWrap/>
            <w:vAlign w:val="center"/>
            <w:hideMark/>
          </w:tcPr>
          <w:p w14:paraId="09D16755"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3.15 f</w:t>
            </w:r>
          </w:p>
        </w:tc>
        <w:tc>
          <w:tcPr>
            <w:tcW w:w="1077" w:type="dxa"/>
            <w:tcBorders>
              <w:top w:val="nil"/>
              <w:left w:val="nil"/>
              <w:bottom w:val="single" w:sz="4" w:space="0" w:color="auto"/>
              <w:right w:val="single" w:sz="4" w:space="0" w:color="auto"/>
            </w:tcBorders>
            <w:shd w:val="clear" w:color="auto" w:fill="auto"/>
            <w:noWrap/>
            <w:vAlign w:val="center"/>
            <w:hideMark/>
          </w:tcPr>
          <w:p w14:paraId="4175EB7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4.37 f</w:t>
            </w:r>
          </w:p>
        </w:tc>
        <w:tc>
          <w:tcPr>
            <w:tcW w:w="1077" w:type="dxa"/>
            <w:tcBorders>
              <w:top w:val="nil"/>
              <w:left w:val="nil"/>
              <w:bottom w:val="single" w:sz="4" w:space="0" w:color="auto"/>
              <w:right w:val="single" w:sz="4" w:space="0" w:color="auto"/>
            </w:tcBorders>
            <w:shd w:val="clear" w:color="auto" w:fill="auto"/>
            <w:noWrap/>
            <w:vAlign w:val="center"/>
            <w:hideMark/>
          </w:tcPr>
          <w:p w14:paraId="63D707E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4.65 c</w:t>
            </w:r>
          </w:p>
        </w:tc>
        <w:tc>
          <w:tcPr>
            <w:tcW w:w="1077" w:type="dxa"/>
            <w:tcBorders>
              <w:top w:val="nil"/>
              <w:left w:val="nil"/>
              <w:bottom w:val="single" w:sz="4" w:space="0" w:color="auto"/>
              <w:right w:val="single" w:sz="4" w:space="0" w:color="auto"/>
            </w:tcBorders>
            <w:shd w:val="clear" w:color="auto" w:fill="auto"/>
            <w:noWrap/>
            <w:vAlign w:val="center"/>
            <w:hideMark/>
          </w:tcPr>
          <w:p w14:paraId="4B57E4D1"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5.21 c</w:t>
            </w:r>
          </w:p>
        </w:tc>
        <w:tc>
          <w:tcPr>
            <w:tcW w:w="1077" w:type="dxa"/>
            <w:tcBorders>
              <w:top w:val="nil"/>
              <w:left w:val="nil"/>
              <w:bottom w:val="single" w:sz="4" w:space="0" w:color="auto"/>
              <w:right w:val="single" w:sz="4" w:space="0" w:color="auto"/>
            </w:tcBorders>
            <w:shd w:val="clear" w:color="auto" w:fill="auto"/>
            <w:noWrap/>
            <w:vAlign w:val="center"/>
            <w:hideMark/>
          </w:tcPr>
          <w:p w14:paraId="05F1F7F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 xml:space="preserve">5.37 </w:t>
            </w:r>
            <w:proofErr w:type="spellStart"/>
            <w:r w:rsidRPr="007A5F42">
              <w:rPr>
                <w:rFonts w:ascii="Times New Roman" w:eastAsia="Times New Roman" w:hAnsi="Times New Roman" w:cs="Times New Roman"/>
                <w:color w:val="000000"/>
                <w:lang w:eastAsia="en-IN"/>
              </w:rPr>
              <w:t>bc</w:t>
            </w:r>
            <w:proofErr w:type="spellEnd"/>
          </w:p>
        </w:tc>
        <w:tc>
          <w:tcPr>
            <w:tcW w:w="1164" w:type="dxa"/>
            <w:tcBorders>
              <w:top w:val="nil"/>
              <w:left w:val="nil"/>
              <w:bottom w:val="single" w:sz="4" w:space="0" w:color="auto"/>
              <w:right w:val="single" w:sz="4" w:space="0" w:color="auto"/>
            </w:tcBorders>
            <w:shd w:val="clear" w:color="auto" w:fill="auto"/>
            <w:noWrap/>
            <w:vAlign w:val="center"/>
            <w:hideMark/>
          </w:tcPr>
          <w:p w14:paraId="2EC2E154"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5.75 c</w:t>
            </w:r>
          </w:p>
        </w:tc>
      </w:tr>
      <w:tr w:rsidR="008564E2" w:rsidRPr="007A5F42" w14:paraId="1C5D512A"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2B43C558" w14:textId="55922355" w:rsidR="008564E2" w:rsidRPr="007A5F42" w:rsidRDefault="008564E2" w:rsidP="00C2037F">
            <w:pPr>
              <w:jc w:val="center"/>
              <w:rPr>
                <w:rFonts w:ascii="Times New Roman" w:eastAsia="Times New Roman" w:hAnsi="Times New Roman" w:cs="Times New Roman"/>
                <w:color w:val="000000"/>
                <w:lang w:eastAsia="en-IN"/>
              </w:rPr>
            </w:pPr>
            <w:proofErr w:type="spellStart"/>
            <w:r w:rsidRPr="007A5F42">
              <w:rPr>
                <w:rFonts w:ascii="Times New Roman" w:eastAsia="Times New Roman" w:hAnsi="Times New Roman" w:cs="Times New Roman"/>
                <w:color w:val="000000"/>
                <w:lang w:eastAsia="en-IN"/>
              </w:rPr>
              <w:t>P</w:t>
            </w:r>
            <w:r w:rsidR="005128F0">
              <w:rPr>
                <w:rFonts w:ascii="Times New Roman" w:eastAsia="Times New Roman" w:hAnsi="Times New Roman" w:cs="Times New Roman"/>
                <w:color w:val="000000"/>
                <w:lang w:eastAsia="en-IN"/>
              </w:rPr>
              <w:t>arbhani</w:t>
            </w:r>
            <w:proofErr w:type="spellEnd"/>
            <w:r w:rsidR="005128F0">
              <w:rPr>
                <w:rFonts w:ascii="Times New Roman" w:eastAsia="Times New Roman" w:hAnsi="Times New Roman" w:cs="Times New Roman"/>
                <w:color w:val="000000"/>
                <w:lang w:eastAsia="en-IN"/>
              </w:rPr>
              <w:t xml:space="preserve"> Moti</w:t>
            </w:r>
          </w:p>
        </w:tc>
        <w:tc>
          <w:tcPr>
            <w:tcW w:w="1262" w:type="dxa"/>
            <w:tcBorders>
              <w:top w:val="nil"/>
              <w:left w:val="nil"/>
              <w:bottom w:val="single" w:sz="4" w:space="0" w:color="auto"/>
              <w:right w:val="single" w:sz="4" w:space="0" w:color="auto"/>
            </w:tcBorders>
            <w:shd w:val="clear" w:color="auto" w:fill="auto"/>
            <w:noWrap/>
            <w:vAlign w:val="center"/>
            <w:hideMark/>
          </w:tcPr>
          <w:p w14:paraId="61F67B56"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 xml:space="preserve">44.12 </w:t>
            </w:r>
            <w:proofErr w:type="spellStart"/>
            <w:r w:rsidRPr="007A5F42">
              <w:rPr>
                <w:rFonts w:ascii="Times New Roman" w:eastAsia="Times New Roman" w:hAnsi="Times New Roman" w:cs="Times New Roman"/>
                <w:lang w:eastAsia="en-IN"/>
              </w:rPr>
              <w:t>cde</w:t>
            </w:r>
            <w:proofErr w:type="spellEnd"/>
          </w:p>
        </w:tc>
        <w:tc>
          <w:tcPr>
            <w:tcW w:w="1335" w:type="dxa"/>
            <w:tcBorders>
              <w:top w:val="nil"/>
              <w:left w:val="nil"/>
              <w:bottom w:val="single" w:sz="4" w:space="0" w:color="auto"/>
              <w:right w:val="single" w:sz="4" w:space="0" w:color="auto"/>
            </w:tcBorders>
            <w:shd w:val="clear" w:color="auto" w:fill="auto"/>
            <w:noWrap/>
            <w:vAlign w:val="center"/>
            <w:hideMark/>
          </w:tcPr>
          <w:p w14:paraId="47E67F30"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30.95 cd</w:t>
            </w:r>
          </w:p>
        </w:tc>
        <w:tc>
          <w:tcPr>
            <w:tcW w:w="1220" w:type="dxa"/>
            <w:tcBorders>
              <w:top w:val="nil"/>
              <w:left w:val="nil"/>
              <w:bottom w:val="single" w:sz="4" w:space="0" w:color="auto"/>
              <w:right w:val="single" w:sz="4" w:space="0" w:color="auto"/>
            </w:tcBorders>
            <w:shd w:val="clear" w:color="auto" w:fill="auto"/>
            <w:noWrap/>
            <w:vAlign w:val="center"/>
            <w:hideMark/>
          </w:tcPr>
          <w:p w14:paraId="70AA3252"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328.47 e</w:t>
            </w:r>
          </w:p>
        </w:tc>
        <w:tc>
          <w:tcPr>
            <w:tcW w:w="1113" w:type="dxa"/>
            <w:tcBorders>
              <w:top w:val="nil"/>
              <w:left w:val="nil"/>
              <w:bottom w:val="single" w:sz="4" w:space="0" w:color="auto"/>
              <w:right w:val="single" w:sz="4" w:space="0" w:color="auto"/>
            </w:tcBorders>
            <w:shd w:val="clear" w:color="auto" w:fill="auto"/>
            <w:noWrap/>
            <w:vAlign w:val="center"/>
            <w:hideMark/>
          </w:tcPr>
          <w:p w14:paraId="4C59647B"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298.46 cd</w:t>
            </w:r>
          </w:p>
        </w:tc>
        <w:tc>
          <w:tcPr>
            <w:tcW w:w="871" w:type="dxa"/>
            <w:tcBorders>
              <w:top w:val="nil"/>
              <w:left w:val="nil"/>
              <w:bottom w:val="single" w:sz="4" w:space="0" w:color="auto"/>
              <w:right w:val="single" w:sz="4" w:space="0" w:color="auto"/>
            </w:tcBorders>
            <w:shd w:val="clear" w:color="auto" w:fill="auto"/>
            <w:noWrap/>
            <w:vAlign w:val="center"/>
            <w:hideMark/>
          </w:tcPr>
          <w:p w14:paraId="1C70A3B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0.77 c</w:t>
            </w:r>
          </w:p>
        </w:tc>
        <w:tc>
          <w:tcPr>
            <w:tcW w:w="977" w:type="dxa"/>
            <w:tcBorders>
              <w:top w:val="nil"/>
              <w:left w:val="nil"/>
              <w:bottom w:val="single" w:sz="4" w:space="0" w:color="auto"/>
              <w:right w:val="single" w:sz="4" w:space="0" w:color="auto"/>
            </w:tcBorders>
            <w:shd w:val="clear" w:color="auto" w:fill="auto"/>
            <w:noWrap/>
            <w:vAlign w:val="center"/>
            <w:hideMark/>
          </w:tcPr>
          <w:p w14:paraId="284585F0"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4.37 a</w:t>
            </w:r>
          </w:p>
        </w:tc>
        <w:tc>
          <w:tcPr>
            <w:tcW w:w="1077" w:type="dxa"/>
            <w:tcBorders>
              <w:top w:val="nil"/>
              <w:left w:val="nil"/>
              <w:bottom w:val="single" w:sz="4" w:space="0" w:color="auto"/>
              <w:right w:val="single" w:sz="4" w:space="0" w:color="auto"/>
            </w:tcBorders>
            <w:shd w:val="clear" w:color="auto" w:fill="auto"/>
            <w:noWrap/>
            <w:vAlign w:val="center"/>
            <w:hideMark/>
          </w:tcPr>
          <w:p w14:paraId="0E30159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4.85 a</w:t>
            </w:r>
          </w:p>
        </w:tc>
        <w:tc>
          <w:tcPr>
            <w:tcW w:w="1077" w:type="dxa"/>
            <w:tcBorders>
              <w:top w:val="nil"/>
              <w:left w:val="nil"/>
              <w:bottom w:val="single" w:sz="4" w:space="0" w:color="auto"/>
              <w:right w:val="single" w:sz="4" w:space="0" w:color="auto"/>
            </w:tcBorders>
            <w:shd w:val="clear" w:color="auto" w:fill="auto"/>
            <w:noWrap/>
            <w:vAlign w:val="center"/>
            <w:hideMark/>
          </w:tcPr>
          <w:p w14:paraId="65B90DAE"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5.17 b</w:t>
            </w:r>
          </w:p>
        </w:tc>
        <w:tc>
          <w:tcPr>
            <w:tcW w:w="1077" w:type="dxa"/>
            <w:tcBorders>
              <w:top w:val="nil"/>
              <w:left w:val="nil"/>
              <w:bottom w:val="single" w:sz="4" w:space="0" w:color="auto"/>
              <w:right w:val="single" w:sz="4" w:space="0" w:color="auto"/>
            </w:tcBorders>
            <w:shd w:val="clear" w:color="auto" w:fill="auto"/>
            <w:noWrap/>
            <w:vAlign w:val="center"/>
            <w:hideMark/>
          </w:tcPr>
          <w:p w14:paraId="074EC58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5.27 b</w:t>
            </w:r>
          </w:p>
        </w:tc>
        <w:tc>
          <w:tcPr>
            <w:tcW w:w="1077" w:type="dxa"/>
            <w:tcBorders>
              <w:top w:val="nil"/>
              <w:left w:val="nil"/>
              <w:bottom w:val="single" w:sz="4" w:space="0" w:color="auto"/>
              <w:right w:val="single" w:sz="4" w:space="0" w:color="auto"/>
            </w:tcBorders>
            <w:shd w:val="clear" w:color="auto" w:fill="auto"/>
            <w:noWrap/>
            <w:vAlign w:val="center"/>
            <w:hideMark/>
          </w:tcPr>
          <w:p w14:paraId="73FC5C1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6.17 a</w:t>
            </w:r>
          </w:p>
        </w:tc>
        <w:tc>
          <w:tcPr>
            <w:tcW w:w="1077" w:type="dxa"/>
            <w:tcBorders>
              <w:top w:val="nil"/>
              <w:left w:val="nil"/>
              <w:bottom w:val="single" w:sz="4" w:space="0" w:color="auto"/>
              <w:right w:val="single" w:sz="4" w:space="0" w:color="auto"/>
            </w:tcBorders>
            <w:shd w:val="clear" w:color="auto" w:fill="auto"/>
            <w:noWrap/>
            <w:vAlign w:val="center"/>
            <w:hideMark/>
          </w:tcPr>
          <w:p w14:paraId="3365402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6.35 a</w:t>
            </w:r>
          </w:p>
        </w:tc>
        <w:tc>
          <w:tcPr>
            <w:tcW w:w="1164" w:type="dxa"/>
            <w:tcBorders>
              <w:top w:val="nil"/>
              <w:left w:val="nil"/>
              <w:bottom w:val="single" w:sz="4" w:space="0" w:color="auto"/>
              <w:right w:val="single" w:sz="4" w:space="0" w:color="auto"/>
            </w:tcBorders>
            <w:shd w:val="clear" w:color="auto" w:fill="auto"/>
            <w:noWrap/>
            <w:vAlign w:val="center"/>
            <w:hideMark/>
          </w:tcPr>
          <w:p w14:paraId="4E5B371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6.47 b</w:t>
            </w:r>
          </w:p>
        </w:tc>
      </w:tr>
      <w:tr w:rsidR="008564E2" w:rsidRPr="007A5F42" w14:paraId="22F65831"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42FF69A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CRS1</w:t>
            </w:r>
          </w:p>
        </w:tc>
        <w:tc>
          <w:tcPr>
            <w:tcW w:w="1262" w:type="dxa"/>
            <w:tcBorders>
              <w:top w:val="nil"/>
              <w:left w:val="nil"/>
              <w:bottom w:val="single" w:sz="4" w:space="0" w:color="auto"/>
              <w:right w:val="single" w:sz="4" w:space="0" w:color="auto"/>
            </w:tcBorders>
            <w:shd w:val="clear" w:color="auto" w:fill="auto"/>
            <w:noWrap/>
            <w:vAlign w:val="center"/>
            <w:hideMark/>
          </w:tcPr>
          <w:p w14:paraId="5B846097"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38.55 g</w:t>
            </w:r>
          </w:p>
        </w:tc>
        <w:tc>
          <w:tcPr>
            <w:tcW w:w="1335" w:type="dxa"/>
            <w:tcBorders>
              <w:top w:val="nil"/>
              <w:left w:val="nil"/>
              <w:bottom w:val="single" w:sz="4" w:space="0" w:color="auto"/>
              <w:right w:val="single" w:sz="4" w:space="0" w:color="auto"/>
            </w:tcBorders>
            <w:shd w:val="clear" w:color="auto" w:fill="auto"/>
            <w:noWrap/>
            <w:vAlign w:val="center"/>
            <w:hideMark/>
          </w:tcPr>
          <w:p w14:paraId="007A5A8D"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29.72 d</w:t>
            </w:r>
          </w:p>
        </w:tc>
        <w:tc>
          <w:tcPr>
            <w:tcW w:w="1220" w:type="dxa"/>
            <w:tcBorders>
              <w:top w:val="nil"/>
              <w:left w:val="nil"/>
              <w:bottom w:val="single" w:sz="4" w:space="0" w:color="auto"/>
              <w:right w:val="single" w:sz="4" w:space="0" w:color="auto"/>
            </w:tcBorders>
            <w:shd w:val="clear" w:color="auto" w:fill="auto"/>
            <w:noWrap/>
            <w:vAlign w:val="center"/>
            <w:hideMark/>
          </w:tcPr>
          <w:p w14:paraId="70F07098"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361.33 b</w:t>
            </w:r>
          </w:p>
        </w:tc>
        <w:tc>
          <w:tcPr>
            <w:tcW w:w="1113" w:type="dxa"/>
            <w:tcBorders>
              <w:top w:val="nil"/>
              <w:left w:val="nil"/>
              <w:bottom w:val="single" w:sz="4" w:space="0" w:color="auto"/>
              <w:right w:val="single" w:sz="4" w:space="0" w:color="auto"/>
            </w:tcBorders>
            <w:shd w:val="clear" w:color="auto" w:fill="auto"/>
            <w:noWrap/>
            <w:vAlign w:val="center"/>
            <w:hideMark/>
          </w:tcPr>
          <w:p w14:paraId="531C58D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321.11 b</w:t>
            </w:r>
          </w:p>
        </w:tc>
        <w:tc>
          <w:tcPr>
            <w:tcW w:w="871" w:type="dxa"/>
            <w:tcBorders>
              <w:top w:val="nil"/>
              <w:left w:val="nil"/>
              <w:bottom w:val="single" w:sz="4" w:space="0" w:color="auto"/>
              <w:right w:val="single" w:sz="4" w:space="0" w:color="auto"/>
            </w:tcBorders>
            <w:shd w:val="clear" w:color="auto" w:fill="auto"/>
            <w:noWrap/>
            <w:vAlign w:val="center"/>
            <w:hideMark/>
          </w:tcPr>
          <w:p w14:paraId="01897C4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 xml:space="preserve">0.87 </w:t>
            </w:r>
            <w:proofErr w:type="spellStart"/>
            <w:r w:rsidRPr="007A5F42">
              <w:rPr>
                <w:rFonts w:ascii="Times New Roman" w:eastAsia="Times New Roman" w:hAnsi="Times New Roman" w:cs="Times New Roman"/>
                <w:color w:val="000000"/>
                <w:lang w:eastAsia="en-IN"/>
              </w:rPr>
              <w:t>abc</w:t>
            </w:r>
            <w:proofErr w:type="spellEnd"/>
          </w:p>
        </w:tc>
        <w:tc>
          <w:tcPr>
            <w:tcW w:w="977" w:type="dxa"/>
            <w:tcBorders>
              <w:top w:val="nil"/>
              <w:left w:val="nil"/>
              <w:bottom w:val="single" w:sz="4" w:space="0" w:color="auto"/>
              <w:right w:val="single" w:sz="4" w:space="0" w:color="auto"/>
            </w:tcBorders>
            <w:shd w:val="clear" w:color="auto" w:fill="auto"/>
            <w:noWrap/>
            <w:vAlign w:val="center"/>
            <w:hideMark/>
          </w:tcPr>
          <w:p w14:paraId="1271D53D"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3.67 c</w:t>
            </w:r>
          </w:p>
        </w:tc>
        <w:tc>
          <w:tcPr>
            <w:tcW w:w="1077" w:type="dxa"/>
            <w:tcBorders>
              <w:top w:val="nil"/>
              <w:left w:val="nil"/>
              <w:bottom w:val="single" w:sz="4" w:space="0" w:color="auto"/>
              <w:right w:val="single" w:sz="4" w:space="0" w:color="auto"/>
            </w:tcBorders>
            <w:shd w:val="clear" w:color="auto" w:fill="auto"/>
            <w:noWrap/>
            <w:vAlign w:val="center"/>
            <w:hideMark/>
          </w:tcPr>
          <w:p w14:paraId="340E3B0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4.05 c</w:t>
            </w:r>
          </w:p>
        </w:tc>
        <w:tc>
          <w:tcPr>
            <w:tcW w:w="1077" w:type="dxa"/>
            <w:tcBorders>
              <w:top w:val="nil"/>
              <w:left w:val="nil"/>
              <w:bottom w:val="single" w:sz="4" w:space="0" w:color="auto"/>
              <w:right w:val="single" w:sz="4" w:space="0" w:color="auto"/>
            </w:tcBorders>
            <w:shd w:val="clear" w:color="auto" w:fill="auto"/>
            <w:noWrap/>
            <w:vAlign w:val="center"/>
            <w:hideMark/>
          </w:tcPr>
          <w:p w14:paraId="20FB9E41"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4.47 cd</w:t>
            </w:r>
          </w:p>
        </w:tc>
        <w:tc>
          <w:tcPr>
            <w:tcW w:w="1077" w:type="dxa"/>
            <w:tcBorders>
              <w:top w:val="nil"/>
              <w:left w:val="nil"/>
              <w:bottom w:val="single" w:sz="4" w:space="0" w:color="auto"/>
              <w:right w:val="single" w:sz="4" w:space="0" w:color="auto"/>
            </w:tcBorders>
            <w:shd w:val="clear" w:color="auto" w:fill="auto"/>
            <w:noWrap/>
            <w:vAlign w:val="center"/>
            <w:hideMark/>
          </w:tcPr>
          <w:p w14:paraId="6FF2D480"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5.1 b</w:t>
            </w:r>
          </w:p>
        </w:tc>
        <w:tc>
          <w:tcPr>
            <w:tcW w:w="1077" w:type="dxa"/>
            <w:tcBorders>
              <w:top w:val="nil"/>
              <w:left w:val="nil"/>
              <w:bottom w:val="single" w:sz="4" w:space="0" w:color="auto"/>
              <w:right w:val="single" w:sz="4" w:space="0" w:color="auto"/>
            </w:tcBorders>
            <w:shd w:val="clear" w:color="auto" w:fill="auto"/>
            <w:noWrap/>
            <w:vAlign w:val="center"/>
            <w:hideMark/>
          </w:tcPr>
          <w:p w14:paraId="51CF337D"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5.32 b</w:t>
            </w:r>
          </w:p>
        </w:tc>
        <w:tc>
          <w:tcPr>
            <w:tcW w:w="1077" w:type="dxa"/>
            <w:tcBorders>
              <w:top w:val="nil"/>
              <w:left w:val="nil"/>
              <w:bottom w:val="single" w:sz="4" w:space="0" w:color="auto"/>
              <w:right w:val="single" w:sz="4" w:space="0" w:color="auto"/>
            </w:tcBorders>
            <w:shd w:val="clear" w:color="auto" w:fill="auto"/>
            <w:noWrap/>
            <w:vAlign w:val="center"/>
            <w:hideMark/>
          </w:tcPr>
          <w:p w14:paraId="14F723B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5.45 b</w:t>
            </w:r>
          </w:p>
        </w:tc>
        <w:tc>
          <w:tcPr>
            <w:tcW w:w="1164" w:type="dxa"/>
            <w:tcBorders>
              <w:top w:val="nil"/>
              <w:left w:val="nil"/>
              <w:bottom w:val="single" w:sz="4" w:space="0" w:color="auto"/>
              <w:right w:val="single" w:sz="4" w:space="0" w:color="auto"/>
            </w:tcBorders>
            <w:shd w:val="clear" w:color="auto" w:fill="auto"/>
            <w:noWrap/>
            <w:vAlign w:val="center"/>
            <w:hideMark/>
          </w:tcPr>
          <w:p w14:paraId="682307FD"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5.55 de</w:t>
            </w:r>
          </w:p>
        </w:tc>
      </w:tr>
      <w:tr w:rsidR="008564E2" w:rsidRPr="007A5F42" w14:paraId="0D9120F3"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5FA21D20" w14:textId="2D22C060"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P</w:t>
            </w:r>
            <w:r w:rsidR="005128F0">
              <w:rPr>
                <w:rFonts w:ascii="Times New Roman" w:eastAsia="Times New Roman" w:hAnsi="Times New Roman" w:cs="Times New Roman"/>
                <w:color w:val="000000"/>
                <w:lang w:eastAsia="en-IN"/>
              </w:rPr>
              <w:t>hule Vasudha</w:t>
            </w:r>
          </w:p>
        </w:tc>
        <w:tc>
          <w:tcPr>
            <w:tcW w:w="1262" w:type="dxa"/>
            <w:tcBorders>
              <w:top w:val="nil"/>
              <w:left w:val="nil"/>
              <w:bottom w:val="single" w:sz="4" w:space="0" w:color="auto"/>
              <w:right w:val="single" w:sz="4" w:space="0" w:color="auto"/>
            </w:tcBorders>
            <w:shd w:val="clear" w:color="auto" w:fill="auto"/>
            <w:noWrap/>
            <w:vAlign w:val="center"/>
            <w:hideMark/>
          </w:tcPr>
          <w:p w14:paraId="69443FD8"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42.62 f</w:t>
            </w:r>
          </w:p>
        </w:tc>
        <w:tc>
          <w:tcPr>
            <w:tcW w:w="1335" w:type="dxa"/>
            <w:tcBorders>
              <w:top w:val="nil"/>
              <w:left w:val="nil"/>
              <w:bottom w:val="single" w:sz="4" w:space="0" w:color="auto"/>
              <w:right w:val="single" w:sz="4" w:space="0" w:color="auto"/>
            </w:tcBorders>
            <w:shd w:val="clear" w:color="auto" w:fill="auto"/>
            <w:noWrap/>
            <w:vAlign w:val="center"/>
            <w:hideMark/>
          </w:tcPr>
          <w:p w14:paraId="7A523EE5"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32.5 c</w:t>
            </w:r>
          </w:p>
        </w:tc>
        <w:tc>
          <w:tcPr>
            <w:tcW w:w="1220" w:type="dxa"/>
            <w:tcBorders>
              <w:top w:val="nil"/>
              <w:left w:val="nil"/>
              <w:bottom w:val="single" w:sz="4" w:space="0" w:color="auto"/>
              <w:right w:val="single" w:sz="4" w:space="0" w:color="auto"/>
            </w:tcBorders>
            <w:shd w:val="clear" w:color="auto" w:fill="auto"/>
            <w:noWrap/>
            <w:vAlign w:val="center"/>
            <w:hideMark/>
          </w:tcPr>
          <w:p w14:paraId="4043D9F1"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344.55 cd</w:t>
            </w:r>
          </w:p>
        </w:tc>
        <w:tc>
          <w:tcPr>
            <w:tcW w:w="1113" w:type="dxa"/>
            <w:tcBorders>
              <w:top w:val="nil"/>
              <w:left w:val="nil"/>
              <w:bottom w:val="single" w:sz="4" w:space="0" w:color="auto"/>
              <w:right w:val="single" w:sz="4" w:space="0" w:color="auto"/>
            </w:tcBorders>
            <w:shd w:val="clear" w:color="auto" w:fill="auto"/>
            <w:noWrap/>
            <w:vAlign w:val="center"/>
            <w:hideMark/>
          </w:tcPr>
          <w:p w14:paraId="060CCB0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292.09 d</w:t>
            </w:r>
          </w:p>
        </w:tc>
        <w:tc>
          <w:tcPr>
            <w:tcW w:w="871" w:type="dxa"/>
            <w:tcBorders>
              <w:top w:val="nil"/>
              <w:left w:val="nil"/>
              <w:bottom w:val="single" w:sz="4" w:space="0" w:color="auto"/>
              <w:right w:val="single" w:sz="4" w:space="0" w:color="auto"/>
            </w:tcBorders>
            <w:shd w:val="clear" w:color="auto" w:fill="auto"/>
            <w:noWrap/>
            <w:vAlign w:val="center"/>
            <w:hideMark/>
          </w:tcPr>
          <w:p w14:paraId="33D62C54"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1.15 a</w:t>
            </w:r>
          </w:p>
        </w:tc>
        <w:tc>
          <w:tcPr>
            <w:tcW w:w="977" w:type="dxa"/>
            <w:tcBorders>
              <w:top w:val="nil"/>
              <w:left w:val="nil"/>
              <w:bottom w:val="single" w:sz="4" w:space="0" w:color="auto"/>
              <w:right w:val="single" w:sz="4" w:space="0" w:color="auto"/>
            </w:tcBorders>
            <w:shd w:val="clear" w:color="auto" w:fill="auto"/>
            <w:noWrap/>
            <w:vAlign w:val="center"/>
            <w:hideMark/>
          </w:tcPr>
          <w:p w14:paraId="3A6F695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3.97 b</w:t>
            </w:r>
          </w:p>
        </w:tc>
        <w:tc>
          <w:tcPr>
            <w:tcW w:w="1077" w:type="dxa"/>
            <w:tcBorders>
              <w:top w:val="nil"/>
              <w:left w:val="nil"/>
              <w:bottom w:val="single" w:sz="4" w:space="0" w:color="auto"/>
              <w:right w:val="single" w:sz="4" w:space="0" w:color="auto"/>
            </w:tcBorders>
            <w:shd w:val="clear" w:color="auto" w:fill="auto"/>
            <w:noWrap/>
            <w:vAlign w:val="center"/>
            <w:hideMark/>
          </w:tcPr>
          <w:p w14:paraId="5F29B5E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4.27b</w:t>
            </w:r>
          </w:p>
        </w:tc>
        <w:tc>
          <w:tcPr>
            <w:tcW w:w="1077" w:type="dxa"/>
            <w:tcBorders>
              <w:top w:val="nil"/>
              <w:left w:val="nil"/>
              <w:bottom w:val="single" w:sz="4" w:space="0" w:color="auto"/>
              <w:right w:val="single" w:sz="4" w:space="0" w:color="auto"/>
            </w:tcBorders>
            <w:shd w:val="clear" w:color="auto" w:fill="auto"/>
            <w:noWrap/>
            <w:vAlign w:val="center"/>
            <w:hideMark/>
          </w:tcPr>
          <w:p w14:paraId="5E3443B2"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4.6 c</w:t>
            </w:r>
          </w:p>
        </w:tc>
        <w:tc>
          <w:tcPr>
            <w:tcW w:w="1077" w:type="dxa"/>
            <w:tcBorders>
              <w:top w:val="nil"/>
              <w:left w:val="nil"/>
              <w:bottom w:val="single" w:sz="4" w:space="0" w:color="auto"/>
              <w:right w:val="single" w:sz="4" w:space="0" w:color="auto"/>
            </w:tcBorders>
            <w:shd w:val="clear" w:color="auto" w:fill="auto"/>
            <w:noWrap/>
            <w:vAlign w:val="center"/>
            <w:hideMark/>
          </w:tcPr>
          <w:p w14:paraId="1615E945"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4.65 c</w:t>
            </w:r>
          </w:p>
        </w:tc>
        <w:tc>
          <w:tcPr>
            <w:tcW w:w="1077" w:type="dxa"/>
            <w:tcBorders>
              <w:top w:val="nil"/>
              <w:left w:val="nil"/>
              <w:bottom w:val="single" w:sz="4" w:space="0" w:color="auto"/>
              <w:right w:val="single" w:sz="4" w:space="0" w:color="auto"/>
            </w:tcBorders>
            <w:shd w:val="clear" w:color="auto" w:fill="auto"/>
            <w:noWrap/>
            <w:vAlign w:val="center"/>
            <w:hideMark/>
          </w:tcPr>
          <w:p w14:paraId="61A2BB3B"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5.27 b</w:t>
            </w:r>
          </w:p>
        </w:tc>
        <w:tc>
          <w:tcPr>
            <w:tcW w:w="1077" w:type="dxa"/>
            <w:tcBorders>
              <w:top w:val="nil"/>
              <w:left w:val="nil"/>
              <w:bottom w:val="single" w:sz="4" w:space="0" w:color="auto"/>
              <w:right w:val="single" w:sz="4" w:space="0" w:color="auto"/>
            </w:tcBorders>
            <w:shd w:val="clear" w:color="auto" w:fill="auto"/>
            <w:noWrap/>
            <w:vAlign w:val="center"/>
            <w:hideMark/>
          </w:tcPr>
          <w:p w14:paraId="3AF5A4FE"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5.47 b</w:t>
            </w:r>
          </w:p>
        </w:tc>
        <w:tc>
          <w:tcPr>
            <w:tcW w:w="1164" w:type="dxa"/>
            <w:tcBorders>
              <w:top w:val="nil"/>
              <w:left w:val="nil"/>
              <w:bottom w:val="single" w:sz="4" w:space="0" w:color="auto"/>
              <w:right w:val="single" w:sz="4" w:space="0" w:color="auto"/>
            </w:tcBorders>
            <w:shd w:val="clear" w:color="auto" w:fill="auto"/>
            <w:noWrap/>
            <w:vAlign w:val="center"/>
            <w:hideMark/>
          </w:tcPr>
          <w:p w14:paraId="7CC786F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6.10 de</w:t>
            </w:r>
          </w:p>
        </w:tc>
      </w:tr>
      <w:tr w:rsidR="008564E2" w:rsidRPr="007A5F42" w14:paraId="03F4938A"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13A9C9BF" w14:textId="77777777" w:rsidR="008564E2" w:rsidRPr="00C77300" w:rsidRDefault="008564E2" w:rsidP="00C2037F">
            <w:pPr>
              <w:jc w:val="center"/>
              <w:rPr>
                <w:rFonts w:ascii="Times New Roman" w:eastAsia="Times New Roman" w:hAnsi="Times New Roman" w:cs="Times New Roman"/>
                <w:b/>
                <w:color w:val="000000"/>
                <w:lang w:eastAsia="en-IN"/>
              </w:rPr>
            </w:pPr>
            <w:r w:rsidRPr="00C77300">
              <w:rPr>
                <w:rFonts w:ascii="Times New Roman" w:eastAsia="Times New Roman" w:hAnsi="Times New Roman" w:cs="Times New Roman"/>
                <w:b/>
                <w:color w:val="000000"/>
                <w:lang w:eastAsia="en-IN"/>
              </w:rPr>
              <w:t>GMS</w:t>
            </w:r>
          </w:p>
        </w:tc>
        <w:tc>
          <w:tcPr>
            <w:tcW w:w="1262" w:type="dxa"/>
            <w:tcBorders>
              <w:top w:val="nil"/>
              <w:left w:val="nil"/>
              <w:bottom w:val="single" w:sz="4" w:space="0" w:color="auto"/>
              <w:right w:val="single" w:sz="4" w:space="0" w:color="auto"/>
            </w:tcBorders>
            <w:shd w:val="clear" w:color="auto" w:fill="auto"/>
            <w:noWrap/>
            <w:vAlign w:val="center"/>
            <w:hideMark/>
          </w:tcPr>
          <w:p w14:paraId="73AD521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35.4</w:t>
            </w:r>
          </w:p>
        </w:tc>
        <w:tc>
          <w:tcPr>
            <w:tcW w:w="1335" w:type="dxa"/>
            <w:tcBorders>
              <w:top w:val="nil"/>
              <w:left w:val="nil"/>
              <w:bottom w:val="single" w:sz="4" w:space="0" w:color="auto"/>
              <w:right w:val="single" w:sz="4" w:space="0" w:color="auto"/>
            </w:tcBorders>
            <w:shd w:val="clear" w:color="auto" w:fill="auto"/>
            <w:noWrap/>
            <w:vAlign w:val="center"/>
            <w:hideMark/>
          </w:tcPr>
          <w:p w14:paraId="5B3334E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14.46</w:t>
            </w:r>
          </w:p>
        </w:tc>
        <w:tc>
          <w:tcPr>
            <w:tcW w:w="1220" w:type="dxa"/>
            <w:tcBorders>
              <w:top w:val="nil"/>
              <w:left w:val="nil"/>
              <w:bottom w:val="single" w:sz="4" w:space="0" w:color="auto"/>
              <w:right w:val="single" w:sz="4" w:space="0" w:color="auto"/>
            </w:tcBorders>
            <w:shd w:val="clear" w:color="auto" w:fill="auto"/>
            <w:noWrap/>
            <w:vAlign w:val="center"/>
            <w:hideMark/>
          </w:tcPr>
          <w:p w14:paraId="5681D8E3"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8635.15</w:t>
            </w:r>
          </w:p>
        </w:tc>
        <w:tc>
          <w:tcPr>
            <w:tcW w:w="1113" w:type="dxa"/>
            <w:tcBorders>
              <w:top w:val="nil"/>
              <w:left w:val="nil"/>
              <w:bottom w:val="single" w:sz="4" w:space="0" w:color="auto"/>
              <w:right w:val="single" w:sz="4" w:space="0" w:color="auto"/>
            </w:tcBorders>
            <w:shd w:val="clear" w:color="auto" w:fill="auto"/>
            <w:noWrap/>
            <w:vAlign w:val="center"/>
            <w:hideMark/>
          </w:tcPr>
          <w:p w14:paraId="4E6A5B2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6851.59</w:t>
            </w:r>
          </w:p>
        </w:tc>
        <w:tc>
          <w:tcPr>
            <w:tcW w:w="871" w:type="dxa"/>
            <w:tcBorders>
              <w:top w:val="nil"/>
              <w:left w:val="nil"/>
              <w:bottom w:val="single" w:sz="4" w:space="0" w:color="auto"/>
              <w:right w:val="single" w:sz="4" w:space="0" w:color="auto"/>
            </w:tcBorders>
            <w:shd w:val="clear" w:color="auto" w:fill="auto"/>
            <w:noWrap/>
            <w:vAlign w:val="center"/>
            <w:hideMark/>
          </w:tcPr>
          <w:p w14:paraId="6138979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0.343</w:t>
            </w:r>
          </w:p>
        </w:tc>
        <w:tc>
          <w:tcPr>
            <w:tcW w:w="977" w:type="dxa"/>
            <w:tcBorders>
              <w:top w:val="nil"/>
              <w:left w:val="nil"/>
              <w:bottom w:val="single" w:sz="4" w:space="0" w:color="auto"/>
              <w:right w:val="single" w:sz="4" w:space="0" w:color="auto"/>
            </w:tcBorders>
            <w:shd w:val="clear" w:color="auto" w:fill="auto"/>
            <w:noWrap/>
            <w:vAlign w:val="center"/>
            <w:hideMark/>
          </w:tcPr>
          <w:p w14:paraId="531CC902"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2.24</w:t>
            </w:r>
          </w:p>
        </w:tc>
        <w:tc>
          <w:tcPr>
            <w:tcW w:w="1077" w:type="dxa"/>
            <w:tcBorders>
              <w:top w:val="nil"/>
              <w:left w:val="nil"/>
              <w:bottom w:val="single" w:sz="4" w:space="0" w:color="auto"/>
              <w:right w:val="single" w:sz="4" w:space="0" w:color="auto"/>
            </w:tcBorders>
            <w:shd w:val="clear" w:color="auto" w:fill="auto"/>
            <w:noWrap/>
            <w:vAlign w:val="center"/>
            <w:hideMark/>
          </w:tcPr>
          <w:p w14:paraId="1258384E"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2.45</w:t>
            </w:r>
          </w:p>
        </w:tc>
        <w:tc>
          <w:tcPr>
            <w:tcW w:w="1077" w:type="dxa"/>
            <w:tcBorders>
              <w:top w:val="nil"/>
              <w:left w:val="nil"/>
              <w:bottom w:val="single" w:sz="4" w:space="0" w:color="auto"/>
              <w:right w:val="single" w:sz="4" w:space="0" w:color="auto"/>
            </w:tcBorders>
            <w:shd w:val="clear" w:color="auto" w:fill="auto"/>
            <w:noWrap/>
            <w:vAlign w:val="center"/>
            <w:hideMark/>
          </w:tcPr>
          <w:p w14:paraId="5D74D55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3.45</w:t>
            </w:r>
          </w:p>
        </w:tc>
        <w:tc>
          <w:tcPr>
            <w:tcW w:w="1077" w:type="dxa"/>
            <w:tcBorders>
              <w:top w:val="nil"/>
              <w:left w:val="nil"/>
              <w:bottom w:val="single" w:sz="4" w:space="0" w:color="auto"/>
              <w:right w:val="single" w:sz="4" w:space="0" w:color="auto"/>
            </w:tcBorders>
            <w:shd w:val="clear" w:color="auto" w:fill="auto"/>
            <w:noWrap/>
            <w:vAlign w:val="center"/>
            <w:hideMark/>
          </w:tcPr>
          <w:p w14:paraId="662A2022"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3.12</w:t>
            </w:r>
          </w:p>
        </w:tc>
        <w:tc>
          <w:tcPr>
            <w:tcW w:w="1077" w:type="dxa"/>
            <w:tcBorders>
              <w:top w:val="nil"/>
              <w:left w:val="nil"/>
              <w:bottom w:val="single" w:sz="4" w:space="0" w:color="auto"/>
              <w:right w:val="single" w:sz="4" w:space="0" w:color="auto"/>
            </w:tcBorders>
            <w:shd w:val="clear" w:color="auto" w:fill="auto"/>
            <w:noWrap/>
            <w:vAlign w:val="center"/>
            <w:hideMark/>
          </w:tcPr>
          <w:p w14:paraId="791F9FE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3.99</w:t>
            </w:r>
          </w:p>
        </w:tc>
        <w:tc>
          <w:tcPr>
            <w:tcW w:w="1077" w:type="dxa"/>
            <w:tcBorders>
              <w:top w:val="nil"/>
              <w:left w:val="nil"/>
              <w:bottom w:val="single" w:sz="4" w:space="0" w:color="auto"/>
              <w:right w:val="single" w:sz="4" w:space="0" w:color="auto"/>
            </w:tcBorders>
            <w:shd w:val="clear" w:color="auto" w:fill="auto"/>
            <w:noWrap/>
            <w:vAlign w:val="center"/>
            <w:hideMark/>
          </w:tcPr>
          <w:p w14:paraId="4D463BCE"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3.47</w:t>
            </w:r>
          </w:p>
        </w:tc>
        <w:tc>
          <w:tcPr>
            <w:tcW w:w="1164" w:type="dxa"/>
            <w:tcBorders>
              <w:top w:val="nil"/>
              <w:left w:val="nil"/>
              <w:bottom w:val="single" w:sz="4" w:space="0" w:color="auto"/>
              <w:right w:val="single" w:sz="4" w:space="0" w:color="auto"/>
            </w:tcBorders>
            <w:shd w:val="clear" w:color="auto" w:fill="auto"/>
            <w:noWrap/>
            <w:vAlign w:val="center"/>
            <w:hideMark/>
          </w:tcPr>
          <w:p w14:paraId="1A71346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3.47</w:t>
            </w:r>
          </w:p>
        </w:tc>
      </w:tr>
      <w:tr w:rsidR="008564E2" w:rsidRPr="007A5F42" w14:paraId="77DC6BA0"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58CCBE1E" w14:textId="77777777" w:rsidR="008564E2" w:rsidRPr="00C77300" w:rsidRDefault="008564E2" w:rsidP="00C2037F">
            <w:pPr>
              <w:jc w:val="center"/>
              <w:rPr>
                <w:rFonts w:ascii="Times New Roman" w:eastAsia="Times New Roman" w:hAnsi="Times New Roman" w:cs="Times New Roman"/>
                <w:b/>
                <w:color w:val="000000"/>
                <w:lang w:eastAsia="en-IN"/>
              </w:rPr>
            </w:pPr>
            <w:r w:rsidRPr="00C77300">
              <w:rPr>
                <w:rFonts w:ascii="Times New Roman" w:eastAsia="Times New Roman" w:hAnsi="Times New Roman" w:cs="Times New Roman"/>
                <w:b/>
                <w:color w:val="000000"/>
                <w:lang w:eastAsia="en-IN"/>
              </w:rPr>
              <w:t>EMS</w:t>
            </w:r>
          </w:p>
        </w:tc>
        <w:tc>
          <w:tcPr>
            <w:tcW w:w="1262" w:type="dxa"/>
            <w:tcBorders>
              <w:top w:val="nil"/>
              <w:left w:val="nil"/>
              <w:bottom w:val="single" w:sz="4" w:space="0" w:color="auto"/>
              <w:right w:val="single" w:sz="4" w:space="0" w:color="auto"/>
            </w:tcBorders>
            <w:shd w:val="clear" w:color="auto" w:fill="auto"/>
            <w:noWrap/>
            <w:vAlign w:val="center"/>
            <w:hideMark/>
          </w:tcPr>
          <w:p w14:paraId="41A66C7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0.29</w:t>
            </w:r>
          </w:p>
        </w:tc>
        <w:tc>
          <w:tcPr>
            <w:tcW w:w="1335" w:type="dxa"/>
            <w:tcBorders>
              <w:top w:val="nil"/>
              <w:left w:val="nil"/>
              <w:bottom w:val="single" w:sz="4" w:space="0" w:color="auto"/>
              <w:right w:val="single" w:sz="4" w:space="0" w:color="auto"/>
            </w:tcBorders>
            <w:shd w:val="clear" w:color="auto" w:fill="auto"/>
            <w:noWrap/>
            <w:vAlign w:val="center"/>
            <w:hideMark/>
          </w:tcPr>
          <w:p w14:paraId="289B52AB"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0.312</w:t>
            </w:r>
          </w:p>
        </w:tc>
        <w:tc>
          <w:tcPr>
            <w:tcW w:w="1220" w:type="dxa"/>
            <w:tcBorders>
              <w:top w:val="nil"/>
              <w:left w:val="nil"/>
              <w:bottom w:val="single" w:sz="4" w:space="0" w:color="auto"/>
              <w:right w:val="single" w:sz="4" w:space="0" w:color="auto"/>
            </w:tcBorders>
            <w:shd w:val="clear" w:color="auto" w:fill="auto"/>
            <w:noWrap/>
            <w:vAlign w:val="center"/>
            <w:hideMark/>
          </w:tcPr>
          <w:p w14:paraId="69BF2A42" w14:textId="77777777" w:rsidR="008564E2" w:rsidRPr="007A5F42" w:rsidRDefault="008564E2" w:rsidP="00C2037F">
            <w:pPr>
              <w:jc w:val="center"/>
              <w:rPr>
                <w:rFonts w:ascii="Times New Roman" w:eastAsia="Times New Roman" w:hAnsi="Times New Roman" w:cs="Times New Roman"/>
                <w:bCs/>
                <w:lang w:eastAsia="en-IN"/>
              </w:rPr>
            </w:pPr>
            <w:r w:rsidRPr="007A5F42">
              <w:rPr>
                <w:rFonts w:ascii="Times New Roman" w:eastAsia="Times New Roman" w:hAnsi="Times New Roman" w:cs="Times New Roman"/>
                <w:bCs/>
                <w:lang w:eastAsia="en-IN"/>
              </w:rPr>
              <w:t>5.2</w:t>
            </w:r>
          </w:p>
        </w:tc>
        <w:tc>
          <w:tcPr>
            <w:tcW w:w="1113" w:type="dxa"/>
            <w:tcBorders>
              <w:top w:val="nil"/>
              <w:left w:val="nil"/>
              <w:bottom w:val="single" w:sz="4" w:space="0" w:color="auto"/>
              <w:right w:val="single" w:sz="4" w:space="0" w:color="auto"/>
            </w:tcBorders>
            <w:shd w:val="clear" w:color="auto" w:fill="auto"/>
            <w:noWrap/>
            <w:vAlign w:val="center"/>
            <w:hideMark/>
          </w:tcPr>
          <w:p w14:paraId="65C51265"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27.3</w:t>
            </w:r>
          </w:p>
        </w:tc>
        <w:tc>
          <w:tcPr>
            <w:tcW w:w="871" w:type="dxa"/>
            <w:tcBorders>
              <w:top w:val="nil"/>
              <w:left w:val="nil"/>
              <w:bottom w:val="single" w:sz="4" w:space="0" w:color="auto"/>
              <w:right w:val="single" w:sz="4" w:space="0" w:color="auto"/>
            </w:tcBorders>
            <w:shd w:val="clear" w:color="auto" w:fill="auto"/>
            <w:noWrap/>
            <w:vAlign w:val="center"/>
            <w:hideMark/>
          </w:tcPr>
          <w:p w14:paraId="545FA68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0.016</w:t>
            </w:r>
          </w:p>
        </w:tc>
        <w:tc>
          <w:tcPr>
            <w:tcW w:w="977" w:type="dxa"/>
            <w:tcBorders>
              <w:top w:val="nil"/>
              <w:left w:val="nil"/>
              <w:bottom w:val="single" w:sz="4" w:space="0" w:color="auto"/>
              <w:right w:val="single" w:sz="4" w:space="0" w:color="auto"/>
            </w:tcBorders>
            <w:shd w:val="clear" w:color="auto" w:fill="auto"/>
            <w:noWrap/>
            <w:vAlign w:val="center"/>
            <w:hideMark/>
          </w:tcPr>
          <w:p w14:paraId="748449D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0.003</w:t>
            </w:r>
          </w:p>
        </w:tc>
        <w:tc>
          <w:tcPr>
            <w:tcW w:w="1077" w:type="dxa"/>
            <w:tcBorders>
              <w:top w:val="nil"/>
              <w:left w:val="nil"/>
              <w:bottom w:val="single" w:sz="4" w:space="0" w:color="auto"/>
              <w:right w:val="single" w:sz="4" w:space="0" w:color="auto"/>
            </w:tcBorders>
            <w:shd w:val="clear" w:color="auto" w:fill="auto"/>
            <w:noWrap/>
            <w:vAlign w:val="center"/>
            <w:hideMark/>
          </w:tcPr>
          <w:p w14:paraId="121234F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0.005</w:t>
            </w:r>
          </w:p>
        </w:tc>
        <w:tc>
          <w:tcPr>
            <w:tcW w:w="1077" w:type="dxa"/>
            <w:tcBorders>
              <w:top w:val="nil"/>
              <w:left w:val="nil"/>
              <w:bottom w:val="single" w:sz="4" w:space="0" w:color="auto"/>
              <w:right w:val="single" w:sz="4" w:space="0" w:color="auto"/>
            </w:tcBorders>
            <w:shd w:val="clear" w:color="auto" w:fill="auto"/>
            <w:noWrap/>
            <w:vAlign w:val="center"/>
            <w:hideMark/>
          </w:tcPr>
          <w:p w14:paraId="5F86E2D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0.009</w:t>
            </w:r>
          </w:p>
        </w:tc>
        <w:tc>
          <w:tcPr>
            <w:tcW w:w="1077" w:type="dxa"/>
            <w:tcBorders>
              <w:top w:val="nil"/>
              <w:left w:val="nil"/>
              <w:bottom w:val="single" w:sz="4" w:space="0" w:color="auto"/>
              <w:right w:val="single" w:sz="4" w:space="0" w:color="auto"/>
            </w:tcBorders>
            <w:shd w:val="clear" w:color="auto" w:fill="auto"/>
            <w:noWrap/>
            <w:vAlign w:val="center"/>
            <w:hideMark/>
          </w:tcPr>
          <w:p w14:paraId="54B9164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0.007</w:t>
            </w:r>
          </w:p>
        </w:tc>
        <w:tc>
          <w:tcPr>
            <w:tcW w:w="1077" w:type="dxa"/>
            <w:tcBorders>
              <w:top w:val="nil"/>
              <w:left w:val="nil"/>
              <w:bottom w:val="single" w:sz="4" w:space="0" w:color="auto"/>
              <w:right w:val="single" w:sz="4" w:space="0" w:color="auto"/>
            </w:tcBorders>
            <w:shd w:val="clear" w:color="auto" w:fill="auto"/>
            <w:noWrap/>
            <w:vAlign w:val="center"/>
            <w:hideMark/>
          </w:tcPr>
          <w:p w14:paraId="5B98F9F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0.007</w:t>
            </w:r>
          </w:p>
        </w:tc>
        <w:tc>
          <w:tcPr>
            <w:tcW w:w="1077" w:type="dxa"/>
            <w:tcBorders>
              <w:top w:val="nil"/>
              <w:left w:val="nil"/>
              <w:bottom w:val="single" w:sz="4" w:space="0" w:color="auto"/>
              <w:right w:val="single" w:sz="4" w:space="0" w:color="auto"/>
            </w:tcBorders>
            <w:shd w:val="clear" w:color="auto" w:fill="auto"/>
            <w:noWrap/>
            <w:vAlign w:val="center"/>
            <w:hideMark/>
          </w:tcPr>
          <w:p w14:paraId="16BA2D7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0.03</w:t>
            </w:r>
          </w:p>
        </w:tc>
        <w:tc>
          <w:tcPr>
            <w:tcW w:w="1164" w:type="dxa"/>
            <w:tcBorders>
              <w:top w:val="nil"/>
              <w:left w:val="nil"/>
              <w:bottom w:val="single" w:sz="4" w:space="0" w:color="auto"/>
              <w:right w:val="single" w:sz="4" w:space="0" w:color="auto"/>
            </w:tcBorders>
            <w:shd w:val="clear" w:color="auto" w:fill="auto"/>
            <w:noWrap/>
            <w:vAlign w:val="center"/>
            <w:hideMark/>
          </w:tcPr>
          <w:p w14:paraId="7F6F9CB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0.003</w:t>
            </w:r>
          </w:p>
        </w:tc>
      </w:tr>
      <w:tr w:rsidR="008564E2" w:rsidRPr="007A5F42" w14:paraId="36065CFB"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5E19D43B" w14:textId="77777777" w:rsidR="008564E2" w:rsidRPr="00C77300" w:rsidRDefault="008564E2" w:rsidP="00C2037F">
            <w:pPr>
              <w:jc w:val="center"/>
              <w:rPr>
                <w:rFonts w:ascii="Times New Roman" w:eastAsia="Times New Roman" w:hAnsi="Times New Roman" w:cs="Times New Roman"/>
                <w:b/>
                <w:color w:val="000000"/>
                <w:lang w:eastAsia="en-IN"/>
              </w:rPr>
            </w:pPr>
            <w:r w:rsidRPr="00C77300">
              <w:rPr>
                <w:rFonts w:ascii="Times New Roman" w:eastAsia="Times New Roman" w:hAnsi="Times New Roman" w:cs="Times New Roman"/>
                <w:b/>
                <w:color w:val="000000"/>
                <w:lang w:eastAsia="en-IN"/>
              </w:rPr>
              <w:t>P value</w:t>
            </w:r>
          </w:p>
        </w:tc>
        <w:tc>
          <w:tcPr>
            <w:tcW w:w="1262" w:type="dxa"/>
            <w:tcBorders>
              <w:top w:val="nil"/>
              <w:left w:val="nil"/>
              <w:bottom w:val="single" w:sz="4" w:space="0" w:color="auto"/>
              <w:right w:val="single" w:sz="4" w:space="0" w:color="auto"/>
            </w:tcBorders>
            <w:shd w:val="clear" w:color="auto" w:fill="auto"/>
            <w:noWrap/>
            <w:vAlign w:val="center"/>
            <w:hideMark/>
          </w:tcPr>
          <w:p w14:paraId="1FEFC60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335" w:type="dxa"/>
            <w:tcBorders>
              <w:top w:val="nil"/>
              <w:left w:val="nil"/>
              <w:bottom w:val="single" w:sz="4" w:space="0" w:color="auto"/>
              <w:right w:val="single" w:sz="4" w:space="0" w:color="auto"/>
            </w:tcBorders>
            <w:shd w:val="clear" w:color="auto" w:fill="auto"/>
            <w:noWrap/>
            <w:vAlign w:val="center"/>
            <w:hideMark/>
          </w:tcPr>
          <w:p w14:paraId="4C8DF322"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220" w:type="dxa"/>
            <w:tcBorders>
              <w:top w:val="nil"/>
              <w:left w:val="nil"/>
              <w:bottom w:val="single" w:sz="4" w:space="0" w:color="auto"/>
              <w:right w:val="single" w:sz="4" w:space="0" w:color="auto"/>
            </w:tcBorders>
            <w:shd w:val="clear" w:color="auto" w:fill="auto"/>
            <w:noWrap/>
            <w:vAlign w:val="center"/>
            <w:hideMark/>
          </w:tcPr>
          <w:p w14:paraId="7CB5365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113" w:type="dxa"/>
            <w:tcBorders>
              <w:top w:val="nil"/>
              <w:left w:val="nil"/>
              <w:bottom w:val="single" w:sz="4" w:space="0" w:color="auto"/>
              <w:right w:val="single" w:sz="4" w:space="0" w:color="auto"/>
            </w:tcBorders>
            <w:shd w:val="clear" w:color="auto" w:fill="auto"/>
            <w:noWrap/>
            <w:vAlign w:val="center"/>
            <w:hideMark/>
          </w:tcPr>
          <w:p w14:paraId="4EF2A36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871" w:type="dxa"/>
            <w:tcBorders>
              <w:top w:val="nil"/>
              <w:left w:val="nil"/>
              <w:bottom w:val="single" w:sz="4" w:space="0" w:color="auto"/>
              <w:right w:val="single" w:sz="4" w:space="0" w:color="auto"/>
            </w:tcBorders>
            <w:shd w:val="clear" w:color="auto" w:fill="auto"/>
            <w:noWrap/>
            <w:vAlign w:val="center"/>
            <w:hideMark/>
          </w:tcPr>
          <w:p w14:paraId="4D72E980"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977" w:type="dxa"/>
            <w:tcBorders>
              <w:top w:val="nil"/>
              <w:left w:val="nil"/>
              <w:bottom w:val="single" w:sz="4" w:space="0" w:color="auto"/>
              <w:right w:val="single" w:sz="4" w:space="0" w:color="auto"/>
            </w:tcBorders>
            <w:shd w:val="clear" w:color="auto" w:fill="auto"/>
            <w:noWrap/>
            <w:vAlign w:val="center"/>
            <w:hideMark/>
          </w:tcPr>
          <w:p w14:paraId="4C74B9D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077" w:type="dxa"/>
            <w:tcBorders>
              <w:top w:val="nil"/>
              <w:left w:val="nil"/>
              <w:bottom w:val="single" w:sz="4" w:space="0" w:color="auto"/>
              <w:right w:val="single" w:sz="4" w:space="0" w:color="auto"/>
            </w:tcBorders>
            <w:shd w:val="clear" w:color="auto" w:fill="auto"/>
            <w:noWrap/>
            <w:vAlign w:val="center"/>
            <w:hideMark/>
          </w:tcPr>
          <w:p w14:paraId="350ABEAE"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077" w:type="dxa"/>
            <w:tcBorders>
              <w:top w:val="nil"/>
              <w:left w:val="nil"/>
              <w:bottom w:val="single" w:sz="4" w:space="0" w:color="auto"/>
              <w:right w:val="single" w:sz="4" w:space="0" w:color="auto"/>
            </w:tcBorders>
            <w:shd w:val="clear" w:color="auto" w:fill="auto"/>
            <w:noWrap/>
            <w:vAlign w:val="center"/>
            <w:hideMark/>
          </w:tcPr>
          <w:p w14:paraId="7841F4E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077" w:type="dxa"/>
            <w:tcBorders>
              <w:top w:val="nil"/>
              <w:left w:val="nil"/>
              <w:bottom w:val="single" w:sz="4" w:space="0" w:color="auto"/>
              <w:right w:val="single" w:sz="4" w:space="0" w:color="auto"/>
            </w:tcBorders>
            <w:shd w:val="clear" w:color="auto" w:fill="auto"/>
            <w:noWrap/>
            <w:vAlign w:val="center"/>
            <w:hideMark/>
          </w:tcPr>
          <w:p w14:paraId="155DE82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077" w:type="dxa"/>
            <w:tcBorders>
              <w:top w:val="nil"/>
              <w:left w:val="nil"/>
              <w:bottom w:val="single" w:sz="4" w:space="0" w:color="auto"/>
              <w:right w:val="single" w:sz="4" w:space="0" w:color="auto"/>
            </w:tcBorders>
            <w:shd w:val="clear" w:color="auto" w:fill="auto"/>
            <w:noWrap/>
            <w:vAlign w:val="center"/>
            <w:hideMark/>
          </w:tcPr>
          <w:p w14:paraId="4EA0526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077" w:type="dxa"/>
            <w:tcBorders>
              <w:top w:val="nil"/>
              <w:left w:val="nil"/>
              <w:bottom w:val="single" w:sz="4" w:space="0" w:color="auto"/>
              <w:right w:val="single" w:sz="4" w:space="0" w:color="auto"/>
            </w:tcBorders>
            <w:shd w:val="clear" w:color="auto" w:fill="auto"/>
            <w:noWrap/>
            <w:vAlign w:val="center"/>
            <w:hideMark/>
          </w:tcPr>
          <w:p w14:paraId="7786D7C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164" w:type="dxa"/>
            <w:tcBorders>
              <w:top w:val="nil"/>
              <w:left w:val="nil"/>
              <w:bottom w:val="single" w:sz="4" w:space="0" w:color="auto"/>
              <w:right w:val="single" w:sz="4" w:space="0" w:color="auto"/>
            </w:tcBorders>
            <w:shd w:val="clear" w:color="auto" w:fill="auto"/>
            <w:noWrap/>
            <w:vAlign w:val="center"/>
            <w:hideMark/>
          </w:tcPr>
          <w:p w14:paraId="0B11696E"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r>
      <w:tr w:rsidR="008564E2" w:rsidRPr="007A5F42" w14:paraId="5F6D3F3C"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2D29CF9E" w14:textId="77777777" w:rsidR="008564E2" w:rsidRPr="00C77300" w:rsidRDefault="008564E2" w:rsidP="00C2037F">
            <w:pPr>
              <w:jc w:val="center"/>
              <w:rPr>
                <w:rFonts w:ascii="Times New Roman" w:eastAsia="Times New Roman" w:hAnsi="Times New Roman" w:cs="Times New Roman"/>
                <w:b/>
                <w:color w:val="000000"/>
                <w:lang w:eastAsia="en-IN"/>
              </w:rPr>
            </w:pPr>
            <w:r w:rsidRPr="00C77300">
              <w:rPr>
                <w:rFonts w:ascii="Times New Roman" w:eastAsia="Times New Roman" w:hAnsi="Times New Roman" w:cs="Times New Roman"/>
                <w:b/>
                <w:color w:val="000000"/>
                <w:lang w:eastAsia="en-IN"/>
              </w:rPr>
              <w:t>CV</w:t>
            </w:r>
          </w:p>
        </w:tc>
        <w:tc>
          <w:tcPr>
            <w:tcW w:w="1262" w:type="dxa"/>
            <w:tcBorders>
              <w:top w:val="nil"/>
              <w:left w:val="nil"/>
              <w:bottom w:val="single" w:sz="4" w:space="0" w:color="auto"/>
              <w:right w:val="single" w:sz="4" w:space="0" w:color="auto"/>
            </w:tcBorders>
            <w:shd w:val="clear" w:color="auto" w:fill="auto"/>
            <w:noWrap/>
            <w:vAlign w:val="center"/>
            <w:hideMark/>
          </w:tcPr>
          <w:p w14:paraId="380EB05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1.21</w:t>
            </w:r>
          </w:p>
        </w:tc>
        <w:tc>
          <w:tcPr>
            <w:tcW w:w="1335" w:type="dxa"/>
            <w:tcBorders>
              <w:top w:val="nil"/>
              <w:left w:val="nil"/>
              <w:bottom w:val="single" w:sz="4" w:space="0" w:color="auto"/>
              <w:right w:val="single" w:sz="4" w:space="0" w:color="auto"/>
            </w:tcBorders>
            <w:shd w:val="clear" w:color="auto" w:fill="auto"/>
            <w:noWrap/>
            <w:vAlign w:val="center"/>
            <w:hideMark/>
          </w:tcPr>
          <w:p w14:paraId="269018E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1.43</w:t>
            </w:r>
          </w:p>
        </w:tc>
        <w:tc>
          <w:tcPr>
            <w:tcW w:w="1220" w:type="dxa"/>
            <w:tcBorders>
              <w:top w:val="nil"/>
              <w:left w:val="nil"/>
              <w:bottom w:val="single" w:sz="4" w:space="0" w:color="auto"/>
              <w:right w:val="single" w:sz="4" w:space="0" w:color="auto"/>
            </w:tcBorders>
            <w:shd w:val="clear" w:color="auto" w:fill="auto"/>
            <w:noWrap/>
            <w:vAlign w:val="center"/>
            <w:hideMark/>
          </w:tcPr>
          <w:p w14:paraId="01183634"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0.69</w:t>
            </w:r>
          </w:p>
        </w:tc>
        <w:tc>
          <w:tcPr>
            <w:tcW w:w="1113" w:type="dxa"/>
            <w:tcBorders>
              <w:top w:val="nil"/>
              <w:left w:val="nil"/>
              <w:bottom w:val="single" w:sz="4" w:space="0" w:color="auto"/>
              <w:right w:val="single" w:sz="4" w:space="0" w:color="auto"/>
            </w:tcBorders>
            <w:shd w:val="clear" w:color="auto" w:fill="auto"/>
            <w:noWrap/>
            <w:vAlign w:val="center"/>
            <w:hideMark/>
          </w:tcPr>
          <w:p w14:paraId="18E42C0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1.79</w:t>
            </w:r>
          </w:p>
        </w:tc>
        <w:tc>
          <w:tcPr>
            <w:tcW w:w="871" w:type="dxa"/>
            <w:tcBorders>
              <w:top w:val="nil"/>
              <w:left w:val="nil"/>
              <w:bottom w:val="single" w:sz="4" w:space="0" w:color="auto"/>
              <w:right w:val="single" w:sz="4" w:space="0" w:color="auto"/>
            </w:tcBorders>
            <w:shd w:val="clear" w:color="auto" w:fill="auto"/>
            <w:noWrap/>
            <w:vAlign w:val="center"/>
            <w:hideMark/>
          </w:tcPr>
          <w:p w14:paraId="0479D8C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16.09</w:t>
            </w:r>
          </w:p>
        </w:tc>
        <w:tc>
          <w:tcPr>
            <w:tcW w:w="977" w:type="dxa"/>
            <w:tcBorders>
              <w:top w:val="nil"/>
              <w:left w:val="nil"/>
              <w:bottom w:val="single" w:sz="4" w:space="0" w:color="auto"/>
              <w:right w:val="single" w:sz="4" w:space="0" w:color="auto"/>
            </w:tcBorders>
            <w:shd w:val="clear" w:color="auto" w:fill="auto"/>
            <w:noWrap/>
            <w:vAlign w:val="center"/>
            <w:hideMark/>
          </w:tcPr>
          <w:p w14:paraId="517EB754"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1.88</w:t>
            </w:r>
          </w:p>
        </w:tc>
        <w:tc>
          <w:tcPr>
            <w:tcW w:w="1077" w:type="dxa"/>
            <w:tcBorders>
              <w:top w:val="nil"/>
              <w:left w:val="nil"/>
              <w:bottom w:val="single" w:sz="4" w:space="0" w:color="auto"/>
              <w:right w:val="single" w:sz="4" w:space="0" w:color="auto"/>
            </w:tcBorders>
            <w:shd w:val="clear" w:color="auto" w:fill="auto"/>
            <w:noWrap/>
            <w:vAlign w:val="center"/>
            <w:hideMark/>
          </w:tcPr>
          <w:p w14:paraId="054BEFF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1.89</w:t>
            </w:r>
          </w:p>
        </w:tc>
        <w:tc>
          <w:tcPr>
            <w:tcW w:w="1077" w:type="dxa"/>
            <w:tcBorders>
              <w:top w:val="nil"/>
              <w:left w:val="nil"/>
              <w:bottom w:val="single" w:sz="4" w:space="0" w:color="auto"/>
              <w:right w:val="single" w:sz="4" w:space="0" w:color="auto"/>
            </w:tcBorders>
            <w:shd w:val="clear" w:color="auto" w:fill="auto"/>
            <w:noWrap/>
            <w:vAlign w:val="center"/>
            <w:hideMark/>
          </w:tcPr>
          <w:p w14:paraId="4D419BD0"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2.22</w:t>
            </w:r>
          </w:p>
        </w:tc>
        <w:tc>
          <w:tcPr>
            <w:tcW w:w="1077" w:type="dxa"/>
            <w:tcBorders>
              <w:top w:val="nil"/>
              <w:left w:val="nil"/>
              <w:bottom w:val="single" w:sz="4" w:space="0" w:color="auto"/>
              <w:right w:val="single" w:sz="4" w:space="0" w:color="auto"/>
            </w:tcBorders>
            <w:shd w:val="clear" w:color="auto" w:fill="auto"/>
            <w:noWrap/>
            <w:vAlign w:val="center"/>
            <w:hideMark/>
          </w:tcPr>
          <w:p w14:paraId="6903668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1.81</w:t>
            </w:r>
          </w:p>
        </w:tc>
        <w:tc>
          <w:tcPr>
            <w:tcW w:w="1077" w:type="dxa"/>
            <w:tcBorders>
              <w:top w:val="nil"/>
              <w:left w:val="nil"/>
              <w:bottom w:val="single" w:sz="4" w:space="0" w:color="auto"/>
              <w:right w:val="single" w:sz="4" w:space="0" w:color="auto"/>
            </w:tcBorders>
            <w:shd w:val="clear" w:color="auto" w:fill="auto"/>
            <w:noWrap/>
            <w:vAlign w:val="center"/>
            <w:hideMark/>
          </w:tcPr>
          <w:p w14:paraId="428165CB"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1.69</w:t>
            </w:r>
          </w:p>
        </w:tc>
        <w:tc>
          <w:tcPr>
            <w:tcW w:w="1077" w:type="dxa"/>
            <w:tcBorders>
              <w:top w:val="nil"/>
              <w:left w:val="nil"/>
              <w:bottom w:val="single" w:sz="4" w:space="0" w:color="auto"/>
              <w:right w:val="single" w:sz="4" w:space="0" w:color="auto"/>
            </w:tcBorders>
            <w:shd w:val="clear" w:color="auto" w:fill="auto"/>
            <w:noWrap/>
            <w:vAlign w:val="center"/>
            <w:hideMark/>
          </w:tcPr>
          <w:p w14:paraId="792AF64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3.6</w:t>
            </w:r>
          </w:p>
        </w:tc>
        <w:tc>
          <w:tcPr>
            <w:tcW w:w="1164" w:type="dxa"/>
            <w:tcBorders>
              <w:top w:val="nil"/>
              <w:left w:val="nil"/>
              <w:bottom w:val="single" w:sz="4" w:space="0" w:color="auto"/>
              <w:right w:val="single" w:sz="4" w:space="0" w:color="auto"/>
            </w:tcBorders>
            <w:shd w:val="clear" w:color="auto" w:fill="auto"/>
            <w:noWrap/>
            <w:vAlign w:val="center"/>
            <w:hideMark/>
          </w:tcPr>
          <w:p w14:paraId="00372AB0"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1.05</w:t>
            </w:r>
          </w:p>
        </w:tc>
      </w:tr>
      <w:tr w:rsidR="008564E2" w:rsidRPr="007A5F42" w14:paraId="04E4D88E"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7D1FBB75" w14:textId="77777777" w:rsidR="008564E2" w:rsidRPr="00C77300" w:rsidRDefault="008564E2" w:rsidP="00C2037F">
            <w:pPr>
              <w:jc w:val="center"/>
              <w:rPr>
                <w:rFonts w:ascii="Times New Roman" w:eastAsia="Times New Roman" w:hAnsi="Times New Roman" w:cs="Times New Roman"/>
                <w:b/>
                <w:color w:val="000000"/>
                <w:lang w:eastAsia="en-IN"/>
              </w:rPr>
            </w:pPr>
            <w:r w:rsidRPr="00C77300">
              <w:rPr>
                <w:rFonts w:ascii="Times New Roman" w:eastAsia="Times New Roman" w:hAnsi="Times New Roman" w:cs="Times New Roman"/>
                <w:b/>
                <w:color w:val="000000"/>
                <w:lang w:eastAsia="en-IN"/>
              </w:rPr>
              <w:t>LSD 0.05</w:t>
            </w:r>
          </w:p>
        </w:tc>
        <w:tc>
          <w:tcPr>
            <w:tcW w:w="1262" w:type="dxa"/>
            <w:tcBorders>
              <w:top w:val="nil"/>
              <w:left w:val="nil"/>
              <w:bottom w:val="single" w:sz="4" w:space="0" w:color="auto"/>
              <w:right w:val="single" w:sz="4" w:space="0" w:color="auto"/>
            </w:tcBorders>
            <w:shd w:val="clear" w:color="auto" w:fill="auto"/>
            <w:noWrap/>
            <w:vAlign w:val="center"/>
            <w:hideMark/>
          </w:tcPr>
          <w:p w14:paraId="45677DD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0.77</w:t>
            </w:r>
          </w:p>
        </w:tc>
        <w:tc>
          <w:tcPr>
            <w:tcW w:w="1335" w:type="dxa"/>
            <w:tcBorders>
              <w:top w:val="nil"/>
              <w:left w:val="nil"/>
              <w:bottom w:val="single" w:sz="4" w:space="0" w:color="auto"/>
              <w:right w:val="single" w:sz="4" w:space="0" w:color="auto"/>
            </w:tcBorders>
            <w:shd w:val="clear" w:color="auto" w:fill="auto"/>
            <w:noWrap/>
            <w:vAlign w:val="center"/>
            <w:hideMark/>
          </w:tcPr>
          <w:p w14:paraId="2E53E1E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0.8</w:t>
            </w:r>
          </w:p>
        </w:tc>
        <w:tc>
          <w:tcPr>
            <w:tcW w:w="1220" w:type="dxa"/>
            <w:tcBorders>
              <w:top w:val="nil"/>
              <w:left w:val="nil"/>
              <w:bottom w:val="single" w:sz="4" w:space="0" w:color="auto"/>
              <w:right w:val="single" w:sz="4" w:space="0" w:color="auto"/>
            </w:tcBorders>
            <w:shd w:val="clear" w:color="auto" w:fill="auto"/>
            <w:noWrap/>
            <w:vAlign w:val="center"/>
            <w:hideMark/>
          </w:tcPr>
          <w:p w14:paraId="630DF5E4"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3.26</w:t>
            </w:r>
          </w:p>
        </w:tc>
        <w:tc>
          <w:tcPr>
            <w:tcW w:w="1113" w:type="dxa"/>
            <w:tcBorders>
              <w:top w:val="nil"/>
              <w:left w:val="nil"/>
              <w:bottom w:val="single" w:sz="4" w:space="0" w:color="auto"/>
              <w:right w:val="single" w:sz="4" w:space="0" w:color="auto"/>
            </w:tcBorders>
            <w:shd w:val="clear" w:color="auto" w:fill="auto"/>
            <w:noWrap/>
            <w:vAlign w:val="center"/>
            <w:hideMark/>
          </w:tcPr>
          <w:p w14:paraId="299F14A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7.48</w:t>
            </w:r>
          </w:p>
        </w:tc>
        <w:tc>
          <w:tcPr>
            <w:tcW w:w="871" w:type="dxa"/>
            <w:tcBorders>
              <w:top w:val="nil"/>
              <w:left w:val="nil"/>
              <w:bottom w:val="single" w:sz="4" w:space="0" w:color="auto"/>
              <w:right w:val="single" w:sz="4" w:space="0" w:color="auto"/>
            </w:tcBorders>
            <w:shd w:val="clear" w:color="auto" w:fill="auto"/>
            <w:noWrap/>
            <w:vAlign w:val="center"/>
            <w:hideMark/>
          </w:tcPr>
          <w:p w14:paraId="56E828ED"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0.18</w:t>
            </w:r>
          </w:p>
        </w:tc>
        <w:tc>
          <w:tcPr>
            <w:tcW w:w="977" w:type="dxa"/>
            <w:tcBorders>
              <w:top w:val="nil"/>
              <w:left w:val="nil"/>
              <w:bottom w:val="single" w:sz="4" w:space="0" w:color="auto"/>
              <w:right w:val="single" w:sz="4" w:space="0" w:color="auto"/>
            </w:tcBorders>
            <w:shd w:val="clear" w:color="auto" w:fill="auto"/>
            <w:noWrap/>
            <w:vAlign w:val="center"/>
            <w:hideMark/>
          </w:tcPr>
          <w:p w14:paraId="2376F945"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0.082</w:t>
            </w:r>
          </w:p>
        </w:tc>
        <w:tc>
          <w:tcPr>
            <w:tcW w:w="1077" w:type="dxa"/>
            <w:tcBorders>
              <w:top w:val="nil"/>
              <w:left w:val="nil"/>
              <w:bottom w:val="single" w:sz="4" w:space="0" w:color="auto"/>
              <w:right w:val="single" w:sz="4" w:space="0" w:color="auto"/>
            </w:tcBorders>
            <w:shd w:val="clear" w:color="auto" w:fill="auto"/>
            <w:noWrap/>
            <w:vAlign w:val="center"/>
            <w:hideMark/>
          </w:tcPr>
          <w:p w14:paraId="2645987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0.1</w:t>
            </w:r>
          </w:p>
        </w:tc>
        <w:tc>
          <w:tcPr>
            <w:tcW w:w="1077" w:type="dxa"/>
            <w:tcBorders>
              <w:top w:val="nil"/>
              <w:left w:val="nil"/>
              <w:bottom w:val="single" w:sz="4" w:space="0" w:color="auto"/>
              <w:right w:val="single" w:sz="4" w:space="0" w:color="auto"/>
            </w:tcBorders>
            <w:shd w:val="clear" w:color="auto" w:fill="auto"/>
            <w:noWrap/>
            <w:vAlign w:val="center"/>
            <w:hideMark/>
          </w:tcPr>
          <w:p w14:paraId="56F7FE1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0.137</w:t>
            </w:r>
          </w:p>
        </w:tc>
        <w:tc>
          <w:tcPr>
            <w:tcW w:w="1077" w:type="dxa"/>
            <w:tcBorders>
              <w:top w:val="nil"/>
              <w:left w:val="nil"/>
              <w:bottom w:val="single" w:sz="4" w:space="0" w:color="auto"/>
              <w:right w:val="single" w:sz="4" w:space="0" w:color="auto"/>
            </w:tcBorders>
            <w:shd w:val="clear" w:color="auto" w:fill="auto"/>
            <w:noWrap/>
            <w:vAlign w:val="center"/>
            <w:hideMark/>
          </w:tcPr>
          <w:p w14:paraId="02DC0D9B"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0.12</w:t>
            </w:r>
          </w:p>
        </w:tc>
        <w:tc>
          <w:tcPr>
            <w:tcW w:w="1077" w:type="dxa"/>
            <w:tcBorders>
              <w:top w:val="nil"/>
              <w:left w:val="nil"/>
              <w:bottom w:val="single" w:sz="4" w:space="0" w:color="auto"/>
              <w:right w:val="single" w:sz="4" w:space="0" w:color="auto"/>
            </w:tcBorders>
            <w:shd w:val="clear" w:color="auto" w:fill="auto"/>
            <w:noWrap/>
            <w:vAlign w:val="center"/>
            <w:hideMark/>
          </w:tcPr>
          <w:p w14:paraId="4F02A4D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0.122</w:t>
            </w:r>
          </w:p>
        </w:tc>
        <w:tc>
          <w:tcPr>
            <w:tcW w:w="1077" w:type="dxa"/>
            <w:tcBorders>
              <w:top w:val="nil"/>
              <w:left w:val="nil"/>
              <w:bottom w:val="single" w:sz="4" w:space="0" w:color="auto"/>
              <w:right w:val="single" w:sz="4" w:space="0" w:color="auto"/>
            </w:tcBorders>
            <w:shd w:val="clear" w:color="auto" w:fill="auto"/>
            <w:noWrap/>
            <w:vAlign w:val="center"/>
            <w:hideMark/>
          </w:tcPr>
          <w:p w14:paraId="337A820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0.285</w:t>
            </w:r>
          </w:p>
        </w:tc>
        <w:tc>
          <w:tcPr>
            <w:tcW w:w="1164" w:type="dxa"/>
            <w:tcBorders>
              <w:top w:val="nil"/>
              <w:left w:val="nil"/>
              <w:bottom w:val="single" w:sz="4" w:space="0" w:color="auto"/>
              <w:right w:val="single" w:sz="4" w:space="0" w:color="auto"/>
            </w:tcBorders>
            <w:shd w:val="clear" w:color="auto" w:fill="auto"/>
            <w:noWrap/>
            <w:vAlign w:val="center"/>
            <w:hideMark/>
          </w:tcPr>
          <w:p w14:paraId="7DDC3B8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0.08</w:t>
            </w:r>
          </w:p>
        </w:tc>
      </w:tr>
    </w:tbl>
    <w:p w14:paraId="5A5474B5" w14:textId="77777777" w:rsidR="008564E2" w:rsidRPr="00E74711" w:rsidRDefault="008564E2" w:rsidP="008564E2">
      <w:pPr>
        <w:rPr>
          <w:rFonts w:ascii="Times New Roman" w:hAnsi="Times New Roman" w:cs="Times New Roman"/>
          <w:bCs/>
          <w:sz w:val="24"/>
          <w:szCs w:val="24"/>
          <w:lang w:val="en-US"/>
        </w:rPr>
      </w:pPr>
      <w:r>
        <w:rPr>
          <w:rFonts w:ascii="Times New Roman" w:hAnsi="Times New Roman" w:cs="Times New Roman"/>
          <w:bCs/>
          <w:sz w:val="24"/>
          <w:szCs w:val="24"/>
          <w:lang w:val="en-US"/>
        </w:rPr>
        <w:t>(</w:t>
      </w:r>
      <w:r w:rsidRPr="00E74711">
        <w:rPr>
          <w:rFonts w:ascii="Times New Roman" w:hAnsi="Times New Roman" w:cs="Times New Roman"/>
          <w:bCs/>
          <w:sz w:val="24"/>
          <w:szCs w:val="24"/>
          <w:lang w:val="en-US"/>
        </w:rPr>
        <w:t>SPAD</w:t>
      </w:r>
      <w:r>
        <w:rPr>
          <w:rFonts w:ascii="Times New Roman" w:hAnsi="Times New Roman" w:cs="Times New Roman"/>
          <w:bCs/>
          <w:sz w:val="24"/>
          <w:szCs w:val="24"/>
          <w:lang w:val="en-US"/>
        </w:rPr>
        <w:t xml:space="preserve"> AF</w:t>
      </w:r>
      <w:r w:rsidRPr="00E7471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SPAD at flowering; SPAD AM-SPAD at maturity; GLAB- Green leaf area at booting; GLAM- Green leaf area at maturity; RLS-Rate of leaf senescence; STG@7 T0 49 DAF-Stay green score at weekly interval days after flowering)</w:t>
      </w:r>
    </w:p>
    <w:p w14:paraId="750E3BA3" w14:textId="77777777" w:rsidR="008564E2" w:rsidRDefault="008564E2" w:rsidP="008564E2">
      <w:pPr>
        <w:rPr>
          <w:rFonts w:ascii="Times New Roman" w:hAnsi="Times New Roman" w:cs="Times New Roman"/>
          <w:b/>
          <w:bCs/>
          <w:sz w:val="24"/>
          <w:szCs w:val="24"/>
          <w:lang w:val="en-US"/>
        </w:rPr>
      </w:pPr>
    </w:p>
    <w:p w14:paraId="3E12CE08" w14:textId="77777777" w:rsidR="008564E2" w:rsidRDefault="008564E2" w:rsidP="008564E2">
      <w:pPr>
        <w:rPr>
          <w:rFonts w:ascii="Times New Roman" w:hAnsi="Times New Roman" w:cs="Times New Roman"/>
          <w:b/>
          <w:bCs/>
          <w:sz w:val="24"/>
          <w:szCs w:val="24"/>
          <w:lang w:val="en-US"/>
        </w:rPr>
      </w:pPr>
    </w:p>
    <w:p w14:paraId="6F7778B7" w14:textId="77777777" w:rsidR="007C5238" w:rsidRDefault="007C5238" w:rsidP="008564E2">
      <w:pPr>
        <w:rPr>
          <w:rFonts w:ascii="Times New Roman" w:hAnsi="Times New Roman" w:cs="Times New Roman"/>
          <w:b/>
          <w:bCs/>
          <w:sz w:val="24"/>
          <w:szCs w:val="24"/>
          <w:lang w:val="en-US"/>
        </w:rPr>
      </w:pPr>
    </w:p>
    <w:p w14:paraId="7276DF72" w14:textId="4AB05CDB" w:rsidR="008564E2" w:rsidRPr="000B3819" w:rsidRDefault="008564E2" w:rsidP="008564E2">
      <w:pPr>
        <w:rPr>
          <w:rFonts w:ascii="Times New Roman" w:hAnsi="Times New Roman" w:cs="Times New Roman"/>
          <w:b/>
          <w:bCs/>
          <w:sz w:val="24"/>
          <w:szCs w:val="24"/>
          <w:lang w:val="en-US"/>
        </w:rPr>
      </w:pPr>
      <w:r w:rsidRPr="000B3819">
        <w:rPr>
          <w:rFonts w:ascii="Times New Roman" w:hAnsi="Times New Roman" w:cs="Times New Roman"/>
          <w:b/>
          <w:bCs/>
          <w:sz w:val="24"/>
          <w:szCs w:val="24"/>
          <w:lang w:val="en-US"/>
        </w:rPr>
        <w:lastRenderedPageBreak/>
        <w:t xml:space="preserve">Table </w:t>
      </w:r>
      <w:r w:rsidR="007C5238">
        <w:rPr>
          <w:rFonts w:ascii="Times New Roman" w:hAnsi="Times New Roman" w:cs="Times New Roman"/>
          <w:b/>
          <w:bCs/>
          <w:sz w:val="24"/>
          <w:szCs w:val="24"/>
          <w:lang w:val="en-US"/>
        </w:rPr>
        <w:t>2</w:t>
      </w:r>
      <w:r>
        <w:rPr>
          <w:rFonts w:ascii="Times New Roman" w:hAnsi="Times New Roman" w:cs="Times New Roman"/>
          <w:b/>
          <w:bCs/>
          <w:sz w:val="24"/>
          <w:szCs w:val="24"/>
          <w:lang w:val="en-US"/>
        </w:rPr>
        <w:t xml:space="preserve">: </w:t>
      </w:r>
      <w:r w:rsidRPr="000B3819">
        <w:rPr>
          <w:rFonts w:ascii="Times New Roman" w:hAnsi="Times New Roman" w:cs="Times New Roman"/>
          <w:b/>
          <w:bCs/>
          <w:sz w:val="24"/>
          <w:szCs w:val="24"/>
          <w:lang w:val="en-US"/>
        </w:rPr>
        <w:t xml:space="preserve">ANOVA for </w:t>
      </w:r>
      <w:r>
        <w:rPr>
          <w:rFonts w:ascii="Times New Roman" w:hAnsi="Times New Roman" w:cs="Times New Roman"/>
          <w:b/>
          <w:bCs/>
          <w:sz w:val="24"/>
          <w:szCs w:val="24"/>
          <w:lang w:val="en-US"/>
        </w:rPr>
        <w:t>agronomic and yield related</w:t>
      </w:r>
      <w:r w:rsidRPr="000B3819">
        <w:rPr>
          <w:rFonts w:ascii="Times New Roman" w:hAnsi="Times New Roman" w:cs="Times New Roman"/>
          <w:b/>
          <w:bCs/>
          <w:sz w:val="24"/>
          <w:szCs w:val="24"/>
          <w:lang w:val="en-US"/>
        </w:rPr>
        <w:t xml:space="preserve"> trait</w:t>
      </w:r>
      <w:r>
        <w:rPr>
          <w:rFonts w:ascii="Times New Roman" w:hAnsi="Times New Roman" w:cs="Times New Roman"/>
          <w:b/>
          <w:bCs/>
          <w:sz w:val="24"/>
          <w:szCs w:val="24"/>
          <w:lang w:val="en-US"/>
        </w:rPr>
        <w:t xml:space="preserve">s under WW condition in </w:t>
      </w:r>
      <w:r w:rsidRPr="000B3819">
        <w:rPr>
          <w:rFonts w:ascii="Times New Roman" w:hAnsi="Times New Roman" w:cs="Times New Roman"/>
          <w:b/>
          <w:bCs/>
          <w:sz w:val="24"/>
          <w:szCs w:val="24"/>
          <w:lang w:val="en-US"/>
        </w:rPr>
        <w:t>F</w:t>
      </w:r>
      <w:r w:rsidRPr="008D5216">
        <w:rPr>
          <w:rFonts w:ascii="Times New Roman" w:hAnsi="Times New Roman" w:cs="Times New Roman"/>
          <w:b/>
          <w:bCs/>
          <w:sz w:val="24"/>
          <w:szCs w:val="24"/>
          <w:vertAlign w:val="subscript"/>
          <w:lang w:val="en-US"/>
        </w:rPr>
        <w:t>3</w:t>
      </w:r>
      <w:r w:rsidRPr="000B381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generation</w:t>
      </w:r>
    </w:p>
    <w:tbl>
      <w:tblPr>
        <w:tblW w:w="14517" w:type="dxa"/>
        <w:tblInd w:w="-1085" w:type="dxa"/>
        <w:tblLook w:val="04A0" w:firstRow="1" w:lastRow="0" w:firstColumn="1" w:lastColumn="0" w:noHBand="0" w:noVBand="1"/>
      </w:tblPr>
      <w:tblGrid>
        <w:gridCol w:w="1206"/>
        <w:gridCol w:w="1483"/>
        <w:gridCol w:w="1359"/>
        <w:gridCol w:w="1172"/>
        <w:gridCol w:w="1172"/>
        <w:gridCol w:w="1334"/>
        <w:gridCol w:w="1172"/>
        <w:gridCol w:w="1497"/>
        <w:gridCol w:w="1334"/>
        <w:gridCol w:w="1660"/>
        <w:gridCol w:w="1200"/>
      </w:tblGrid>
      <w:tr w:rsidR="008564E2" w:rsidRPr="00B80ADB" w14:paraId="0A3997C8" w14:textId="77777777" w:rsidTr="00C2037F">
        <w:trPr>
          <w:trHeight w:val="443"/>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710BF" w14:textId="77777777" w:rsidR="008564E2" w:rsidRPr="00B80ADB" w:rsidRDefault="008564E2" w:rsidP="00C2037F">
            <w:pPr>
              <w:ind w:right="-144"/>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Genotypes</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14:paraId="6DFA64CC"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PH</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39F9D827"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ET</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40E61554"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DA</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55CD0417"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DFF</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3522D89F"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TGM</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14DD25AE"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HPP</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02FB367E"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TGDW</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7A662EAD"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GYPP</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D1997D0"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DSW</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9E1E5CD"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HSW</w:t>
            </w:r>
          </w:p>
        </w:tc>
      </w:tr>
      <w:tr w:rsidR="008564E2" w:rsidRPr="00B80ADB" w14:paraId="572DF2B4"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8090DF"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K359W</w:t>
            </w:r>
          </w:p>
        </w:tc>
        <w:tc>
          <w:tcPr>
            <w:tcW w:w="1483" w:type="dxa"/>
            <w:tcBorders>
              <w:top w:val="nil"/>
              <w:left w:val="nil"/>
              <w:bottom w:val="single" w:sz="4" w:space="0" w:color="auto"/>
              <w:right w:val="single" w:sz="4" w:space="0" w:color="auto"/>
            </w:tcBorders>
            <w:shd w:val="clear" w:color="auto" w:fill="auto"/>
            <w:noWrap/>
            <w:vAlign w:val="center"/>
            <w:hideMark/>
          </w:tcPr>
          <w:p w14:paraId="0542A43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116.62 f</w:t>
            </w:r>
          </w:p>
        </w:tc>
        <w:tc>
          <w:tcPr>
            <w:tcW w:w="1359" w:type="dxa"/>
            <w:tcBorders>
              <w:top w:val="nil"/>
              <w:left w:val="nil"/>
              <w:bottom w:val="single" w:sz="4" w:space="0" w:color="auto"/>
              <w:right w:val="single" w:sz="4" w:space="0" w:color="auto"/>
            </w:tcBorders>
            <w:shd w:val="clear" w:color="auto" w:fill="auto"/>
            <w:noWrap/>
            <w:vAlign w:val="center"/>
            <w:hideMark/>
          </w:tcPr>
          <w:p w14:paraId="68A2865A"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4.12 c</w:t>
            </w:r>
          </w:p>
        </w:tc>
        <w:tc>
          <w:tcPr>
            <w:tcW w:w="1172" w:type="dxa"/>
            <w:tcBorders>
              <w:top w:val="nil"/>
              <w:left w:val="nil"/>
              <w:bottom w:val="single" w:sz="4" w:space="0" w:color="auto"/>
              <w:right w:val="single" w:sz="4" w:space="0" w:color="auto"/>
            </w:tcBorders>
            <w:shd w:val="clear" w:color="auto" w:fill="auto"/>
            <w:noWrap/>
            <w:vAlign w:val="center"/>
            <w:hideMark/>
          </w:tcPr>
          <w:p w14:paraId="3E0929A0"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63.5 </w:t>
            </w:r>
            <w:proofErr w:type="spellStart"/>
            <w:r w:rsidRPr="00B80ADB">
              <w:rPr>
                <w:rFonts w:ascii="Times New Roman" w:eastAsia="Times New Roman" w:hAnsi="Times New Roman" w:cs="Times New Roman"/>
                <w:lang w:eastAsia="en-IN"/>
              </w:rPr>
              <w:t>bcd</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008EAD6E"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70.87 </w:t>
            </w:r>
            <w:proofErr w:type="spellStart"/>
            <w:r w:rsidRPr="00B80ADB">
              <w:rPr>
                <w:rFonts w:ascii="Times New Roman" w:eastAsia="Times New Roman" w:hAnsi="Times New Roman" w:cs="Times New Roman"/>
                <w:lang w:eastAsia="en-IN"/>
              </w:rPr>
              <w:t>fg</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14:paraId="7CA0015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122.12 a</w:t>
            </w:r>
          </w:p>
        </w:tc>
        <w:tc>
          <w:tcPr>
            <w:tcW w:w="1172" w:type="dxa"/>
            <w:tcBorders>
              <w:top w:val="nil"/>
              <w:left w:val="nil"/>
              <w:bottom w:val="single" w:sz="4" w:space="0" w:color="auto"/>
              <w:right w:val="single" w:sz="4" w:space="0" w:color="auto"/>
            </w:tcBorders>
            <w:shd w:val="clear" w:color="auto" w:fill="auto"/>
            <w:noWrap/>
            <w:vAlign w:val="center"/>
            <w:hideMark/>
          </w:tcPr>
          <w:p w14:paraId="215F6EA6"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4.37 cd</w:t>
            </w:r>
          </w:p>
        </w:tc>
        <w:tc>
          <w:tcPr>
            <w:tcW w:w="1497" w:type="dxa"/>
            <w:tcBorders>
              <w:top w:val="nil"/>
              <w:left w:val="nil"/>
              <w:bottom w:val="single" w:sz="4" w:space="0" w:color="auto"/>
              <w:right w:val="single" w:sz="4" w:space="0" w:color="auto"/>
            </w:tcBorders>
            <w:shd w:val="clear" w:color="auto" w:fill="auto"/>
            <w:noWrap/>
            <w:vAlign w:val="center"/>
            <w:hideMark/>
          </w:tcPr>
          <w:p w14:paraId="65249CCF"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201.22 c</w:t>
            </w:r>
          </w:p>
        </w:tc>
        <w:tc>
          <w:tcPr>
            <w:tcW w:w="1334" w:type="dxa"/>
            <w:tcBorders>
              <w:top w:val="nil"/>
              <w:left w:val="nil"/>
              <w:bottom w:val="single" w:sz="4" w:space="0" w:color="auto"/>
              <w:right w:val="single" w:sz="4" w:space="0" w:color="auto"/>
            </w:tcBorders>
            <w:shd w:val="clear" w:color="auto" w:fill="auto"/>
            <w:noWrap/>
            <w:vAlign w:val="center"/>
            <w:hideMark/>
          </w:tcPr>
          <w:p w14:paraId="48A0AE7B"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67.07 c</w:t>
            </w:r>
          </w:p>
        </w:tc>
        <w:tc>
          <w:tcPr>
            <w:tcW w:w="1660" w:type="dxa"/>
            <w:tcBorders>
              <w:top w:val="nil"/>
              <w:left w:val="nil"/>
              <w:bottom w:val="single" w:sz="4" w:space="0" w:color="auto"/>
              <w:right w:val="single" w:sz="4" w:space="0" w:color="auto"/>
            </w:tcBorders>
            <w:shd w:val="clear" w:color="auto" w:fill="auto"/>
            <w:noWrap/>
            <w:vAlign w:val="center"/>
            <w:hideMark/>
          </w:tcPr>
          <w:p w14:paraId="5752732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823.83 c</w:t>
            </w:r>
          </w:p>
        </w:tc>
        <w:tc>
          <w:tcPr>
            <w:tcW w:w="1200" w:type="dxa"/>
            <w:tcBorders>
              <w:top w:val="nil"/>
              <w:left w:val="nil"/>
              <w:bottom w:val="single" w:sz="4" w:space="0" w:color="auto"/>
              <w:right w:val="single" w:sz="4" w:space="0" w:color="auto"/>
            </w:tcBorders>
            <w:shd w:val="clear" w:color="auto" w:fill="auto"/>
            <w:noWrap/>
            <w:vAlign w:val="center"/>
            <w:hideMark/>
          </w:tcPr>
          <w:p w14:paraId="1117C00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3.51 ab</w:t>
            </w:r>
          </w:p>
        </w:tc>
      </w:tr>
      <w:tr w:rsidR="008564E2" w:rsidRPr="00B80ADB" w14:paraId="017EBD77"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C4C566"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B35</w:t>
            </w:r>
          </w:p>
        </w:tc>
        <w:tc>
          <w:tcPr>
            <w:tcW w:w="1483" w:type="dxa"/>
            <w:tcBorders>
              <w:top w:val="nil"/>
              <w:left w:val="nil"/>
              <w:bottom w:val="single" w:sz="4" w:space="0" w:color="auto"/>
              <w:right w:val="single" w:sz="4" w:space="0" w:color="auto"/>
            </w:tcBorders>
            <w:shd w:val="clear" w:color="auto" w:fill="auto"/>
            <w:noWrap/>
            <w:vAlign w:val="center"/>
            <w:hideMark/>
          </w:tcPr>
          <w:p w14:paraId="4FD5A40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81 </w:t>
            </w:r>
            <w:proofErr w:type="spellStart"/>
            <w:r w:rsidRPr="00B80ADB">
              <w:rPr>
                <w:rFonts w:ascii="Times New Roman" w:eastAsia="Times New Roman" w:hAnsi="Times New Roman" w:cs="Times New Roman"/>
                <w:color w:val="000000"/>
                <w:lang w:eastAsia="en-IN"/>
              </w:rPr>
              <w:t>i</w:t>
            </w:r>
            <w:proofErr w:type="spellEnd"/>
          </w:p>
        </w:tc>
        <w:tc>
          <w:tcPr>
            <w:tcW w:w="1359" w:type="dxa"/>
            <w:tcBorders>
              <w:top w:val="nil"/>
              <w:left w:val="nil"/>
              <w:bottom w:val="single" w:sz="4" w:space="0" w:color="auto"/>
              <w:right w:val="single" w:sz="4" w:space="0" w:color="auto"/>
            </w:tcBorders>
            <w:shd w:val="clear" w:color="auto" w:fill="auto"/>
            <w:noWrap/>
            <w:vAlign w:val="center"/>
            <w:hideMark/>
          </w:tcPr>
          <w:p w14:paraId="5201C54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 c</w:t>
            </w:r>
          </w:p>
        </w:tc>
        <w:tc>
          <w:tcPr>
            <w:tcW w:w="1172" w:type="dxa"/>
            <w:tcBorders>
              <w:top w:val="nil"/>
              <w:left w:val="nil"/>
              <w:bottom w:val="single" w:sz="4" w:space="0" w:color="auto"/>
              <w:right w:val="single" w:sz="4" w:space="0" w:color="auto"/>
            </w:tcBorders>
            <w:shd w:val="clear" w:color="auto" w:fill="auto"/>
            <w:noWrap/>
            <w:vAlign w:val="center"/>
            <w:hideMark/>
          </w:tcPr>
          <w:p w14:paraId="28FA2BDB"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65.75 b</w:t>
            </w:r>
          </w:p>
        </w:tc>
        <w:tc>
          <w:tcPr>
            <w:tcW w:w="1172" w:type="dxa"/>
            <w:tcBorders>
              <w:top w:val="nil"/>
              <w:left w:val="nil"/>
              <w:bottom w:val="single" w:sz="4" w:space="0" w:color="auto"/>
              <w:right w:val="single" w:sz="4" w:space="0" w:color="auto"/>
            </w:tcBorders>
            <w:shd w:val="clear" w:color="auto" w:fill="auto"/>
            <w:noWrap/>
            <w:vAlign w:val="center"/>
            <w:hideMark/>
          </w:tcPr>
          <w:p w14:paraId="20713C1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74.25 cd</w:t>
            </w:r>
          </w:p>
        </w:tc>
        <w:tc>
          <w:tcPr>
            <w:tcW w:w="1334" w:type="dxa"/>
            <w:tcBorders>
              <w:top w:val="nil"/>
              <w:left w:val="nil"/>
              <w:bottom w:val="single" w:sz="4" w:space="0" w:color="auto"/>
              <w:right w:val="single" w:sz="4" w:space="0" w:color="auto"/>
            </w:tcBorders>
            <w:shd w:val="clear" w:color="auto" w:fill="auto"/>
            <w:noWrap/>
            <w:vAlign w:val="center"/>
            <w:hideMark/>
          </w:tcPr>
          <w:p w14:paraId="331AF56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114.5 de</w:t>
            </w:r>
          </w:p>
        </w:tc>
        <w:tc>
          <w:tcPr>
            <w:tcW w:w="1172" w:type="dxa"/>
            <w:tcBorders>
              <w:top w:val="nil"/>
              <w:left w:val="nil"/>
              <w:bottom w:val="single" w:sz="4" w:space="0" w:color="auto"/>
              <w:right w:val="single" w:sz="4" w:space="0" w:color="auto"/>
            </w:tcBorders>
            <w:shd w:val="clear" w:color="auto" w:fill="auto"/>
            <w:noWrap/>
            <w:vAlign w:val="center"/>
            <w:hideMark/>
          </w:tcPr>
          <w:p w14:paraId="2C4643D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4.25 cd</w:t>
            </w:r>
          </w:p>
        </w:tc>
        <w:tc>
          <w:tcPr>
            <w:tcW w:w="1497" w:type="dxa"/>
            <w:tcBorders>
              <w:top w:val="nil"/>
              <w:left w:val="nil"/>
              <w:bottom w:val="single" w:sz="4" w:space="0" w:color="auto"/>
              <w:right w:val="single" w:sz="4" w:space="0" w:color="auto"/>
            </w:tcBorders>
            <w:shd w:val="clear" w:color="auto" w:fill="auto"/>
            <w:noWrap/>
            <w:vAlign w:val="center"/>
            <w:hideMark/>
          </w:tcPr>
          <w:p w14:paraId="1EA588D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174.9 e</w:t>
            </w:r>
          </w:p>
        </w:tc>
        <w:tc>
          <w:tcPr>
            <w:tcW w:w="1334" w:type="dxa"/>
            <w:tcBorders>
              <w:top w:val="nil"/>
              <w:left w:val="nil"/>
              <w:bottom w:val="single" w:sz="4" w:space="0" w:color="auto"/>
              <w:right w:val="single" w:sz="4" w:space="0" w:color="auto"/>
            </w:tcBorders>
            <w:shd w:val="clear" w:color="auto" w:fill="auto"/>
            <w:noWrap/>
            <w:vAlign w:val="center"/>
            <w:hideMark/>
          </w:tcPr>
          <w:p w14:paraId="4F80667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57.12</w:t>
            </w:r>
          </w:p>
        </w:tc>
        <w:tc>
          <w:tcPr>
            <w:tcW w:w="1660" w:type="dxa"/>
            <w:tcBorders>
              <w:top w:val="nil"/>
              <w:left w:val="nil"/>
              <w:bottom w:val="single" w:sz="4" w:space="0" w:color="auto"/>
              <w:right w:val="single" w:sz="4" w:space="0" w:color="auto"/>
            </w:tcBorders>
            <w:shd w:val="clear" w:color="auto" w:fill="auto"/>
            <w:noWrap/>
            <w:vAlign w:val="center"/>
            <w:hideMark/>
          </w:tcPr>
          <w:p w14:paraId="0BE8D24F"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652.05 g</w:t>
            </w:r>
          </w:p>
        </w:tc>
        <w:tc>
          <w:tcPr>
            <w:tcW w:w="1200" w:type="dxa"/>
            <w:tcBorders>
              <w:top w:val="nil"/>
              <w:left w:val="nil"/>
              <w:bottom w:val="single" w:sz="4" w:space="0" w:color="auto"/>
              <w:right w:val="single" w:sz="4" w:space="0" w:color="auto"/>
            </w:tcBorders>
            <w:shd w:val="clear" w:color="auto" w:fill="auto"/>
            <w:noWrap/>
            <w:vAlign w:val="center"/>
            <w:hideMark/>
          </w:tcPr>
          <w:p w14:paraId="7DD8CEB4"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3.57 </w:t>
            </w:r>
            <w:proofErr w:type="spellStart"/>
            <w:r w:rsidRPr="00B80ADB">
              <w:rPr>
                <w:rFonts w:ascii="Times New Roman" w:eastAsia="Times New Roman" w:hAnsi="Times New Roman" w:cs="Times New Roman"/>
                <w:color w:val="000000"/>
                <w:lang w:eastAsia="en-IN"/>
              </w:rPr>
              <w:t>ef</w:t>
            </w:r>
            <w:proofErr w:type="spellEnd"/>
          </w:p>
        </w:tc>
      </w:tr>
      <w:tr w:rsidR="008564E2" w:rsidRPr="00B80ADB" w14:paraId="597AD740"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372B4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K260</w:t>
            </w:r>
          </w:p>
        </w:tc>
        <w:tc>
          <w:tcPr>
            <w:tcW w:w="1483" w:type="dxa"/>
            <w:tcBorders>
              <w:top w:val="nil"/>
              <w:left w:val="nil"/>
              <w:bottom w:val="single" w:sz="4" w:space="0" w:color="auto"/>
              <w:right w:val="single" w:sz="4" w:space="0" w:color="auto"/>
            </w:tcBorders>
            <w:shd w:val="clear" w:color="auto" w:fill="auto"/>
            <w:noWrap/>
            <w:vAlign w:val="center"/>
            <w:hideMark/>
          </w:tcPr>
          <w:p w14:paraId="3D83898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123.37 e</w:t>
            </w:r>
          </w:p>
        </w:tc>
        <w:tc>
          <w:tcPr>
            <w:tcW w:w="1359" w:type="dxa"/>
            <w:tcBorders>
              <w:top w:val="nil"/>
              <w:left w:val="nil"/>
              <w:bottom w:val="single" w:sz="4" w:space="0" w:color="auto"/>
              <w:right w:val="single" w:sz="4" w:space="0" w:color="auto"/>
            </w:tcBorders>
            <w:shd w:val="clear" w:color="auto" w:fill="auto"/>
            <w:noWrap/>
            <w:vAlign w:val="center"/>
            <w:hideMark/>
          </w:tcPr>
          <w:p w14:paraId="7A40ADE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4.5 </w:t>
            </w:r>
            <w:proofErr w:type="spellStart"/>
            <w:r w:rsidRPr="00B80ADB">
              <w:rPr>
                <w:rFonts w:ascii="Times New Roman" w:eastAsia="Times New Roman" w:hAnsi="Times New Roman" w:cs="Times New Roman"/>
                <w:color w:val="000000"/>
                <w:lang w:eastAsia="en-IN"/>
              </w:rPr>
              <w:t>bc</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1E5D56C9"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64 </w:t>
            </w:r>
            <w:proofErr w:type="spellStart"/>
            <w:r w:rsidRPr="00B80ADB">
              <w:rPr>
                <w:rFonts w:ascii="Times New Roman" w:eastAsia="Times New Roman" w:hAnsi="Times New Roman" w:cs="Times New Roman"/>
                <w:lang w:eastAsia="en-IN"/>
              </w:rPr>
              <w:t>bcd</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7DD70FE4"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73.25 def</w:t>
            </w:r>
          </w:p>
        </w:tc>
        <w:tc>
          <w:tcPr>
            <w:tcW w:w="1334" w:type="dxa"/>
            <w:tcBorders>
              <w:top w:val="nil"/>
              <w:left w:val="nil"/>
              <w:bottom w:val="single" w:sz="4" w:space="0" w:color="auto"/>
              <w:right w:val="single" w:sz="4" w:space="0" w:color="auto"/>
            </w:tcBorders>
            <w:shd w:val="clear" w:color="auto" w:fill="auto"/>
            <w:noWrap/>
            <w:vAlign w:val="center"/>
            <w:hideMark/>
          </w:tcPr>
          <w:p w14:paraId="3E89AAD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113.55 e</w:t>
            </w:r>
          </w:p>
        </w:tc>
        <w:tc>
          <w:tcPr>
            <w:tcW w:w="1172" w:type="dxa"/>
            <w:tcBorders>
              <w:top w:val="nil"/>
              <w:left w:val="nil"/>
              <w:bottom w:val="single" w:sz="4" w:space="0" w:color="auto"/>
              <w:right w:val="single" w:sz="4" w:space="0" w:color="auto"/>
            </w:tcBorders>
            <w:shd w:val="clear" w:color="auto" w:fill="auto"/>
            <w:noWrap/>
            <w:vAlign w:val="center"/>
            <w:hideMark/>
          </w:tcPr>
          <w:p w14:paraId="426BF49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5.25 </w:t>
            </w:r>
            <w:proofErr w:type="spellStart"/>
            <w:r w:rsidRPr="00B80ADB">
              <w:rPr>
                <w:rFonts w:ascii="Times New Roman" w:eastAsia="Times New Roman" w:hAnsi="Times New Roman" w:cs="Times New Roman"/>
                <w:color w:val="000000"/>
                <w:lang w:eastAsia="en-IN"/>
              </w:rPr>
              <w:t>bc</w:t>
            </w:r>
            <w:proofErr w:type="spellEnd"/>
          </w:p>
        </w:tc>
        <w:tc>
          <w:tcPr>
            <w:tcW w:w="1497" w:type="dxa"/>
            <w:tcBorders>
              <w:top w:val="nil"/>
              <w:left w:val="nil"/>
              <w:bottom w:val="single" w:sz="4" w:space="0" w:color="auto"/>
              <w:right w:val="single" w:sz="4" w:space="0" w:color="auto"/>
            </w:tcBorders>
            <w:shd w:val="clear" w:color="auto" w:fill="auto"/>
            <w:noWrap/>
            <w:vAlign w:val="center"/>
            <w:hideMark/>
          </w:tcPr>
          <w:p w14:paraId="4294043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188.57 d</w:t>
            </w:r>
          </w:p>
        </w:tc>
        <w:tc>
          <w:tcPr>
            <w:tcW w:w="1334" w:type="dxa"/>
            <w:tcBorders>
              <w:top w:val="nil"/>
              <w:left w:val="nil"/>
              <w:bottom w:val="single" w:sz="4" w:space="0" w:color="auto"/>
              <w:right w:val="single" w:sz="4" w:space="0" w:color="auto"/>
            </w:tcBorders>
            <w:shd w:val="clear" w:color="auto" w:fill="auto"/>
            <w:noWrap/>
            <w:vAlign w:val="center"/>
            <w:hideMark/>
          </w:tcPr>
          <w:p w14:paraId="4371F836"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62.85 d</w:t>
            </w:r>
          </w:p>
        </w:tc>
        <w:tc>
          <w:tcPr>
            <w:tcW w:w="1660" w:type="dxa"/>
            <w:tcBorders>
              <w:top w:val="nil"/>
              <w:left w:val="nil"/>
              <w:bottom w:val="single" w:sz="4" w:space="0" w:color="auto"/>
              <w:right w:val="single" w:sz="4" w:space="0" w:color="auto"/>
            </w:tcBorders>
            <w:shd w:val="clear" w:color="auto" w:fill="auto"/>
            <w:noWrap/>
            <w:vAlign w:val="center"/>
            <w:hideMark/>
          </w:tcPr>
          <w:p w14:paraId="064C07B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671.8 f</w:t>
            </w:r>
          </w:p>
        </w:tc>
        <w:tc>
          <w:tcPr>
            <w:tcW w:w="1200" w:type="dxa"/>
            <w:tcBorders>
              <w:top w:val="nil"/>
              <w:left w:val="nil"/>
              <w:bottom w:val="single" w:sz="4" w:space="0" w:color="auto"/>
              <w:right w:val="single" w:sz="4" w:space="0" w:color="auto"/>
            </w:tcBorders>
            <w:shd w:val="clear" w:color="auto" w:fill="auto"/>
            <w:noWrap/>
            <w:vAlign w:val="center"/>
            <w:hideMark/>
          </w:tcPr>
          <w:p w14:paraId="2DD1822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3.77 </w:t>
            </w:r>
            <w:proofErr w:type="spellStart"/>
            <w:r w:rsidRPr="00B80ADB">
              <w:rPr>
                <w:rFonts w:ascii="Times New Roman" w:eastAsia="Times New Roman" w:hAnsi="Times New Roman" w:cs="Times New Roman"/>
                <w:color w:val="000000"/>
                <w:lang w:eastAsia="en-IN"/>
              </w:rPr>
              <w:t>bc</w:t>
            </w:r>
            <w:proofErr w:type="spellEnd"/>
          </w:p>
        </w:tc>
      </w:tr>
      <w:tr w:rsidR="008564E2" w:rsidRPr="00B80ADB" w14:paraId="0BC4B675"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A09E3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E36-1</w:t>
            </w:r>
          </w:p>
        </w:tc>
        <w:tc>
          <w:tcPr>
            <w:tcW w:w="1483" w:type="dxa"/>
            <w:tcBorders>
              <w:top w:val="nil"/>
              <w:left w:val="nil"/>
              <w:bottom w:val="single" w:sz="4" w:space="0" w:color="auto"/>
              <w:right w:val="single" w:sz="4" w:space="0" w:color="auto"/>
            </w:tcBorders>
            <w:shd w:val="clear" w:color="auto" w:fill="auto"/>
            <w:noWrap/>
            <w:vAlign w:val="center"/>
            <w:hideMark/>
          </w:tcPr>
          <w:p w14:paraId="24E2C0B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124.05 e</w:t>
            </w:r>
          </w:p>
        </w:tc>
        <w:tc>
          <w:tcPr>
            <w:tcW w:w="1359" w:type="dxa"/>
            <w:tcBorders>
              <w:top w:val="nil"/>
              <w:left w:val="nil"/>
              <w:bottom w:val="single" w:sz="4" w:space="0" w:color="auto"/>
              <w:right w:val="single" w:sz="4" w:space="0" w:color="auto"/>
            </w:tcBorders>
            <w:shd w:val="clear" w:color="auto" w:fill="auto"/>
            <w:noWrap/>
            <w:vAlign w:val="center"/>
            <w:hideMark/>
          </w:tcPr>
          <w:p w14:paraId="2A089F7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6.5 a</w:t>
            </w:r>
          </w:p>
        </w:tc>
        <w:tc>
          <w:tcPr>
            <w:tcW w:w="1172" w:type="dxa"/>
            <w:tcBorders>
              <w:top w:val="nil"/>
              <w:left w:val="nil"/>
              <w:bottom w:val="single" w:sz="4" w:space="0" w:color="auto"/>
              <w:right w:val="single" w:sz="4" w:space="0" w:color="auto"/>
            </w:tcBorders>
            <w:shd w:val="clear" w:color="auto" w:fill="auto"/>
            <w:noWrap/>
            <w:vAlign w:val="center"/>
            <w:hideMark/>
          </w:tcPr>
          <w:p w14:paraId="27DAC11F"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62.25 d</w:t>
            </w:r>
          </w:p>
        </w:tc>
        <w:tc>
          <w:tcPr>
            <w:tcW w:w="1172" w:type="dxa"/>
            <w:tcBorders>
              <w:top w:val="nil"/>
              <w:left w:val="nil"/>
              <w:bottom w:val="single" w:sz="4" w:space="0" w:color="auto"/>
              <w:right w:val="single" w:sz="4" w:space="0" w:color="auto"/>
            </w:tcBorders>
            <w:shd w:val="clear" w:color="auto" w:fill="auto"/>
            <w:noWrap/>
            <w:vAlign w:val="center"/>
            <w:hideMark/>
          </w:tcPr>
          <w:p w14:paraId="0E2F85C7"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70.25 </w:t>
            </w:r>
            <w:proofErr w:type="spellStart"/>
            <w:r w:rsidRPr="00B80ADB">
              <w:rPr>
                <w:rFonts w:ascii="Times New Roman" w:eastAsia="Times New Roman" w:hAnsi="Times New Roman" w:cs="Times New Roman"/>
                <w:lang w:eastAsia="en-IN"/>
              </w:rPr>
              <w:t>efg</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14:paraId="502BC9A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112.47</w:t>
            </w:r>
          </w:p>
        </w:tc>
        <w:tc>
          <w:tcPr>
            <w:tcW w:w="1172" w:type="dxa"/>
            <w:tcBorders>
              <w:top w:val="nil"/>
              <w:left w:val="nil"/>
              <w:bottom w:val="single" w:sz="4" w:space="0" w:color="auto"/>
              <w:right w:val="single" w:sz="4" w:space="0" w:color="auto"/>
            </w:tcBorders>
            <w:shd w:val="clear" w:color="auto" w:fill="auto"/>
            <w:noWrap/>
            <w:vAlign w:val="center"/>
            <w:hideMark/>
          </w:tcPr>
          <w:p w14:paraId="3AE40BDF"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6.25 ab</w:t>
            </w:r>
          </w:p>
        </w:tc>
        <w:tc>
          <w:tcPr>
            <w:tcW w:w="1497" w:type="dxa"/>
            <w:tcBorders>
              <w:top w:val="nil"/>
              <w:left w:val="nil"/>
              <w:bottom w:val="single" w:sz="4" w:space="0" w:color="auto"/>
              <w:right w:val="single" w:sz="4" w:space="0" w:color="auto"/>
            </w:tcBorders>
            <w:shd w:val="clear" w:color="auto" w:fill="auto"/>
            <w:noWrap/>
            <w:vAlign w:val="center"/>
            <w:hideMark/>
          </w:tcPr>
          <w:p w14:paraId="59A83BAF"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207.87 b</w:t>
            </w:r>
          </w:p>
        </w:tc>
        <w:tc>
          <w:tcPr>
            <w:tcW w:w="1334" w:type="dxa"/>
            <w:tcBorders>
              <w:top w:val="nil"/>
              <w:left w:val="nil"/>
              <w:bottom w:val="single" w:sz="4" w:space="0" w:color="auto"/>
              <w:right w:val="single" w:sz="4" w:space="0" w:color="auto"/>
            </w:tcBorders>
            <w:shd w:val="clear" w:color="auto" w:fill="auto"/>
            <w:noWrap/>
            <w:vAlign w:val="center"/>
            <w:hideMark/>
          </w:tcPr>
          <w:p w14:paraId="260681F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69.29 b</w:t>
            </w:r>
          </w:p>
        </w:tc>
        <w:tc>
          <w:tcPr>
            <w:tcW w:w="1660" w:type="dxa"/>
            <w:tcBorders>
              <w:top w:val="nil"/>
              <w:left w:val="nil"/>
              <w:bottom w:val="single" w:sz="4" w:space="0" w:color="auto"/>
              <w:right w:val="single" w:sz="4" w:space="0" w:color="auto"/>
            </w:tcBorders>
            <w:shd w:val="clear" w:color="auto" w:fill="auto"/>
            <w:noWrap/>
            <w:vAlign w:val="center"/>
            <w:hideMark/>
          </w:tcPr>
          <w:p w14:paraId="62B4AEF4"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727.52 e</w:t>
            </w:r>
          </w:p>
        </w:tc>
        <w:tc>
          <w:tcPr>
            <w:tcW w:w="1200" w:type="dxa"/>
            <w:tcBorders>
              <w:top w:val="nil"/>
              <w:left w:val="nil"/>
              <w:bottom w:val="single" w:sz="4" w:space="0" w:color="auto"/>
              <w:right w:val="single" w:sz="4" w:space="0" w:color="auto"/>
            </w:tcBorders>
            <w:shd w:val="clear" w:color="auto" w:fill="auto"/>
            <w:noWrap/>
            <w:vAlign w:val="center"/>
            <w:hideMark/>
          </w:tcPr>
          <w:p w14:paraId="48A8B8C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3.55 cd</w:t>
            </w:r>
          </w:p>
        </w:tc>
      </w:tr>
      <w:tr w:rsidR="008564E2" w:rsidRPr="00B80ADB" w14:paraId="575633EC"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98610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296B</w:t>
            </w:r>
          </w:p>
        </w:tc>
        <w:tc>
          <w:tcPr>
            <w:tcW w:w="1483" w:type="dxa"/>
            <w:tcBorders>
              <w:top w:val="nil"/>
              <w:left w:val="nil"/>
              <w:bottom w:val="single" w:sz="4" w:space="0" w:color="auto"/>
              <w:right w:val="single" w:sz="4" w:space="0" w:color="auto"/>
            </w:tcBorders>
            <w:shd w:val="clear" w:color="auto" w:fill="auto"/>
            <w:noWrap/>
            <w:vAlign w:val="center"/>
            <w:hideMark/>
          </w:tcPr>
          <w:p w14:paraId="34CEF7B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85 h</w:t>
            </w:r>
          </w:p>
        </w:tc>
        <w:tc>
          <w:tcPr>
            <w:tcW w:w="1359" w:type="dxa"/>
            <w:tcBorders>
              <w:top w:val="nil"/>
              <w:left w:val="nil"/>
              <w:bottom w:val="single" w:sz="4" w:space="0" w:color="auto"/>
              <w:right w:val="single" w:sz="4" w:space="0" w:color="auto"/>
            </w:tcBorders>
            <w:shd w:val="clear" w:color="auto" w:fill="auto"/>
            <w:noWrap/>
            <w:vAlign w:val="center"/>
            <w:hideMark/>
          </w:tcPr>
          <w:p w14:paraId="030163A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4.5 </w:t>
            </w:r>
            <w:proofErr w:type="spellStart"/>
            <w:r w:rsidRPr="00B80ADB">
              <w:rPr>
                <w:rFonts w:ascii="Times New Roman" w:eastAsia="Times New Roman" w:hAnsi="Times New Roman" w:cs="Times New Roman"/>
                <w:color w:val="000000"/>
                <w:lang w:eastAsia="en-IN"/>
              </w:rPr>
              <w:t>bc</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6759888F"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66 b</w:t>
            </w:r>
          </w:p>
        </w:tc>
        <w:tc>
          <w:tcPr>
            <w:tcW w:w="1172" w:type="dxa"/>
            <w:tcBorders>
              <w:top w:val="nil"/>
              <w:left w:val="nil"/>
              <w:bottom w:val="single" w:sz="4" w:space="0" w:color="auto"/>
              <w:right w:val="single" w:sz="4" w:space="0" w:color="auto"/>
            </w:tcBorders>
            <w:shd w:val="clear" w:color="auto" w:fill="auto"/>
            <w:noWrap/>
            <w:vAlign w:val="center"/>
            <w:hideMark/>
          </w:tcPr>
          <w:p w14:paraId="70D8D64D"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73.31 </w:t>
            </w:r>
            <w:proofErr w:type="spellStart"/>
            <w:r w:rsidRPr="00B80ADB">
              <w:rPr>
                <w:rFonts w:ascii="Times New Roman" w:eastAsia="Times New Roman" w:hAnsi="Times New Roman" w:cs="Times New Roman"/>
                <w:lang w:eastAsia="en-IN"/>
              </w:rPr>
              <w:t>bc</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14:paraId="49A23E9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114.52 </w:t>
            </w:r>
            <w:proofErr w:type="spellStart"/>
            <w:r w:rsidRPr="00B80ADB">
              <w:rPr>
                <w:rFonts w:ascii="Times New Roman" w:eastAsia="Times New Roman" w:hAnsi="Times New Roman" w:cs="Times New Roman"/>
                <w:color w:val="000000"/>
                <w:lang w:eastAsia="en-IN"/>
              </w:rPr>
              <w:t>bc</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7047C8A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4.75 cd</w:t>
            </w:r>
          </w:p>
        </w:tc>
        <w:tc>
          <w:tcPr>
            <w:tcW w:w="1497" w:type="dxa"/>
            <w:tcBorders>
              <w:top w:val="nil"/>
              <w:left w:val="nil"/>
              <w:bottom w:val="single" w:sz="4" w:space="0" w:color="auto"/>
              <w:right w:val="single" w:sz="4" w:space="0" w:color="auto"/>
            </w:tcBorders>
            <w:shd w:val="clear" w:color="auto" w:fill="auto"/>
            <w:noWrap/>
            <w:vAlign w:val="center"/>
            <w:hideMark/>
          </w:tcPr>
          <w:p w14:paraId="0CE95F1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168.5 </w:t>
            </w:r>
            <w:proofErr w:type="spellStart"/>
            <w:r w:rsidRPr="00B80ADB">
              <w:rPr>
                <w:rFonts w:ascii="Times New Roman" w:eastAsia="Times New Roman" w:hAnsi="Times New Roman" w:cs="Times New Roman"/>
                <w:color w:val="000000"/>
                <w:lang w:eastAsia="en-IN"/>
              </w:rPr>
              <w:t>ef</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14:paraId="6FF11C9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54.82 g</w:t>
            </w:r>
          </w:p>
        </w:tc>
        <w:tc>
          <w:tcPr>
            <w:tcW w:w="1660" w:type="dxa"/>
            <w:tcBorders>
              <w:top w:val="nil"/>
              <w:left w:val="nil"/>
              <w:bottom w:val="single" w:sz="4" w:space="0" w:color="auto"/>
              <w:right w:val="single" w:sz="4" w:space="0" w:color="auto"/>
            </w:tcBorders>
            <w:shd w:val="clear" w:color="auto" w:fill="auto"/>
            <w:noWrap/>
            <w:vAlign w:val="center"/>
            <w:hideMark/>
          </w:tcPr>
          <w:p w14:paraId="0FE1B72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629.97 h</w:t>
            </w:r>
          </w:p>
        </w:tc>
        <w:tc>
          <w:tcPr>
            <w:tcW w:w="1200" w:type="dxa"/>
            <w:tcBorders>
              <w:top w:val="nil"/>
              <w:left w:val="nil"/>
              <w:bottom w:val="single" w:sz="4" w:space="0" w:color="auto"/>
              <w:right w:val="single" w:sz="4" w:space="0" w:color="auto"/>
            </w:tcBorders>
            <w:shd w:val="clear" w:color="auto" w:fill="auto"/>
            <w:noWrap/>
            <w:vAlign w:val="center"/>
            <w:hideMark/>
          </w:tcPr>
          <w:p w14:paraId="613C09F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3.47 f</w:t>
            </w:r>
          </w:p>
        </w:tc>
      </w:tr>
      <w:tr w:rsidR="008564E2" w:rsidRPr="00B80ADB" w14:paraId="39B62F50"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12C89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R16</w:t>
            </w:r>
          </w:p>
        </w:tc>
        <w:tc>
          <w:tcPr>
            <w:tcW w:w="1483" w:type="dxa"/>
            <w:tcBorders>
              <w:top w:val="nil"/>
              <w:left w:val="nil"/>
              <w:bottom w:val="single" w:sz="4" w:space="0" w:color="auto"/>
              <w:right w:val="single" w:sz="4" w:space="0" w:color="auto"/>
            </w:tcBorders>
            <w:shd w:val="clear" w:color="auto" w:fill="auto"/>
            <w:noWrap/>
            <w:vAlign w:val="center"/>
            <w:hideMark/>
          </w:tcPr>
          <w:p w14:paraId="68A70DB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114.33 g</w:t>
            </w:r>
          </w:p>
        </w:tc>
        <w:tc>
          <w:tcPr>
            <w:tcW w:w="1359" w:type="dxa"/>
            <w:tcBorders>
              <w:top w:val="nil"/>
              <w:left w:val="nil"/>
              <w:bottom w:val="single" w:sz="4" w:space="0" w:color="auto"/>
              <w:right w:val="single" w:sz="4" w:space="0" w:color="auto"/>
            </w:tcBorders>
            <w:shd w:val="clear" w:color="auto" w:fill="auto"/>
            <w:noWrap/>
            <w:vAlign w:val="center"/>
            <w:hideMark/>
          </w:tcPr>
          <w:p w14:paraId="6BC722A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4.25 c</w:t>
            </w:r>
          </w:p>
        </w:tc>
        <w:tc>
          <w:tcPr>
            <w:tcW w:w="1172" w:type="dxa"/>
            <w:tcBorders>
              <w:top w:val="nil"/>
              <w:left w:val="nil"/>
              <w:bottom w:val="single" w:sz="4" w:space="0" w:color="auto"/>
              <w:right w:val="single" w:sz="4" w:space="0" w:color="auto"/>
            </w:tcBorders>
            <w:shd w:val="clear" w:color="auto" w:fill="auto"/>
            <w:noWrap/>
            <w:vAlign w:val="center"/>
            <w:hideMark/>
          </w:tcPr>
          <w:p w14:paraId="5188C7A4"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62.25 d</w:t>
            </w:r>
          </w:p>
        </w:tc>
        <w:tc>
          <w:tcPr>
            <w:tcW w:w="1172" w:type="dxa"/>
            <w:tcBorders>
              <w:top w:val="nil"/>
              <w:left w:val="nil"/>
              <w:bottom w:val="single" w:sz="4" w:space="0" w:color="auto"/>
              <w:right w:val="single" w:sz="4" w:space="0" w:color="auto"/>
            </w:tcBorders>
            <w:shd w:val="clear" w:color="auto" w:fill="auto"/>
            <w:noWrap/>
            <w:vAlign w:val="center"/>
            <w:hideMark/>
          </w:tcPr>
          <w:p w14:paraId="075FC54F"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70.25 g</w:t>
            </w:r>
          </w:p>
        </w:tc>
        <w:tc>
          <w:tcPr>
            <w:tcW w:w="1334" w:type="dxa"/>
            <w:tcBorders>
              <w:top w:val="nil"/>
              <w:left w:val="nil"/>
              <w:bottom w:val="single" w:sz="4" w:space="0" w:color="auto"/>
              <w:right w:val="single" w:sz="4" w:space="0" w:color="auto"/>
            </w:tcBorders>
            <w:shd w:val="clear" w:color="auto" w:fill="auto"/>
            <w:noWrap/>
            <w:vAlign w:val="center"/>
            <w:hideMark/>
          </w:tcPr>
          <w:p w14:paraId="00211C4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116.41 cd</w:t>
            </w:r>
          </w:p>
        </w:tc>
        <w:tc>
          <w:tcPr>
            <w:tcW w:w="1172" w:type="dxa"/>
            <w:tcBorders>
              <w:top w:val="nil"/>
              <w:left w:val="nil"/>
              <w:bottom w:val="single" w:sz="4" w:space="0" w:color="auto"/>
              <w:right w:val="single" w:sz="4" w:space="0" w:color="auto"/>
            </w:tcBorders>
            <w:shd w:val="clear" w:color="auto" w:fill="auto"/>
            <w:noWrap/>
            <w:vAlign w:val="center"/>
            <w:hideMark/>
          </w:tcPr>
          <w:p w14:paraId="11477D1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3.75 d</w:t>
            </w:r>
          </w:p>
        </w:tc>
        <w:tc>
          <w:tcPr>
            <w:tcW w:w="1497" w:type="dxa"/>
            <w:tcBorders>
              <w:top w:val="nil"/>
              <w:left w:val="nil"/>
              <w:bottom w:val="single" w:sz="4" w:space="0" w:color="auto"/>
              <w:right w:val="single" w:sz="4" w:space="0" w:color="auto"/>
            </w:tcBorders>
            <w:shd w:val="clear" w:color="auto" w:fill="auto"/>
            <w:noWrap/>
            <w:vAlign w:val="center"/>
            <w:hideMark/>
          </w:tcPr>
          <w:p w14:paraId="7E96509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166.52 f</w:t>
            </w:r>
          </w:p>
        </w:tc>
        <w:tc>
          <w:tcPr>
            <w:tcW w:w="1334" w:type="dxa"/>
            <w:tcBorders>
              <w:top w:val="nil"/>
              <w:left w:val="nil"/>
              <w:bottom w:val="single" w:sz="4" w:space="0" w:color="auto"/>
              <w:right w:val="single" w:sz="4" w:space="0" w:color="auto"/>
            </w:tcBorders>
            <w:shd w:val="clear" w:color="auto" w:fill="auto"/>
            <w:noWrap/>
            <w:vAlign w:val="center"/>
            <w:hideMark/>
          </w:tcPr>
          <w:p w14:paraId="679DACE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55.50 e</w:t>
            </w:r>
          </w:p>
        </w:tc>
        <w:tc>
          <w:tcPr>
            <w:tcW w:w="1660" w:type="dxa"/>
            <w:tcBorders>
              <w:top w:val="nil"/>
              <w:left w:val="nil"/>
              <w:bottom w:val="single" w:sz="4" w:space="0" w:color="auto"/>
              <w:right w:val="single" w:sz="4" w:space="0" w:color="auto"/>
            </w:tcBorders>
            <w:shd w:val="clear" w:color="auto" w:fill="auto"/>
            <w:noWrap/>
            <w:vAlign w:val="center"/>
            <w:hideMark/>
          </w:tcPr>
          <w:p w14:paraId="26FE673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749.17 d</w:t>
            </w:r>
          </w:p>
        </w:tc>
        <w:tc>
          <w:tcPr>
            <w:tcW w:w="1200" w:type="dxa"/>
            <w:tcBorders>
              <w:top w:val="nil"/>
              <w:left w:val="nil"/>
              <w:bottom w:val="single" w:sz="4" w:space="0" w:color="auto"/>
              <w:right w:val="single" w:sz="4" w:space="0" w:color="auto"/>
            </w:tcBorders>
            <w:shd w:val="clear" w:color="auto" w:fill="auto"/>
            <w:noWrap/>
            <w:vAlign w:val="center"/>
            <w:hideMark/>
          </w:tcPr>
          <w:p w14:paraId="08C99DC4"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3.4 d</w:t>
            </w:r>
          </w:p>
        </w:tc>
      </w:tr>
      <w:tr w:rsidR="008564E2" w:rsidRPr="00B80ADB" w14:paraId="78A11225"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41D20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M35-1</w:t>
            </w:r>
          </w:p>
        </w:tc>
        <w:tc>
          <w:tcPr>
            <w:tcW w:w="1483" w:type="dxa"/>
            <w:tcBorders>
              <w:top w:val="nil"/>
              <w:left w:val="nil"/>
              <w:bottom w:val="single" w:sz="4" w:space="0" w:color="auto"/>
              <w:right w:val="single" w:sz="4" w:space="0" w:color="auto"/>
            </w:tcBorders>
            <w:shd w:val="clear" w:color="auto" w:fill="auto"/>
            <w:noWrap/>
            <w:vAlign w:val="center"/>
            <w:hideMark/>
          </w:tcPr>
          <w:p w14:paraId="01221DD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152.6 c</w:t>
            </w:r>
          </w:p>
        </w:tc>
        <w:tc>
          <w:tcPr>
            <w:tcW w:w="1359" w:type="dxa"/>
            <w:tcBorders>
              <w:top w:val="nil"/>
              <w:left w:val="nil"/>
              <w:bottom w:val="single" w:sz="4" w:space="0" w:color="auto"/>
              <w:right w:val="single" w:sz="4" w:space="0" w:color="auto"/>
            </w:tcBorders>
            <w:shd w:val="clear" w:color="auto" w:fill="auto"/>
            <w:noWrap/>
            <w:vAlign w:val="center"/>
            <w:hideMark/>
          </w:tcPr>
          <w:p w14:paraId="14DFCB2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5.25 a</w:t>
            </w:r>
          </w:p>
        </w:tc>
        <w:tc>
          <w:tcPr>
            <w:tcW w:w="1172" w:type="dxa"/>
            <w:tcBorders>
              <w:top w:val="nil"/>
              <w:left w:val="nil"/>
              <w:bottom w:val="single" w:sz="4" w:space="0" w:color="auto"/>
              <w:right w:val="single" w:sz="4" w:space="0" w:color="auto"/>
            </w:tcBorders>
            <w:shd w:val="clear" w:color="auto" w:fill="auto"/>
            <w:noWrap/>
            <w:vAlign w:val="center"/>
            <w:hideMark/>
          </w:tcPr>
          <w:p w14:paraId="6880546E"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65.25 </w:t>
            </w:r>
            <w:proofErr w:type="spellStart"/>
            <w:r w:rsidRPr="00B80ADB">
              <w:rPr>
                <w:rFonts w:ascii="Times New Roman" w:eastAsia="Times New Roman" w:hAnsi="Times New Roman" w:cs="Times New Roman"/>
                <w:lang w:eastAsia="en-IN"/>
              </w:rPr>
              <w:t>bc</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1E33E215"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72.25 </w:t>
            </w:r>
            <w:proofErr w:type="spellStart"/>
            <w:r w:rsidRPr="00B80ADB">
              <w:rPr>
                <w:rFonts w:ascii="Times New Roman" w:eastAsia="Times New Roman" w:hAnsi="Times New Roman" w:cs="Times New Roman"/>
                <w:lang w:eastAsia="en-IN"/>
              </w:rPr>
              <w:t>efg</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14:paraId="477500D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116.4 cd</w:t>
            </w:r>
          </w:p>
        </w:tc>
        <w:tc>
          <w:tcPr>
            <w:tcW w:w="1172" w:type="dxa"/>
            <w:tcBorders>
              <w:top w:val="nil"/>
              <w:left w:val="nil"/>
              <w:bottom w:val="single" w:sz="4" w:space="0" w:color="auto"/>
              <w:right w:val="single" w:sz="4" w:space="0" w:color="auto"/>
            </w:tcBorders>
            <w:shd w:val="clear" w:color="auto" w:fill="auto"/>
            <w:noWrap/>
            <w:vAlign w:val="center"/>
            <w:hideMark/>
          </w:tcPr>
          <w:p w14:paraId="6EAD2CD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5.5 ab</w:t>
            </w:r>
          </w:p>
        </w:tc>
        <w:tc>
          <w:tcPr>
            <w:tcW w:w="1497" w:type="dxa"/>
            <w:tcBorders>
              <w:top w:val="nil"/>
              <w:left w:val="nil"/>
              <w:bottom w:val="single" w:sz="4" w:space="0" w:color="auto"/>
              <w:right w:val="single" w:sz="4" w:space="0" w:color="auto"/>
            </w:tcBorders>
            <w:shd w:val="clear" w:color="auto" w:fill="auto"/>
            <w:noWrap/>
            <w:vAlign w:val="center"/>
            <w:hideMark/>
          </w:tcPr>
          <w:p w14:paraId="049D0E1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202.6 </w:t>
            </w:r>
            <w:proofErr w:type="spellStart"/>
            <w:r w:rsidRPr="00B80ADB">
              <w:rPr>
                <w:rFonts w:ascii="Times New Roman" w:eastAsia="Times New Roman" w:hAnsi="Times New Roman" w:cs="Times New Roman"/>
                <w:color w:val="000000"/>
                <w:lang w:eastAsia="en-IN"/>
              </w:rPr>
              <w:t>bc</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14:paraId="1831683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56.87 e</w:t>
            </w:r>
          </w:p>
        </w:tc>
        <w:tc>
          <w:tcPr>
            <w:tcW w:w="1660" w:type="dxa"/>
            <w:tcBorders>
              <w:top w:val="nil"/>
              <w:left w:val="nil"/>
              <w:bottom w:val="single" w:sz="4" w:space="0" w:color="auto"/>
              <w:right w:val="single" w:sz="4" w:space="0" w:color="auto"/>
            </w:tcBorders>
            <w:shd w:val="clear" w:color="auto" w:fill="auto"/>
            <w:noWrap/>
            <w:vAlign w:val="center"/>
            <w:hideMark/>
          </w:tcPr>
          <w:p w14:paraId="3A78994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856.35 b</w:t>
            </w:r>
          </w:p>
        </w:tc>
        <w:tc>
          <w:tcPr>
            <w:tcW w:w="1200" w:type="dxa"/>
            <w:tcBorders>
              <w:top w:val="nil"/>
              <w:left w:val="nil"/>
              <w:bottom w:val="single" w:sz="4" w:space="0" w:color="auto"/>
              <w:right w:val="single" w:sz="4" w:space="0" w:color="auto"/>
            </w:tcBorders>
            <w:shd w:val="clear" w:color="auto" w:fill="auto"/>
            <w:noWrap/>
            <w:vAlign w:val="center"/>
            <w:hideMark/>
          </w:tcPr>
          <w:p w14:paraId="3F9CACE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4.02 ab</w:t>
            </w:r>
          </w:p>
        </w:tc>
      </w:tr>
      <w:tr w:rsidR="008564E2" w:rsidRPr="00B80ADB" w14:paraId="4F6B4F8E"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42108C" w14:textId="4A8C64DD" w:rsidR="008564E2" w:rsidRPr="00B80ADB" w:rsidRDefault="008564E2" w:rsidP="00C2037F">
            <w:pPr>
              <w:ind w:right="-144"/>
              <w:jc w:val="center"/>
              <w:rPr>
                <w:rFonts w:ascii="Times New Roman" w:eastAsia="Times New Roman" w:hAnsi="Times New Roman" w:cs="Times New Roman"/>
                <w:color w:val="000000"/>
                <w:lang w:eastAsia="en-IN"/>
              </w:rPr>
            </w:pPr>
            <w:proofErr w:type="spellStart"/>
            <w:r w:rsidRPr="00B80ADB">
              <w:rPr>
                <w:rFonts w:ascii="Times New Roman" w:eastAsia="Times New Roman" w:hAnsi="Times New Roman" w:cs="Times New Roman"/>
                <w:color w:val="000000"/>
                <w:lang w:eastAsia="en-IN"/>
              </w:rPr>
              <w:t>P</w:t>
            </w:r>
            <w:r w:rsidR="005128F0">
              <w:rPr>
                <w:rFonts w:ascii="Times New Roman" w:eastAsia="Times New Roman" w:hAnsi="Times New Roman" w:cs="Times New Roman"/>
                <w:color w:val="000000"/>
                <w:lang w:eastAsia="en-IN"/>
              </w:rPr>
              <w:t>arbhani</w:t>
            </w:r>
            <w:proofErr w:type="spellEnd"/>
            <w:r w:rsidR="005128F0">
              <w:rPr>
                <w:rFonts w:ascii="Times New Roman" w:eastAsia="Times New Roman" w:hAnsi="Times New Roman" w:cs="Times New Roman"/>
                <w:color w:val="000000"/>
                <w:lang w:eastAsia="en-IN"/>
              </w:rPr>
              <w:t xml:space="preserve"> Moti</w:t>
            </w:r>
          </w:p>
        </w:tc>
        <w:tc>
          <w:tcPr>
            <w:tcW w:w="1483" w:type="dxa"/>
            <w:tcBorders>
              <w:top w:val="nil"/>
              <w:left w:val="nil"/>
              <w:bottom w:val="single" w:sz="4" w:space="0" w:color="auto"/>
              <w:right w:val="single" w:sz="4" w:space="0" w:color="auto"/>
            </w:tcBorders>
            <w:shd w:val="clear" w:color="auto" w:fill="auto"/>
            <w:noWrap/>
            <w:vAlign w:val="center"/>
            <w:hideMark/>
          </w:tcPr>
          <w:p w14:paraId="3F81B57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162.7 b</w:t>
            </w:r>
          </w:p>
        </w:tc>
        <w:tc>
          <w:tcPr>
            <w:tcW w:w="1359" w:type="dxa"/>
            <w:tcBorders>
              <w:top w:val="nil"/>
              <w:left w:val="nil"/>
              <w:bottom w:val="single" w:sz="4" w:space="0" w:color="auto"/>
              <w:right w:val="single" w:sz="4" w:space="0" w:color="auto"/>
            </w:tcBorders>
            <w:shd w:val="clear" w:color="auto" w:fill="auto"/>
            <w:noWrap/>
            <w:vAlign w:val="center"/>
            <w:hideMark/>
          </w:tcPr>
          <w:p w14:paraId="6E1C1BBA"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5.5 ab</w:t>
            </w:r>
          </w:p>
        </w:tc>
        <w:tc>
          <w:tcPr>
            <w:tcW w:w="1172" w:type="dxa"/>
            <w:tcBorders>
              <w:top w:val="nil"/>
              <w:left w:val="nil"/>
              <w:bottom w:val="single" w:sz="4" w:space="0" w:color="auto"/>
              <w:right w:val="single" w:sz="4" w:space="0" w:color="auto"/>
            </w:tcBorders>
            <w:shd w:val="clear" w:color="auto" w:fill="auto"/>
            <w:noWrap/>
            <w:vAlign w:val="center"/>
            <w:hideMark/>
          </w:tcPr>
          <w:p w14:paraId="4760ABED"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64.25 </w:t>
            </w:r>
            <w:proofErr w:type="spellStart"/>
            <w:r w:rsidRPr="00B80ADB">
              <w:rPr>
                <w:rFonts w:ascii="Times New Roman" w:eastAsia="Times New Roman" w:hAnsi="Times New Roman" w:cs="Times New Roman"/>
                <w:lang w:eastAsia="en-IN"/>
              </w:rPr>
              <w:t>bcd</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62B07897"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73.75 </w:t>
            </w:r>
            <w:proofErr w:type="spellStart"/>
            <w:r w:rsidRPr="00B80ADB">
              <w:rPr>
                <w:rFonts w:ascii="Times New Roman" w:eastAsia="Times New Roman" w:hAnsi="Times New Roman" w:cs="Times New Roman"/>
                <w:lang w:eastAsia="en-IN"/>
              </w:rPr>
              <w:t>cde</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14:paraId="270F1C5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119.7 ab</w:t>
            </w:r>
          </w:p>
        </w:tc>
        <w:tc>
          <w:tcPr>
            <w:tcW w:w="1172" w:type="dxa"/>
            <w:tcBorders>
              <w:top w:val="nil"/>
              <w:left w:val="nil"/>
              <w:bottom w:val="single" w:sz="4" w:space="0" w:color="auto"/>
              <w:right w:val="single" w:sz="4" w:space="0" w:color="auto"/>
            </w:tcBorders>
            <w:shd w:val="clear" w:color="auto" w:fill="auto"/>
            <w:noWrap/>
            <w:vAlign w:val="center"/>
            <w:hideMark/>
          </w:tcPr>
          <w:p w14:paraId="09BFD7A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5.75 a</w:t>
            </w:r>
          </w:p>
        </w:tc>
        <w:tc>
          <w:tcPr>
            <w:tcW w:w="1497" w:type="dxa"/>
            <w:tcBorders>
              <w:top w:val="nil"/>
              <w:left w:val="nil"/>
              <w:bottom w:val="single" w:sz="4" w:space="0" w:color="auto"/>
              <w:right w:val="single" w:sz="4" w:space="0" w:color="auto"/>
            </w:tcBorders>
            <w:shd w:val="clear" w:color="auto" w:fill="auto"/>
            <w:noWrap/>
            <w:vAlign w:val="center"/>
            <w:hideMark/>
          </w:tcPr>
          <w:p w14:paraId="1FC1008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238.87 a</w:t>
            </w:r>
          </w:p>
        </w:tc>
        <w:tc>
          <w:tcPr>
            <w:tcW w:w="1334" w:type="dxa"/>
            <w:tcBorders>
              <w:top w:val="nil"/>
              <w:left w:val="nil"/>
              <w:bottom w:val="single" w:sz="4" w:space="0" w:color="auto"/>
              <w:right w:val="single" w:sz="4" w:space="0" w:color="auto"/>
            </w:tcBorders>
            <w:shd w:val="clear" w:color="auto" w:fill="auto"/>
            <w:noWrap/>
            <w:vAlign w:val="center"/>
            <w:hideMark/>
          </w:tcPr>
          <w:p w14:paraId="4A3E133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69.62 a</w:t>
            </w:r>
          </w:p>
        </w:tc>
        <w:tc>
          <w:tcPr>
            <w:tcW w:w="1660" w:type="dxa"/>
            <w:tcBorders>
              <w:top w:val="nil"/>
              <w:left w:val="nil"/>
              <w:bottom w:val="single" w:sz="4" w:space="0" w:color="auto"/>
              <w:right w:val="single" w:sz="4" w:space="0" w:color="auto"/>
            </w:tcBorders>
            <w:shd w:val="clear" w:color="auto" w:fill="auto"/>
            <w:noWrap/>
            <w:vAlign w:val="center"/>
            <w:hideMark/>
          </w:tcPr>
          <w:p w14:paraId="4A74B69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852.76 b</w:t>
            </w:r>
          </w:p>
        </w:tc>
        <w:tc>
          <w:tcPr>
            <w:tcW w:w="1200" w:type="dxa"/>
            <w:tcBorders>
              <w:top w:val="nil"/>
              <w:left w:val="nil"/>
              <w:bottom w:val="single" w:sz="4" w:space="0" w:color="auto"/>
              <w:right w:val="single" w:sz="4" w:space="0" w:color="auto"/>
            </w:tcBorders>
            <w:shd w:val="clear" w:color="auto" w:fill="auto"/>
            <w:noWrap/>
            <w:vAlign w:val="center"/>
            <w:hideMark/>
          </w:tcPr>
          <w:p w14:paraId="7A8EB2B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4.2 a</w:t>
            </w:r>
          </w:p>
        </w:tc>
      </w:tr>
      <w:tr w:rsidR="008564E2" w:rsidRPr="00B80ADB" w14:paraId="199FF3E8"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D7C73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CRS1</w:t>
            </w:r>
          </w:p>
        </w:tc>
        <w:tc>
          <w:tcPr>
            <w:tcW w:w="1483" w:type="dxa"/>
            <w:tcBorders>
              <w:top w:val="nil"/>
              <w:left w:val="nil"/>
              <w:bottom w:val="single" w:sz="4" w:space="0" w:color="auto"/>
              <w:right w:val="single" w:sz="4" w:space="0" w:color="auto"/>
            </w:tcBorders>
            <w:shd w:val="clear" w:color="auto" w:fill="auto"/>
            <w:noWrap/>
            <w:vAlign w:val="center"/>
            <w:hideMark/>
          </w:tcPr>
          <w:p w14:paraId="0B03420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145.8 d</w:t>
            </w:r>
          </w:p>
        </w:tc>
        <w:tc>
          <w:tcPr>
            <w:tcW w:w="1359" w:type="dxa"/>
            <w:tcBorders>
              <w:top w:val="nil"/>
              <w:left w:val="nil"/>
              <w:bottom w:val="single" w:sz="4" w:space="0" w:color="auto"/>
              <w:right w:val="single" w:sz="4" w:space="0" w:color="auto"/>
            </w:tcBorders>
            <w:shd w:val="clear" w:color="auto" w:fill="auto"/>
            <w:noWrap/>
            <w:vAlign w:val="center"/>
            <w:hideMark/>
          </w:tcPr>
          <w:p w14:paraId="170902B4"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4.75 </w:t>
            </w:r>
            <w:proofErr w:type="spellStart"/>
            <w:r w:rsidRPr="00B80ADB">
              <w:rPr>
                <w:rFonts w:ascii="Times New Roman" w:eastAsia="Times New Roman" w:hAnsi="Times New Roman" w:cs="Times New Roman"/>
                <w:color w:val="000000"/>
                <w:lang w:eastAsia="en-IN"/>
              </w:rPr>
              <w:t>bc</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4FB9660B"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71.25 a</w:t>
            </w:r>
          </w:p>
        </w:tc>
        <w:tc>
          <w:tcPr>
            <w:tcW w:w="1172" w:type="dxa"/>
            <w:tcBorders>
              <w:top w:val="nil"/>
              <w:left w:val="nil"/>
              <w:bottom w:val="single" w:sz="4" w:space="0" w:color="auto"/>
              <w:right w:val="single" w:sz="4" w:space="0" w:color="auto"/>
            </w:tcBorders>
            <w:shd w:val="clear" w:color="auto" w:fill="auto"/>
            <w:noWrap/>
            <w:vAlign w:val="center"/>
            <w:hideMark/>
          </w:tcPr>
          <w:p w14:paraId="168C85BF"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80.25 ab</w:t>
            </w:r>
          </w:p>
        </w:tc>
        <w:tc>
          <w:tcPr>
            <w:tcW w:w="1334" w:type="dxa"/>
            <w:tcBorders>
              <w:top w:val="nil"/>
              <w:left w:val="nil"/>
              <w:bottom w:val="single" w:sz="4" w:space="0" w:color="auto"/>
              <w:right w:val="single" w:sz="4" w:space="0" w:color="auto"/>
            </w:tcBorders>
            <w:shd w:val="clear" w:color="auto" w:fill="auto"/>
            <w:noWrap/>
            <w:vAlign w:val="center"/>
            <w:hideMark/>
          </w:tcPr>
          <w:p w14:paraId="27F3AA6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119.87 ab</w:t>
            </w:r>
          </w:p>
        </w:tc>
        <w:tc>
          <w:tcPr>
            <w:tcW w:w="1172" w:type="dxa"/>
            <w:tcBorders>
              <w:top w:val="nil"/>
              <w:left w:val="nil"/>
              <w:bottom w:val="single" w:sz="4" w:space="0" w:color="auto"/>
              <w:right w:val="single" w:sz="4" w:space="0" w:color="auto"/>
            </w:tcBorders>
            <w:shd w:val="clear" w:color="auto" w:fill="auto"/>
            <w:noWrap/>
            <w:vAlign w:val="center"/>
            <w:hideMark/>
          </w:tcPr>
          <w:p w14:paraId="49DC3BB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5.25 </w:t>
            </w:r>
            <w:proofErr w:type="spellStart"/>
            <w:r w:rsidRPr="00B80ADB">
              <w:rPr>
                <w:rFonts w:ascii="Times New Roman" w:eastAsia="Times New Roman" w:hAnsi="Times New Roman" w:cs="Times New Roman"/>
                <w:color w:val="000000"/>
                <w:lang w:eastAsia="en-IN"/>
              </w:rPr>
              <w:t>bc</w:t>
            </w:r>
            <w:proofErr w:type="spellEnd"/>
          </w:p>
        </w:tc>
        <w:tc>
          <w:tcPr>
            <w:tcW w:w="1497" w:type="dxa"/>
            <w:tcBorders>
              <w:top w:val="nil"/>
              <w:left w:val="nil"/>
              <w:bottom w:val="single" w:sz="4" w:space="0" w:color="auto"/>
              <w:right w:val="single" w:sz="4" w:space="0" w:color="auto"/>
            </w:tcBorders>
            <w:shd w:val="clear" w:color="auto" w:fill="auto"/>
            <w:noWrap/>
            <w:vAlign w:val="center"/>
            <w:hideMark/>
          </w:tcPr>
          <w:p w14:paraId="20EB5AE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188.5 d</w:t>
            </w:r>
          </w:p>
        </w:tc>
        <w:tc>
          <w:tcPr>
            <w:tcW w:w="1334" w:type="dxa"/>
            <w:tcBorders>
              <w:top w:val="nil"/>
              <w:left w:val="nil"/>
              <w:bottom w:val="single" w:sz="4" w:space="0" w:color="auto"/>
              <w:right w:val="single" w:sz="4" w:space="0" w:color="auto"/>
            </w:tcBorders>
            <w:shd w:val="clear" w:color="auto" w:fill="auto"/>
            <w:noWrap/>
            <w:vAlign w:val="center"/>
            <w:hideMark/>
          </w:tcPr>
          <w:p w14:paraId="000A589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62.83 d</w:t>
            </w:r>
          </w:p>
        </w:tc>
        <w:tc>
          <w:tcPr>
            <w:tcW w:w="1660" w:type="dxa"/>
            <w:tcBorders>
              <w:top w:val="nil"/>
              <w:left w:val="nil"/>
              <w:bottom w:val="single" w:sz="4" w:space="0" w:color="auto"/>
              <w:right w:val="single" w:sz="4" w:space="0" w:color="auto"/>
            </w:tcBorders>
            <w:shd w:val="clear" w:color="auto" w:fill="auto"/>
            <w:noWrap/>
            <w:vAlign w:val="center"/>
            <w:hideMark/>
          </w:tcPr>
          <w:p w14:paraId="27F4323A"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921.47 a</w:t>
            </w:r>
          </w:p>
        </w:tc>
        <w:tc>
          <w:tcPr>
            <w:tcW w:w="1200" w:type="dxa"/>
            <w:tcBorders>
              <w:top w:val="nil"/>
              <w:left w:val="nil"/>
              <w:bottom w:val="single" w:sz="4" w:space="0" w:color="auto"/>
              <w:right w:val="single" w:sz="4" w:space="0" w:color="auto"/>
            </w:tcBorders>
            <w:shd w:val="clear" w:color="auto" w:fill="auto"/>
            <w:noWrap/>
            <w:vAlign w:val="center"/>
            <w:hideMark/>
          </w:tcPr>
          <w:p w14:paraId="5E37B176"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3.57 cd</w:t>
            </w:r>
          </w:p>
        </w:tc>
      </w:tr>
      <w:tr w:rsidR="008564E2" w:rsidRPr="00B80ADB" w14:paraId="1B17AD61"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5CBE4F" w14:textId="3511F6C9"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P</w:t>
            </w:r>
            <w:r w:rsidR="005128F0">
              <w:rPr>
                <w:rFonts w:ascii="Times New Roman" w:eastAsia="Times New Roman" w:hAnsi="Times New Roman" w:cs="Times New Roman"/>
                <w:color w:val="000000"/>
                <w:lang w:eastAsia="en-IN"/>
              </w:rPr>
              <w:t>hule Vasudha</w:t>
            </w:r>
          </w:p>
        </w:tc>
        <w:tc>
          <w:tcPr>
            <w:tcW w:w="1483" w:type="dxa"/>
            <w:tcBorders>
              <w:top w:val="nil"/>
              <w:left w:val="nil"/>
              <w:bottom w:val="single" w:sz="4" w:space="0" w:color="auto"/>
              <w:right w:val="single" w:sz="4" w:space="0" w:color="auto"/>
            </w:tcBorders>
            <w:shd w:val="clear" w:color="auto" w:fill="auto"/>
            <w:noWrap/>
            <w:vAlign w:val="center"/>
            <w:hideMark/>
          </w:tcPr>
          <w:p w14:paraId="08FDAAE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194.6 a</w:t>
            </w:r>
          </w:p>
        </w:tc>
        <w:tc>
          <w:tcPr>
            <w:tcW w:w="1359" w:type="dxa"/>
            <w:tcBorders>
              <w:top w:val="nil"/>
              <w:left w:val="nil"/>
              <w:bottom w:val="single" w:sz="4" w:space="0" w:color="auto"/>
              <w:right w:val="single" w:sz="4" w:space="0" w:color="auto"/>
            </w:tcBorders>
            <w:shd w:val="clear" w:color="auto" w:fill="auto"/>
            <w:noWrap/>
            <w:vAlign w:val="center"/>
            <w:hideMark/>
          </w:tcPr>
          <w:p w14:paraId="069311DB"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5.75 ab</w:t>
            </w:r>
          </w:p>
        </w:tc>
        <w:tc>
          <w:tcPr>
            <w:tcW w:w="1172" w:type="dxa"/>
            <w:tcBorders>
              <w:top w:val="nil"/>
              <w:left w:val="nil"/>
              <w:bottom w:val="single" w:sz="4" w:space="0" w:color="auto"/>
              <w:right w:val="single" w:sz="4" w:space="0" w:color="auto"/>
            </w:tcBorders>
            <w:shd w:val="clear" w:color="auto" w:fill="auto"/>
            <w:noWrap/>
            <w:vAlign w:val="center"/>
            <w:hideMark/>
          </w:tcPr>
          <w:p w14:paraId="5320A42C"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71.5 a</w:t>
            </w:r>
          </w:p>
        </w:tc>
        <w:tc>
          <w:tcPr>
            <w:tcW w:w="1172" w:type="dxa"/>
            <w:tcBorders>
              <w:top w:val="nil"/>
              <w:left w:val="nil"/>
              <w:bottom w:val="single" w:sz="4" w:space="0" w:color="auto"/>
              <w:right w:val="single" w:sz="4" w:space="0" w:color="auto"/>
            </w:tcBorders>
            <w:shd w:val="clear" w:color="auto" w:fill="auto"/>
            <w:noWrap/>
            <w:vAlign w:val="center"/>
            <w:hideMark/>
          </w:tcPr>
          <w:p w14:paraId="26470CDE"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81 a</w:t>
            </w:r>
          </w:p>
        </w:tc>
        <w:tc>
          <w:tcPr>
            <w:tcW w:w="1334" w:type="dxa"/>
            <w:tcBorders>
              <w:top w:val="nil"/>
              <w:left w:val="nil"/>
              <w:bottom w:val="single" w:sz="4" w:space="0" w:color="auto"/>
              <w:right w:val="single" w:sz="4" w:space="0" w:color="auto"/>
            </w:tcBorders>
            <w:shd w:val="clear" w:color="auto" w:fill="auto"/>
            <w:noWrap/>
            <w:vAlign w:val="center"/>
            <w:hideMark/>
          </w:tcPr>
          <w:p w14:paraId="0EC5752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122.3 a</w:t>
            </w:r>
          </w:p>
        </w:tc>
        <w:tc>
          <w:tcPr>
            <w:tcW w:w="1172" w:type="dxa"/>
            <w:tcBorders>
              <w:top w:val="nil"/>
              <w:left w:val="nil"/>
              <w:bottom w:val="single" w:sz="4" w:space="0" w:color="auto"/>
              <w:right w:val="single" w:sz="4" w:space="0" w:color="auto"/>
            </w:tcBorders>
            <w:shd w:val="clear" w:color="auto" w:fill="auto"/>
            <w:noWrap/>
            <w:vAlign w:val="center"/>
            <w:hideMark/>
          </w:tcPr>
          <w:p w14:paraId="482CC844"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6.5 ab</w:t>
            </w:r>
          </w:p>
        </w:tc>
        <w:tc>
          <w:tcPr>
            <w:tcW w:w="1497" w:type="dxa"/>
            <w:tcBorders>
              <w:top w:val="nil"/>
              <w:left w:val="nil"/>
              <w:bottom w:val="single" w:sz="4" w:space="0" w:color="auto"/>
              <w:right w:val="single" w:sz="4" w:space="0" w:color="auto"/>
            </w:tcBorders>
            <w:shd w:val="clear" w:color="auto" w:fill="auto"/>
            <w:noWrap/>
            <w:vAlign w:val="center"/>
            <w:hideMark/>
          </w:tcPr>
          <w:p w14:paraId="790BA3C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206.75 </w:t>
            </w:r>
            <w:proofErr w:type="spellStart"/>
            <w:r w:rsidRPr="00B80ADB">
              <w:rPr>
                <w:rFonts w:ascii="Times New Roman" w:eastAsia="Times New Roman" w:hAnsi="Times New Roman" w:cs="Times New Roman"/>
                <w:color w:val="000000"/>
                <w:lang w:eastAsia="en-IN"/>
              </w:rPr>
              <w:t>bc</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14:paraId="4E9709A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68.91 </w:t>
            </w:r>
            <w:proofErr w:type="spellStart"/>
            <w:r w:rsidRPr="00B80ADB">
              <w:rPr>
                <w:rFonts w:ascii="Times New Roman" w:eastAsia="Times New Roman" w:hAnsi="Times New Roman" w:cs="Times New Roman"/>
                <w:color w:val="000000"/>
                <w:lang w:eastAsia="en-IN"/>
              </w:rPr>
              <w:t>bc</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14:paraId="1359DEA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925.85 a</w:t>
            </w:r>
          </w:p>
        </w:tc>
        <w:tc>
          <w:tcPr>
            <w:tcW w:w="1200" w:type="dxa"/>
            <w:tcBorders>
              <w:top w:val="nil"/>
              <w:left w:val="nil"/>
              <w:bottom w:val="single" w:sz="4" w:space="0" w:color="auto"/>
              <w:right w:val="single" w:sz="4" w:space="0" w:color="auto"/>
            </w:tcBorders>
            <w:shd w:val="clear" w:color="auto" w:fill="auto"/>
            <w:noWrap/>
            <w:vAlign w:val="center"/>
            <w:hideMark/>
          </w:tcPr>
          <w:p w14:paraId="79BE783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3.27 de</w:t>
            </w:r>
          </w:p>
        </w:tc>
      </w:tr>
      <w:tr w:rsidR="008564E2" w:rsidRPr="00B80ADB" w14:paraId="2C45ABB4"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632765" w14:textId="77777777" w:rsidR="008564E2" w:rsidRPr="005128F0" w:rsidRDefault="008564E2" w:rsidP="00C2037F">
            <w:pPr>
              <w:ind w:right="-144"/>
              <w:jc w:val="center"/>
              <w:rPr>
                <w:rFonts w:ascii="Times New Roman" w:eastAsia="Times New Roman" w:hAnsi="Times New Roman" w:cs="Times New Roman"/>
                <w:b/>
                <w:bCs/>
                <w:color w:val="000000"/>
                <w:lang w:eastAsia="en-IN"/>
              </w:rPr>
            </w:pPr>
            <w:r w:rsidRPr="005128F0">
              <w:rPr>
                <w:rFonts w:ascii="Times New Roman" w:eastAsia="Times New Roman" w:hAnsi="Times New Roman" w:cs="Times New Roman"/>
                <w:b/>
                <w:bCs/>
                <w:color w:val="000000"/>
                <w:lang w:eastAsia="en-IN"/>
              </w:rPr>
              <w:t>GMS</w:t>
            </w:r>
          </w:p>
        </w:tc>
        <w:tc>
          <w:tcPr>
            <w:tcW w:w="1483" w:type="dxa"/>
            <w:tcBorders>
              <w:top w:val="nil"/>
              <w:left w:val="nil"/>
              <w:bottom w:val="single" w:sz="4" w:space="0" w:color="auto"/>
              <w:right w:val="single" w:sz="4" w:space="0" w:color="auto"/>
            </w:tcBorders>
            <w:shd w:val="clear" w:color="auto" w:fill="auto"/>
            <w:noWrap/>
            <w:vAlign w:val="center"/>
            <w:hideMark/>
          </w:tcPr>
          <w:p w14:paraId="54EB40A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5023.4</w:t>
            </w:r>
          </w:p>
        </w:tc>
        <w:tc>
          <w:tcPr>
            <w:tcW w:w="1359" w:type="dxa"/>
            <w:tcBorders>
              <w:top w:val="nil"/>
              <w:left w:val="nil"/>
              <w:bottom w:val="single" w:sz="4" w:space="0" w:color="auto"/>
              <w:right w:val="single" w:sz="4" w:space="0" w:color="auto"/>
            </w:tcBorders>
            <w:shd w:val="clear" w:color="auto" w:fill="auto"/>
            <w:noWrap/>
            <w:vAlign w:val="center"/>
            <w:hideMark/>
          </w:tcPr>
          <w:p w14:paraId="601B52E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3.84</w:t>
            </w:r>
          </w:p>
        </w:tc>
        <w:tc>
          <w:tcPr>
            <w:tcW w:w="1172" w:type="dxa"/>
            <w:tcBorders>
              <w:top w:val="nil"/>
              <w:left w:val="nil"/>
              <w:bottom w:val="single" w:sz="4" w:space="0" w:color="auto"/>
              <w:right w:val="single" w:sz="4" w:space="0" w:color="auto"/>
            </w:tcBorders>
            <w:shd w:val="clear" w:color="auto" w:fill="auto"/>
            <w:noWrap/>
            <w:vAlign w:val="center"/>
            <w:hideMark/>
          </w:tcPr>
          <w:p w14:paraId="13484FC6"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47.69</w:t>
            </w:r>
          </w:p>
        </w:tc>
        <w:tc>
          <w:tcPr>
            <w:tcW w:w="1172" w:type="dxa"/>
            <w:tcBorders>
              <w:top w:val="nil"/>
              <w:left w:val="nil"/>
              <w:bottom w:val="single" w:sz="4" w:space="0" w:color="auto"/>
              <w:right w:val="single" w:sz="4" w:space="0" w:color="auto"/>
            </w:tcBorders>
            <w:shd w:val="clear" w:color="auto" w:fill="auto"/>
            <w:noWrap/>
            <w:vAlign w:val="center"/>
            <w:hideMark/>
          </w:tcPr>
          <w:p w14:paraId="582908F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71.54</w:t>
            </w:r>
          </w:p>
        </w:tc>
        <w:tc>
          <w:tcPr>
            <w:tcW w:w="1334" w:type="dxa"/>
            <w:tcBorders>
              <w:top w:val="nil"/>
              <w:left w:val="nil"/>
              <w:bottom w:val="single" w:sz="4" w:space="0" w:color="auto"/>
              <w:right w:val="single" w:sz="4" w:space="0" w:color="auto"/>
            </w:tcBorders>
            <w:shd w:val="clear" w:color="auto" w:fill="auto"/>
            <w:noWrap/>
            <w:vAlign w:val="center"/>
            <w:hideMark/>
          </w:tcPr>
          <w:p w14:paraId="3949C1C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52.79</w:t>
            </w:r>
          </w:p>
        </w:tc>
        <w:tc>
          <w:tcPr>
            <w:tcW w:w="1172" w:type="dxa"/>
            <w:tcBorders>
              <w:top w:val="nil"/>
              <w:left w:val="nil"/>
              <w:bottom w:val="single" w:sz="4" w:space="0" w:color="auto"/>
              <w:right w:val="single" w:sz="4" w:space="0" w:color="auto"/>
            </w:tcBorders>
            <w:shd w:val="clear" w:color="auto" w:fill="auto"/>
            <w:noWrap/>
            <w:vAlign w:val="center"/>
            <w:hideMark/>
          </w:tcPr>
          <w:p w14:paraId="5D9AAA4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6.011</w:t>
            </w:r>
          </w:p>
        </w:tc>
        <w:tc>
          <w:tcPr>
            <w:tcW w:w="1497" w:type="dxa"/>
            <w:tcBorders>
              <w:top w:val="nil"/>
              <w:left w:val="nil"/>
              <w:bottom w:val="single" w:sz="4" w:space="0" w:color="auto"/>
              <w:right w:val="single" w:sz="4" w:space="0" w:color="auto"/>
            </w:tcBorders>
            <w:shd w:val="clear" w:color="auto" w:fill="auto"/>
            <w:noWrap/>
            <w:vAlign w:val="center"/>
            <w:hideMark/>
          </w:tcPr>
          <w:p w14:paraId="11845E16"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2271.36</w:t>
            </w:r>
          </w:p>
        </w:tc>
        <w:tc>
          <w:tcPr>
            <w:tcW w:w="1334" w:type="dxa"/>
            <w:tcBorders>
              <w:top w:val="nil"/>
              <w:left w:val="nil"/>
              <w:bottom w:val="single" w:sz="4" w:space="0" w:color="auto"/>
              <w:right w:val="single" w:sz="4" w:space="0" w:color="auto"/>
            </w:tcBorders>
            <w:shd w:val="clear" w:color="auto" w:fill="auto"/>
            <w:noWrap/>
            <w:vAlign w:val="center"/>
            <w:hideMark/>
          </w:tcPr>
          <w:p w14:paraId="1E1A2D1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832.83</w:t>
            </w:r>
          </w:p>
        </w:tc>
        <w:tc>
          <w:tcPr>
            <w:tcW w:w="1660" w:type="dxa"/>
            <w:tcBorders>
              <w:top w:val="nil"/>
              <w:left w:val="nil"/>
              <w:bottom w:val="single" w:sz="4" w:space="0" w:color="auto"/>
              <w:right w:val="single" w:sz="4" w:space="0" w:color="auto"/>
            </w:tcBorders>
            <w:shd w:val="clear" w:color="auto" w:fill="auto"/>
            <w:noWrap/>
            <w:vAlign w:val="center"/>
            <w:hideMark/>
          </w:tcPr>
          <w:p w14:paraId="6D41711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112971.5</w:t>
            </w:r>
          </w:p>
        </w:tc>
        <w:tc>
          <w:tcPr>
            <w:tcW w:w="1200" w:type="dxa"/>
            <w:tcBorders>
              <w:top w:val="nil"/>
              <w:left w:val="nil"/>
              <w:bottom w:val="single" w:sz="4" w:space="0" w:color="auto"/>
              <w:right w:val="single" w:sz="4" w:space="0" w:color="auto"/>
            </w:tcBorders>
            <w:shd w:val="clear" w:color="auto" w:fill="auto"/>
            <w:noWrap/>
            <w:vAlign w:val="center"/>
            <w:hideMark/>
          </w:tcPr>
          <w:p w14:paraId="029BC0F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0.84</w:t>
            </w:r>
          </w:p>
        </w:tc>
      </w:tr>
      <w:tr w:rsidR="008564E2" w:rsidRPr="00B80ADB" w14:paraId="46D182D4"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D8DD2E" w14:textId="77777777" w:rsidR="008564E2" w:rsidRPr="005128F0" w:rsidRDefault="008564E2" w:rsidP="00C2037F">
            <w:pPr>
              <w:ind w:right="-144"/>
              <w:jc w:val="center"/>
              <w:rPr>
                <w:rFonts w:ascii="Times New Roman" w:eastAsia="Times New Roman" w:hAnsi="Times New Roman" w:cs="Times New Roman"/>
                <w:b/>
                <w:bCs/>
                <w:color w:val="000000"/>
                <w:lang w:eastAsia="en-IN"/>
              </w:rPr>
            </w:pPr>
            <w:r w:rsidRPr="005128F0">
              <w:rPr>
                <w:rFonts w:ascii="Times New Roman" w:eastAsia="Times New Roman" w:hAnsi="Times New Roman" w:cs="Times New Roman"/>
                <w:b/>
                <w:bCs/>
                <w:color w:val="000000"/>
                <w:lang w:eastAsia="en-IN"/>
              </w:rPr>
              <w:t>EMS</w:t>
            </w:r>
          </w:p>
        </w:tc>
        <w:tc>
          <w:tcPr>
            <w:tcW w:w="1483" w:type="dxa"/>
            <w:tcBorders>
              <w:top w:val="nil"/>
              <w:left w:val="nil"/>
              <w:bottom w:val="single" w:sz="4" w:space="0" w:color="auto"/>
              <w:right w:val="single" w:sz="4" w:space="0" w:color="auto"/>
            </w:tcBorders>
            <w:shd w:val="clear" w:color="auto" w:fill="auto"/>
            <w:noWrap/>
            <w:vAlign w:val="center"/>
            <w:hideMark/>
          </w:tcPr>
          <w:p w14:paraId="25A9EE7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1.56</w:t>
            </w:r>
          </w:p>
        </w:tc>
        <w:tc>
          <w:tcPr>
            <w:tcW w:w="1359" w:type="dxa"/>
            <w:tcBorders>
              <w:top w:val="nil"/>
              <w:left w:val="nil"/>
              <w:bottom w:val="single" w:sz="4" w:space="0" w:color="auto"/>
              <w:right w:val="single" w:sz="4" w:space="0" w:color="auto"/>
            </w:tcBorders>
            <w:shd w:val="clear" w:color="auto" w:fill="auto"/>
            <w:noWrap/>
            <w:vAlign w:val="center"/>
            <w:hideMark/>
          </w:tcPr>
          <w:p w14:paraId="032D893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0.332</w:t>
            </w:r>
          </w:p>
        </w:tc>
        <w:tc>
          <w:tcPr>
            <w:tcW w:w="1172" w:type="dxa"/>
            <w:tcBorders>
              <w:top w:val="nil"/>
              <w:left w:val="nil"/>
              <w:bottom w:val="single" w:sz="4" w:space="0" w:color="auto"/>
              <w:right w:val="single" w:sz="4" w:space="0" w:color="auto"/>
            </w:tcBorders>
            <w:shd w:val="clear" w:color="auto" w:fill="auto"/>
            <w:noWrap/>
            <w:vAlign w:val="center"/>
            <w:hideMark/>
          </w:tcPr>
          <w:p w14:paraId="04F60236"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1.01</w:t>
            </w:r>
          </w:p>
        </w:tc>
        <w:tc>
          <w:tcPr>
            <w:tcW w:w="1172" w:type="dxa"/>
            <w:tcBorders>
              <w:top w:val="nil"/>
              <w:left w:val="nil"/>
              <w:bottom w:val="single" w:sz="4" w:space="0" w:color="auto"/>
              <w:right w:val="single" w:sz="4" w:space="0" w:color="auto"/>
            </w:tcBorders>
            <w:shd w:val="clear" w:color="auto" w:fill="auto"/>
            <w:noWrap/>
            <w:vAlign w:val="center"/>
            <w:hideMark/>
          </w:tcPr>
          <w:p w14:paraId="6CBF956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1.91</w:t>
            </w:r>
          </w:p>
        </w:tc>
        <w:tc>
          <w:tcPr>
            <w:tcW w:w="1334" w:type="dxa"/>
            <w:tcBorders>
              <w:top w:val="nil"/>
              <w:left w:val="nil"/>
              <w:bottom w:val="single" w:sz="4" w:space="0" w:color="auto"/>
              <w:right w:val="single" w:sz="4" w:space="0" w:color="auto"/>
            </w:tcBorders>
            <w:shd w:val="clear" w:color="auto" w:fill="auto"/>
            <w:noWrap/>
            <w:vAlign w:val="center"/>
            <w:hideMark/>
          </w:tcPr>
          <w:p w14:paraId="0CD4763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1.33</w:t>
            </w:r>
          </w:p>
        </w:tc>
        <w:tc>
          <w:tcPr>
            <w:tcW w:w="1172" w:type="dxa"/>
            <w:tcBorders>
              <w:top w:val="nil"/>
              <w:left w:val="nil"/>
              <w:bottom w:val="single" w:sz="4" w:space="0" w:color="auto"/>
              <w:right w:val="single" w:sz="4" w:space="0" w:color="auto"/>
            </w:tcBorders>
            <w:shd w:val="clear" w:color="auto" w:fill="auto"/>
            <w:noWrap/>
            <w:vAlign w:val="center"/>
            <w:hideMark/>
          </w:tcPr>
          <w:p w14:paraId="4DC70D3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0.312</w:t>
            </w:r>
          </w:p>
        </w:tc>
        <w:tc>
          <w:tcPr>
            <w:tcW w:w="1497" w:type="dxa"/>
            <w:tcBorders>
              <w:top w:val="nil"/>
              <w:left w:val="nil"/>
              <w:bottom w:val="single" w:sz="4" w:space="0" w:color="auto"/>
              <w:right w:val="single" w:sz="4" w:space="0" w:color="auto"/>
            </w:tcBorders>
            <w:shd w:val="clear" w:color="auto" w:fill="auto"/>
            <w:noWrap/>
            <w:vAlign w:val="center"/>
            <w:hideMark/>
          </w:tcPr>
          <w:p w14:paraId="6853DC6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8.19</w:t>
            </w:r>
          </w:p>
        </w:tc>
        <w:tc>
          <w:tcPr>
            <w:tcW w:w="1334" w:type="dxa"/>
            <w:tcBorders>
              <w:top w:val="nil"/>
              <w:left w:val="nil"/>
              <w:bottom w:val="single" w:sz="4" w:space="0" w:color="auto"/>
              <w:right w:val="single" w:sz="4" w:space="0" w:color="auto"/>
            </w:tcBorders>
            <w:shd w:val="clear" w:color="auto" w:fill="auto"/>
            <w:noWrap/>
            <w:vAlign w:val="center"/>
            <w:hideMark/>
          </w:tcPr>
          <w:p w14:paraId="743AAC2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0.852</w:t>
            </w:r>
          </w:p>
        </w:tc>
        <w:tc>
          <w:tcPr>
            <w:tcW w:w="1660" w:type="dxa"/>
            <w:tcBorders>
              <w:top w:val="nil"/>
              <w:left w:val="nil"/>
              <w:bottom w:val="single" w:sz="4" w:space="0" w:color="auto"/>
              <w:right w:val="single" w:sz="4" w:space="0" w:color="auto"/>
            </w:tcBorders>
            <w:shd w:val="clear" w:color="auto" w:fill="auto"/>
            <w:noWrap/>
            <w:vAlign w:val="center"/>
            <w:hideMark/>
          </w:tcPr>
          <w:p w14:paraId="09EAA35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14.63</w:t>
            </w:r>
          </w:p>
        </w:tc>
        <w:tc>
          <w:tcPr>
            <w:tcW w:w="1200" w:type="dxa"/>
            <w:tcBorders>
              <w:top w:val="nil"/>
              <w:left w:val="nil"/>
              <w:bottom w:val="single" w:sz="4" w:space="0" w:color="auto"/>
              <w:right w:val="single" w:sz="4" w:space="0" w:color="auto"/>
            </w:tcBorders>
            <w:shd w:val="clear" w:color="auto" w:fill="auto"/>
            <w:noWrap/>
            <w:vAlign w:val="center"/>
            <w:hideMark/>
          </w:tcPr>
          <w:p w14:paraId="098823C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0.02</w:t>
            </w:r>
          </w:p>
        </w:tc>
      </w:tr>
      <w:tr w:rsidR="008564E2" w:rsidRPr="00B80ADB" w14:paraId="522D0658"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94CA51" w14:textId="77777777" w:rsidR="008564E2" w:rsidRPr="005128F0" w:rsidRDefault="008564E2" w:rsidP="00C2037F">
            <w:pPr>
              <w:ind w:right="-144"/>
              <w:jc w:val="center"/>
              <w:rPr>
                <w:rFonts w:ascii="Times New Roman" w:eastAsia="Times New Roman" w:hAnsi="Times New Roman" w:cs="Times New Roman"/>
                <w:b/>
                <w:bCs/>
                <w:color w:val="000000"/>
                <w:lang w:eastAsia="en-IN"/>
              </w:rPr>
            </w:pPr>
            <w:r w:rsidRPr="005128F0">
              <w:rPr>
                <w:rFonts w:ascii="Times New Roman" w:eastAsia="Times New Roman" w:hAnsi="Times New Roman" w:cs="Times New Roman"/>
                <w:b/>
                <w:bCs/>
                <w:color w:val="000000"/>
                <w:lang w:eastAsia="en-IN"/>
              </w:rPr>
              <w:t>P value</w:t>
            </w:r>
          </w:p>
        </w:tc>
        <w:tc>
          <w:tcPr>
            <w:tcW w:w="1483" w:type="dxa"/>
            <w:tcBorders>
              <w:top w:val="nil"/>
              <w:left w:val="nil"/>
              <w:bottom w:val="single" w:sz="4" w:space="0" w:color="auto"/>
              <w:right w:val="single" w:sz="4" w:space="0" w:color="auto"/>
            </w:tcBorders>
            <w:shd w:val="clear" w:color="auto" w:fill="auto"/>
            <w:noWrap/>
            <w:vAlign w:val="center"/>
            <w:hideMark/>
          </w:tcPr>
          <w:p w14:paraId="5D22745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359" w:type="dxa"/>
            <w:tcBorders>
              <w:top w:val="nil"/>
              <w:left w:val="nil"/>
              <w:bottom w:val="single" w:sz="4" w:space="0" w:color="auto"/>
              <w:right w:val="single" w:sz="4" w:space="0" w:color="auto"/>
            </w:tcBorders>
            <w:shd w:val="clear" w:color="auto" w:fill="auto"/>
            <w:noWrap/>
            <w:vAlign w:val="center"/>
            <w:hideMark/>
          </w:tcPr>
          <w:p w14:paraId="0DD5410A"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172" w:type="dxa"/>
            <w:tcBorders>
              <w:top w:val="nil"/>
              <w:left w:val="nil"/>
              <w:bottom w:val="single" w:sz="4" w:space="0" w:color="auto"/>
              <w:right w:val="single" w:sz="4" w:space="0" w:color="auto"/>
            </w:tcBorders>
            <w:shd w:val="clear" w:color="auto" w:fill="auto"/>
            <w:noWrap/>
            <w:vAlign w:val="center"/>
            <w:hideMark/>
          </w:tcPr>
          <w:p w14:paraId="492CC88A"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172" w:type="dxa"/>
            <w:tcBorders>
              <w:top w:val="nil"/>
              <w:left w:val="nil"/>
              <w:bottom w:val="single" w:sz="4" w:space="0" w:color="auto"/>
              <w:right w:val="single" w:sz="4" w:space="0" w:color="auto"/>
            </w:tcBorders>
            <w:shd w:val="clear" w:color="auto" w:fill="auto"/>
            <w:noWrap/>
            <w:vAlign w:val="center"/>
            <w:hideMark/>
          </w:tcPr>
          <w:p w14:paraId="561640E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334" w:type="dxa"/>
            <w:tcBorders>
              <w:top w:val="nil"/>
              <w:left w:val="nil"/>
              <w:bottom w:val="single" w:sz="4" w:space="0" w:color="auto"/>
              <w:right w:val="single" w:sz="4" w:space="0" w:color="auto"/>
            </w:tcBorders>
            <w:shd w:val="clear" w:color="auto" w:fill="auto"/>
            <w:noWrap/>
            <w:vAlign w:val="center"/>
            <w:hideMark/>
          </w:tcPr>
          <w:p w14:paraId="2EC4D7E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172" w:type="dxa"/>
            <w:tcBorders>
              <w:top w:val="nil"/>
              <w:left w:val="nil"/>
              <w:bottom w:val="single" w:sz="4" w:space="0" w:color="auto"/>
              <w:right w:val="single" w:sz="4" w:space="0" w:color="auto"/>
            </w:tcBorders>
            <w:shd w:val="clear" w:color="auto" w:fill="auto"/>
            <w:noWrap/>
            <w:vAlign w:val="center"/>
            <w:hideMark/>
          </w:tcPr>
          <w:p w14:paraId="509B87AB"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497" w:type="dxa"/>
            <w:tcBorders>
              <w:top w:val="nil"/>
              <w:left w:val="nil"/>
              <w:bottom w:val="single" w:sz="4" w:space="0" w:color="auto"/>
              <w:right w:val="single" w:sz="4" w:space="0" w:color="auto"/>
            </w:tcBorders>
            <w:shd w:val="clear" w:color="auto" w:fill="auto"/>
            <w:noWrap/>
            <w:vAlign w:val="center"/>
            <w:hideMark/>
          </w:tcPr>
          <w:p w14:paraId="79B0814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334" w:type="dxa"/>
            <w:tcBorders>
              <w:top w:val="nil"/>
              <w:left w:val="nil"/>
              <w:bottom w:val="single" w:sz="4" w:space="0" w:color="auto"/>
              <w:right w:val="single" w:sz="4" w:space="0" w:color="auto"/>
            </w:tcBorders>
            <w:shd w:val="clear" w:color="auto" w:fill="auto"/>
            <w:noWrap/>
            <w:vAlign w:val="center"/>
            <w:hideMark/>
          </w:tcPr>
          <w:p w14:paraId="035CC96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660" w:type="dxa"/>
            <w:tcBorders>
              <w:top w:val="nil"/>
              <w:left w:val="nil"/>
              <w:bottom w:val="single" w:sz="4" w:space="0" w:color="auto"/>
              <w:right w:val="single" w:sz="4" w:space="0" w:color="auto"/>
            </w:tcBorders>
            <w:shd w:val="clear" w:color="auto" w:fill="auto"/>
            <w:noWrap/>
            <w:vAlign w:val="center"/>
            <w:hideMark/>
          </w:tcPr>
          <w:p w14:paraId="19A64B7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200" w:type="dxa"/>
            <w:tcBorders>
              <w:top w:val="nil"/>
              <w:left w:val="nil"/>
              <w:bottom w:val="single" w:sz="4" w:space="0" w:color="auto"/>
              <w:right w:val="single" w:sz="4" w:space="0" w:color="auto"/>
            </w:tcBorders>
            <w:shd w:val="clear" w:color="auto" w:fill="auto"/>
            <w:noWrap/>
            <w:vAlign w:val="center"/>
            <w:hideMark/>
          </w:tcPr>
          <w:p w14:paraId="1BA98A5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r>
      <w:tr w:rsidR="008564E2" w:rsidRPr="00B80ADB" w14:paraId="5AD444D6"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593689" w14:textId="77777777" w:rsidR="008564E2" w:rsidRPr="005128F0" w:rsidRDefault="008564E2" w:rsidP="00C2037F">
            <w:pPr>
              <w:ind w:right="-144"/>
              <w:jc w:val="center"/>
              <w:rPr>
                <w:rFonts w:ascii="Times New Roman" w:eastAsia="Times New Roman" w:hAnsi="Times New Roman" w:cs="Times New Roman"/>
                <w:b/>
                <w:bCs/>
                <w:color w:val="000000"/>
                <w:lang w:eastAsia="en-IN"/>
              </w:rPr>
            </w:pPr>
            <w:r w:rsidRPr="005128F0">
              <w:rPr>
                <w:rFonts w:ascii="Times New Roman" w:eastAsia="Times New Roman" w:hAnsi="Times New Roman" w:cs="Times New Roman"/>
                <w:b/>
                <w:bCs/>
                <w:color w:val="000000"/>
                <w:lang w:eastAsia="en-IN"/>
              </w:rPr>
              <w:t>CV</w:t>
            </w:r>
          </w:p>
        </w:tc>
        <w:tc>
          <w:tcPr>
            <w:tcW w:w="1483" w:type="dxa"/>
            <w:tcBorders>
              <w:top w:val="nil"/>
              <w:left w:val="nil"/>
              <w:bottom w:val="single" w:sz="4" w:space="0" w:color="auto"/>
              <w:right w:val="single" w:sz="4" w:space="0" w:color="auto"/>
            </w:tcBorders>
            <w:shd w:val="clear" w:color="auto" w:fill="auto"/>
            <w:noWrap/>
            <w:vAlign w:val="center"/>
            <w:hideMark/>
          </w:tcPr>
          <w:p w14:paraId="0D8DF41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0.98</w:t>
            </w:r>
          </w:p>
        </w:tc>
        <w:tc>
          <w:tcPr>
            <w:tcW w:w="1359" w:type="dxa"/>
            <w:tcBorders>
              <w:top w:val="nil"/>
              <w:left w:val="nil"/>
              <w:bottom w:val="single" w:sz="4" w:space="0" w:color="auto"/>
              <w:right w:val="single" w:sz="4" w:space="0" w:color="auto"/>
            </w:tcBorders>
            <w:shd w:val="clear" w:color="auto" w:fill="auto"/>
            <w:noWrap/>
            <w:vAlign w:val="center"/>
            <w:hideMark/>
          </w:tcPr>
          <w:p w14:paraId="19D9294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11.82</w:t>
            </w:r>
          </w:p>
        </w:tc>
        <w:tc>
          <w:tcPr>
            <w:tcW w:w="1172" w:type="dxa"/>
            <w:tcBorders>
              <w:top w:val="nil"/>
              <w:left w:val="nil"/>
              <w:bottom w:val="single" w:sz="4" w:space="0" w:color="auto"/>
              <w:right w:val="single" w:sz="4" w:space="0" w:color="auto"/>
            </w:tcBorders>
            <w:shd w:val="clear" w:color="auto" w:fill="auto"/>
            <w:noWrap/>
            <w:vAlign w:val="center"/>
            <w:hideMark/>
          </w:tcPr>
          <w:p w14:paraId="3B10B73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1.54</w:t>
            </w:r>
          </w:p>
        </w:tc>
        <w:tc>
          <w:tcPr>
            <w:tcW w:w="1172" w:type="dxa"/>
            <w:tcBorders>
              <w:top w:val="nil"/>
              <w:left w:val="nil"/>
              <w:bottom w:val="single" w:sz="4" w:space="0" w:color="auto"/>
              <w:right w:val="single" w:sz="4" w:space="0" w:color="auto"/>
            </w:tcBorders>
            <w:shd w:val="clear" w:color="auto" w:fill="auto"/>
            <w:noWrap/>
            <w:vAlign w:val="center"/>
            <w:hideMark/>
          </w:tcPr>
          <w:p w14:paraId="0B50DA6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1.87</w:t>
            </w:r>
          </w:p>
        </w:tc>
        <w:tc>
          <w:tcPr>
            <w:tcW w:w="1334" w:type="dxa"/>
            <w:tcBorders>
              <w:top w:val="nil"/>
              <w:left w:val="nil"/>
              <w:bottom w:val="single" w:sz="4" w:space="0" w:color="auto"/>
              <w:right w:val="single" w:sz="4" w:space="0" w:color="auto"/>
            </w:tcBorders>
            <w:shd w:val="clear" w:color="auto" w:fill="auto"/>
            <w:noWrap/>
            <w:vAlign w:val="center"/>
            <w:hideMark/>
          </w:tcPr>
          <w:p w14:paraId="37D8323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0.97</w:t>
            </w:r>
          </w:p>
        </w:tc>
        <w:tc>
          <w:tcPr>
            <w:tcW w:w="1172" w:type="dxa"/>
            <w:tcBorders>
              <w:top w:val="nil"/>
              <w:left w:val="nil"/>
              <w:bottom w:val="single" w:sz="4" w:space="0" w:color="auto"/>
              <w:right w:val="single" w:sz="4" w:space="0" w:color="auto"/>
            </w:tcBorders>
            <w:shd w:val="clear" w:color="auto" w:fill="auto"/>
            <w:noWrap/>
            <w:vAlign w:val="center"/>
            <w:hideMark/>
          </w:tcPr>
          <w:p w14:paraId="7C0BE8D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10.86</w:t>
            </w:r>
          </w:p>
        </w:tc>
        <w:tc>
          <w:tcPr>
            <w:tcW w:w="1497" w:type="dxa"/>
            <w:tcBorders>
              <w:top w:val="nil"/>
              <w:left w:val="nil"/>
              <w:bottom w:val="single" w:sz="4" w:space="0" w:color="auto"/>
              <w:right w:val="single" w:sz="4" w:space="0" w:color="auto"/>
            </w:tcBorders>
            <w:shd w:val="clear" w:color="auto" w:fill="auto"/>
            <w:noWrap/>
            <w:vAlign w:val="center"/>
            <w:hideMark/>
          </w:tcPr>
          <w:p w14:paraId="6FF026B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1.48</w:t>
            </w:r>
          </w:p>
        </w:tc>
        <w:tc>
          <w:tcPr>
            <w:tcW w:w="1334" w:type="dxa"/>
            <w:tcBorders>
              <w:top w:val="nil"/>
              <w:left w:val="nil"/>
              <w:bottom w:val="single" w:sz="4" w:space="0" w:color="auto"/>
              <w:right w:val="single" w:sz="4" w:space="0" w:color="auto"/>
            </w:tcBorders>
            <w:shd w:val="clear" w:color="auto" w:fill="auto"/>
            <w:noWrap/>
            <w:vAlign w:val="center"/>
            <w:hideMark/>
          </w:tcPr>
          <w:p w14:paraId="6B09431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1.54</w:t>
            </w:r>
          </w:p>
        </w:tc>
        <w:tc>
          <w:tcPr>
            <w:tcW w:w="1660" w:type="dxa"/>
            <w:tcBorders>
              <w:top w:val="nil"/>
              <w:left w:val="nil"/>
              <w:bottom w:val="single" w:sz="4" w:space="0" w:color="auto"/>
              <w:right w:val="single" w:sz="4" w:space="0" w:color="auto"/>
            </w:tcBorders>
            <w:shd w:val="clear" w:color="auto" w:fill="auto"/>
            <w:noWrap/>
            <w:vAlign w:val="center"/>
            <w:hideMark/>
          </w:tcPr>
          <w:p w14:paraId="5D60C89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0.5</w:t>
            </w:r>
          </w:p>
        </w:tc>
        <w:tc>
          <w:tcPr>
            <w:tcW w:w="1200" w:type="dxa"/>
            <w:tcBorders>
              <w:top w:val="nil"/>
              <w:left w:val="nil"/>
              <w:bottom w:val="single" w:sz="4" w:space="0" w:color="auto"/>
              <w:right w:val="single" w:sz="4" w:space="0" w:color="auto"/>
            </w:tcBorders>
            <w:shd w:val="clear" w:color="auto" w:fill="auto"/>
            <w:noWrap/>
            <w:vAlign w:val="center"/>
            <w:hideMark/>
          </w:tcPr>
          <w:p w14:paraId="64FD0C7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4.31</w:t>
            </w:r>
          </w:p>
        </w:tc>
      </w:tr>
      <w:tr w:rsidR="008564E2" w:rsidRPr="00B80ADB" w14:paraId="332339B6"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61BF81" w14:textId="77777777" w:rsidR="008564E2" w:rsidRPr="005128F0" w:rsidRDefault="008564E2" w:rsidP="00C2037F">
            <w:pPr>
              <w:ind w:right="-144"/>
              <w:jc w:val="center"/>
              <w:rPr>
                <w:rFonts w:ascii="Times New Roman" w:eastAsia="Times New Roman" w:hAnsi="Times New Roman" w:cs="Times New Roman"/>
                <w:b/>
                <w:bCs/>
                <w:color w:val="000000"/>
                <w:lang w:eastAsia="en-IN"/>
              </w:rPr>
            </w:pPr>
            <w:r w:rsidRPr="005128F0">
              <w:rPr>
                <w:rFonts w:ascii="Times New Roman" w:eastAsia="Times New Roman" w:hAnsi="Times New Roman" w:cs="Times New Roman"/>
                <w:b/>
                <w:bCs/>
                <w:color w:val="000000"/>
                <w:lang w:eastAsia="en-IN"/>
              </w:rPr>
              <w:t>LSD 0.05</w:t>
            </w:r>
          </w:p>
        </w:tc>
        <w:tc>
          <w:tcPr>
            <w:tcW w:w="1483" w:type="dxa"/>
            <w:tcBorders>
              <w:top w:val="nil"/>
              <w:left w:val="nil"/>
              <w:bottom w:val="single" w:sz="4" w:space="0" w:color="auto"/>
              <w:right w:val="single" w:sz="4" w:space="0" w:color="auto"/>
            </w:tcBorders>
            <w:shd w:val="clear" w:color="auto" w:fill="auto"/>
            <w:noWrap/>
            <w:vAlign w:val="center"/>
            <w:hideMark/>
          </w:tcPr>
          <w:p w14:paraId="6CFC71B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1.79</w:t>
            </w:r>
          </w:p>
        </w:tc>
        <w:tc>
          <w:tcPr>
            <w:tcW w:w="1359" w:type="dxa"/>
            <w:tcBorders>
              <w:top w:val="nil"/>
              <w:left w:val="nil"/>
              <w:bottom w:val="single" w:sz="4" w:space="0" w:color="auto"/>
              <w:right w:val="single" w:sz="4" w:space="0" w:color="auto"/>
            </w:tcBorders>
            <w:shd w:val="clear" w:color="auto" w:fill="auto"/>
            <w:noWrap/>
            <w:vAlign w:val="center"/>
            <w:hideMark/>
          </w:tcPr>
          <w:p w14:paraId="2BA30F4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0.82</w:t>
            </w:r>
          </w:p>
        </w:tc>
        <w:tc>
          <w:tcPr>
            <w:tcW w:w="1172" w:type="dxa"/>
            <w:tcBorders>
              <w:top w:val="nil"/>
              <w:left w:val="nil"/>
              <w:bottom w:val="single" w:sz="4" w:space="0" w:color="auto"/>
              <w:right w:val="single" w:sz="4" w:space="0" w:color="auto"/>
            </w:tcBorders>
            <w:shd w:val="clear" w:color="auto" w:fill="auto"/>
            <w:noWrap/>
            <w:vAlign w:val="center"/>
            <w:hideMark/>
          </w:tcPr>
          <w:p w14:paraId="298E37F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1.44</w:t>
            </w:r>
          </w:p>
        </w:tc>
        <w:tc>
          <w:tcPr>
            <w:tcW w:w="1172" w:type="dxa"/>
            <w:tcBorders>
              <w:top w:val="nil"/>
              <w:left w:val="nil"/>
              <w:bottom w:val="single" w:sz="4" w:space="0" w:color="auto"/>
              <w:right w:val="single" w:sz="4" w:space="0" w:color="auto"/>
            </w:tcBorders>
            <w:shd w:val="clear" w:color="auto" w:fill="auto"/>
            <w:noWrap/>
            <w:vAlign w:val="center"/>
            <w:hideMark/>
          </w:tcPr>
          <w:p w14:paraId="5005CD6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1.98</w:t>
            </w:r>
          </w:p>
        </w:tc>
        <w:tc>
          <w:tcPr>
            <w:tcW w:w="1334" w:type="dxa"/>
            <w:tcBorders>
              <w:top w:val="nil"/>
              <w:left w:val="nil"/>
              <w:bottom w:val="single" w:sz="4" w:space="0" w:color="auto"/>
              <w:right w:val="single" w:sz="4" w:space="0" w:color="auto"/>
            </w:tcBorders>
            <w:shd w:val="clear" w:color="auto" w:fill="auto"/>
            <w:noWrap/>
            <w:vAlign w:val="center"/>
            <w:hideMark/>
          </w:tcPr>
          <w:p w14:paraId="09A5DDF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1.65</w:t>
            </w:r>
          </w:p>
        </w:tc>
        <w:tc>
          <w:tcPr>
            <w:tcW w:w="1172" w:type="dxa"/>
            <w:tcBorders>
              <w:top w:val="nil"/>
              <w:left w:val="nil"/>
              <w:bottom w:val="single" w:sz="4" w:space="0" w:color="auto"/>
              <w:right w:val="single" w:sz="4" w:space="0" w:color="auto"/>
            </w:tcBorders>
            <w:shd w:val="clear" w:color="auto" w:fill="auto"/>
            <w:noWrap/>
            <w:vAlign w:val="center"/>
            <w:hideMark/>
          </w:tcPr>
          <w:p w14:paraId="3B41BFC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0.8</w:t>
            </w:r>
          </w:p>
        </w:tc>
        <w:tc>
          <w:tcPr>
            <w:tcW w:w="1497" w:type="dxa"/>
            <w:tcBorders>
              <w:top w:val="nil"/>
              <w:left w:val="nil"/>
              <w:bottom w:val="single" w:sz="4" w:space="0" w:color="auto"/>
              <w:right w:val="single" w:sz="4" w:space="0" w:color="auto"/>
            </w:tcBorders>
            <w:shd w:val="clear" w:color="auto" w:fill="auto"/>
            <w:noWrap/>
            <w:vAlign w:val="center"/>
            <w:hideMark/>
          </w:tcPr>
          <w:p w14:paraId="6467D83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4.09</w:t>
            </w:r>
          </w:p>
        </w:tc>
        <w:tc>
          <w:tcPr>
            <w:tcW w:w="1334" w:type="dxa"/>
            <w:tcBorders>
              <w:top w:val="nil"/>
              <w:left w:val="nil"/>
              <w:bottom w:val="single" w:sz="4" w:space="0" w:color="auto"/>
              <w:right w:val="single" w:sz="4" w:space="0" w:color="auto"/>
            </w:tcBorders>
            <w:shd w:val="clear" w:color="auto" w:fill="auto"/>
            <w:noWrap/>
            <w:vAlign w:val="center"/>
            <w:hideMark/>
          </w:tcPr>
          <w:p w14:paraId="7EDF81E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1.32</w:t>
            </w:r>
          </w:p>
        </w:tc>
        <w:tc>
          <w:tcPr>
            <w:tcW w:w="1660" w:type="dxa"/>
            <w:tcBorders>
              <w:top w:val="nil"/>
              <w:left w:val="nil"/>
              <w:bottom w:val="single" w:sz="4" w:space="0" w:color="auto"/>
              <w:right w:val="single" w:sz="4" w:space="0" w:color="auto"/>
            </w:tcBorders>
            <w:shd w:val="clear" w:color="auto" w:fill="auto"/>
            <w:noWrap/>
            <w:vAlign w:val="center"/>
            <w:hideMark/>
          </w:tcPr>
          <w:p w14:paraId="5F87BB1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5.47</w:t>
            </w:r>
          </w:p>
        </w:tc>
        <w:tc>
          <w:tcPr>
            <w:tcW w:w="1200" w:type="dxa"/>
            <w:tcBorders>
              <w:top w:val="nil"/>
              <w:left w:val="nil"/>
              <w:bottom w:val="single" w:sz="4" w:space="0" w:color="auto"/>
              <w:right w:val="single" w:sz="4" w:space="0" w:color="auto"/>
            </w:tcBorders>
            <w:shd w:val="clear" w:color="auto" w:fill="auto"/>
            <w:noWrap/>
            <w:vAlign w:val="center"/>
            <w:hideMark/>
          </w:tcPr>
          <w:p w14:paraId="7521F79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0.22</w:t>
            </w:r>
          </w:p>
        </w:tc>
      </w:tr>
    </w:tbl>
    <w:p w14:paraId="6969D242" w14:textId="77777777" w:rsidR="008564E2" w:rsidRDefault="008564E2" w:rsidP="008564E2">
      <w:pPr>
        <w:rPr>
          <w:rFonts w:ascii="Times New Roman" w:hAnsi="Times New Roman" w:cs="Times New Roman"/>
          <w:b/>
          <w:sz w:val="24"/>
          <w:lang w:val="en-US"/>
        </w:rPr>
      </w:pPr>
      <w:r>
        <w:rPr>
          <w:rFonts w:ascii="Times New Roman" w:hAnsi="Times New Roman" w:cs="Times New Roman"/>
          <w:bCs/>
          <w:sz w:val="24"/>
          <w:szCs w:val="24"/>
          <w:lang w:val="en-US"/>
        </w:rPr>
        <w:t>(PH-Plant height; ET-Effective tillers; DA-Days to anthesis; DFF-Days to fifty per cent flowering; TGM-Time taken to grain maturity; HPP-Harvested panicles per plant; TGDW-Threshold grain dry weight; GYPP-Grain yield per plant; DSW-Dry stover weight; HSW-Hundred seed weight)</w:t>
      </w:r>
    </w:p>
    <w:p w14:paraId="1BB41156" w14:textId="77777777" w:rsidR="008564E2" w:rsidRDefault="008564E2" w:rsidP="008564E2">
      <w:pPr>
        <w:rPr>
          <w:rFonts w:ascii="Times New Roman" w:hAnsi="Times New Roman" w:cs="Times New Roman"/>
          <w:sz w:val="24"/>
          <w:szCs w:val="24"/>
          <w:lang w:val="en-US"/>
        </w:rPr>
      </w:pPr>
    </w:p>
    <w:p w14:paraId="6B77798D" w14:textId="77777777" w:rsidR="007C5238" w:rsidRDefault="007C5238" w:rsidP="008564E2">
      <w:pPr>
        <w:rPr>
          <w:rFonts w:ascii="Times New Roman" w:hAnsi="Times New Roman" w:cs="Times New Roman"/>
          <w:b/>
          <w:sz w:val="24"/>
          <w:lang w:val="en-US"/>
        </w:rPr>
      </w:pPr>
    </w:p>
    <w:p w14:paraId="6609BE2C" w14:textId="3F3A0D10" w:rsidR="008564E2" w:rsidRPr="00234D18" w:rsidRDefault="008564E2" w:rsidP="008564E2">
      <w:pPr>
        <w:rPr>
          <w:rFonts w:ascii="Times New Roman" w:hAnsi="Times New Roman" w:cs="Times New Roman"/>
          <w:b/>
          <w:sz w:val="24"/>
          <w:lang w:val="en-US"/>
        </w:rPr>
      </w:pPr>
      <w:r w:rsidRPr="00234D18">
        <w:rPr>
          <w:rFonts w:ascii="Times New Roman" w:hAnsi="Times New Roman" w:cs="Times New Roman"/>
          <w:b/>
          <w:sz w:val="24"/>
          <w:lang w:val="en-US"/>
        </w:rPr>
        <w:t xml:space="preserve">Table </w:t>
      </w:r>
      <w:r w:rsidR="007C5238">
        <w:rPr>
          <w:rFonts w:ascii="Times New Roman" w:hAnsi="Times New Roman" w:cs="Times New Roman"/>
          <w:b/>
          <w:sz w:val="24"/>
          <w:lang w:val="en-US"/>
        </w:rPr>
        <w:t>3</w:t>
      </w:r>
      <w:r>
        <w:rPr>
          <w:rFonts w:ascii="Times New Roman" w:hAnsi="Times New Roman" w:cs="Times New Roman"/>
          <w:b/>
          <w:sz w:val="24"/>
          <w:lang w:val="en-US"/>
        </w:rPr>
        <w:t xml:space="preserve">: </w:t>
      </w:r>
      <w:r w:rsidRPr="000B3819">
        <w:rPr>
          <w:rFonts w:ascii="Times New Roman" w:hAnsi="Times New Roman" w:cs="Times New Roman"/>
          <w:b/>
          <w:bCs/>
          <w:sz w:val="24"/>
          <w:szCs w:val="24"/>
          <w:lang w:val="en-US"/>
        </w:rPr>
        <w:t>ANOVA for stay-green related trait</w:t>
      </w:r>
      <w:r>
        <w:rPr>
          <w:rFonts w:ascii="Times New Roman" w:hAnsi="Times New Roman" w:cs="Times New Roman"/>
          <w:b/>
          <w:bCs/>
          <w:sz w:val="24"/>
          <w:szCs w:val="24"/>
          <w:lang w:val="en-US"/>
        </w:rPr>
        <w:t xml:space="preserve">s under WS condition in </w:t>
      </w:r>
      <w:r w:rsidRPr="000B3819">
        <w:rPr>
          <w:rFonts w:ascii="Times New Roman" w:hAnsi="Times New Roman" w:cs="Times New Roman"/>
          <w:b/>
          <w:bCs/>
          <w:sz w:val="24"/>
          <w:szCs w:val="24"/>
          <w:lang w:val="en-US"/>
        </w:rPr>
        <w:t>F</w:t>
      </w:r>
      <w:r w:rsidRPr="008D5216">
        <w:rPr>
          <w:rFonts w:ascii="Times New Roman" w:hAnsi="Times New Roman" w:cs="Times New Roman"/>
          <w:b/>
          <w:bCs/>
          <w:sz w:val="24"/>
          <w:szCs w:val="24"/>
          <w:vertAlign w:val="subscript"/>
          <w:lang w:val="en-US"/>
        </w:rPr>
        <w:t>3</w:t>
      </w:r>
      <w:r w:rsidRPr="000B381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generation</w:t>
      </w:r>
    </w:p>
    <w:tbl>
      <w:tblPr>
        <w:tblW w:w="14807" w:type="dxa"/>
        <w:tblInd w:w="-995" w:type="dxa"/>
        <w:tblLook w:val="04A0" w:firstRow="1" w:lastRow="0" w:firstColumn="1" w:lastColumn="0" w:noHBand="0" w:noVBand="1"/>
      </w:tblPr>
      <w:tblGrid>
        <w:gridCol w:w="1206"/>
        <w:gridCol w:w="1194"/>
        <w:gridCol w:w="1268"/>
        <w:gridCol w:w="1143"/>
        <w:gridCol w:w="1143"/>
        <w:gridCol w:w="878"/>
        <w:gridCol w:w="1047"/>
        <w:gridCol w:w="1179"/>
        <w:gridCol w:w="1179"/>
        <w:gridCol w:w="1179"/>
        <w:gridCol w:w="1179"/>
        <w:gridCol w:w="1179"/>
        <w:gridCol w:w="1179"/>
      </w:tblGrid>
      <w:tr w:rsidR="008564E2" w:rsidRPr="000B3819" w14:paraId="26C09398" w14:textId="77777777" w:rsidTr="00C2037F">
        <w:trPr>
          <w:trHeight w:val="439"/>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18517" w14:textId="77777777" w:rsidR="008564E2" w:rsidRPr="007A5F42" w:rsidRDefault="008564E2" w:rsidP="00C2037F">
            <w:pPr>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Genotypes</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14:paraId="66EB746E"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w:t>
            </w:r>
            <w:r>
              <w:rPr>
                <w:rFonts w:ascii="Times New Roman" w:eastAsia="Times New Roman" w:hAnsi="Times New Roman" w:cs="Times New Roman"/>
                <w:b/>
                <w:bCs/>
                <w:lang w:eastAsia="en-IN"/>
              </w:rPr>
              <w:t>PAD</w:t>
            </w:r>
            <w:r w:rsidRPr="007A5F42">
              <w:rPr>
                <w:rFonts w:ascii="Times New Roman" w:eastAsia="Times New Roman" w:hAnsi="Times New Roman" w:cs="Times New Roman"/>
                <w:b/>
                <w:bCs/>
                <w:lang w:eastAsia="en-IN"/>
              </w:rPr>
              <w:t>_AF</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71DE9F30"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w:t>
            </w:r>
            <w:r>
              <w:rPr>
                <w:rFonts w:ascii="Times New Roman" w:eastAsia="Times New Roman" w:hAnsi="Times New Roman" w:cs="Times New Roman"/>
                <w:b/>
                <w:bCs/>
                <w:lang w:eastAsia="en-IN"/>
              </w:rPr>
              <w:t>PAD</w:t>
            </w:r>
            <w:r w:rsidRPr="007A5F42">
              <w:rPr>
                <w:rFonts w:ascii="Times New Roman" w:eastAsia="Times New Roman" w:hAnsi="Times New Roman" w:cs="Times New Roman"/>
                <w:b/>
                <w:bCs/>
                <w:lang w:eastAsia="en-IN"/>
              </w:rPr>
              <w:t>_AM</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14:paraId="048DDE9D"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GLAB</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14:paraId="51A1EF59"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GLAM</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4C67F9A8"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RLS</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4BE17115"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w:t>
            </w:r>
            <w:r w:rsidRPr="007A5F42">
              <w:rPr>
                <w:rFonts w:ascii="Times New Roman" w:eastAsia="Times New Roman" w:hAnsi="Times New Roman" w:cs="Times New Roman"/>
                <w:b/>
                <w:bCs/>
                <w:lang w:eastAsia="en-IN"/>
              </w:rPr>
              <w:t>7</w:t>
            </w:r>
          </w:p>
          <w:p w14:paraId="22BBFE4F"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2117E1B6"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@14</w:t>
            </w:r>
          </w:p>
          <w:p w14:paraId="2C3AC1C2"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6528039E"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@21</w:t>
            </w:r>
          </w:p>
          <w:p w14:paraId="4B1FC3ED"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1CAC3AC9"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@28</w:t>
            </w:r>
          </w:p>
          <w:p w14:paraId="1657E2C6"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44A390C8"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@35</w:t>
            </w:r>
          </w:p>
          <w:p w14:paraId="51F6341A"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6D39B56A"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@42</w:t>
            </w:r>
          </w:p>
          <w:p w14:paraId="59F199E5"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24A9BFBC"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@49</w:t>
            </w:r>
          </w:p>
          <w:p w14:paraId="1F2D4519"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r>
      <w:tr w:rsidR="008564E2" w:rsidRPr="000B3819" w14:paraId="026ACAE9"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4EAFAF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K359W</w:t>
            </w:r>
          </w:p>
        </w:tc>
        <w:tc>
          <w:tcPr>
            <w:tcW w:w="1164" w:type="dxa"/>
            <w:tcBorders>
              <w:top w:val="nil"/>
              <w:left w:val="nil"/>
              <w:bottom w:val="single" w:sz="4" w:space="0" w:color="auto"/>
              <w:right w:val="single" w:sz="4" w:space="0" w:color="auto"/>
            </w:tcBorders>
            <w:shd w:val="clear" w:color="auto" w:fill="auto"/>
            <w:noWrap/>
            <w:vAlign w:val="center"/>
            <w:hideMark/>
          </w:tcPr>
          <w:p w14:paraId="05A9EFC2"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47.97 a</w:t>
            </w:r>
          </w:p>
        </w:tc>
        <w:tc>
          <w:tcPr>
            <w:tcW w:w="1236" w:type="dxa"/>
            <w:tcBorders>
              <w:top w:val="nil"/>
              <w:left w:val="nil"/>
              <w:bottom w:val="single" w:sz="4" w:space="0" w:color="auto"/>
              <w:right w:val="single" w:sz="4" w:space="0" w:color="auto"/>
            </w:tcBorders>
            <w:shd w:val="clear" w:color="auto" w:fill="auto"/>
            <w:noWrap/>
            <w:vAlign w:val="center"/>
            <w:hideMark/>
          </w:tcPr>
          <w:p w14:paraId="635F90C9"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39.61 a</w:t>
            </w:r>
          </w:p>
        </w:tc>
        <w:tc>
          <w:tcPr>
            <w:tcW w:w="1143" w:type="dxa"/>
            <w:tcBorders>
              <w:top w:val="nil"/>
              <w:left w:val="nil"/>
              <w:bottom w:val="single" w:sz="4" w:space="0" w:color="auto"/>
              <w:right w:val="single" w:sz="4" w:space="0" w:color="auto"/>
            </w:tcBorders>
            <w:shd w:val="clear" w:color="auto" w:fill="auto"/>
            <w:noWrap/>
            <w:vAlign w:val="center"/>
            <w:hideMark/>
          </w:tcPr>
          <w:p w14:paraId="6442486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340.14 </w:t>
            </w:r>
            <w:proofErr w:type="spellStart"/>
            <w:r w:rsidRPr="00674046">
              <w:rPr>
                <w:rFonts w:ascii="Times New Roman" w:eastAsia="Times New Roman" w:hAnsi="Times New Roman" w:cs="Times New Roman"/>
                <w:color w:val="000000"/>
                <w:lang w:eastAsia="en-IN"/>
              </w:rPr>
              <w:t>bc</w:t>
            </w:r>
            <w:proofErr w:type="spellEnd"/>
          </w:p>
        </w:tc>
        <w:tc>
          <w:tcPr>
            <w:tcW w:w="1143" w:type="dxa"/>
            <w:tcBorders>
              <w:top w:val="nil"/>
              <w:left w:val="nil"/>
              <w:bottom w:val="single" w:sz="4" w:space="0" w:color="auto"/>
              <w:right w:val="single" w:sz="4" w:space="0" w:color="auto"/>
            </w:tcBorders>
            <w:shd w:val="clear" w:color="auto" w:fill="auto"/>
            <w:noWrap/>
            <w:vAlign w:val="center"/>
            <w:hideMark/>
          </w:tcPr>
          <w:p w14:paraId="5DE0B25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285.23 b</w:t>
            </w:r>
          </w:p>
        </w:tc>
        <w:tc>
          <w:tcPr>
            <w:tcW w:w="878" w:type="dxa"/>
            <w:tcBorders>
              <w:top w:val="nil"/>
              <w:left w:val="nil"/>
              <w:bottom w:val="single" w:sz="4" w:space="0" w:color="auto"/>
              <w:right w:val="single" w:sz="4" w:space="0" w:color="auto"/>
            </w:tcBorders>
            <w:shd w:val="clear" w:color="auto" w:fill="auto"/>
            <w:noWrap/>
            <w:vAlign w:val="center"/>
            <w:hideMark/>
          </w:tcPr>
          <w:p w14:paraId="1027B24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1.32 </w:t>
            </w:r>
            <w:proofErr w:type="spellStart"/>
            <w:r w:rsidRPr="00674046">
              <w:rPr>
                <w:rFonts w:ascii="Times New Roman" w:eastAsia="Times New Roman" w:hAnsi="Times New Roman" w:cs="Times New Roman"/>
                <w:color w:val="000000"/>
                <w:lang w:eastAsia="en-IN"/>
              </w:rPr>
              <w:t>bc</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14:paraId="5DEEA6A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3.45 f</w:t>
            </w:r>
          </w:p>
        </w:tc>
        <w:tc>
          <w:tcPr>
            <w:tcW w:w="1179" w:type="dxa"/>
            <w:tcBorders>
              <w:top w:val="nil"/>
              <w:left w:val="nil"/>
              <w:bottom w:val="single" w:sz="4" w:space="0" w:color="auto"/>
              <w:right w:val="single" w:sz="4" w:space="0" w:color="auto"/>
            </w:tcBorders>
            <w:shd w:val="clear" w:color="auto" w:fill="auto"/>
            <w:noWrap/>
            <w:vAlign w:val="center"/>
            <w:hideMark/>
          </w:tcPr>
          <w:p w14:paraId="277D421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3.64 f</w:t>
            </w:r>
          </w:p>
        </w:tc>
        <w:tc>
          <w:tcPr>
            <w:tcW w:w="1179" w:type="dxa"/>
            <w:tcBorders>
              <w:top w:val="nil"/>
              <w:left w:val="nil"/>
              <w:bottom w:val="single" w:sz="4" w:space="0" w:color="auto"/>
              <w:right w:val="single" w:sz="4" w:space="0" w:color="auto"/>
            </w:tcBorders>
            <w:shd w:val="clear" w:color="auto" w:fill="auto"/>
            <w:noWrap/>
            <w:vAlign w:val="center"/>
            <w:hideMark/>
          </w:tcPr>
          <w:p w14:paraId="0B5D673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4.15 f</w:t>
            </w:r>
          </w:p>
        </w:tc>
        <w:tc>
          <w:tcPr>
            <w:tcW w:w="1179" w:type="dxa"/>
            <w:tcBorders>
              <w:top w:val="nil"/>
              <w:left w:val="nil"/>
              <w:bottom w:val="single" w:sz="4" w:space="0" w:color="auto"/>
              <w:right w:val="single" w:sz="4" w:space="0" w:color="auto"/>
            </w:tcBorders>
            <w:shd w:val="clear" w:color="auto" w:fill="auto"/>
            <w:noWrap/>
            <w:vAlign w:val="center"/>
            <w:hideMark/>
          </w:tcPr>
          <w:p w14:paraId="194E64C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4.75 </w:t>
            </w:r>
            <w:proofErr w:type="spellStart"/>
            <w:r w:rsidRPr="00674046">
              <w:rPr>
                <w:rFonts w:ascii="Times New Roman" w:eastAsia="Times New Roman" w:hAnsi="Times New Roman" w:cs="Times New Roman"/>
                <w:color w:val="000000"/>
                <w:lang w:eastAsia="en-IN"/>
              </w:rPr>
              <w:t>ef</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14:paraId="6F7DFDE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5.45 e</w:t>
            </w:r>
          </w:p>
        </w:tc>
        <w:tc>
          <w:tcPr>
            <w:tcW w:w="1179" w:type="dxa"/>
            <w:tcBorders>
              <w:top w:val="nil"/>
              <w:left w:val="nil"/>
              <w:bottom w:val="single" w:sz="4" w:space="0" w:color="auto"/>
              <w:right w:val="single" w:sz="4" w:space="0" w:color="auto"/>
            </w:tcBorders>
            <w:shd w:val="clear" w:color="auto" w:fill="auto"/>
            <w:noWrap/>
            <w:vAlign w:val="center"/>
            <w:hideMark/>
          </w:tcPr>
          <w:p w14:paraId="4F82D3F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5.72 de</w:t>
            </w:r>
          </w:p>
        </w:tc>
        <w:tc>
          <w:tcPr>
            <w:tcW w:w="1179" w:type="dxa"/>
            <w:tcBorders>
              <w:top w:val="nil"/>
              <w:left w:val="nil"/>
              <w:bottom w:val="single" w:sz="4" w:space="0" w:color="auto"/>
              <w:right w:val="single" w:sz="4" w:space="0" w:color="auto"/>
            </w:tcBorders>
            <w:shd w:val="clear" w:color="auto" w:fill="auto"/>
            <w:noWrap/>
            <w:vAlign w:val="center"/>
            <w:hideMark/>
          </w:tcPr>
          <w:p w14:paraId="690BBD5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6.15 e</w:t>
            </w:r>
          </w:p>
        </w:tc>
      </w:tr>
      <w:tr w:rsidR="008564E2" w:rsidRPr="000B3819" w14:paraId="487D251E"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5F6F12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B35</w:t>
            </w:r>
          </w:p>
        </w:tc>
        <w:tc>
          <w:tcPr>
            <w:tcW w:w="1164" w:type="dxa"/>
            <w:tcBorders>
              <w:top w:val="nil"/>
              <w:left w:val="nil"/>
              <w:bottom w:val="single" w:sz="4" w:space="0" w:color="auto"/>
              <w:right w:val="single" w:sz="4" w:space="0" w:color="auto"/>
            </w:tcBorders>
            <w:shd w:val="clear" w:color="auto" w:fill="auto"/>
            <w:noWrap/>
            <w:vAlign w:val="center"/>
            <w:hideMark/>
          </w:tcPr>
          <w:p w14:paraId="7D8D90C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49.05 a</w:t>
            </w:r>
          </w:p>
        </w:tc>
        <w:tc>
          <w:tcPr>
            <w:tcW w:w="1236" w:type="dxa"/>
            <w:tcBorders>
              <w:top w:val="nil"/>
              <w:left w:val="nil"/>
              <w:bottom w:val="single" w:sz="4" w:space="0" w:color="auto"/>
              <w:right w:val="single" w:sz="4" w:space="0" w:color="auto"/>
            </w:tcBorders>
            <w:shd w:val="clear" w:color="auto" w:fill="auto"/>
            <w:noWrap/>
            <w:vAlign w:val="center"/>
            <w:hideMark/>
          </w:tcPr>
          <w:p w14:paraId="3AF8E51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39.45 a</w:t>
            </w:r>
          </w:p>
        </w:tc>
        <w:tc>
          <w:tcPr>
            <w:tcW w:w="1143" w:type="dxa"/>
            <w:tcBorders>
              <w:top w:val="nil"/>
              <w:left w:val="nil"/>
              <w:bottom w:val="single" w:sz="4" w:space="0" w:color="auto"/>
              <w:right w:val="single" w:sz="4" w:space="0" w:color="auto"/>
            </w:tcBorders>
            <w:shd w:val="clear" w:color="auto" w:fill="auto"/>
            <w:noWrap/>
            <w:vAlign w:val="center"/>
            <w:hideMark/>
          </w:tcPr>
          <w:p w14:paraId="797943F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349.19 e</w:t>
            </w:r>
          </w:p>
        </w:tc>
        <w:tc>
          <w:tcPr>
            <w:tcW w:w="1143" w:type="dxa"/>
            <w:tcBorders>
              <w:top w:val="nil"/>
              <w:left w:val="nil"/>
              <w:bottom w:val="single" w:sz="4" w:space="0" w:color="auto"/>
              <w:right w:val="single" w:sz="4" w:space="0" w:color="auto"/>
            </w:tcBorders>
            <w:shd w:val="clear" w:color="auto" w:fill="auto"/>
            <w:noWrap/>
            <w:vAlign w:val="center"/>
            <w:hideMark/>
          </w:tcPr>
          <w:p w14:paraId="3C309BA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326.74 c</w:t>
            </w:r>
          </w:p>
        </w:tc>
        <w:tc>
          <w:tcPr>
            <w:tcW w:w="878" w:type="dxa"/>
            <w:tcBorders>
              <w:top w:val="nil"/>
              <w:left w:val="nil"/>
              <w:bottom w:val="single" w:sz="4" w:space="0" w:color="auto"/>
              <w:right w:val="single" w:sz="4" w:space="0" w:color="auto"/>
            </w:tcBorders>
            <w:shd w:val="clear" w:color="auto" w:fill="auto"/>
            <w:noWrap/>
            <w:vAlign w:val="center"/>
            <w:hideMark/>
          </w:tcPr>
          <w:p w14:paraId="2FCFBED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1.22 </w:t>
            </w:r>
            <w:proofErr w:type="spellStart"/>
            <w:r w:rsidRPr="00674046">
              <w:rPr>
                <w:rFonts w:ascii="Times New Roman" w:eastAsia="Times New Roman" w:hAnsi="Times New Roman" w:cs="Times New Roman"/>
                <w:color w:val="000000"/>
                <w:lang w:eastAsia="en-IN"/>
              </w:rPr>
              <w:t>bc</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14:paraId="4FD8226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3.25 e</w:t>
            </w:r>
          </w:p>
        </w:tc>
        <w:tc>
          <w:tcPr>
            <w:tcW w:w="1179" w:type="dxa"/>
            <w:tcBorders>
              <w:top w:val="nil"/>
              <w:left w:val="nil"/>
              <w:bottom w:val="single" w:sz="4" w:space="0" w:color="auto"/>
              <w:right w:val="single" w:sz="4" w:space="0" w:color="auto"/>
            </w:tcBorders>
            <w:shd w:val="clear" w:color="auto" w:fill="auto"/>
            <w:noWrap/>
            <w:vAlign w:val="center"/>
            <w:hideMark/>
          </w:tcPr>
          <w:p w14:paraId="31ACB86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3.37 de</w:t>
            </w:r>
          </w:p>
        </w:tc>
        <w:tc>
          <w:tcPr>
            <w:tcW w:w="1179" w:type="dxa"/>
            <w:tcBorders>
              <w:top w:val="nil"/>
              <w:left w:val="nil"/>
              <w:bottom w:val="single" w:sz="4" w:space="0" w:color="auto"/>
              <w:right w:val="single" w:sz="4" w:space="0" w:color="auto"/>
            </w:tcBorders>
            <w:shd w:val="clear" w:color="auto" w:fill="auto"/>
            <w:noWrap/>
            <w:vAlign w:val="center"/>
            <w:hideMark/>
          </w:tcPr>
          <w:p w14:paraId="4A2A882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3.52 g</w:t>
            </w:r>
          </w:p>
        </w:tc>
        <w:tc>
          <w:tcPr>
            <w:tcW w:w="1179" w:type="dxa"/>
            <w:tcBorders>
              <w:top w:val="nil"/>
              <w:left w:val="nil"/>
              <w:bottom w:val="single" w:sz="4" w:space="0" w:color="auto"/>
              <w:right w:val="single" w:sz="4" w:space="0" w:color="auto"/>
            </w:tcBorders>
            <w:shd w:val="clear" w:color="auto" w:fill="auto"/>
            <w:noWrap/>
            <w:vAlign w:val="center"/>
            <w:hideMark/>
          </w:tcPr>
          <w:p w14:paraId="5CB71AD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3.96 h</w:t>
            </w:r>
          </w:p>
        </w:tc>
        <w:tc>
          <w:tcPr>
            <w:tcW w:w="1179" w:type="dxa"/>
            <w:tcBorders>
              <w:top w:val="nil"/>
              <w:left w:val="nil"/>
              <w:bottom w:val="single" w:sz="4" w:space="0" w:color="auto"/>
              <w:right w:val="single" w:sz="4" w:space="0" w:color="auto"/>
            </w:tcBorders>
            <w:shd w:val="clear" w:color="auto" w:fill="auto"/>
            <w:noWrap/>
            <w:vAlign w:val="center"/>
            <w:hideMark/>
          </w:tcPr>
          <w:p w14:paraId="778E551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4.15 h</w:t>
            </w:r>
          </w:p>
        </w:tc>
        <w:tc>
          <w:tcPr>
            <w:tcW w:w="1179" w:type="dxa"/>
            <w:tcBorders>
              <w:top w:val="nil"/>
              <w:left w:val="nil"/>
              <w:bottom w:val="single" w:sz="4" w:space="0" w:color="auto"/>
              <w:right w:val="single" w:sz="4" w:space="0" w:color="auto"/>
            </w:tcBorders>
            <w:shd w:val="clear" w:color="auto" w:fill="auto"/>
            <w:noWrap/>
            <w:vAlign w:val="center"/>
            <w:hideMark/>
          </w:tcPr>
          <w:p w14:paraId="2A6263A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4.65 g</w:t>
            </w:r>
          </w:p>
        </w:tc>
        <w:tc>
          <w:tcPr>
            <w:tcW w:w="1179" w:type="dxa"/>
            <w:tcBorders>
              <w:top w:val="nil"/>
              <w:left w:val="nil"/>
              <w:bottom w:val="single" w:sz="4" w:space="0" w:color="auto"/>
              <w:right w:val="single" w:sz="4" w:space="0" w:color="auto"/>
            </w:tcBorders>
            <w:shd w:val="clear" w:color="auto" w:fill="auto"/>
            <w:noWrap/>
            <w:vAlign w:val="center"/>
            <w:hideMark/>
          </w:tcPr>
          <w:p w14:paraId="1B9544C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5.25 g</w:t>
            </w:r>
          </w:p>
        </w:tc>
      </w:tr>
      <w:tr w:rsidR="008564E2" w:rsidRPr="000B3819" w14:paraId="4B120765"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405D60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296B</w:t>
            </w:r>
          </w:p>
        </w:tc>
        <w:tc>
          <w:tcPr>
            <w:tcW w:w="1164" w:type="dxa"/>
            <w:tcBorders>
              <w:top w:val="nil"/>
              <w:left w:val="nil"/>
              <w:bottom w:val="single" w:sz="4" w:space="0" w:color="auto"/>
              <w:right w:val="single" w:sz="4" w:space="0" w:color="auto"/>
            </w:tcBorders>
            <w:shd w:val="clear" w:color="auto" w:fill="auto"/>
            <w:noWrap/>
            <w:vAlign w:val="center"/>
            <w:hideMark/>
          </w:tcPr>
          <w:p w14:paraId="6EF0941F"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44.65 b</w:t>
            </w:r>
          </w:p>
        </w:tc>
        <w:tc>
          <w:tcPr>
            <w:tcW w:w="1236" w:type="dxa"/>
            <w:tcBorders>
              <w:top w:val="nil"/>
              <w:left w:val="nil"/>
              <w:bottom w:val="single" w:sz="4" w:space="0" w:color="auto"/>
              <w:right w:val="single" w:sz="4" w:space="0" w:color="auto"/>
            </w:tcBorders>
            <w:shd w:val="clear" w:color="auto" w:fill="auto"/>
            <w:noWrap/>
            <w:vAlign w:val="center"/>
            <w:hideMark/>
          </w:tcPr>
          <w:p w14:paraId="1E6F5157"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40.45 b</w:t>
            </w:r>
          </w:p>
        </w:tc>
        <w:tc>
          <w:tcPr>
            <w:tcW w:w="1143" w:type="dxa"/>
            <w:tcBorders>
              <w:top w:val="nil"/>
              <w:left w:val="nil"/>
              <w:bottom w:val="single" w:sz="4" w:space="0" w:color="auto"/>
              <w:right w:val="single" w:sz="4" w:space="0" w:color="auto"/>
            </w:tcBorders>
            <w:shd w:val="clear" w:color="auto" w:fill="auto"/>
            <w:noWrap/>
            <w:vAlign w:val="center"/>
            <w:hideMark/>
          </w:tcPr>
          <w:p w14:paraId="2F90359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420.26 a</w:t>
            </w:r>
          </w:p>
        </w:tc>
        <w:tc>
          <w:tcPr>
            <w:tcW w:w="1143" w:type="dxa"/>
            <w:tcBorders>
              <w:top w:val="nil"/>
              <w:left w:val="nil"/>
              <w:bottom w:val="single" w:sz="4" w:space="0" w:color="auto"/>
              <w:right w:val="single" w:sz="4" w:space="0" w:color="auto"/>
            </w:tcBorders>
            <w:shd w:val="clear" w:color="auto" w:fill="auto"/>
            <w:noWrap/>
            <w:vAlign w:val="center"/>
            <w:hideMark/>
          </w:tcPr>
          <w:p w14:paraId="4A65E56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353.2 a</w:t>
            </w:r>
          </w:p>
        </w:tc>
        <w:tc>
          <w:tcPr>
            <w:tcW w:w="878" w:type="dxa"/>
            <w:tcBorders>
              <w:top w:val="nil"/>
              <w:left w:val="nil"/>
              <w:bottom w:val="single" w:sz="4" w:space="0" w:color="auto"/>
              <w:right w:val="single" w:sz="4" w:space="0" w:color="auto"/>
            </w:tcBorders>
            <w:shd w:val="clear" w:color="auto" w:fill="auto"/>
            <w:noWrap/>
            <w:vAlign w:val="center"/>
            <w:hideMark/>
          </w:tcPr>
          <w:p w14:paraId="421DCB8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1.35 ab</w:t>
            </w:r>
          </w:p>
        </w:tc>
        <w:tc>
          <w:tcPr>
            <w:tcW w:w="1047" w:type="dxa"/>
            <w:tcBorders>
              <w:top w:val="nil"/>
              <w:left w:val="nil"/>
              <w:bottom w:val="single" w:sz="4" w:space="0" w:color="auto"/>
              <w:right w:val="single" w:sz="4" w:space="0" w:color="auto"/>
            </w:tcBorders>
            <w:shd w:val="clear" w:color="auto" w:fill="auto"/>
            <w:noWrap/>
            <w:vAlign w:val="center"/>
            <w:hideMark/>
          </w:tcPr>
          <w:p w14:paraId="0C15B53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3.17 b</w:t>
            </w:r>
          </w:p>
        </w:tc>
        <w:tc>
          <w:tcPr>
            <w:tcW w:w="1179" w:type="dxa"/>
            <w:tcBorders>
              <w:top w:val="nil"/>
              <w:left w:val="nil"/>
              <w:bottom w:val="single" w:sz="4" w:space="0" w:color="auto"/>
              <w:right w:val="single" w:sz="4" w:space="0" w:color="auto"/>
            </w:tcBorders>
            <w:shd w:val="clear" w:color="auto" w:fill="auto"/>
            <w:noWrap/>
            <w:vAlign w:val="center"/>
            <w:hideMark/>
          </w:tcPr>
          <w:p w14:paraId="37D6ABA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4.37 c</w:t>
            </w:r>
          </w:p>
        </w:tc>
        <w:tc>
          <w:tcPr>
            <w:tcW w:w="1179" w:type="dxa"/>
            <w:tcBorders>
              <w:top w:val="nil"/>
              <w:left w:val="nil"/>
              <w:bottom w:val="single" w:sz="4" w:space="0" w:color="auto"/>
              <w:right w:val="single" w:sz="4" w:space="0" w:color="auto"/>
            </w:tcBorders>
            <w:shd w:val="clear" w:color="auto" w:fill="auto"/>
            <w:noWrap/>
            <w:vAlign w:val="center"/>
            <w:hideMark/>
          </w:tcPr>
          <w:p w14:paraId="4184960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4.65 d</w:t>
            </w:r>
          </w:p>
        </w:tc>
        <w:tc>
          <w:tcPr>
            <w:tcW w:w="1179" w:type="dxa"/>
            <w:tcBorders>
              <w:top w:val="nil"/>
              <w:left w:val="nil"/>
              <w:bottom w:val="single" w:sz="4" w:space="0" w:color="auto"/>
              <w:right w:val="single" w:sz="4" w:space="0" w:color="auto"/>
            </w:tcBorders>
            <w:shd w:val="clear" w:color="auto" w:fill="auto"/>
            <w:noWrap/>
            <w:vAlign w:val="center"/>
            <w:hideMark/>
          </w:tcPr>
          <w:p w14:paraId="167CCC1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4.72 f</w:t>
            </w:r>
          </w:p>
        </w:tc>
        <w:tc>
          <w:tcPr>
            <w:tcW w:w="1179" w:type="dxa"/>
            <w:tcBorders>
              <w:top w:val="nil"/>
              <w:left w:val="nil"/>
              <w:bottom w:val="single" w:sz="4" w:space="0" w:color="auto"/>
              <w:right w:val="single" w:sz="4" w:space="0" w:color="auto"/>
            </w:tcBorders>
            <w:shd w:val="clear" w:color="auto" w:fill="auto"/>
            <w:noWrap/>
            <w:vAlign w:val="center"/>
            <w:hideMark/>
          </w:tcPr>
          <w:p w14:paraId="4CAE224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5.05 g</w:t>
            </w:r>
          </w:p>
        </w:tc>
        <w:tc>
          <w:tcPr>
            <w:tcW w:w="1179" w:type="dxa"/>
            <w:tcBorders>
              <w:top w:val="nil"/>
              <w:left w:val="nil"/>
              <w:bottom w:val="single" w:sz="4" w:space="0" w:color="auto"/>
              <w:right w:val="single" w:sz="4" w:space="0" w:color="auto"/>
            </w:tcBorders>
            <w:shd w:val="clear" w:color="auto" w:fill="auto"/>
            <w:noWrap/>
            <w:vAlign w:val="center"/>
            <w:hideMark/>
          </w:tcPr>
          <w:p w14:paraId="4F66307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5.22 f</w:t>
            </w:r>
          </w:p>
        </w:tc>
        <w:tc>
          <w:tcPr>
            <w:tcW w:w="1179" w:type="dxa"/>
            <w:tcBorders>
              <w:top w:val="nil"/>
              <w:left w:val="nil"/>
              <w:bottom w:val="single" w:sz="4" w:space="0" w:color="auto"/>
              <w:right w:val="single" w:sz="4" w:space="0" w:color="auto"/>
            </w:tcBorders>
            <w:shd w:val="clear" w:color="auto" w:fill="auto"/>
            <w:noWrap/>
            <w:vAlign w:val="center"/>
            <w:hideMark/>
          </w:tcPr>
          <w:p w14:paraId="1E5F5A2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5.37 g</w:t>
            </w:r>
          </w:p>
        </w:tc>
      </w:tr>
      <w:tr w:rsidR="008564E2" w:rsidRPr="000B3819" w14:paraId="6E640B45"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DB2924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K260</w:t>
            </w:r>
          </w:p>
        </w:tc>
        <w:tc>
          <w:tcPr>
            <w:tcW w:w="1164" w:type="dxa"/>
            <w:tcBorders>
              <w:top w:val="nil"/>
              <w:left w:val="nil"/>
              <w:bottom w:val="single" w:sz="4" w:space="0" w:color="auto"/>
              <w:right w:val="single" w:sz="4" w:space="0" w:color="auto"/>
            </w:tcBorders>
            <w:shd w:val="clear" w:color="auto" w:fill="auto"/>
            <w:noWrap/>
            <w:vAlign w:val="center"/>
            <w:hideMark/>
          </w:tcPr>
          <w:p w14:paraId="16A14B96"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43.90</w:t>
            </w:r>
          </w:p>
        </w:tc>
        <w:tc>
          <w:tcPr>
            <w:tcW w:w="1236" w:type="dxa"/>
            <w:tcBorders>
              <w:top w:val="nil"/>
              <w:left w:val="nil"/>
              <w:bottom w:val="single" w:sz="4" w:space="0" w:color="auto"/>
              <w:right w:val="single" w:sz="4" w:space="0" w:color="auto"/>
            </w:tcBorders>
            <w:shd w:val="clear" w:color="auto" w:fill="auto"/>
            <w:noWrap/>
            <w:vAlign w:val="center"/>
            <w:hideMark/>
          </w:tcPr>
          <w:p w14:paraId="44DD8505"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37.57</w:t>
            </w:r>
          </w:p>
        </w:tc>
        <w:tc>
          <w:tcPr>
            <w:tcW w:w="1143" w:type="dxa"/>
            <w:tcBorders>
              <w:top w:val="nil"/>
              <w:left w:val="nil"/>
              <w:bottom w:val="single" w:sz="4" w:space="0" w:color="auto"/>
              <w:right w:val="single" w:sz="4" w:space="0" w:color="auto"/>
            </w:tcBorders>
            <w:shd w:val="clear" w:color="auto" w:fill="auto"/>
            <w:noWrap/>
            <w:vAlign w:val="center"/>
            <w:hideMark/>
          </w:tcPr>
          <w:p w14:paraId="0144EE4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318.66</w:t>
            </w:r>
          </w:p>
        </w:tc>
        <w:tc>
          <w:tcPr>
            <w:tcW w:w="1143" w:type="dxa"/>
            <w:tcBorders>
              <w:top w:val="nil"/>
              <w:left w:val="nil"/>
              <w:bottom w:val="single" w:sz="4" w:space="0" w:color="auto"/>
              <w:right w:val="single" w:sz="4" w:space="0" w:color="auto"/>
            </w:tcBorders>
            <w:shd w:val="clear" w:color="auto" w:fill="auto"/>
            <w:noWrap/>
            <w:vAlign w:val="center"/>
            <w:hideMark/>
          </w:tcPr>
          <w:p w14:paraId="4C74FA7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286.43</w:t>
            </w:r>
          </w:p>
        </w:tc>
        <w:tc>
          <w:tcPr>
            <w:tcW w:w="878" w:type="dxa"/>
            <w:tcBorders>
              <w:top w:val="nil"/>
              <w:left w:val="nil"/>
              <w:bottom w:val="single" w:sz="4" w:space="0" w:color="auto"/>
              <w:right w:val="single" w:sz="4" w:space="0" w:color="auto"/>
            </w:tcBorders>
            <w:shd w:val="clear" w:color="auto" w:fill="auto"/>
            <w:noWrap/>
            <w:vAlign w:val="center"/>
            <w:hideMark/>
          </w:tcPr>
          <w:p w14:paraId="3EBAAD8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1.45</w:t>
            </w:r>
          </w:p>
        </w:tc>
        <w:tc>
          <w:tcPr>
            <w:tcW w:w="1047" w:type="dxa"/>
            <w:tcBorders>
              <w:top w:val="nil"/>
              <w:left w:val="nil"/>
              <w:bottom w:val="single" w:sz="4" w:space="0" w:color="auto"/>
              <w:right w:val="single" w:sz="4" w:space="0" w:color="auto"/>
            </w:tcBorders>
            <w:shd w:val="clear" w:color="auto" w:fill="auto"/>
            <w:noWrap/>
            <w:vAlign w:val="center"/>
            <w:hideMark/>
          </w:tcPr>
          <w:p w14:paraId="1AA0261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3.42</w:t>
            </w:r>
          </w:p>
        </w:tc>
        <w:tc>
          <w:tcPr>
            <w:tcW w:w="1179" w:type="dxa"/>
            <w:tcBorders>
              <w:top w:val="nil"/>
              <w:left w:val="nil"/>
              <w:bottom w:val="single" w:sz="4" w:space="0" w:color="auto"/>
              <w:right w:val="single" w:sz="4" w:space="0" w:color="auto"/>
            </w:tcBorders>
            <w:shd w:val="clear" w:color="auto" w:fill="auto"/>
            <w:noWrap/>
            <w:vAlign w:val="center"/>
            <w:hideMark/>
          </w:tcPr>
          <w:p w14:paraId="0CE1A7C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4.27</w:t>
            </w:r>
          </w:p>
        </w:tc>
        <w:tc>
          <w:tcPr>
            <w:tcW w:w="1179" w:type="dxa"/>
            <w:tcBorders>
              <w:top w:val="nil"/>
              <w:left w:val="nil"/>
              <w:bottom w:val="single" w:sz="4" w:space="0" w:color="auto"/>
              <w:right w:val="single" w:sz="4" w:space="0" w:color="auto"/>
            </w:tcBorders>
            <w:shd w:val="clear" w:color="auto" w:fill="auto"/>
            <w:noWrap/>
            <w:vAlign w:val="center"/>
            <w:hideMark/>
          </w:tcPr>
          <w:p w14:paraId="47EE675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5.27</w:t>
            </w:r>
          </w:p>
        </w:tc>
        <w:tc>
          <w:tcPr>
            <w:tcW w:w="1179" w:type="dxa"/>
            <w:tcBorders>
              <w:top w:val="nil"/>
              <w:left w:val="nil"/>
              <w:bottom w:val="single" w:sz="4" w:space="0" w:color="auto"/>
              <w:right w:val="single" w:sz="4" w:space="0" w:color="auto"/>
            </w:tcBorders>
            <w:shd w:val="clear" w:color="auto" w:fill="auto"/>
            <w:noWrap/>
            <w:vAlign w:val="center"/>
            <w:hideMark/>
          </w:tcPr>
          <w:p w14:paraId="1FFE691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5.65</w:t>
            </w:r>
          </w:p>
        </w:tc>
        <w:tc>
          <w:tcPr>
            <w:tcW w:w="1179" w:type="dxa"/>
            <w:tcBorders>
              <w:top w:val="nil"/>
              <w:left w:val="nil"/>
              <w:bottom w:val="single" w:sz="4" w:space="0" w:color="auto"/>
              <w:right w:val="single" w:sz="4" w:space="0" w:color="auto"/>
            </w:tcBorders>
            <w:shd w:val="clear" w:color="auto" w:fill="auto"/>
            <w:noWrap/>
            <w:vAlign w:val="center"/>
            <w:hideMark/>
          </w:tcPr>
          <w:p w14:paraId="7E1268F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5.32</w:t>
            </w:r>
          </w:p>
        </w:tc>
        <w:tc>
          <w:tcPr>
            <w:tcW w:w="1179" w:type="dxa"/>
            <w:tcBorders>
              <w:top w:val="nil"/>
              <w:left w:val="nil"/>
              <w:bottom w:val="single" w:sz="4" w:space="0" w:color="auto"/>
              <w:right w:val="single" w:sz="4" w:space="0" w:color="auto"/>
            </w:tcBorders>
            <w:shd w:val="clear" w:color="auto" w:fill="auto"/>
            <w:noWrap/>
            <w:vAlign w:val="center"/>
            <w:hideMark/>
          </w:tcPr>
          <w:p w14:paraId="23512B1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5.75</w:t>
            </w:r>
          </w:p>
        </w:tc>
        <w:tc>
          <w:tcPr>
            <w:tcW w:w="1179" w:type="dxa"/>
            <w:tcBorders>
              <w:top w:val="nil"/>
              <w:left w:val="nil"/>
              <w:bottom w:val="single" w:sz="4" w:space="0" w:color="auto"/>
              <w:right w:val="single" w:sz="4" w:space="0" w:color="auto"/>
            </w:tcBorders>
            <w:shd w:val="clear" w:color="auto" w:fill="auto"/>
            <w:noWrap/>
            <w:vAlign w:val="center"/>
            <w:hideMark/>
          </w:tcPr>
          <w:p w14:paraId="7BEDD72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5.70</w:t>
            </w:r>
          </w:p>
        </w:tc>
      </w:tr>
      <w:tr w:rsidR="008564E2" w:rsidRPr="000B3819" w14:paraId="5DAF45F2"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F114C1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E36-1</w:t>
            </w:r>
          </w:p>
        </w:tc>
        <w:tc>
          <w:tcPr>
            <w:tcW w:w="1164" w:type="dxa"/>
            <w:tcBorders>
              <w:top w:val="nil"/>
              <w:left w:val="nil"/>
              <w:bottom w:val="single" w:sz="4" w:space="0" w:color="auto"/>
              <w:right w:val="single" w:sz="4" w:space="0" w:color="auto"/>
            </w:tcBorders>
            <w:shd w:val="clear" w:color="auto" w:fill="auto"/>
            <w:noWrap/>
            <w:vAlign w:val="center"/>
            <w:hideMark/>
          </w:tcPr>
          <w:p w14:paraId="25A07867"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44.5 b</w:t>
            </w:r>
          </w:p>
        </w:tc>
        <w:tc>
          <w:tcPr>
            <w:tcW w:w="1236" w:type="dxa"/>
            <w:tcBorders>
              <w:top w:val="nil"/>
              <w:left w:val="nil"/>
              <w:bottom w:val="single" w:sz="4" w:space="0" w:color="auto"/>
              <w:right w:val="single" w:sz="4" w:space="0" w:color="auto"/>
            </w:tcBorders>
            <w:shd w:val="clear" w:color="auto" w:fill="auto"/>
            <w:noWrap/>
            <w:vAlign w:val="center"/>
            <w:hideMark/>
          </w:tcPr>
          <w:p w14:paraId="1837D8CB"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38.05 f</w:t>
            </w:r>
          </w:p>
        </w:tc>
        <w:tc>
          <w:tcPr>
            <w:tcW w:w="1143" w:type="dxa"/>
            <w:tcBorders>
              <w:top w:val="nil"/>
              <w:left w:val="nil"/>
              <w:bottom w:val="single" w:sz="4" w:space="0" w:color="auto"/>
              <w:right w:val="single" w:sz="4" w:space="0" w:color="auto"/>
            </w:tcBorders>
            <w:shd w:val="clear" w:color="auto" w:fill="auto"/>
            <w:noWrap/>
            <w:vAlign w:val="center"/>
            <w:hideMark/>
          </w:tcPr>
          <w:p w14:paraId="3184A14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314.88 cd</w:t>
            </w:r>
          </w:p>
        </w:tc>
        <w:tc>
          <w:tcPr>
            <w:tcW w:w="1143" w:type="dxa"/>
            <w:tcBorders>
              <w:top w:val="nil"/>
              <w:left w:val="nil"/>
              <w:bottom w:val="single" w:sz="4" w:space="0" w:color="auto"/>
              <w:right w:val="single" w:sz="4" w:space="0" w:color="auto"/>
            </w:tcBorders>
            <w:shd w:val="clear" w:color="auto" w:fill="auto"/>
            <w:noWrap/>
            <w:vAlign w:val="center"/>
            <w:hideMark/>
          </w:tcPr>
          <w:p w14:paraId="482B660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287.5 b</w:t>
            </w:r>
          </w:p>
        </w:tc>
        <w:tc>
          <w:tcPr>
            <w:tcW w:w="878" w:type="dxa"/>
            <w:tcBorders>
              <w:top w:val="nil"/>
              <w:left w:val="nil"/>
              <w:bottom w:val="single" w:sz="4" w:space="0" w:color="auto"/>
              <w:right w:val="single" w:sz="4" w:space="0" w:color="auto"/>
            </w:tcBorders>
            <w:shd w:val="clear" w:color="auto" w:fill="auto"/>
            <w:noWrap/>
            <w:vAlign w:val="center"/>
            <w:hideMark/>
          </w:tcPr>
          <w:p w14:paraId="43F6CAF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1.22 </w:t>
            </w:r>
            <w:proofErr w:type="spellStart"/>
            <w:r w:rsidRPr="00674046">
              <w:rPr>
                <w:rFonts w:ascii="Times New Roman" w:eastAsia="Times New Roman" w:hAnsi="Times New Roman" w:cs="Times New Roman"/>
                <w:color w:val="000000"/>
                <w:lang w:eastAsia="en-IN"/>
              </w:rPr>
              <w:t>bc</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14:paraId="6DD5B2E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3.65 d</w:t>
            </w:r>
          </w:p>
        </w:tc>
        <w:tc>
          <w:tcPr>
            <w:tcW w:w="1179" w:type="dxa"/>
            <w:tcBorders>
              <w:top w:val="nil"/>
              <w:left w:val="nil"/>
              <w:bottom w:val="single" w:sz="4" w:space="0" w:color="auto"/>
              <w:right w:val="single" w:sz="4" w:space="0" w:color="auto"/>
            </w:tcBorders>
            <w:shd w:val="clear" w:color="auto" w:fill="auto"/>
            <w:noWrap/>
            <w:vAlign w:val="center"/>
            <w:hideMark/>
          </w:tcPr>
          <w:p w14:paraId="3A3C6EA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3.55 d</w:t>
            </w:r>
          </w:p>
        </w:tc>
        <w:tc>
          <w:tcPr>
            <w:tcW w:w="1179" w:type="dxa"/>
            <w:tcBorders>
              <w:top w:val="nil"/>
              <w:left w:val="nil"/>
              <w:bottom w:val="single" w:sz="4" w:space="0" w:color="auto"/>
              <w:right w:val="single" w:sz="4" w:space="0" w:color="auto"/>
            </w:tcBorders>
            <w:shd w:val="clear" w:color="auto" w:fill="auto"/>
            <w:noWrap/>
            <w:vAlign w:val="center"/>
            <w:hideMark/>
          </w:tcPr>
          <w:p w14:paraId="3B6ED65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4.42 e</w:t>
            </w:r>
          </w:p>
        </w:tc>
        <w:tc>
          <w:tcPr>
            <w:tcW w:w="1179" w:type="dxa"/>
            <w:tcBorders>
              <w:top w:val="nil"/>
              <w:left w:val="nil"/>
              <w:bottom w:val="single" w:sz="4" w:space="0" w:color="auto"/>
              <w:right w:val="single" w:sz="4" w:space="0" w:color="auto"/>
            </w:tcBorders>
            <w:shd w:val="clear" w:color="auto" w:fill="auto"/>
            <w:noWrap/>
            <w:vAlign w:val="center"/>
            <w:hideMark/>
          </w:tcPr>
          <w:p w14:paraId="2620916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4.47 g</w:t>
            </w:r>
          </w:p>
        </w:tc>
        <w:tc>
          <w:tcPr>
            <w:tcW w:w="1179" w:type="dxa"/>
            <w:tcBorders>
              <w:top w:val="nil"/>
              <w:left w:val="nil"/>
              <w:bottom w:val="single" w:sz="4" w:space="0" w:color="auto"/>
              <w:right w:val="single" w:sz="4" w:space="0" w:color="auto"/>
            </w:tcBorders>
            <w:shd w:val="clear" w:color="auto" w:fill="auto"/>
            <w:noWrap/>
            <w:vAlign w:val="center"/>
            <w:hideMark/>
          </w:tcPr>
          <w:p w14:paraId="4A7619A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5.42 </w:t>
            </w:r>
            <w:proofErr w:type="spellStart"/>
            <w:r w:rsidRPr="00674046">
              <w:rPr>
                <w:rFonts w:ascii="Times New Roman" w:eastAsia="Times New Roman" w:hAnsi="Times New Roman" w:cs="Times New Roman"/>
                <w:color w:val="000000"/>
                <w:lang w:eastAsia="en-IN"/>
              </w:rPr>
              <w:t>ef</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14:paraId="2FC3906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5.65 e</w:t>
            </w:r>
          </w:p>
        </w:tc>
        <w:tc>
          <w:tcPr>
            <w:tcW w:w="1179" w:type="dxa"/>
            <w:tcBorders>
              <w:top w:val="nil"/>
              <w:left w:val="nil"/>
              <w:bottom w:val="single" w:sz="4" w:space="0" w:color="auto"/>
              <w:right w:val="single" w:sz="4" w:space="0" w:color="auto"/>
            </w:tcBorders>
            <w:shd w:val="clear" w:color="auto" w:fill="auto"/>
            <w:noWrap/>
            <w:vAlign w:val="center"/>
            <w:hideMark/>
          </w:tcPr>
          <w:p w14:paraId="7C86E29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5.8 f</w:t>
            </w:r>
          </w:p>
        </w:tc>
      </w:tr>
      <w:tr w:rsidR="008564E2" w:rsidRPr="000B3819" w14:paraId="43015578"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81B2A4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R16</w:t>
            </w:r>
          </w:p>
        </w:tc>
        <w:tc>
          <w:tcPr>
            <w:tcW w:w="1164" w:type="dxa"/>
            <w:tcBorders>
              <w:top w:val="nil"/>
              <w:left w:val="nil"/>
              <w:bottom w:val="single" w:sz="4" w:space="0" w:color="auto"/>
              <w:right w:val="single" w:sz="4" w:space="0" w:color="auto"/>
            </w:tcBorders>
            <w:shd w:val="clear" w:color="auto" w:fill="auto"/>
            <w:noWrap/>
            <w:vAlign w:val="center"/>
            <w:hideMark/>
          </w:tcPr>
          <w:p w14:paraId="3530FB8C"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44.92 b</w:t>
            </w:r>
          </w:p>
        </w:tc>
        <w:tc>
          <w:tcPr>
            <w:tcW w:w="1236" w:type="dxa"/>
            <w:tcBorders>
              <w:top w:val="nil"/>
              <w:left w:val="nil"/>
              <w:bottom w:val="single" w:sz="4" w:space="0" w:color="auto"/>
              <w:right w:val="single" w:sz="4" w:space="0" w:color="auto"/>
            </w:tcBorders>
            <w:shd w:val="clear" w:color="auto" w:fill="auto"/>
            <w:noWrap/>
            <w:vAlign w:val="center"/>
            <w:hideMark/>
          </w:tcPr>
          <w:p w14:paraId="332EEDF8"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30.83 cd</w:t>
            </w:r>
          </w:p>
        </w:tc>
        <w:tc>
          <w:tcPr>
            <w:tcW w:w="1143" w:type="dxa"/>
            <w:tcBorders>
              <w:top w:val="nil"/>
              <w:left w:val="nil"/>
              <w:bottom w:val="single" w:sz="4" w:space="0" w:color="auto"/>
              <w:right w:val="single" w:sz="4" w:space="0" w:color="auto"/>
            </w:tcBorders>
            <w:shd w:val="clear" w:color="auto" w:fill="auto"/>
            <w:noWrap/>
            <w:vAlign w:val="center"/>
            <w:hideMark/>
          </w:tcPr>
          <w:p w14:paraId="2A6C213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293.35 d</w:t>
            </w:r>
          </w:p>
        </w:tc>
        <w:tc>
          <w:tcPr>
            <w:tcW w:w="1143" w:type="dxa"/>
            <w:tcBorders>
              <w:top w:val="nil"/>
              <w:left w:val="nil"/>
              <w:bottom w:val="single" w:sz="4" w:space="0" w:color="auto"/>
              <w:right w:val="single" w:sz="4" w:space="0" w:color="auto"/>
            </w:tcBorders>
            <w:shd w:val="clear" w:color="auto" w:fill="auto"/>
            <w:noWrap/>
            <w:vAlign w:val="center"/>
            <w:hideMark/>
          </w:tcPr>
          <w:p w14:paraId="1142A72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186.9 c</w:t>
            </w:r>
          </w:p>
        </w:tc>
        <w:tc>
          <w:tcPr>
            <w:tcW w:w="878" w:type="dxa"/>
            <w:tcBorders>
              <w:top w:val="nil"/>
              <w:left w:val="nil"/>
              <w:bottom w:val="single" w:sz="4" w:space="0" w:color="auto"/>
              <w:right w:val="single" w:sz="4" w:space="0" w:color="auto"/>
            </w:tcBorders>
            <w:shd w:val="clear" w:color="auto" w:fill="auto"/>
            <w:noWrap/>
            <w:vAlign w:val="center"/>
            <w:hideMark/>
          </w:tcPr>
          <w:p w14:paraId="45124B4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2.35 a</w:t>
            </w:r>
          </w:p>
        </w:tc>
        <w:tc>
          <w:tcPr>
            <w:tcW w:w="1047" w:type="dxa"/>
            <w:tcBorders>
              <w:top w:val="nil"/>
              <w:left w:val="nil"/>
              <w:bottom w:val="single" w:sz="4" w:space="0" w:color="auto"/>
              <w:right w:val="single" w:sz="4" w:space="0" w:color="auto"/>
            </w:tcBorders>
            <w:shd w:val="clear" w:color="auto" w:fill="auto"/>
            <w:noWrap/>
            <w:vAlign w:val="center"/>
            <w:hideMark/>
          </w:tcPr>
          <w:p w14:paraId="69DF5FD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3.98 d</w:t>
            </w:r>
          </w:p>
        </w:tc>
        <w:tc>
          <w:tcPr>
            <w:tcW w:w="1179" w:type="dxa"/>
            <w:tcBorders>
              <w:top w:val="nil"/>
              <w:left w:val="nil"/>
              <w:bottom w:val="single" w:sz="4" w:space="0" w:color="auto"/>
              <w:right w:val="single" w:sz="4" w:space="0" w:color="auto"/>
            </w:tcBorders>
            <w:shd w:val="clear" w:color="auto" w:fill="auto"/>
            <w:noWrap/>
            <w:vAlign w:val="center"/>
            <w:hideMark/>
          </w:tcPr>
          <w:p w14:paraId="396C0AD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4.56 b</w:t>
            </w:r>
          </w:p>
        </w:tc>
        <w:tc>
          <w:tcPr>
            <w:tcW w:w="1179" w:type="dxa"/>
            <w:tcBorders>
              <w:top w:val="nil"/>
              <w:left w:val="nil"/>
              <w:bottom w:val="single" w:sz="4" w:space="0" w:color="auto"/>
              <w:right w:val="single" w:sz="4" w:space="0" w:color="auto"/>
            </w:tcBorders>
            <w:shd w:val="clear" w:color="auto" w:fill="auto"/>
            <w:noWrap/>
            <w:vAlign w:val="center"/>
            <w:hideMark/>
          </w:tcPr>
          <w:p w14:paraId="00E927F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6.25 a</w:t>
            </w:r>
          </w:p>
        </w:tc>
        <w:tc>
          <w:tcPr>
            <w:tcW w:w="1179" w:type="dxa"/>
            <w:tcBorders>
              <w:top w:val="nil"/>
              <w:left w:val="nil"/>
              <w:bottom w:val="single" w:sz="4" w:space="0" w:color="auto"/>
              <w:right w:val="single" w:sz="4" w:space="0" w:color="auto"/>
            </w:tcBorders>
            <w:shd w:val="clear" w:color="auto" w:fill="auto"/>
            <w:noWrap/>
            <w:vAlign w:val="center"/>
            <w:hideMark/>
          </w:tcPr>
          <w:p w14:paraId="0BADD46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6.57 a</w:t>
            </w:r>
          </w:p>
        </w:tc>
        <w:tc>
          <w:tcPr>
            <w:tcW w:w="1179" w:type="dxa"/>
            <w:tcBorders>
              <w:top w:val="nil"/>
              <w:left w:val="nil"/>
              <w:bottom w:val="single" w:sz="4" w:space="0" w:color="auto"/>
              <w:right w:val="single" w:sz="4" w:space="0" w:color="auto"/>
            </w:tcBorders>
            <w:shd w:val="clear" w:color="auto" w:fill="auto"/>
            <w:noWrap/>
            <w:vAlign w:val="center"/>
            <w:hideMark/>
          </w:tcPr>
          <w:p w14:paraId="26B9CEA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6.71 a</w:t>
            </w:r>
          </w:p>
        </w:tc>
        <w:tc>
          <w:tcPr>
            <w:tcW w:w="1179" w:type="dxa"/>
            <w:tcBorders>
              <w:top w:val="nil"/>
              <w:left w:val="nil"/>
              <w:bottom w:val="single" w:sz="4" w:space="0" w:color="auto"/>
              <w:right w:val="single" w:sz="4" w:space="0" w:color="auto"/>
            </w:tcBorders>
            <w:shd w:val="clear" w:color="auto" w:fill="auto"/>
            <w:noWrap/>
            <w:vAlign w:val="center"/>
            <w:hideMark/>
          </w:tcPr>
          <w:p w14:paraId="4138D4B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6.76 a</w:t>
            </w:r>
          </w:p>
        </w:tc>
        <w:tc>
          <w:tcPr>
            <w:tcW w:w="1179" w:type="dxa"/>
            <w:tcBorders>
              <w:top w:val="nil"/>
              <w:left w:val="nil"/>
              <w:bottom w:val="single" w:sz="4" w:space="0" w:color="auto"/>
              <w:right w:val="single" w:sz="4" w:space="0" w:color="auto"/>
            </w:tcBorders>
            <w:shd w:val="clear" w:color="auto" w:fill="auto"/>
            <w:noWrap/>
            <w:vAlign w:val="center"/>
            <w:hideMark/>
          </w:tcPr>
          <w:p w14:paraId="3C45209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6.83 a</w:t>
            </w:r>
          </w:p>
        </w:tc>
      </w:tr>
      <w:tr w:rsidR="008564E2" w:rsidRPr="000B3819" w14:paraId="10377C80"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538B10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M35-1</w:t>
            </w:r>
          </w:p>
        </w:tc>
        <w:tc>
          <w:tcPr>
            <w:tcW w:w="1164" w:type="dxa"/>
            <w:tcBorders>
              <w:top w:val="nil"/>
              <w:left w:val="nil"/>
              <w:bottom w:val="single" w:sz="4" w:space="0" w:color="auto"/>
              <w:right w:val="single" w:sz="4" w:space="0" w:color="auto"/>
            </w:tcBorders>
            <w:shd w:val="clear" w:color="auto" w:fill="auto"/>
            <w:noWrap/>
            <w:vAlign w:val="center"/>
            <w:hideMark/>
          </w:tcPr>
          <w:p w14:paraId="0AEC9B50"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 xml:space="preserve">43.8 </w:t>
            </w:r>
            <w:proofErr w:type="spellStart"/>
            <w:r w:rsidRPr="00674046">
              <w:rPr>
                <w:rFonts w:ascii="Times New Roman" w:eastAsia="Times New Roman" w:hAnsi="Times New Roman" w:cs="Times New Roman"/>
                <w:lang w:eastAsia="en-IN"/>
              </w:rPr>
              <w:t>bc</w:t>
            </w:r>
            <w:proofErr w:type="spellEnd"/>
          </w:p>
        </w:tc>
        <w:tc>
          <w:tcPr>
            <w:tcW w:w="1236" w:type="dxa"/>
            <w:tcBorders>
              <w:top w:val="nil"/>
              <w:left w:val="nil"/>
              <w:bottom w:val="single" w:sz="4" w:space="0" w:color="auto"/>
              <w:right w:val="single" w:sz="4" w:space="0" w:color="auto"/>
            </w:tcBorders>
            <w:shd w:val="clear" w:color="auto" w:fill="auto"/>
            <w:noWrap/>
            <w:vAlign w:val="center"/>
            <w:hideMark/>
          </w:tcPr>
          <w:p w14:paraId="320EF4E6"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 xml:space="preserve">29.87 </w:t>
            </w:r>
            <w:proofErr w:type="spellStart"/>
            <w:r w:rsidRPr="00674046">
              <w:rPr>
                <w:rFonts w:ascii="Times New Roman" w:eastAsia="Times New Roman" w:hAnsi="Times New Roman" w:cs="Times New Roman"/>
                <w:lang w:eastAsia="en-IN"/>
              </w:rPr>
              <w:t>bcd</w:t>
            </w:r>
            <w:proofErr w:type="spellEnd"/>
          </w:p>
        </w:tc>
        <w:tc>
          <w:tcPr>
            <w:tcW w:w="1143" w:type="dxa"/>
            <w:tcBorders>
              <w:top w:val="nil"/>
              <w:left w:val="nil"/>
              <w:bottom w:val="single" w:sz="4" w:space="0" w:color="auto"/>
              <w:right w:val="single" w:sz="4" w:space="0" w:color="auto"/>
            </w:tcBorders>
            <w:shd w:val="clear" w:color="auto" w:fill="auto"/>
            <w:noWrap/>
            <w:vAlign w:val="center"/>
            <w:hideMark/>
          </w:tcPr>
          <w:p w14:paraId="02D5F52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346.78 b</w:t>
            </w:r>
          </w:p>
        </w:tc>
        <w:tc>
          <w:tcPr>
            <w:tcW w:w="1143" w:type="dxa"/>
            <w:tcBorders>
              <w:top w:val="nil"/>
              <w:left w:val="nil"/>
              <w:bottom w:val="single" w:sz="4" w:space="0" w:color="auto"/>
              <w:right w:val="single" w:sz="4" w:space="0" w:color="auto"/>
            </w:tcBorders>
            <w:shd w:val="clear" w:color="auto" w:fill="auto"/>
            <w:noWrap/>
            <w:vAlign w:val="center"/>
            <w:hideMark/>
          </w:tcPr>
          <w:p w14:paraId="652B55C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194.57 b</w:t>
            </w:r>
          </w:p>
        </w:tc>
        <w:tc>
          <w:tcPr>
            <w:tcW w:w="878" w:type="dxa"/>
            <w:tcBorders>
              <w:top w:val="nil"/>
              <w:left w:val="nil"/>
              <w:bottom w:val="single" w:sz="4" w:space="0" w:color="auto"/>
              <w:right w:val="single" w:sz="4" w:space="0" w:color="auto"/>
            </w:tcBorders>
            <w:shd w:val="clear" w:color="auto" w:fill="auto"/>
            <w:noWrap/>
            <w:vAlign w:val="center"/>
            <w:hideMark/>
          </w:tcPr>
          <w:p w14:paraId="4A858C8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2.37 </w:t>
            </w:r>
            <w:proofErr w:type="spellStart"/>
            <w:r w:rsidRPr="00674046">
              <w:rPr>
                <w:rFonts w:ascii="Times New Roman" w:eastAsia="Times New Roman" w:hAnsi="Times New Roman" w:cs="Times New Roman"/>
                <w:color w:val="000000"/>
                <w:lang w:eastAsia="en-IN"/>
              </w:rPr>
              <w:t>bc</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14:paraId="006C14F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3.69 f</w:t>
            </w:r>
          </w:p>
        </w:tc>
        <w:tc>
          <w:tcPr>
            <w:tcW w:w="1179" w:type="dxa"/>
            <w:tcBorders>
              <w:top w:val="nil"/>
              <w:left w:val="nil"/>
              <w:bottom w:val="single" w:sz="4" w:space="0" w:color="auto"/>
              <w:right w:val="single" w:sz="4" w:space="0" w:color="auto"/>
            </w:tcBorders>
            <w:shd w:val="clear" w:color="auto" w:fill="auto"/>
            <w:noWrap/>
            <w:vAlign w:val="center"/>
            <w:hideMark/>
          </w:tcPr>
          <w:p w14:paraId="4D6D3B5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3.75 e</w:t>
            </w:r>
          </w:p>
        </w:tc>
        <w:tc>
          <w:tcPr>
            <w:tcW w:w="1179" w:type="dxa"/>
            <w:tcBorders>
              <w:top w:val="nil"/>
              <w:left w:val="nil"/>
              <w:bottom w:val="single" w:sz="4" w:space="0" w:color="auto"/>
              <w:right w:val="single" w:sz="4" w:space="0" w:color="auto"/>
            </w:tcBorders>
            <w:shd w:val="clear" w:color="auto" w:fill="auto"/>
            <w:noWrap/>
            <w:vAlign w:val="center"/>
            <w:hideMark/>
          </w:tcPr>
          <w:p w14:paraId="728A833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4.25 </w:t>
            </w:r>
            <w:proofErr w:type="spellStart"/>
            <w:r w:rsidRPr="00674046">
              <w:rPr>
                <w:rFonts w:ascii="Times New Roman" w:eastAsia="Times New Roman" w:hAnsi="Times New Roman" w:cs="Times New Roman"/>
                <w:color w:val="000000"/>
                <w:lang w:eastAsia="en-IN"/>
              </w:rPr>
              <w:t>ef</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14:paraId="46D9085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5.12 e</w:t>
            </w:r>
          </w:p>
        </w:tc>
        <w:tc>
          <w:tcPr>
            <w:tcW w:w="1179" w:type="dxa"/>
            <w:tcBorders>
              <w:top w:val="nil"/>
              <w:left w:val="nil"/>
              <w:bottom w:val="single" w:sz="4" w:space="0" w:color="auto"/>
              <w:right w:val="single" w:sz="4" w:space="0" w:color="auto"/>
            </w:tcBorders>
            <w:shd w:val="clear" w:color="auto" w:fill="auto"/>
            <w:noWrap/>
            <w:vAlign w:val="center"/>
            <w:hideMark/>
          </w:tcPr>
          <w:p w14:paraId="0F22859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5.74 f</w:t>
            </w:r>
          </w:p>
        </w:tc>
        <w:tc>
          <w:tcPr>
            <w:tcW w:w="1179" w:type="dxa"/>
            <w:tcBorders>
              <w:top w:val="nil"/>
              <w:left w:val="nil"/>
              <w:bottom w:val="single" w:sz="4" w:space="0" w:color="auto"/>
              <w:right w:val="single" w:sz="4" w:space="0" w:color="auto"/>
            </w:tcBorders>
            <w:shd w:val="clear" w:color="auto" w:fill="auto"/>
            <w:noWrap/>
            <w:vAlign w:val="center"/>
            <w:hideMark/>
          </w:tcPr>
          <w:p w14:paraId="3A6AE4D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6.25 c</w:t>
            </w:r>
          </w:p>
        </w:tc>
        <w:tc>
          <w:tcPr>
            <w:tcW w:w="1179" w:type="dxa"/>
            <w:tcBorders>
              <w:top w:val="nil"/>
              <w:left w:val="nil"/>
              <w:bottom w:val="single" w:sz="4" w:space="0" w:color="auto"/>
              <w:right w:val="single" w:sz="4" w:space="0" w:color="auto"/>
            </w:tcBorders>
            <w:shd w:val="clear" w:color="auto" w:fill="auto"/>
            <w:noWrap/>
            <w:vAlign w:val="center"/>
            <w:hideMark/>
          </w:tcPr>
          <w:p w14:paraId="31D9EBC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6.25 de</w:t>
            </w:r>
          </w:p>
        </w:tc>
      </w:tr>
      <w:tr w:rsidR="008564E2" w:rsidRPr="000B3819" w14:paraId="43185993"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BB0055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CRS1</w:t>
            </w:r>
          </w:p>
        </w:tc>
        <w:tc>
          <w:tcPr>
            <w:tcW w:w="1164" w:type="dxa"/>
            <w:tcBorders>
              <w:top w:val="nil"/>
              <w:left w:val="nil"/>
              <w:bottom w:val="single" w:sz="4" w:space="0" w:color="auto"/>
              <w:right w:val="single" w:sz="4" w:space="0" w:color="auto"/>
            </w:tcBorders>
            <w:shd w:val="clear" w:color="auto" w:fill="auto"/>
            <w:noWrap/>
            <w:vAlign w:val="center"/>
            <w:hideMark/>
          </w:tcPr>
          <w:p w14:paraId="6ACA3924"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39.17 d</w:t>
            </w:r>
          </w:p>
        </w:tc>
        <w:tc>
          <w:tcPr>
            <w:tcW w:w="1236" w:type="dxa"/>
            <w:tcBorders>
              <w:top w:val="nil"/>
              <w:left w:val="nil"/>
              <w:bottom w:val="single" w:sz="4" w:space="0" w:color="auto"/>
              <w:right w:val="single" w:sz="4" w:space="0" w:color="auto"/>
            </w:tcBorders>
            <w:shd w:val="clear" w:color="auto" w:fill="auto"/>
            <w:noWrap/>
            <w:vAlign w:val="center"/>
            <w:hideMark/>
          </w:tcPr>
          <w:p w14:paraId="6AFF060C"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 xml:space="preserve">25.65 </w:t>
            </w:r>
            <w:proofErr w:type="spellStart"/>
            <w:r w:rsidRPr="00674046">
              <w:rPr>
                <w:rFonts w:ascii="Times New Roman" w:eastAsia="Times New Roman" w:hAnsi="Times New Roman" w:cs="Times New Roman"/>
                <w:lang w:eastAsia="en-IN"/>
              </w:rPr>
              <w:t>ef</w:t>
            </w:r>
            <w:proofErr w:type="spellEnd"/>
          </w:p>
        </w:tc>
        <w:tc>
          <w:tcPr>
            <w:tcW w:w="1143" w:type="dxa"/>
            <w:tcBorders>
              <w:top w:val="nil"/>
              <w:left w:val="nil"/>
              <w:bottom w:val="single" w:sz="4" w:space="0" w:color="auto"/>
              <w:right w:val="single" w:sz="4" w:space="0" w:color="auto"/>
            </w:tcBorders>
            <w:shd w:val="clear" w:color="auto" w:fill="auto"/>
            <w:noWrap/>
            <w:vAlign w:val="center"/>
            <w:hideMark/>
          </w:tcPr>
          <w:p w14:paraId="5497F0D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352.64 </w:t>
            </w:r>
            <w:proofErr w:type="spellStart"/>
            <w:r w:rsidRPr="00674046">
              <w:rPr>
                <w:rFonts w:ascii="Times New Roman" w:eastAsia="Times New Roman" w:hAnsi="Times New Roman" w:cs="Times New Roman"/>
                <w:color w:val="000000"/>
                <w:lang w:eastAsia="en-IN"/>
              </w:rPr>
              <w:t>bc</w:t>
            </w:r>
            <w:proofErr w:type="spellEnd"/>
          </w:p>
        </w:tc>
        <w:tc>
          <w:tcPr>
            <w:tcW w:w="1143" w:type="dxa"/>
            <w:tcBorders>
              <w:top w:val="nil"/>
              <w:left w:val="nil"/>
              <w:bottom w:val="single" w:sz="4" w:space="0" w:color="auto"/>
              <w:right w:val="single" w:sz="4" w:space="0" w:color="auto"/>
            </w:tcBorders>
            <w:shd w:val="clear" w:color="auto" w:fill="auto"/>
            <w:noWrap/>
            <w:vAlign w:val="center"/>
            <w:hideMark/>
          </w:tcPr>
          <w:p w14:paraId="63FE88D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256.49 b</w:t>
            </w:r>
          </w:p>
        </w:tc>
        <w:tc>
          <w:tcPr>
            <w:tcW w:w="878" w:type="dxa"/>
            <w:tcBorders>
              <w:top w:val="nil"/>
              <w:left w:val="nil"/>
              <w:bottom w:val="single" w:sz="4" w:space="0" w:color="auto"/>
              <w:right w:val="single" w:sz="4" w:space="0" w:color="auto"/>
            </w:tcBorders>
            <w:shd w:val="clear" w:color="auto" w:fill="auto"/>
            <w:noWrap/>
            <w:vAlign w:val="center"/>
            <w:hideMark/>
          </w:tcPr>
          <w:p w14:paraId="36D5B20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2.64 </w:t>
            </w:r>
            <w:proofErr w:type="spellStart"/>
            <w:r w:rsidRPr="00674046">
              <w:rPr>
                <w:rFonts w:ascii="Times New Roman" w:eastAsia="Times New Roman" w:hAnsi="Times New Roman" w:cs="Times New Roman"/>
                <w:color w:val="000000"/>
                <w:lang w:eastAsia="en-IN"/>
              </w:rPr>
              <w:t>abc</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14:paraId="3F1B4FF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3.92 c</w:t>
            </w:r>
          </w:p>
        </w:tc>
        <w:tc>
          <w:tcPr>
            <w:tcW w:w="1179" w:type="dxa"/>
            <w:tcBorders>
              <w:top w:val="nil"/>
              <w:left w:val="nil"/>
              <w:bottom w:val="single" w:sz="4" w:space="0" w:color="auto"/>
              <w:right w:val="single" w:sz="4" w:space="0" w:color="auto"/>
            </w:tcBorders>
            <w:shd w:val="clear" w:color="auto" w:fill="auto"/>
            <w:noWrap/>
            <w:vAlign w:val="center"/>
            <w:hideMark/>
          </w:tcPr>
          <w:p w14:paraId="15D6C07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4.25 c</w:t>
            </w:r>
          </w:p>
        </w:tc>
        <w:tc>
          <w:tcPr>
            <w:tcW w:w="1179" w:type="dxa"/>
            <w:tcBorders>
              <w:top w:val="nil"/>
              <w:left w:val="nil"/>
              <w:bottom w:val="single" w:sz="4" w:space="0" w:color="auto"/>
              <w:right w:val="single" w:sz="4" w:space="0" w:color="auto"/>
            </w:tcBorders>
            <w:shd w:val="clear" w:color="auto" w:fill="auto"/>
            <w:noWrap/>
            <w:vAlign w:val="center"/>
            <w:hideMark/>
          </w:tcPr>
          <w:p w14:paraId="6AA389D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4.65 d</w:t>
            </w:r>
          </w:p>
        </w:tc>
        <w:tc>
          <w:tcPr>
            <w:tcW w:w="1179" w:type="dxa"/>
            <w:tcBorders>
              <w:top w:val="nil"/>
              <w:left w:val="nil"/>
              <w:bottom w:val="single" w:sz="4" w:space="0" w:color="auto"/>
              <w:right w:val="single" w:sz="4" w:space="0" w:color="auto"/>
            </w:tcBorders>
            <w:shd w:val="clear" w:color="auto" w:fill="auto"/>
            <w:noWrap/>
            <w:vAlign w:val="center"/>
            <w:hideMark/>
          </w:tcPr>
          <w:p w14:paraId="1EEC2F2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5.35 c</w:t>
            </w:r>
          </w:p>
        </w:tc>
        <w:tc>
          <w:tcPr>
            <w:tcW w:w="1179" w:type="dxa"/>
            <w:tcBorders>
              <w:top w:val="nil"/>
              <w:left w:val="nil"/>
              <w:bottom w:val="single" w:sz="4" w:space="0" w:color="auto"/>
              <w:right w:val="single" w:sz="4" w:space="0" w:color="auto"/>
            </w:tcBorders>
            <w:shd w:val="clear" w:color="auto" w:fill="auto"/>
            <w:noWrap/>
            <w:vAlign w:val="center"/>
            <w:hideMark/>
          </w:tcPr>
          <w:p w14:paraId="65D91B5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5.75 d</w:t>
            </w:r>
          </w:p>
        </w:tc>
        <w:tc>
          <w:tcPr>
            <w:tcW w:w="1179" w:type="dxa"/>
            <w:tcBorders>
              <w:top w:val="nil"/>
              <w:left w:val="nil"/>
              <w:bottom w:val="single" w:sz="4" w:space="0" w:color="auto"/>
              <w:right w:val="single" w:sz="4" w:space="0" w:color="auto"/>
            </w:tcBorders>
            <w:shd w:val="clear" w:color="auto" w:fill="auto"/>
            <w:noWrap/>
            <w:vAlign w:val="center"/>
            <w:hideMark/>
          </w:tcPr>
          <w:p w14:paraId="54FBD43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6.36 d</w:t>
            </w:r>
          </w:p>
        </w:tc>
        <w:tc>
          <w:tcPr>
            <w:tcW w:w="1179" w:type="dxa"/>
            <w:tcBorders>
              <w:top w:val="nil"/>
              <w:left w:val="nil"/>
              <w:bottom w:val="single" w:sz="4" w:space="0" w:color="auto"/>
              <w:right w:val="single" w:sz="4" w:space="0" w:color="auto"/>
            </w:tcBorders>
            <w:shd w:val="clear" w:color="auto" w:fill="auto"/>
            <w:noWrap/>
            <w:vAlign w:val="center"/>
            <w:hideMark/>
          </w:tcPr>
          <w:p w14:paraId="5C083CF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6.35 de</w:t>
            </w:r>
          </w:p>
        </w:tc>
      </w:tr>
      <w:tr w:rsidR="008564E2" w:rsidRPr="000B3819" w14:paraId="4562B5B4"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83147ED" w14:textId="6969B995" w:rsidR="008564E2" w:rsidRPr="00674046" w:rsidRDefault="008564E2" w:rsidP="00C2037F">
            <w:pPr>
              <w:jc w:val="center"/>
              <w:rPr>
                <w:rFonts w:ascii="Times New Roman" w:eastAsia="Times New Roman" w:hAnsi="Times New Roman" w:cs="Times New Roman"/>
                <w:color w:val="000000"/>
                <w:lang w:eastAsia="en-IN"/>
              </w:rPr>
            </w:pPr>
            <w:proofErr w:type="spellStart"/>
            <w:r w:rsidRPr="00674046">
              <w:rPr>
                <w:rFonts w:ascii="Times New Roman" w:eastAsia="Times New Roman" w:hAnsi="Times New Roman" w:cs="Times New Roman"/>
                <w:color w:val="000000"/>
                <w:lang w:eastAsia="en-IN"/>
              </w:rPr>
              <w:t>P</w:t>
            </w:r>
            <w:r w:rsidR="00B92EB6">
              <w:rPr>
                <w:rFonts w:ascii="Times New Roman" w:eastAsia="Times New Roman" w:hAnsi="Times New Roman" w:cs="Times New Roman"/>
                <w:color w:val="000000"/>
                <w:lang w:eastAsia="en-IN"/>
              </w:rPr>
              <w:t>arbhani</w:t>
            </w:r>
            <w:proofErr w:type="spellEnd"/>
            <w:r w:rsidR="00B92EB6">
              <w:rPr>
                <w:rFonts w:ascii="Times New Roman" w:eastAsia="Times New Roman" w:hAnsi="Times New Roman" w:cs="Times New Roman"/>
                <w:color w:val="000000"/>
                <w:lang w:eastAsia="en-IN"/>
              </w:rPr>
              <w:t xml:space="preserve"> Moti</w:t>
            </w:r>
          </w:p>
        </w:tc>
        <w:tc>
          <w:tcPr>
            <w:tcW w:w="1164" w:type="dxa"/>
            <w:tcBorders>
              <w:top w:val="nil"/>
              <w:left w:val="nil"/>
              <w:bottom w:val="single" w:sz="4" w:space="0" w:color="auto"/>
              <w:right w:val="single" w:sz="4" w:space="0" w:color="auto"/>
            </w:tcBorders>
            <w:shd w:val="clear" w:color="auto" w:fill="auto"/>
            <w:noWrap/>
            <w:vAlign w:val="center"/>
            <w:hideMark/>
          </w:tcPr>
          <w:p w14:paraId="35A11BAD"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 xml:space="preserve">43.67 </w:t>
            </w:r>
            <w:proofErr w:type="spellStart"/>
            <w:r w:rsidRPr="00674046">
              <w:rPr>
                <w:rFonts w:ascii="Times New Roman" w:eastAsia="Times New Roman" w:hAnsi="Times New Roman" w:cs="Times New Roman"/>
                <w:lang w:eastAsia="en-IN"/>
              </w:rPr>
              <w:t>bc</w:t>
            </w:r>
            <w:proofErr w:type="spellEnd"/>
          </w:p>
        </w:tc>
        <w:tc>
          <w:tcPr>
            <w:tcW w:w="1236" w:type="dxa"/>
            <w:tcBorders>
              <w:top w:val="nil"/>
              <w:left w:val="nil"/>
              <w:bottom w:val="single" w:sz="4" w:space="0" w:color="auto"/>
              <w:right w:val="single" w:sz="4" w:space="0" w:color="auto"/>
            </w:tcBorders>
            <w:shd w:val="clear" w:color="auto" w:fill="auto"/>
            <w:noWrap/>
            <w:vAlign w:val="center"/>
            <w:hideMark/>
          </w:tcPr>
          <w:p w14:paraId="00AF87C1"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36.37 b</w:t>
            </w:r>
          </w:p>
        </w:tc>
        <w:tc>
          <w:tcPr>
            <w:tcW w:w="1143" w:type="dxa"/>
            <w:tcBorders>
              <w:top w:val="nil"/>
              <w:left w:val="nil"/>
              <w:bottom w:val="single" w:sz="4" w:space="0" w:color="auto"/>
              <w:right w:val="single" w:sz="4" w:space="0" w:color="auto"/>
            </w:tcBorders>
            <w:shd w:val="clear" w:color="auto" w:fill="auto"/>
            <w:noWrap/>
            <w:vAlign w:val="center"/>
            <w:hideMark/>
          </w:tcPr>
          <w:p w14:paraId="68F7AAA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325.70 </w:t>
            </w:r>
            <w:proofErr w:type="spellStart"/>
            <w:r w:rsidRPr="00674046">
              <w:rPr>
                <w:rFonts w:ascii="Times New Roman" w:eastAsia="Times New Roman" w:hAnsi="Times New Roman" w:cs="Times New Roman"/>
                <w:color w:val="000000"/>
                <w:lang w:eastAsia="en-IN"/>
              </w:rPr>
              <w:t>bc</w:t>
            </w:r>
            <w:proofErr w:type="spellEnd"/>
          </w:p>
        </w:tc>
        <w:tc>
          <w:tcPr>
            <w:tcW w:w="1143" w:type="dxa"/>
            <w:tcBorders>
              <w:top w:val="nil"/>
              <w:left w:val="nil"/>
              <w:bottom w:val="single" w:sz="4" w:space="0" w:color="auto"/>
              <w:right w:val="single" w:sz="4" w:space="0" w:color="auto"/>
            </w:tcBorders>
            <w:shd w:val="clear" w:color="auto" w:fill="auto"/>
            <w:noWrap/>
            <w:vAlign w:val="center"/>
            <w:hideMark/>
          </w:tcPr>
          <w:p w14:paraId="005B146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185.48 b</w:t>
            </w:r>
          </w:p>
        </w:tc>
        <w:tc>
          <w:tcPr>
            <w:tcW w:w="878" w:type="dxa"/>
            <w:tcBorders>
              <w:top w:val="nil"/>
              <w:left w:val="nil"/>
              <w:bottom w:val="single" w:sz="4" w:space="0" w:color="auto"/>
              <w:right w:val="single" w:sz="4" w:space="0" w:color="auto"/>
            </w:tcBorders>
            <w:shd w:val="clear" w:color="auto" w:fill="auto"/>
            <w:noWrap/>
            <w:vAlign w:val="center"/>
            <w:hideMark/>
          </w:tcPr>
          <w:p w14:paraId="412A6DC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2.87 c</w:t>
            </w:r>
          </w:p>
        </w:tc>
        <w:tc>
          <w:tcPr>
            <w:tcW w:w="1047" w:type="dxa"/>
            <w:tcBorders>
              <w:top w:val="nil"/>
              <w:left w:val="nil"/>
              <w:bottom w:val="single" w:sz="4" w:space="0" w:color="auto"/>
              <w:right w:val="single" w:sz="4" w:space="0" w:color="auto"/>
            </w:tcBorders>
            <w:shd w:val="clear" w:color="auto" w:fill="auto"/>
            <w:noWrap/>
            <w:vAlign w:val="center"/>
            <w:hideMark/>
          </w:tcPr>
          <w:p w14:paraId="13C2A4F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4.62 a</w:t>
            </w:r>
          </w:p>
        </w:tc>
        <w:tc>
          <w:tcPr>
            <w:tcW w:w="1179" w:type="dxa"/>
            <w:tcBorders>
              <w:top w:val="nil"/>
              <w:left w:val="nil"/>
              <w:bottom w:val="single" w:sz="4" w:space="0" w:color="auto"/>
              <w:right w:val="single" w:sz="4" w:space="0" w:color="auto"/>
            </w:tcBorders>
            <w:shd w:val="clear" w:color="auto" w:fill="auto"/>
            <w:noWrap/>
            <w:vAlign w:val="center"/>
            <w:hideMark/>
          </w:tcPr>
          <w:p w14:paraId="2D3F840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4.9 a</w:t>
            </w:r>
          </w:p>
        </w:tc>
        <w:tc>
          <w:tcPr>
            <w:tcW w:w="1179" w:type="dxa"/>
            <w:tcBorders>
              <w:top w:val="nil"/>
              <w:left w:val="nil"/>
              <w:bottom w:val="single" w:sz="4" w:space="0" w:color="auto"/>
              <w:right w:val="single" w:sz="4" w:space="0" w:color="auto"/>
            </w:tcBorders>
            <w:shd w:val="clear" w:color="auto" w:fill="auto"/>
            <w:noWrap/>
            <w:vAlign w:val="center"/>
            <w:hideMark/>
          </w:tcPr>
          <w:p w14:paraId="78B7DFE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5.52 b</w:t>
            </w:r>
          </w:p>
        </w:tc>
        <w:tc>
          <w:tcPr>
            <w:tcW w:w="1179" w:type="dxa"/>
            <w:tcBorders>
              <w:top w:val="nil"/>
              <w:left w:val="nil"/>
              <w:bottom w:val="single" w:sz="4" w:space="0" w:color="auto"/>
              <w:right w:val="single" w:sz="4" w:space="0" w:color="auto"/>
            </w:tcBorders>
            <w:shd w:val="clear" w:color="auto" w:fill="auto"/>
            <w:noWrap/>
            <w:vAlign w:val="center"/>
            <w:hideMark/>
          </w:tcPr>
          <w:p w14:paraId="4115439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5.82 b</w:t>
            </w:r>
          </w:p>
        </w:tc>
        <w:tc>
          <w:tcPr>
            <w:tcW w:w="1179" w:type="dxa"/>
            <w:tcBorders>
              <w:top w:val="nil"/>
              <w:left w:val="nil"/>
              <w:bottom w:val="single" w:sz="4" w:space="0" w:color="auto"/>
              <w:right w:val="single" w:sz="4" w:space="0" w:color="auto"/>
            </w:tcBorders>
            <w:shd w:val="clear" w:color="auto" w:fill="auto"/>
            <w:noWrap/>
            <w:vAlign w:val="center"/>
            <w:hideMark/>
          </w:tcPr>
          <w:p w14:paraId="67CF956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6.32 c</w:t>
            </w:r>
          </w:p>
        </w:tc>
        <w:tc>
          <w:tcPr>
            <w:tcW w:w="1179" w:type="dxa"/>
            <w:tcBorders>
              <w:top w:val="nil"/>
              <w:left w:val="nil"/>
              <w:bottom w:val="single" w:sz="4" w:space="0" w:color="auto"/>
              <w:right w:val="single" w:sz="4" w:space="0" w:color="auto"/>
            </w:tcBorders>
            <w:shd w:val="clear" w:color="auto" w:fill="auto"/>
            <w:noWrap/>
            <w:vAlign w:val="center"/>
            <w:hideMark/>
          </w:tcPr>
          <w:p w14:paraId="21A3998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6.57 b</w:t>
            </w:r>
          </w:p>
        </w:tc>
        <w:tc>
          <w:tcPr>
            <w:tcW w:w="1179" w:type="dxa"/>
            <w:tcBorders>
              <w:top w:val="nil"/>
              <w:left w:val="nil"/>
              <w:bottom w:val="single" w:sz="4" w:space="0" w:color="auto"/>
              <w:right w:val="single" w:sz="4" w:space="0" w:color="auto"/>
            </w:tcBorders>
            <w:shd w:val="clear" w:color="auto" w:fill="auto"/>
            <w:noWrap/>
            <w:vAlign w:val="center"/>
            <w:hideMark/>
          </w:tcPr>
          <w:p w14:paraId="1C46060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6.92 b</w:t>
            </w:r>
          </w:p>
        </w:tc>
      </w:tr>
      <w:tr w:rsidR="008564E2" w:rsidRPr="000B3819" w14:paraId="55FDB058"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6E18ED5" w14:textId="4DA89BD2"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P</w:t>
            </w:r>
            <w:r w:rsidR="00B92EB6">
              <w:rPr>
                <w:rFonts w:ascii="Times New Roman" w:eastAsia="Times New Roman" w:hAnsi="Times New Roman" w:cs="Times New Roman"/>
                <w:color w:val="000000"/>
                <w:lang w:eastAsia="en-IN"/>
              </w:rPr>
              <w:t>hule Vasudha</w:t>
            </w:r>
          </w:p>
        </w:tc>
        <w:tc>
          <w:tcPr>
            <w:tcW w:w="1164" w:type="dxa"/>
            <w:tcBorders>
              <w:top w:val="nil"/>
              <w:left w:val="nil"/>
              <w:bottom w:val="single" w:sz="4" w:space="0" w:color="auto"/>
              <w:right w:val="single" w:sz="4" w:space="0" w:color="auto"/>
            </w:tcBorders>
            <w:shd w:val="clear" w:color="auto" w:fill="auto"/>
            <w:noWrap/>
            <w:vAlign w:val="center"/>
            <w:hideMark/>
          </w:tcPr>
          <w:p w14:paraId="4631766B"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42.47 c</w:t>
            </w:r>
          </w:p>
        </w:tc>
        <w:tc>
          <w:tcPr>
            <w:tcW w:w="1236" w:type="dxa"/>
            <w:tcBorders>
              <w:top w:val="nil"/>
              <w:left w:val="nil"/>
              <w:bottom w:val="single" w:sz="4" w:space="0" w:color="auto"/>
              <w:right w:val="single" w:sz="4" w:space="0" w:color="auto"/>
            </w:tcBorders>
            <w:shd w:val="clear" w:color="auto" w:fill="auto"/>
            <w:noWrap/>
            <w:vAlign w:val="center"/>
            <w:hideMark/>
          </w:tcPr>
          <w:p w14:paraId="7298B638"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28.95 de</w:t>
            </w:r>
          </w:p>
        </w:tc>
        <w:tc>
          <w:tcPr>
            <w:tcW w:w="1143" w:type="dxa"/>
            <w:tcBorders>
              <w:top w:val="nil"/>
              <w:left w:val="nil"/>
              <w:bottom w:val="single" w:sz="4" w:space="0" w:color="auto"/>
              <w:right w:val="single" w:sz="4" w:space="0" w:color="auto"/>
            </w:tcBorders>
            <w:shd w:val="clear" w:color="auto" w:fill="auto"/>
            <w:noWrap/>
            <w:vAlign w:val="center"/>
            <w:hideMark/>
          </w:tcPr>
          <w:p w14:paraId="679369E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340.88 </w:t>
            </w:r>
            <w:proofErr w:type="spellStart"/>
            <w:r w:rsidRPr="00674046">
              <w:rPr>
                <w:rFonts w:ascii="Times New Roman" w:eastAsia="Times New Roman" w:hAnsi="Times New Roman" w:cs="Times New Roman"/>
                <w:color w:val="000000"/>
                <w:lang w:eastAsia="en-IN"/>
              </w:rPr>
              <w:t>bc</w:t>
            </w:r>
            <w:proofErr w:type="spellEnd"/>
          </w:p>
        </w:tc>
        <w:tc>
          <w:tcPr>
            <w:tcW w:w="1143" w:type="dxa"/>
            <w:tcBorders>
              <w:top w:val="nil"/>
              <w:left w:val="nil"/>
              <w:bottom w:val="single" w:sz="4" w:space="0" w:color="auto"/>
              <w:right w:val="single" w:sz="4" w:space="0" w:color="auto"/>
            </w:tcBorders>
            <w:shd w:val="clear" w:color="auto" w:fill="auto"/>
            <w:noWrap/>
            <w:vAlign w:val="center"/>
            <w:hideMark/>
          </w:tcPr>
          <w:p w14:paraId="1D52513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230.62 b</w:t>
            </w:r>
          </w:p>
        </w:tc>
        <w:tc>
          <w:tcPr>
            <w:tcW w:w="878" w:type="dxa"/>
            <w:tcBorders>
              <w:top w:val="nil"/>
              <w:left w:val="nil"/>
              <w:bottom w:val="single" w:sz="4" w:space="0" w:color="auto"/>
              <w:right w:val="single" w:sz="4" w:space="0" w:color="auto"/>
            </w:tcBorders>
            <w:shd w:val="clear" w:color="auto" w:fill="auto"/>
            <w:noWrap/>
            <w:vAlign w:val="center"/>
            <w:hideMark/>
          </w:tcPr>
          <w:p w14:paraId="7A03128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2.45 </w:t>
            </w:r>
            <w:proofErr w:type="spellStart"/>
            <w:r w:rsidRPr="00674046">
              <w:rPr>
                <w:rFonts w:ascii="Times New Roman" w:eastAsia="Times New Roman" w:hAnsi="Times New Roman" w:cs="Times New Roman"/>
                <w:color w:val="000000"/>
                <w:lang w:eastAsia="en-IN"/>
              </w:rPr>
              <w:t>bc</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14:paraId="62E9E96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4.24 a</w:t>
            </w:r>
          </w:p>
        </w:tc>
        <w:tc>
          <w:tcPr>
            <w:tcW w:w="1179" w:type="dxa"/>
            <w:tcBorders>
              <w:top w:val="nil"/>
              <w:left w:val="nil"/>
              <w:bottom w:val="single" w:sz="4" w:space="0" w:color="auto"/>
              <w:right w:val="single" w:sz="4" w:space="0" w:color="auto"/>
            </w:tcBorders>
            <w:shd w:val="clear" w:color="auto" w:fill="auto"/>
            <w:noWrap/>
            <w:vAlign w:val="center"/>
            <w:hideMark/>
          </w:tcPr>
          <w:p w14:paraId="42AC0F1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 b</w:t>
            </w:r>
          </w:p>
        </w:tc>
        <w:tc>
          <w:tcPr>
            <w:tcW w:w="1179" w:type="dxa"/>
            <w:tcBorders>
              <w:top w:val="nil"/>
              <w:left w:val="nil"/>
              <w:bottom w:val="single" w:sz="4" w:space="0" w:color="auto"/>
              <w:right w:val="single" w:sz="4" w:space="0" w:color="auto"/>
            </w:tcBorders>
            <w:shd w:val="clear" w:color="auto" w:fill="auto"/>
            <w:noWrap/>
            <w:vAlign w:val="center"/>
            <w:hideMark/>
          </w:tcPr>
          <w:p w14:paraId="5DCB330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5.12 c</w:t>
            </w:r>
          </w:p>
        </w:tc>
        <w:tc>
          <w:tcPr>
            <w:tcW w:w="1179" w:type="dxa"/>
            <w:tcBorders>
              <w:top w:val="nil"/>
              <w:left w:val="nil"/>
              <w:bottom w:val="single" w:sz="4" w:space="0" w:color="auto"/>
              <w:right w:val="single" w:sz="4" w:space="0" w:color="auto"/>
            </w:tcBorders>
            <w:shd w:val="clear" w:color="auto" w:fill="auto"/>
            <w:noWrap/>
            <w:vAlign w:val="center"/>
            <w:hideMark/>
          </w:tcPr>
          <w:p w14:paraId="577084C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5.15 d</w:t>
            </w:r>
          </w:p>
        </w:tc>
        <w:tc>
          <w:tcPr>
            <w:tcW w:w="1179" w:type="dxa"/>
            <w:tcBorders>
              <w:top w:val="nil"/>
              <w:left w:val="nil"/>
              <w:bottom w:val="single" w:sz="4" w:space="0" w:color="auto"/>
              <w:right w:val="single" w:sz="4" w:space="0" w:color="auto"/>
            </w:tcBorders>
            <w:shd w:val="clear" w:color="auto" w:fill="auto"/>
            <w:noWrap/>
            <w:vAlign w:val="center"/>
            <w:hideMark/>
          </w:tcPr>
          <w:p w14:paraId="12A3ABB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5.82 d</w:t>
            </w:r>
          </w:p>
        </w:tc>
        <w:tc>
          <w:tcPr>
            <w:tcW w:w="1179" w:type="dxa"/>
            <w:tcBorders>
              <w:top w:val="nil"/>
              <w:left w:val="nil"/>
              <w:bottom w:val="single" w:sz="4" w:space="0" w:color="auto"/>
              <w:right w:val="single" w:sz="4" w:space="0" w:color="auto"/>
            </w:tcBorders>
            <w:shd w:val="clear" w:color="auto" w:fill="auto"/>
            <w:noWrap/>
            <w:vAlign w:val="center"/>
            <w:hideMark/>
          </w:tcPr>
          <w:p w14:paraId="2BFEDC3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6.28 c</w:t>
            </w:r>
          </w:p>
        </w:tc>
        <w:tc>
          <w:tcPr>
            <w:tcW w:w="1179" w:type="dxa"/>
            <w:tcBorders>
              <w:top w:val="nil"/>
              <w:left w:val="nil"/>
              <w:bottom w:val="single" w:sz="4" w:space="0" w:color="auto"/>
              <w:right w:val="single" w:sz="4" w:space="0" w:color="auto"/>
            </w:tcBorders>
            <w:shd w:val="clear" w:color="auto" w:fill="auto"/>
            <w:noWrap/>
            <w:vAlign w:val="center"/>
            <w:hideMark/>
          </w:tcPr>
          <w:p w14:paraId="6B52792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6.43 d</w:t>
            </w:r>
          </w:p>
        </w:tc>
      </w:tr>
      <w:tr w:rsidR="008564E2" w:rsidRPr="000B3819" w14:paraId="6FA7F27F"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062F338" w14:textId="77777777" w:rsidR="008564E2" w:rsidRPr="005128F0" w:rsidRDefault="008564E2" w:rsidP="00C2037F">
            <w:pPr>
              <w:jc w:val="center"/>
              <w:rPr>
                <w:rFonts w:ascii="Times New Roman" w:eastAsia="Times New Roman" w:hAnsi="Times New Roman" w:cs="Times New Roman"/>
                <w:b/>
                <w:color w:val="000000"/>
                <w:lang w:eastAsia="en-IN"/>
              </w:rPr>
            </w:pPr>
            <w:r w:rsidRPr="005128F0">
              <w:rPr>
                <w:rFonts w:ascii="Times New Roman" w:eastAsia="Times New Roman" w:hAnsi="Times New Roman" w:cs="Times New Roman"/>
                <w:b/>
                <w:color w:val="000000"/>
                <w:lang w:eastAsia="en-IN"/>
              </w:rPr>
              <w:t>GMS</w:t>
            </w:r>
          </w:p>
        </w:tc>
        <w:tc>
          <w:tcPr>
            <w:tcW w:w="1164" w:type="dxa"/>
            <w:tcBorders>
              <w:top w:val="nil"/>
              <w:left w:val="nil"/>
              <w:bottom w:val="single" w:sz="4" w:space="0" w:color="auto"/>
              <w:right w:val="single" w:sz="4" w:space="0" w:color="auto"/>
            </w:tcBorders>
            <w:shd w:val="clear" w:color="auto" w:fill="auto"/>
            <w:noWrap/>
            <w:vAlign w:val="center"/>
            <w:hideMark/>
          </w:tcPr>
          <w:p w14:paraId="6F19574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34.87</w:t>
            </w:r>
          </w:p>
        </w:tc>
        <w:tc>
          <w:tcPr>
            <w:tcW w:w="1236" w:type="dxa"/>
            <w:tcBorders>
              <w:top w:val="nil"/>
              <w:left w:val="nil"/>
              <w:bottom w:val="single" w:sz="4" w:space="0" w:color="auto"/>
              <w:right w:val="single" w:sz="4" w:space="0" w:color="auto"/>
            </w:tcBorders>
            <w:shd w:val="clear" w:color="auto" w:fill="auto"/>
            <w:noWrap/>
            <w:vAlign w:val="center"/>
            <w:hideMark/>
          </w:tcPr>
          <w:p w14:paraId="3A351D0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22.02</w:t>
            </w:r>
          </w:p>
        </w:tc>
        <w:tc>
          <w:tcPr>
            <w:tcW w:w="1143" w:type="dxa"/>
            <w:tcBorders>
              <w:top w:val="nil"/>
              <w:left w:val="nil"/>
              <w:bottom w:val="single" w:sz="4" w:space="0" w:color="auto"/>
              <w:right w:val="single" w:sz="4" w:space="0" w:color="auto"/>
            </w:tcBorders>
            <w:shd w:val="clear" w:color="auto" w:fill="auto"/>
            <w:noWrap/>
            <w:vAlign w:val="center"/>
            <w:hideMark/>
          </w:tcPr>
          <w:p w14:paraId="22A7514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8470.22</w:t>
            </w:r>
          </w:p>
        </w:tc>
        <w:tc>
          <w:tcPr>
            <w:tcW w:w="1143" w:type="dxa"/>
            <w:tcBorders>
              <w:top w:val="nil"/>
              <w:left w:val="nil"/>
              <w:bottom w:val="single" w:sz="4" w:space="0" w:color="auto"/>
              <w:right w:val="single" w:sz="4" w:space="0" w:color="auto"/>
            </w:tcBorders>
            <w:shd w:val="clear" w:color="auto" w:fill="auto"/>
            <w:noWrap/>
            <w:vAlign w:val="center"/>
            <w:hideMark/>
          </w:tcPr>
          <w:p w14:paraId="07E5484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10846.2</w:t>
            </w:r>
          </w:p>
        </w:tc>
        <w:tc>
          <w:tcPr>
            <w:tcW w:w="878" w:type="dxa"/>
            <w:tcBorders>
              <w:top w:val="nil"/>
              <w:left w:val="nil"/>
              <w:bottom w:val="single" w:sz="4" w:space="0" w:color="auto"/>
              <w:right w:val="single" w:sz="4" w:space="0" w:color="auto"/>
            </w:tcBorders>
            <w:shd w:val="clear" w:color="auto" w:fill="auto"/>
            <w:noWrap/>
            <w:vAlign w:val="center"/>
            <w:hideMark/>
          </w:tcPr>
          <w:p w14:paraId="021212C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1.244</w:t>
            </w:r>
          </w:p>
        </w:tc>
        <w:tc>
          <w:tcPr>
            <w:tcW w:w="1047" w:type="dxa"/>
            <w:tcBorders>
              <w:top w:val="nil"/>
              <w:left w:val="nil"/>
              <w:bottom w:val="single" w:sz="4" w:space="0" w:color="auto"/>
              <w:right w:val="single" w:sz="4" w:space="0" w:color="auto"/>
            </w:tcBorders>
            <w:shd w:val="clear" w:color="auto" w:fill="auto"/>
            <w:noWrap/>
            <w:vAlign w:val="center"/>
            <w:hideMark/>
          </w:tcPr>
          <w:p w14:paraId="0A67070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2.67</w:t>
            </w:r>
          </w:p>
        </w:tc>
        <w:tc>
          <w:tcPr>
            <w:tcW w:w="1179" w:type="dxa"/>
            <w:tcBorders>
              <w:top w:val="nil"/>
              <w:left w:val="nil"/>
              <w:bottom w:val="single" w:sz="4" w:space="0" w:color="auto"/>
              <w:right w:val="single" w:sz="4" w:space="0" w:color="auto"/>
            </w:tcBorders>
            <w:shd w:val="clear" w:color="auto" w:fill="auto"/>
            <w:noWrap/>
            <w:vAlign w:val="center"/>
            <w:hideMark/>
          </w:tcPr>
          <w:p w14:paraId="2D84796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2.64</w:t>
            </w:r>
          </w:p>
        </w:tc>
        <w:tc>
          <w:tcPr>
            <w:tcW w:w="1179" w:type="dxa"/>
            <w:tcBorders>
              <w:top w:val="nil"/>
              <w:left w:val="nil"/>
              <w:bottom w:val="single" w:sz="4" w:space="0" w:color="auto"/>
              <w:right w:val="single" w:sz="4" w:space="0" w:color="auto"/>
            </w:tcBorders>
            <w:shd w:val="clear" w:color="auto" w:fill="auto"/>
            <w:noWrap/>
            <w:vAlign w:val="center"/>
            <w:hideMark/>
          </w:tcPr>
          <w:p w14:paraId="4E31115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3.16</w:t>
            </w:r>
          </w:p>
        </w:tc>
        <w:tc>
          <w:tcPr>
            <w:tcW w:w="1179" w:type="dxa"/>
            <w:tcBorders>
              <w:top w:val="nil"/>
              <w:left w:val="nil"/>
              <w:bottom w:val="single" w:sz="4" w:space="0" w:color="auto"/>
              <w:right w:val="single" w:sz="4" w:space="0" w:color="auto"/>
            </w:tcBorders>
            <w:shd w:val="clear" w:color="auto" w:fill="auto"/>
            <w:noWrap/>
            <w:vAlign w:val="center"/>
            <w:hideMark/>
          </w:tcPr>
          <w:p w14:paraId="4B72E70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3.76</w:t>
            </w:r>
          </w:p>
        </w:tc>
        <w:tc>
          <w:tcPr>
            <w:tcW w:w="1179" w:type="dxa"/>
            <w:tcBorders>
              <w:top w:val="nil"/>
              <w:left w:val="nil"/>
              <w:bottom w:val="single" w:sz="4" w:space="0" w:color="auto"/>
              <w:right w:val="single" w:sz="4" w:space="0" w:color="auto"/>
            </w:tcBorders>
            <w:shd w:val="clear" w:color="auto" w:fill="auto"/>
            <w:noWrap/>
            <w:vAlign w:val="center"/>
            <w:hideMark/>
          </w:tcPr>
          <w:p w14:paraId="12168E9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4.31</w:t>
            </w:r>
          </w:p>
        </w:tc>
        <w:tc>
          <w:tcPr>
            <w:tcW w:w="1179" w:type="dxa"/>
            <w:tcBorders>
              <w:top w:val="nil"/>
              <w:left w:val="nil"/>
              <w:bottom w:val="single" w:sz="4" w:space="0" w:color="auto"/>
              <w:right w:val="single" w:sz="4" w:space="0" w:color="auto"/>
            </w:tcBorders>
            <w:shd w:val="clear" w:color="auto" w:fill="auto"/>
            <w:noWrap/>
            <w:vAlign w:val="center"/>
            <w:hideMark/>
          </w:tcPr>
          <w:p w14:paraId="066887B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4.7</w:t>
            </w:r>
          </w:p>
        </w:tc>
        <w:tc>
          <w:tcPr>
            <w:tcW w:w="1179" w:type="dxa"/>
            <w:tcBorders>
              <w:top w:val="nil"/>
              <w:left w:val="nil"/>
              <w:bottom w:val="single" w:sz="4" w:space="0" w:color="auto"/>
              <w:right w:val="single" w:sz="4" w:space="0" w:color="auto"/>
            </w:tcBorders>
            <w:shd w:val="clear" w:color="auto" w:fill="auto"/>
            <w:noWrap/>
            <w:vAlign w:val="center"/>
            <w:hideMark/>
          </w:tcPr>
          <w:p w14:paraId="732BBAB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3.91</w:t>
            </w:r>
          </w:p>
        </w:tc>
      </w:tr>
      <w:tr w:rsidR="008564E2" w:rsidRPr="000B3819" w14:paraId="74D1F3E5"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90EEC7F" w14:textId="77777777" w:rsidR="008564E2" w:rsidRPr="005128F0" w:rsidRDefault="008564E2" w:rsidP="00C2037F">
            <w:pPr>
              <w:jc w:val="center"/>
              <w:rPr>
                <w:rFonts w:ascii="Times New Roman" w:eastAsia="Times New Roman" w:hAnsi="Times New Roman" w:cs="Times New Roman"/>
                <w:b/>
                <w:color w:val="000000"/>
                <w:lang w:eastAsia="en-IN"/>
              </w:rPr>
            </w:pPr>
            <w:r w:rsidRPr="005128F0">
              <w:rPr>
                <w:rFonts w:ascii="Times New Roman" w:eastAsia="Times New Roman" w:hAnsi="Times New Roman" w:cs="Times New Roman"/>
                <w:b/>
                <w:color w:val="000000"/>
                <w:lang w:eastAsia="en-IN"/>
              </w:rPr>
              <w:t>EMS</w:t>
            </w:r>
          </w:p>
        </w:tc>
        <w:tc>
          <w:tcPr>
            <w:tcW w:w="1164" w:type="dxa"/>
            <w:tcBorders>
              <w:top w:val="nil"/>
              <w:left w:val="nil"/>
              <w:bottom w:val="single" w:sz="4" w:space="0" w:color="auto"/>
              <w:right w:val="single" w:sz="4" w:space="0" w:color="auto"/>
            </w:tcBorders>
            <w:shd w:val="clear" w:color="auto" w:fill="auto"/>
            <w:noWrap/>
            <w:vAlign w:val="center"/>
            <w:hideMark/>
          </w:tcPr>
          <w:p w14:paraId="6C938F7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0.545</w:t>
            </w:r>
          </w:p>
        </w:tc>
        <w:tc>
          <w:tcPr>
            <w:tcW w:w="1236" w:type="dxa"/>
            <w:tcBorders>
              <w:top w:val="nil"/>
              <w:left w:val="nil"/>
              <w:bottom w:val="single" w:sz="4" w:space="0" w:color="auto"/>
              <w:right w:val="single" w:sz="4" w:space="0" w:color="auto"/>
            </w:tcBorders>
            <w:shd w:val="clear" w:color="auto" w:fill="auto"/>
            <w:noWrap/>
            <w:vAlign w:val="center"/>
            <w:hideMark/>
          </w:tcPr>
          <w:p w14:paraId="73F2AA9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0.44</w:t>
            </w:r>
          </w:p>
        </w:tc>
        <w:tc>
          <w:tcPr>
            <w:tcW w:w="1143" w:type="dxa"/>
            <w:tcBorders>
              <w:top w:val="nil"/>
              <w:left w:val="nil"/>
              <w:bottom w:val="single" w:sz="4" w:space="0" w:color="auto"/>
              <w:right w:val="single" w:sz="4" w:space="0" w:color="auto"/>
            </w:tcBorders>
            <w:shd w:val="clear" w:color="auto" w:fill="auto"/>
            <w:noWrap/>
            <w:vAlign w:val="center"/>
            <w:hideMark/>
          </w:tcPr>
          <w:p w14:paraId="3F86E96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150.06</w:t>
            </w:r>
          </w:p>
        </w:tc>
        <w:tc>
          <w:tcPr>
            <w:tcW w:w="1143" w:type="dxa"/>
            <w:tcBorders>
              <w:top w:val="nil"/>
              <w:left w:val="nil"/>
              <w:bottom w:val="single" w:sz="4" w:space="0" w:color="auto"/>
              <w:right w:val="single" w:sz="4" w:space="0" w:color="auto"/>
            </w:tcBorders>
            <w:shd w:val="clear" w:color="auto" w:fill="auto"/>
            <w:noWrap/>
            <w:vAlign w:val="center"/>
            <w:hideMark/>
          </w:tcPr>
          <w:p w14:paraId="35B3DA3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252.35</w:t>
            </w:r>
          </w:p>
        </w:tc>
        <w:tc>
          <w:tcPr>
            <w:tcW w:w="878" w:type="dxa"/>
            <w:tcBorders>
              <w:top w:val="nil"/>
              <w:left w:val="nil"/>
              <w:bottom w:val="single" w:sz="4" w:space="0" w:color="auto"/>
              <w:right w:val="single" w:sz="4" w:space="0" w:color="auto"/>
            </w:tcBorders>
            <w:shd w:val="clear" w:color="auto" w:fill="auto"/>
            <w:noWrap/>
            <w:vAlign w:val="center"/>
            <w:hideMark/>
          </w:tcPr>
          <w:p w14:paraId="4FC7881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0.195</w:t>
            </w:r>
          </w:p>
        </w:tc>
        <w:tc>
          <w:tcPr>
            <w:tcW w:w="1047" w:type="dxa"/>
            <w:tcBorders>
              <w:top w:val="nil"/>
              <w:left w:val="nil"/>
              <w:bottom w:val="single" w:sz="4" w:space="0" w:color="auto"/>
              <w:right w:val="single" w:sz="4" w:space="0" w:color="auto"/>
            </w:tcBorders>
            <w:shd w:val="clear" w:color="auto" w:fill="auto"/>
            <w:noWrap/>
            <w:vAlign w:val="center"/>
            <w:hideMark/>
          </w:tcPr>
          <w:p w14:paraId="34BC837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0.006</w:t>
            </w:r>
          </w:p>
        </w:tc>
        <w:tc>
          <w:tcPr>
            <w:tcW w:w="1179" w:type="dxa"/>
            <w:tcBorders>
              <w:top w:val="nil"/>
              <w:left w:val="nil"/>
              <w:bottom w:val="single" w:sz="4" w:space="0" w:color="auto"/>
              <w:right w:val="single" w:sz="4" w:space="0" w:color="auto"/>
            </w:tcBorders>
            <w:shd w:val="clear" w:color="auto" w:fill="auto"/>
            <w:noWrap/>
            <w:vAlign w:val="center"/>
            <w:hideMark/>
          </w:tcPr>
          <w:p w14:paraId="3F0D47E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0.005</w:t>
            </w:r>
          </w:p>
        </w:tc>
        <w:tc>
          <w:tcPr>
            <w:tcW w:w="1179" w:type="dxa"/>
            <w:tcBorders>
              <w:top w:val="nil"/>
              <w:left w:val="nil"/>
              <w:bottom w:val="single" w:sz="4" w:space="0" w:color="auto"/>
              <w:right w:val="single" w:sz="4" w:space="0" w:color="auto"/>
            </w:tcBorders>
            <w:shd w:val="clear" w:color="auto" w:fill="auto"/>
            <w:noWrap/>
            <w:vAlign w:val="center"/>
            <w:hideMark/>
          </w:tcPr>
          <w:p w14:paraId="7B8C153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0.008</w:t>
            </w:r>
          </w:p>
        </w:tc>
        <w:tc>
          <w:tcPr>
            <w:tcW w:w="1179" w:type="dxa"/>
            <w:tcBorders>
              <w:top w:val="nil"/>
              <w:left w:val="nil"/>
              <w:bottom w:val="single" w:sz="4" w:space="0" w:color="auto"/>
              <w:right w:val="single" w:sz="4" w:space="0" w:color="auto"/>
            </w:tcBorders>
            <w:shd w:val="clear" w:color="auto" w:fill="auto"/>
            <w:noWrap/>
            <w:vAlign w:val="center"/>
            <w:hideMark/>
          </w:tcPr>
          <w:p w14:paraId="48162CC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0.005</w:t>
            </w:r>
          </w:p>
        </w:tc>
        <w:tc>
          <w:tcPr>
            <w:tcW w:w="1179" w:type="dxa"/>
            <w:tcBorders>
              <w:top w:val="nil"/>
              <w:left w:val="nil"/>
              <w:bottom w:val="single" w:sz="4" w:space="0" w:color="auto"/>
              <w:right w:val="single" w:sz="4" w:space="0" w:color="auto"/>
            </w:tcBorders>
            <w:shd w:val="clear" w:color="auto" w:fill="auto"/>
            <w:noWrap/>
            <w:vAlign w:val="center"/>
            <w:hideMark/>
          </w:tcPr>
          <w:p w14:paraId="15C0B3D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0.005</w:t>
            </w:r>
          </w:p>
        </w:tc>
        <w:tc>
          <w:tcPr>
            <w:tcW w:w="1179" w:type="dxa"/>
            <w:tcBorders>
              <w:top w:val="nil"/>
              <w:left w:val="nil"/>
              <w:bottom w:val="single" w:sz="4" w:space="0" w:color="auto"/>
              <w:right w:val="single" w:sz="4" w:space="0" w:color="auto"/>
            </w:tcBorders>
            <w:shd w:val="clear" w:color="auto" w:fill="auto"/>
            <w:noWrap/>
            <w:vAlign w:val="center"/>
            <w:hideMark/>
          </w:tcPr>
          <w:p w14:paraId="1CBF5DD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0.005</w:t>
            </w:r>
          </w:p>
        </w:tc>
        <w:tc>
          <w:tcPr>
            <w:tcW w:w="1179" w:type="dxa"/>
            <w:tcBorders>
              <w:top w:val="nil"/>
              <w:left w:val="nil"/>
              <w:bottom w:val="single" w:sz="4" w:space="0" w:color="auto"/>
              <w:right w:val="single" w:sz="4" w:space="0" w:color="auto"/>
            </w:tcBorders>
            <w:shd w:val="clear" w:color="auto" w:fill="auto"/>
            <w:noWrap/>
            <w:vAlign w:val="center"/>
            <w:hideMark/>
          </w:tcPr>
          <w:p w14:paraId="7480308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0.006</w:t>
            </w:r>
          </w:p>
        </w:tc>
      </w:tr>
      <w:tr w:rsidR="008564E2" w:rsidRPr="000B3819" w14:paraId="01D994B1"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5867E05" w14:textId="77777777" w:rsidR="008564E2" w:rsidRPr="005128F0" w:rsidRDefault="008564E2" w:rsidP="00C2037F">
            <w:pPr>
              <w:jc w:val="center"/>
              <w:rPr>
                <w:rFonts w:ascii="Times New Roman" w:eastAsia="Times New Roman" w:hAnsi="Times New Roman" w:cs="Times New Roman"/>
                <w:b/>
                <w:color w:val="000000"/>
                <w:lang w:eastAsia="en-IN"/>
              </w:rPr>
            </w:pPr>
            <w:r w:rsidRPr="005128F0">
              <w:rPr>
                <w:rFonts w:ascii="Times New Roman" w:eastAsia="Times New Roman" w:hAnsi="Times New Roman" w:cs="Times New Roman"/>
                <w:b/>
                <w:color w:val="000000"/>
                <w:lang w:eastAsia="en-IN"/>
              </w:rPr>
              <w:t>P value</w:t>
            </w:r>
          </w:p>
        </w:tc>
        <w:tc>
          <w:tcPr>
            <w:tcW w:w="1164" w:type="dxa"/>
            <w:tcBorders>
              <w:top w:val="nil"/>
              <w:left w:val="nil"/>
              <w:bottom w:val="single" w:sz="4" w:space="0" w:color="auto"/>
              <w:right w:val="single" w:sz="4" w:space="0" w:color="auto"/>
            </w:tcBorders>
            <w:shd w:val="clear" w:color="auto" w:fill="auto"/>
            <w:noWrap/>
            <w:vAlign w:val="center"/>
            <w:hideMark/>
          </w:tcPr>
          <w:p w14:paraId="039D59F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236" w:type="dxa"/>
            <w:tcBorders>
              <w:top w:val="nil"/>
              <w:left w:val="nil"/>
              <w:bottom w:val="single" w:sz="4" w:space="0" w:color="auto"/>
              <w:right w:val="single" w:sz="4" w:space="0" w:color="auto"/>
            </w:tcBorders>
            <w:shd w:val="clear" w:color="auto" w:fill="auto"/>
            <w:noWrap/>
            <w:vAlign w:val="center"/>
            <w:hideMark/>
          </w:tcPr>
          <w:p w14:paraId="46910B8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43" w:type="dxa"/>
            <w:tcBorders>
              <w:top w:val="nil"/>
              <w:left w:val="nil"/>
              <w:bottom w:val="single" w:sz="4" w:space="0" w:color="auto"/>
              <w:right w:val="single" w:sz="4" w:space="0" w:color="auto"/>
            </w:tcBorders>
            <w:shd w:val="clear" w:color="auto" w:fill="auto"/>
            <w:noWrap/>
            <w:vAlign w:val="center"/>
            <w:hideMark/>
          </w:tcPr>
          <w:p w14:paraId="4574401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43" w:type="dxa"/>
            <w:tcBorders>
              <w:top w:val="nil"/>
              <w:left w:val="nil"/>
              <w:bottom w:val="single" w:sz="4" w:space="0" w:color="auto"/>
              <w:right w:val="single" w:sz="4" w:space="0" w:color="auto"/>
            </w:tcBorders>
            <w:shd w:val="clear" w:color="auto" w:fill="auto"/>
            <w:noWrap/>
            <w:vAlign w:val="center"/>
            <w:hideMark/>
          </w:tcPr>
          <w:p w14:paraId="17CB8A7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878" w:type="dxa"/>
            <w:tcBorders>
              <w:top w:val="nil"/>
              <w:left w:val="nil"/>
              <w:bottom w:val="single" w:sz="4" w:space="0" w:color="auto"/>
              <w:right w:val="single" w:sz="4" w:space="0" w:color="auto"/>
            </w:tcBorders>
            <w:shd w:val="clear" w:color="auto" w:fill="auto"/>
            <w:noWrap/>
            <w:vAlign w:val="center"/>
            <w:hideMark/>
          </w:tcPr>
          <w:p w14:paraId="768C0EC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047" w:type="dxa"/>
            <w:tcBorders>
              <w:top w:val="nil"/>
              <w:left w:val="nil"/>
              <w:bottom w:val="single" w:sz="4" w:space="0" w:color="auto"/>
              <w:right w:val="single" w:sz="4" w:space="0" w:color="auto"/>
            </w:tcBorders>
            <w:shd w:val="clear" w:color="auto" w:fill="auto"/>
            <w:noWrap/>
            <w:vAlign w:val="center"/>
            <w:hideMark/>
          </w:tcPr>
          <w:p w14:paraId="762106A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14:paraId="6C08D41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14:paraId="29BC47D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14:paraId="371D282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14:paraId="749AFFB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14:paraId="7951FB1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14:paraId="591B27F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r>
      <w:tr w:rsidR="008564E2" w:rsidRPr="000B3819" w14:paraId="313AD69C"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329E8E0" w14:textId="77777777" w:rsidR="008564E2" w:rsidRPr="005128F0" w:rsidRDefault="008564E2" w:rsidP="00C2037F">
            <w:pPr>
              <w:jc w:val="center"/>
              <w:rPr>
                <w:rFonts w:ascii="Times New Roman" w:eastAsia="Times New Roman" w:hAnsi="Times New Roman" w:cs="Times New Roman"/>
                <w:b/>
                <w:color w:val="000000"/>
                <w:lang w:eastAsia="en-IN"/>
              </w:rPr>
            </w:pPr>
            <w:r w:rsidRPr="005128F0">
              <w:rPr>
                <w:rFonts w:ascii="Times New Roman" w:eastAsia="Times New Roman" w:hAnsi="Times New Roman" w:cs="Times New Roman"/>
                <w:b/>
                <w:color w:val="000000"/>
                <w:lang w:eastAsia="en-IN"/>
              </w:rPr>
              <w:t>CV</w:t>
            </w:r>
          </w:p>
        </w:tc>
        <w:tc>
          <w:tcPr>
            <w:tcW w:w="1164" w:type="dxa"/>
            <w:tcBorders>
              <w:top w:val="nil"/>
              <w:left w:val="nil"/>
              <w:bottom w:val="single" w:sz="4" w:space="0" w:color="auto"/>
              <w:right w:val="single" w:sz="4" w:space="0" w:color="auto"/>
            </w:tcBorders>
            <w:shd w:val="clear" w:color="auto" w:fill="auto"/>
            <w:noWrap/>
            <w:vAlign w:val="center"/>
            <w:hideMark/>
          </w:tcPr>
          <w:p w14:paraId="49D7910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1.65</w:t>
            </w:r>
          </w:p>
        </w:tc>
        <w:tc>
          <w:tcPr>
            <w:tcW w:w="1236" w:type="dxa"/>
            <w:tcBorders>
              <w:top w:val="nil"/>
              <w:left w:val="nil"/>
              <w:bottom w:val="single" w:sz="4" w:space="0" w:color="auto"/>
              <w:right w:val="single" w:sz="4" w:space="0" w:color="auto"/>
            </w:tcBorders>
            <w:shd w:val="clear" w:color="auto" w:fill="auto"/>
            <w:noWrap/>
            <w:vAlign w:val="center"/>
            <w:hideMark/>
          </w:tcPr>
          <w:p w14:paraId="6DE468A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w:t>
            </w:r>
          </w:p>
        </w:tc>
        <w:tc>
          <w:tcPr>
            <w:tcW w:w="1143" w:type="dxa"/>
            <w:tcBorders>
              <w:top w:val="nil"/>
              <w:left w:val="nil"/>
              <w:bottom w:val="single" w:sz="4" w:space="0" w:color="auto"/>
              <w:right w:val="single" w:sz="4" w:space="0" w:color="auto"/>
            </w:tcBorders>
            <w:shd w:val="clear" w:color="auto" w:fill="auto"/>
            <w:noWrap/>
            <w:vAlign w:val="center"/>
            <w:hideMark/>
          </w:tcPr>
          <w:p w14:paraId="6E8EB83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3.74</w:t>
            </w:r>
          </w:p>
        </w:tc>
        <w:tc>
          <w:tcPr>
            <w:tcW w:w="1143" w:type="dxa"/>
            <w:tcBorders>
              <w:top w:val="nil"/>
              <w:left w:val="nil"/>
              <w:bottom w:val="single" w:sz="4" w:space="0" w:color="auto"/>
              <w:right w:val="single" w:sz="4" w:space="0" w:color="auto"/>
            </w:tcBorders>
            <w:shd w:val="clear" w:color="auto" w:fill="auto"/>
            <w:noWrap/>
            <w:vAlign w:val="center"/>
            <w:hideMark/>
          </w:tcPr>
          <w:p w14:paraId="743DD3A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6.16</w:t>
            </w:r>
          </w:p>
        </w:tc>
        <w:tc>
          <w:tcPr>
            <w:tcW w:w="878" w:type="dxa"/>
            <w:tcBorders>
              <w:top w:val="nil"/>
              <w:left w:val="nil"/>
              <w:bottom w:val="single" w:sz="4" w:space="0" w:color="auto"/>
              <w:right w:val="single" w:sz="4" w:space="0" w:color="auto"/>
            </w:tcBorders>
            <w:shd w:val="clear" w:color="auto" w:fill="auto"/>
            <w:noWrap/>
            <w:vAlign w:val="center"/>
            <w:hideMark/>
          </w:tcPr>
          <w:p w14:paraId="02ED4DA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29.18</w:t>
            </w:r>
          </w:p>
        </w:tc>
        <w:tc>
          <w:tcPr>
            <w:tcW w:w="1047" w:type="dxa"/>
            <w:tcBorders>
              <w:top w:val="nil"/>
              <w:left w:val="nil"/>
              <w:bottom w:val="single" w:sz="4" w:space="0" w:color="auto"/>
              <w:right w:val="single" w:sz="4" w:space="0" w:color="auto"/>
            </w:tcBorders>
            <w:shd w:val="clear" w:color="auto" w:fill="auto"/>
            <w:noWrap/>
            <w:vAlign w:val="center"/>
            <w:hideMark/>
          </w:tcPr>
          <w:p w14:paraId="64C93BD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2.18</w:t>
            </w:r>
          </w:p>
        </w:tc>
        <w:tc>
          <w:tcPr>
            <w:tcW w:w="1179" w:type="dxa"/>
            <w:tcBorders>
              <w:top w:val="nil"/>
              <w:left w:val="nil"/>
              <w:bottom w:val="single" w:sz="4" w:space="0" w:color="auto"/>
              <w:right w:val="single" w:sz="4" w:space="0" w:color="auto"/>
            </w:tcBorders>
            <w:shd w:val="clear" w:color="auto" w:fill="auto"/>
            <w:noWrap/>
            <w:vAlign w:val="center"/>
            <w:hideMark/>
          </w:tcPr>
          <w:p w14:paraId="1708783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1.88</w:t>
            </w:r>
          </w:p>
        </w:tc>
        <w:tc>
          <w:tcPr>
            <w:tcW w:w="1179" w:type="dxa"/>
            <w:tcBorders>
              <w:top w:val="nil"/>
              <w:left w:val="nil"/>
              <w:bottom w:val="single" w:sz="4" w:space="0" w:color="auto"/>
              <w:right w:val="single" w:sz="4" w:space="0" w:color="auto"/>
            </w:tcBorders>
            <w:shd w:val="clear" w:color="auto" w:fill="auto"/>
            <w:noWrap/>
            <w:vAlign w:val="center"/>
            <w:hideMark/>
          </w:tcPr>
          <w:p w14:paraId="3AF9157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1.95</w:t>
            </w:r>
          </w:p>
        </w:tc>
        <w:tc>
          <w:tcPr>
            <w:tcW w:w="1179" w:type="dxa"/>
            <w:tcBorders>
              <w:top w:val="nil"/>
              <w:left w:val="nil"/>
              <w:bottom w:val="single" w:sz="4" w:space="0" w:color="auto"/>
              <w:right w:val="single" w:sz="4" w:space="0" w:color="auto"/>
            </w:tcBorders>
            <w:shd w:val="clear" w:color="auto" w:fill="auto"/>
            <w:noWrap/>
            <w:vAlign w:val="center"/>
            <w:hideMark/>
          </w:tcPr>
          <w:p w14:paraId="00BA8D7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1.48</w:t>
            </w:r>
          </w:p>
        </w:tc>
        <w:tc>
          <w:tcPr>
            <w:tcW w:w="1179" w:type="dxa"/>
            <w:tcBorders>
              <w:top w:val="nil"/>
              <w:left w:val="nil"/>
              <w:bottom w:val="single" w:sz="4" w:space="0" w:color="auto"/>
              <w:right w:val="single" w:sz="4" w:space="0" w:color="auto"/>
            </w:tcBorders>
            <w:shd w:val="clear" w:color="auto" w:fill="auto"/>
            <w:noWrap/>
            <w:vAlign w:val="center"/>
            <w:hideMark/>
          </w:tcPr>
          <w:p w14:paraId="0FD1F06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1.34</w:t>
            </w:r>
          </w:p>
        </w:tc>
        <w:tc>
          <w:tcPr>
            <w:tcW w:w="1179" w:type="dxa"/>
            <w:tcBorders>
              <w:top w:val="nil"/>
              <w:left w:val="nil"/>
              <w:bottom w:val="single" w:sz="4" w:space="0" w:color="auto"/>
              <w:right w:val="single" w:sz="4" w:space="0" w:color="auto"/>
            </w:tcBorders>
            <w:shd w:val="clear" w:color="auto" w:fill="auto"/>
            <w:noWrap/>
            <w:vAlign w:val="center"/>
            <w:hideMark/>
          </w:tcPr>
          <w:p w14:paraId="03FFDDD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1.25</w:t>
            </w:r>
          </w:p>
        </w:tc>
        <w:tc>
          <w:tcPr>
            <w:tcW w:w="1179" w:type="dxa"/>
            <w:tcBorders>
              <w:top w:val="nil"/>
              <w:left w:val="nil"/>
              <w:bottom w:val="single" w:sz="4" w:space="0" w:color="auto"/>
              <w:right w:val="single" w:sz="4" w:space="0" w:color="auto"/>
            </w:tcBorders>
            <w:shd w:val="clear" w:color="auto" w:fill="auto"/>
            <w:noWrap/>
            <w:vAlign w:val="center"/>
            <w:hideMark/>
          </w:tcPr>
          <w:p w14:paraId="09EF026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1.27</w:t>
            </w:r>
          </w:p>
        </w:tc>
      </w:tr>
      <w:tr w:rsidR="008564E2" w:rsidRPr="000B3819" w14:paraId="33B34C80"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947E392" w14:textId="77777777" w:rsidR="008564E2" w:rsidRPr="005128F0" w:rsidRDefault="008564E2" w:rsidP="00C2037F">
            <w:pPr>
              <w:jc w:val="center"/>
              <w:rPr>
                <w:rFonts w:ascii="Times New Roman" w:eastAsia="Times New Roman" w:hAnsi="Times New Roman" w:cs="Times New Roman"/>
                <w:b/>
                <w:color w:val="000000"/>
                <w:lang w:eastAsia="en-IN"/>
              </w:rPr>
            </w:pPr>
            <w:r w:rsidRPr="005128F0">
              <w:rPr>
                <w:rFonts w:ascii="Times New Roman" w:eastAsia="Times New Roman" w:hAnsi="Times New Roman" w:cs="Times New Roman"/>
                <w:b/>
                <w:color w:val="000000"/>
                <w:lang w:eastAsia="en-IN"/>
              </w:rPr>
              <w:t>LSD 0.05</w:t>
            </w:r>
          </w:p>
        </w:tc>
        <w:tc>
          <w:tcPr>
            <w:tcW w:w="1164" w:type="dxa"/>
            <w:tcBorders>
              <w:top w:val="nil"/>
              <w:left w:val="nil"/>
              <w:bottom w:val="single" w:sz="4" w:space="0" w:color="auto"/>
              <w:right w:val="single" w:sz="4" w:space="0" w:color="auto"/>
            </w:tcBorders>
            <w:shd w:val="clear" w:color="auto" w:fill="auto"/>
            <w:noWrap/>
            <w:vAlign w:val="center"/>
            <w:hideMark/>
          </w:tcPr>
          <w:p w14:paraId="15F21F6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1.05</w:t>
            </w:r>
          </w:p>
        </w:tc>
        <w:tc>
          <w:tcPr>
            <w:tcW w:w="1236" w:type="dxa"/>
            <w:tcBorders>
              <w:top w:val="nil"/>
              <w:left w:val="nil"/>
              <w:bottom w:val="single" w:sz="4" w:space="0" w:color="auto"/>
              <w:right w:val="single" w:sz="4" w:space="0" w:color="auto"/>
            </w:tcBorders>
            <w:shd w:val="clear" w:color="auto" w:fill="auto"/>
            <w:noWrap/>
            <w:vAlign w:val="center"/>
            <w:hideMark/>
          </w:tcPr>
          <w:p w14:paraId="04ABC65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0.95</w:t>
            </w:r>
          </w:p>
        </w:tc>
        <w:tc>
          <w:tcPr>
            <w:tcW w:w="1143" w:type="dxa"/>
            <w:tcBorders>
              <w:top w:val="nil"/>
              <w:left w:val="nil"/>
              <w:bottom w:val="single" w:sz="4" w:space="0" w:color="auto"/>
              <w:right w:val="single" w:sz="4" w:space="0" w:color="auto"/>
            </w:tcBorders>
            <w:shd w:val="clear" w:color="auto" w:fill="auto"/>
            <w:noWrap/>
            <w:vAlign w:val="center"/>
            <w:hideMark/>
          </w:tcPr>
          <w:p w14:paraId="4CE44D6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17.53</w:t>
            </w:r>
          </w:p>
        </w:tc>
        <w:tc>
          <w:tcPr>
            <w:tcW w:w="1143" w:type="dxa"/>
            <w:tcBorders>
              <w:top w:val="nil"/>
              <w:left w:val="nil"/>
              <w:bottom w:val="single" w:sz="4" w:space="0" w:color="auto"/>
              <w:right w:val="single" w:sz="4" w:space="0" w:color="auto"/>
            </w:tcBorders>
            <w:shd w:val="clear" w:color="auto" w:fill="auto"/>
            <w:noWrap/>
            <w:vAlign w:val="center"/>
            <w:hideMark/>
          </w:tcPr>
          <w:p w14:paraId="6D7AF7F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22.73</w:t>
            </w:r>
          </w:p>
        </w:tc>
        <w:tc>
          <w:tcPr>
            <w:tcW w:w="878" w:type="dxa"/>
            <w:tcBorders>
              <w:top w:val="nil"/>
              <w:left w:val="nil"/>
              <w:bottom w:val="single" w:sz="4" w:space="0" w:color="auto"/>
              <w:right w:val="single" w:sz="4" w:space="0" w:color="auto"/>
            </w:tcBorders>
            <w:shd w:val="clear" w:color="auto" w:fill="auto"/>
            <w:noWrap/>
            <w:vAlign w:val="center"/>
            <w:hideMark/>
          </w:tcPr>
          <w:p w14:paraId="2187560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0.63</w:t>
            </w:r>
          </w:p>
        </w:tc>
        <w:tc>
          <w:tcPr>
            <w:tcW w:w="1047" w:type="dxa"/>
            <w:tcBorders>
              <w:top w:val="nil"/>
              <w:left w:val="nil"/>
              <w:bottom w:val="single" w:sz="4" w:space="0" w:color="auto"/>
              <w:right w:val="single" w:sz="4" w:space="0" w:color="auto"/>
            </w:tcBorders>
            <w:shd w:val="clear" w:color="auto" w:fill="auto"/>
            <w:noWrap/>
            <w:vAlign w:val="center"/>
            <w:hideMark/>
          </w:tcPr>
          <w:p w14:paraId="5FFC5DA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0.11</w:t>
            </w:r>
          </w:p>
        </w:tc>
        <w:tc>
          <w:tcPr>
            <w:tcW w:w="1179" w:type="dxa"/>
            <w:tcBorders>
              <w:top w:val="nil"/>
              <w:left w:val="nil"/>
              <w:bottom w:val="single" w:sz="4" w:space="0" w:color="auto"/>
              <w:right w:val="single" w:sz="4" w:space="0" w:color="auto"/>
            </w:tcBorders>
            <w:shd w:val="clear" w:color="auto" w:fill="auto"/>
            <w:noWrap/>
            <w:vAlign w:val="center"/>
            <w:hideMark/>
          </w:tcPr>
          <w:p w14:paraId="6FA0B27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0.106</w:t>
            </w:r>
          </w:p>
        </w:tc>
        <w:tc>
          <w:tcPr>
            <w:tcW w:w="1179" w:type="dxa"/>
            <w:tcBorders>
              <w:top w:val="nil"/>
              <w:left w:val="nil"/>
              <w:bottom w:val="single" w:sz="4" w:space="0" w:color="auto"/>
              <w:right w:val="single" w:sz="4" w:space="0" w:color="auto"/>
            </w:tcBorders>
            <w:shd w:val="clear" w:color="auto" w:fill="auto"/>
            <w:noWrap/>
            <w:vAlign w:val="center"/>
            <w:hideMark/>
          </w:tcPr>
          <w:p w14:paraId="02EB7C4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0.13</w:t>
            </w:r>
          </w:p>
        </w:tc>
        <w:tc>
          <w:tcPr>
            <w:tcW w:w="1179" w:type="dxa"/>
            <w:tcBorders>
              <w:top w:val="nil"/>
              <w:left w:val="nil"/>
              <w:bottom w:val="single" w:sz="4" w:space="0" w:color="auto"/>
              <w:right w:val="single" w:sz="4" w:space="0" w:color="auto"/>
            </w:tcBorders>
            <w:shd w:val="clear" w:color="auto" w:fill="auto"/>
            <w:noWrap/>
            <w:vAlign w:val="center"/>
            <w:hideMark/>
          </w:tcPr>
          <w:p w14:paraId="1F0BDC8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0.109</w:t>
            </w:r>
          </w:p>
        </w:tc>
        <w:tc>
          <w:tcPr>
            <w:tcW w:w="1179" w:type="dxa"/>
            <w:tcBorders>
              <w:top w:val="nil"/>
              <w:left w:val="nil"/>
              <w:bottom w:val="single" w:sz="4" w:space="0" w:color="auto"/>
              <w:right w:val="single" w:sz="4" w:space="0" w:color="auto"/>
            </w:tcBorders>
            <w:shd w:val="clear" w:color="auto" w:fill="auto"/>
            <w:noWrap/>
            <w:vAlign w:val="center"/>
            <w:hideMark/>
          </w:tcPr>
          <w:p w14:paraId="25170E7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0.108</w:t>
            </w:r>
          </w:p>
        </w:tc>
        <w:tc>
          <w:tcPr>
            <w:tcW w:w="1179" w:type="dxa"/>
            <w:tcBorders>
              <w:top w:val="nil"/>
              <w:left w:val="nil"/>
              <w:bottom w:val="single" w:sz="4" w:space="0" w:color="auto"/>
              <w:right w:val="single" w:sz="4" w:space="0" w:color="auto"/>
            </w:tcBorders>
            <w:shd w:val="clear" w:color="auto" w:fill="auto"/>
            <w:noWrap/>
            <w:vAlign w:val="center"/>
            <w:hideMark/>
          </w:tcPr>
          <w:p w14:paraId="0093C92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w:t>
            </w:r>
          </w:p>
        </w:tc>
        <w:tc>
          <w:tcPr>
            <w:tcW w:w="1179" w:type="dxa"/>
            <w:tcBorders>
              <w:top w:val="nil"/>
              <w:left w:val="nil"/>
              <w:bottom w:val="single" w:sz="4" w:space="0" w:color="auto"/>
              <w:right w:val="single" w:sz="4" w:space="0" w:color="auto"/>
            </w:tcBorders>
            <w:shd w:val="clear" w:color="auto" w:fill="auto"/>
            <w:noWrap/>
            <w:vAlign w:val="center"/>
            <w:hideMark/>
          </w:tcPr>
          <w:p w14:paraId="4098745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0.11</w:t>
            </w:r>
          </w:p>
        </w:tc>
      </w:tr>
    </w:tbl>
    <w:p w14:paraId="008AA039" w14:textId="77777777" w:rsidR="008564E2" w:rsidRPr="00E74711" w:rsidRDefault="008564E2" w:rsidP="008564E2">
      <w:pPr>
        <w:rPr>
          <w:rFonts w:ascii="Times New Roman" w:hAnsi="Times New Roman" w:cs="Times New Roman"/>
          <w:bCs/>
          <w:sz w:val="24"/>
          <w:szCs w:val="24"/>
          <w:lang w:val="en-US"/>
        </w:rPr>
      </w:pPr>
      <w:r>
        <w:rPr>
          <w:rFonts w:ascii="Times New Roman" w:hAnsi="Times New Roman" w:cs="Times New Roman"/>
          <w:bCs/>
          <w:sz w:val="24"/>
          <w:szCs w:val="24"/>
          <w:lang w:val="en-US"/>
        </w:rPr>
        <w:t>(</w:t>
      </w:r>
      <w:r w:rsidRPr="00E74711">
        <w:rPr>
          <w:rFonts w:ascii="Times New Roman" w:hAnsi="Times New Roman" w:cs="Times New Roman"/>
          <w:bCs/>
          <w:sz w:val="24"/>
          <w:szCs w:val="24"/>
          <w:lang w:val="en-US"/>
        </w:rPr>
        <w:t>SPAD</w:t>
      </w:r>
      <w:r>
        <w:rPr>
          <w:rFonts w:ascii="Times New Roman" w:hAnsi="Times New Roman" w:cs="Times New Roman"/>
          <w:bCs/>
          <w:sz w:val="24"/>
          <w:szCs w:val="24"/>
          <w:lang w:val="en-US"/>
        </w:rPr>
        <w:t xml:space="preserve"> AF</w:t>
      </w:r>
      <w:r w:rsidRPr="00E7471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SPAD at flowering; SPAD AM-SPAD at maturity; GLAB- Green leaf area at booting; GLAM- Green leaf area at maturity; RLS-Rate of leaf senescence; STG@7 T0 49 DAF-Stay green score at weekly interval days after flowering)</w:t>
      </w:r>
    </w:p>
    <w:p w14:paraId="61315663" w14:textId="77777777" w:rsidR="008564E2" w:rsidRDefault="008564E2" w:rsidP="008564E2">
      <w:pPr>
        <w:rPr>
          <w:rFonts w:ascii="Times New Roman" w:hAnsi="Times New Roman" w:cs="Times New Roman"/>
          <w:b/>
          <w:sz w:val="24"/>
          <w:lang w:val="en-US"/>
        </w:rPr>
      </w:pPr>
    </w:p>
    <w:p w14:paraId="7EB20934" w14:textId="77777777" w:rsidR="007C5238" w:rsidRDefault="007C5238" w:rsidP="008564E2">
      <w:pPr>
        <w:rPr>
          <w:rFonts w:ascii="Times New Roman" w:hAnsi="Times New Roman" w:cs="Times New Roman"/>
          <w:b/>
          <w:sz w:val="24"/>
          <w:lang w:val="en-US"/>
        </w:rPr>
      </w:pPr>
    </w:p>
    <w:p w14:paraId="3CCC1033" w14:textId="65063E0C" w:rsidR="008564E2" w:rsidRPr="00234D18" w:rsidRDefault="008564E2" w:rsidP="008564E2">
      <w:pPr>
        <w:rPr>
          <w:rFonts w:ascii="Times New Roman" w:hAnsi="Times New Roman" w:cs="Times New Roman"/>
          <w:b/>
          <w:sz w:val="24"/>
          <w:lang w:val="en-US"/>
        </w:rPr>
      </w:pPr>
      <w:r w:rsidRPr="00234D18">
        <w:rPr>
          <w:rFonts w:ascii="Times New Roman" w:hAnsi="Times New Roman" w:cs="Times New Roman"/>
          <w:b/>
          <w:sz w:val="24"/>
          <w:lang w:val="en-US"/>
        </w:rPr>
        <w:t xml:space="preserve">Table </w:t>
      </w:r>
      <w:r w:rsidR="007C5238">
        <w:rPr>
          <w:rFonts w:ascii="Times New Roman" w:hAnsi="Times New Roman" w:cs="Times New Roman"/>
          <w:b/>
          <w:sz w:val="24"/>
          <w:lang w:val="en-US"/>
        </w:rPr>
        <w:t>4</w:t>
      </w:r>
      <w:r>
        <w:rPr>
          <w:rFonts w:ascii="Times New Roman" w:hAnsi="Times New Roman" w:cs="Times New Roman"/>
          <w:b/>
          <w:sz w:val="24"/>
          <w:lang w:val="en-US"/>
        </w:rPr>
        <w:t>:</w:t>
      </w:r>
      <w:r w:rsidRPr="00234D18">
        <w:rPr>
          <w:rFonts w:ascii="Times New Roman" w:hAnsi="Times New Roman" w:cs="Times New Roman"/>
          <w:b/>
          <w:sz w:val="24"/>
          <w:lang w:val="en-US"/>
        </w:rPr>
        <w:t xml:space="preserve"> </w:t>
      </w:r>
      <w:r w:rsidRPr="000B3819">
        <w:rPr>
          <w:rFonts w:ascii="Times New Roman" w:hAnsi="Times New Roman" w:cs="Times New Roman"/>
          <w:b/>
          <w:bCs/>
          <w:sz w:val="24"/>
          <w:szCs w:val="24"/>
          <w:lang w:val="en-US"/>
        </w:rPr>
        <w:t xml:space="preserve">ANOVA for </w:t>
      </w:r>
      <w:r>
        <w:rPr>
          <w:rFonts w:ascii="Times New Roman" w:hAnsi="Times New Roman" w:cs="Times New Roman"/>
          <w:b/>
          <w:bCs/>
          <w:sz w:val="24"/>
          <w:szCs w:val="24"/>
          <w:lang w:val="en-US"/>
        </w:rPr>
        <w:t>agronomic and yield</w:t>
      </w:r>
      <w:r w:rsidRPr="000B3819">
        <w:rPr>
          <w:rFonts w:ascii="Times New Roman" w:hAnsi="Times New Roman" w:cs="Times New Roman"/>
          <w:b/>
          <w:bCs/>
          <w:sz w:val="24"/>
          <w:szCs w:val="24"/>
          <w:lang w:val="en-US"/>
        </w:rPr>
        <w:t xml:space="preserve"> related trait</w:t>
      </w:r>
      <w:r>
        <w:rPr>
          <w:rFonts w:ascii="Times New Roman" w:hAnsi="Times New Roman" w:cs="Times New Roman"/>
          <w:b/>
          <w:bCs/>
          <w:sz w:val="24"/>
          <w:szCs w:val="24"/>
          <w:lang w:val="en-US"/>
        </w:rPr>
        <w:t xml:space="preserve">s under WS condition in </w:t>
      </w:r>
      <w:r w:rsidRPr="000B3819">
        <w:rPr>
          <w:rFonts w:ascii="Times New Roman" w:hAnsi="Times New Roman" w:cs="Times New Roman"/>
          <w:b/>
          <w:bCs/>
          <w:sz w:val="24"/>
          <w:szCs w:val="24"/>
          <w:lang w:val="en-US"/>
        </w:rPr>
        <w:t>F</w:t>
      </w:r>
      <w:r w:rsidRPr="008D5216">
        <w:rPr>
          <w:rFonts w:ascii="Times New Roman" w:hAnsi="Times New Roman" w:cs="Times New Roman"/>
          <w:b/>
          <w:bCs/>
          <w:sz w:val="24"/>
          <w:szCs w:val="24"/>
          <w:vertAlign w:val="subscript"/>
          <w:lang w:val="en-US"/>
        </w:rPr>
        <w:t>3</w:t>
      </w:r>
      <w:r w:rsidRPr="000B381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generation</w:t>
      </w:r>
    </w:p>
    <w:tbl>
      <w:tblPr>
        <w:tblW w:w="14584" w:type="dxa"/>
        <w:tblInd w:w="-995" w:type="dxa"/>
        <w:tblLook w:val="04A0" w:firstRow="1" w:lastRow="0" w:firstColumn="1" w:lastColumn="0" w:noHBand="0" w:noVBand="1"/>
      </w:tblPr>
      <w:tblGrid>
        <w:gridCol w:w="1511"/>
        <w:gridCol w:w="1538"/>
        <w:gridCol w:w="1183"/>
        <w:gridCol w:w="1183"/>
        <w:gridCol w:w="1183"/>
        <w:gridCol w:w="1360"/>
        <w:gridCol w:w="1183"/>
        <w:gridCol w:w="1450"/>
        <w:gridCol w:w="1360"/>
        <w:gridCol w:w="1450"/>
        <w:gridCol w:w="1183"/>
      </w:tblGrid>
      <w:tr w:rsidR="008564E2" w:rsidRPr="000B3819" w14:paraId="3F39A7E6" w14:textId="77777777" w:rsidTr="00C2037F">
        <w:trPr>
          <w:trHeight w:val="465"/>
        </w:trPr>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6399C" w14:textId="77777777" w:rsidR="008564E2" w:rsidRPr="00674046" w:rsidRDefault="008564E2" w:rsidP="00C2037F">
            <w:pPr>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Genotypes</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14:paraId="4D2D01A5"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PH</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52A4E70A"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ET</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1B404B25"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DA</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0C8F7C1F"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DFF</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7997525"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TGM</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552FFC02"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HPP</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CE3C466"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TGDW</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8F25792"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GYPP</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44163FB3"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DSW</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249690B1"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HSW</w:t>
            </w:r>
          </w:p>
        </w:tc>
      </w:tr>
      <w:tr w:rsidR="008564E2" w:rsidRPr="000B3819" w14:paraId="6B8404A1"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21EAF4F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K359W</w:t>
            </w:r>
          </w:p>
        </w:tc>
        <w:tc>
          <w:tcPr>
            <w:tcW w:w="1538" w:type="dxa"/>
            <w:tcBorders>
              <w:top w:val="nil"/>
              <w:left w:val="nil"/>
              <w:bottom w:val="single" w:sz="4" w:space="0" w:color="auto"/>
              <w:right w:val="single" w:sz="4" w:space="0" w:color="auto"/>
            </w:tcBorders>
            <w:shd w:val="clear" w:color="auto" w:fill="auto"/>
            <w:noWrap/>
            <w:vAlign w:val="center"/>
            <w:hideMark/>
          </w:tcPr>
          <w:p w14:paraId="4DC4ED2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112.51 f</w:t>
            </w:r>
          </w:p>
        </w:tc>
        <w:tc>
          <w:tcPr>
            <w:tcW w:w="1183" w:type="dxa"/>
            <w:tcBorders>
              <w:top w:val="nil"/>
              <w:left w:val="nil"/>
              <w:bottom w:val="single" w:sz="4" w:space="0" w:color="auto"/>
              <w:right w:val="single" w:sz="4" w:space="0" w:color="auto"/>
            </w:tcBorders>
            <w:shd w:val="clear" w:color="auto" w:fill="auto"/>
            <w:noWrap/>
            <w:vAlign w:val="center"/>
            <w:hideMark/>
          </w:tcPr>
          <w:p w14:paraId="16CB560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3.12 b</w:t>
            </w:r>
          </w:p>
        </w:tc>
        <w:tc>
          <w:tcPr>
            <w:tcW w:w="1183" w:type="dxa"/>
            <w:tcBorders>
              <w:top w:val="nil"/>
              <w:left w:val="nil"/>
              <w:bottom w:val="single" w:sz="4" w:space="0" w:color="auto"/>
              <w:right w:val="single" w:sz="4" w:space="0" w:color="auto"/>
            </w:tcBorders>
            <w:shd w:val="clear" w:color="auto" w:fill="auto"/>
            <w:noWrap/>
            <w:vAlign w:val="center"/>
            <w:hideMark/>
          </w:tcPr>
          <w:p w14:paraId="11AF0D81"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64.5 a</w:t>
            </w:r>
          </w:p>
        </w:tc>
        <w:tc>
          <w:tcPr>
            <w:tcW w:w="1183" w:type="dxa"/>
            <w:tcBorders>
              <w:top w:val="nil"/>
              <w:left w:val="nil"/>
              <w:bottom w:val="single" w:sz="4" w:space="0" w:color="auto"/>
              <w:right w:val="single" w:sz="4" w:space="0" w:color="auto"/>
            </w:tcBorders>
            <w:shd w:val="clear" w:color="auto" w:fill="auto"/>
            <w:noWrap/>
            <w:vAlign w:val="center"/>
            <w:hideMark/>
          </w:tcPr>
          <w:p w14:paraId="03A5B6A1"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71.8 a</w:t>
            </w:r>
          </w:p>
        </w:tc>
        <w:tc>
          <w:tcPr>
            <w:tcW w:w="1360" w:type="dxa"/>
            <w:tcBorders>
              <w:top w:val="nil"/>
              <w:left w:val="nil"/>
              <w:bottom w:val="single" w:sz="4" w:space="0" w:color="auto"/>
              <w:right w:val="single" w:sz="4" w:space="0" w:color="auto"/>
            </w:tcBorders>
            <w:shd w:val="clear" w:color="auto" w:fill="auto"/>
            <w:noWrap/>
            <w:vAlign w:val="center"/>
            <w:hideMark/>
          </w:tcPr>
          <w:p w14:paraId="075BEAC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121.41 ab</w:t>
            </w:r>
          </w:p>
        </w:tc>
        <w:tc>
          <w:tcPr>
            <w:tcW w:w="1183" w:type="dxa"/>
            <w:tcBorders>
              <w:top w:val="nil"/>
              <w:left w:val="nil"/>
              <w:bottom w:val="single" w:sz="4" w:space="0" w:color="auto"/>
              <w:right w:val="single" w:sz="4" w:space="0" w:color="auto"/>
            </w:tcBorders>
            <w:shd w:val="clear" w:color="auto" w:fill="auto"/>
            <w:noWrap/>
            <w:vAlign w:val="center"/>
            <w:hideMark/>
          </w:tcPr>
          <w:p w14:paraId="6C4A6ED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3.87 b</w:t>
            </w:r>
          </w:p>
        </w:tc>
        <w:tc>
          <w:tcPr>
            <w:tcW w:w="1450" w:type="dxa"/>
            <w:tcBorders>
              <w:top w:val="nil"/>
              <w:left w:val="nil"/>
              <w:bottom w:val="single" w:sz="4" w:space="0" w:color="auto"/>
              <w:right w:val="single" w:sz="4" w:space="0" w:color="auto"/>
            </w:tcBorders>
            <w:shd w:val="clear" w:color="auto" w:fill="auto"/>
            <w:noWrap/>
            <w:vAlign w:val="center"/>
            <w:hideMark/>
          </w:tcPr>
          <w:p w14:paraId="7E8A2D4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189.32 e</w:t>
            </w:r>
          </w:p>
        </w:tc>
        <w:tc>
          <w:tcPr>
            <w:tcW w:w="1360" w:type="dxa"/>
            <w:tcBorders>
              <w:top w:val="nil"/>
              <w:left w:val="nil"/>
              <w:bottom w:val="single" w:sz="4" w:space="0" w:color="auto"/>
              <w:right w:val="single" w:sz="4" w:space="0" w:color="auto"/>
            </w:tcBorders>
            <w:shd w:val="clear" w:color="auto" w:fill="auto"/>
            <w:noWrap/>
            <w:vAlign w:val="center"/>
            <w:hideMark/>
          </w:tcPr>
          <w:p w14:paraId="15F8DA0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53.11 e</w:t>
            </w:r>
          </w:p>
        </w:tc>
        <w:tc>
          <w:tcPr>
            <w:tcW w:w="1450" w:type="dxa"/>
            <w:tcBorders>
              <w:top w:val="nil"/>
              <w:left w:val="nil"/>
              <w:bottom w:val="single" w:sz="4" w:space="0" w:color="auto"/>
              <w:right w:val="single" w:sz="4" w:space="0" w:color="auto"/>
            </w:tcBorders>
            <w:shd w:val="clear" w:color="auto" w:fill="auto"/>
            <w:noWrap/>
            <w:vAlign w:val="center"/>
            <w:hideMark/>
          </w:tcPr>
          <w:p w14:paraId="06D156E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636.1 g</w:t>
            </w:r>
          </w:p>
        </w:tc>
        <w:tc>
          <w:tcPr>
            <w:tcW w:w="1183" w:type="dxa"/>
            <w:tcBorders>
              <w:top w:val="nil"/>
              <w:left w:val="nil"/>
              <w:bottom w:val="single" w:sz="4" w:space="0" w:color="auto"/>
              <w:right w:val="single" w:sz="4" w:space="0" w:color="auto"/>
            </w:tcBorders>
            <w:shd w:val="clear" w:color="auto" w:fill="auto"/>
            <w:noWrap/>
            <w:vAlign w:val="center"/>
            <w:hideMark/>
          </w:tcPr>
          <w:p w14:paraId="27FE8D6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3.26 a</w:t>
            </w:r>
          </w:p>
        </w:tc>
      </w:tr>
      <w:tr w:rsidR="008564E2" w:rsidRPr="000B3819" w14:paraId="10661B66"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42B28E9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B35</w:t>
            </w:r>
          </w:p>
        </w:tc>
        <w:tc>
          <w:tcPr>
            <w:tcW w:w="1538" w:type="dxa"/>
            <w:tcBorders>
              <w:top w:val="nil"/>
              <w:left w:val="nil"/>
              <w:bottom w:val="single" w:sz="4" w:space="0" w:color="auto"/>
              <w:right w:val="single" w:sz="4" w:space="0" w:color="auto"/>
            </w:tcBorders>
            <w:shd w:val="clear" w:color="auto" w:fill="auto"/>
            <w:noWrap/>
            <w:vAlign w:val="center"/>
            <w:hideMark/>
          </w:tcPr>
          <w:p w14:paraId="5716469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82.97 g</w:t>
            </w:r>
          </w:p>
        </w:tc>
        <w:tc>
          <w:tcPr>
            <w:tcW w:w="1183" w:type="dxa"/>
            <w:tcBorders>
              <w:top w:val="nil"/>
              <w:left w:val="nil"/>
              <w:bottom w:val="single" w:sz="4" w:space="0" w:color="auto"/>
              <w:right w:val="single" w:sz="4" w:space="0" w:color="auto"/>
            </w:tcBorders>
            <w:shd w:val="clear" w:color="auto" w:fill="auto"/>
            <w:noWrap/>
            <w:vAlign w:val="center"/>
            <w:hideMark/>
          </w:tcPr>
          <w:p w14:paraId="0C9F377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3.75 b</w:t>
            </w:r>
          </w:p>
        </w:tc>
        <w:tc>
          <w:tcPr>
            <w:tcW w:w="1183" w:type="dxa"/>
            <w:tcBorders>
              <w:top w:val="nil"/>
              <w:left w:val="nil"/>
              <w:bottom w:val="single" w:sz="4" w:space="0" w:color="auto"/>
              <w:right w:val="single" w:sz="4" w:space="0" w:color="auto"/>
            </w:tcBorders>
            <w:shd w:val="clear" w:color="auto" w:fill="auto"/>
            <w:noWrap/>
            <w:vAlign w:val="center"/>
            <w:hideMark/>
          </w:tcPr>
          <w:p w14:paraId="531EDE6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67.5 ab</w:t>
            </w:r>
          </w:p>
        </w:tc>
        <w:tc>
          <w:tcPr>
            <w:tcW w:w="1183" w:type="dxa"/>
            <w:tcBorders>
              <w:top w:val="nil"/>
              <w:left w:val="nil"/>
              <w:bottom w:val="single" w:sz="4" w:space="0" w:color="auto"/>
              <w:right w:val="single" w:sz="4" w:space="0" w:color="auto"/>
            </w:tcBorders>
            <w:shd w:val="clear" w:color="auto" w:fill="auto"/>
            <w:noWrap/>
            <w:vAlign w:val="center"/>
            <w:hideMark/>
          </w:tcPr>
          <w:p w14:paraId="624765B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79.25 </w:t>
            </w:r>
            <w:proofErr w:type="spellStart"/>
            <w:r w:rsidRPr="00674046">
              <w:rPr>
                <w:rFonts w:ascii="Times New Roman" w:eastAsia="Times New Roman" w:hAnsi="Times New Roman" w:cs="Times New Roman"/>
                <w:color w:val="000000"/>
                <w:lang w:eastAsia="en-IN"/>
              </w:rPr>
              <w:t>abc</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8161C2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119.2 cd</w:t>
            </w:r>
          </w:p>
        </w:tc>
        <w:tc>
          <w:tcPr>
            <w:tcW w:w="1183" w:type="dxa"/>
            <w:tcBorders>
              <w:top w:val="nil"/>
              <w:left w:val="nil"/>
              <w:bottom w:val="single" w:sz="4" w:space="0" w:color="auto"/>
              <w:right w:val="single" w:sz="4" w:space="0" w:color="auto"/>
            </w:tcBorders>
            <w:shd w:val="clear" w:color="auto" w:fill="auto"/>
            <w:noWrap/>
            <w:vAlign w:val="center"/>
            <w:hideMark/>
          </w:tcPr>
          <w:p w14:paraId="334416D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 b</w:t>
            </w:r>
          </w:p>
        </w:tc>
        <w:tc>
          <w:tcPr>
            <w:tcW w:w="1450" w:type="dxa"/>
            <w:tcBorders>
              <w:top w:val="nil"/>
              <w:left w:val="nil"/>
              <w:bottom w:val="single" w:sz="4" w:space="0" w:color="auto"/>
              <w:right w:val="single" w:sz="4" w:space="0" w:color="auto"/>
            </w:tcBorders>
            <w:shd w:val="clear" w:color="auto" w:fill="auto"/>
            <w:noWrap/>
            <w:vAlign w:val="center"/>
            <w:hideMark/>
          </w:tcPr>
          <w:p w14:paraId="562CC87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166.82 e</w:t>
            </w:r>
          </w:p>
        </w:tc>
        <w:tc>
          <w:tcPr>
            <w:tcW w:w="1360" w:type="dxa"/>
            <w:tcBorders>
              <w:top w:val="nil"/>
              <w:left w:val="nil"/>
              <w:bottom w:val="single" w:sz="4" w:space="0" w:color="auto"/>
              <w:right w:val="single" w:sz="4" w:space="0" w:color="auto"/>
            </w:tcBorders>
            <w:shd w:val="clear" w:color="auto" w:fill="auto"/>
            <w:noWrap/>
            <w:vAlign w:val="center"/>
            <w:hideMark/>
          </w:tcPr>
          <w:p w14:paraId="0F1343F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52.27 e</w:t>
            </w:r>
          </w:p>
        </w:tc>
        <w:tc>
          <w:tcPr>
            <w:tcW w:w="1450" w:type="dxa"/>
            <w:tcBorders>
              <w:top w:val="nil"/>
              <w:left w:val="nil"/>
              <w:bottom w:val="single" w:sz="4" w:space="0" w:color="auto"/>
              <w:right w:val="single" w:sz="4" w:space="0" w:color="auto"/>
            </w:tcBorders>
            <w:shd w:val="clear" w:color="auto" w:fill="auto"/>
            <w:noWrap/>
            <w:vAlign w:val="center"/>
            <w:hideMark/>
          </w:tcPr>
          <w:p w14:paraId="7123203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553.12 </w:t>
            </w:r>
            <w:proofErr w:type="spellStart"/>
            <w:r w:rsidRPr="00674046">
              <w:rPr>
                <w:rFonts w:ascii="Times New Roman" w:eastAsia="Times New Roman" w:hAnsi="Times New Roman" w:cs="Times New Roman"/>
                <w:color w:val="000000"/>
                <w:lang w:eastAsia="en-IN"/>
              </w:rPr>
              <w:t>i</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14:paraId="6B96B9E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3.15 d</w:t>
            </w:r>
          </w:p>
        </w:tc>
      </w:tr>
      <w:tr w:rsidR="008564E2" w:rsidRPr="000B3819" w14:paraId="24513351"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3835DB1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296B</w:t>
            </w:r>
          </w:p>
        </w:tc>
        <w:tc>
          <w:tcPr>
            <w:tcW w:w="1538" w:type="dxa"/>
            <w:tcBorders>
              <w:top w:val="nil"/>
              <w:left w:val="nil"/>
              <w:bottom w:val="single" w:sz="4" w:space="0" w:color="auto"/>
              <w:right w:val="single" w:sz="4" w:space="0" w:color="auto"/>
            </w:tcBorders>
            <w:shd w:val="clear" w:color="auto" w:fill="auto"/>
            <w:noWrap/>
            <w:vAlign w:val="center"/>
            <w:hideMark/>
          </w:tcPr>
          <w:p w14:paraId="0523D72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86.62 h</w:t>
            </w:r>
          </w:p>
        </w:tc>
        <w:tc>
          <w:tcPr>
            <w:tcW w:w="1183" w:type="dxa"/>
            <w:tcBorders>
              <w:top w:val="nil"/>
              <w:left w:val="nil"/>
              <w:bottom w:val="single" w:sz="4" w:space="0" w:color="auto"/>
              <w:right w:val="single" w:sz="4" w:space="0" w:color="auto"/>
            </w:tcBorders>
            <w:shd w:val="clear" w:color="auto" w:fill="auto"/>
            <w:noWrap/>
            <w:vAlign w:val="center"/>
            <w:hideMark/>
          </w:tcPr>
          <w:p w14:paraId="4B02CBE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3.85 b</w:t>
            </w:r>
          </w:p>
        </w:tc>
        <w:tc>
          <w:tcPr>
            <w:tcW w:w="1183" w:type="dxa"/>
            <w:tcBorders>
              <w:top w:val="nil"/>
              <w:left w:val="nil"/>
              <w:bottom w:val="single" w:sz="4" w:space="0" w:color="auto"/>
              <w:right w:val="single" w:sz="4" w:space="0" w:color="auto"/>
            </w:tcBorders>
            <w:shd w:val="clear" w:color="auto" w:fill="auto"/>
            <w:noWrap/>
            <w:vAlign w:val="center"/>
            <w:hideMark/>
          </w:tcPr>
          <w:p w14:paraId="45559F6F"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 xml:space="preserve">67.25 </w:t>
            </w:r>
            <w:proofErr w:type="spellStart"/>
            <w:r w:rsidRPr="00674046">
              <w:rPr>
                <w:rFonts w:ascii="Times New Roman" w:eastAsia="Times New Roman" w:hAnsi="Times New Roman" w:cs="Times New Roman"/>
                <w:lang w:eastAsia="en-IN"/>
              </w:rPr>
              <w:t>bcd</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14:paraId="00D22D7C"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 xml:space="preserve">74.36 </w:t>
            </w:r>
            <w:proofErr w:type="spellStart"/>
            <w:r w:rsidRPr="00674046">
              <w:rPr>
                <w:rFonts w:ascii="Times New Roman" w:eastAsia="Times New Roman" w:hAnsi="Times New Roman" w:cs="Times New Roman"/>
                <w:lang w:eastAsia="en-IN"/>
              </w:rPr>
              <w:t>bc</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A279E7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117.57 de</w:t>
            </w:r>
          </w:p>
        </w:tc>
        <w:tc>
          <w:tcPr>
            <w:tcW w:w="1183" w:type="dxa"/>
            <w:tcBorders>
              <w:top w:val="nil"/>
              <w:left w:val="nil"/>
              <w:bottom w:val="single" w:sz="4" w:space="0" w:color="auto"/>
              <w:right w:val="single" w:sz="4" w:space="0" w:color="auto"/>
            </w:tcBorders>
            <w:shd w:val="clear" w:color="auto" w:fill="auto"/>
            <w:noWrap/>
            <w:vAlign w:val="center"/>
            <w:hideMark/>
          </w:tcPr>
          <w:p w14:paraId="7CF688A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4.52 b</w:t>
            </w:r>
          </w:p>
        </w:tc>
        <w:tc>
          <w:tcPr>
            <w:tcW w:w="1450" w:type="dxa"/>
            <w:tcBorders>
              <w:top w:val="nil"/>
              <w:left w:val="nil"/>
              <w:bottom w:val="single" w:sz="4" w:space="0" w:color="auto"/>
              <w:right w:val="single" w:sz="4" w:space="0" w:color="auto"/>
            </w:tcBorders>
            <w:shd w:val="clear" w:color="auto" w:fill="auto"/>
            <w:noWrap/>
            <w:vAlign w:val="center"/>
            <w:hideMark/>
          </w:tcPr>
          <w:p w14:paraId="18E5631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160.5 g</w:t>
            </w:r>
          </w:p>
        </w:tc>
        <w:tc>
          <w:tcPr>
            <w:tcW w:w="1360" w:type="dxa"/>
            <w:tcBorders>
              <w:top w:val="nil"/>
              <w:left w:val="nil"/>
              <w:bottom w:val="single" w:sz="4" w:space="0" w:color="auto"/>
              <w:right w:val="single" w:sz="4" w:space="0" w:color="auto"/>
            </w:tcBorders>
            <w:shd w:val="clear" w:color="auto" w:fill="auto"/>
            <w:noWrap/>
            <w:vAlign w:val="center"/>
            <w:hideMark/>
          </w:tcPr>
          <w:p w14:paraId="3316771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48.85 g</w:t>
            </w:r>
          </w:p>
        </w:tc>
        <w:tc>
          <w:tcPr>
            <w:tcW w:w="1450" w:type="dxa"/>
            <w:tcBorders>
              <w:top w:val="nil"/>
              <w:left w:val="nil"/>
              <w:bottom w:val="single" w:sz="4" w:space="0" w:color="auto"/>
              <w:right w:val="single" w:sz="4" w:space="0" w:color="auto"/>
            </w:tcBorders>
            <w:shd w:val="clear" w:color="auto" w:fill="auto"/>
            <w:noWrap/>
            <w:vAlign w:val="center"/>
            <w:hideMark/>
          </w:tcPr>
          <w:p w14:paraId="7FE3871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587.07 h</w:t>
            </w:r>
          </w:p>
        </w:tc>
        <w:tc>
          <w:tcPr>
            <w:tcW w:w="1183" w:type="dxa"/>
            <w:tcBorders>
              <w:top w:val="nil"/>
              <w:left w:val="nil"/>
              <w:bottom w:val="single" w:sz="4" w:space="0" w:color="auto"/>
              <w:right w:val="single" w:sz="4" w:space="0" w:color="auto"/>
            </w:tcBorders>
            <w:shd w:val="clear" w:color="auto" w:fill="auto"/>
            <w:noWrap/>
            <w:vAlign w:val="center"/>
            <w:hideMark/>
          </w:tcPr>
          <w:p w14:paraId="56C37AF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3.29 d</w:t>
            </w:r>
          </w:p>
        </w:tc>
      </w:tr>
      <w:tr w:rsidR="008564E2" w:rsidRPr="000B3819" w14:paraId="4877B4EC"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5A2A7F3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K260</w:t>
            </w:r>
          </w:p>
        </w:tc>
        <w:tc>
          <w:tcPr>
            <w:tcW w:w="1538" w:type="dxa"/>
            <w:tcBorders>
              <w:top w:val="nil"/>
              <w:left w:val="nil"/>
              <w:bottom w:val="single" w:sz="4" w:space="0" w:color="auto"/>
              <w:right w:val="single" w:sz="4" w:space="0" w:color="auto"/>
            </w:tcBorders>
            <w:shd w:val="clear" w:color="auto" w:fill="auto"/>
            <w:noWrap/>
            <w:vAlign w:val="center"/>
            <w:hideMark/>
          </w:tcPr>
          <w:p w14:paraId="2B605F0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121.67</w:t>
            </w:r>
          </w:p>
        </w:tc>
        <w:tc>
          <w:tcPr>
            <w:tcW w:w="1183" w:type="dxa"/>
            <w:tcBorders>
              <w:top w:val="nil"/>
              <w:left w:val="nil"/>
              <w:bottom w:val="single" w:sz="4" w:space="0" w:color="auto"/>
              <w:right w:val="single" w:sz="4" w:space="0" w:color="auto"/>
            </w:tcBorders>
            <w:shd w:val="clear" w:color="auto" w:fill="auto"/>
            <w:noWrap/>
            <w:vAlign w:val="center"/>
            <w:hideMark/>
          </w:tcPr>
          <w:p w14:paraId="2B2AE39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3.8</w:t>
            </w:r>
          </w:p>
        </w:tc>
        <w:tc>
          <w:tcPr>
            <w:tcW w:w="1183" w:type="dxa"/>
            <w:tcBorders>
              <w:top w:val="nil"/>
              <w:left w:val="nil"/>
              <w:bottom w:val="single" w:sz="4" w:space="0" w:color="auto"/>
              <w:right w:val="single" w:sz="4" w:space="0" w:color="auto"/>
            </w:tcBorders>
            <w:shd w:val="clear" w:color="auto" w:fill="auto"/>
            <w:noWrap/>
            <w:vAlign w:val="center"/>
            <w:hideMark/>
          </w:tcPr>
          <w:p w14:paraId="2769F358"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65.21</w:t>
            </w:r>
          </w:p>
        </w:tc>
        <w:tc>
          <w:tcPr>
            <w:tcW w:w="1183" w:type="dxa"/>
            <w:tcBorders>
              <w:top w:val="nil"/>
              <w:left w:val="nil"/>
              <w:bottom w:val="single" w:sz="4" w:space="0" w:color="auto"/>
              <w:right w:val="single" w:sz="4" w:space="0" w:color="auto"/>
            </w:tcBorders>
            <w:shd w:val="clear" w:color="auto" w:fill="auto"/>
            <w:noWrap/>
            <w:vAlign w:val="center"/>
            <w:hideMark/>
          </w:tcPr>
          <w:p w14:paraId="26A9487E"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72.75</w:t>
            </w:r>
          </w:p>
        </w:tc>
        <w:tc>
          <w:tcPr>
            <w:tcW w:w="1360" w:type="dxa"/>
            <w:tcBorders>
              <w:top w:val="nil"/>
              <w:left w:val="nil"/>
              <w:bottom w:val="single" w:sz="4" w:space="0" w:color="auto"/>
              <w:right w:val="single" w:sz="4" w:space="0" w:color="auto"/>
            </w:tcBorders>
            <w:shd w:val="clear" w:color="auto" w:fill="auto"/>
            <w:noWrap/>
            <w:vAlign w:val="center"/>
            <w:hideMark/>
          </w:tcPr>
          <w:p w14:paraId="474ED53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116.87</w:t>
            </w:r>
          </w:p>
        </w:tc>
        <w:tc>
          <w:tcPr>
            <w:tcW w:w="1183" w:type="dxa"/>
            <w:tcBorders>
              <w:top w:val="nil"/>
              <w:left w:val="nil"/>
              <w:bottom w:val="single" w:sz="4" w:space="0" w:color="auto"/>
              <w:right w:val="single" w:sz="4" w:space="0" w:color="auto"/>
            </w:tcBorders>
            <w:shd w:val="clear" w:color="auto" w:fill="auto"/>
            <w:noWrap/>
            <w:vAlign w:val="center"/>
            <w:hideMark/>
          </w:tcPr>
          <w:p w14:paraId="3656E88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5.14</w:t>
            </w:r>
          </w:p>
        </w:tc>
        <w:tc>
          <w:tcPr>
            <w:tcW w:w="1450" w:type="dxa"/>
            <w:tcBorders>
              <w:top w:val="nil"/>
              <w:left w:val="nil"/>
              <w:bottom w:val="single" w:sz="4" w:space="0" w:color="auto"/>
              <w:right w:val="single" w:sz="4" w:space="0" w:color="auto"/>
            </w:tcBorders>
            <w:shd w:val="clear" w:color="auto" w:fill="auto"/>
            <w:noWrap/>
            <w:vAlign w:val="center"/>
            <w:hideMark/>
          </w:tcPr>
          <w:p w14:paraId="3F23C12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175.00</w:t>
            </w:r>
          </w:p>
        </w:tc>
        <w:tc>
          <w:tcPr>
            <w:tcW w:w="1360" w:type="dxa"/>
            <w:tcBorders>
              <w:top w:val="nil"/>
              <w:left w:val="nil"/>
              <w:bottom w:val="single" w:sz="4" w:space="0" w:color="auto"/>
              <w:right w:val="single" w:sz="4" w:space="0" w:color="auto"/>
            </w:tcBorders>
            <w:shd w:val="clear" w:color="auto" w:fill="auto"/>
            <w:noWrap/>
            <w:vAlign w:val="center"/>
            <w:hideMark/>
          </w:tcPr>
          <w:p w14:paraId="59B52EB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58.34</w:t>
            </w:r>
          </w:p>
        </w:tc>
        <w:tc>
          <w:tcPr>
            <w:tcW w:w="1450" w:type="dxa"/>
            <w:tcBorders>
              <w:top w:val="nil"/>
              <w:left w:val="nil"/>
              <w:bottom w:val="single" w:sz="4" w:space="0" w:color="auto"/>
              <w:right w:val="single" w:sz="4" w:space="0" w:color="auto"/>
            </w:tcBorders>
            <w:shd w:val="clear" w:color="auto" w:fill="auto"/>
            <w:noWrap/>
            <w:vAlign w:val="center"/>
            <w:hideMark/>
          </w:tcPr>
          <w:p w14:paraId="16CEC60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576.60</w:t>
            </w:r>
          </w:p>
        </w:tc>
        <w:tc>
          <w:tcPr>
            <w:tcW w:w="1183" w:type="dxa"/>
            <w:tcBorders>
              <w:top w:val="nil"/>
              <w:left w:val="nil"/>
              <w:bottom w:val="single" w:sz="4" w:space="0" w:color="auto"/>
              <w:right w:val="single" w:sz="4" w:space="0" w:color="auto"/>
            </w:tcBorders>
            <w:shd w:val="clear" w:color="auto" w:fill="auto"/>
            <w:noWrap/>
            <w:vAlign w:val="center"/>
            <w:hideMark/>
          </w:tcPr>
          <w:p w14:paraId="158FCB5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3.22</w:t>
            </w:r>
          </w:p>
        </w:tc>
      </w:tr>
      <w:tr w:rsidR="008564E2" w:rsidRPr="000B3819" w14:paraId="4EFF0F60"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33649B0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E36-1</w:t>
            </w:r>
          </w:p>
        </w:tc>
        <w:tc>
          <w:tcPr>
            <w:tcW w:w="1538" w:type="dxa"/>
            <w:tcBorders>
              <w:top w:val="nil"/>
              <w:left w:val="nil"/>
              <w:bottom w:val="single" w:sz="4" w:space="0" w:color="auto"/>
              <w:right w:val="single" w:sz="4" w:space="0" w:color="auto"/>
            </w:tcBorders>
            <w:shd w:val="clear" w:color="auto" w:fill="auto"/>
            <w:noWrap/>
            <w:vAlign w:val="center"/>
            <w:hideMark/>
          </w:tcPr>
          <w:p w14:paraId="359D08F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121.6 e</w:t>
            </w:r>
          </w:p>
        </w:tc>
        <w:tc>
          <w:tcPr>
            <w:tcW w:w="1183" w:type="dxa"/>
            <w:tcBorders>
              <w:top w:val="nil"/>
              <w:left w:val="nil"/>
              <w:bottom w:val="single" w:sz="4" w:space="0" w:color="auto"/>
              <w:right w:val="single" w:sz="4" w:space="0" w:color="auto"/>
            </w:tcBorders>
            <w:shd w:val="clear" w:color="auto" w:fill="auto"/>
            <w:noWrap/>
            <w:vAlign w:val="center"/>
            <w:hideMark/>
          </w:tcPr>
          <w:p w14:paraId="646E550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4.75 a</w:t>
            </w:r>
          </w:p>
        </w:tc>
        <w:tc>
          <w:tcPr>
            <w:tcW w:w="1183" w:type="dxa"/>
            <w:tcBorders>
              <w:top w:val="nil"/>
              <w:left w:val="nil"/>
              <w:bottom w:val="single" w:sz="4" w:space="0" w:color="auto"/>
              <w:right w:val="single" w:sz="4" w:space="0" w:color="auto"/>
            </w:tcBorders>
            <w:shd w:val="clear" w:color="auto" w:fill="auto"/>
            <w:noWrap/>
            <w:vAlign w:val="center"/>
            <w:hideMark/>
          </w:tcPr>
          <w:p w14:paraId="77C1EC0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62 e</w:t>
            </w:r>
          </w:p>
        </w:tc>
        <w:tc>
          <w:tcPr>
            <w:tcW w:w="1183" w:type="dxa"/>
            <w:tcBorders>
              <w:top w:val="nil"/>
              <w:left w:val="nil"/>
              <w:bottom w:val="single" w:sz="4" w:space="0" w:color="auto"/>
              <w:right w:val="single" w:sz="4" w:space="0" w:color="auto"/>
            </w:tcBorders>
            <w:shd w:val="clear" w:color="auto" w:fill="auto"/>
            <w:noWrap/>
            <w:vAlign w:val="center"/>
            <w:hideMark/>
          </w:tcPr>
          <w:p w14:paraId="65899320"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70.75 de</w:t>
            </w:r>
          </w:p>
        </w:tc>
        <w:tc>
          <w:tcPr>
            <w:tcW w:w="1360" w:type="dxa"/>
            <w:tcBorders>
              <w:top w:val="nil"/>
              <w:left w:val="nil"/>
              <w:bottom w:val="single" w:sz="4" w:space="0" w:color="auto"/>
              <w:right w:val="single" w:sz="4" w:space="0" w:color="auto"/>
            </w:tcBorders>
            <w:shd w:val="clear" w:color="auto" w:fill="auto"/>
            <w:noWrap/>
            <w:vAlign w:val="center"/>
            <w:hideMark/>
          </w:tcPr>
          <w:p w14:paraId="69DE1BB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115.62 e</w:t>
            </w:r>
          </w:p>
        </w:tc>
        <w:tc>
          <w:tcPr>
            <w:tcW w:w="1183" w:type="dxa"/>
            <w:tcBorders>
              <w:top w:val="nil"/>
              <w:left w:val="nil"/>
              <w:bottom w:val="single" w:sz="4" w:space="0" w:color="auto"/>
              <w:right w:val="single" w:sz="4" w:space="0" w:color="auto"/>
            </w:tcBorders>
            <w:shd w:val="clear" w:color="auto" w:fill="auto"/>
            <w:noWrap/>
            <w:vAlign w:val="center"/>
            <w:hideMark/>
          </w:tcPr>
          <w:p w14:paraId="08DB688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5.35 a</w:t>
            </w:r>
          </w:p>
        </w:tc>
        <w:tc>
          <w:tcPr>
            <w:tcW w:w="1450" w:type="dxa"/>
            <w:tcBorders>
              <w:top w:val="nil"/>
              <w:left w:val="nil"/>
              <w:bottom w:val="single" w:sz="4" w:space="0" w:color="auto"/>
              <w:right w:val="single" w:sz="4" w:space="0" w:color="auto"/>
            </w:tcBorders>
            <w:shd w:val="clear" w:color="auto" w:fill="auto"/>
            <w:noWrap/>
            <w:vAlign w:val="center"/>
            <w:hideMark/>
          </w:tcPr>
          <w:p w14:paraId="6445930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185.0 c</w:t>
            </w:r>
          </w:p>
        </w:tc>
        <w:tc>
          <w:tcPr>
            <w:tcW w:w="1360" w:type="dxa"/>
            <w:tcBorders>
              <w:top w:val="nil"/>
              <w:left w:val="nil"/>
              <w:bottom w:val="single" w:sz="4" w:space="0" w:color="auto"/>
              <w:right w:val="single" w:sz="4" w:space="0" w:color="auto"/>
            </w:tcBorders>
            <w:shd w:val="clear" w:color="auto" w:fill="auto"/>
            <w:noWrap/>
            <w:vAlign w:val="center"/>
            <w:hideMark/>
          </w:tcPr>
          <w:p w14:paraId="5C255B4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61.69 c</w:t>
            </w:r>
          </w:p>
        </w:tc>
        <w:tc>
          <w:tcPr>
            <w:tcW w:w="1450" w:type="dxa"/>
            <w:tcBorders>
              <w:top w:val="nil"/>
              <w:left w:val="nil"/>
              <w:bottom w:val="single" w:sz="4" w:space="0" w:color="auto"/>
              <w:right w:val="single" w:sz="4" w:space="0" w:color="auto"/>
            </w:tcBorders>
            <w:shd w:val="clear" w:color="auto" w:fill="auto"/>
            <w:noWrap/>
            <w:vAlign w:val="center"/>
            <w:hideMark/>
          </w:tcPr>
          <w:p w14:paraId="202BFC2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536.9 f</w:t>
            </w:r>
          </w:p>
        </w:tc>
        <w:tc>
          <w:tcPr>
            <w:tcW w:w="1183" w:type="dxa"/>
            <w:tcBorders>
              <w:top w:val="nil"/>
              <w:left w:val="nil"/>
              <w:bottom w:val="single" w:sz="4" w:space="0" w:color="auto"/>
              <w:right w:val="single" w:sz="4" w:space="0" w:color="auto"/>
            </w:tcBorders>
            <w:shd w:val="clear" w:color="auto" w:fill="auto"/>
            <w:noWrap/>
            <w:vAlign w:val="center"/>
            <w:hideMark/>
          </w:tcPr>
          <w:p w14:paraId="5274341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3.32 ab</w:t>
            </w:r>
          </w:p>
        </w:tc>
      </w:tr>
      <w:tr w:rsidR="008564E2" w:rsidRPr="000B3819" w14:paraId="5B1C0AD3"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29FDB87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R16</w:t>
            </w:r>
          </w:p>
        </w:tc>
        <w:tc>
          <w:tcPr>
            <w:tcW w:w="1538" w:type="dxa"/>
            <w:tcBorders>
              <w:top w:val="nil"/>
              <w:left w:val="nil"/>
              <w:bottom w:val="single" w:sz="4" w:space="0" w:color="auto"/>
              <w:right w:val="single" w:sz="4" w:space="0" w:color="auto"/>
            </w:tcBorders>
            <w:shd w:val="clear" w:color="auto" w:fill="auto"/>
            <w:noWrap/>
            <w:vAlign w:val="center"/>
            <w:hideMark/>
          </w:tcPr>
          <w:p w14:paraId="059B220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111.83 f</w:t>
            </w:r>
          </w:p>
        </w:tc>
        <w:tc>
          <w:tcPr>
            <w:tcW w:w="1183" w:type="dxa"/>
            <w:tcBorders>
              <w:top w:val="nil"/>
              <w:left w:val="nil"/>
              <w:bottom w:val="single" w:sz="4" w:space="0" w:color="auto"/>
              <w:right w:val="single" w:sz="4" w:space="0" w:color="auto"/>
            </w:tcBorders>
            <w:shd w:val="clear" w:color="auto" w:fill="auto"/>
            <w:noWrap/>
            <w:vAlign w:val="center"/>
            <w:hideMark/>
          </w:tcPr>
          <w:p w14:paraId="2B7503C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3.84 b</w:t>
            </w:r>
          </w:p>
        </w:tc>
        <w:tc>
          <w:tcPr>
            <w:tcW w:w="1183" w:type="dxa"/>
            <w:tcBorders>
              <w:top w:val="nil"/>
              <w:left w:val="nil"/>
              <w:bottom w:val="single" w:sz="4" w:space="0" w:color="auto"/>
              <w:right w:val="single" w:sz="4" w:space="0" w:color="auto"/>
            </w:tcBorders>
            <w:shd w:val="clear" w:color="auto" w:fill="auto"/>
            <w:noWrap/>
            <w:vAlign w:val="center"/>
            <w:hideMark/>
          </w:tcPr>
          <w:p w14:paraId="431E49E6"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64.75 d</w:t>
            </w:r>
          </w:p>
        </w:tc>
        <w:tc>
          <w:tcPr>
            <w:tcW w:w="1183" w:type="dxa"/>
            <w:tcBorders>
              <w:top w:val="nil"/>
              <w:left w:val="nil"/>
              <w:bottom w:val="single" w:sz="4" w:space="0" w:color="auto"/>
              <w:right w:val="single" w:sz="4" w:space="0" w:color="auto"/>
            </w:tcBorders>
            <w:shd w:val="clear" w:color="auto" w:fill="auto"/>
            <w:noWrap/>
            <w:vAlign w:val="center"/>
            <w:hideMark/>
          </w:tcPr>
          <w:p w14:paraId="7C05D245"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73.37 d</w:t>
            </w:r>
          </w:p>
        </w:tc>
        <w:tc>
          <w:tcPr>
            <w:tcW w:w="1360" w:type="dxa"/>
            <w:tcBorders>
              <w:top w:val="nil"/>
              <w:left w:val="nil"/>
              <w:bottom w:val="single" w:sz="4" w:space="0" w:color="auto"/>
              <w:right w:val="single" w:sz="4" w:space="0" w:color="auto"/>
            </w:tcBorders>
            <w:shd w:val="clear" w:color="auto" w:fill="auto"/>
            <w:noWrap/>
            <w:vAlign w:val="center"/>
            <w:hideMark/>
          </w:tcPr>
          <w:p w14:paraId="0660997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117.86 de</w:t>
            </w:r>
          </w:p>
        </w:tc>
        <w:tc>
          <w:tcPr>
            <w:tcW w:w="1183" w:type="dxa"/>
            <w:tcBorders>
              <w:top w:val="nil"/>
              <w:left w:val="nil"/>
              <w:bottom w:val="single" w:sz="4" w:space="0" w:color="auto"/>
              <w:right w:val="single" w:sz="4" w:space="0" w:color="auto"/>
            </w:tcBorders>
            <w:shd w:val="clear" w:color="auto" w:fill="auto"/>
            <w:noWrap/>
            <w:vAlign w:val="center"/>
            <w:hideMark/>
          </w:tcPr>
          <w:p w14:paraId="42ECB34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3.37 b</w:t>
            </w:r>
          </w:p>
        </w:tc>
        <w:tc>
          <w:tcPr>
            <w:tcW w:w="1450" w:type="dxa"/>
            <w:tcBorders>
              <w:top w:val="nil"/>
              <w:left w:val="nil"/>
              <w:bottom w:val="single" w:sz="4" w:space="0" w:color="auto"/>
              <w:right w:val="single" w:sz="4" w:space="0" w:color="auto"/>
            </w:tcBorders>
            <w:shd w:val="clear" w:color="auto" w:fill="auto"/>
            <w:noWrap/>
            <w:vAlign w:val="center"/>
            <w:hideMark/>
          </w:tcPr>
          <w:p w14:paraId="0DA5F84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136.37 f</w:t>
            </w:r>
          </w:p>
        </w:tc>
        <w:tc>
          <w:tcPr>
            <w:tcW w:w="1360" w:type="dxa"/>
            <w:tcBorders>
              <w:top w:val="nil"/>
              <w:left w:val="nil"/>
              <w:bottom w:val="single" w:sz="4" w:space="0" w:color="auto"/>
              <w:right w:val="single" w:sz="4" w:space="0" w:color="auto"/>
            </w:tcBorders>
            <w:shd w:val="clear" w:color="auto" w:fill="auto"/>
            <w:noWrap/>
            <w:vAlign w:val="center"/>
            <w:hideMark/>
          </w:tcPr>
          <w:p w14:paraId="33331EC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45.45 f</w:t>
            </w:r>
          </w:p>
        </w:tc>
        <w:tc>
          <w:tcPr>
            <w:tcW w:w="1450" w:type="dxa"/>
            <w:tcBorders>
              <w:top w:val="nil"/>
              <w:left w:val="nil"/>
              <w:bottom w:val="single" w:sz="4" w:space="0" w:color="auto"/>
              <w:right w:val="single" w:sz="4" w:space="0" w:color="auto"/>
            </w:tcBorders>
            <w:shd w:val="clear" w:color="auto" w:fill="auto"/>
            <w:noWrap/>
            <w:vAlign w:val="center"/>
            <w:hideMark/>
          </w:tcPr>
          <w:p w14:paraId="4B2F8CD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482.1 h</w:t>
            </w:r>
          </w:p>
        </w:tc>
        <w:tc>
          <w:tcPr>
            <w:tcW w:w="1183" w:type="dxa"/>
            <w:tcBorders>
              <w:top w:val="nil"/>
              <w:left w:val="nil"/>
              <w:bottom w:val="single" w:sz="4" w:space="0" w:color="auto"/>
              <w:right w:val="single" w:sz="4" w:space="0" w:color="auto"/>
            </w:tcBorders>
            <w:shd w:val="clear" w:color="auto" w:fill="auto"/>
            <w:noWrap/>
            <w:vAlign w:val="center"/>
            <w:hideMark/>
          </w:tcPr>
          <w:p w14:paraId="7A3B96F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2.23 c</w:t>
            </w:r>
          </w:p>
        </w:tc>
      </w:tr>
      <w:tr w:rsidR="008564E2" w:rsidRPr="000B3819" w14:paraId="2A6D0F31"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5DD8335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M35-1</w:t>
            </w:r>
          </w:p>
        </w:tc>
        <w:tc>
          <w:tcPr>
            <w:tcW w:w="1538" w:type="dxa"/>
            <w:tcBorders>
              <w:top w:val="nil"/>
              <w:left w:val="nil"/>
              <w:bottom w:val="single" w:sz="4" w:space="0" w:color="auto"/>
              <w:right w:val="single" w:sz="4" w:space="0" w:color="auto"/>
            </w:tcBorders>
            <w:shd w:val="clear" w:color="auto" w:fill="auto"/>
            <w:noWrap/>
            <w:vAlign w:val="center"/>
            <w:hideMark/>
          </w:tcPr>
          <w:p w14:paraId="4A377A8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156.37 b</w:t>
            </w:r>
          </w:p>
        </w:tc>
        <w:tc>
          <w:tcPr>
            <w:tcW w:w="1183" w:type="dxa"/>
            <w:tcBorders>
              <w:top w:val="nil"/>
              <w:left w:val="nil"/>
              <w:bottom w:val="single" w:sz="4" w:space="0" w:color="auto"/>
              <w:right w:val="single" w:sz="4" w:space="0" w:color="auto"/>
            </w:tcBorders>
            <w:shd w:val="clear" w:color="auto" w:fill="auto"/>
            <w:noWrap/>
            <w:vAlign w:val="center"/>
            <w:hideMark/>
          </w:tcPr>
          <w:p w14:paraId="4D63B38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3.75 a</w:t>
            </w:r>
          </w:p>
        </w:tc>
        <w:tc>
          <w:tcPr>
            <w:tcW w:w="1183" w:type="dxa"/>
            <w:tcBorders>
              <w:top w:val="nil"/>
              <w:left w:val="nil"/>
              <w:bottom w:val="single" w:sz="4" w:space="0" w:color="auto"/>
              <w:right w:val="single" w:sz="4" w:space="0" w:color="auto"/>
            </w:tcBorders>
            <w:shd w:val="clear" w:color="auto" w:fill="auto"/>
            <w:noWrap/>
            <w:vAlign w:val="center"/>
            <w:hideMark/>
          </w:tcPr>
          <w:p w14:paraId="04EA3362"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67.71 a</w:t>
            </w:r>
          </w:p>
        </w:tc>
        <w:tc>
          <w:tcPr>
            <w:tcW w:w="1183" w:type="dxa"/>
            <w:tcBorders>
              <w:top w:val="nil"/>
              <w:left w:val="nil"/>
              <w:bottom w:val="single" w:sz="4" w:space="0" w:color="auto"/>
              <w:right w:val="single" w:sz="4" w:space="0" w:color="auto"/>
            </w:tcBorders>
            <w:shd w:val="clear" w:color="auto" w:fill="auto"/>
            <w:noWrap/>
            <w:vAlign w:val="center"/>
            <w:hideMark/>
          </w:tcPr>
          <w:p w14:paraId="27C1F013"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71.42 ab</w:t>
            </w:r>
          </w:p>
        </w:tc>
        <w:tc>
          <w:tcPr>
            <w:tcW w:w="1360" w:type="dxa"/>
            <w:tcBorders>
              <w:top w:val="nil"/>
              <w:left w:val="nil"/>
              <w:bottom w:val="single" w:sz="4" w:space="0" w:color="auto"/>
              <w:right w:val="single" w:sz="4" w:space="0" w:color="auto"/>
            </w:tcBorders>
            <w:shd w:val="clear" w:color="auto" w:fill="auto"/>
            <w:noWrap/>
            <w:vAlign w:val="center"/>
            <w:hideMark/>
          </w:tcPr>
          <w:p w14:paraId="5623C89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118.82 cd</w:t>
            </w:r>
          </w:p>
        </w:tc>
        <w:tc>
          <w:tcPr>
            <w:tcW w:w="1183" w:type="dxa"/>
            <w:tcBorders>
              <w:top w:val="nil"/>
              <w:left w:val="nil"/>
              <w:bottom w:val="single" w:sz="4" w:space="0" w:color="auto"/>
              <w:right w:val="single" w:sz="4" w:space="0" w:color="auto"/>
            </w:tcBorders>
            <w:shd w:val="clear" w:color="auto" w:fill="auto"/>
            <w:noWrap/>
            <w:vAlign w:val="center"/>
            <w:hideMark/>
          </w:tcPr>
          <w:p w14:paraId="35D331D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3.54 a</w:t>
            </w:r>
          </w:p>
        </w:tc>
        <w:tc>
          <w:tcPr>
            <w:tcW w:w="1450" w:type="dxa"/>
            <w:tcBorders>
              <w:top w:val="nil"/>
              <w:left w:val="nil"/>
              <w:bottom w:val="single" w:sz="4" w:space="0" w:color="auto"/>
              <w:right w:val="single" w:sz="4" w:space="0" w:color="auto"/>
            </w:tcBorders>
            <w:shd w:val="clear" w:color="auto" w:fill="auto"/>
            <w:noWrap/>
            <w:vAlign w:val="center"/>
            <w:hideMark/>
          </w:tcPr>
          <w:p w14:paraId="022B7E3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163.9 c</w:t>
            </w:r>
          </w:p>
        </w:tc>
        <w:tc>
          <w:tcPr>
            <w:tcW w:w="1360" w:type="dxa"/>
            <w:tcBorders>
              <w:top w:val="nil"/>
              <w:left w:val="nil"/>
              <w:bottom w:val="single" w:sz="4" w:space="0" w:color="auto"/>
              <w:right w:val="single" w:sz="4" w:space="0" w:color="auto"/>
            </w:tcBorders>
            <w:shd w:val="clear" w:color="auto" w:fill="auto"/>
            <w:noWrap/>
            <w:vAlign w:val="center"/>
            <w:hideMark/>
          </w:tcPr>
          <w:p w14:paraId="5995C28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41.32 c</w:t>
            </w:r>
          </w:p>
        </w:tc>
        <w:tc>
          <w:tcPr>
            <w:tcW w:w="1450" w:type="dxa"/>
            <w:tcBorders>
              <w:top w:val="nil"/>
              <w:left w:val="nil"/>
              <w:bottom w:val="single" w:sz="4" w:space="0" w:color="auto"/>
              <w:right w:val="single" w:sz="4" w:space="0" w:color="auto"/>
            </w:tcBorders>
            <w:shd w:val="clear" w:color="auto" w:fill="auto"/>
            <w:noWrap/>
            <w:vAlign w:val="center"/>
            <w:hideMark/>
          </w:tcPr>
          <w:p w14:paraId="6155420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525.1 d</w:t>
            </w:r>
          </w:p>
        </w:tc>
        <w:tc>
          <w:tcPr>
            <w:tcW w:w="1183" w:type="dxa"/>
            <w:tcBorders>
              <w:top w:val="nil"/>
              <w:left w:val="nil"/>
              <w:bottom w:val="single" w:sz="4" w:space="0" w:color="auto"/>
              <w:right w:val="single" w:sz="4" w:space="0" w:color="auto"/>
            </w:tcBorders>
            <w:shd w:val="clear" w:color="auto" w:fill="auto"/>
            <w:noWrap/>
            <w:vAlign w:val="center"/>
            <w:hideMark/>
          </w:tcPr>
          <w:p w14:paraId="1ED3479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2.89 a</w:t>
            </w:r>
          </w:p>
        </w:tc>
      </w:tr>
      <w:tr w:rsidR="008564E2" w:rsidRPr="000B3819" w14:paraId="6FEF6928" w14:textId="77777777" w:rsidTr="00C2037F">
        <w:trPr>
          <w:trHeight w:val="449"/>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34ECA74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CRS1</w:t>
            </w:r>
          </w:p>
        </w:tc>
        <w:tc>
          <w:tcPr>
            <w:tcW w:w="1538" w:type="dxa"/>
            <w:tcBorders>
              <w:top w:val="nil"/>
              <w:left w:val="nil"/>
              <w:bottom w:val="single" w:sz="4" w:space="0" w:color="auto"/>
              <w:right w:val="single" w:sz="4" w:space="0" w:color="auto"/>
            </w:tcBorders>
            <w:shd w:val="clear" w:color="auto" w:fill="auto"/>
            <w:noWrap/>
            <w:vAlign w:val="center"/>
            <w:hideMark/>
          </w:tcPr>
          <w:p w14:paraId="75D994B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142.15 d</w:t>
            </w:r>
          </w:p>
        </w:tc>
        <w:tc>
          <w:tcPr>
            <w:tcW w:w="1183" w:type="dxa"/>
            <w:tcBorders>
              <w:top w:val="nil"/>
              <w:left w:val="nil"/>
              <w:bottom w:val="single" w:sz="4" w:space="0" w:color="auto"/>
              <w:right w:val="single" w:sz="4" w:space="0" w:color="auto"/>
            </w:tcBorders>
            <w:shd w:val="clear" w:color="auto" w:fill="auto"/>
            <w:noWrap/>
            <w:vAlign w:val="center"/>
            <w:hideMark/>
          </w:tcPr>
          <w:p w14:paraId="372B5FD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 b</w:t>
            </w:r>
          </w:p>
        </w:tc>
        <w:tc>
          <w:tcPr>
            <w:tcW w:w="1183" w:type="dxa"/>
            <w:tcBorders>
              <w:top w:val="nil"/>
              <w:left w:val="nil"/>
              <w:bottom w:val="single" w:sz="4" w:space="0" w:color="auto"/>
              <w:right w:val="single" w:sz="4" w:space="0" w:color="auto"/>
            </w:tcBorders>
            <w:shd w:val="clear" w:color="auto" w:fill="auto"/>
            <w:noWrap/>
            <w:vAlign w:val="center"/>
            <w:hideMark/>
          </w:tcPr>
          <w:p w14:paraId="160789E7"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 xml:space="preserve">68.53 </w:t>
            </w:r>
            <w:proofErr w:type="spellStart"/>
            <w:r w:rsidRPr="00674046">
              <w:rPr>
                <w:rFonts w:ascii="Times New Roman" w:eastAsia="Times New Roman" w:hAnsi="Times New Roman" w:cs="Times New Roman"/>
                <w:lang w:eastAsia="en-IN"/>
              </w:rPr>
              <w:t>bc</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14:paraId="3A422681"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 xml:space="preserve">78.35 </w:t>
            </w:r>
            <w:proofErr w:type="spellStart"/>
            <w:r w:rsidRPr="00674046">
              <w:rPr>
                <w:rFonts w:ascii="Times New Roman" w:eastAsia="Times New Roman" w:hAnsi="Times New Roman" w:cs="Times New Roman"/>
                <w:lang w:eastAsia="en-IN"/>
              </w:rPr>
              <w:t>bc</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6CBF69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119.27 cd</w:t>
            </w:r>
          </w:p>
        </w:tc>
        <w:tc>
          <w:tcPr>
            <w:tcW w:w="1183" w:type="dxa"/>
            <w:tcBorders>
              <w:top w:val="nil"/>
              <w:left w:val="nil"/>
              <w:bottom w:val="single" w:sz="4" w:space="0" w:color="auto"/>
              <w:right w:val="single" w:sz="4" w:space="0" w:color="auto"/>
            </w:tcBorders>
            <w:shd w:val="clear" w:color="auto" w:fill="auto"/>
            <w:noWrap/>
            <w:vAlign w:val="center"/>
            <w:hideMark/>
          </w:tcPr>
          <w:p w14:paraId="29BEA1A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4.25 a</w:t>
            </w:r>
          </w:p>
        </w:tc>
        <w:tc>
          <w:tcPr>
            <w:tcW w:w="1450" w:type="dxa"/>
            <w:tcBorders>
              <w:top w:val="nil"/>
              <w:left w:val="nil"/>
              <w:bottom w:val="single" w:sz="4" w:space="0" w:color="auto"/>
              <w:right w:val="single" w:sz="4" w:space="0" w:color="auto"/>
            </w:tcBorders>
            <w:shd w:val="clear" w:color="auto" w:fill="auto"/>
            <w:noWrap/>
            <w:vAlign w:val="center"/>
            <w:hideMark/>
          </w:tcPr>
          <w:p w14:paraId="114CEF2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149.92 ab</w:t>
            </w:r>
          </w:p>
        </w:tc>
        <w:tc>
          <w:tcPr>
            <w:tcW w:w="1360" w:type="dxa"/>
            <w:tcBorders>
              <w:top w:val="nil"/>
              <w:left w:val="nil"/>
              <w:bottom w:val="single" w:sz="4" w:space="0" w:color="auto"/>
              <w:right w:val="single" w:sz="4" w:space="0" w:color="auto"/>
            </w:tcBorders>
            <w:shd w:val="clear" w:color="auto" w:fill="auto"/>
            <w:noWrap/>
            <w:vAlign w:val="center"/>
            <w:hideMark/>
          </w:tcPr>
          <w:p w14:paraId="4F801A7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46.64 ab</w:t>
            </w:r>
          </w:p>
        </w:tc>
        <w:tc>
          <w:tcPr>
            <w:tcW w:w="1450" w:type="dxa"/>
            <w:tcBorders>
              <w:top w:val="nil"/>
              <w:left w:val="nil"/>
              <w:bottom w:val="single" w:sz="4" w:space="0" w:color="auto"/>
              <w:right w:val="single" w:sz="4" w:space="0" w:color="auto"/>
            </w:tcBorders>
            <w:shd w:val="clear" w:color="auto" w:fill="auto"/>
            <w:noWrap/>
            <w:vAlign w:val="center"/>
            <w:hideMark/>
          </w:tcPr>
          <w:p w14:paraId="00850D6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449 c</w:t>
            </w:r>
          </w:p>
        </w:tc>
        <w:tc>
          <w:tcPr>
            <w:tcW w:w="1183" w:type="dxa"/>
            <w:tcBorders>
              <w:top w:val="nil"/>
              <w:left w:val="nil"/>
              <w:bottom w:val="single" w:sz="4" w:space="0" w:color="auto"/>
              <w:right w:val="single" w:sz="4" w:space="0" w:color="auto"/>
            </w:tcBorders>
            <w:shd w:val="clear" w:color="auto" w:fill="auto"/>
            <w:noWrap/>
            <w:vAlign w:val="center"/>
            <w:hideMark/>
          </w:tcPr>
          <w:p w14:paraId="0B5FA95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2.25 </w:t>
            </w:r>
            <w:proofErr w:type="spellStart"/>
            <w:r w:rsidRPr="00674046">
              <w:rPr>
                <w:rFonts w:ascii="Times New Roman" w:eastAsia="Times New Roman" w:hAnsi="Times New Roman" w:cs="Times New Roman"/>
                <w:color w:val="000000"/>
                <w:lang w:eastAsia="en-IN"/>
              </w:rPr>
              <w:t>bc</w:t>
            </w:r>
            <w:proofErr w:type="spellEnd"/>
          </w:p>
        </w:tc>
      </w:tr>
      <w:tr w:rsidR="008564E2" w:rsidRPr="000B3819" w14:paraId="4F80AC9B"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4EA21BFA" w14:textId="69460E61" w:rsidR="008564E2" w:rsidRPr="00674046" w:rsidRDefault="008564E2" w:rsidP="00C2037F">
            <w:pPr>
              <w:jc w:val="center"/>
              <w:rPr>
                <w:rFonts w:ascii="Times New Roman" w:eastAsia="Times New Roman" w:hAnsi="Times New Roman" w:cs="Times New Roman"/>
                <w:color w:val="000000"/>
                <w:lang w:eastAsia="en-IN"/>
              </w:rPr>
            </w:pPr>
            <w:proofErr w:type="spellStart"/>
            <w:r w:rsidRPr="00674046">
              <w:rPr>
                <w:rFonts w:ascii="Times New Roman" w:eastAsia="Times New Roman" w:hAnsi="Times New Roman" w:cs="Times New Roman"/>
                <w:color w:val="000000"/>
                <w:lang w:eastAsia="en-IN"/>
              </w:rPr>
              <w:t>P</w:t>
            </w:r>
            <w:r w:rsidR="00B92EB6">
              <w:rPr>
                <w:rFonts w:ascii="Times New Roman" w:eastAsia="Times New Roman" w:hAnsi="Times New Roman" w:cs="Times New Roman"/>
                <w:color w:val="000000"/>
                <w:lang w:eastAsia="en-IN"/>
              </w:rPr>
              <w:t>arbhani</w:t>
            </w:r>
            <w:proofErr w:type="spellEnd"/>
            <w:r w:rsidR="00B92EB6">
              <w:rPr>
                <w:rFonts w:ascii="Times New Roman" w:eastAsia="Times New Roman" w:hAnsi="Times New Roman" w:cs="Times New Roman"/>
                <w:color w:val="000000"/>
                <w:lang w:eastAsia="en-IN"/>
              </w:rPr>
              <w:t xml:space="preserve"> Moti</w:t>
            </w:r>
          </w:p>
        </w:tc>
        <w:tc>
          <w:tcPr>
            <w:tcW w:w="1538" w:type="dxa"/>
            <w:tcBorders>
              <w:top w:val="nil"/>
              <w:left w:val="nil"/>
              <w:bottom w:val="single" w:sz="4" w:space="0" w:color="auto"/>
              <w:right w:val="single" w:sz="4" w:space="0" w:color="auto"/>
            </w:tcBorders>
            <w:shd w:val="clear" w:color="auto" w:fill="auto"/>
            <w:noWrap/>
            <w:vAlign w:val="center"/>
            <w:hideMark/>
          </w:tcPr>
          <w:p w14:paraId="3C18326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159.77 c</w:t>
            </w:r>
          </w:p>
        </w:tc>
        <w:tc>
          <w:tcPr>
            <w:tcW w:w="1183" w:type="dxa"/>
            <w:tcBorders>
              <w:top w:val="nil"/>
              <w:left w:val="nil"/>
              <w:bottom w:val="single" w:sz="4" w:space="0" w:color="auto"/>
              <w:right w:val="single" w:sz="4" w:space="0" w:color="auto"/>
            </w:tcBorders>
            <w:shd w:val="clear" w:color="auto" w:fill="auto"/>
            <w:noWrap/>
            <w:vAlign w:val="center"/>
            <w:hideMark/>
          </w:tcPr>
          <w:p w14:paraId="075207B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4.25 b</w:t>
            </w:r>
          </w:p>
        </w:tc>
        <w:tc>
          <w:tcPr>
            <w:tcW w:w="1183" w:type="dxa"/>
            <w:tcBorders>
              <w:top w:val="nil"/>
              <w:left w:val="nil"/>
              <w:bottom w:val="single" w:sz="4" w:space="0" w:color="auto"/>
              <w:right w:val="single" w:sz="4" w:space="0" w:color="auto"/>
            </w:tcBorders>
            <w:shd w:val="clear" w:color="auto" w:fill="auto"/>
            <w:noWrap/>
            <w:vAlign w:val="center"/>
            <w:hideMark/>
          </w:tcPr>
          <w:p w14:paraId="70FF963A"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66.46 cd</w:t>
            </w:r>
          </w:p>
        </w:tc>
        <w:tc>
          <w:tcPr>
            <w:tcW w:w="1183" w:type="dxa"/>
            <w:tcBorders>
              <w:top w:val="nil"/>
              <w:left w:val="nil"/>
              <w:bottom w:val="single" w:sz="4" w:space="0" w:color="auto"/>
              <w:right w:val="single" w:sz="4" w:space="0" w:color="auto"/>
            </w:tcBorders>
            <w:shd w:val="clear" w:color="auto" w:fill="auto"/>
            <w:noWrap/>
            <w:vAlign w:val="center"/>
            <w:hideMark/>
          </w:tcPr>
          <w:p w14:paraId="18333498"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76.56 c</w:t>
            </w:r>
          </w:p>
        </w:tc>
        <w:tc>
          <w:tcPr>
            <w:tcW w:w="1360" w:type="dxa"/>
            <w:tcBorders>
              <w:top w:val="nil"/>
              <w:left w:val="nil"/>
              <w:bottom w:val="single" w:sz="4" w:space="0" w:color="auto"/>
              <w:right w:val="single" w:sz="4" w:space="0" w:color="auto"/>
            </w:tcBorders>
            <w:shd w:val="clear" w:color="auto" w:fill="auto"/>
            <w:noWrap/>
            <w:vAlign w:val="center"/>
            <w:hideMark/>
          </w:tcPr>
          <w:p w14:paraId="7F75791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120.02 </w:t>
            </w:r>
            <w:proofErr w:type="spellStart"/>
            <w:r w:rsidRPr="00674046">
              <w:rPr>
                <w:rFonts w:ascii="Times New Roman" w:eastAsia="Times New Roman" w:hAnsi="Times New Roman" w:cs="Times New Roman"/>
                <w:color w:val="000000"/>
                <w:lang w:eastAsia="en-IN"/>
              </w:rPr>
              <w:t>bc</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14:paraId="58B276D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3.69 a</w:t>
            </w:r>
          </w:p>
        </w:tc>
        <w:tc>
          <w:tcPr>
            <w:tcW w:w="1450" w:type="dxa"/>
            <w:tcBorders>
              <w:top w:val="nil"/>
              <w:left w:val="nil"/>
              <w:bottom w:val="single" w:sz="4" w:space="0" w:color="auto"/>
              <w:right w:val="single" w:sz="4" w:space="0" w:color="auto"/>
            </w:tcBorders>
            <w:shd w:val="clear" w:color="auto" w:fill="auto"/>
            <w:noWrap/>
            <w:vAlign w:val="center"/>
            <w:hideMark/>
          </w:tcPr>
          <w:p w14:paraId="5184EA4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204 a</w:t>
            </w:r>
          </w:p>
        </w:tc>
        <w:tc>
          <w:tcPr>
            <w:tcW w:w="1360" w:type="dxa"/>
            <w:tcBorders>
              <w:top w:val="nil"/>
              <w:left w:val="nil"/>
              <w:bottom w:val="single" w:sz="4" w:space="0" w:color="auto"/>
              <w:right w:val="single" w:sz="4" w:space="0" w:color="auto"/>
            </w:tcBorders>
            <w:shd w:val="clear" w:color="auto" w:fill="auto"/>
            <w:noWrap/>
            <w:vAlign w:val="center"/>
            <w:hideMark/>
          </w:tcPr>
          <w:p w14:paraId="731D2C3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43.26 a</w:t>
            </w:r>
          </w:p>
        </w:tc>
        <w:tc>
          <w:tcPr>
            <w:tcW w:w="1450" w:type="dxa"/>
            <w:tcBorders>
              <w:top w:val="nil"/>
              <w:left w:val="nil"/>
              <w:bottom w:val="single" w:sz="4" w:space="0" w:color="auto"/>
              <w:right w:val="single" w:sz="4" w:space="0" w:color="auto"/>
            </w:tcBorders>
            <w:shd w:val="clear" w:color="auto" w:fill="auto"/>
            <w:noWrap/>
            <w:vAlign w:val="center"/>
            <w:hideMark/>
          </w:tcPr>
          <w:p w14:paraId="413531B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558.12 b</w:t>
            </w:r>
          </w:p>
        </w:tc>
        <w:tc>
          <w:tcPr>
            <w:tcW w:w="1183" w:type="dxa"/>
            <w:tcBorders>
              <w:top w:val="nil"/>
              <w:left w:val="nil"/>
              <w:bottom w:val="single" w:sz="4" w:space="0" w:color="auto"/>
              <w:right w:val="single" w:sz="4" w:space="0" w:color="auto"/>
            </w:tcBorders>
            <w:shd w:val="clear" w:color="auto" w:fill="auto"/>
            <w:noWrap/>
            <w:vAlign w:val="center"/>
            <w:hideMark/>
          </w:tcPr>
          <w:p w14:paraId="30BFF75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2.64 </w:t>
            </w:r>
            <w:proofErr w:type="spellStart"/>
            <w:r w:rsidRPr="00674046">
              <w:rPr>
                <w:rFonts w:ascii="Times New Roman" w:eastAsia="Times New Roman" w:hAnsi="Times New Roman" w:cs="Times New Roman"/>
                <w:color w:val="000000"/>
                <w:lang w:eastAsia="en-IN"/>
              </w:rPr>
              <w:t>abc</w:t>
            </w:r>
            <w:proofErr w:type="spellEnd"/>
          </w:p>
        </w:tc>
      </w:tr>
      <w:tr w:rsidR="008564E2" w:rsidRPr="000B3819" w14:paraId="151AC05E"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166A94A5" w14:textId="5D56121B"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P</w:t>
            </w:r>
            <w:r w:rsidR="00B92EB6">
              <w:rPr>
                <w:rFonts w:ascii="Times New Roman" w:eastAsia="Times New Roman" w:hAnsi="Times New Roman" w:cs="Times New Roman"/>
                <w:color w:val="000000"/>
                <w:lang w:eastAsia="en-IN"/>
              </w:rPr>
              <w:t>hule Vasudha</w:t>
            </w:r>
          </w:p>
        </w:tc>
        <w:tc>
          <w:tcPr>
            <w:tcW w:w="1538" w:type="dxa"/>
            <w:tcBorders>
              <w:top w:val="nil"/>
              <w:left w:val="nil"/>
              <w:bottom w:val="single" w:sz="4" w:space="0" w:color="auto"/>
              <w:right w:val="single" w:sz="4" w:space="0" w:color="auto"/>
            </w:tcBorders>
            <w:shd w:val="clear" w:color="auto" w:fill="auto"/>
            <w:noWrap/>
            <w:vAlign w:val="center"/>
            <w:hideMark/>
          </w:tcPr>
          <w:p w14:paraId="11D54BB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198.5 a</w:t>
            </w:r>
          </w:p>
        </w:tc>
        <w:tc>
          <w:tcPr>
            <w:tcW w:w="1183" w:type="dxa"/>
            <w:tcBorders>
              <w:top w:val="nil"/>
              <w:left w:val="nil"/>
              <w:bottom w:val="single" w:sz="4" w:space="0" w:color="auto"/>
              <w:right w:val="single" w:sz="4" w:space="0" w:color="auto"/>
            </w:tcBorders>
            <w:shd w:val="clear" w:color="auto" w:fill="auto"/>
            <w:noWrap/>
            <w:vAlign w:val="center"/>
            <w:hideMark/>
          </w:tcPr>
          <w:p w14:paraId="3EC69A2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4.25 b</w:t>
            </w:r>
          </w:p>
        </w:tc>
        <w:tc>
          <w:tcPr>
            <w:tcW w:w="1183" w:type="dxa"/>
            <w:tcBorders>
              <w:top w:val="nil"/>
              <w:left w:val="nil"/>
              <w:bottom w:val="single" w:sz="4" w:space="0" w:color="auto"/>
              <w:right w:val="single" w:sz="4" w:space="0" w:color="auto"/>
            </w:tcBorders>
            <w:shd w:val="clear" w:color="auto" w:fill="auto"/>
            <w:noWrap/>
            <w:vAlign w:val="center"/>
            <w:hideMark/>
          </w:tcPr>
          <w:p w14:paraId="64148882"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70.42 a</w:t>
            </w:r>
          </w:p>
        </w:tc>
        <w:tc>
          <w:tcPr>
            <w:tcW w:w="1183" w:type="dxa"/>
            <w:tcBorders>
              <w:top w:val="nil"/>
              <w:left w:val="nil"/>
              <w:bottom w:val="single" w:sz="4" w:space="0" w:color="auto"/>
              <w:right w:val="single" w:sz="4" w:space="0" w:color="auto"/>
            </w:tcBorders>
            <w:shd w:val="clear" w:color="auto" w:fill="auto"/>
            <w:noWrap/>
            <w:vAlign w:val="center"/>
            <w:hideMark/>
          </w:tcPr>
          <w:p w14:paraId="02C5C1DD"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82.14 a</w:t>
            </w:r>
          </w:p>
        </w:tc>
        <w:tc>
          <w:tcPr>
            <w:tcW w:w="1360" w:type="dxa"/>
            <w:tcBorders>
              <w:top w:val="nil"/>
              <w:left w:val="nil"/>
              <w:bottom w:val="single" w:sz="4" w:space="0" w:color="auto"/>
              <w:right w:val="single" w:sz="4" w:space="0" w:color="auto"/>
            </w:tcBorders>
            <w:shd w:val="clear" w:color="auto" w:fill="auto"/>
            <w:noWrap/>
            <w:vAlign w:val="center"/>
            <w:hideMark/>
          </w:tcPr>
          <w:p w14:paraId="77AAFE9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123.15 a</w:t>
            </w:r>
          </w:p>
        </w:tc>
        <w:tc>
          <w:tcPr>
            <w:tcW w:w="1183" w:type="dxa"/>
            <w:tcBorders>
              <w:top w:val="nil"/>
              <w:left w:val="nil"/>
              <w:bottom w:val="single" w:sz="4" w:space="0" w:color="auto"/>
              <w:right w:val="single" w:sz="4" w:space="0" w:color="auto"/>
            </w:tcBorders>
            <w:shd w:val="clear" w:color="auto" w:fill="auto"/>
            <w:noWrap/>
            <w:vAlign w:val="center"/>
            <w:hideMark/>
          </w:tcPr>
          <w:p w14:paraId="75F5053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4.25 b</w:t>
            </w:r>
          </w:p>
        </w:tc>
        <w:tc>
          <w:tcPr>
            <w:tcW w:w="1450" w:type="dxa"/>
            <w:tcBorders>
              <w:top w:val="nil"/>
              <w:left w:val="nil"/>
              <w:bottom w:val="single" w:sz="4" w:space="0" w:color="auto"/>
              <w:right w:val="single" w:sz="4" w:space="0" w:color="auto"/>
            </w:tcBorders>
            <w:shd w:val="clear" w:color="auto" w:fill="auto"/>
            <w:noWrap/>
            <w:vAlign w:val="center"/>
            <w:hideMark/>
          </w:tcPr>
          <w:p w14:paraId="53D658E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196 b</w:t>
            </w:r>
          </w:p>
        </w:tc>
        <w:tc>
          <w:tcPr>
            <w:tcW w:w="1360" w:type="dxa"/>
            <w:tcBorders>
              <w:top w:val="nil"/>
              <w:left w:val="nil"/>
              <w:bottom w:val="single" w:sz="4" w:space="0" w:color="auto"/>
              <w:right w:val="single" w:sz="4" w:space="0" w:color="auto"/>
            </w:tcBorders>
            <w:shd w:val="clear" w:color="auto" w:fill="auto"/>
            <w:noWrap/>
            <w:vAlign w:val="center"/>
            <w:hideMark/>
          </w:tcPr>
          <w:p w14:paraId="611DD09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45.33 b</w:t>
            </w:r>
          </w:p>
        </w:tc>
        <w:tc>
          <w:tcPr>
            <w:tcW w:w="1450" w:type="dxa"/>
            <w:tcBorders>
              <w:top w:val="nil"/>
              <w:left w:val="nil"/>
              <w:bottom w:val="single" w:sz="4" w:space="0" w:color="auto"/>
              <w:right w:val="single" w:sz="4" w:space="0" w:color="auto"/>
            </w:tcBorders>
            <w:shd w:val="clear" w:color="auto" w:fill="auto"/>
            <w:noWrap/>
            <w:vAlign w:val="center"/>
            <w:hideMark/>
          </w:tcPr>
          <w:p w14:paraId="4FD7100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552.5 a</w:t>
            </w:r>
          </w:p>
        </w:tc>
        <w:tc>
          <w:tcPr>
            <w:tcW w:w="1183" w:type="dxa"/>
            <w:tcBorders>
              <w:top w:val="nil"/>
              <w:left w:val="nil"/>
              <w:bottom w:val="single" w:sz="4" w:space="0" w:color="auto"/>
              <w:right w:val="single" w:sz="4" w:space="0" w:color="auto"/>
            </w:tcBorders>
            <w:shd w:val="clear" w:color="auto" w:fill="auto"/>
            <w:noWrap/>
            <w:vAlign w:val="center"/>
            <w:hideMark/>
          </w:tcPr>
          <w:p w14:paraId="088FF0E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2.82 a</w:t>
            </w:r>
          </w:p>
        </w:tc>
      </w:tr>
      <w:tr w:rsidR="008564E2" w:rsidRPr="000B3819" w14:paraId="507B9259"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3E528AD3" w14:textId="77777777" w:rsidR="008564E2" w:rsidRPr="00B92EB6" w:rsidRDefault="008564E2" w:rsidP="00C2037F">
            <w:pPr>
              <w:jc w:val="center"/>
              <w:rPr>
                <w:rFonts w:ascii="Times New Roman" w:eastAsia="Times New Roman" w:hAnsi="Times New Roman" w:cs="Times New Roman"/>
                <w:b/>
                <w:color w:val="000000"/>
                <w:lang w:eastAsia="en-IN"/>
              </w:rPr>
            </w:pPr>
            <w:r w:rsidRPr="00B92EB6">
              <w:rPr>
                <w:rFonts w:ascii="Times New Roman" w:eastAsia="Times New Roman" w:hAnsi="Times New Roman" w:cs="Times New Roman"/>
                <w:b/>
                <w:color w:val="000000"/>
                <w:lang w:eastAsia="en-IN"/>
              </w:rPr>
              <w:t>GMS</w:t>
            </w:r>
          </w:p>
        </w:tc>
        <w:tc>
          <w:tcPr>
            <w:tcW w:w="1538" w:type="dxa"/>
            <w:tcBorders>
              <w:top w:val="nil"/>
              <w:left w:val="nil"/>
              <w:bottom w:val="single" w:sz="4" w:space="0" w:color="auto"/>
              <w:right w:val="single" w:sz="4" w:space="0" w:color="auto"/>
            </w:tcBorders>
            <w:shd w:val="clear" w:color="auto" w:fill="auto"/>
            <w:noWrap/>
            <w:vAlign w:val="center"/>
            <w:hideMark/>
          </w:tcPr>
          <w:p w14:paraId="7FA48EB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6000.43</w:t>
            </w:r>
          </w:p>
        </w:tc>
        <w:tc>
          <w:tcPr>
            <w:tcW w:w="1183" w:type="dxa"/>
            <w:tcBorders>
              <w:top w:val="nil"/>
              <w:left w:val="nil"/>
              <w:bottom w:val="single" w:sz="4" w:space="0" w:color="auto"/>
              <w:right w:val="single" w:sz="4" w:space="0" w:color="auto"/>
            </w:tcBorders>
            <w:shd w:val="clear" w:color="auto" w:fill="auto"/>
            <w:noWrap/>
            <w:vAlign w:val="center"/>
            <w:hideMark/>
          </w:tcPr>
          <w:p w14:paraId="670459B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6.733</w:t>
            </w:r>
          </w:p>
        </w:tc>
        <w:tc>
          <w:tcPr>
            <w:tcW w:w="1183" w:type="dxa"/>
            <w:tcBorders>
              <w:top w:val="nil"/>
              <w:left w:val="nil"/>
              <w:bottom w:val="single" w:sz="4" w:space="0" w:color="auto"/>
              <w:right w:val="single" w:sz="4" w:space="0" w:color="auto"/>
            </w:tcBorders>
            <w:shd w:val="clear" w:color="auto" w:fill="auto"/>
            <w:noWrap/>
            <w:vAlign w:val="center"/>
            <w:hideMark/>
          </w:tcPr>
          <w:p w14:paraId="2CF3EF0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67.07</w:t>
            </w:r>
          </w:p>
        </w:tc>
        <w:tc>
          <w:tcPr>
            <w:tcW w:w="1183" w:type="dxa"/>
            <w:tcBorders>
              <w:top w:val="nil"/>
              <w:left w:val="nil"/>
              <w:bottom w:val="single" w:sz="4" w:space="0" w:color="auto"/>
              <w:right w:val="single" w:sz="4" w:space="0" w:color="auto"/>
            </w:tcBorders>
            <w:shd w:val="clear" w:color="auto" w:fill="auto"/>
            <w:noWrap/>
            <w:vAlign w:val="center"/>
            <w:hideMark/>
          </w:tcPr>
          <w:p w14:paraId="2526601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93.27</w:t>
            </w:r>
          </w:p>
        </w:tc>
        <w:tc>
          <w:tcPr>
            <w:tcW w:w="1360" w:type="dxa"/>
            <w:tcBorders>
              <w:top w:val="nil"/>
              <w:left w:val="nil"/>
              <w:bottom w:val="single" w:sz="4" w:space="0" w:color="auto"/>
              <w:right w:val="single" w:sz="4" w:space="0" w:color="auto"/>
            </w:tcBorders>
            <w:shd w:val="clear" w:color="auto" w:fill="auto"/>
            <w:noWrap/>
            <w:vAlign w:val="center"/>
            <w:hideMark/>
          </w:tcPr>
          <w:p w14:paraId="4C41768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76.79</w:t>
            </w:r>
          </w:p>
        </w:tc>
        <w:tc>
          <w:tcPr>
            <w:tcW w:w="1183" w:type="dxa"/>
            <w:tcBorders>
              <w:top w:val="nil"/>
              <w:left w:val="nil"/>
              <w:bottom w:val="single" w:sz="4" w:space="0" w:color="auto"/>
              <w:right w:val="single" w:sz="4" w:space="0" w:color="auto"/>
            </w:tcBorders>
            <w:shd w:val="clear" w:color="auto" w:fill="auto"/>
            <w:noWrap/>
            <w:vAlign w:val="center"/>
            <w:hideMark/>
          </w:tcPr>
          <w:p w14:paraId="066CCB8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10.54</w:t>
            </w:r>
          </w:p>
        </w:tc>
        <w:tc>
          <w:tcPr>
            <w:tcW w:w="1450" w:type="dxa"/>
            <w:tcBorders>
              <w:top w:val="nil"/>
              <w:left w:val="nil"/>
              <w:bottom w:val="single" w:sz="4" w:space="0" w:color="auto"/>
              <w:right w:val="single" w:sz="4" w:space="0" w:color="auto"/>
            </w:tcBorders>
            <w:shd w:val="clear" w:color="auto" w:fill="auto"/>
            <w:noWrap/>
            <w:vAlign w:val="center"/>
            <w:hideMark/>
          </w:tcPr>
          <w:p w14:paraId="16C97DA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4268.2</w:t>
            </w:r>
          </w:p>
        </w:tc>
        <w:tc>
          <w:tcPr>
            <w:tcW w:w="1360" w:type="dxa"/>
            <w:tcBorders>
              <w:top w:val="nil"/>
              <w:left w:val="nil"/>
              <w:bottom w:val="single" w:sz="4" w:space="0" w:color="auto"/>
              <w:right w:val="single" w:sz="4" w:space="0" w:color="auto"/>
            </w:tcBorders>
            <w:shd w:val="clear" w:color="auto" w:fill="auto"/>
            <w:noWrap/>
            <w:vAlign w:val="center"/>
            <w:hideMark/>
          </w:tcPr>
          <w:p w14:paraId="4AE6F1B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474.27</w:t>
            </w:r>
          </w:p>
        </w:tc>
        <w:tc>
          <w:tcPr>
            <w:tcW w:w="1450" w:type="dxa"/>
            <w:tcBorders>
              <w:top w:val="nil"/>
              <w:left w:val="nil"/>
              <w:bottom w:val="single" w:sz="4" w:space="0" w:color="auto"/>
              <w:right w:val="single" w:sz="4" w:space="0" w:color="auto"/>
            </w:tcBorders>
            <w:shd w:val="clear" w:color="auto" w:fill="auto"/>
            <w:noWrap/>
            <w:vAlign w:val="center"/>
            <w:hideMark/>
          </w:tcPr>
          <w:p w14:paraId="18D40F9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112474</w:t>
            </w:r>
          </w:p>
        </w:tc>
        <w:tc>
          <w:tcPr>
            <w:tcW w:w="1183" w:type="dxa"/>
            <w:tcBorders>
              <w:top w:val="nil"/>
              <w:left w:val="nil"/>
              <w:bottom w:val="single" w:sz="4" w:space="0" w:color="auto"/>
              <w:right w:val="single" w:sz="4" w:space="0" w:color="auto"/>
            </w:tcBorders>
            <w:shd w:val="clear" w:color="auto" w:fill="auto"/>
            <w:noWrap/>
            <w:vAlign w:val="center"/>
            <w:hideMark/>
          </w:tcPr>
          <w:p w14:paraId="1A65DA7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1.27</w:t>
            </w:r>
          </w:p>
        </w:tc>
      </w:tr>
      <w:tr w:rsidR="008564E2" w:rsidRPr="000B3819" w14:paraId="4B9041DD"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2FAA4F3A" w14:textId="77777777" w:rsidR="008564E2" w:rsidRPr="00B92EB6" w:rsidRDefault="008564E2" w:rsidP="00C2037F">
            <w:pPr>
              <w:jc w:val="center"/>
              <w:rPr>
                <w:rFonts w:ascii="Times New Roman" w:eastAsia="Times New Roman" w:hAnsi="Times New Roman" w:cs="Times New Roman"/>
                <w:b/>
                <w:color w:val="000000"/>
                <w:lang w:eastAsia="en-IN"/>
              </w:rPr>
            </w:pPr>
            <w:r w:rsidRPr="00B92EB6">
              <w:rPr>
                <w:rFonts w:ascii="Times New Roman" w:eastAsia="Times New Roman" w:hAnsi="Times New Roman" w:cs="Times New Roman"/>
                <w:b/>
                <w:color w:val="000000"/>
                <w:lang w:eastAsia="en-IN"/>
              </w:rPr>
              <w:t>EMS</w:t>
            </w:r>
          </w:p>
        </w:tc>
        <w:tc>
          <w:tcPr>
            <w:tcW w:w="1538" w:type="dxa"/>
            <w:tcBorders>
              <w:top w:val="nil"/>
              <w:left w:val="nil"/>
              <w:bottom w:val="single" w:sz="4" w:space="0" w:color="auto"/>
              <w:right w:val="single" w:sz="4" w:space="0" w:color="auto"/>
            </w:tcBorders>
            <w:shd w:val="clear" w:color="auto" w:fill="auto"/>
            <w:noWrap/>
            <w:vAlign w:val="center"/>
            <w:hideMark/>
          </w:tcPr>
          <w:p w14:paraId="33AE375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5.012</w:t>
            </w:r>
          </w:p>
        </w:tc>
        <w:tc>
          <w:tcPr>
            <w:tcW w:w="1183" w:type="dxa"/>
            <w:tcBorders>
              <w:top w:val="nil"/>
              <w:left w:val="nil"/>
              <w:bottom w:val="single" w:sz="4" w:space="0" w:color="auto"/>
              <w:right w:val="single" w:sz="4" w:space="0" w:color="auto"/>
            </w:tcBorders>
            <w:shd w:val="clear" w:color="auto" w:fill="auto"/>
            <w:noWrap/>
            <w:vAlign w:val="center"/>
            <w:hideMark/>
          </w:tcPr>
          <w:p w14:paraId="3D8CF0B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0.378</w:t>
            </w:r>
          </w:p>
        </w:tc>
        <w:tc>
          <w:tcPr>
            <w:tcW w:w="1183" w:type="dxa"/>
            <w:tcBorders>
              <w:top w:val="nil"/>
              <w:left w:val="nil"/>
              <w:bottom w:val="single" w:sz="4" w:space="0" w:color="auto"/>
              <w:right w:val="single" w:sz="4" w:space="0" w:color="auto"/>
            </w:tcBorders>
            <w:shd w:val="clear" w:color="auto" w:fill="auto"/>
            <w:noWrap/>
            <w:vAlign w:val="center"/>
            <w:hideMark/>
          </w:tcPr>
          <w:p w14:paraId="62FAC76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1.57</w:t>
            </w:r>
          </w:p>
        </w:tc>
        <w:tc>
          <w:tcPr>
            <w:tcW w:w="1183" w:type="dxa"/>
            <w:tcBorders>
              <w:top w:val="nil"/>
              <w:left w:val="nil"/>
              <w:bottom w:val="single" w:sz="4" w:space="0" w:color="auto"/>
              <w:right w:val="single" w:sz="4" w:space="0" w:color="auto"/>
            </w:tcBorders>
            <w:shd w:val="clear" w:color="auto" w:fill="auto"/>
            <w:noWrap/>
            <w:vAlign w:val="center"/>
            <w:hideMark/>
          </w:tcPr>
          <w:p w14:paraId="49C1E74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2.18</w:t>
            </w:r>
          </w:p>
        </w:tc>
        <w:tc>
          <w:tcPr>
            <w:tcW w:w="1360" w:type="dxa"/>
            <w:tcBorders>
              <w:top w:val="nil"/>
              <w:left w:val="nil"/>
              <w:bottom w:val="single" w:sz="4" w:space="0" w:color="auto"/>
              <w:right w:val="single" w:sz="4" w:space="0" w:color="auto"/>
            </w:tcBorders>
            <w:shd w:val="clear" w:color="auto" w:fill="auto"/>
            <w:noWrap/>
            <w:vAlign w:val="center"/>
            <w:hideMark/>
          </w:tcPr>
          <w:p w14:paraId="2ED3907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2.99</w:t>
            </w:r>
          </w:p>
        </w:tc>
        <w:tc>
          <w:tcPr>
            <w:tcW w:w="1183" w:type="dxa"/>
            <w:tcBorders>
              <w:top w:val="nil"/>
              <w:left w:val="nil"/>
              <w:bottom w:val="single" w:sz="4" w:space="0" w:color="auto"/>
              <w:right w:val="single" w:sz="4" w:space="0" w:color="auto"/>
            </w:tcBorders>
            <w:shd w:val="clear" w:color="auto" w:fill="auto"/>
            <w:noWrap/>
            <w:vAlign w:val="center"/>
            <w:hideMark/>
          </w:tcPr>
          <w:p w14:paraId="055961F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0.28</w:t>
            </w:r>
          </w:p>
        </w:tc>
        <w:tc>
          <w:tcPr>
            <w:tcW w:w="1450" w:type="dxa"/>
            <w:tcBorders>
              <w:top w:val="nil"/>
              <w:left w:val="nil"/>
              <w:bottom w:val="single" w:sz="4" w:space="0" w:color="auto"/>
              <w:right w:val="single" w:sz="4" w:space="0" w:color="auto"/>
            </w:tcBorders>
            <w:shd w:val="clear" w:color="auto" w:fill="auto"/>
            <w:noWrap/>
            <w:vAlign w:val="center"/>
            <w:hideMark/>
          </w:tcPr>
          <w:p w14:paraId="510F566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5.98</w:t>
            </w:r>
          </w:p>
        </w:tc>
        <w:tc>
          <w:tcPr>
            <w:tcW w:w="1360" w:type="dxa"/>
            <w:tcBorders>
              <w:top w:val="nil"/>
              <w:left w:val="nil"/>
              <w:bottom w:val="single" w:sz="4" w:space="0" w:color="auto"/>
              <w:right w:val="single" w:sz="4" w:space="0" w:color="auto"/>
            </w:tcBorders>
            <w:shd w:val="clear" w:color="auto" w:fill="auto"/>
            <w:noWrap/>
            <w:vAlign w:val="center"/>
            <w:hideMark/>
          </w:tcPr>
          <w:p w14:paraId="5472B74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0.66</w:t>
            </w:r>
          </w:p>
        </w:tc>
        <w:tc>
          <w:tcPr>
            <w:tcW w:w="1450" w:type="dxa"/>
            <w:tcBorders>
              <w:top w:val="nil"/>
              <w:left w:val="nil"/>
              <w:bottom w:val="single" w:sz="4" w:space="0" w:color="auto"/>
              <w:right w:val="single" w:sz="4" w:space="0" w:color="auto"/>
            </w:tcBorders>
            <w:shd w:val="clear" w:color="auto" w:fill="auto"/>
            <w:noWrap/>
            <w:vAlign w:val="center"/>
            <w:hideMark/>
          </w:tcPr>
          <w:p w14:paraId="4FEE4DC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12.83</w:t>
            </w:r>
          </w:p>
        </w:tc>
        <w:tc>
          <w:tcPr>
            <w:tcW w:w="1183" w:type="dxa"/>
            <w:tcBorders>
              <w:top w:val="nil"/>
              <w:left w:val="nil"/>
              <w:bottom w:val="single" w:sz="4" w:space="0" w:color="auto"/>
              <w:right w:val="single" w:sz="4" w:space="0" w:color="auto"/>
            </w:tcBorders>
            <w:shd w:val="clear" w:color="auto" w:fill="auto"/>
            <w:noWrap/>
            <w:vAlign w:val="center"/>
            <w:hideMark/>
          </w:tcPr>
          <w:p w14:paraId="04299D9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0.011</w:t>
            </w:r>
          </w:p>
        </w:tc>
      </w:tr>
      <w:tr w:rsidR="008564E2" w:rsidRPr="000B3819" w14:paraId="5656D094"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783B8D1B" w14:textId="77777777" w:rsidR="008564E2" w:rsidRPr="00B92EB6" w:rsidRDefault="008564E2" w:rsidP="00C2037F">
            <w:pPr>
              <w:jc w:val="center"/>
              <w:rPr>
                <w:rFonts w:ascii="Times New Roman" w:eastAsia="Times New Roman" w:hAnsi="Times New Roman" w:cs="Times New Roman"/>
                <w:b/>
                <w:color w:val="000000"/>
                <w:lang w:eastAsia="en-IN"/>
              </w:rPr>
            </w:pPr>
            <w:r w:rsidRPr="00B92EB6">
              <w:rPr>
                <w:rFonts w:ascii="Times New Roman" w:eastAsia="Times New Roman" w:hAnsi="Times New Roman" w:cs="Times New Roman"/>
                <w:b/>
                <w:color w:val="000000"/>
                <w:lang w:eastAsia="en-IN"/>
              </w:rPr>
              <w:t>P value</w:t>
            </w:r>
          </w:p>
        </w:tc>
        <w:tc>
          <w:tcPr>
            <w:tcW w:w="1538" w:type="dxa"/>
            <w:tcBorders>
              <w:top w:val="nil"/>
              <w:left w:val="nil"/>
              <w:bottom w:val="single" w:sz="4" w:space="0" w:color="auto"/>
              <w:right w:val="single" w:sz="4" w:space="0" w:color="auto"/>
            </w:tcBorders>
            <w:shd w:val="clear" w:color="auto" w:fill="auto"/>
            <w:noWrap/>
            <w:vAlign w:val="center"/>
            <w:hideMark/>
          </w:tcPr>
          <w:p w14:paraId="1FA12C2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83" w:type="dxa"/>
            <w:tcBorders>
              <w:top w:val="nil"/>
              <w:left w:val="nil"/>
              <w:bottom w:val="single" w:sz="4" w:space="0" w:color="auto"/>
              <w:right w:val="single" w:sz="4" w:space="0" w:color="auto"/>
            </w:tcBorders>
            <w:shd w:val="clear" w:color="auto" w:fill="auto"/>
            <w:noWrap/>
            <w:vAlign w:val="center"/>
            <w:hideMark/>
          </w:tcPr>
          <w:p w14:paraId="052700C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83" w:type="dxa"/>
            <w:tcBorders>
              <w:top w:val="nil"/>
              <w:left w:val="nil"/>
              <w:bottom w:val="single" w:sz="4" w:space="0" w:color="auto"/>
              <w:right w:val="single" w:sz="4" w:space="0" w:color="auto"/>
            </w:tcBorders>
            <w:shd w:val="clear" w:color="auto" w:fill="auto"/>
            <w:noWrap/>
            <w:vAlign w:val="center"/>
            <w:hideMark/>
          </w:tcPr>
          <w:p w14:paraId="44557F6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83" w:type="dxa"/>
            <w:tcBorders>
              <w:top w:val="nil"/>
              <w:left w:val="nil"/>
              <w:bottom w:val="single" w:sz="4" w:space="0" w:color="auto"/>
              <w:right w:val="single" w:sz="4" w:space="0" w:color="auto"/>
            </w:tcBorders>
            <w:shd w:val="clear" w:color="auto" w:fill="auto"/>
            <w:noWrap/>
            <w:vAlign w:val="center"/>
            <w:hideMark/>
          </w:tcPr>
          <w:p w14:paraId="1F05533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360" w:type="dxa"/>
            <w:tcBorders>
              <w:top w:val="nil"/>
              <w:left w:val="nil"/>
              <w:bottom w:val="single" w:sz="4" w:space="0" w:color="auto"/>
              <w:right w:val="single" w:sz="4" w:space="0" w:color="auto"/>
            </w:tcBorders>
            <w:shd w:val="clear" w:color="auto" w:fill="auto"/>
            <w:noWrap/>
            <w:vAlign w:val="center"/>
            <w:hideMark/>
          </w:tcPr>
          <w:p w14:paraId="2A56DCD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83" w:type="dxa"/>
            <w:tcBorders>
              <w:top w:val="nil"/>
              <w:left w:val="nil"/>
              <w:bottom w:val="single" w:sz="4" w:space="0" w:color="auto"/>
              <w:right w:val="single" w:sz="4" w:space="0" w:color="auto"/>
            </w:tcBorders>
            <w:shd w:val="clear" w:color="auto" w:fill="auto"/>
            <w:noWrap/>
            <w:vAlign w:val="center"/>
            <w:hideMark/>
          </w:tcPr>
          <w:p w14:paraId="61631F3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450" w:type="dxa"/>
            <w:tcBorders>
              <w:top w:val="nil"/>
              <w:left w:val="nil"/>
              <w:bottom w:val="single" w:sz="4" w:space="0" w:color="auto"/>
              <w:right w:val="single" w:sz="4" w:space="0" w:color="auto"/>
            </w:tcBorders>
            <w:shd w:val="clear" w:color="auto" w:fill="auto"/>
            <w:noWrap/>
            <w:vAlign w:val="center"/>
            <w:hideMark/>
          </w:tcPr>
          <w:p w14:paraId="32B1452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360" w:type="dxa"/>
            <w:tcBorders>
              <w:top w:val="nil"/>
              <w:left w:val="nil"/>
              <w:bottom w:val="single" w:sz="4" w:space="0" w:color="auto"/>
              <w:right w:val="single" w:sz="4" w:space="0" w:color="auto"/>
            </w:tcBorders>
            <w:shd w:val="clear" w:color="auto" w:fill="auto"/>
            <w:noWrap/>
            <w:vAlign w:val="center"/>
            <w:hideMark/>
          </w:tcPr>
          <w:p w14:paraId="55B7415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450" w:type="dxa"/>
            <w:tcBorders>
              <w:top w:val="nil"/>
              <w:left w:val="nil"/>
              <w:bottom w:val="single" w:sz="4" w:space="0" w:color="auto"/>
              <w:right w:val="single" w:sz="4" w:space="0" w:color="auto"/>
            </w:tcBorders>
            <w:shd w:val="clear" w:color="auto" w:fill="auto"/>
            <w:noWrap/>
            <w:vAlign w:val="center"/>
            <w:hideMark/>
          </w:tcPr>
          <w:p w14:paraId="72525B5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83" w:type="dxa"/>
            <w:tcBorders>
              <w:top w:val="nil"/>
              <w:left w:val="nil"/>
              <w:bottom w:val="single" w:sz="4" w:space="0" w:color="auto"/>
              <w:right w:val="single" w:sz="4" w:space="0" w:color="auto"/>
            </w:tcBorders>
            <w:shd w:val="clear" w:color="auto" w:fill="auto"/>
            <w:noWrap/>
            <w:vAlign w:val="center"/>
            <w:hideMark/>
          </w:tcPr>
          <w:p w14:paraId="5C87871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r>
      <w:tr w:rsidR="008564E2" w:rsidRPr="000B3819" w14:paraId="5A6B1C5C"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5B8C9954" w14:textId="77777777" w:rsidR="008564E2" w:rsidRPr="00B92EB6" w:rsidRDefault="008564E2" w:rsidP="00C2037F">
            <w:pPr>
              <w:jc w:val="center"/>
              <w:rPr>
                <w:rFonts w:ascii="Times New Roman" w:eastAsia="Times New Roman" w:hAnsi="Times New Roman" w:cs="Times New Roman"/>
                <w:b/>
                <w:color w:val="000000"/>
                <w:lang w:eastAsia="en-IN"/>
              </w:rPr>
            </w:pPr>
            <w:r w:rsidRPr="00B92EB6">
              <w:rPr>
                <w:rFonts w:ascii="Times New Roman" w:eastAsia="Times New Roman" w:hAnsi="Times New Roman" w:cs="Times New Roman"/>
                <w:b/>
                <w:color w:val="000000"/>
                <w:lang w:eastAsia="en-IN"/>
              </w:rPr>
              <w:t>CV</w:t>
            </w:r>
          </w:p>
        </w:tc>
        <w:tc>
          <w:tcPr>
            <w:tcW w:w="1538" w:type="dxa"/>
            <w:tcBorders>
              <w:top w:val="nil"/>
              <w:left w:val="nil"/>
              <w:bottom w:val="single" w:sz="4" w:space="0" w:color="auto"/>
              <w:right w:val="single" w:sz="4" w:space="0" w:color="auto"/>
            </w:tcBorders>
            <w:shd w:val="clear" w:color="auto" w:fill="auto"/>
            <w:noWrap/>
            <w:vAlign w:val="center"/>
            <w:hideMark/>
          </w:tcPr>
          <w:p w14:paraId="3BE3040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1.75</w:t>
            </w:r>
          </w:p>
        </w:tc>
        <w:tc>
          <w:tcPr>
            <w:tcW w:w="1183" w:type="dxa"/>
            <w:tcBorders>
              <w:top w:val="nil"/>
              <w:left w:val="nil"/>
              <w:bottom w:val="single" w:sz="4" w:space="0" w:color="auto"/>
              <w:right w:val="single" w:sz="4" w:space="0" w:color="auto"/>
            </w:tcBorders>
            <w:shd w:val="clear" w:color="auto" w:fill="auto"/>
            <w:noWrap/>
            <w:vAlign w:val="center"/>
            <w:hideMark/>
          </w:tcPr>
          <w:p w14:paraId="0F1D881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15.45</w:t>
            </w:r>
          </w:p>
        </w:tc>
        <w:tc>
          <w:tcPr>
            <w:tcW w:w="1183" w:type="dxa"/>
            <w:tcBorders>
              <w:top w:val="nil"/>
              <w:left w:val="nil"/>
              <w:bottom w:val="single" w:sz="4" w:space="0" w:color="auto"/>
              <w:right w:val="single" w:sz="4" w:space="0" w:color="auto"/>
            </w:tcBorders>
            <w:shd w:val="clear" w:color="auto" w:fill="auto"/>
            <w:noWrap/>
            <w:vAlign w:val="center"/>
            <w:hideMark/>
          </w:tcPr>
          <w:p w14:paraId="7AF97E4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1.85</w:t>
            </w:r>
          </w:p>
        </w:tc>
        <w:tc>
          <w:tcPr>
            <w:tcW w:w="1183" w:type="dxa"/>
            <w:tcBorders>
              <w:top w:val="nil"/>
              <w:left w:val="nil"/>
              <w:bottom w:val="single" w:sz="4" w:space="0" w:color="auto"/>
              <w:right w:val="single" w:sz="4" w:space="0" w:color="auto"/>
            </w:tcBorders>
            <w:shd w:val="clear" w:color="auto" w:fill="auto"/>
            <w:noWrap/>
            <w:vAlign w:val="center"/>
            <w:hideMark/>
          </w:tcPr>
          <w:p w14:paraId="506ECAB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1.91</w:t>
            </w:r>
          </w:p>
        </w:tc>
        <w:tc>
          <w:tcPr>
            <w:tcW w:w="1360" w:type="dxa"/>
            <w:tcBorders>
              <w:top w:val="nil"/>
              <w:left w:val="nil"/>
              <w:bottom w:val="single" w:sz="4" w:space="0" w:color="auto"/>
              <w:right w:val="single" w:sz="4" w:space="0" w:color="auto"/>
            </w:tcBorders>
            <w:shd w:val="clear" w:color="auto" w:fill="auto"/>
            <w:noWrap/>
            <w:vAlign w:val="center"/>
            <w:hideMark/>
          </w:tcPr>
          <w:p w14:paraId="4564268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1.48</w:t>
            </w:r>
          </w:p>
        </w:tc>
        <w:tc>
          <w:tcPr>
            <w:tcW w:w="1183" w:type="dxa"/>
            <w:tcBorders>
              <w:top w:val="nil"/>
              <w:left w:val="nil"/>
              <w:bottom w:val="single" w:sz="4" w:space="0" w:color="auto"/>
              <w:right w:val="single" w:sz="4" w:space="0" w:color="auto"/>
            </w:tcBorders>
            <w:shd w:val="clear" w:color="auto" w:fill="auto"/>
            <w:noWrap/>
            <w:vAlign w:val="center"/>
            <w:hideMark/>
          </w:tcPr>
          <w:p w14:paraId="2E25C9A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10.81</w:t>
            </w:r>
          </w:p>
        </w:tc>
        <w:tc>
          <w:tcPr>
            <w:tcW w:w="1450" w:type="dxa"/>
            <w:tcBorders>
              <w:top w:val="nil"/>
              <w:left w:val="nil"/>
              <w:bottom w:val="single" w:sz="4" w:space="0" w:color="auto"/>
              <w:right w:val="single" w:sz="4" w:space="0" w:color="auto"/>
            </w:tcBorders>
            <w:shd w:val="clear" w:color="auto" w:fill="auto"/>
            <w:noWrap/>
            <w:vAlign w:val="center"/>
            <w:hideMark/>
          </w:tcPr>
          <w:p w14:paraId="7AB6CF2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1.46</w:t>
            </w:r>
          </w:p>
        </w:tc>
        <w:tc>
          <w:tcPr>
            <w:tcW w:w="1360" w:type="dxa"/>
            <w:tcBorders>
              <w:top w:val="nil"/>
              <w:left w:val="nil"/>
              <w:bottom w:val="single" w:sz="4" w:space="0" w:color="auto"/>
              <w:right w:val="single" w:sz="4" w:space="0" w:color="auto"/>
            </w:tcBorders>
            <w:shd w:val="clear" w:color="auto" w:fill="auto"/>
            <w:noWrap/>
            <w:vAlign w:val="center"/>
            <w:hideMark/>
          </w:tcPr>
          <w:p w14:paraId="52352AA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1.46</w:t>
            </w:r>
          </w:p>
        </w:tc>
        <w:tc>
          <w:tcPr>
            <w:tcW w:w="1450" w:type="dxa"/>
            <w:tcBorders>
              <w:top w:val="nil"/>
              <w:left w:val="nil"/>
              <w:bottom w:val="single" w:sz="4" w:space="0" w:color="auto"/>
              <w:right w:val="single" w:sz="4" w:space="0" w:color="auto"/>
            </w:tcBorders>
            <w:shd w:val="clear" w:color="auto" w:fill="auto"/>
            <w:noWrap/>
            <w:vAlign w:val="center"/>
            <w:hideMark/>
          </w:tcPr>
          <w:p w14:paraId="5CB2710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0.68</w:t>
            </w:r>
          </w:p>
        </w:tc>
        <w:tc>
          <w:tcPr>
            <w:tcW w:w="1183" w:type="dxa"/>
            <w:tcBorders>
              <w:top w:val="nil"/>
              <w:left w:val="nil"/>
              <w:bottom w:val="single" w:sz="4" w:space="0" w:color="auto"/>
              <w:right w:val="single" w:sz="4" w:space="0" w:color="auto"/>
            </w:tcBorders>
            <w:shd w:val="clear" w:color="auto" w:fill="auto"/>
            <w:noWrap/>
            <w:vAlign w:val="center"/>
            <w:hideMark/>
          </w:tcPr>
          <w:p w14:paraId="44A71F5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3.32</w:t>
            </w:r>
          </w:p>
        </w:tc>
      </w:tr>
      <w:tr w:rsidR="008564E2" w:rsidRPr="000B3819" w14:paraId="2024A1F5"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5A2BCCA3" w14:textId="77777777" w:rsidR="008564E2" w:rsidRPr="00B92EB6" w:rsidRDefault="008564E2" w:rsidP="00C2037F">
            <w:pPr>
              <w:jc w:val="center"/>
              <w:rPr>
                <w:rFonts w:ascii="Times New Roman" w:eastAsia="Times New Roman" w:hAnsi="Times New Roman" w:cs="Times New Roman"/>
                <w:b/>
                <w:color w:val="000000"/>
                <w:lang w:eastAsia="en-IN"/>
              </w:rPr>
            </w:pPr>
            <w:r w:rsidRPr="00B92EB6">
              <w:rPr>
                <w:rFonts w:ascii="Times New Roman" w:eastAsia="Times New Roman" w:hAnsi="Times New Roman" w:cs="Times New Roman"/>
                <w:b/>
                <w:color w:val="000000"/>
                <w:lang w:eastAsia="en-IN"/>
              </w:rPr>
              <w:t>LSD 0.05</w:t>
            </w:r>
          </w:p>
        </w:tc>
        <w:tc>
          <w:tcPr>
            <w:tcW w:w="1538" w:type="dxa"/>
            <w:tcBorders>
              <w:top w:val="nil"/>
              <w:left w:val="nil"/>
              <w:bottom w:val="single" w:sz="4" w:space="0" w:color="auto"/>
              <w:right w:val="single" w:sz="4" w:space="0" w:color="auto"/>
            </w:tcBorders>
            <w:shd w:val="clear" w:color="auto" w:fill="auto"/>
            <w:noWrap/>
            <w:vAlign w:val="center"/>
            <w:hideMark/>
          </w:tcPr>
          <w:p w14:paraId="5D56738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w:t>
            </w:r>
          </w:p>
        </w:tc>
        <w:tc>
          <w:tcPr>
            <w:tcW w:w="1183" w:type="dxa"/>
            <w:tcBorders>
              <w:top w:val="nil"/>
              <w:left w:val="nil"/>
              <w:bottom w:val="single" w:sz="4" w:space="0" w:color="auto"/>
              <w:right w:val="single" w:sz="4" w:space="0" w:color="auto"/>
            </w:tcBorders>
            <w:shd w:val="clear" w:color="auto" w:fill="auto"/>
            <w:noWrap/>
            <w:vAlign w:val="center"/>
            <w:hideMark/>
          </w:tcPr>
          <w:p w14:paraId="589B454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0.88</w:t>
            </w:r>
          </w:p>
        </w:tc>
        <w:tc>
          <w:tcPr>
            <w:tcW w:w="1183" w:type="dxa"/>
            <w:tcBorders>
              <w:top w:val="nil"/>
              <w:left w:val="nil"/>
              <w:bottom w:val="single" w:sz="4" w:space="0" w:color="auto"/>
              <w:right w:val="single" w:sz="4" w:space="0" w:color="auto"/>
            </w:tcBorders>
            <w:shd w:val="clear" w:color="auto" w:fill="auto"/>
            <w:noWrap/>
            <w:vAlign w:val="center"/>
            <w:hideMark/>
          </w:tcPr>
          <w:p w14:paraId="57BEA8D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1.74</w:t>
            </w:r>
          </w:p>
        </w:tc>
        <w:tc>
          <w:tcPr>
            <w:tcW w:w="1183" w:type="dxa"/>
            <w:tcBorders>
              <w:top w:val="nil"/>
              <w:left w:val="nil"/>
              <w:bottom w:val="single" w:sz="4" w:space="0" w:color="auto"/>
              <w:right w:val="single" w:sz="4" w:space="0" w:color="auto"/>
            </w:tcBorders>
            <w:shd w:val="clear" w:color="auto" w:fill="auto"/>
            <w:noWrap/>
            <w:vAlign w:val="center"/>
            <w:hideMark/>
          </w:tcPr>
          <w:p w14:paraId="485F077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2.11</w:t>
            </w:r>
          </w:p>
        </w:tc>
        <w:tc>
          <w:tcPr>
            <w:tcW w:w="1360" w:type="dxa"/>
            <w:tcBorders>
              <w:top w:val="nil"/>
              <w:left w:val="nil"/>
              <w:bottom w:val="single" w:sz="4" w:space="0" w:color="auto"/>
              <w:right w:val="single" w:sz="4" w:space="0" w:color="auto"/>
            </w:tcBorders>
            <w:shd w:val="clear" w:color="auto" w:fill="auto"/>
            <w:noWrap/>
            <w:vAlign w:val="center"/>
            <w:hideMark/>
          </w:tcPr>
          <w:p w14:paraId="00AEE45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2.47</w:t>
            </w:r>
          </w:p>
        </w:tc>
        <w:tc>
          <w:tcPr>
            <w:tcW w:w="1183" w:type="dxa"/>
            <w:tcBorders>
              <w:top w:val="nil"/>
              <w:left w:val="nil"/>
              <w:bottom w:val="single" w:sz="4" w:space="0" w:color="auto"/>
              <w:right w:val="single" w:sz="4" w:space="0" w:color="auto"/>
            </w:tcBorders>
            <w:shd w:val="clear" w:color="auto" w:fill="auto"/>
            <w:noWrap/>
            <w:vAlign w:val="center"/>
            <w:hideMark/>
          </w:tcPr>
          <w:p w14:paraId="5079706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0.76</w:t>
            </w:r>
          </w:p>
        </w:tc>
        <w:tc>
          <w:tcPr>
            <w:tcW w:w="1450" w:type="dxa"/>
            <w:tcBorders>
              <w:top w:val="nil"/>
              <w:left w:val="nil"/>
              <w:bottom w:val="single" w:sz="4" w:space="0" w:color="auto"/>
              <w:right w:val="single" w:sz="4" w:space="0" w:color="auto"/>
            </w:tcBorders>
            <w:shd w:val="clear" w:color="auto" w:fill="auto"/>
            <w:noWrap/>
            <w:vAlign w:val="center"/>
            <w:hideMark/>
          </w:tcPr>
          <w:p w14:paraId="5DD9369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3.5</w:t>
            </w:r>
          </w:p>
        </w:tc>
        <w:tc>
          <w:tcPr>
            <w:tcW w:w="1360" w:type="dxa"/>
            <w:tcBorders>
              <w:top w:val="nil"/>
              <w:left w:val="nil"/>
              <w:bottom w:val="single" w:sz="4" w:space="0" w:color="auto"/>
              <w:right w:val="single" w:sz="4" w:space="0" w:color="auto"/>
            </w:tcBorders>
            <w:shd w:val="clear" w:color="auto" w:fill="auto"/>
            <w:noWrap/>
            <w:vAlign w:val="center"/>
            <w:hideMark/>
          </w:tcPr>
          <w:p w14:paraId="7110461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1.16</w:t>
            </w:r>
          </w:p>
        </w:tc>
        <w:tc>
          <w:tcPr>
            <w:tcW w:w="1450" w:type="dxa"/>
            <w:tcBorders>
              <w:top w:val="nil"/>
              <w:left w:val="nil"/>
              <w:bottom w:val="single" w:sz="4" w:space="0" w:color="auto"/>
              <w:right w:val="single" w:sz="4" w:space="0" w:color="auto"/>
            </w:tcBorders>
            <w:shd w:val="clear" w:color="auto" w:fill="auto"/>
            <w:noWrap/>
            <w:vAlign w:val="center"/>
            <w:hideMark/>
          </w:tcPr>
          <w:p w14:paraId="185E27F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5.12</w:t>
            </w:r>
          </w:p>
        </w:tc>
        <w:tc>
          <w:tcPr>
            <w:tcW w:w="1183" w:type="dxa"/>
            <w:tcBorders>
              <w:top w:val="nil"/>
              <w:left w:val="nil"/>
              <w:bottom w:val="single" w:sz="4" w:space="0" w:color="auto"/>
              <w:right w:val="single" w:sz="4" w:space="0" w:color="auto"/>
            </w:tcBorders>
            <w:shd w:val="clear" w:color="auto" w:fill="auto"/>
            <w:noWrap/>
            <w:vAlign w:val="center"/>
            <w:hideMark/>
          </w:tcPr>
          <w:p w14:paraId="6F30045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0.15</w:t>
            </w:r>
          </w:p>
        </w:tc>
      </w:tr>
    </w:tbl>
    <w:p w14:paraId="3865E7C8" w14:textId="77777777" w:rsidR="008564E2" w:rsidRDefault="008564E2" w:rsidP="008564E2">
      <w:pPr>
        <w:rPr>
          <w:rFonts w:ascii="Times New Roman" w:hAnsi="Times New Roman" w:cs="Times New Roman"/>
          <w:bCs/>
          <w:sz w:val="24"/>
          <w:szCs w:val="24"/>
          <w:lang w:val="en-US"/>
        </w:rPr>
      </w:pPr>
      <w:r>
        <w:rPr>
          <w:rFonts w:ascii="Times New Roman" w:hAnsi="Times New Roman" w:cs="Times New Roman"/>
          <w:bCs/>
          <w:sz w:val="24"/>
          <w:szCs w:val="24"/>
          <w:lang w:val="en-US"/>
        </w:rPr>
        <w:t>(PH-Plant height; ET-Effective tillers; DA-Days to anthesis; DFF-Days to fifty per cent flowering; TGM-Time taken to grain maturity; HPP-Harvested panicles per plant; TGDW-Threshold grain dry weight; GYPP-Grain yield per plant; DSW-Dry stover weight; HSW-Hundred seed weight)</w:t>
      </w:r>
    </w:p>
    <w:p w14:paraId="7A15F379" w14:textId="77777777" w:rsidR="006F41BE" w:rsidRDefault="006F41BE" w:rsidP="008564E2">
      <w:pPr>
        <w:rPr>
          <w:rFonts w:ascii="Times New Roman" w:hAnsi="Times New Roman" w:cs="Times New Roman"/>
          <w:b/>
          <w:sz w:val="24"/>
          <w:szCs w:val="24"/>
          <w:lang w:val="en-US"/>
        </w:rPr>
      </w:pPr>
    </w:p>
    <w:p w14:paraId="3879AAD7" w14:textId="4DDF595E" w:rsidR="008564E2" w:rsidRPr="00234D18" w:rsidRDefault="008564E2" w:rsidP="008564E2">
      <w:pPr>
        <w:rPr>
          <w:rFonts w:ascii="Times New Roman" w:hAnsi="Times New Roman" w:cs="Times New Roman"/>
          <w:b/>
          <w:sz w:val="24"/>
          <w:szCs w:val="24"/>
          <w:lang w:val="en-US"/>
        </w:rPr>
      </w:pPr>
      <w:r w:rsidRPr="00234D18">
        <w:rPr>
          <w:rFonts w:ascii="Times New Roman" w:hAnsi="Times New Roman" w:cs="Times New Roman"/>
          <w:b/>
          <w:sz w:val="24"/>
          <w:szCs w:val="24"/>
          <w:lang w:val="en-US"/>
        </w:rPr>
        <w:t xml:space="preserve">Table </w:t>
      </w:r>
      <w:r w:rsidR="006F41BE">
        <w:rPr>
          <w:rFonts w:ascii="Times New Roman" w:hAnsi="Times New Roman" w:cs="Times New Roman"/>
          <w:b/>
          <w:sz w:val="24"/>
          <w:szCs w:val="24"/>
          <w:lang w:val="en-US"/>
        </w:rPr>
        <w:t>5</w:t>
      </w:r>
      <w:r>
        <w:rPr>
          <w:rFonts w:ascii="Times New Roman" w:hAnsi="Times New Roman" w:cs="Times New Roman"/>
          <w:b/>
          <w:sz w:val="24"/>
          <w:szCs w:val="24"/>
          <w:lang w:val="en-US"/>
        </w:rPr>
        <w:t xml:space="preserve">: </w:t>
      </w:r>
      <w:r w:rsidRPr="00234D18">
        <w:rPr>
          <w:rFonts w:ascii="Times New Roman" w:hAnsi="Times New Roman" w:cs="Times New Roman"/>
          <w:b/>
          <w:sz w:val="24"/>
          <w:szCs w:val="24"/>
          <w:lang w:val="en-US"/>
        </w:rPr>
        <w:t>Mean value</w:t>
      </w:r>
      <w:r>
        <w:rPr>
          <w:rFonts w:ascii="Times New Roman" w:hAnsi="Times New Roman" w:cs="Times New Roman"/>
          <w:b/>
          <w:sz w:val="24"/>
          <w:szCs w:val="24"/>
          <w:lang w:val="en-US"/>
        </w:rPr>
        <w:t>s</w:t>
      </w:r>
      <w:r w:rsidRPr="00234D18">
        <w:rPr>
          <w:rFonts w:ascii="Times New Roman" w:hAnsi="Times New Roman" w:cs="Times New Roman"/>
          <w:b/>
          <w:sz w:val="24"/>
          <w:szCs w:val="24"/>
          <w:lang w:val="en-US"/>
        </w:rPr>
        <w:t xml:space="preserve"> of parent</w:t>
      </w:r>
      <w:r>
        <w:rPr>
          <w:rFonts w:ascii="Times New Roman" w:hAnsi="Times New Roman" w:cs="Times New Roman"/>
          <w:b/>
          <w:sz w:val="24"/>
          <w:szCs w:val="24"/>
          <w:lang w:val="en-US"/>
        </w:rPr>
        <w:t xml:space="preserve">s for stay-green related traits </w:t>
      </w:r>
      <w:r w:rsidRPr="00234D18">
        <w:rPr>
          <w:rFonts w:ascii="Times New Roman" w:hAnsi="Times New Roman" w:cs="Times New Roman"/>
          <w:b/>
          <w:sz w:val="24"/>
          <w:szCs w:val="24"/>
          <w:lang w:val="en-US"/>
        </w:rPr>
        <w:t>under WW and WS condition</w:t>
      </w:r>
    </w:p>
    <w:tbl>
      <w:tblPr>
        <w:tblW w:w="14374" w:type="dxa"/>
        <w:tblInd w:w="-1180" w:type="dxa"/>
        <w:tblLook w:val="04A0" w:firstRow="1" w:lastRow="0" w:firstColumn="1" w:lastColumn="0" w:noHBand="0" w:noVBand="1"/>
      </w:tblPr>
      <w:tblGrid>
        <w:gridCol w:w="817"/>
        <w:gridCol w:w="618"/>
        <w:gridCol w:w="618"/>
        <w:gridCol w:w="618"/>
        <w:gridCol w:w="618"/>
        <w:gridCol w:w="618"/>
        <w:gridCol w:w="618"/>
        <w:gridCol w:w="618"/>
        <w:gridCol w:w="617"/>
        <w:gridCol w:w="617"/>
        <w:gridCol w:w="617"/>
        <w:gridCol w:w="617"/>
        <w:gridCol w:w="617"/>
        <w:gridCol w:w="617"/>
        <w:gridCol w:w="617"/>
        <w:gridCol w:w="617"/>
        <w:gridCol w:w="617"/>
        <w:gridCol w:w="617"/>
        <w:gridCol w:w="617"/>
        <w:gridCol w:w="617"/>
        <w:gridCol w:w="617"/>
        <w:gridCol w:w="617"/>
        <w:gridCol w:w="617"/>
      </w:tblGrid>
      <w:tr w:rsidR="008564E2" w:rsidRPr="00234D18" w14:paraId="23D2F884" w14:textId="77777777" w:rsidTr="00B92EB6">
        <w:trPr>
          <w:trHeight w:val="527"/>
        </w:trPr>
        <w:tc>
          <w:tcPr>
            <w:tcW w:w="9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9BC303"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Trait</w:t>
            </w:r>
          </w:p>
        </w:tc>
        <w:tc>
          <w:tcPr>
            <w:tcW w:w="1218"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89519D1"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R16</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B0C2497"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F</w:t>
            </w:r>
            <w:r w:rsidRPr="00D67B25">
              <w:rPr>
                <w:rFonts w:ascii="Times New Roman" w:eastAsia="Times New Roman" w:hAnsi="Times New Roman" w:cs="Times New Roman"/>
                <w:b/>
                <w:bCs/>
                <w:color w:val="000000"/>
                <w:sz w:val="18"/>
                <w:szCs w:val="18"/>
                <w:vertAlign w:val="subscript"/>
                <w:lang w:eastAsia="en-IN"/>
              </w:rPr>
              <w:t>3</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BE4A181"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K359W</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D149407"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B35</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97F92EF"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K260</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E348BC0"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E36-1</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40E2360B"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296B</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4140100C"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M351</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1B48436"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proofErr w:type="spellStart"/>
            <w:r w:rsidRPr="00D67B25">
              <w:rPr>
                <w:rFonts w:ascii="Times New Roman" w:eastAsia="Times New Roman" w:hAnsi="Times New Roman" w:cs="Times New Roman"/>
                <w:b/>
                <w:bCs/>
                <w:color w:val="000000"/>
                <w:sz w:val="18"/>
                <w:szCs w:val="18"/>
                <w:lang w:eastAsia="en-IN"/>
              </w:rPr>
              <w:t>Parbhani</w:t>
            </w:r>
            <w:proofErr w:type="spellEnd"/>
            <w:r w:rsidRPr="00D67B25">
              <w:rPr>
                <w:rFonts w:ascii="Times New Roman" w:eastAsia="Times New Roman" w:hAnsi="Times New Roman" w:cs="Times New Roman"/>
                <w:b/>
                <w:bCs/>
                <w:color w:val="000000"/>
                <w:sz w:val="18"/>
                <w:szCs w:val="18"/>
                <w:lang w:eastAsia="en-IN"/>
              </w:rPr>
              <w:t xml:space="preserve"> Moti</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540DC05"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CRS 1</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4455B78"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Phule Vasudha</w:t>
            </w:r>
          </w:p>
        </w:tc>
      </w:tr>
      <w:tr w:rsidR="008564E2" w:rsidRPr="00234D18" w14:paraId="41D000E6" w14:textId="77777777" w:rsidTr="00B92EB6">
        <w:trPr>
          <w:trHeight w:val="548"/>
        </w:trPr>
        <w:tc>
          <w:tcPr>
            <w:tcW w:w="956" w:type="dxa"/>
            <w:vMerge/>
            <w:tcBorders>
              <w:top w:val="single" w:sz="8" w:space="0" w:color="auto"/>
              <w:left w:val="single" w:sz="8" w:space="0" w:color="auto"/>
              <w:bottom w:val="single" w:sz="8" w:space="0" w:color="000000"/>
              <w:right w:val="single" w:sz="8" w:space="0" w:color="auto"/>
            </w:tcBorders>
            <w:vAlign w:val="center"/>
            <w:hideMark/>
          </w:tcPr>
          <w:p w14:paraId="6F94A569"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p>
        </w:tc>
        <w:tc>
          <w:tcPr>
            <w:tcW w:w="609" w:type="dxa"/>
            <w:tcBorders>
              <w:top w:val="nil"/>
              <w:left w:val="nil"/>
              <w:bottom w:val="single" w:sz="8" w:space="0" w:color="auto"/>
              <w:right w:val="single" w:sz="4" w:space="0" w:color="auto"/>
            </w:tcBorders>
            <w:shd w:val="clear" w:color="auto" w:fill="auto"/>
            <w:vAlign w:val="center"/>
            <w:hideMark/>
          </w:tcPr>
          <w:p w14:paraId="349A9598"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09" w:type="dxa"/>
            <w:tcBorders>
              <w:top w:val="nil"/>
              <w:left w:val="nil"/>
              <w:bottom w:val="single" w:sz="8" w:space="0" w:color="auto"/>
              <w:right w:val="single" w:sz="8" w:space="0" w:color="auto"/>
            </w:tcBorders>
            <w:shd w:val="clear" w:color="auto" w:fill="auto"/>
            <w:vAlign w:val="center"/>
            <w:hideMark/>
          </w:tcPr>
          <w:p w14:paraId="2969CA27"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5A7CFD27"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0808A9D9"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4F6893CB"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79FAA1CB"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1F1DDACA"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575F3C8A"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7BA26D12"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213F3DCF"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1232E1D4"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450E3B43"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4E044A7D"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15AA6C63"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460CD6AD"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759473FA"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5B322273"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2D606D85"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675655B0"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762240FD"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1B241403"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5220725B"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r>
      <w:tr w:rsidR="008564E2" w:rsidRPr="00234D18" w14:paraId="437388A8"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vAlign w:val="center"/>
            <w:hideMark/>
          </w:tcPr>
          <w:p w14:paraId="63BF4A59"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SPAD AF</w:t>
            </w:r>
          </w:p>
        </w:tc>
        <w:tc>
          <w:tcPr>
            <w:tcW w:w="609" w:type="dxa"/>
            <w:tcBorders>
              <w:top w:val="nil"/>
              <w:left w:val="nil"/>
              <w:bottom w:val="single" w:sz="4" w:space="0" w:color="auto"/>
              <w:right w:val="single" w:sz="4" w:space="0" w:color="auto"/>
            </w:tcBorders>
            <w:shd w:val="clear" w:color="auto" w:fill="auto"/>
            <w:noWrap/>
            <w:vAlign w:val="center"/>
            <w:hideMark/>
          </w:tcPr>
          <w:p w14:paraId="3C942D8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44.41</w:t>
            </w:r>
          </w:p>
        </w:tc>
        <w:tc>
          <w:tcPr>
            <w:tcW w:w="609" w:type="dxa"/>
            <w:tcBorders>
              <w:top w:val="nil"/>
              <w:left w:val="nil"/>
              <w:bottom w:val="single" w:sz="4" w:space="0" w:color="auto"/>
              <w:right w:val="single" w:sz="8" w:space="0" w:color="auto"/>
            </w:tcBorders>
            <w:shd w:val="clear" w:color="auto" w:fill="auto"/>
            <w:noWrap/>
            <w:vAlign w:val="center"/>
            <w:hideMark/>
          </w:tcPr>
          <w:p w14:paraId="1BA3247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44.92</w:t>
            </w:r>
          </w:p>
        </w:tc>
        <w:tc>
          <w:tcPr>
            <w:tcW w:w="610" w:type="dxa"/>
            <w:tcBorders>
              <w:top w:val="nil"/>
              <w:left w:val="nil"/>
              <w:bottom w:val="single" w:sz="4" w:space="0" w:color="auto"/>
              <w:right w:val="single" w:sz="4" w:space="0" w:color="auto"/>
            </w:tcBorders>
            <w:shd w:val="clear" w:color="auto" w:fill="auto"/>
            <w:noWrap/>
            <w:vAlign w:val="center"/>
            <w:hideMark/>
          </w:tcPr>
          <w:p w14:paraId="5CBA478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44.59</w:t>
            </w:r>
          </w:p>
        </w:tc>
        <w:tc>
          <w:tcPr>
            <w:tcW w:w="610" w:type="dxa"/>
            <w:tcBorders>
              <w:top w:val="nil"/>
              <w:left w:val="nil"/>
              <w:bottom w:val="single" w:sz="4" w:space="0" w:color="auto"/>
              <w:right w:val="single" w:sz="8" w:space="0" w:color="auto"/>
            </w:tcBorders>
            <w:shd w:val="clear" w:color="auto" w:fill="auto"/>
            <w:noWrap/>
            <w:vAlign w:val="center"/>
            <w:hideMark/>
          </w:tcPr>
          <w:p w14:paraId="7156507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44.67</w:t>
            </w:r>
          </w:p>
        </w:tc>
        <w:tc>
          <w:tcPr>
            <w:tcW w:w="610" w:type="dxa"/>
            <w:tcBorders>
              <w:top w:val="nil"/>
              <w:left w:val="nil"/>
              <w:bottom w:val="single" w:sz="4" w:space="0" w:color="auto"/>
              <w:right w:val="single" w:sz="4" w:space="0" w:color="auto"/>
            </w:tcBorders>
            <w:shd w:val="clear" w:color="auto" w:fill="auto"/>
            <w:noWrap/>
            <w:vAlign w:val="center"/>
            <w:hideMark/>
          </w:tcPr>
          <w:p w14:paraId="1759EA4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47.53</w:t>
            </w:r>
          </w:p>
        </w:tc>
        <w:tc>
          <w:tcPr>
            <w:tcW w:w="610" w:type="dxa"/>
            <w:tcBorders>
              <w:top w:val="nil"/>
              <w:left w:val="nil"/>
              <w:bottom w:val="single" w:sz="4" w:space="0" w:color="auto"/>
              <w:right w:val="single" w:sz="8" w:space="0" w:color="auto"/>
            </w:tcBorders>
            <w:shd w:val="clear" w:color="auto" w:fill="auto"/>
            <w:noWrap/>
            <w:vAlign w:val="center"/>
            <w:hideMark/>
          </w:tcPr>
          <w:p w14:paraId="6F7E7C9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47.98</w:t>
            </w:r>
          </w:p>
        </w:tc>
        <w:tc>
          <w:tcPr>
            <w:tcW w:w="610" w:type="dxa"/>
            <w:tcBorders>
              <w:top w:val="nil"/>
              <w:left w:val="nil"/>
              <w:bottom w:val="single" w:sz="4" w:space="0" w:color="auto"/>
              <w:right w:val="single" w:sz="4" w:space="0" w:color="auto"/>
            </w:tcBorders>
            <w:shd w:val="clear" w:color="auto" w:fill="auto"/>
            <w:noWrap/>
            <w:vAlign w:val="center"/>
            <w:hideMark/>
          </w:tcPr>
          <w:p w14:paraId="627E86E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48.85</w:t>
            </w:r>
          </w:p>
        </w:tc>
        <w:tc>
          <w:tcPr>
            <w:tcW w:w="610" w:type="dxa"/>
            <w:tcBorders>
              <w:top w:val="nil"/>
              <w:left w:val="nil"/>
              <w:bottom w:val="single" w:sz="4" w:space="0" w:color="auto"/>
              <w:right w:val="single" w:sz="8" w:space="0" w:color="auto"/>
            </w:tcBorders>
            <w:shd w:val="clear" w:color="auto" w:fill="auto"/>
            <w:noWrap/>
            <w:vAlign w:val="center"/>
            <w:hideMark/>
          </w:tcPr>
          <w:p w14:paraId="2B0ACC1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49.04</w:t>
            </w:r>
          </w:p>
        </w:tc>
        <w:tc>
          <w:tcPr>
            <w:tcW w:w="610" w:type="dxa"/>
            <w:tcBorders>
              <w:top w:val="nil"/>
              <w:left w:val="nil"/>
              <w:bottom w:val="single" w:sz="4" w:space="0" w:color="auto"/>
              <w:right w:val="single" w:sz="4" w:space="0" w:color="auto"/>
            </w:tcBorders>
            <w:shd w:val="clear" w:color="auto" w:fill="auto"/>
            <w:noWrap/>
            <w:vAlign w:val="center"/>
            <w:hideMark/>
          </w:tcPr>
          <w:p w14:paraId="5844B60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44.22</w:t>
            </w:r>
          </w:p>
        </w:tc>
        <w:tc>
          <w:tcPr>
            <w:tcW w:w="610" w:type="dxa"/>
            <w:tcBorders>
              <w:top w:val="nil"/>
              <w:left w:val="nil"/>
              <w:bottom w:val="single" w:sz="4" w:space="0" w:color="auto"/>
              <w:right w:val="single" w:sz="8" w:space="0" w:color="auto"/>
            </w:tcBorders>
            <w:shd w:val="clear" w:color="auto" w:fill="auto"/>
            <w:noWrap/>
            <w:vAlign w:val="center"/>
            <w:hideMark/>
          </w:tcPr>
          <w:p w14:paraId="5F08B17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43.88</w:t>
            </w:r>
          </w:p>
        </w:tc>
        <w:tc>
          <w:tcPr>
            <w:tcW w:w="610" w:type="dxa"/>
            <w:tcBorders>
              <w:top w:val="nil"/>
              <w:left w:val="nil"/>
              <w:bottom w:val="single" w:sz="4" w:space="0" w:color="auto"/>
              <w:right w:val="single" w:sz="4" w:space="0" w:color="auto"/>
            </w:tcBorders>
            <w:shd w:val="clear" w:color="auto" w:fill="auto"/>
            <w:noWrap/>
            <w:vAlign w:val="center"/>
            <w:hideMark/>
          </w:tcPr>
          <w:p w14:paraId="6B8D0A8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45.03</w:t>
            </w:r>
          </w:p>
        </w:tc>
        <w:tc>
          <w:tcPr>
            <w:tcW w:w="610" w:type="dxa"/>
            <w:tcBorders>
              <w:top w:val="nil"/>
              <w:left w:val="nil"/>
              <w:bottom w:val="single" w:sz="4" w:space="0" w:color="auto"/>
              <w:right w:val="single" w:sz="8" w:space="0" w:color="auto"/>
            </w:tcBorders>
            <w:shd w:val="clear" w:color="auto" w:fill="auto"/>
            <w:noWrap/>
            <w:vAlign w:val="center"/>
            <w:hideMark/>
          </w:tcPr>
          <w:p w14:paraId="1CD9D74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44.50</w:t>
            </w:r>
          </w:p>
        </w:tc>
        <w:tc>
          <w:tcPr>
            <w:tcW w:w="610" w:type="dxa"/>
            <w:tcBorders>
              <w:top w:val="nil"/>
              <w:left w:val="nil"/>
              <w:bottom w:val="single" w:sz="4" w:space="0" w:color="auto"/>
              <w:right w:val="single" w:sz="4" w:space="0" w:color="auto"/>
            </w:tcBorders>
            <w:shd w:val="clear" w:color="auto" w:fill="auto"/>
            <w:noWrap/>
            <w:vAlign w:val="center"/>
            <w:hideMark/>
          </w:tcPr>
          <w:p w14:paraId="6C2395F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43.23</w:t>
            </w:r>
          </w:p>
        </w:tc>
        <w:tc>
          <w:tcPr>
            <w:tcW w:w="610" w:type="dxa"/>
            <w:tcBorders>
              <w:top w:val="nil"/>
              <w:left w:val="nil"/>
              <w:bottom w:val="single" w:sz="4" w:space="0" w:color="auto"/>
              <w:right w:val="single" w:sz="8" w:space="0" w:color="auto"/>
            </w:tcBorders>
            <w:shd w:val="clear" w:color="auto" w:fill="auto"/>
            <w:noWrap/>
            <w:vAlign w:val="center"/>
            <w:hideMark/>
          </w:tcPr>
          <w:p w14:paraId="2C3D8EF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44.65</w:t>
            </w:r>
          </w:p>
        </w:tc>
        <w:tc>
          <w:tcPr>
            <w:tcW w:w="610" w:type="dxa"/>
            <w:tcBorders>
              <w:top w:val="nil"/>
              <w:left w:val="nil"/>
              <w:bottom w:val="single" w:sz="4" w:space="0" w:color="auto"/>
              <w:right w:val="single" w:sz="4" w:space="0" w:color="auto"/>
            </w:tcBorders>
            <w:shd w:val="clear" w:color="auto" w:fill="auto"/>
            <w:noWrap/>
            <w:vAlign w:val="center"/>
            <w:hideMark/>
          </w:tcPr>
          <w:p w14:paraId="50A21FA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43.33</w:t>
            </w:r>
          </w:p>
        </w:tc>
        <w:tc>
          <w:tcPr>
            <w:tcW w:w="610" w:type="dxa"/>
            <w:tcBorders>
              <w:top w:val="nil"/>
              <w:left w:val="nil"/>
              <w:bottom w:val="single" w:sz="4" w:space="0" w:color="auto"/>
              <w:right w:val="single" w:sz="8" w:space="0" w:color="auto"/>
            </w:tcBorders>
            <w:shd w:val="clear" w:color="auto" w:fill="auto"/>
            <w:noWrap/>
            <w:vAlign w:val="center"/>
            <w:hideMark/>
          </w:tcPr>
          <w:p w14:paraId="76A50A8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43.78</w:t>
            </w:r>
          </w:p>
        </w:tc>
        <w:tc>
          <w:tcPr>
            <w:tcW w:w="610" w:type="dxa"/>
            <w:tcBorders>
              <w:top w:val="nil"/>
              <w:left w:val="nil"/>
              <w:bottom w:val="single" w:sz="4" w:space="0" w:color="auto"/>
              <w:right w:val="single" w:sz="4" w:space="0" w:color="auto"/>
            </w:tcBorders>
            <w:shd w:val="clear" w:color="auto" w:fill="auto"/>
            <w:noWrap/>
            <w:vAlign w:val="center"/>
            <w:hideMark/>
          </w:tcPr>
          <w:p w14:paraId="3492CEF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44.13</w:t>
            </w:r>
          </w:p>
        </w:tc>
        <w:tc>
          <w:tcPr>
            <w:tcW w:w="610" w:type="dxa"/>
            <w:tcBorders>
              <w:top w:val="nil"/>
              <w:left w:val="nil"/>
              <w:bottom w:val="single" w:sz="4" w:space="0" w:color="auto"/>
              <w:right w:val="single" w:sz="8" w:space="0" w:color="auto"/>
            </w:tcBorders>
            <w:shd w:val="clear" w:color="auto" w:fill="auto"/>
            <w:noWrap/>
            <w:vAlign w:val="center"/>
            <w:hideMark/>
          </w:tcPr>
          <w:p w14:paraId="7F1AAA6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40.10</w:t>
            </w:r>
          </w:p>
        </w:tc>
        <w:tc>
          <w:tcPr>
            <w:tcW w:w="610" w:type="dxa"/>
            <w:tcBorders>
              <w:top w:val="nil"/>
              <w:left w:val="nil"/>
              <w:bottom w:val="single" w:sz="4" w:space="0" w:color="auto"/>
              <w:right w:val="single" w:sz="4" w:space="0" w:color="auto"/>
            </w:tcBorders>
            <w:shd w:val="clear" w:color="auto" w:fill="auto"/>
            <w:noWrap/>
            <w:vAlign w:val="center"/>
            <w:hideMark/>
          </w:tcPr>
          <w:p w14:paraId="3D09097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38.54</w:t>
            </w:r>
          </w:p>
        </w:tc>
        <w:tc>
          <w:tcPr>
            <w:tcW w:w="610" w:type="dxa"/>
            <w:tcBorders>
              <w:top w:val="nil"/>
              <w:left w:val="nil"/>
              <w:bottom w:val="single" w:sz="4" w:space="0" w:color="auto"/>
              <w:right w:val="single" w:sz="8" w:space="0" w:color="auto"/>
            </w:tcBorders>
            <w:shd w:val="clear" w:color="auto" w:fill="auto"/>
            <w:noWrap/>
            <w:vAlign w:val="center"/>
            <w:hideMark/>
          </w:tcPr>
          <w:p w14:paraId="1EBDDDD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44.43</w:t>
            </w:r>
          </w:p>
        </w:tc>
        <w:tc>
          <w:tcPr>
            <w:tcW w:w="610" w:type="dxa"/>
            <w:tcBorders>
              <w:top w:val="nil"/>
              <w:left w:val="nil"/>
              <w:bottom w:val="single" w:sz="4" w:space="0" w:color="auto"/>
              <w:right w:val="single" w:sz="4" w:space="0" w:color="auto"/>
            </w:tcBorders>
            <w:shd w:val="clear" w:color="auto" w:fill="auto"/>
            <w:noWrap/>
            <w:vAlign w:val="center"/>
            <w:hideMark/>
          </w:tcPr>
          <w:p w14:paraId="74F494B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42.63</w:t>
            </w:r>
          </w:p>
        </w:tc>
        <w:tc>
          <w:tcPr>
            <w:tcW w:w="610" w:type="dxa"/>
            <w:tcBorders>
              <w:top w:val="nil"/>
              <w:left w:val="nil"/>
              <w:bottom w:val="single" w:sz="4" w:space="0" w:color="auto"/>
              <w:right w:val="single" w:sz="8" w:space="0" w:color="auto"/>
            </w:tcBorders>
            <w:shd w:val="clear" w:color="auto" w:fill="auto"/>
            <w:noWrap/>
            <w:vAlign w:val="center"/>
            <w:hideMark/>
          </w:tcPr>
          <w:p w14:paraId="65FA03E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42.46</w:t>
            </w:r>
          </w:p>
        </w:tc>
      </w:tr>
      <w:tr w:rsidR="008564E2" w:rsidRPr="00234D18" w14:paraId="2CE4A95E"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vAlign w:val="center"/>
            <w:hideMark/>
          </w:tcPr>
          <w:p w14:paraId="424E7E88"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SPAD AM</w:t>
            </w:r>
          </w:p>
        </w:tc>
        <w:tc>
          <w:tcPr>
            <w:tcW w:w="609" w:type="dxa"/>
            <w:tcBorders>
              <w:top w:val="nil"/>
              <w:left w:val="nil"/>
              <w:bottom w:val="single" w:sz="4" w:space="0" w:color="auto"/>
              <w:right w:val="single" w:sz="4" w:space="0" w:color="auto"/>
            </w:tcBorders>
            <w:shd w:val="clear" w:color="auto" w:fill="auto"/>
            <w:noWrap/>
            <w:vAlign w:val="center"/>
            <w:hideMark/>
          </w:tcPr>
          <w:p w14:paraId="5858F7A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38.31</w:t>
            </w:r>
          </w:p>
        </w:tc>
        <w:tc>
          <w:tcPr>
            <w:tcW w:w="609" w:type="dxa"/>
            <w:tcBorders>
              <w:top w:val="nil"/>
              <w:left w:val="nil"/>
              <w:bottom w:val="single" w:sz="4" w:space="0" w:color="auto"/>
              <w:right w:val="single" w:sz="8" w:space="0" w:color="auto"/>
            </w:tcBorders>
            <w:shd w:val="clear" w:color="auto" w:fill="auto"/>
            <w:noWrap/>
            <w:vAlign w:val="center"/>
            <w:hideMark/>
          </w:tcPr>
          <w:p w14:paraId="6821B01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31.09</w:t>
            </w:r>
          </w:p>
        </w:tc>
        <w:tc>
          <w:tcPr>
            <w:tcW w:w="610" w:type="dxa"/>
            <w:tcBorders>
              <w:top w:val="nil"/>
              <w:left w:val="nil"/>
              <w:bottom w:val="single" w:sz="4" w:space="0" w:color="auto"/>
              <w:right w:val="single" w:sz="4" w:space="0" w:color="auto"/>
            </w:tcBorders>
            <w:shd w:val="clear" w:color="auto" w:fill="auto"/>
            <w:noWrap/>
            <w:vAlign w:val="center"/>
            <w:hideMark/>
          </w:tcPr>
          <w:p w14:paraId="6F6E185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39.13</w:t>
            </w:r>
          </w:p>
        </w:tc>
        <w:tc>
          <w:tcPr>
            <w:tcW w:w="610" w:type="dxa"/>
            <w:tcBorders>
              <w:top w:val="nil"/>
              <w:left w:val="nil"/>
              <w:bottom w:val="single" w:sz="4" w:space="0" w:color="auto"/>
              <w:right w:val="single" w:sz="8" w:space="0" w:color="auto"/>
            </w:tcBorders>
            <w:shd w:val="clear" w:color="auto" w:fill="auto"/>
            <w:noWrap/>
            <w:vAlign w:val="center"/>
            <w:hideMark/>
          </w:tcPr>
          <w:p w14:paraId="6DA85FE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33.59</w:t>
            </w:r>
          </w:p>
        </w:tc>
        <w:tc>
          <w:tcPr>
            <w:tcW w:w="610" w:type="dxa"/>
            <w:tcBorders>
              <w:top w:val="nil"/>
              <w:left w:val="nil"/>
              <w:bottom w:val="single" w:sz="4" w:space="0" w:color="auto"/>
              <w:right w:val="single" w:sz="4" w:space="0" w:color="auto"/>
            </w:tcBorders>
            <w:shd w:val="clear" w:color="auto" w:fill="auto"/>
            <w:noWrap/>
            <w:vAlign w:val="center"/>
            <w:hideMark/>
          </w:tcPr>
          <w:p w14:paraId="6F72FCE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41.36</w:t>
            </w:r>
          </w:p>
        </w:tc>
        <w:tc>
          <w:tcPr>
            <w:tcW w:w="610" w:type="dxa"/>
            <w:tcBorders>
              <w:top w:val="nil"/>
              <w:left w:val="nil"/>
              <w:bottom w:val="single" w:sz="4" w:space="0" w:color="auto"/>
              <w:right w:val="single" w:sz="8" w:space="0" w:color="auto"/>
            </w:tcBorders>
            <w:shd w:val="clear" w:color="auto" w:fill="auto"/>
            <w:noWrap/>
            <w:vAlign w:val="center"/>
            <w:hideMark/>
          </w:tcPr>
          <w:p w14:paraId="295CEC6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40.08</w:t>
            </w:r>
          </w:p>
        </w:tc>
        <w:tc>
          <w:tcPr>
            <w:tcW w:w="610" w:type="dxa"/>
            <w:tcBorders>
              <w:top w:val="nil"/>
              <w:left w:val="nil"/>
              <w:bottom w:val="single" w:sz="4" w:space="0" w:color="auto"/>
              <w:right w:val="single" w:sz="4" w:space="0" w:color="auto"/>
            </w:tcBorders>
            <w:shd w:val="clear" w:color="auto" w:fill="auto"/>
            <w:noWrap/>
            <w:vAlign w:val="center"/>
            <w:hideMark/>
          </w:tcPr>
          <w:p w14:paraId="6CE5239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41.80</w:t>
            </w:r>
          </w:p>
        </w:tc>
        <w:tc>
          <w:tcPr>
            <w:tcW w:w="610" w:type="dxa"/>
            <w:tcBorders>
              <w:top w:val="nil"/>
              <w:left w:val="nil"/>
              <w:bottom w:val="single" w:sz="4" w:space="0" w:color="auto"/>
              <w:right w:val="single" w:sz="8" w:space="0" w:color="auto"/>
            </w:tcBorders>
            <w:shd w:val="clear" w:color="auto" w:fill="auto"/>
            <w:noWrap/>
            <w:vAlign w:val="center"/>
            <w:hideMark/>
          </w:tcPr>
          <w:p w14:paraId="2D928C2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40.40</w:t>
            </w:r>
          </w:p>
        </w:tc>
        <w:tc>
          <w:tcPr>
            <w:tcW w:w="610" w:type="dxa"/>
            <w:tcBorders>
              <w:top w:val="nil"/>
              <w:left w:val="nil"/>
              <w:bottom w:val="single" w:sz="4" w:space="0" w:color="auto"/>
              <w:right w:val="single" w:sz="4" w:space="0" w:color="auto"/>
            </w:tcBorders>
            <w:shd w:val="clear" w:color="auto" w:fill="auto"/>
            <w:noWrap/>
            <w:vAlign w:val="center"/>
            <w:hideMark/>
          </w:tcPr>
          <w:p w14:paraId="6A18892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38.10</w:t>
            </w:r>
          </w:p>
        </w:tc>
        <w:tc>
          <w:tcPr>
            <w:tcW w:w="610" w:type="dxa"/>
            <w:tcBorders>
              <w:top w:val="nil"/>
              <w:left w:val="nil"/>
              <w:bottom w:val="single" w:sz="4" w:space="0" w:color="auto"/>
              <w:right w:val="single" w:sz="8" w:space="0" w:color="auto"/>
            </w:tcBorders>
            <w:shd w:val="clear" w:color="auto" w:fill="auto"/>
            <w:noWrap/>
            <w:vAlign w:val="center"/>
            <w:hideMark/>
          </w:tcPr>
          <w:p w14:paraId="4A5302E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37.03</w:t>
            </w:r>
          </w:p>
        </w:tc>
        <w:tc>
          <w:tcPr>
            <w:tcW w:w="610" w:type="dxa"/>
            <w:tcBorders>
              <w:top w:val="nil"/>
              <w:left w:val="nil"/>
              <w:bottom w:val="single" w:sz="4" w:space="0" w:color="auto"/>
              <w:right w:val="single" w:sz="4" w:space="0" w:color="auto"/>
            </w:tcBorders>
            <w:shd w:val="clear" w:color="auto" w:fill="auto"/>
            <w:noWrap/>
            <w:vAlign w:val="center"/>
            <w:hideMark/>
          </w:tcPr>
          <w:p w14:paraId="6DA307F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40.38</w:t>
            </w:r>
          </w:p>
        </w:tc>
        <w:tc>
          <w:tcPr>
            <w:tcW w:w="610" w:type="dxa"/>
            <w:tcBorders>
              <w:top w:val="nil"/>
              <w:left w:val="nil"/>
              <w:bottom w:val="single" w:sz="4" w:space="0" w:color="auto"/>
              <w:right w:val="single" w:sz="8" w:space="0" w:color="auto"/>
            </w:tcBorders>
            <w:shd w:val="clear" w:color="auto" w:fill="auto"/>
            <w:noWrap/>
            <w:vAlign w:val="center"/>
            <w:hideMark/>
          </w:tcPr>
          <w:p w14:paraId="2274B95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38.60</w:t>
            </w:r>
          </w:p>
        </w:tc>
        <w:tc>
          <w:tcPr>
            <w:tcW w:w="610" w:type="dxa"/>
            <w:tcBorders>
              <w:top w:val="nil"/>
              <w:left w:val="nil"/>
              <w:bottom w:val="single" w:sz="4" w:space="0" w:color="auto"/>
              <w:right w:val="single" w:sz="4" w:space="0" w:color="auto"/>
            </w:tcBorders>
            <w:shd w:val="clear" w:color="auto" w:fill="auto"/>
            <w:noWrap/>
            <w:vAlign w:val="center"/>
            <w:hideMark/>
          </w:tcPr>
          <w:p w14:paraId="72F6093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38.55</w:t>
            </w:r>
          </w:p>
        </w:tc>
        <w:tc>
          <w:tcPr>
            <w:tcW w:w="610" w:type="dxa"/>
            <w:tcBorders>
              <w:top w:val="nil"/>
              <w:left w:val="nil"/>
              <w:bottom w:val="single" w:sz="4" w:space="0" w:color="auto"/>
              <w:right w:val="single" w:sz="8" w:space="0" w:color="auto"/>
            </w:tcBorders>
            <w:shd w:val="clear" w:color="auto" w:fill="auto"/>
            <w:noWrap/>
            <w:vAlign w:val="center"/>
            <w:hideMark/>
          </w:tcPr>
          <w:p w14:paraId="63CBF33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40.93</w:t>
            </w:r>
          </w:p>
        </w:tc>
        <w:tc>
          <w:tcPr>
            <w:tcW w:w="610" w:type="dxa"/>
            <w:tcBorders>
              <w:top w:val="nil"/>
              <w:left w:val="nil"/>
              <w:bottom w:val="single" w:sz="4" w:space="0" w:color="auto"/>
              <w:right w:val="single" w:sz="4" w:space="0" w:color="auto"/>
            </w:tcBorders>
            <w:shd w:val="clear" w:color="auto" w:fill="auto"/>
            <w:noWrap/>
            <w:vAlign w:val="center"/>
            <w:hideMark/>
          </w:tcPr>
          <w:p w14:paraId="223F8C5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37.55</w:t>
            </w:r>
          </w:p>
        </w:tc>
        <w:tc>
          <w:tcPr>
            <w:tcW w:w="610" w:type="dxa"/>
            <w:tcBorders>
              <w:top w:val="nil"/>
              <w:left w:val="nil"/>
              <w:bottom w:val="single" w:sz="4" w:space="0" w:color="auto"/>
              <w:right w:val="single" w:sz="8" w:space="0" w:color="auto"/>
            </w:tcBorders>
            <w:shd w:val="clear" w:color="auto" w:fill="auto"/>
            <w:noWrap/>
            <w:vAlign w:val="center"/>
            <w:hideMark/>
          </w:tcPr>
          <w:p w14:paraId="7AF7678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29.58</w:t>
            </w:r>
          </w:p>
        </w:tc>
        <w:tc>
          <w:tcPr>
            <w:tcW w:w="610" w:type="dxa"/>
            <w:tcBorders>
              <w:top w:val="nil"/>
              <w:left w:val="nil"/>
              <w:bottom w:val="single" w:sz="4" w:space="0" w:color="auto"/>
              <w:right w:val="single" w:sz="4" w:space="0" w:color="auto"/>
            </w:tcBorders>
            <w:shd w:val="clear" w:color="auto" w:fill="auto"/>
            <w:noWrap/>
            <w:vAlign w:val="center"/>
            <w:hideMark/>
          </w:tcPr>
          <w:p w14:paraId="004C81C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31.20</w:t>
            </w:r>
          </w:p>
        </w:tc>
        <w:tc>
          <w:tcPr>
            <w:tcW w:w="610" w:type="dxa"/>
            <w:tcBorders>
              <w:top w:val="nil"/>
              <w:left w:val="nil"/>
              <w:bottom w:val="single" w:sz="4" w:space="0" w:color="auto"/>
              <w:right w:val="single" w:sz="8" w:space="0" w:color="auto"/>
            </w:tcBorders>
            <w:shd w:val="clear" w:color="auto" w:fill="auto"/>
            <w:noWrap/>
            <w:vAlign w:val="center"/>
            <w:hideMark/>
          </w:tcPr>
          <w:p w14:paraId="121BD5B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25.91</w:t>
            </w:r>
          </w:p>
        </w:tc>
        <w:tc>
          <w:tcPr>
            <w:tcW w:w="610" w:type="dxa"/>
            <w:tcBorders>
              <w:top w:val="nil"/>
              <w:left w:val="nil"/>
              <w:bottom w:val="single" w:sz="4" w:space="0" w:color="auto"/>
              <w:right w:val="single" w:sz="4" w:space="0" w:color="auto"/>
            </w:tcBorders>
            <w:shd w:val="clear" w:color="auto" w:fill="auto"/>
            <w:noWrap/>
            <w:vAlign w:val="center"/>
            <w:hideMark/>
          </w:tcPr>
          <w:p w14:paraId="50E26AD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36.73</w:t>
            </w:r>
          </w:p>
        </w:tc>
        <w:tc>
          <w:tcPr>
            <w:tcW w:w="610" w:type="dxa"/>
            <w:tcBorders>
              <w:top w:val="nil"/>
              <w:left w:val="nil"/>
              <w:bottom w:val="single" w:sz="4" w:space="0" w:color="auto"/>
              <w:right w:val="single" w:sz="8" w:space="0" w:color="auto"/>
            </w:tcBorders>
            <w:shd w:val="clear" w:color="auto" w:fill="auto"/>
            <w:noWrap/>
            <w:vAlign w:val="center"/>
            <w:hideMark/>
          </w:tcPr>
          <w:p w14:paraId="192A1D3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28.60</w:t>
            </w:r>
          </w:p>
        </w:tc>
        <w:tc>
          <w:tcPr>
            <w:tcW w:w="610" w:type="dxa"/>
            <w:tcBorders>
              <w:top w:val="nil"/>
              <w:left w:val="nil"/>
              <w:bottom w:val="single" w:sz="4" w:space="0" w:color="auto"/>
              <w:right w:val="single" w:sz="4" w:space="0" w:color="auto"/>
            </w:tcBorders>
            <w:shd w:val="clear" w:color="auto" w:fill="auto"/>
            <w:noWrap/>
            <w:vAlign w:val="center"/>
            <w:hideMark/>
          </w:tcPr>
          <w:p w14:paraId="7FAED7B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33.09</w:t>
            </w:r>
          </w:p>
        </w:tc>
        <w:tc>
          <w:tcPr>
            <w:tcW w:w="610" w:type="dxa"/>
            <w:tcBorders>
              <w:top w:val="nil"/>
              <w:left w:val="nil"/>
              <w:bottom w:val="single" w:sz="4" w:space="0" w:color="auto"/>
              <w:right w:val="single" w:sz="8" w:space="0" w:color="auto"/>
            </w:tcBorders>
            <w:shd w:val="clear" w:color="auto" w:fill="auto"/>
            <w:noWrap/>
            <w:vAlign w:val="center"/>
            <w:hideMark/>
          </w:tcPr>
          <w:p w14:paraId="7196451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29.40</w:t>
            </w:r>
          </w:p>
        </w:tc>
      </w:tr>
      <w:tr w:rsidR="008564E2" w:rsidRPr="00234D18" w14:paraId="1123F277"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vAlign w:val="center"/>
            <w:hideMark/>
          </w:tcPr>
          <w:p w14:paraId="5B424F4B"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GLAB</w:t>
            </w:r>
          </w:p>
        </w:tc>
        <w:tc>
          <w:tcPr>
            <w:tcW w:w="609" w:type="dxa"/>
            <w:tcBorders>
              <w:top w:val="nil"/>
              <w:left w:val="nil"/>
              <w:bottom w:val="single" w:sz="4" w:space="0" w:color="auto"/>
              <w:right w:val="single" w:sz="4" w:space="0" w:color="auto"/>
            </w:tcBorders>
            <w:shd w:val="clear" w:color="auto" w:fill="auto"/>
            <w:noWrap/>
            <w:vAlign w:val="center"/>
            <w:hideMark/>
          </w:tcPr>
          <w:p w14:paraId="19E8C96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290.00</w:t>
            </w:r>
          </w:p>
        </w:tc>
        <w:tc>
          <w:tcPr>
            <w:tcW w:w="609" w:type="dxa"/>
            <w:tcBorders>
              <w:top w:val="nil"/>
              <w:left w:val="nil"/>
              <w:bottom w:val="single" w:sz="4" w:space="0" w:color="auto"/>
              <w:right w:val="single" w:sz="8" w:space="0" w:color="auto"/>
            </w:tcBorders>
            <w:shd w:val="clear" w:color="auto" w:fill="auto"/>
            <w:noWrap/>
            <w:vAlign w:val="center"/>
            <w:hideMark/>
          </w:tcPr>
          <w:p w14:paraId="1283A0D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295.35</w:t>
            </w:r>
          </w:p>
        </w:tc>
        <w:tc>
          <w:tcPr>
            <w:tcW w:w="610" w:type="dxa"/>
            <w:tcBorders>
              <w:top w:val="nil"/>
              <w:left w:val="nil"/>
              <w:bottom w:val="single" w:sz="4" w:space="0" w:color="auto"/>
              <w:right w:val="single" w:sz="4" w:space="0" w:color="auto"/>
            </w:tcBorders>
            <w:shd w:val="clear" w:color="auto" w:fill="auto"/>
            <w:noWrap/>
            <w:vAlign w:val="center"/>
            <w:hideMark/>
          </w:tcPr>
          <w:p w14:paraId="5EBDBD2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297.74</w:t>
            </w:r>
          </w:p>
        </w:tc>
        <w:tc>
          <w:tcPr>
            <w:tcW w:w="610" w:type="dxa"/>
            <w:tcBorders>
              <w:top w:val="nil"/>
              <w:left w:val="nil"/>
              <w:bottom w:val="single" w:sz="4" w:space="0" w:color="auto"/>
              <w:right w:val="single" w:sz="8" w:space="0" w:color="auto"/>
            </w:tcBorders>
            <w:shd w:val="clear" w:color="auto" w:fill="auto"/>
            <w:noWrap/>
            <w:vAlign w:val="center"/>
            <w:hideMark/>
          </w:tcPr>
          <w:p w14:paraId="300D8C3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296.71</w:t>
            </w:r>
          </w:p>
        </w:tc>
        <w:tc>
          <w:tcPr>
            <w:tcW w:w="610" w:type="dxa"/>
            <w:tcBorders>
              <w:top w:val="nil"/>
              <w:left w:val="nil"/>
              <w:bottom w:val="single" w:sz="4" w:space="0" w:color="auto"/>
              <w:right w:val="single" w:sz="4" w:space="0" w:color="auto"/>
            </w:tcBorders>
            <w:shd w:val="clear" w:color="auto" w:fill="auto"/>
            <w:noWrap/>
            <w:vAlign w:val="center"/>
            <w:hideMark/>
          </w:tcPr>
          <w:p w14:paraId="12C8925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341.70</w:t>
            </w:r>
          </w:p>
        </w:tc>
        <w:tc>
          <w:tcPr>
            <w:tcW w:w="610" w:type="dxa"/>
            <w:tcBorders>
              <w:top w:val="nil"/>
              <w:left w:val="nil"/>
              <w:bottom w:val="single" w:sz="4" w:space="0" w:color="auto"/>
              <w:right w:val="single" w:sz="8" w:space="0" w:color="auto"/>
            </w:tcBorders>
            <w:shd w:val="clear" w:color="auto" w:fill="auto"/>
            <w:noWrap/>
            <w:vAlign w:val="center"/>
            <w:hideMark/>
          </w:tcPr>
          <w:p w14:paraId="33A2D93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340.64</w:t>
            </w:r>
          </w:p>
        </w:tc>
        <w:tc>
          <w:tcPr>
            <w:tcW w:w="610" w:type="dxa"/>
            <w:tcBorders>
              <w:top w:val="nil"/>
              <w:left w:val="nil"/>
              <w:bottom w:val="single" w:sz="4" w:space="0" w:color="auto"/>
              <w:right w:val="single" w:sz="4" w:space="0" w:color="auto"/>
            </w:tcBorders>
            <w:shd w:val="clear" w:color="auto" w:fill="auto"/>
            <w:noWrap/>
            <w:vAlign w:val="center"/>
            <w:hideMark/>
          </w:tcPr>
          <w:p w14:paraId="0973E30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356.95</w:t>
            </w:r>
          </w:p>
        </w:tc>
        <w:tc>
          <w:tcPr>
            <w:tcW w:w="610" w:type="dxa"/>
            <w:tcBorders>
              <w:top w:val="nil"/>
              <w:left w:val="nil"/>
              <w:bottom w:val="single" w:sz="4" w:space="0" w:color="auto"/>
              <w:right w:val="single" w:sz="8" w:space="0" w:color="auto"/>
            </w:tcBorders>
            <w:shd w:val="clear" w:color="auto" w:fill="auto"/>
            <w:noWrap/>
            <w:vAlign w:val="center"/>
            <w:hideMark/>
          </w:tcPr>
          <w:p w14:paraId="3DD876E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350.02</w:t>
            </w:r>
          </w:p>
        </w:tc>
        <w:tc>
          <w:tcPr>
            <w:tcW w:w="610" w:type="dxa"/>
            <w:tcBorders>
              <w:top w:val="nil"/>
              <w:left w:val="nil"/>
              <w:bottom w:val="single" w:sz="4" w:space="0" w:color="auto"/>
              <w:right w:val="single" w:sz="4" w:space="0" w:color="auto"/>
            </w:tcBorders>
            <w:shd w:val="clear" w:color="auto" w:fill="auto"/>
            <w:noWrap/>
            <w:vAlign w:val="center"/>
            <w:hideMark/>
          </w:tcPr>
          <w:p w14:paraId="3456581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322.17</w:t>
            </w:r>
          </w:p>
        </w:tc>
        <w:tc>
          <w:tcPr>
            <w:tcW w:w="610" w:type="dxa"/>
            <w:tcBorders>
              <w:top w:val="nil"/>
              <w:left w:val="nil"/>
              <w:bottom w:val="single" w:sz="4" w:space="0" w:color="auto"/>
              <w:right w:val="single" w:sz="8" w:space="0" w:color="auto"/>
            </w:tcBorders>
            <w:shd w:val="clear" w:color="auto" w:fill="auto"/>
            <w:noWrap/>
            <w:vAlign w:val="center"/>
            <w:hideMark/>
          </w:tcPr>
          <w:p w14:paraId="6F7DE12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322.66</w:t>
            </w:r>
          </w:p>
        </w:tc>
        <w:tc>
          <w:tcPr>
            <w:tcW w:w="610" w:type="dxa"/>
            <w:tcBorders>
              <w:top w:val="nil"/>
              <w:left w:val="nil"/>
              <w:bottom w:val="single" w:sz="4" w:space="0" w:color="auto"/>
              <w:right w:val="single" w:sz="4" w:space="0" w:color="auto"/>
            </w:tcBorders>
            <w:shd w:val="clear" w:color="auto" w:fill="auto"/>
            <w:noWrap/>
            <w:vAlign w:val="center"/>
            <w:hideMark/>
          </w:tcPr>
          <w:p w14:paraId="4B32EEC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315.62</w:t>
            </w:r>
          </w:p>
        </w:tc>
        <w:tc>
          <w:tcPr>
            <w:tcW w:w="610" w:type="dxa"/>
            <w:tcBorders>
              <w:top w:val="nil"/>
              <w:left w:val="nil"/>
              <w:bottom w:val="single" w:sz="4" w:space="0" w:color="auto"/>
              <w:right w:val="single" w:sz="8" w:space="0" w:color="auto"/>
            </w:tcBorders>
            <w:shd w:val="clear" w:color="auto" w:fill="auto"/>
            <w:noWrap/>
            <w:vAlign w:val="center"/>
            <w:hideMark/>
          </w:tcPr>
          <w:p w14:paraId="7C002EA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314.88</w:t>
            </w:r>
          </w:p>
        </w:tc>
        <w:tc>
          <w:tcPr>
            <w:tcW w:w="610" w:type="dxa"/>
            <w:tcBorders>
              <w:top w:val="nil"/>
              <w:left w:val="nil"/>
              <w:bottom w:val="single" w:sz="4" w:space="0" w:color="auto"/>
              <w:right w:val="single" w:sz="4" w:space="0" w:color="auto"/>
            </w:tcBorders>
            <w:shd w:val="clear" w:color="auto" w:fill="auto"/>
            <w:noWrap/>
            <w:vAlign w:val="center"/>
            <w:hideMark/>
          </w:tcPr>
          <w:p w14:paraId="2E0B748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417.69</w:t>
            </w:r>
          </w:p>
        </w:tc>
        <w:tc>
          <w:tcPr>
            <w:tcW w:w="610" w:type="dxa"/>
            <w:tcBorders>
              <w:top w:val="nil"/>
              <w:left w:val="nil"/>
              <w:bottom w:val="single" w:sz="4" w:space="0" w:color="auto"/>
              <w:right w:val="single" w:sz="8" w:space="0" w:color="auto"/>
            </w:tcBorders>
            <w:shd w:val="clear" w:color="auto" w:fill="auto"/>
            <w:noWrap/>
            <w:vAlign w:val="center"/>
            <w:hideMark/>
          </w:tcPr>
          <w:p w14:paraId="0881EBD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422.26</w:t>
            </w:r>
          </w:p>
        </w:tc>
        <w:tc>
          <w:tcPr>
            <w:tcW w:w="610" w:type="dxa"/>
            <w:tcBorders>
              <w:top w:val="nil"/>
              <w:left w:val="nil"/>
              <w:bottom w:val="single" w:sz="4" w:space="0" w:color="auto"/>
              <w:right w:val="single" w:sz="4" w:space="0" w:color="auto"/>
            </w:tcBorders>
            <w:shd w:val="clear" w:color="auto" w:fill="auto"/>
            <w:noWrap/>
            <w:vAlign w:val="center"/>
            <w:hideMark/>
          </w:tcPr>
          <w:p w14:paraId="7B420CB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347.31</w:t>
            </w:r>
          </w:p>
        </w:tc>
        <w:tc>
          <w:tcPr>
            <w:tcW w:w="610" w:type="dxa"/>
            <w:tcBorders>
              <w:top w:val="nil"/>
              <w:left w:val="nil"/>
              <w:bottom w:val="single" w:sz="4" w:space="0" w:color="auto"/>
              <w:right w:val="single" w:sz="8" w:space="0" w:color="auto"/>
            </w:tcBorders>
            <w:shd w:val="clear" w:color="auto" w:fill="auto"/>
            <w:noWrap/>
            <w:vAlign w:val="center"/>
            <w:hideMark/>
          </w:tcPr>
          <w:p w14:paraId="2FEED8B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346.78</w:t>
            </w:r>
          </w:p>
        </w:tc>
        <w:tc>
          <w:tcPr>
            <w:tcW w:w="610" w:type="dxa"/>
            <w:tcBorders>
              <w:top w:val="nil"/>
              <w:left w:val="nil"/>
              <w:bottom w:val="single" w:sz="4" w:space="0" w:color="auto"/>
              <w:right w:val="single" w:sz="4" w:space="0" w:color="auto"/>
            </w:tcBorders>
            <w:shd w:val="clear" w:color="auto" w:fill="auto"/>
            <w:noWrap/>
            <w:vAlign w:val="center"/>
            <w:hideMark/>
          </w:tcPr>
          <w:p w14:paraId="78FCD7A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328.47</w:t>
            </w:r>
          </w:p>
        </w:tc>
        <w:tc>
          <w:tcPr>
            <w:tcW w:w="610" w:type="dxa"/>
            <w:tcBorders>
              <w:top w:val="nil"/>
              <w:left w:val="nil"/>
              <w:bottom w:val="single" w:sz="4" w:space="0" w:color="auto"/>
              <w:right w:val="single" w:sz="8" w:space="0" w:color="auto"/>
            </w:tcBorders>
            <w:shd w:val="clear" w:color="auto" w:fill="auto"/>
            <w:noWrap/>
            <w:vAlign w:val="center"/>
            <w:hideMark/>
          </w:tcPr>
          <w:p w14:paraId="16E9B5C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355.53</w:t>
            </w:r>
          </w:p>
        </w:tc>
        <w:tc>
          <w:tcPr>
            <w:tcW w:w="610" w:type="dxa"/>
            <w:tcBorders>
              <w:top w:val="nil"/>
              <w:left w:val="nil"/>
              <w:bottom w:val="single" w:sz="4" w:space="0" w:color="auto"/>
              <w:right w:val="single" w:sz="4" w:space="0" w:color="auto"/>
            </w:tcBorders>
            <w:shd w:val="clear" w:color="auto" w:fill="auto"/>
            <w:noWrap/>
            <w:vAlign w:val="center"/>
            <w:hideMark/>
          </w:tcPr>
          <w:p w14:paraId="1EEE544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361.34</w:t>
            </w:r>
          </w:p>
        </w:tc>
        <w:tc>
          <w:tcPr>
            <w:tcW w:w="610" w:type="dxa"/>
            <w:tcBorders>
              <w:top w:val="nil"/>
              <w:left w:val="nil"/>
              <w:bottom w:val="single" w:sz="4" w:space="0" w:color="auto"/>
              <w:right w:val="single" w:sz="8" w:space="0" w:color="auto"/>
            </w:tcBorders>
            <w:shd w:val="clear" w:color="auto" w:fill="auto"/>
            <w:noWrap/>
            <w:vAlign w:val="center"/>
            <w:hideMark/>
          </w:tcPr>
          <w:p w14:paraId="3824E7B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326.90</w:t>
            </w:r>
          </w:p>
        </w:tc>
        <w:tc>
          <w:tcPr>
            <w:tcW w:w="610" w:type="dxa"/>
            <w:tcBorders>
              <w:top w:val="nil"/>
              <w:left w:val="nil"/>
              <w:bottom w:val="single" w:sz="4" w:space="0" w:color="auto"/>
              <w:right w:val="single" w:sz="4" w:space="0" w:color="auto"/>
            </w:tcBorders>
            <w:shd w:val="clear" w:color="auto" w:fill="auto"/>
            <w:noWrap/>
            <w:vAlign w:val="center"/>
            <w:hideMark/>
          </w:tcPr>
          <w:p w14:paraId="7ADB085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344.56</w:t>
            </w:r>
          </w:p>
        </w:tc>
        <w:tc>
          <w:tcPr>
            <w:tcW w:w="610" w:type="dxa"/>
            <w:tcBorders>
              <w:top w:val="nil"/>
              <w:left w:val="nil"/>
              <w:bottom w:val="single" w:sz="4" w:space="0" w:color="auto"/>
              <w:right w:val="single" w:sz="8" w:space="0" w:color="auto"/>
            </w:tcBorders>
            <w:shd w:val="clear" w:color="auto" w:fill="auto"/>
            <w:noWrap/>
            <w:vAlign w:val="center"/>
            <w:hideMark/>
          </w:tcPr>
          <w:p w14:paraId="3FDCB54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338.89</w:t>
            </w:r>
          </w:p>
        </w:tc>
      </w:tr>
      <w:tr w:rsidR="008564E2" w:rsidRPr="00234D18" w14:paraId="5F8C5D1B"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vAlign w:val="center"/>
            <w:hideMark/>
          </w:tcPr>
          <w:p w14:paraId="2B196825"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GLAM</w:t>
            </w:r>
          </w:p>
        </w:tc>
        <w:tc>
          <w:tcPr>
            <w:tcW w:w="609" w:type="dxa"/>
            <w:tcBorders>
              <w:top w:val="nil"/>
              <w:left w:val="nil"/>
              <w:bottom w:val="single" w:sz="4" w:space="0" w:color="auto"/>
              <w:right w:val="single" w:sz="4" w:space="0" w:color="auto"/>
            </w:tcBorders>
            <w:shd w:val="clear" w:color="auto" w:fill="auto"/>
            <w:noWrap/>
            <w:vAlign w:val="center"/>
            <w:hideMark/>
          </w:tcPr>
          <w:p w14:paraId="08BD0DA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254.93</w:t>
            </w:r>
          </w:p>
        </w:tc>
        <w:tc>
          <w:tcPr>
            <w:tcW w:w="609" w:type="dxa"/>
            <w:tcBorders>
              <w:top w:val="nil"/>
              <w:left w:val="nil"/>
              <w:bottom w:val="single" w:sz="4" w:space="0" w:color="auto"/>
              <w:right w:val="single" w:sz="8" w:space="0" w:color="auto"/>
            </w:tcBorders>
            <w:shd w:val="clear" w:color="auto" w:fill="auto"/>
            <w:noWrap/>
            <w:vAlign w:val="center"/>
            <w:hideMark/>
          </w:tcPr>
          <w:p w14:paraId="57C1EB6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186.93</w:t>
            </w:r>
          </w:p>
        </w:tc>
        <w:tc>
          <w:tcPr>
            <w:tcW w:w="610" w:type="dxa"/>
            <w:tcBorders>
              <w:top w:val="nil"/>
              <w:left w:val="nil"/>
              <w:bottom w:val="single" w:sz="4" w:space="0" w:color="auto"/>
              <w:right w:val="single" w:sz="4" w:space="0" w:color="auto"/>
            </w:tcBorders>
            <w:shd w:val="clear" w:color="auto" w:fill="auto"/>
            <w:noWrap/>
            <w:vAlign w:val="center"/>
            <w:hideMark/>
          </w:tcPr>
          <w:p w14:paraId="4570B48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203.79</w:t>
            </w:r>
          </w:p>
        </w:tc>
        <w:tc>
          <w:tcPr>
            <w:tcW w:w="610" w:type="dxa"/>
            <w:tcBorders>
              <w:top w:val="nil"/>
              <w:left w:val="nil"/>
              <w:bottom w:val="single" w:sz="4" w:space="0" w:color="auto"/>
              <w:right w:val="single" w:sz="8" w:space="0" w:color="auto"/>
            </w:tcBorders>
            <w:shd w:val="clear" w:color="auto" w:fill="auto"/>
            <w:noWrap/>
            <w:vAlign w:val="center"/>
            <w:hideMark/>
          </w:tcPr>
          <w:p w14:paraId="0FCB287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190.62</w:t>
            </w:r>
          </w:p>
        </w:tc>
        <w:tc>
          <w:tcPr>
            <w:tcW w:w="610" w:type="dxa"/>
            <w:tcBorders>
              <w:top w:val="nil"/>
              <w:left w:val="nil"/>
              <w:bottom w:val="single" w:sz="4" w:space="0" w:color="auto"/>
              <w:right w:val="single" w:sz="4" w:space="0" w:color="auto"/>
            </w:tcBorders>
            <w:shd w:val="clear" w:color="auto" w:fill="auto"/>
            <w:noWrap/>
            <w:vAlign w:val="center"/>
            <w:hideMark/>
          </w:tcPr>
          <w:p w14:paraId="7FDB38C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302.54</w:t>
            </w:r>
          </w:p>
        </w:tc>
        <w:tc>
          <w:tcPr>
            <w:tcW w:w="610" w:type="dxa"/>
            <w:tcBorders>
              <w:top w:val="nil"/>
              <w:left w:val="nil"/>
              <w:bottom w:val="single" w:sz="4" w:space="0" w:color="auto"/>
              <w:right w:val="single" w:sz="8" w:space="0" w:color="auto"/>
            </w:tcBorders>
            <w:shd w:val="clear" w:color="auto" w:fill="auto"/>
            <w:noWrap/>
            <w:vAlign w:val="center"/>
            <w:hideMark/>
          </w:tcPr>
          <w:p w14:paraId="181D762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284.39</w:t>
            </w:r>
          </w:p>
        </w:tc>
        <w:tc>
          <w:tcPr>
            <w:tcW w:w="610" w:type="dxa"/>
            <w:tcBorders>
              <w:top w:val="nil"/>
              <w:left w:val="nil"/>
              <w:bottom w:val="single" w:sz="4" w:space="0" w:color="auto"/>
              <w:right w:val="single" w:sz="4" w:space="0" w:color="auto"/>
            </w:tcBorders>
            <w:shd w:val="clear" w:color="auto" w:fill="auto"/>
            <w:noWrap/>
            <w:vAlign w:val="center"/>
            <w:hideMark/>
          </w:tcPr>
          <w:p w14:paraId="3D4A331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340.81</w:t>
            </w:r>
          </w:p>
        </w:tc>
        <w:tc>
          <w:tcPr>
            <w:tcW w:w="610" w:type="dxa"/>
            <w:tcBorders>
              <w:top w:val="nil"/>
              <w:left w:val="nil"/>
              <w:bottom w:val="single" w:sz="4" w:space="0" w:color="auto"/>
              <w:right w:val="single" w:sz="8" w:space="0" w:color="auto"/>
            </w:tcBorders>
            <w:shd w:val="clear" w:color="auto" w:fill="auto"/>
            <w:noWrap/>
            <w:vAlign w:val="center"/>
            <w:hideMark/>
          </w:tcPr>
          <w:p w14:paraId="62970EC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335.48</w:t>
            </w:r>
          </w:p>
        </w:tc>
        <w:tc>
          <w:tcPr>
            <w:tcW w:w="610" w:type="dxa"/>
            <w:tcBorders>
              <w:top w:val="nil"/>
              <w:left w:val="nil"/>
              <w:bottom w:val="single" w:sz="4" w:space="0" w:color="auto"/>
              <w:right w:val="single" w:sz="4" w:space="0" w:color="auto"/>
            </w:tcBorders>
            <w:shd w:val="clear" w:color="auto" w:fill="auto"/>
            <w:noWrap/>
            <w:vAlign w:val="center"/>
            <w:hideMark/>
          </w:tcPr>
          <w:p w14:paraId="581E300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306.60</w:t>
            </w:r>
          </w:p>
        </w:tc>
        <w:tc>
          <w:tcPr>
            <w:tcW w:w="610" w:type="dxa"/>
            <w:tcBorders>
              <w:top w:val="nil"/>
              <w:left w:val="nil"/>
              <w:bottom w:val="single" w:sz="4" w:space="0" w:color="auto"/>
              <w:right w:val="single" w:sz="8" w:space="0" w:color="auto"/>
            </w:tcBorders>
            <w:shd w:val="clear" w:color="auto" w:fill="auto"/>
            <w:noWrap/>
            <w:vAlign w:val="center"/>
            <w:hideMark/>
          </w:tcPr>
          <w:p w14:paraId="1925203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284.47</w:t>
            </w:r>
          </w:p>
        </w:tc>
        <w:tc>
          <w:tcPr>
            <w:tcW w:w="610" w:type="dxa"/>
            <w:tcBorders>
              <w:top w:val="nil"/>
              <w:left w:val="nil"/>
              <w:bottom w:val="single" w:sz="4" w:space="0" w:color="auto"/>
              <w:right w:val="single" w:sz="4" w:space="0" w:color="auto"/>
            </w:tcBorders>
            <w:shd w:val="clear" w:color="auto" w:fill="auto"/>
            <w:noWrap/>
            <w:vAlign w:val="center"/>
            <w:hideMark/>
          </w:tcPr>
          <w:p w14:paraId="40517CC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298.74</w:t>
            </w:r>
          </w:p>
        </w:tc>
        <w:tc>
          <w:tcPr>
            <w:tcW w:w="610" w:type="dxa"/>
            <w:tcBorders>
              <w:top w:val="nil"/>
              <w:left w:val="nil"/>
              <w:bottom w:val="single" w:sz="4" w:space="0" w:color="auto"/>
              <w:right w:val="single" w:sz="8" w:space="0" w:color="auto"/>
            </w:tcBorders>
            <w:shd w:val="clear" w:color="auto" w:fill="auto"/>
            <w:noWrap/>
            <w:vAlign w:val="center"/>
            <w:hideMark/>
          </w:tcPr>
          <w:p w14:paraId="112CAAD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285.27</w:t>
            </w:r>
          </w:p>
        </w:tc>
        <w:tc>
          <w:tcPr>
            <w:tcW w:w="610" w:type="dxa"/>
            <w:tcBorders>
              <w:top w:val="nil"/>
              <w:left w:val="nil"/>
              <w:bottom w:val="single" w:sz="4" w:space="0" w:color="auto"/>
              <w:right w:val="single" w:sz="4" w:space="0" w:color="auto"/>
            </w:tcBorders>
            <w:shd w:val="clear" w:color="auto" w:fill="auto"/>
            <w:noWrap/>
            <w:vAlign w:val="center"/>
            <w:hideMark/>
          </w:tcPr>
          <w:p w14:paraId="79A3F8E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363.87</w:t>
            </w:r>
          </w:p>
        </w:tc>
        <w:tc>
          <w:tcPr>
            <w:tcW w:w="610" w:type="dxa"/>
            <w:tcBorders>
              <w:top w:val="nil"/>
              <w:left w:val="nil"/>
              <w:bottom w:val="single" w:sz="4" w:space="0" w:color="auto"/>
              <w:right w:val="single" w:sz="8" w:space="0" w:color="auto"/>
            </w:tcBorders>
            <w:shd w:val="clear" w:color="auto" w:fill="auto"/>
            <w:noWrap/>
            <w:vAlign w:val="center"/>
            <w:hideMark/>
          </w:tcPr>
          <w:p w14:paraId="229102E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353.43</w:t>
            </w:r>
          </w:p>
        </w:tc>
        <w:tc>
          <w:tcPr>
            <w:tcW w:w="610" w:type="dxa"/>
            <w:tcBorders>
              <w:top w:val="nil"/>
              <w:left w:val="nil"/>
              <w:bottom w:val="single" w:sz="4" w:space="0" w:color="auto"/>
              <w:right w:val="single" w:sz="4" w:space="0" w:color="auto"/>
            </w:tcBorders>
            <w:shd w:val="clear" w:color="auto" w:fill="auto"/>
            <w:noWrap/>
            <w:vAlign w:val="center"/>
            <w:hideMark/>
          </w:tcPr>
          <w:p w14:paraId="3029F06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293.48</w:t>
            </w:r>
          </w:p>
        </w:tc>
        <w:tc>
          <w:tcPr>
            <w:tcW w:w="610" w:type="dxa"/>
            <w:tcBorders>
              <w:top w:val="nil"/>
              <w:left w:val="nil"/>
              <w:bottom w:val="single" w:sz="4" w:space="0" w:color="auto"/>
              <w:right w:val="single" w:sz="8" w:space="0" w:color="auto"/>
            </w:tcBorders>
            <w:shd w:val="clear" w:color="auto" w:fill="auto"/>
            <w:noWrap/>
            <w:vAlign w:val="center"/>
            <w:hideMark/>
          </w:tcPr>
          <w:p w14:paraId="53F7682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196.18</w:t>
            </w:r>
          </w:p>
        </w:tc>
        <w:tc>
          <w:tcPr>
            <w:tcW w:w="610" w:type="dxa"/>
            <w:tcBorders>
              <w:top w:val="nil"/>
              <w:left w:val="nil"/>
              <w:bottom w:val="single" w:sz="4" w:space="0" w:color="auto"/>
              <w:right w:val="single" w:sz="4" w:space="0" w:color="auto"/>
            </w:tcBorders>
            <w:shd w:val="clear" w:color="auto" w:fill="auto"/>
            <w:noWrap/>
            <w:vAlign w:val="center"/>
            <w:hideMark/>
          </w:tcPr>
          <w:p w14:paraId="5563220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298.45</w:t>
            </w:r>
          </w:p>
        </w:tc>
        <w:tc>
          <w:tcPr>
            <w:tcW w:w="610" w:type="dxa"/>
            <w:tcBorders>
              <w:top w:val="nil"/>
              <w:left w:val="nil"/>
              <w:bottom w:val="single" w:sz="4" w:space="0" w:color="auto"/>
              <w:right w:val="single" w:sz="8" w:space="0" w:color="auto"/>
            </w:tcBorders>
            <w:shd w:val="clear" w:color="auto" w:fill="auto"/>
            <w:noWrap/>
            <w:vAlign w:val="center"/>
            <w:hideMark/>
          </w:tcPr>
          <w:p w14:paraId="571DC83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257.10</w:t>
            </w:r>
          </w:p>
        </w:tc>
        <w:tc>
          <w:tcPr>
            <w:tcW w:w="610" w:type="dxa"/>
            <w:tcBorders>
              <w:top w:val="nil"/>
              <w:left w:val="nil"/>
              <w:bottom w:val="single" w:sz="4" w:space="0" w:color="auto"/>
              <w:right w:val="single" w:sz="4" w:space="0" w:color="auto"/>
            </w:tcBorders>
            <w:shd w:val="clear" w:color="auto" w:fill="auto"/>
            <w:noWrap/>
            <w:vAlign w:val="center"/>
            <w:hideMark/>
          </w:tcPr>
          <w:p w14:paraId="2C9736C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321.10</w:t>
            </w:r>
          </w:p>
        </w:tc>
        <w:tc>
          <w:tcPr>
            <w:tcW w:w="610" w:type="dxa"/>
            <w:tcBorders>
              <w:top w:val="nil"/>
              <w:left w:val="nil"/>
              <w:bottom w:val="single" w:sz="4" w:space="0" w:color="auto"/>
              <w:right w:val="single" w:sz="8" w:space="0" w:color="auto"/>
            </w:tcBorders>
            <w:shd w:val="clear" w:color="auto" w:fill="auto"/>
            <w:noWrap/>
            <w:vAlign w:val="center"/>
            <w:hideMark/>
          </w:tcPr>
          <w:p w14:paraId="401E5F9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184.73</w:t>
            </w:r>
          </w:p>
        </w:tc>
        <w:tc>
          <w:tcPr>
            <w:tcW w:w="610" w:type="dxa"/>
            <w:tcBorders>
              <w:top w:val="nil"/>
              <w:left w:val="nil"/>
              <w:bottom w:val="single" w:sz="4" w:space="0" w:color="auto"/>
              <w:right w:val="single" w:sz="4" w:space="0" w:color="auto"/>
            </w:tcBorders>
            <w:shd w:val="clear" w:color="auto" w:fill="auto"/>
            <w:noWrap/>
            <w:vAlign w:val="center"/>
            <w:hideMark/>
          </w:tcPr>
          <w:p w14:paraId="68460D2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292.06</w:t>
            </w:r>
          </w:p>
        </w:tc>
        <w:tc>
          <w:tcPr>
            <w:tcW w:w="610" w:type="dxa"/>
            <w:tcBorders>
              <w:top w:val="nil"/>
              <w:left w:val="nil"/>
              <w:bottom w:val="single" w:sz="4" w:space="0" w:color="auto"/>
              <w:right w:val="single" w:sz="8" w:space="0" w:color="auto"/>
            </w:tcBorders>
            <w:shd w:val="clear" w:color="auto" w:fill="auto"/>
            <w:noWrap/>
            <w:vAlign w:val="center"/>
            <w:hideMark/>
          </w:tcPr>
          <w:p w14:paraId="62728CB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232.40</w:t>
            </w:r>
          </w:p>
        </w:tc>
      </w:tr>
      <w:tr w:rsidR="008564E2" w:rsidRPr="00234D18" w14:paraId="5879B2B2"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vAlign w:val="center"/>
            <w:hideMark/>
          </w:tcPr>
          <w:p w14:paraId="26DCC9D9"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RLS</w:t>
            </w:r>
          </w:p>
        </w:tc>
        <w:tc>
          <w:tcPr>
            <w:tcW w:w="609" w:type="dxa"/>
            <w:tcBorders>
              <w:top w:val="nil"/>
              <w:left w:val="nil"/>
              <w:bottom w:val="single" w:sz="4" w:space="0" w:color="auto"/>
              <w:right w:val="single" w:sz="4" w:space="0" w:color="auto"/>
            </w:tcBorders>
            <w:shd w:val="clear" w:color="auto" w:fill="auto"/>
            <w:noWrap/>
            <w:vAlign w:val="center"/>
            <w:hideMark/>
          </w:tcPr>
          <w:p w14:paraId="7F38590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0.75</w:t>
            </w:r>
          </w:p>
        </w:tc>
        <w:tc>
          <w:tcPr>
            <w:tcW w:w="609" w:type="dxa"/>
            <w:tcBorders>
              <w:top w:val="nil"/>
              <w:left w:val="nil"/>
              <w:bottom w:val="single" w:sz="4" w:space="0" w:color="auto"/>
              <w:right w:val="single" w:sz="8" w:space="0" w:color="auto"/>
            </w:tcBorders>
            <w:shd w:val="clear" w:color="auto" w:fill="auto"/>
            <w:noWrap/>
            <w:vAlign w:val="center"/>
            <w:hideMark/>
          </w:tcPr>
          <w:p w14:paraId="2FBC618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2.36</w:t>
            </w:r>
          </w:p>
        </w:tc>
        <w:tc>
          <w:tcPr>
            <w:tcW w:w="610" w:type="dxa"/>
            <w:tcBorders>
              <w:top w:val="nil"/>
              <w:left w:val="nil"/>
              <w:bottom w:val="single" w:sz="4" w:space="0" w:color="auto"/>
              <w:right w:val="single" w:sz="4" w:space="0" w:color="auto"/>
            </w:tcBorders>
            <w:shd w:val="clear" w:color="auto" w:fill="auto"/>
            <w:noWrap/>
            <w:vAlign w:val="center"/>
            <w:hideMark/>
          </w:tcPr>
          <w:p w14:paraId="68F60E7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2.04</w:t>
            </w:r>
          </w:p>
        </w:tc>
        <w:tc>
          <w:tcPr>
            <w:tcW w:w="610" w:type="dxa"/>
            <w:tcBorders>
              <w:top w:val="nil"/>
              <w:left w:val="nil"/>
              <w:bottom w:val="single" w:sz="4" w:space="0" w:color="auto"/>
              <w:right w:val="single" w:sz="8" w:space="0" w:color="auto"/>
            </w:tcBorders>
            <w:shd w:val="clear" w:color="auto" w:fill="auto"/>
            <w:noWrap/>
            <w:vAlign w:val="center"/>
            <w:hideMark/>
          </w:tcPr>
          <w:p w14:paraId="4295112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2.31</w:t>
            </w:r>
          </w:p>
        </w:tc>
        <w:tc>
          <w:tcPr>
            <w:tcW w:w="610" w:type="dxa"/>
            <w:tcBorders>
              <w:top w:val="nil"/>
              <w:left w:val="nil"/>
              <w:bottom w:val="single" w:sz="4" w:space="0" w:color="auto"/>
              <w:right w:val="single" w:sz="4" w:space="0" w:color="auto"/>
            </w:tcBorders>
            <w:shd w:val="clear" w:color="auto" w:fill="auto"/>
            <w:noWrap/>
            <w:vAlign w:val="center"/>
            <w:hideMark/>
          </w:tcPr>
          <w:p w14:paraId="6BC06BB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0.44</w:t>
            </w:r>
          </w:p>
        </w:tc>
        <w:tc>
          <w:tcPr>
            <w:tcW w:w="610" w:type="dxa"/>
            <w:tcBorders>
              <w:top w:val="nil"/>
              <w:left w:val="nil"/>
              <w:bottom w:val="single" w:sz="4" w:space="0" w:color="auto"/>
              <w:right w:val="single" w:sz="8" w:space="0" w:color="auto"/>
            </w:tcBorders>
            <w:shd w:val="clear" w:color="auto" w:fill="auto"/>
            <w:noWrap/>
            <w:vAlign w:val="center"/>
            <w:hideMark/>
          </w:tcPr>
          <w:p w14:paraId="4FF16E8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1.43</w:t>
            </w:r>
          </w:p>
        </w:tc>
        <w:tc>
          <w:tcPr>
            <w:tcW w:w="610" w:type="dxa"/>
            <w:tcBorders>
              <w:top w:val="nil"/>
              <w:left w:val="nil"/>
              <w:bottom w:val="single" w:sz="4" w:space="0" w:color="auto"/>
              <w:right w:val="single" w:sz="4" w:space="0" w:color="auto"/>
            </w:tcBorders>
            <w:shd w:val="clear" w:color="auto" w:fill="auto"/>
            <w:noWrap/>
            <w:vAlign w:val="center"/>
            <w:hideMark/>
          </w:tcPr>
          <w:p w14:paraId="7C29EE1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0.48</w:t>
            </w:r>
          </w:p>
        </w:tc>
        <w:tc>
          <w:tcPr>
            <w:tcW w:w="610" w:type="dxa"/>
            <w:tcBorders>
              <w:top w:val="nil"/>
              <w:left w:val="nil"/>
              <w:bottom w:val="single" w:sz="4" w:space="0" w:color="auto"/>
              <w:right w:val="single" w:sz="8" w:space="0" w:color="auto"/>
            </w:tcBorders>
            <w:shd w:val="clear" w:color="auto" w:fill="auto"/>
            <w:noWrap/>
            <w:vAlign w:val="center"/>
            <w:hideMark/>
          </w:tcPr>
          <w:p w14:paraId="6FA0836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1.25</w:t>
            </w:r>
          </w:p>
        </w:tc>
        <w:tc>
          <w:tcPr>
            <w:tcW w:w="610" w:type="dxa"/>
            <w:tcBorders>
              <w:top w:val="nil"/>
              <w:left w:val="nil"/>
              <w:bottom w:val="single" w:sz="4" w:space="0" w:color="auto"/>
              <w:right w:val="single" w:sz="4" w:space="0" w:color="auto"/>
            </w:tcBorders>
            <w:shd w:val="clear" w:color="auto" w:fill="auto"/>
            <w:noWrap/>
            <w:vAlign w:val="center"/>
            <w:hideMark/>
          </w:tcPr>
          <w:p w14:paraId="7BDF1C7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0.55</w:t>
            </w:r>
          </w:p>
        </w:tc>
        <w:tc>
          <w:tcPr>
            <w:tcW w:w="610" w:type="dxa"/>
            <w:tcBorders>
              <w:top w:val="nil"/>
              <w:left w:val="nil"/>
              <w:bottom w:val="single" w:sz="4" w:space="0" w:color="auto"/>
              <w:right w:val="single" w:sz="8" w:space="0" w:color="auto"/>
            </w:tcBorders>
            <w:shd w:val="clear" w:color="auto" w:fill="auto"/>
            <w:noWrap/>
            <w:vAlign w:val="center"/>
            <w:hideMark/>
          </w:tcPr>
          <w:p w14:paraId="395373F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1.45</w:t>
            </w:r>
          </w:p>
        </w:tc>
        <w:tc>
          <w:tcPr>
            <w:tcW w:w="610" w:type="dxa"/>
            <w:tcBorders>
              <w:top w:val="nil"/>
              <w:left w:val="nil"/>
              <w:bottom w:val="single" w:sz="4" w:space="0" w:color="auto"/>
              <w:right w:val="single" w:sz="4" w:space="0" w:color="auto"/>
            </w:tcBorders>
            <w:shd w:val="clear" w:color="auto" w:fill="auto"/>
            <w:noWrap/>
            <w:vAlign w:val="center"/>
            <w:hideMark/>
          </w:tcPr>
          <w:p w14:paraId="5194C53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0.67</w:t>
            </w:r>
          </w:p>
        </w:tc>
        <w:tc>
          <w:tcPr>
            <w:tcW w:w="610" w:type="dxa"/>
            <w:tcBorders>
              <w:top w:val="nil"/>
              <w:left w:val="nil"/>
              <w:bottom w:val="single" w:sz="4" w:space="0" w:color="auto"/>
              <w:right w:val="single" w:sz="8" w:space="0" w:color="auto"/>
            </w:tcBorders>
            <w:shd w:val="clear" w:color="auto" w:fill="auto"/>
            <w:noWrap/>
            <w:vAlign w:val="center"/>
            <w:hideMark/>
          </w:tcPr>
          <w:p w14:paraId="535F8E5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1.25</w:t>
            </w:r>
          </w:p>
        </w:tc>
        <w:tc>
          <w:tcPr>
            <w:tcW w:w="610" w:type="dxa"/>
            <w:tcBorders>
              <w:top w:val="nil"/>
              <w:left w:val="nil"/>
              <w:bottom w:val="single" w:sz="4" w:space="0" w:color="auto"/>
              <w:right w:val="single" w:sz="4" w:space="0" w:color="auto"/>
            </w:tcBorders>
            <w:shd w:val="clear" w:color="auto" w:fill="auto"/>
            <w:noWrap/>
            <w:vAlign w:val="center"/>
            <w:hideMark/>
          </w:tcPr>
          <w:p w14:paraId="13E3E5D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0.50</w:t>
            </w:r>
          </w:p>
        </w:tc>
        <w:tc>
          <w:tcPr>
            <w:tcW w:w="610" w:type="dxa"/>
            <w:tcBorders>
              <w:top w:val="nil"/>
              <w:left w:val="nil"/>
              <w:bottom w:val="single" w:sz="4" w:space="0" w:color="auto"/>
              <w:right w:val="single" w:sz="8" w:space="0" w:color="auto"/>
            </w:tcBorders>
            <w:shd w:val="clear" w:color="auto" w:fill="auto"/>
            <w:noWrap/>
            <w:vAlign w:val="center"/>
            <w:hideMark/>
          </w:tcPr>
          <w:p w14:paraId="28F51AD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1.50</w:t>
            </w:r>
          </w:p>
        </w:tc>
        <w:tc>
          <w:tcPr>
            <w:tcW w:w="610" w:type="dxa"/>
            <w:tcBorders>
              <w:top w:val="nil"/>
              <w:left w:val="nil"/>
              <w:bottom w:val="single" w:sz="4" w:space="0" w:color="auto"/>
              <w:right w:val="single" w:sz="4" w:space="0" w:color="auto"/>
            </w:tcBorders>
            <w:shd w:val="clear" w:color="auto" w:fill="auto"/>
            <w:noWrap/>
            <w:vAlign w:val="center"/>
            <w:hideMark/>
          </w:tcPr>
          <w:p w14:paraId="5E1434C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1.14</w:t>
            </w:r>
          </w:p>
        </w:tc>
        <w:tc>
          <w:tcPr>
            <w:tcW w:w="610" w:type="dxa"/>
            <w:tcBorders>
              <w:top w:val="nil"/>
              <w:left w:val="nil"/>
              <w:bottom w:val="single" w:sz="4" w:space="0" w:color="auto"/>
              <w:right w:val="single" w:sz="8" w:space="0" w:color="auto"/>
            </w:tcBorders>
            <w:shd w:val="clear" w:color="auto" w:fill="auto"/>
            <w:noWrap/>
            <w:vAlign w:val="center"/>
            <w:hideMark/>
          </w:tcPr>
          <w:p w14:paraId="48397B6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2.40</w:t>
            </w:r>
          </w:p>
        </w:tc>
        <w:tc>
          <w:tcPr>
            <w:tcW w:w="610" w:type="dxa"/>
            <w:tcBorders>
              <w:top w:val="nil"/>
              <w:left w:val="nil"/>
              <w:bottom w:val="single" w:sz="4" w:space="0" w:color="auto"/>
              <w:right w:val="single" w:sz="4" w:space="0" w:color="auto"/>
            </w:tcBorders>
            <w:shd w:val="clear" w:color="auto" w:fill="auto"/>
            <w:noWrap/>
            <w:vAlign w:val="center"/>
            <w:hideMark/>
          </w:tcPr>
          <w:p w14:paraId="603EFDD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0.65</w:t>
            </w:r>
          </w:p>
        </w:tc>
        <w:tc>
          <w:tcPr>
            <w:tcW w:w="610" w:type="dxa"/>
            <w:tcBorders>
              <w:top w:val="nil"/>
              <w:left w:val="nil"/>
              <w:bottom w:val="single" w:sz="4" w:space="0" w:color="auto"/>
              <w:right w:val="single" w:sz="8" w:space="0" w:color="auto"/>
            </w:tcBorders>
            <w:shd w:val="clear" w:color="auto" w:fill="auto"/>
            <w:noWrap/>
            <w:vAlign w:val="center"/>
            <w:hideMark/>
          </w:tcPr>
          <w:p w14:paraId="6B9D3DD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2.65</w:t>
            </w:r>
          </w:p>
        </w:tc>
        <w:tc>
          <w:tcPr>
            <w:tcW w:w="610" w:type="dxa"/>
            <w:tcBorders>
              <w:top w:val="nil"/>
              <w:left w:val="nil"/>
              <w:bottom w:val="single" w:sz="4" w:space="0" w:color="auto"/>
              <w:right w:val="single" w:sz="4" w:space="0" w:color="auto"/>
            </w:tcBorders>
            <w:shd w:val="clear" w:color="auto" w:fill="auto"/>
            <w:noWrap/>
            <w:vAlign w:val="center"/>
            <w:hideMark/>
          </w:tcPr>
          <w:p w14:paraId="0A5AD41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0.87</w:t>
            </w:r>
          </w:p>
        </w:tc>
        <w:tc>
          <w:tcPr>
            <w:tcW w:w="610" w:type="dxa"/>
            <w:tcBorders>
              <w:top w:val="nil"/>
              <w:left w:val="nil"/>
              <w:bottom w:val="single" w:sz="4" w:space="0" w:color="auto"/>
              <w:right w:val="single" w:sz="8" w:space="0" w:color="auto"/>
            </w:tcBorders>
            <w:shd w:val="clear" w:color="auto" w:fill="auto"/>
            <w:noWrap/>
            <w:vAlign w:val="center"/>
            <w:hideMark/>
          </w:tcPr>
          <w:p w14:paraId="59879F5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2.85</w:t>
            </w:r>
          </w:p>
        </w:tc>
        <w:tc>
          <w:tcPr>
            <w:tcW w:w="610" w:type="dxa"/>
            <w:tcBorders>
              <w:top w:val="nil"/>
              <w:left w:val="nil"/>
              <w:bottom w:val="single" w:sz="4" w:space="0" w:color="auto"/>
              <w:right w:val="single" w:sz="4" w:space="0" w:color="auto"/>
            </w:tcBorders>
            <w:shd w:val="clear" w:color="auto" w:fill="auto"/>
            <w:noWrap/>
            <w:vAlign w:val="center"/>
            <w:hideMark/>
          </w:tcPr>
          <w:p w14:paraId="42F7D74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1.14</w:t>
            </w:r>
          </w:p>
        </w:tc>
        <w:tc>
          <w:tcPr>
            <w:tcW w:w="610" w:type="dxa"/>
            <w:tcBorders>
              <w:top w:val="nil"/>
              <w:left w:val="nil"/>
              <w:bottom w:val="single" w:sz="4" w:space="0" w:color="auto"/>
              <w:right w:val="single" w:sz="8" w:space="0" w:color="auto"/>
            </w:tcBorders>
            <w:shd w:val="clear" w:color="auto" w:fill="auto"/>
            <w:noWrap/>
            <w:vAlign w:val="center"/>
            <w:hideMark/>
          </w:tcPr>
          <w:p w14:paraId="390A3AA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2.45</w:t>
            </w:r>
          </w:p>
        </w:tc>
      </w:tr>
      <w:tr w:rsidR="008564E2" w:rsidRPr="00234D18" w14:paraId="11D1BD60"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vAlign w:val="center"/>
            <w:hideMark/>
          </w:tcPr>
          <w:p w14:paraId="4FC94B2D" w14:textId="77777777" w:rsidR="008564E2"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14:paraId="7855E87E"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7DAF</w:t>
            </w:r>
          </w:p>
        </w:tc>
        <w:tc>
          <w:tcPr>
            <w:tcW w:w="609" w:type="dxa"/>
            <w:tcBorders>
              <w:top w:val="nil"/>
              <w:left w:val="nil"/>
              <w:bottom w:val="single" w:sz="4" w:space="0" w:color="auto"/>
              <w:right w:val="single" w:sz="4" w:space="0" w:color="auto"/>
            </w:tcBorders>
            <w:shd w:val="clear" w:color="auto" w:fill="auto"/>
            <w:noWrap/>
            <w:vAlign w:val="center"/>
            <w:hideMark/>
          </w:tcPr>
          <w:p w14:paraId="12C5203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3.24</w:t>
            </w:r>
          </w:p>
        </w:tc>
        <w:tc>
          <w:tcPr>
            <w:tcW w:w="609" w:type="dxa"/>
            <w:tcBorders>
              <w:top w:val="nil"/>
              <w:left w:val="nil"/>
              <w:bottom w:val="single" w:sz="4" w:space="0" w:color="auto"/>
              <w:right w:val="single" w:sz="8" w:space="0" w:color="auto"/>
            </w:tcBorders>
            <w:shd w:val="clear" w:color="auto" w:fill="auto"/>
            <w:noWrap/>
            <w:vAlign w:val="center"/>
            <w:hideMark/>
          </w:tcPr>
          <w:p w14:paraId="2F727E6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3.91</w:t>
            </w:r>
          </w:p>
        </w:tc>
        <w:tc>
          <w:tcPr>
            <w:tcW w:w="610" w:type="dxa"/>
            <w:tcBorders>
              <w:top w:val="nil"/>
              <w:left w:val="nil"/>
              <w:bottom w:val="single" w:sz="4" w:space="0" w:color="auto"/>
              <w:right w:val="single" w:sz="4" w:space="0" w:color="auto"/>
            </w:tcBorders>
            <w:shd w:val="clear" w:color="auto" w:fill="auto"/>
            <w:noWrap/>
            <w:vAlign w:val="center"/>
            <w:hideMark/>
          </w:tcPr>
          <w:p w14:paraId="56672E3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2.09</w:t>
            </w:r>
          </w:p>
        </w:tc>
        <w:tc>
          <w:tcPr>
            <w:tcW w:w="610" w:type="dxa"/>
            <w:tcBorders>
              <w:top w:val="nil"/>
              <w:left w:val="nil"/>
              <w:bottom w:val="single" w:sz="4" w:space="0" w:color="auto"/>
              <w:right w:val="single" w:sz="8" w:space="0" w:color="auto"/>
            </w:tcBorders>
            <w:shd w:val="clear" w:color="auto" w:fill="auto"/>
            <w:noWrap/>
            <w:vAlign w:val="center"/>
            <w:hideMark/>
          </w:tcPr>
          <w:p w14:paraId="4F660D0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2.94</w:t>
            </w:r>
          </w:p>
        </w:tc>
        <w:tc>
          <w:tcPr>
            <w:tcW w:w="610" w:type="dxa"/>
            <w:tcBorders>
              <w:top w:val="nil"/>
              <w:left w:val="nil"/>
              <w:bottom w:val="single" w:sz="4" w:space="0" w:color="auto"/>
              <w:right w:val="single" w:sz="4" w:space="0" w:color="auto"/>
            </w:tcBorders>
            <w:shd w:val="clear" w:color="auto" w:fill="auto"/>
            <w:noWrap/>
            <w:vAlign w:val="center"/>
            <w:hideMark/>
          </w:tcPr>
          <w:p w14:paraId="190E1C0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2.95</w:t>
            </w:r>
          </w:p>
        </w:tc>
        <w:tc>
          <w:tcPr>
            <w:tcW w:w="610" w:type="dxa"/>
            <w:tcBorders>
              <w:top w:val="nil"/>
              <w:left w:val="nil"/>
              <w:bottom w:val="single" w:sz="4" w:space="0" w:color="auto"/>
              <w:right w:val="single" w:sz="8" w:space="0" w:color="auto"/>
            </w:tcBorders>
            <w:shd w:val="clear" w:color="auto" w:fill="auto"/>
            <w:noWrap/>
            <w:vAlign w:val="center"/>
            <w:hideMark/>
          </w:tcPr>
          <w:p w14:paraId="4D5646F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3.46</w:t>
            </w:r>
          </w:p>
        </w:tc>
        <w:tc>
          <w:tcPr>
            <w:tcW w:w="610" w:type="dxa"/>
            <w:tcBorders>
              <w:top w:val="nil"/>
              <w:left w:val="nil"/>
              <w:bottom w:val="single" w:sz="4" w:space="0" w:color="auto"/>
              <w:right w:val="single" w:sz="4" w:space="0" w:color="auto"/>
            </w:tcBorders>
            <w:shd w:val="clear" w:color="auto" w:fill="auto"/>
            <w:noWrap/>
            <w:vAlign w:val="center"/>
            <w:hideMark/>
          </w:tcPr>
          <w:p w14:paraId="01EDF07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2.38</w:t>
            </w:r>
          </w:p>
        </w:tc>
        <w:tc>
          <w:tcPr>
            <w:tcW w:w="610" w:type="dxa"/>
            <w:tcBorders>
              <w:top w:val="nil"/>
              <w:left w:val="nil"/>
              <w:bottom w:val="single" w:sz="4" w:space="0" w:color="auto"/>
              <w:right w:val="single" w:sz="8" w:space="0" w:color="auto"/>
            </w:tcBorders>
            <w:shd w:val="clear" w:color="auto" w:fill="auto"/>
            <w:noWrap/>
            <w:vAlign w:val="center"/>
            <w:hideMark/>
          </w:tcPr>
          <w:p w14:paraId="202FB51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3.23</w:t>
            </w:r>
          </w:p>
        </w:tc>
        <w:tc>
          <w:tcPr>
            <w:tcW w:w="610" w:type="dxa"/>
            <w:tcBorders>
              <w:top w:val="nil"/>
              <w:left w:val="nil"/>
              <w:bottom w:val="single" w:sz="4" w:space="0" w:color="auto"/>
              <w:right w:val="single" w:sz="4" w:space="0" w:color="auto"/>
            </w:tcBorders>
            <w:shd w:val="clear" w:color="auto" w:fill="auto"/>
            <w:noWrap/>
            <w:vAlign w:val="center"/>
            <w:hideMark/>
          </w:tcPr>
          <w:p w14:paraId="614215D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2.71</w:t>
            </w:r>
          </w:p>
        </w:tc>
        <w:tc>
          <w:tcPr>
            <w:tcW w:w="610" w:type="dxa"/>
            <w:tcBorders>
              <w:top w:val="nil"/>
              <w:left w:val="nil"/>
              <w:bottom w:val="single" w:sz="4" w:space="0" w:color="auto"/>
              <w:right w:val="single" w:sz="8" w:space="0" w:color="auto"/>
            </w:tcBorders>
            <w:shd w:val="clear" w:color="auto" w:fill="auto"/>
            <w:noWrap/>
            <w:vAlign w:val="center"/>
            <w:hideMark/>
          </w:tcPr>
          <w:p w14:paraId="3F4D6AB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3.50</w:t>
            </w:r>
          </w:p>
        </w:tc>
        <w:tc>
          <w:tcPr>
            <w:tcW w:w="610" w:type="dxa"/>
            <w:tcBorders>
              <w:top w:val="nil"/>
              <w:left w:val="nil"/>
              <w:bottom w:val="single" w:sz="4" w:space="0" w:color="auto"/>
              <w:right w:val="single" w:sz="4" w:space="0" w:color="auto"/>
            </w:tcBorders>
            <w:shd w:val="clear" w:color="auto" w:fill="auto"/>
            <w:noWrap/>
            <w:vAlign w:val="center"/>
            <w:hideMark/>
          </w:tcPr>
          <w:p w14:paraId="1804E25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2.63</w:t>
            </w:r>
          </w:p>
        </w:tc>
        <w:tc>
          <w:tcPr>
            <w:tcW w:w="610" w:type="dxa"/>
            <w:tcBorders>
              <w:top w:val="nil"/>
              <w:left w:val="nil"/>
              <w:bottom w:val="single" w:sz="4" w:space="0" w:color="auto"/>
              <w:right w:val="single" w:sz="8" w:space="0" w:color="auto"/>
            </w:tcBorders>
            <w:shd w:val="clear" w:color="auto" w:fill="auto"/>
            <w:noWrap/>
            <w:vAlign w:val="center"/>
            <w:hideMark/>
          </w:tcPr>
          <w:p w14:paraId="0E6C5CA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3.45</w:t>
            </w:r>
          </w:p>
        </w:tc>
        <w:tc>
          <w:tcPr>
            <w:tcW w:w="610" w:type="dxa"/>
            <w:tcBorders>
              <w:top w:val="nil"/>
              <w:left w:val="nil"/>
              <w:bottom w:val="single" w:sz="4" w:space="0" w:color="auto"/>
              <w:right w:val="single" w:sz="4" w:space="0" w:color="auto"/>
            </w:tcBorders>
            <w:shd w:val="clear" w:color="auto" w:fill="auto"/>
            <w:noWrap/>
            <w:vAlign w:val="center"/>
            <w:hideMark/>
          </w:tcPr>
          <w:p w14:paraId="6E2C4BB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2.55</w:t>
            </w:r>
          </w:p>
        </w:tc>
        <w:tc>
          <w:tcPr>
            <w:tcW w:w="610" w:type="dxa"/>
            <w:tcBorders>
              <w:top w:val="nil"/>
              <w:left w:val="nil"/>
              <w:bottom w:val="single" w:sz="4" w:space="0" w:color="auto"/>
              <w:right w:val="single" w:sz="8" w:space="0" w:color="auto"/>
            </w:tcBorders>
            <w:shd w:val="clear" w:color="auto" w:fill="auto"/>
            <w:noWrap/>
            <w:vAlign w:val="center"/>
            <w:hideMark/>
          </w:tcPr>
          <w:p w14:paraId="3461706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3.08</w:t>
            </w:r>
          </w:p>
        </w:tc>
        <w:tc>
          <w:tcPr>
            <w:tcW w:w="610" w:type="dxa"/>
            <w:tcBorders>
              <w:top w:val="nil"/>
              <w:left w:val="nil"/>
              <w:bottom w:val="single" w:sz="4" w:space="0" w:color="auto"/>
              <w:right w:val="single" w:sz="4" w:space="0" w:color="auto"/>
            </w:tcBorders>
            <w:shd w:val="clear" w:color="auto" w:fill="auto"/>
            <w:noWrap/>
            <w:vAlign w:val="center"/>
            <w:hideMark/>
          </w:tcPr>
          <w:p w14:paraId="1922708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2.95</w:t>
            </w:r>
          </w:p>
        </w:tc>
        <w:tc>
          <w:tcPr>
            <w:tcW w:w="610" w:type="dxa"/>
            <w:tcBorders>
              <w:top w:val="nil"/>
              <w:left w:val="nil"/>
              <w:bottom w:val="single" w:sz="4" w:space="0" w:color="auto"/>
              <w:right w:val="single" w:sz="8" w:space="0" w:color="auto"/>
            </w:tcBorders>
            <w:shd w:val="clear" w:color="auto" w:fill="auto"/>
            <w:noWrap/>
            <w:vAlign w:val="center"/>
            <w:hideMark/>
          </w:tcPr>
          <w:p w14:paraId="59445CC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3.65</w:t>
            </w:r>
          </w:p>
        </w:tc>
        <w:tc>
          <w:tcPr>
            <w:tcW w:w="610" w:type="dxa"/>
            <w:tcBorders>
              <w:top w:val="nil"/>
              <w:left w:val="nil"/>
              <w:bottom w:val="single" w:sz="4" w:space="0" w:color="auto"/>
              <w:right w:val="single" w:sz="4" w:space="0" w:color="auto"/>
            </w:tcBorders>
            <w:shd w:val="clear" w:color="auto" w:fill="auto"/>
            <w:noWrap/>
            <w:vAlign w:val="center"/>
            <w:hideMark/>
          </w:tcPr>
          <w:p w14:paraId="2EA77DA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4.38</w:t>
            </w:r>
          </w:p>
        </w:tc>
        <w:tc>
          <w:tcPr>
            <w:tcW w:w="610" w:type="dxa"/>
            <w:tcBorders>
              <w:top w:val="nil"/>
              <w:left w:val="nil"/>
              <w:bottom w:val="single" w:sz="4" w:space="0" w:color="auto"/>
              <w:right w:val="single" w:sz="8" w:space="0" w:color="auto"/>
            </w:tcBorders>
            <w:shd w:val="clear" w:color="auto" w:fill="auto"/>
            <w:noWrap/>
            <w:vAlign w:val="center"/>
            <w:hideMark/>
          </w:tcPr>
          <w:p w14:paraId="6A8B6CB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4.00</w:t>
            </w:r>
          </w:p>
        </w:tc>
        <w:tc>
          <w:tcPr>
            <w:tcW w:w="610" w:type="dxa"/>
            <w:tcBorders>
              <w:top w:val="nil"/>
              <w:left w:val="nil"/>
              <w:bottom w:val="single" w:sz="4" w:space="0" w:color="auto"/>
              <w:right w:val="single" w:sz="4" w:space="0" w:color="auto"/>
            </w:tcBorders>
            <w:shd w:val="clear" w:color="auto" w:fill="auto"/>
            <w:noWrap/>
            <w:vAlign w:val="center"/>
            <w:hideMark/>
          </w:tcPr>
          <w:p w14:paraId="01D5AF0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3.68</w:t>
            </w:r>
          </w:p>
        </w:tc>
        <w:tc>
          <w:tcPr>
            <w:tcW w:w="610" w:type="dxa"/>
            <w:tcBorders>
              <w:top w:val="nil"/>
              <w:left w:val="nil"/>
              <w:bottom w:val="single" w:sz="4" w:space="0" w:color="auto"/>
              <w:right w:val="single" w:sz="8" w:space="0" w:color="auto"/>
            </w:tcBorders>
            <w:shd w:val="clear" w:color="auto" w:fill="auto"/>
            <w:noWrap/>
            <w:vAlign w:val="center"/>
            <w:hideMark/>
          </w:tcPr>
          <w:p w14:paraId="7DA8422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4.65</w:t>
            </w:r>
          </w:p>
        </w:tc>
        <w:tc>
          <w:tcPr>
            <w:tcW w:w="610" w:type="dxa"/>
            <w:tcBorders>
              <w:top w:val="nil"/>
              <w:left w:val="nil"/>
              <w:bottom w:val="single" w:sz="4" w:space="0" w:color="auto"/>
              <w:right w:val="single" w:sz="4" w:space="0" w:color="auto"/>
            </w:tcBorders>
            <w:shd w:val="clear" w:color="auto" w:fill="auto"/>
            <w:noWrap/>
            <w:vAlign w:val="center"/>
            <w:hideMark/>
          </w:tcPr>
          <w:p w14:paraId="3AFEF59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3.98</w:t>
            </w:r>
          </w:p>
        </w:tc>
        <w:tc>
          <w:tcPr>
            <w:tcW w:w="610" w:type="dxa"/>
            <w:tcBorders>
              <w:top w:val="nil"/>
              <w:left w:val="nil"/>
              <w:bottom w:val="single" w:sz="4" w:space="0" w:color="auto"/>
              <w:right w:val="single" w:sz="8" w:space="0" w:color="auto"/>
            </w:tcBorders>
            <w:shd w:val="clear" w:color="auto" w:fill="auto"/>
            <w:noWrap/>
            <w:vAlign w:val="center"/>
            <w:hideMark/>
          </w:tcPr>
          <w:p w14:paraId="6220726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4.45</w:t>
            </w:r>
          </w:p>
        </w:tc>
      </w:tr>
      <w:tr w:rsidR="008564E2" w:rsidRPr="00234D18" w14:paraId="46B1D7EF"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14:paraId="365ACB31" w14:textId="77777777" w:rsidR="008564E2"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14:paraId="5431DCEF" w14:textId="77777777" w:rsidR="008564E2" w:rsidRPr="00D67B25" w:rsidRDefault="008564E2" w:rsidP="00C2037F">
            <w:pPr>
              <w:jc w:val="center"/>
              <w:rPr>
                <w:sz w:val="18"/>
                <w:szCs w:val="18"/>
              </w:rPr>
            </w:pPr>
            <w:r w:rsidRPr="00D67B25">
              <w:rPr>
                <w:rFonts w:ascii="Times New Roman" w:eastAsia="Times New Roman" w:hAnsi="Times New Roman" w:cs="Times New Roman"/>
                <w:b/>
                <w:bCs/>
                <w:color w:val="000000"/>
                <w:sz w:val="18"/>
                <w:szCs w:val="18"/>
                <w:lang w:eastAsia="en-IN"/>
              </w:rPr>
              <w:t>14DAF</w:t>
            </w:r>
          </w:p>
        </w:tc>
        <w:tc>
          <w:tcPr>
            <w:tcW w:w="609" w:type="dxa"/>
            <w:tcBorders>
              <w:top w:val="nil"/>
              <w:left w:val="nil"/>
              <w:bottom w:val="single" w:sz="4" w:space="0" w:color="auto"/>
              <w:right w:val="single" w:sz="4" w:space="0" w:color="auto"/>
            </w:tcBorders>
            <w:shd w:val="clear" w:color="auto" w:fill="auto"/>
            <w:noWrap/>
            <w:vAlign w:val="center"/>
            <w:hideMark/>
          </w:tcPr>
          <w:p w14:paraId="17F5974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4.34</w:t>
            </w:r>
          </w:p>
        </w:tc>
        <w:tc>
          <w:tcPr>
            <w:tcW w:w="609" w:type="dxa"/>
            <w:tcBorders>
              <w:top w:val="nil"/>
              <w:left w:val="nil"/>
              <w:bottom w:val="single" w:sz="4" w:space="0" w:color="auto"/>
              <w:right w:val="single" w:sz="8" w:space="0" w:color="auto"/>
            </w:tcBorders>
            <w:shd w:val="clear" w:color="auto" w:fill="auto"/>
            <w:noWrap/>
            <w:vAlign w:val="center"/>
            <w:hideMark/>
          </w:tcPr>
          <w:p w14:paraId="43B8C86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4.56</w:t>
            </w:r>
          </w:p>
        </w:tc>
        <w:tc>
          <w:tcPr>
            <w:tcW w:w="610" w:type="dxa"/>
            <w:tcBorders>
              <w:top w:val="nil"/>
              <w:left w:val="nil"/>
              <w:bottom w:val="single" w:sz="4" w:space="0" w:color="auto"/>
              <w:right w:val="single" w:sz="4" w:space="0" w:color="auto"/>
            </w:tcBorders>
            <w:shd w:val="clear" w:color="auto" w:fill="auto"/>
            <w:noWrap/>
            <w:vAlign w:val="center"/>
            <w:hideMark/>
          </w:tcPr>
          <w:p w14:paraId="22ECA97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2.56</w:t>
            </w:r>
          </w:p>
        </w:tc>
        <w:tc>
          <w:tcPr>
            <w:tcW w:w="610" w:type="dxa"/>
            <w:tcBorders>
              <w:top w:val="nil"/>
              <w:left w:val="nil"/>
              <w:bottom w:val="single" w:sz="4" w:space="0" w:color="auto"/>
              <w:right w:val="single" w:sz="8" w:space="0" w:color="auto"/>
            </w:tcBorders>
            <w:shd w:val="clear" w:color="auto" w:fill="auto"/>
            <w:noWrap/>
            <w:vAlign w:val="center"/>
            <w:hideMark/>
          </w:tcPr>
          <w:p w14:paraId="6C2E7E8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3.48</w:t>
            </w:r>
          </w:p>
        </w:tc>
        <w:tc>
          <w:tcPr>
            <w:tcW w:w="610" w:type="dxa"/>
            <w:tcBorders>
              <w:top w:val="nil"/>
              <w:left w:val="nil"/>
              <w:bottom w:val="single" w:sz="4" w:space="0" w:color="auto"/>
              <w:right w:val="single" w:sz="4" w:space="0" w:color="auto"/>
            </w:tcBorders>
            <w:shd w:val="clear" w:color="auto" w:fill="auto"/>
            <w:noWrap/>
            <w:vAlign w:val="center"/>
            <w:hideMark/>
          </w:tcPr>
          <w:p w14:paraId="4EB9707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3.45</w:t>
            </w:r>
          </w:p>
        </w:tc>
        <w:tc>
          <w:tcPr>
            <w:tcW w:w="610" w:type="dxa"/>
            <w:tcBorders>
              <w:top w:val="nil"/>
              <w:left w:val="nil"/>
              <w:bottom w:val="single" w:sz="4" w:space="0" w:color="auto"/>
              <w:right w:val="single" w:sz="8" w:space="0" w:color="auto"/>
            </w:tcBorders>
            <w:shd w:val="clear" w:color="auto" w:fill="auto"/>
            <w:noWrap/>
            <w:vAlign w:val="center"/>
            <w:hideMark/>
          </w:tcPr>
          <w:p w14:paraId="3B1B5FB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3.69</w:t>
            </w:r>
          </w:p>
        </w:tc>
        <w:tc>
          <w:tcPr>
            <w:tcW w:w="610" w:type="dxa"/>
            <w:tcBorders>
              <w:top w:val="nil"/>
              <w:left w:val="nil"/>
              <w:bottom w:val="single" w:sz="4" w:space="0" w:color="auto"/>
              <w:right w:val="single" w:sz="4" w:space="0" w:color="auto"/>
            </w:tcBorders>
            <w:shd w:val="clear" w:color="auto" w:fill="auto"/>
            <w:noWrap/>
            <w:vAlign w:val="center"/>
            <w:hideMark/>
          </w:tcPr>
          <w:p w14:paraId="2433BFF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2.63</w:t>
            </w:r>
          </w:p>
        </w:tc>
        <w:tc>
          <w:tcPr>
            <w:tcW w:w="610" w:type="dxa"/>
            <w:tcBorders>
              <w:top w:val="nil"/>
              <w:left w:val="nil"/>
              <w:bottom w:val="single" w:sz="4" w:space="0" w:color="auto"/>
              <w:right w:val="single" w:sz="8" w:space="0" w:color="auto"/>
            </w:tcBorders>
            <w:shd w:val="clear" w:color="auto" w:fill="auto"/>
            <w:noWrap/>
            <w:vAlign w:val="center"/>
            <w:hideMark/>
          </w:tcPr>
          <w:p w14:paraId="7057D0A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3.38</w:t>
            </w:r>
          </w:p>
        </w:tc>
        <w:tc>
          <w:tcPr>
            <w:tcW w:w="610" w:type="dxa"/>
            <w:tcBorders>
              <w:top w:val="nil"/>
              <w:left w:val="nil"/>
              <w:bottom w:val="single" w:sz="4" w:space="0" w:color="auto"/>
              <w:right w:val="single" w:sz="4" w:space="0" w:color="auto"/>
            </w:tcBorders>
            <w:shd w:val="clear" w:color="auto" w:fill="auto"/>
            <w:noWrap/>
            <w:vAlign w:val="center"/>
            <w:hideMark/>
          </w:tcPr>
          <w:p w14:paraId="73EB73E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3.70</w:t>
            </w:r>
          </w:p>
        </w:tc>
        <w:tc>
          <w:tcPr>
            <w:tcW w:w="610" w:type="dxa"/>
            <w:tcBorders>
              <w:top w:val="nil"/>
              <w:left w:val="nil"/>
              <w:bottom w:val="single" w:sz="4" w:space="0" w:color="auto"/>
              <w:right w:val="single" w:sz="8" w:space="0" w:color="auto"/>
            </w:tcBorders>
            <w:shd w:val="clear" w:color="auto" w:fill="auto"/>
            <w:noWrap/>
            <w:vAlign w:val="center"/>
            <w:hideMark/>
          </w:tcPr>
          <w:p w14:paraId="2ACB10D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4.29</w:t>
            </w:r>
          </w:p>
        </w:tc>
        <w:tc>
          <w:tcPr>
            <w:tcW w:w="610" w:type="dxa"/>
            <w:tcBorders>
              <w:top w:val="nil"/>
              <w:left w:val="nil"/>
              <w:bottom w:val="single" w:sz="4" w:space="0" w:color="auto"/>
              <w:right w:val="single" w:sz="4" w:space="0" w:color="auto"/>
            </w:tcBorders>
            <w:shd w:val="clear" w:color="auto" w:fill="auto"/>
            <w:noWrap/>
            <w:vAlign w:val="center"/>
            <w:hideMark/>
          </w:tcPr>
          <w:p w14:paraId="4B527F9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3.43</w:t>
            </w:r>
          </w:p>
        </w:tc>
        <w:tc>
          <w:tcPr>
            <w:tcW w:w="610" w:type="dxa"/>
            <w:tcBorders>
              <w:top w:val="nil"/>
              <w:left w:val="nil"/>
              <w:bottom w:val="single" w:sz="4" w:space="0" w:color="auto"/>
              <w:right w:val="single" w:sz="8" w:space="0" w:color="auto"/>
            </w:tcBorders>
            <w:shd w:val="clear" w:color="auto" w:fill="auto"/>
            <w:noWrap/>
            <w:vAlign w:val="center"/>
            <w:hideMark/>
          </w:tcPr>
          <w:p w14:paraId="36F5C27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3.55</w:t>
            </w:r>
          </w:p>
        </w:tc>
        <w:tc>
          <w:tcPr>
            <w:tcW w:w="610" w:type="dxa"/>
            <w:tcBorders>
              <w:top w:val="nil"/>
              <w:left w:val="nil"/>
              <w:bottom w:val="single" w:sz="4" w:space="0" w:color="auto"/>
              <w:right w:val="single" w:sz="4" w:space="0" w:color="auto"/>
            </w:tcBorders>
            <w:shd w:val="clear" w:color="auto" w:fill="auto"/>
            <w:noWrap/>
            <w:vAlign w:val="center"/>
            <w:hideMark/>
          </w:tcPr>
          <w:p w14:paraId="0D32E7D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3.83</w:t>
            </w:r>
          </w:p>
        </w:tc>
        <w:tc>
          <w:tcPr>
            <w:tcW w:w="610" w:type="dxa"/>
            <w:tcBorders>
              <w:top w:val="nil"/>
              <w:left w:val="nil"/>
              <w:bottom w:val="single" w:sz="4" w:space="0" w:color="auto"/>
              <w:right w:val="single" w:sz="8" w:space="0" w:color="auto"/>
            </w:tcBorders>
            <w:shd w:val="clear" w:color="auto" w:fill="auto"/>
            <w:noWrap/>
            <w:vAlign w:val="center"/>
            <w:hideMark/>
          </w:tcPr>
          <w:p w14:paraId="74F4DFF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4.38</w:t>
            </w:r>
          </w:p>
        </w:tc>
        <w:tc>
          <w:tcPr>
            <w:tcW w:w="610" w:type="dxa"/>
            <w:tcBorders>
              <w:top w:val="nil"/>
              <w:left w:val="nil"/>
              <w:bottom w:val="single" w:sz="4" w:space="0" w:color="auto"/>
              <w:right w:val="single" w:sz="4" w:space="0" w:color="auto"/>
            </w:tcBorders>
            <w:shd w:val="clear" w:color="auto" w:fill="auto"/>
            <w:noWrap/>
            <w:vAlign w:val="center"/>
            <w:hideMark/>
          </w:tcPr>
          <w:p w14:paraId="714033A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3.15</w:t>
            </w:r>
          </w:p>
        </w:tc>
        <w:tc>
          <w:tcPr>
            <w:tcW w:w="610" w:type="dxa"/>
            <w:tcBorders>
              <w:top w:val="nil"/>
              <w:left w:val="nil"/>
              <w:bottom w:val="single" w:sz="4" w:space="0" w:color="auto"/>
              <w:right w:val="single" w:sz="8" w:space="0" w:color="auto"/>
            </w:tcBorders>
            <w:shd w:val="clear" w:color="auto" w:fill="auto"/>
            <w:noWrap/>
            <w:vAlign w:val="center"/>
            <w:hideMark/>
          </w:tcPr>
          <w:p w14:paraId="4709BD4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3.83</w:t>
            </w:r>
          </w:p>
        </w:tc>
        <w:tc>
          <w:tcPr>
            <w:tcW w:w="610" w:type="dxa"/>
            <w:tcBorders>
              <w:top w:val="nil"/>
              <w:left w:val="nil"/>
              <w:bottom w:val="single" w:sz="4" w:space="0" w:color="auto"/>
              <w:right w:val="single" w:sz="4" w:space="0" w:color="auto"/>
            </w:tcBorders>
            <w:shd w:val="clear" w:color="auto" w:fill="auto"/>
            <w:noWrap/>
            <w:vAlign w:val="center"/>
            <w:hideMark/>
          </w:tcPr>
          <w:p w14:paraId="5BAEDDC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4.85</w:t>
            </w:r>
          </w:p>
        </w:tc>
        <w:tc>
          <w:tcPr>
            <w:tcW w:w="610" w:type="dxa"/>
            <w:tcBorders>
              <w:top w:val="nil"/>
              <w:left w:val="nil"/>
              <w:bottom w:val="single" w:sz="4" w:space="0" w:color="auto"/>
              <w:right w:val="single" w:sz="8" w:space="0" w:color="auto"/>
            </w:tcBorders>
            <w:shd w:val="clear" w:color="auto" w:fill="auto"/>
            <w:noWrap/>
            <w:vAlign w:val="center"/>
            <w:hideMark/>
          </w:tcPr>
          <w:p w14:paraId="5E7FE43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4.20</w:t>
            </w:r>
          </w:p>
        </w:tc>
        <w:tc>
          <w:tcPr>
            <w:tcW w:w="610" w:type="dxa"/>
            <w:tcBorders>
              <w:top w:val="nil"/>
              <w:left w:val="nil"/>
              <w:bottom w:val="single" w:sz="4" w:space="0" w:color="auto"/>
              <w:right w:val="single" w:sz="4" w:space="0" w:color="auto"/>
            </w:tcBorders>
            <w:shd w:val="clear" w:color="auto" w:fill="auto"/>
            <w:noWrap/>
            <w:vAlign w:val="center"/>
            <w:hideMark/>
          </w:tcPr>
          <w:p w14:paraId="6B636E5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4.05</w:t>
            </w:r>
          </w:p>
        </w:tc>
        <w:tc>
          <w:tcPr>
            <w:tcW w:w="610" w:type="dxa"/>
            <w:tcBorders>
              <w:top w:val="nil"/>
              <w:left w:val="nil"/>
              <w:bottom w:val="single" w:sz="4" w:space="0" w:color="auto"/>
              <w:right w:val="single" w:sz="8" w:space="0" w:color="auto"/>
            </w:tcBorders>
            <w:shd w:val="clear" w:color="auto" w:fill="auto"/>
            <w:noWrap/>
            <w:vAlign w:val="center"/>
            <w:hideMark/>
          </w:tcPr>
          <w:p w14:paraId="608D07A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4.98</w:t>
            </w:r>
          </w:p>
        </w:tc>
        <w:tc>
          <w:tcPr>
            <w:tcW w:w="610" w:type="dxa"/>
            <w:tcBorders>
              <w:top w:val="nil"/>
              <w:left w:val="nil"/>
              <w:bottom w:val="single" w:sz="4" w:space="0" w:color="auto"/>
              <w:right w:val="single" w:sz="4" w:space="0" w:color="auto"/>
            </w:tcBorders>
            <w:shd w:val="clear" w:color="auto" w:fill="auto"/>
            <w:noWrap/>
            <w:vAlign w:val="center"/>
            <w:hideMark/>
          </w:tcPr>
          <w:p w14:paraId="1D6C4C4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4.28</w:t>
            </w:r>
          </w:p>
        </w:tc>
        <w:tc>
          <w:tcPr>
            <w:tcW w:w="610" w:type="dxa"/>
            <w:tcBorders>
              <w:top w:val="nil"/>
              <w:left w:val="nil"/>
              <w:bottom w:val="single" w:sz="4" w:space="0" w:color="auto"/>
              <w:right w:val="single" w:sz="8" w:space="0" w:color="auto"/>
            </w:tcBorders>
            <w:shd w:val="clear" w:color="auto" w:fill="auto"/>
            <w:noWrap/>
            <w:vAlign w:val="center"/>
            <w:hideMark/>
          </w:tcPr>
          <w:p w14:paraId="5EB7A7E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4.60</w:t>
            </w:r>
          </w:p>
        </w:tc>
      </w:tr>
      <w:tr w:rsidR="008564E2" w:rsidRPr="00234D18" w14:paraId="1BA06936"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14:paraId="2FB5C571" w14:textId="77777777" w:rsidR="008564E2"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14:paraId="6B643CD1" w14:textId="77777777" w:rsidR="008564E2" w:rsidRPr="00D67B25" w:rsidRDefault="008564E2" w:rsidP="00C2037F">
            <w:pPr>
              <w:jc w:val="center"/>
              <w:rPr>
                <w:sz w:val="18"/>
                <w:szCs w:val="18"/>
              </w:rPr>
            </w:pPr>
            <w:r w:rsidRPr="00D67B25">
              <w:rPr>
                <w:rFonts w:ascii="Times New Roman" w:eastAsia="Times New Roman" w:hAnsi="Times New Roman" w:cs="Times New Roman"/>
                <w:b/>
                <w:bCs/>
                <w:color w:val="000000"/>
                <w:sz w:val="18"/>
                <w:szCs w:val="18"/>
                <w:lang w:eastAsia="en-IN"/>
              </w:rPr>
              <w:t>21DAF</w:t>
            </w:r>
          </w:p>
        </w:tc>
        <w:tc>
          <w:tcPr>
            <w:tcW w:w="609" w:type="dxa"/>
            <w:tcBorders>
              <w:top w:val="nil"/>
              <w:left w:val="nil"/>
              <w:bottom w:val="single" w:sz="4" w:space="0" w:color="auto"/>
              <w:right w:val="single" w:sz="4" w:space="0" w:color="auto"/>
            </w:tcBorders>
            <w:shd w:val="clear" w:color="auto" w:fill="auto"/>
            <w:noWrap/>
            <w:vAlign w:val="center"/>
            <w:hideMark/>
          </w:tcPr>
          <w:p w14:paraId="7F7E03A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5.54</w:t>
            </w:r>
          </w:p>
        </w:tc>
        <w:tc>
          <w:tcPr>
            <w:tcW w:w="609" w:type="dxa"/>
            <w:tcBorders>
              <w:top w:val="nil"/>
              <w:left w:val="nil"/>
              <w:bottom w:val="single" w:sz="4" w:space="0" w:color="auto"/>
              <w:right w:val="single" w:sz="8" w:space="0" w:color="auto"/>
            </w:tcBorders>
            <w:shd w:val="clear" w:color="auto" w:fill="auto"/>
            <w:noWrap/>
            <w:vAlign w:val="center"/>
            <w:hideMark/>
          </w:tcPr>
          <w:p w14:paraId="205FF77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6.21</w:t>
            </w:r>
          </w:p>
        </w:tc>
        <w:tc>
          <w:tcPr>
            <w:tcW w:w="610" w:type="dxa"/>
            <w:tcBorders>
              <w:top w:val="nil"/>
              <w:left w:val="nil"/>
              <w:bottom w:val="single" w:sz="4" w:space="0" w:color="auto"/>
              <w:right w:val="single" w:sz="4" w:space="0" w:color="auto"/>
            </w:tcBorders>
            <w:shd w:val="clear" w:color="auto" w:fill="auto"/>
            <w:noWrap/>
            <w:vAlign w:val="center"/>
            <w:hideMark/>
          </w:tcPr>
          <w:p w14:paraId="1CA54E3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3.08</w:t>
            </w:r>
          </w:p>
        </w:tc>
        <w:tc>
          <w:tcPr>
            <w:tcW w:w="610" w:type="dxa"/>
            <w:tcBorders>
              <w:top w:val="nil"/>
              <w:left w:val="nil"/>
              <w:bottom w:val="single" w:sz="4" w:space="0" w:color="auto"/>
              <w:right w:val="single" w:sz="8" w:space="0" w:color="auto"/>
            </w:tcBorders>
            <w:shd w:val="clear" w:color="auto" w:fill="auto"/>
            <w:noWrap/>
            <w:vAlign w:val="center"/>
            <w:hideMark/>
          </w:tcPr>
          <w:p w14:paraId="0CB5B65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4.15</w:t>
            </w:r>
          </w:p>
        </w:tc>
        <w:tc>
          <w:tcPr>
            <w:tcW w:w="610" w:type="dxa"/>
            <w:tcBorders>
              <w:top w:val="nil"/>
              <w:left w:val="nil"/>
              <w:bottom w:val="single" w:sz="4" w:space="0" w:color="auto"/>
              <w:right w:val="single" w:sz="4" w:space="0" w:color="auto"/>
            </w:tcBorders>
            <w:shd w:val="clear" w:color="auto" w:fill="auto"/>
            <w:noWrap/>
            <w:vAlign w:val="center"/>
            <w:hideMark/>
          </w:tcPr>
          <w:p w14:paraId="32203FA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3.60</w:t>
            </w:r>
          </w:p>
        </w:tc>
        <w:tc>
          <w:tcPr>
            <w:tcW w:w="610" w:type="dxa"/>
            <w:tcBorders>
              <w:top w:val="nil"/>
              <w:left w:val="nil"/>
              <w:bottom w:val="single" w:sz="4" w:space="0" w:color="auto"/>
              <w:right w:val="single" w:sz="8" w:space="0" w:color="auto"/>
            </w:tcBorders>
            <w:shd w:val="clear" w:color="auto" w:fill="auto"/>
            <w:noWrap/>
            <w:vAlign w:val="center"/>
            <w:hideMark/>
          </w:tcPr>
          <w:p w14:paraId="1A37D28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4.25</w:t>
            </w:r>
          </w:p>
        </w:tc>
        <w:tc>
          <w:tcPr>
            <w:tcW w:w="610" w:type="dxa"/>
            <w:tcBorders>
              <w:top w:val="nil"/>
              <w:left w:val="nil"/>
              <w:bottom w:val="single" w:sz="4" w:space="0" w:color="auto"/>
              <w:right w:val="single" w:sz="4" w:space="0" w:color="auto"/>
            </w:tcBorders>
            <w:shd w:val="clear" w:color="auto" w:fill="auto"/>
            <w:noWrap/>
            <w:vAlign w:val="center"/>
            <w:hideMark/>
          </w:tcPr>
          <w:p w14:paraId="6A94302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3.10</w:t>
            </w:r>
          </w:p>
        </w:tc>
        <w:tc>
          <w:tcPr>
            <w:tcW w:w="610" w:type="dxa"/>
            <w:tcBorders>
              <w:top w:val="nil"/>
              <w:left w:val="nil"/>
              <w:bottom w:val="single" w:sz="4" w:space="0" w:color="auto"/>
              <w:right w:val="single" w:sz="8" w:space="0" w:color="auto"/>
            </w:tcBorders>
            <w:shd w:val="clear" w:color="auto" w:fill="auto"/>
            <w:noWrap/>
            <w:vAlign w:val="center"/>
            <w:hideMark/>
          </w:tcPr>
          <w:p w14:paraId="5207267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3.63</w:t>
            </w:r>
          </w:p>
        </w:tc>
        <w:tc>
          <w:tcPr>
            <w:tcW w:w="610" w:type="dxa"/>
            <w:tcBorders>
              <w:top w:val="nil"/>
              <w:left w:val="nil"/>
              <w:bottom w:val="single" w:sz="4" w:space="0" w:color="auto"/>
              <w:right w:val="single" w:sz="4" w:space="0" w:color="auto"/>
            </w:tcBorders>
            <w:shd w:val="clear" w:color="auto" w:fill="auto"/>
            <w:noWrap/>
            <w:vAlign w:val="center"/>
            <w:hideMark/>
          </w:tcPr>
          <w:p w14:paraId="775BCA8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4.18</w:t>
            </w:r>
          </w:p>
        </w:tc>
        <w:tc>
          <w:tcPr>
            <w:tcW w:w="610" w:type="dxa"/>
            <w:tcBorders>
              <w:top w:val="nil"/>
              <w:left w:val="nil"/>
              <w:bottom w:val="single" w:sz="4" w:space="0" w:color="auto"/>
              <w:right w:val="single" w:sz="8" w:space="0" w:color="auto"/>
            </w:tcBorders>
            <w:shd w:val="clear" w:color="auto" w:fill="auto"/>
            <w:noWrap/>
            <w:vAlign w:val="center"/>
            <w:hideMark/>
          </w:tcPr>
          <w:p w14:paraId="1776277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5.28</w:t>
            </w:r>
          </w:p>
        </w:tc>
        <w:tc>
          <w:tcPr>
            <w:tcW w:w="610" w:type="dxa"/>
            <w:tcBorders>
              <w:top w:val="nil"/>
              <w:left w:val="nil"/>
              <w:bottom w:val="single" w:sz="4" w:space="0" w:color="auto"/>
              <w:right w:val="single" w:sz="4" w:space="0" w:color="auto"/>
            </w:tcBorders>
            <w:shd w:val="clear" w:color="auto" w:fill="auto"/>
            <w:noWrap/>
            <w:vAlign w:val="center"/>
            <w:hideMark/>
          </w:tcPr>
          <w:p w14:paraId="2AD5BCF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4.20</w:t>
            </w:r>
          </w:p>
        </w:tc>
        <w:tc>
          <w:tcPr>
            <w:tcW w:w="610" w:type="dxa"/>
            <w:tcBorders>
              <w:top w:val="nil"/>
              <w:left w:val="nil"/>
              <w:bottom w:val="single" w:sz="4" w:space="0" w:color="auto"/>
              <w:right w:val="single" w:sz="8" w:space="0" w:color="auto"/>
            </w:tcBorders>
            <w:shd w:val="clear" w:color="auto" w:fill="auto"/>
            <w:noWrap/>
            <w:vAlign w:val="center"/>
            <w:hideMark/>
          </w:tcPr>
          <w:p w14:paraId="64BEAE9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4.43</w:t>
            </w:r>
          </w:p>
        </w:tc>
        <w:tc>
          <w:tcPr>
            <w:tcW w:w="610" w:type="dxa"/>
            <w:tcBorders>
              <w:top w:val="nil"/>
              <w:left w:val="nil"/>
              <w:bottom w:val="single" w:sz="4" w:space="0" w:color="auto"/>
              <w:right w:val="single" w:sz="4" w:space="0" w:color="auto"/>
            </w:tcBorders>
            <w:shd w:val="clear" w:color="auto" w:fill="auto"/>
            <w:noWrap/>
            <w:vAlign w:val="center"/>
            <w:hideMark/>
          </w:tcPr>
          <w:p w14:paraId="023D8BF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4.33</w:t>
            </w:r>
          </w:p>
        </w:tc>
        <w:tc>
          <w:tcPr>
            <w:tcW w:w="610" w:type="dxa"/>
            <w:tcBorders>
              <w:top w:val="nil"/>
              <w:left w:val="nil"/>
              <w:bottom w:val="single" w:sz="4" w:space="0" w:color="auto"/>
              <w:right w:val="single" w:sz="8" w:space="0" w:color="auto"/>
            </w:tcBorders>
            <w:shd w:val="clear" w:color="auto" w:fill="auto"/>
            <w:noWrap/>
            <w:vAlign w:val="center"/>
            <w:hideMark/>
          </w:tcPr>
          <w:p w14:paraId="0E2E33E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4.64</w:t>
            </w:r>
          </w:p>
        </w:tc>
        <w:tc>
          <w:tcPr>
            <w:tcW w:w="610" w:type="dxa"/>
            <w:tcBorders>
              <w:top w:val="nil"/>
              <w:left w:val="nil"/>
              <w:bottom w:val="single" w:sz="4" w:space="0" w:color="auto"/>
              <w:right w:val="single" w:sz="4" w:space="0" w:color="auto"/>
            </w:tcBorders>
            <w:shd w:val="clear" w:color="auto" w:fill="auto"/>
            <w:noWrap/>
            <w:vAlign w:val="center"/>
            <w:hideMark/>
          </w:tcPr>
          <w:p w14:paraId="1D8AFEB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4.08</w:t>
            </w:r>
          </w:p>
        </w:tc>
        <w:tc>
          <w:tcPr>
            <w:tcW w:w="610" w:type="dxa"/>
            <w:tcBorders>
              <w:top w:val="nil"/>
              <w:left w:val="nil"/>
              <w:bottom w:val="single" w:sz="4" w:space="0" w:color="auto"/>
              <w:right w:val="single" w:sz="8" w:space="0" w:color="auto"/>
            </w:tcBorders>
            <w:shd w:val="clear" w:color="auto" w:fill="auto"/>
            <w:noWrap/>
            <w:vAlign w:val="center"/>
            <w:hideMark/>
          </w:tcPr>
          <w:p w14:paraId="785A875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4.27</w:t>
            </w:r>
          </w:p>
        </w:tc>
        <w:tc>
          <w:tcPr>
            <w:tcW w:w="610" w:type="dxa"/>
            <w:tcBorders>
              <w:top w:val="nil"/>
              <w:left w:val="nil"/>
              <w:bottom w:val="single" w:sz="4" w:space="0" w:color="auto"/>
              <w:right w:val="single" w:sz="4" w:space="0" w:color="auto"/>
            </w:tcBorders>
            <w:shd w:val="clear" w:color="auto" w:fill="auto"/>
            <w:noWrap/>
            <w:vAlign w:val="center"/>
            <w:hideMark/>
          </w:tcPr>
          <w:p w14:paraId="44083FF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5.18</w:t>
            </w:r>
          </w:p>
        </w:tc>
        <w:tc>
          <w:tcPr>
            <w:tcW w:w="610" w:type="dxa"/>
            <w:tcBorders>
              <w:top w:val="nil"/>
              <w:left w:val="nil"/>
              <w:bottom w:val="single" w:sz="4" w:space="0" w:color="auto"/>
              <w:right w:val="single" w:sz="8" w:space="0" w:color="auto"/>
            </w:tcBorders>
            <w:shd w:val="clear" w:color="auto" w:fill="auto"/>
            <w:noWrap/>
            <w:vAlign w:val="center"/>
            <w:hideMark/>
          </w:tcPr>
          <w:p w14:paraId="0B8BF67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5.30</w:t>
            </w:r>
          </w:p>
        </w:tc>
        <w:tc>
          <w:tcPr>
            <w:tcW w:w="610" w:type="dxa"/>
            <w:tcBorders>
              <w:top w:val="nil"/>
              <w:left w:val="nil"/>
              <w:bottom w:val="single" w:sz="4" w:space="0" w:color="auto"/>
              <w:right w:val="single" w:sz="4" w:space="0" w:color="auto"/>
            </w:tcBorders>
            <w:shd w:val="clear" w:color="auto" w:fill="auto"/>
            <w:noWrap/>
            <w:vAlign w:val="center"/>
            <w:hideMark/>
          </w:tcPr>
          <w:p w14:paraId="137B5BD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4.48</w:t>
            </w:r>
          </w:p>
        </w:tc>
        <w:tc>
          <w:tcPr>
            <w:tcW w:w="610" w:type="dxa"/>
            <w:tcBorders>
              <w:top w:val="nil"/>
              <w:left w:val="nil"/>
              <w:bottom w:val="single" w:sz="4" w:space="0" w:color="auto"/>
              <w:right w:val="single" w:sz="8" w:space="0" w:color="auto"/>
            </w:tcBorders>
            <w:shd w:val="clear" w:color="auto" w:fill="auto"/>
            <w:noWrap/>
            <w:vAlign w:val="center"/>
            <w:hideMark/>
          </w:tcPr>
          <w:p w14:paraId="7E7E554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5.63</w:t>
            </w:r>
          </w:p>
        </w:tc>
        <w:tc>
          <w:tcPr>
            <w:tcW w:w="610" w:type="dxa"/>
            <w:tcBorders>
              <w:top w:val="nil"/>
              <w:left w:val="nil"/>
              <w:bottom w:val="single" w:sz="4" w:space="0" w:color="auto"/>
              <w:right w:val="single" w:sz="4" w:space="0" w:color="auto"/>
            </w:tcBorders>
            <w:shd w:val="clear" w:color="auto" w:fill="auto"/>
            <w:noWrap/>
            <w:vAlign w:val="center"/>
            <w:hideMark/>
          </w:tcPr>
          <w:p w14:paraId="4F9AD51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4.59</w:t>
            </w:r>
          </w:p>
        </w:tc>
        <w:tc>
          <w:tcPr>
            <w:tcW w:w="610" w:type="dxa"/>
            <w:tcBorders>
              <w:top w:val="nil"/>
              <w:left w:val="nil"/>
              <w:bottom w:val="single" w:sz="4" w:space="0" w:color="auto"/>
              <w:right w:val="single" w:sz="8" w:space="0" w:color="auto"/>
            </w:tcBorders>
            <w:shd w:val="clear" w:color="auto" w:fill="auto"/>
            <w:noWrap/>
            <w:vAlign w:val="center"/>
            <w:hideMark/>
          </w:tcPr>
          <w:p w14:paraId="01EDD21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5.13</w:t>
            </w:r>
          </w:p>
        </w:tc>
      </w:tr>
      <w:tr w:rsidR="008564E2" w:rsidRPr="00234D18" w14:paraId="259493D2"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14:paraId="73F0F556" w14:textId="77777777" w:rsidR="008564E2"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14:paraId="7E00E856" w14:textId="77777777" w:rsidR="008564E2" w:rsidRPr="00D67B25" w:rsidRDefault="008564E2" w:rsidP="00C2037F">
            <w:pPr>
              <w:jc w:val="center"/>
              <w:rPr>
                <w:sz w:val="18"/>
                <w:szCs w:val="18"/>
              </w:rPr>
            </w:pPr>
            <w:r w:rsidRPr="00D67B25">
              <w:rPr>
                <w:rFonts w:ascii="Times New Roman" w:eastAsia="Times New Roman" w:hAnsi="Times New Roman" w:cs="Times New Roman"/>
                <w:b/>
                <w:bCs/>
                <w:color w:val="000000"/>
                <w:sz w:val="18"/>
                <w:szCs w:val="18"/>
                <w:lang w:eastAsia="en-IN"/>
              </w:rPr>
              <w:t>28DAF</w:t>
            </w:r>
          </w:p>
        </w:tc>
        <w:tc>
          <w:tcPr>
            <w:tcW w:w="609" w:type="dxa"/>
            <w:tcBorders>
              <w:top w:val="nil"/>
              <w:left w:val="nil"/>
              <w:bottom w:val="single" w:sz="4" w:space="0" w:color="auto"/>
              <w:right w:val="single" w:sz="4" w:space="0" w:color="auto"/>
            </w:tcBorders>
            <w:shd w:val="clear" w:color="auto" w:fill="auto"/>
            <w:noWrap/>
            <w:vAlign w:val="center"/>
            <w:hideMark/>
          </w:tcPr>
          <w:p w14:paraId="03DE347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5.85</w:t>
            </w:r>
          </w:p>
        </w:tc>
        <w:tc>
          <w:tcPr>
            <w:tcW w:w="609" w:type="dxa"/>
            <w:tcBorders>
              <w:top w:val="nil"/>
              <w:left w:val="nil"/>
              <w:bottom w:val="single" w:sz="4" w:space="0" w:color="auto"/>
              <w:right w:val="single" w:sz="8" w:space="0" w:color="auto"/>
            </w:tcBorders>
            <w:shd w:val="clear" w:color="auto" w:fill="auto"/>
            <w:noWrap/>
            <w:vAlign w:val="center"/>
            <w:hideMark/>
          </w:tcPr>
          <w:p w14:paraId="7E8E76A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6.57</w:t>
            </w:r>
          </w:p>
        </w:tc>
        <w:tc>
          <w:tcPr>
            <w:tcW w:w="610" w:type="dxa"/>
            <w:tcBorders>
              <w:top w:val="nil"/>
              <w:left w:val="nil"/>
              <w:bottom w:val="single" w:sz="4" w:space="0" w:color="auto"/>
              <w:right w:val="single" w:sz="4" w:space="0" w:color="auto"/>
            </w:tcBorders>
            <w:shd w:val="clear" w:color="auto" w:fill="auto"/>
            <w:noWrap/>
            <w:vAlign w:val="center"/>
            <w:hideMark/>
          </w:tcPr>
          <w:p w14:paraId="3A6A562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3.36</w:t>
            </w:r>
          </w:p>
        </w:tc>
        <w:tc>
          <w:tcPr>
            <w:tcW w:w="610" w:type="dxa"/>
            <w:tcBorders>
              <w:top w:val="nil"/>
              <w:left w:val="nil"/>
              <w:bottom w:val="single" w:sz="4" w:space="0" w:color="auto"/>
              <w:right w:val="single" w:sz="8" w:space="0" w:color="auto"/>
            </w:tcBorders>
            <w:shd w:val="clear" w:color="auto" w:fill="auto"/>
            <w:noWrap/>
            <w:vAlign w:val="center"/>
            <w:hideMark/>
          </w:tcPr>
          <w:p w14:paraId="1C77273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4.70</w:t>
            </w:r>
          </w:p>
        </w:tc>
        <w:tc>
          <w:tcPr>
            <w:tcW w:w="610" w:type="dxa"/>
            <w:tcBorders>
              <w:top w:val="nil"/>
              <w:left w:val="nil"/>
              <w:bottom w:val="single" w:sz="4" w:space="0" w:color="auto"/>
              <w:right w:val="single" w:sz="4" w:space="0" w:color="auto"/>
            </w:tcBorders>
            <w:shd w:val="clear" w:color="auto" w:fill="auto"/>
            <w:noWrap/>
            <w:vAlign w:val="center"/>
            <w:hideMark/>
          </w:tcPr>
          <w:p w14:paraId="2227A8F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4.00</w:t>
            </w:r>
          </w:p>
        </w:tc>
        <w:tc>
          <w:tcPr>
            <w:tcW w:w="610" w:type="dxa"/>
            <w:tcBorders>
              <w:top w:val="nil"/>
              <w:left w:val="nil"/>
              <w:bottom w:val="single" w:sz="4" w:space="0" w:color="auto"/>
              <w:right w:val="single" w:sz="8" w:space="0" w:color="auto"/>
            </w:tcBorders>
            <w:shd w:val="clear" w:color="auto" w:fill="auto"/>
            <w:noWrap/>
            <w:vAlign w:val="center"/>
            <w:hideMark/>
          </w:tcPr>
          <w:p w14:paraId="668AED7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4.60</w:t>
            </w:r>
          </w:p>
        </w:tc>
        <w:tc>
          <w:tcPr>
            <w:tcW w:w="610" w:type="dxa"/>
            <w:tcBorders>
              <w:top w:val="nil"/>
              <w:left w:val="nil"/>
              <w:bottom w:val="single" w:sz="4" w:space="0" w:color="auto"/>
              <w:right w:val="single" w:sz="4" w:space="0" w:color="auto"/>
            </w:tcBorders>
            <w:shd w:val="clear" w:color="auto" w:fill="auto"/>
            <w:noWrap/>
            <w:vAlign w:val="center"/>
            <w:hideMark/>
          </w:tcPr>
          <w:p w14:paraId="7AC4DC3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3.48</w:t>
            </w:r>
          </w:p>
        </w:tc>
        <w:tc>
          <w:tcPr>
            <w:tcW w:w="610" w:type="dxa"/>
            <w:tcBorders>
              <w:top w:val="nil"/>
              <w:left w:val="nil"/>
              <w:bottom w:val="single" w:sz="4" w:space="0" w:color="auto"/>
              <w:right w:val="single" w:sz="8" w:space="0" w:color="auto"/>
            </w:tcBorders>
            <w:shd w:val="clear" w:color="auto" w:fill="auto"/>
            <w:noWrap/>
            <w:vAlign w:val="center"/>
            <w:hideMark/>
          </w:tcPr>
          <w:p w14:paraId="6D41696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3.98</w:t>
            </w:r>
          </w:p>
        </w:tc>
        <w:tc>
          <w:tcPr>
            <w:tcW w:w="610" w:type="dxa"/>
            <w:tcBorders>
              <w:top w:val="nil"/>
              <w:left w:val="nil"/>
              <w:bottom w:val="single" w:sz="4" w:space="0" w:color="auto"/>
              <w:right w:val="single" w:sz="4" w:space="0" w:color="auto"/>
            </w:tcBorders>
            <w:shd w:val="clear" w:color="auto" w:fill="auto"/>
            <w:noWrap/>
            <w:vAlign w:val="center"/>
            <w:hideMark/>
          </w:tcPr>
          <w:p w14:paraId="017631A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4.58</w:t>
            </w:r>
          </w:p>
        </w:tc>
        <w:tc>
          <w:tcPr>
            <w:tcW w:w="610" w:type="dxa"/>
            <w:tcBorders>
              <w:top w:val="nil"/>
              <w:left w:val="nil"/>
              <w:bottom w:val="single" w:sz="4" w:space="0" w:color="auto"/>
              <w:right w:val="single" w:sz="8" w:space="0" w:color="auto"/>
            </w:tcBorders>
            <w:shd w:val="clear" w:color="auto" w:fill="auto"/>
            <w:noWrap/>
            <w:vAlign w:val="center"/>
            <w:hideMark/>
          </w:tcPr>
          <w:p w14:paraId="2E5C5A7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5.64</w:t>
            </w:r>
          </w:p>
        </w:tc>
        <w:tc>
          <w:tcPr>
            <w:tcW w:w="610" w:type="dxa"/>
            <w:tcBorders>
              <w:top w:val="nil"/>
              <w:left w:val="nil"/>
              <w:bottom w:val="single" w:sz="4" w:space="0" w:color="auto"/>
              <w:right w:val="single" w:sz="4" w:space="0" w:color="auto"/>
            </w:tcBorders>
            <w:shd w:val="clear" w:color="auto" w:fill="auto"/>
            <w:noWrap/>
            <w:vAlign w:val="center"/>
            <w:hideMark/>
          </w:tcPr>
          <w:p w14:paraId="28067B6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4.35</w:t>
            </w:r>
          </w:p>
        </w:tc>
        <w:tc>
          <w:tcPr>
            <w:tcW w:w="610" w:type="dxa"/>
            <w:tcBorders>
              <w:top w:val="nil"/>
              <w:left w:val="nil"/>
              <w:bottom w:val="single" w:sz="4" w:space="0" w:color="auto"/>
              <w:right w:val="single" w:sz="8" w:space="0" w:color="auto"/>
            </w:tcBorders>
            <w:shd w:val="clear" w:color="auto" w:fill="auto"/>
            <w:noWrap/>
            <w:vAlign w:val="center"/>
            <w:hideMark/>
          </w:tcPr>
          <w:p w14:paraId="1BB9791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4.48</w:t>
            </w:r>
          </w:p>
        </w:tc>
        <w:tc>
          <w:tcPr>
            <w:tcW w:w="610" w:type="dxa"/>
            <w:tcBorders>
              <w:top w:val="nil"/>
              <w:left w:val="nil"/>
              <w:bottom w:val="single" w:sz="4" w:space="0" w:color="auto"/>
              <w:right w:val="single" w:sz="4" w:space="0" w:color="auto"/>
            </w:tcBorders>
            <w:shd w:val="clear" w:color="auto" w:fill="auto"/>
            <w:noWrap/>
            <w:vAlign w:val="center"/>
            <w:hideMark/>
          </w:tcPr>
          <w:p w14:paraId="35677F4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4.45</w:t>
            </w:r>
          </w:p>
        </w:tc>
        <w:tc>
          <w:tcPr>
            <w:tcW w:w="610" w:type="dxa"/>
            <w:tcBorders>
              <w:top w:val="nil"/>
              <w:left w:val="nil"/>
              <w:bottom w:val="single" w:sz="4" w:space="0" w:color="auto"/>
              <w:right w:val="single" w:sz="8" w:space="0" w:color="auto"/>
            </w:tcBorders>
            <w:shd w:val="clear" w:color="auto" w:fill="auto"/>
            <w:noWrap/>
            <w:vAlign w:val="center"/>
            <w:hideMark/>
          </w:tcPr>
          <w:p w14:paraId="5E8A71B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4.73</w:t>
            </w:r>
          </w:p>
        </w:tc>
        <w:tc>
          <w:tcPr>
            <w:tcW w:w="610" w:type="dxa"/>
            <w:tcBorders>
              <w:top w:val="nil"/>
              <w:left w:val="nil"/>
              <w:bottom w:val="single" w:sz="4" w:space="0" w:color="auto"/>
              <w:right w:val="single" w:sz="4" w:space="0" w:color="auto"/>
            </w:tcBorders>
            <w:shd w:val="clear" w:color="auto" w:fill="auto"/>
            <w:noWrap/>
            <w:vAlign w:val="center"/>
            <w:hideMark/>
          </w:tcPr>
          <w:p w14:paraId="0038599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4.65</w:t>
            </w:r>
          </w:p>
        </w:tc>
        <w:tc>
          <w:tcPr>
            <w:tcW w:w="610" w:type="dxa"/>
            <w:tcBorders>
              <w:top w:val="nil"/>
              <w:left w:val="nil"/>
              <w:bottom w:val="single" w:sz="4" w:space="0" w:color="auto"/>
              <w:right w:val="single" w:sz="8" w:space="0" w:color="auto"/>
            </w:tcBorders>
            <w:shd w:val="clear" w:color="auto" w:fill="auto"/>
            <w:noWrap/>
            <w:vAlign w:val="center"/>
            <w:hideMark/>
          </w:tcPr>
          <w:p w14:paraId="0CD1918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5.13</w:t>
            </w:r>
          </w:p>
        </w:tc>
        <w:tc>
          <w:tcPr>
            <w:tcW w:w="610" w:type="dxa"/>
            <w:tcBorders>
              <w:top w:val="nil"/>
              <w:left w:val="nil"/>
              <w:bottom w:val="single" w:sz="4" w:space="0" w:color="auto"/>
              <w:right w:val="single" w:sz="4" w:space="0" w:color="auto"/>
            </w:tcBorders>
            <w:shd w:val="clear" w:color="auto" w:fill="auto"/>
            <w:noWrap/>
            <w:vAlign w:val="center"/>
            <w:hideMark/>
          </w:tcPr>
          <w:p w14:paraId="5EC7DCA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5.28</w:t>
            </w:r>
          </w:p>
        </w:tc>
        <w:tc>
          <w:tcPr>
            <w:tcW w:w="610" w:type="dxa"/>
            <w:tcBorders>
              <w:top w:val="nil"/>
              <w:left w:val="nil"/>
              <w:bottom w:val="single" w:sz="4" w:space="0" w:color="auto"/>
              <w:right w:val="single" w:sz="8" w:space="0" w:color="auto"/>
            </w:tcBorders>
            <w:shd w:val="clear" w:color="auto" w:fill="auto"/>
            <w:noWrap/>
            <w:vAlign w:val="center"/>
            <w:hideMark/>
          </w:tcPr>
          <w:p w14:paraId="3469C6C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5.55</w:t>
            </w:r>
          </w:p>
        </w:tc>
        <w:tc>
          <w:tcPr>
            <w:tcW w:w="610" w:type="dxa"/>
            <w:tcBorders>
              <w:top w:val="nil"/>
              <w:left w:val="nil"/>
              <w:bottom w:val="single" w:sz="4" w:space="0" w:color="auto"/>
              <w:right w:val="single" w:sz="4" w:space="0" w:color="auto"/>
            </w:tcBorders>
            <w:shd w:val="clear" w:color="auto" w:fill="auto"/>
            <w:noWrap/>
            <w:vAlign w:val="center"/>
            <w:hideMark/>
          </w:tcPr>
          <w:p w14:paraId="58FADCF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5.10</w:t>
            </w:r>
          </w:p>
        </w:tc>
        <w:tc>
          <w:tcPr>
            <w:tcW w:w="610" w:type="dxa"/>
            <w:tcBorders>
              <w:top w:val="nil"/>
              <w:left w:val="nil"/>
              <w:bottom w:val="single" w:sz="4" w:space="0" w:color="auto"/>
              <w:right w:val="single" w:sz="8" w:space="0" w:color="auto"/>
            </w:tcBorders>
            <w:shd w:val="clear" w:color="auto" w:fill="auto"/>
            <w:noWrap/>
            <w:vAlign w:val="center"/>
            <w:hideMark/>
          </w:tcPr>
          <w:p w14:paraId="2AFAC29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5.68</w:t>
            </w:r>
          </w:p>
        </w:tc>
        <w:tc>
          <w:tcPr>
            <w:tcW w:w="610" w:type="dxa"/>
            <w:tcBorders>
              <w:top w:val="nil"/>
              <w:left w:val="nil"/>
              <w:bottom w:val="single" w:sz="4" w:space="0" w:color="auto"/>
              <w:right w:val="single" w:sz="4" w:space="0" w:color="auto"/>
            </w:tcBorders>
            <w:shd w:val="clear" w:color="auto" w:fill="auto"/>
            <w:noWrap/>
            <w:vAlign w:val="center"/>
            <w:hideMark/>
          </w:tcPr>
          <w:p w14:paraId="71073DA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4.64</w:t>
            </w:r>
          </w:p>
        </w:tc>
        <w:tc>
          <w:tcPr>
            <w:tcW w:w="610" w:type="dxa"/>
            <w:tcBorders>
              <w:top w:val="nil"/>
              <w:left w:val="nil"/>
              <w:bottom w:val="single" w:sz="4" w:space="0" w:color="auto"/>
              <w:right w:val="single" w:sz="8" w:space="0" w:color="auto"/>
            </w:tcBorders>
            <w:shd w:val="clear" w:color="auto" w:fill="auto"/>
            <w:noWrap/>
            <w:vAlign w:val="center"/>
            <w:hideMark/>
          </w:tcPr>
          <w:p w14:paraId="3DD4BE4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5.28</w:t>
            </w:r>
          </w:p>
        </w:tc>
      </w:tr>
      <w:tr w:rsidR="008564E2" w:rsidRPr="00234D18" w14:paraId="26263C50"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14:paraId="4FF79397" w14:textId="77777777" w:rsidR="008564E2"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14:paraId="67E5D973" w14:textId="77777777" w:rsidR="008564E2" w:rsidRPr="00D67B25" w:rsidRDefault="008564E2" w:rsidP="00C2037F">
            <w:pPr>
              <w:jc w:val="center"/>
              <w:rPr>
                <w:sz w:val="18"/>
                <w:szCs w:val="18"/>
              </w:rPr>
            </w:pPr>
            <w:r w:rsidRPr="00D67B25">
              <w:rPr>
                <w:rFonts w:ascii="Times New Roman" w:eastAsia="Times New Roman" w:hAnsi="Times New Roman" w:cs="Times New Roman"/>
                <w:b/>
                <w:bCs/>
                <w:color w:val="000000"/>
                <w:sz w:val="18"/>
                <w:szCs w:val="18"/>
                <w:lang w:eastAsia="en-IN"/>
              </w:rPr>
              <w:t>35DAF</w:t>
            </w:r>
          </w:p>
        </w:tc>
        <w:tc>
          <w:tcPr>
            <w:tcW w:w="609" w:type="dxa"/>
            <w:tcBorders>
              <w:top w:val="nil"/>
              <w:left w:val="nil"/>
              <w:bottom w:val="single" w:sz="4" w:space="0" w:color="auto"/>
              <w:right w:val="single" w:sz="4" w:space="0" w:color="auto"/>
            </w:tcBorders>
            <w:shd w:val="clear" w:color="auto" w:fill="auto"/>
            <w:noWrap/>
            <w:vAlign w:val="center"/>
            <w:hideMark/>
          </w:tcPr>
          <w:p w14:paraId="77D4098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6.21</w:t>
            </w:r>
          </w:p>
        </w:tc>
        <w:tc>
          <w:tcPr>
            <w:tcW w:w="609" w:type="dxa"/>
            <w:tcBorders>
              <w:top w:val="nil"/>
              <w:left w:val="nil"/>
              <w:bottom w:val="single" w:sz="4" w:space="0" w:color="auto"/>
              <w:right w:val="single" w:sz="8" w:space="0" w:color="auto"/>
            </w:tcBorders>
            <w:shd w:val="clear" w:color="auto" w:fill="auto"/>
            <w:noWrap/>
            <w:vAlign w:val="center"/>
            <w:hideMark/>
          </w:tcPr>
          <w:p w14:paraId="1C7FABA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6.91</w:t>
            </w:r>
          </w:p>
        </w:tc>
        <w:tc>
          <w:tcPr>
            <w:tcW w:w="610" w:type="dxa"/>
            <w:tcBorders>
              <w:top w:val="nil"/>
              <w:left w:val="nil"/>
              <w:bottom w:val="single" w:sz="4" w:space="0" w:color="auto"/>
              <w:right w:val="single" w:sz="4" w:space="0" w:color="auto"/>
            </w:tcBorders>
            <w:shd w:val="clear" w:color="auto" w:fill="auto"/>
            <w:noWrap/>
            <w:vAlign w:val="center"/>
            <w:hideMark/>
          </w:tcPr>
          <w:p w14:paraId="68E93DD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3.68</w:t>
            </w:r>
          </w:p>
        </w:tc>
        <w:tc>
          <w:tcPr>
            <w:tcW w:w="610" w:type="dxa"/>
            <w:tcBorders>
              <w:top w:val="nil"/>
              <w:left w:val="nil"/>
              <w:bottom w:val="single" w:sz="4" w:space="0" w:color="auto"/>
              <w:right w:val="single" w:sz="8" w:space="0" w:color="auto"/>
            </w:tcBorders>
            <w:shd w:val="clear" w:color="auto" w:fill="auto"/>
            <w:noWrap/>
            <w:vAlign w:val="center"/>
            <w:hideMark/>
          </w:tcPr>
          <w:p w14:paraId="56F6844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5.24</w:t>
            </w:r>
          </w:p>
        </w:tc>
        <w:tc>
          <w:tcPr>
            <w:tcW w:w="610" w:type="dxa"/>
            <w:tcBorders>
              <w:top w:val="nil"/>
              <w:left w:val="nil"/>
              <w:bottom w:val="single" w:sz="4" w:space="0" w:color="auto"/>
              <w:right w:val="single" w:sz="4" w:space="0" w:color="auto"/>
            </w:tcBorders>
            <w:shd w:val="clear" w:color="auto" w:fill="auto"/>
            <w:noWrap/>
            <w:vAlign w:val="center"/>
            <w:hideMark/>
          </w:tcPr>
          <w:p w14:paraId="4A3E48F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4.10</w:t>
            </w:r>
          </w:p>
        </w:tc>
        <w:tc>
          <w:tcPr>
            <w:tcW w:w="610" w:type="dxa"/>
            <w:tcBorders>
              <w:top w:val="nil"/>
              <w:left w:val="nil"/>
              <w:bottom w:val="single" w:sz="4" w:space="0" w:color="auto"/>
              <w:right w:val="single" w:sz="8" w:space="0" w:color="auto"/>
            </w:tcBorders>
            <w:shd w:val="clear" w:color="auto" w:fill="auto"/>
            <w:noWrap/>
            <w:vAlign w:val="center"/>
            <w:hideMark/>
          </w:tcPr>
          <w:p w14:paraId="528271D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5.63</w:t>
            </w:r>
          </w:p>
        </w:tc>
        <w:tc>
          <w:tcPr>
            <w:tcW w:w="610" w:type="dxa"/>
            <w:tcBorders>
              <w:top w:val="nil"/>
              <w:left w:val="nil"/>
              <w:bottom w:val="single" w:sz="4" w:space="0" w:color="auto"/>
              <w:right w:val="single" w:sz="4" w:space="0" w:color="auto"/>
            </w:tcBorders>
            <w:shd w:val="clear" w:color="auto" w:fill="auto"/>
            <w:noWrap/>
            <w:vAlign w:val="center"/>
            <w:hideMark/>
          </w:tcPr>
          <w:p w14:paraId="715628D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3.70</w:t>
            </w:r>
          </w:p>
        </w:tc>
        <w:tc>
          <w:tcPr>
            <w:tcW w:w="610" w:type="dxa"/>
            <w:tcBorders>
              <w:top w:val="nil"/>
              <w:left w:val="nil"/>
              <w:bottom w:val="single" w:sz="4" w:space="0" w:color="auto"/>
              <w:right w:val="single" w:sz="8" w:space="0" w:color="auto"/>
            </w:tcBorders>
            <w:shd w:val="clear" w:color="auto" w:fill="auto"/>
            <w:noWrap/>
            <w:vAlign w:val="center"/>
            <w:hideMark/>
          </w:tcPr>
          <w:p w14:paraId="11696A8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4.08</w:t>
            </w:r>
          </w:p>
        </w:tc>
        <w:tc>
          <w:tcPr>
            <w:tcW w:w="610" w:type="dxa"/>
            <w:tcBorders>
              <w:top w:val="nil"/>
              <w:left w:val="nil"/>
              <w:bottom w:val="single" w:sz="4" w:space="0" w:color="auto"/>
              <w:right w:val="single" w:sz="4" w:space="0" w:color="auto"/>
            </w:tcBorders>
            <w:shd w:val="clear" w:color="auto" w:fill="auto"/>
            <w:noWrap/>
            <w:vAlign w:val="center"/>
            <w:hideMark/>
          </w:tcPr>
          <w:p w14:paraId="14281C9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4.78</w:t>
            </w:r>
          </w:p>
        </w:tc>
        <w:tc>
          <w:tcPr>
            <w:tcW w:w="610" w:type="dxa"/>
            <w:tcBorders>
              <w:top w:val="nil"/>
              <w:left w:val="nil"/>
              <w:bottom w:val="single" w:sz="4" w:space="0" w:color="auto"/>
              <w:right w:val="single" w:sz="8" w:space="0" w:color="auto"/>
            </w:tcBorders>
            <w:shd w:val="clear" w:color="auto" w:fill="auto"/>
            <w:noWrap/>
            <w:vAlign w:val="center"/>
            <w:hideMark/>
          </w:tcPr>
          <w:p w14:paraId="61DE00D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5.85</w:t>
            </w:r>
          </w:p>
        </w:tc>
        <w:tc>
          <w:tcPr>
            <w:tcW w:w="610" w:type="dxa"/>
            <w:tcBorders>
              <w:top w:val="nil"/>
              <w:left w:val="nil"/>
              <w:bottom w:val="single" w:sz="4" w:space="0" w:color="auto"/>
              <w:right w:val="single" w:sz="4" w:space="0" w:color="auto"/>
            </w:tcBorders>
            <w:shd w:val="clear" w:color="auto" w:fill="auto"/>
            <w:noWrap/>
            <w:vAlign w:val="center"/>
            <w:hideMark/>
          </w:tcPr>
          <w:p w14:paraId="1CD2D0C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5.23</w:t>
            </w:r>
          </w:p>
        </w:tc>
        <w:tc>
          <w:tcPr>
            <w:tcW w:w="610" w:type="dxa"/>
            <w:tcBorders>
              <w:top w:val="nil"/>
              <w:left w:val="nil"/>
              <w:bottom w:val="single" w:sz="4" w:space="0" w:color="auto"/>
              <w:right w:val="single" w:sz="8" w:space="0" w:color="auto"/>
            </w:tcBorders>
            <w:shd w:val="clear" w:color="auto" w:fill="auto"/>
            <w:noWrap/>
            <w:vAlign w:val="center"/>
            <w:hideMark/>
          </w:tcPr>
          <w:p w14:paraId="5E9F731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5.43</w:t>
            </w:r>
          </w:p>
        </w:tc>
        <w:tc>
          <w:tcPr>
            <w:tcW w:w="610" w:type="dxa"/>
            <w:tcBorders>
              <w:top w:val="nil"/>
              <w:left w:val="nil"/>
              <w:bottom w:val="single" w:sz="4" w:space="0" w:color="auto"/>
              <w:right w:val="single" w:sz="4" w:space="0" w:color="auto"/>
            </w:tcBorders>
            <w:shd w:val="clear" w:color="auto" w:fill="auto"/>
            <w:noWrap/>
            <w:vAlign w:val="center"/>
            <w:hideMark/>
          </w:tcPr>
          <w:p w14:paraId="260F710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4.73</w:t>
            </w:r>
          </w:p>
        </w:tc>
        <w:tc>
          <w:tcPr>
            <w:tcW w:w="610" w:type="dxa"/>
            <w:tcBorders>
              <w:top w:val="nil"/>
              <w:left w:val="nil"/>
              <w:bottom w:val="single" w:sz="4" w:space="0" w:color="auto"/>
              <w:right w:val="single" w:sz="8" w:space="0" w:color="auto"/>
            </w:tcBorders>
            <w:shd w:val="clear" w:color="auto" w:fill="auto"/>
            <w:noWrap/>
            <w:vAlign w:val="center"/>
            <w:hideMark/>
          </w:tcPr>
          <w:p w14:paraId="396F14E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5.05</w:t>
            </w:r>
          </w:p>
        </w:tc>
        <w:tc>
          <w:tcPr>
            <w:tcW w:w="610" w:type="dxa"/>
            <w:tcBorders>
              <w:top w:val="nil"/>
              <w:left w:val="nil"/>
              <w:bottom w:val="single" w:sz="4" w:space="0" w:color="auto"/>
              <w:right w:val="single" w:sz="4" w:space="0" w:color="auto"/>
            </w:tcBorders>
            <w:shd w:val="clear" w:color="auto" w:fill="auto"/>
            <w:noWrap/>
            <w:vAlign w:val="center"/>
            <w:hideMark/>
          </w:tcPr>
          <w:p w14:paraId="7582683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4.93</w:t>
            </w:r>
          </w:p>
        </w:tc>
        <w:tc>
          <w:tcPr>
            <w:tcW w:w="610" w:type="dxa"/>
            <w:tcBorders>
              <w:top w:val="nil"/>
              <w:left w:val="nil"/>
              <w:bottom w:val="single" w:sz="4" w:space="0" w:color="auto"/>
              <w:right w:val="single" w:sz="8" w:space="0" w:color="auto"/>
            </w:tcBorders>
            <w:shd w:val="clear" w:color="auto" w:fill="auto"/>
            <w:noWrap/>
            <w:vAlign w:val="center"/>
            <w:hideMark/>
          </w:tcPr>
          <w:p w14:paraId="26E5E97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5.78</w:t>
            </w:r>
          </w:p>
        </w:tc>
        <w:tc>
          <w:tcPr>
            <w:tcW w:w="610" w:type="dxa"/>
            <w:tcBorders>
              <w:top w:val="nil"/>
              <w:left w:val="nil"/>
              <w:bottom w:val="single" w:sz="4" w:space="0" w:color="auto"/>
              <w:right w:val="single" w:sz="4" w:space="0" w:color="auto"/>
            </w:tcBorders>
            <w:shd w:val="clear" w:color="auto" w:fill="auto"/>
            <w:noWrap/>
            <w:vAlign w:val="center"/>
            <w:hideMark/>
          </w:tcPr>
          <w:p w14:paraId="5D39628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6.18</w:t>
            </w:r>
          </w:p>
        </w:tc>
        <w:tc>
          <w:tcPr>
            <w:tcW w:w="610" w:type="dxa"/>
            <w:tcBorders>
              <w:top w:val="nil"/>
              <w:left w:val="nil"/>
              <w:bottom w:val="single" w:sz="4" w:space="0" w:color="auto"/>
              <w:right w:val="single" w:sz="8" w:space="0" w:color="auto"/>
            </w:tcBorders>
            <w:shd w:val="clear" w:color="auto" w:fill="auto"/>
            <w:noWrap/>
            <w:vAlign w:val="center"/>
            <w:hideMark/>
          </w:tcPr>
          <w:p w14:paraId="7D84A92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5.83</w:t>
            </w:r>
          </w:p>
        </w:tc>
        <w:tc>
          <w:tcPr>
            <w:tcW w:w="610" w:type="dxa"/>
            <w:tcBorders>
              <w:top w:val="nil"/>
              <w:left w:val="nil"/>
              <w:bottom w:val="single" w:sz="4" w:space="0" w:color="auto"/>
              <w:right w:val="single" w:sz="4" w:space="0" w:color="auto"/>
            </w:tcBorders>
            <w:shd w:val="clear" w:color="auto" w:fill="auto"/>
            <w:noWrap/>
            <w:vAlign w:val="center"/>
            <w:hideMark/>
          </w:tcPr>
          <w:p w14:paraId="655A498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5.33</w:t>
            </w:r>
          </w:p>
        </w:tc>
        <w:tc>
          <w:tcPr>
            <w:tcW w:w="610" w:type="dxa"/>
            <w:tcBorders>
              <w:top w:val="nil"/>
              <w:left w:val="nil"/>
              <w:bottom w:val="single" w:sz="4" w:space="0" w:color="auto"/>
              <w:right w:val="single" w:sz="8" w:space="0" w:color="auto"/>
            </w:tcBorders>
            <w:shd w:val="clear" w:color="auto" w:fill="auto"/>
            <w:noWrap/>
            <w:vAlign w:val="center"/>
            <w:hideMark/>
          </w:tcPr>
          <w:p w14:paraId="53C2E24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6.43</w:t>
            </w:r>
          </w:p>
        </w:tc>
        <w:tc>
          <w:tcPr>
            <w:tcW w:w="610" w:type="dxa"/>
            <w:tcBorders>
              <w:top w:val="nil"/>
              <w:left w:val="nil"/>
              <w:bottom w:val="single" w:sz="4" w:space="0" w:color="auto"/>
              <w:right w:val="single" w:sz="4" w:space="0" w:color="auto"/>
            </w:tcBorders>
            <w:shd w:val="clear" w:color="auto" w:fill="auto"/>
            <w:noWrap/>
            <w:vAlign w:val="center"/>
            <w:hideMark/>
          </w:tcPr>
          <w:p w14:paraId="7670C19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5.28</w:t>
            </w:r>
          </w:p>
        </w:tc>
        <w:tc>
          <w:tcPr>
            <w:tcW w:w="610" w:type="dxa"/>
            <w:tcBorders>
              <w:top w:val="nil"/>
              <w:left w:val="nil"/>
              <w:bottom w:val="single" w:sz="4" w:space="0" w:color="auto"/>
              <w:right w:val="single" w:sz="8" w:space="0" w:color="auto"/>
            </w:tcBorders>
            <w:shd w:val="clear" w:color="auto" w:fill="auto"/>
            <w:noWrap/>
            <w:vAlign w:val="center"/>
            <w:hideMark/>
          </w:tcPr>
          <w:p w14:paraId="5EC0D13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5.73</w:t>
            </w:r>
          </w:p>
        </w:tc>
      </w:tr>
      <w:tr w:rsidR="008564E2" w:rsidRPr="00234D18" w14:paraId="024E74FF"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14:paraId="23E4980A" w14:textId="77777777" w:rsidR="008564E2"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14:paraId="13A97C58" w14:textId="77777777" w:rsidR="008564E2" w:rsidRPr="00D67B25" w:rsidRDefault="008564E2" w:rsidP="00C2037F">
            <w:pPr>
              <w:jc w:val="center"/>
              <w:rPr>
                <w:sz w:val="18"/>
                <w:szCs w:val="18"/>
              </w:rPr>
            </w:pPr>
            <w:r w:rsidRPr="00D67B25">
              <w:rPr>
                <w:rFonts w:ascii="Times New Roman" w:eastAsia="Times New Roman" w:hAnsi="Times New Roman" w:cs="Times New Roman"/>
                <w:b/>
                <w:bCs/>
                <w:color w:val="000000"/>
                <w:sz w:val="18"/>
                <w:szCs w:val="18"/>
                <w:lang w:eastAsia="en-IN"/>
              </w:rPr>
              <w:t>42DAF</w:t>
            </w:r>
          </w:p>
        </w:tc>
        <w:tc>
          <w:tcPr>
            <w:tcW w:w="609" w:type="dxa"/>
            <w:tcBorders>
              <w:top w:val="nil"/>
              <w:left w:val="nil"/>
              <w:bottom w:val="single" w:sz="4" w:space="0" w:color="auto"/>
              <w:right w:val="single" w:sz="4" w:space="0" w:color="auto"/>
            </w:tcBorders>
            <w:shd w:val="clear" w:color="auto" w:fill="auto"/>
            <w:noWrap/>
            <w:vAlign w:val="center"/>
            <w:hideMark/>
          </w:tcPr>
          <w:p w14:paraId="6814051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6.45</w:t>
            </w:r>
          </w:p>
        </w:tc>
        <w:tc>
          <w:tcPr>
            <w:tcW w:w="609" w:type="dxa"/>
            <w:tcBorders>
              <w:top w:val="nil"/>
              <w:left w:val="nil"/>
              <w:bottom w:val="single" w:sz="4" w:space="0" w:color="auto"/>
              <w:right w:val="single" w:sz="8" w:space="0" w:color="auto"/>
            </w:tcBorders>
            <w:shd w:val="clear" w:color="auto" w:fill="auto"/>
            <w:noWrap/>
            <w:vAlign w:val="center"/>
            <w:hideMark/>
          </w:tcPr>
          <w:p w14:paraId="631474B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7.19</w:t>
            </w:r>
          </w:p>
        </w:tc>
        <w:tc>
          <w:tcPr>
            <w:tcW w:w="610" w:type="dxa"/>
            <w:tcBorders>
              <w:top w:val="nil"/>
              <w:left w:val="nil"/>
              <w:bottom w:val="single" w:sz="4" w:space="0" w:color="auto"/>
              <w:right w:val="single" w:sz="4" w:space="0" w:color="auto"/>
            </w:tcBorders>
            <w:shd w:val="clear" w:color="auto" w:fill="auto"/>
            <w:noWrap/>
            <w:vAlign w:val="center"/>
            <w:hideMark/>
          </w:tcPr>
          <w:p w14:paraId="22CE41C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3.97</w:t>
            </w:r>
          </w:p>
        </w:tc>
        <w:tc>
          <w:tcPr>
            <w:tcW w:w="610" w:type="dxa"/>
            <w:tcBorders>
              <w:top w:val="nil"/>
              <w:left w:val="nil"/>
              <w:bottom w:val="single" w:sz="4" w:space="0" w:color="auto"/>
              <w:right w:val="single" w:sz="8" w:space="0" w:color="auto"/>
            </w:tcBorders>
            <w:shd w:val="clear" w:color="auto" w:fill="auto"/>
            <w:noWrap/>
            <w:vAlign w:val="center"/>
            <w:hideMark/>
          </w:tcPr>
          <w:p w14:paraId="5DBE836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5.74</w:t>
            </w:r>
          </w:p>
        </w:tc>
        <w:tc>
          <w:tcPr>
            <w:tcW w:w="610" w:type="dxa"/>
            <w:tcBorders>
              <w:top w:val="nil"/>
              <w:left w:val="nil"/>
              <w:bottom w:val="single" w:sz="4" w:space="0" w:color="auto"/>
              <w:right w:val="single" w:sz="4" w:space="0" w:color="auto"/>
            </w:tcBorders>
            <w:shd w:val="clear" w:color="auto" w:fill="auto"/>
            <w:noWrap/>
            <w:vAlign w:val="center"/>
            <w:hideMark/>
          </w:tcPr>
          <w:p w14:paraId="70C4CA6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4.40</w:t>
            </w:r>
          </w:p>
        </w:tc>
        <w:tc>
          <w:tcPr>
            <w:tcW w:w="610" w:type="dxa"/>
            <w:tcBorders>
              <w:top w:val="nil"/>
              <w:left w:val="nil"/>
              <w:bottom w:val="single" w:sz="4" w:space="0" w:color="auto"/>
              <w:right w:val="single" w:sz="8" w:space="0" w:color="auto"/>
            </w:tcBorders>
            <w:shd w:val="clear" w:color="auto" w:fill="auto"/>
            <w:noWrap/>
            <w:vAlign w:val="center"/>
            <w:hideMark/>
          </w:tcPr>
          <w:p w14:paraId="4895E18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5.85</w:t>
            </w:r>
          </w:p>
        </w:tc>
        <w:tc>
          <w:tcPr>
            <w:tcW w:w="610" w:type="dxa"/>
            <w:tcBorders>
              <w:top w:val="nil"/>
              <w:left w:val="nil"/>
              <w:bottom w:val="single" w:sz="4" w:space="0" w:color="auto"/>
              <w:right w:val="single" w:sz="4" w:space="0" w:color="auto"/>
            </w:tcBorders>
            <w:shd w:val="clear" w:color="auto" w:fill="auto"/>
            <w:noWrap/>
            <w:vAlign w:val="center"/>
            <w:hideMark/>
          </w:tcPr>
          <w:p w14:paraId="38F8F71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4.13</w:t>
            </w:r>
          </w:p>
        </w:tc>
        <w:tc>
          <w:tcPr>
            <w:tcW w:w="610" w:type="dxa"/>
            <w:tcBorders>
              <w:top w:val="nil"/>
              <w:left w:val="nil"/>
              <w:bottom w:val="single" w:sz="4" w:space="0" w:color="auto"/>
              <w:right w:val="single" w:sz="8" w:space="0" w:color="auto"/>
            </w:tcBorders>
            <w:shd w:val="clear" w:color="auto" w:fill="auto"/>
            <w:noWrap/>
            <w:vAlign w:val="center"/>
            <w:hideMark/>
          </w:tcPr>
          <w:p w14:paraId="422C166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4.55</w:t>
            </w:r>
          </w:p>
        </w:tc>
        <w:tc>
          <w:tcPr>
            <w:tcW w:w="610" w:type="dxa"/>
            <w:tcBorders>
              <w:top w:val="nil"/>
              <w:left w:val="nil"/>
              <w:bottom w:val="single" w:sz="4" w:space="0" w:color="auto"/>
              <w:right w:val="single" w:sz="4" w:space="0" w:color="auto"/>
            </w:tcBorders>
            <w:shd w:val="clear" w:color="auto" w:fill="auto"/>
            <w:noWrap/>
            <w:vAlign w:val="center"/>
            <w:hideMark/>
          </w:tcPr>
          <w:p w14:paraId="3064609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5.20</w:t>
            </w:r>
          </w:p>
        </w:tc>
        <w:tc>
          <w:tcPr>
            <w:tcW w:w="610" w:type="dxa"/>
            <w:tcBorders>
              <w:top w:val="nil"/>
              <w:left w:val="nil"/>
              <w:bottom w:val="single" w:sz="4" w:space="0" w:color="auto"/>
              <w:right w:val="single" w:sz="8" w:space="0" w:color="auto"/>
            </w:tcBorders>
            <w:shd w:val="clear" w:color="auto" w:fill="auto"/>
            <w:noWrap/>
            <w:vAlign w:val="center"/>
            <w:hideMark/>
          </w:tcPr>
          <w:p w14:paraId="15DA14F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6.00</w:t>
            </w:r>
          </w:p>
        </w:tc>
        <w:tc>
          <w:tcPr>
            <w:tcW w:w="610" w:type="dxa"/>
            <w:tcBorders>
              <w:top w:val="nil"/>
              <w:left w:val="nil"/>
              <w:bottom w:val="single" w:sz="4" w:space="0" w:color="auto"/>
              <w:right w:val="single" w:sz="4" w:space="0" w:color="auto"/>
            </w:tcBorders>
            <w:shd w:val="clear" w:color="auto" w:fill="auto"/>
            <w:noWrap/>
            <w:vAlign w:val="center"/>
            <w:hideMark/>
          </w:tcPr>
          <w:p w14:paraId="6A6208B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5.45</w:t>
            </w:r>
          </w:p>
        </w:tc>
        <w:tc>
          <w:tcPr>
            <w:tcW w:w="610" w:type="dxa"/>
            <w:tcBorders>
              <w:top w:val="nil"/>
              <w:left w:val="nil"/>
              <w:bottom w:val="single" w:sz="4" w:space="0" w:color="auto"/>
              <w:right w:val="single" w:sz="8" w:space="0" w:color="auto"/>
            </w:tcBorders>
            <w:shd w:val="clear" w:color="auto" w:fill="auto"/>
            <w:noWrap/>
            <w:vAlign w:val="center"/>
            <w:hideMark/>
          </w:tcPr>
          <w:p w14:paraId="4DF6146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5.55</w:t>
            </w:r>
          </w:p>
        </w:tc>
        <w:tc>
          <w:tcPr>
            <w:tcW w:w="610" w:type="dxa"/>
            <w:tcBorders>
              <w:top w:val="nil"/>
              <w:left w:val="nil"/>
              <w:bottom w:val="single" w:sz="4" w:space="0" w:color="auto"/>
              <w:right w:val="single" w:sz="4" w:space="0" w:color="auto"/>
            </w:tcBorders>
            <w:shd w:val="clear" w:color="auto" w:fill="auto"/>
            <w:noWrap/>
            <w:vAlign w:val="center"/>
            <w:hideMark/>
          </w:tcPr>
          <w:p w14:paraId="747A644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4.95</w:t>
            </w:r>
          </w:p>
        </w:tc>
        <w:tc>
          <w:tcPr>
            <w:tcW w:w="610" w:type="dxa"/>
            <w:tcBorders>
              <w:top w:val="nil"/>
              <w:left w:val="nil"/>
              <w:bottom w:val="single" w:sz="4" w:space="0" w:color="auto"/>
              <w:right w:val="single" w:sz="8" w:space="0" w:color="auto"/>
            </w:tcBorders>
            <w:shd w:val="clear" w:color="auto" w:fill="auto"/>
            <w:noWrap/>
            <w:vAlign w:val="center"/>
            <w:hideMark/>
          </w:tcPr>
          <w:p w14:paraId="1666BB7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5.23</w:t>
            </w:r>
          </w:p>
        </w:tc>
        <w:tc>
          <w:tcPr>
            <w:tcW w:w="610" w:type="dxa"/>
            <w:tcBorders>
              <w:top w:val="nil"/>
              <w:left w:val="nil"/>
              <w:bottom w:val="single" w:sz="4" w:space="0" w:color="auto"/>
              <w:right w:val="single" w:sz="4" w:space="0" w:color="auto"/>
            </w:tcBorders>
            <w:shd w:val="clear" w:color="auto" w:fill="auto"/>
            <w:noWrap/>
            <w:vAlign w:val="center"/>
            <w:hideMark/>
          </w:tcPr>
          <w:p w14:paraId="7E3351E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5.38</w:t>
            </w:r>
          </w:p>
        </w:tc>
        <w:tc>
          <w:tcPr>
            <w:tcW w:w="610" w:type="dxa"/>
            <w:tcBorders>
              <w:top w:val="nil"/>
              <w:left w:val="nil"/>
              <w:bottom w:val="single" w:sz="4" w:space="0" w:color="auto"/>
              <w:right w:val="single" w:sz="8" w:space="0" w:color="auto"/>
            </w:tcBorders>
            <w:shd w:val="clear" w:color="auto" w:fill="auto"/>
            <w:noWrap/>
            <w:vAlign w:val="center"/>
            <w:hideMark/>
          </w:tcPr>
          <w:p w14:paraId="11D9B3D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6.26</w:t>
            </w:r>
          </w:p>
        </w:tc>
        <w:tc>
          <w:tcPr>
            <w:tcW w:w="610" w:type="dxa"/>
            <w:tcBorders>
              <w:top w:val="nil"/>
              <w:left w:val="nil"/>
              <w:bottom w:val="single" w:sz="4" w:space="0" w:color="auto"/>
              <w:right w:val="single" w:sz="4" w:space="0" w:color="auto"/>
            </w:tcBorders>
            <w:shd w:val="clear" w:color="auto" w:fill="auto"/>
            <w:noWrap/>
            <w:vAlign w:val="center"/>
            <w:hideMark/>
          </w:tcPr>
          <w:p w14:paraId="67D4ACB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6.35</w:t>
            </w:r>
          </w:p>
        </w:tc>
        <w:tc>
          <w:tcPr>
            <w:tcW w:w="610" w:type="dxa"/>
            <w:tcBorders>
              <w:top w:val="nil"/>
              <w:left w:val="nil"/>
              <w:bottom w:val="single" w:sz="4" w:space="0" w:color="auto"/>
              <w:right w:val="single" w:sz="8" w:space="0" w:color="auto"/>
            </w:tcBorders>
            <w:shd w:val="clear" w:color="auto" w:fill="auto"/>
            <w:noWrap/>
            <w:vAlign w:val="center"/>
            <w:hideMark/>
          </w:tcPr>
          <w:p w14:paraId="64F4085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6.25</w:t>
            </w:r>
          </w:p>
        </w:tc>
        <w:tc>
          <w:tcPr>
            <w:tcW w:w="610" w:type="dxa"/>
            <w:tcBorders>
              <w:top w:val="nil"/>
              <w:left w:val="nil"/>
              <w:bottom w:val="single" w:sz="4" w:space="0" w:color="auto"/>
              <w:right w:val="single" w:sz="4" w:space="0" w:color="auto"/>
            </w:tcBorders>
            <w:shd w:val="clear" w:color="auto" w:fill="auto"/>
            <w:noWrap/>
            <w:vAlign w:val="center"/>
            <w:hideMark/>
          </w:tcPr>
          <w:p w14:paraId="00F082C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5.45</w:t>
            </w:r>
          </w:p>
        </w:tc>
        <w:tc>
          <w:tcPr>
            <w:tcW w:w="610" w:type="dxa"/>
            <w:tcBorders>
              <w:top w:val="nil"/>
              <w:left w:val="nil"/>
              <w:bottom w:val="single" w:sz="4" w:space="0" w:color="auto"/>
              <w:right w:val="single" w:sz="8" w:space="0" w:color="auto"/>
            </w:tcBorders>
            <w:shd w:val="clear" w:color="auto" w:fill="auto"/>
            <w:noWrap/>
            <w:vAlign w:val="center"/>
            <w:hideMark/>
          </w:tcPr>
          <w:p w14:paraId="25D5638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6.53</w:t>
            </w:r>
          </w:p>
        </w:tc>
        <w:tc>
          <w:tcPr>
            <w:tcW w:w="610" w:type="dxa"/>
            <w:tcBorders>
              <w:top w:val="nil"/>
              <w:left w:val="nil"/>
              <w:bottom w:val="single" w:sz="4" w:space="0" w:color="auto"/>
              <w:right w:val="single" w:sz="4" w:space="0" w:color="auto"/>
            </w:tcBorders>
            <w:shd w:val="clear" w:color="auto" w:fill="auto"/>
            <w:noWrap/>
            <w:vAlign w:val="center"/>
            <w:hideMark/>
          </w:tcPr>
          <w:p w14:paraId="0658397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5.45</w:t>
            </w:r>
          </w:p>
        </w:tc>
        <w:tc>
          <w:tcPr>
            <w:tcW w:w="610" w:type="dxa"/>
            <w:tcBorders>
              <w:top w:val="nil"/>
              <w:left w:val="nil"/>
              <w:bottom w:val="single" w:sz="4" w:space="0" w:color="auto"/>
              <w:right w:val="single" w:sz="8" w:space="0" w:color="auto"/>
            </w:tcBorders>
            <w:shd w:val="clear" w:color="auto" w:fill="auto"/>
            <w:noWrap/>
            <w:vAlign w:val="center"/>
            <w:hideMark/>
          </w:tcPr>
          <w:p w14:paraId="01A06BA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6.26</w:t>
            </w:r>
          </w:p>
        </w:tc>
      </w:tr>
      <w:tr w:rsidR="008564E2" w:rsidRPr="00234D18" w14:paraId="47B08558"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14:paraId="16EB0084" w14:textId="77777777" w:rsidR="008564E2"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14:paraId="507F932E" w14:textId="77777777" w:rsidR="008564E2" w:rsidRPr="00D67B25" w:rsidRDefault="008564E2" w:rsidP="00C2037F">
            <w:pPr>
              <w:jc w:val="center"/>
              <w:rPr>
                <w:sz w:val="18"/>
                <w:szCs w:val="18"/>
              </w:rPr>
            </w:pPr>
            <w:r w:rsidRPr="00D67B25">
              <w:rPr>
                <w:rFonts w:ascii="Times New Roman" w:eastAsia="Times New Roman" w:hAnsi="Times New Roman" w:cs="Times New Roman"/>
                <w:b/>
                <w:bCs/>
                <w:color w:val="000000"/>
                <w:sz w:val="18"/>
                <w:szCs w:val="18"/>
                <w:lang w:eastAsia="en-IN"/>
              </w:rPr>
              <w:t>49DAF</w:t>
            </w:r>
          </w:p>
        </w:tc>
        <w:tc>
          <w:tcPr>
            <w:tcW w:w="609" w:type="dxa"/>
            <w:tcBorders>
              <w:top w:val="nil"/>
              <w:left w:val="nil"/>
              <w:bottom w:val="single" w:sz="4" w:space="0" w:color="auto"/>
              <w:right w:val="single" w:sz="4" w:space="0" w:color="auto"/>
            </w:tcBorders>
            <w:shd w:val="clear" w:color="auto" w:fill="auto"/>
            <w:noWrap/>
            <w:vAlign w:val="center"/>
            <w:hideMark/>
          </w:tcPr>
          <w:p w14:paraId="493E1CA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6.59</w:t>
            </w:r>
          </w:p>
        </w:tc>
        <w:tc>
          <w:tcPr>
            <w:tcW w:w="609" w:type="dxa"/>
            <w:tcBorders>
              <w:top w:val="nil"/>
              <w:left w:val="nil"/>
              <w:bottom w:val="single" w:sz="4" w:space="0" w:color="auto"/>
              <w:right w:val="single" w:sz="8" w:space="0" w:color="auto"/>
            </w:tcBorders>
            <w:shd w:val="clear" w:color="auto" w:fill="auto"/>
            <w:noWrap/>
            <w:vAlign w:val="center"/>
            <w:hideMark/>
          </w:tcPr>
          <w:p w14:paraId="6EDD534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7.41</w:t>
            </w:r>
          </w:p>
        </w:tc>
        <w:tc>
          <w:tcPr>
            <w:tcW w:w="610" w:type="dxa"/>
            <w:tcBorders>
              <w:top w:val="nil"/>
              <w:left w:val="nil"/>
              <w:bottom w:val="single" w:sz="4" w:space="0" w:color="auto"/>
              <w:right w:val="single" w:sz="4" w:space="0" w:color="auto"/>
            </w:tcBorders>
            <w:shd w:val="clear" w:color="auto" w:fill="auto"/>
            <w:noWrap/>
            <w:vAlign w:val="center"/>
            <w:hideMark/>
          </w:tcPr>
          <w:p w14:paraId="3BD0E89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4.22</w:t>
            </w:r>
          </w:p>
        </w:tc>
        <w:tc>
          <w:tcPr>
            <w:tcW w:w="610" w:type="dxa"/>
            <w:tcBorders>
              <w:top w:val="nil"/>
              <w:left w:val="nil"/>
              <w:bottom w:val="single" w:sz="4" w:space="0" w:color="auto"/>
              <w:right w:val="single" w:sz="8" w:space="0" w:color="auto"/>
            </w:tcBorders>
            <w:shd w:val="clear" w:color="auto" w:fill="auto"/>
            <w:noWrap/>
            <w:vAlign w:val="center"/>
            <w:hideMark/>
          </w:tcPr>
          <w:p w14:paraId="5877D76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6.09</w:t>
            </w:r>
          </w:p>
        </w:tc>
        <w:tc>
          <w:tcPr>
            <w:tcW w:w="610" w:type="dxa"/>
            <w:tcBorders>
              <w:top w:val="nil"/>
              <w:left w:val="nil"/>
              <w:bottom w:val="single" w:sz="4" w:space="0" w:color="auto"/>
              <w:right w:val="single" w:sz="4" w:space="0" w:color="auto"/>
            </w:tcBorders>
            <w:shd w:val="clear" w:color="auto" w:fill="auto"/>
            <w:noWrap/>
            <w:vAlign w:val="center"/>
            <w:hideMark/>
          </w:tcPr>
          <w:p w14:paraId="088E54A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4.95</w:t>
            </w:r>
          </w:p>
        </w:tc>
        <w:tc>
          <w:tcPr>
            <w:tcW w:w="610" w:type="dxa"/>
            <w:tcBorders>
              <w:top w:val="nil"/>
              <w:left w:val="nil"/>
              <w:bottom w:val="single" w:sz="4" w:space="0" w:color="auto"/>
              <w:right w:val="single" w:sz="8" w:space="0" w:color="auto"/>
            </w:tcBorders>
            <w:shd w:val="clear" w:color="auto" w:fill="auto"/>
            <w:noWrap/>
            <w:vAlign w:val="center"/>
            <w:hideMark/>
          </w:tcPr>
          <w:p w14:paraId="5751FE7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6.16</w:t>
            </w:r>
          </w:p>
        </w:tc>
        <w:tc>
          <w:tcPr>
            <w:tcW w:w="610" w:type="dxa"/>
            <w:tcBorders>
              <w:top w:val="nil"/>
              <w:left w:val="nil"/>
              <w:bottom w:val="single" w:sz="4" w:space="0" w:color="auto"/>
              <w:right w:val="single" w:sz="4" w:space="0" w:color="auto"/>
            </w:tcBorders>
            <w:shd w:val="clear" w:color="auto" w:fill="auto"/>
            <w:noWrap/>
            <w:vAlign w:val="center"/>
            <w:hideMark/>
          </w:tcPr>
          <w:p w14:paraId="7F9B910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4.75</w:t>
            </w:r>
          </w:p>
        </w:tc>
        <w:tc>
          <w:tcPr>
            <w:tcW w:w="610" w:type="dxa"/>
            <w:tcBorders>
              <w:top w:val="nil"/>
              <w:left w:val="nil"/>
              <w:bottom w:val="single" w:sz="4" w:space="0" w:color="auto"/>
              <w:right w:val="single" w:sz="8" w:space="0" w:color="auto"/>
            </w:tcBorders>
            <w:shd w:val="clear" w:color="auto" w:fill="auto"/>
            <w:noWrap/>
            <w:vAlign w:val="center"/>
            <w:hideMark/>
          </w:tcPr>
          <w:p w14:paraId="0E1811D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5.33</w:t>
            </w:r>
          </w:p>
        </w:tc>
        <w:tc>
          <w:tcPr>
            <w:tcW w:w="610" w:type="dxa"/>
            <w:tcBorders>
              <w:top w:val="nil"/>
              <w:left w:val="nil"/>
              <w:bottom w:val="single" w:sz="4" w:space="0" w:color="auto"/>
              <w:right w:val="single" w:sz="4" w:space="0" w:color="auto"/>
            </w:tcBorders>
            <w:shd w:val="clear" w:color="auto" w:fill="auto"/>
            <w:noWrap/>
            <w:vAlign w:val="center"/>
            <w:hideMark/>
          </w:tcPr>
          <w:p w14:paraId="4C720E0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5.43</w:t>
            </w:r>
          </w:p>
        </w:tc>
        <w:tc>
          <w:tcPr>
            <w:tcW w:w="610" w:type="dxa"/>
            <w:tcBorders>
              <w:top w:val="nil"/>
              <w:left w:val="nil"/>
              <w:bottom w:val="single" w:sz="4" w:space="0" w:color="auto"/>
              <w:right w:val="single" w:sz="8" w:space="0" w:color="auto"/>
            </w:tcBorders>
            <w:shd w:val="clear" w:color="auto" w:fill="auto"/>
            <w:noWrap/>
            <w:vAlign w:val="center"/>
            <w:hideMark/>
          </w:tcPr>
          <w:p w14:paraId="4E91B62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6.15</w:t>
            </w:r>
          </w:p>
        </w:tc>
        <w:tc>
          <w:tcPr>
            <w:tcW w:w="610" w:type="dxa"/>
            <w:tcBorders>
              <w:top w:val="nil"/>
              <w:left w:val="nil"/>
              <w:bottom w:val="single" w:sz="4" w:space="0" w:color="auto"/>
              <w:right w:val="single" w:sz="4" w:space="0" w:color="auto"/>
            </w:tcBorders>
            <w:shd w:val="clear" w:color="auto" w:fill="auto"/>
            <w:noWrap/>
            <w:vAlign w:val="center"/>
            <w:hideMark/>
          </w:tcPr>
          <w:p w14:paraId="4704ECA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5.58</w:t>
            </w:r>
          </w:p>
        </w:tc>
        <w:tc>
          <w:tcPr>
            <w:tcW w:w="610" w:type="dxa"/>
            <w:tcBorders>
              <w:top w:val="nil"/>
              <w:left w:val="nil"/>
              <w:bottom w:val="single" w:sz="4" w:space="0" w:color="auto"/>
              <w:right w:val="single" w:sz="8" w:space="0" w:color="auto"/>
            </w:tcBorders>
            <w:shd w:val="clear" w:color="auto" w:fill="auto"/>
            <w:noWrap/>
            <w:vAlign w:val="center"/>
            <w:hideMark/>
          </w:tcPr>
          <w:p w14:paraId="22F876C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5.80</w:t>
            </w:r>
          </w:p>
        </w:tc>
        <w:tc>
          <w:tcPr>
            <w:tcW w:w="610" w:type="dxa"/>
            <w:tcBorders>
              <w:top w:val="nil"/>
              <w:left w:val="nil"/>
              <w:bottom w:val="single" w:sz="4" w:space="0" w:color="auto"/>
              <w:right w:val="single" w:sz="4" w:space="0" w:color="auto"/>
            </w:tcBorders>
            <w:shd w:val="clear" w:color="auto" w:fill="auto"/>
            <w:noWrap/>
            <w:vAlign w:val="center"/>
            <w:hideMark/>
          </w:tcPr>
          <w:p w14:paraId="30F1602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5.10</w:t>
            </w:r>
          </w:p>
        </w:tc>
        <w:tc>
          <w:tcPr>
            <w:tcW w:w="610" w:type="dxa"/>
            <w:tcBorders>
              <w:top w:val="nil"/>
              <w:left w:val="nil"/>
              <w:bottom w:val="single" w:sz="4" w:space="0" w:color="auto"/>
              <w:right w:val="single" w:sz="8" w:space="0" w:color="auto"/>
            </w:tcBorders>
            <w:shd w:val="clear" w:color="auto" w:fill="auto"/>
            <w:noWrap/>
            <w:vAlign w:val="center"/>
            <w:hideMark/>
          </w:tcPr>
          <w:p w14:paraId="3703547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5.28</w:t>
            </w:r>
          </w:p>
        </w:tc>
        <w:tc>
          <w:tcPr>
            <w:tcW w:w="610" w:type="dxa"/>
            <w:tcBorders>
              <w:top w:val="nil"/>
              <w:left w:val="nil"/>
              <w:bottom w:val="single" w:sz="4" w:space="0" w:color="auto"/>
              <w:right w:val="single" w:sz="4" w:space="0" w:color="auto"/>
            </w:tcBorders>
            <w:shd w:val="clear" w:color="auto" w:fill="auto"/>
            <w:noWrap/>
            <w:vAlign w:val="center"/>
            <w:hideMark/>
          </w:tcPr>
          <w:p w14:paraId="15CB78C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5.75</w:t>
            </w:r>
          </w:p>
        </w:tc>
        <w:tc>
          <w:tcPr>
            <w:tcW w:w="610" w:type="dxa"/>
            <w:tcBorders>
              <w:top w:val="nil"/>
              <w:left w:val="nil"/>
              <w:bottom w:val="single" w:sz="4" w:space="0" w:color="auto"/>
              <w:right w:val="single" w:sz="8" w:space="0" w:color="auto"/>
            </w:tcBorders>
            <w:shd w:val="clear" w:color="auto" w:fill="auto"/>
            <w:noWrap/>
            <w:vAlign w:val="center"/>
            <w:hideMark/>
          </w:tcPr>
          <w:p w14:paraId="39E60CB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6.65</w:t>
            </w:r>
          </w:p>
        </w:tc>
        <w:tc>
          <w:tcPr>
            <w:tcW w:w="610" w:type="dxa"/>
            <w:tcBorders>
              <w:top w:val="nil"/>
              <w:left w:val="nil"/>
              <w:bottom w:val="single" w:sz="4" w:space="0" w:color="auto"/>
              <w:right w:val="single" w:sz="4" w:space="0" w:color="auto"/>
            </w:tcBorders>
            <w:shd w:val="clear" w:color="auto" w:fill="auto"/>
            <w:noWrap/>
            <w:vAlign w:val="center"/>
            <w:hideMark/>
          </w:tcPr>
          <w:p w14:paraId="4982A3D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6.48</w:t>
            </w:r>
          </w:p>
        </w:tc>
        <w:tc>
          <w:tcPr>
            <w:tcW w:w="610" w:type="dxa"/>
            <w:tcBorders>
              <w:top w:val="nil"/>
              <w:left w:val="nil"/>
              <w:bottom w:val="single" w:sz="4" w:space="0" w:color="auto"/>
              <w:right w:val="single" w:sz="8" w:space="0" w:color="auto"/>
            </w:tcBorders>
            <w:shd w:val="clear" w:color="auto" w:fill="auto"/>
            <w:noWrap/>
            <w:vAlign w:val="center"/>
            <w:hideMark/>
          </w:tcPr>
          <w:p w14:paraId="33D372E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6.40</w:t>
            </w:r>
          </w:p>
        </w:tc>
        <w:tc>
          <w:tcPr>
            <w:tcW w:w="610" w:type="dxa"/>
            <w:tcBorders>
              <w:top w:val="nil"/>
              <w:left w:val="nil"/>
              <w:bottom w:val="single" w:sz="4" w:space="0" w:color="auto"/>
              <w:right w:val="single" w:sz="4" w:space="0" w:color="auto"/>
            </w:tcBorders>
            <w:shd w:val="clear" w:color="auto" w:fill="auto"/>
            <w:noWrap/>
            <w:vAlign w:val="center"/>
            <w:hideMark/>
          </w:tcPr>
          <w:p w14:paraId="51EACF1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5.55</w:t>
            </w:r>
          </w:p>
        </w:tc>
        <w:tc>
          <w:tcPr>
            <w:tcW w:w="610" w:type="dxa"/>
            <w:tcBorders>
              <w:top w:val="nil"/>
              <w:left w:val="nil"/>
              <w:bottom w:val="single" w:sz="4" w:space="0" w:color="auto"/>
              <w:right w:val="single" w:sz="8" w:space="0" w:color="auto"/>
            </w:tcBorders>
            <w:shd w:val="clear" w:color="auto" w:fill="auto"/>
            <w:noWrap/>
            <w:vAlign w:val="center"/>
            <w:hideMark/>
          </w:tcPr>
          <w:p w14:paraId="3816BB4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6.90</w:t>
            </w:r>
          </w:p>
        </w:tc>
        <w:tc>
          <w:tcPr>
            <w:tcW w:w="610" w:type="dxa"/>
            <w:tcBorders>
              <w:top w:val="nil"/>
              <w:left w:val="nil"/>
              <w:bottom w:val="single" w:sz="4" w:space="0" w:color="auto"/>
              <w:right w:val="single" w:sz="4" w:space="0" w:color="auto"/>
            </w:tcBorders>
            <w:shd w:val="clear" w:color="auto" w:fill="auto"/>
            <w:noWrap/>
            <w:vAlign w:val="center"/>
            <w:hideMark/>
          </w:tcPr>
          <w:p w14:paraId="5B1AA50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5.55</w:t>
            </w:r>
          </w:p>
        </w:tc>
        <w:tc>
          <w:tcPr>
            <w:tcW w:w="610" w:type="dxa"/>
            <w:tcBorders>
              <w:top w:val="nil"/>
              <w:left w:val="nil"/>
              <w:bottom w:val="single" w:sz="4" w:space="0" w:color="auto"/>
              <w:right w:val="single" w:sz="8" w:space="0" w:color="auto"/>
            </w:tcBorders>
            <w:shd w:val="clear" w:color="auto" w:fill="auto"/>
            <w:noWrap/>
            <w:vAlign w:val="center"/>
            <w:hideMark/>
          </w:tcPr>
          <w:p w14:paraId="2839AD0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6.38</w:t>
            </w:r>
          </w:p>
        </w:tc>
      </w:tr>
    </w:tbl>
    <w:p w14:paraId="59F84E98" w14:textId="77777777" w:rsidR="008564E2" w:rsidRPr="00E74711" w:rsidRDefault="008564E2" w:rsidP="008564E2">
      <w:pPr>
        <w:rPr>
          <w:rFonts w:ascii="Times New Roman" w:hAnsi="Times New Roman" w:cs="Times New Roman"/>
          <w:bCs/>
          <w:sz w:val="24"/>
          <w:szCs w:val="24"/>
          <w:lang w:val="en-US"/>
        </w:rPr>
      </w:pPr>
      <w:r>
        <w:rPr>
          <w:rFonts w:ascii="Times New Roman" w:hAnsi="Times New Roman" w:cs="Times New Roman"/>
          <w:bCs/>
          <w:sz w:val="24"/>
          <w:szCs w:val="24"/>
          <w:lang w:val="en-US"/>
        </w:rPr>
        <w:t>(</w:t>
      </w:r>
      <w:r w:rsidRPr="00E74711">
        <w:rPr>
          <w:rFonts w:ascii="Times New Roman" w:hAnsi="Times New Roman" w:cs="Times New Roman"/>
          <w:bCs/>
          <w:sz w:val="24"/>
          <w:szCs w:val="24"/>
          <w:lang w:val="en-US"/>
        </w:rPr>
        <w:t>SPAD</w:t>
      </w:r>
      <w:r>
        <w:rPr>
          <w:rFonts w:ascii="Times New Roman" w:hAnsi="Times New Roman" w:cs="Times New Roman"/>
          <w:bCs/>
          <w:sz w:val="24"/>
          <w:szCs w:val="24"/>
          <w:lang w:val="en-US"/>
        </w:rPr>
        <w:t xml:space="preserve"> AF</w:t>
      </w:r>
      <w:r w:rsidRPr="00E7471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SPAD at flowering; SPAD AM-SPAD at maturity; GLAB- Green leaf area at booting; GLAM- Green leaf area at maturity; RLS-Rate of leaf senescence; STG@7 T0 49 DAF-Stay green score at weekly interval days after flowering)</w:t>
      </w:r>
    </w:p>
    <w:p w14:paraId="25EBFDF4" w14:textId="77777777" w:rsidR="008564E2" w:rsidRDefault="008564E2" w:rsidP="008564E2">
      <w:pPr>
        <w:autoSpaceDE w:val="0"/>
        <w:autoSpaceDN w:val="0"/>
        <w:adjustRightInd w:val="0"/>
        <w:rPr>
          <w:rFonts w:ascii="Times New Roman" w:hAnsi="Times New Roman" w:cs="Times New Roman"/>
          <w:color w:val="000000" w:themeColor="text1"/>
          <w:sz w:val="24"/>
          <w:szCs w:val="24"/>
          <w:highlight w:val="yellow"/>
        </w:rPr>
      </w:pPr>
    </w:p>
    <w:p w14:paraId="11FEA898" w14:textId="659E1787" w:rsidR="008564E2" w:rsidRPr="00234D18" w:rsidRDefault="008564E2" w:rsidP="008564E2">
      <w:pPr>
        <w:rPr>
          <w:rFonts w:ascii="Times New Roman" w:hAnsi="Times New Roman" w:cs="Times New Roman"/>
          <w:b/>
          <w:sz w:val="24"/>
          <w:szCs w:val="24"/>
          <w:lang w:val="en-US"/>
        </w:rPr>
      </w:pPr>
      <w:r w:rsidRPr="00234D18">
        <w:rPr>
          <w:rFonts w:ascii="Times New Roman" w:hAnsi="Times New Roman" w:cs="Times New Roman"/>
          <w:b/>
          <w:sz w:val="24"/>
          <w:szCs w:val="24"/>
          <w:lang w:val="en-US"/>
        </w:rPr>
        <w:lastRenderedPageBreak/>
        <w:t xml:space="preserve">Table </w:t>
      </w:r>
      <w:r w:rsidR="006F41BE">
        <w:rPr>
          <w:rFonts w:ascii="Times New Roman" w:hAnsi="Times New Roman" w:cs="Times New Roman"/>
          <w:b/>
          <w:sz w:val="24"/>
          <w:szCs w:val="24"/>
          <w:lang w:val="en-US"/>
        </w:rPr>
        <w:t>6</w:t>
      </w:r>
      <w:r>
        <w:rPr>
          <w:rFonts w:ascii="Times New Roman" w:hAnsi="Times New Roman" w:cs="Times New Roman"/>
          <w:b/>
          <w:sz w:val="24"/>
          <w:szCs w:val="24"/>
          <w:lang w:val="en-US"/>
        </w:rPr>
        <w:t xml:space="preserve">: </w:t>
      </w:r>
      <w:r w:rsidRPr="00234D18">
        <w:rPr>
          <w:rFonts w:ascii="Times New Roman" w:hAnsi="Times New Roman" w:cs="Times New Roman"/>
          <w:b/>
          <w:sz w:val="24"/>
          <w:szCs w:val="24"/>
          <w:lang w:val="en-US"/>
        </w:rPr>
        <w:t>Mean value</w:t>
      </w:r>
      <w:r>
        <w:rPr>
          <w:rFonts w:ascii="Times New Roman" w:hAnsi="Times New Roman" w:cs="Times New Roman"/>
          <w:b/>
          <w:sz w:val="24"/>
          <w:szCs w:val="24"/>
          <w:lang w:val="en-US"/>
        </w:rPr>
        <w:t>s</w:t>
      </w:r>
      <w:r w:rsidRPr="00234D18">
        <w:rPr>
          <w:rFonts w:ascii="Times New Roman" w:hAnsi="Times New Roman" w:cs="Times New Roman"/>
          <w:b/>
          <w:sz w:val="24"/>
          <w:szCs w:val="24"/>
          <w:lang w:val="en-US"/>
        </w:rPr>
        <w:t xml:space="preserve"> of parent</w:t>
      </w:r>
      <w:r>
        <w:rPr>
          <w:rFonts w:ascii="Times New Roman" w:hAnsi="Times New Roman" w:cs="Times New Roman"/>
          <w:b/>
          <w:sz w:val="24"/>
          <w:szCs w:val="24"/>
          <w:lang w:val="en-US"/>
        </w:rPr>
        <w:t xml:space="preserve">s for agronomic and yield related traits </w:t>
      </w:r>
      <w:r w:rsidRPr="00234D18">
        <w:rPr>
          <w:rFonts w:ascii="Times New Roman" w:hAnsi="Times New Roman" w:cs="Times New Roman"/>
          <w:b/>
          <w:sz w:val="24"/>
          <w:szCs w:val="24"/>
          <w:lang w:val="en-US"/>
        </w:rPr>
        <w:t>under WW and WS condition</w:t>
      </w:r>
    </w:p>
    <w:tbl>
      <w:tblPr>
        <w:tblW w:w="14518" w:type="dxa"/>
        <w:tblInd w:w="-1180" w:type="dxa"/>
        <w:tblLook w:val="04A0" w:firstRow="1" w:lastRow="0" w:firstColumn="1" w:lastColumn="0" w:noHBand="0" w:noVBand="1"/>
      </w:tblPr>
      <w:tblGrid>
        <w:gridCol w:w="823"/>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tblGrid>
      <w:tr w:rsidR="008564E2" w:rsidRPr="00234D18" w14:paraId="51A191A6" w14:textId="77777777" w:rsidTr="00C2037F">
        <w:trPr>
          <w:trHeight w:val="376"/>
        </w:trPr>
        <w:tc>
          <w:tcPr>
            <w:tcW w:w="8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96998B"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Trait</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98D70E4"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R16</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230BD5D"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F</w:t>
            </w:r>
            <w:r w:rsidRPr="008D5216">
              <w:rPr>
                <w:rFonts w:ascii="Times New Roman" w:eastAsia="Times New Roman" w:hAnsi="Times New Roman" w:cs="Times New Roman"/>
                <w:b/>
                <w:bCs/>
                <w:color w:val="000000"/>
                <w:sz w:val="16"/>
                <w:szCs w:val="14"/>
                <w:vertAlign w:val="subscript"/>
                <w:lang w:eastAsia="en-IN"/>
              </w:rPr>
              <w:t>3</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2DD46CB"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K359W</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DF1A175"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B35</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9CBC976"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K260</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9FCAA67"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E36-1</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6D2218E4"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296B</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021DD2F"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M351</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E2F45BE"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proofErr w:type="spellStart"/>
            <w:r w:rsidRPr="00234D18">
              <w:rPr>
                <w:rFonts w:ascii="Times New Roman" w:eastAsia="Times New Roman" w:hAnsi="Times New Roman" w:cs="Times New Roman"/>
                <w:b/>
                <w:bCs/>
                <w:color w:val="000000"/>
                <w:sz w:val="16"/>
                <w:szCs w:val="14"/>
                <w:lang w:eastAsia="en-IN"/>
              </w:rPr>
              <w:t>Parbhani</w:t>
            </w:r>
            <w:proofErr w:type="spellEnd"/>
            <w:r w:rsidRPr="00234D18">
              <w:rPr>
                <w:rFonts w:ascii="Times New Roman" w:eastAsia="Times New Roman" w:hAnsi="Times New Roman" w:cs="Times New Roman"/>
                <w:b/>
                <w:bCs/>
                <w:color w:val="000000"/>
                <w:sz w:val="16"/>
                <w:szCs w:val="14"/>
                <w:lang w:eastAsia="en-IN"/>
              </w:rPr>
              <w:t xml:space="preserve"> Moti</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693528E"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CRS 1</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4CD2E4D5"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Phule Vasudha</w:t>
            </w:r>
          </w:p>
        </w:tc>
      </w:tr>
      <w:tr w:rsidR="008564E2" w:rsidRPr="00234D18" w14:paraId="2921596B" w14:textId="77777777" w:rsidTr="00C2037F">
        <w:trPr>
          <w:trHeight w:val="430"/>
        </w:trPr>
        <w:tc>
          <w:tcPr>
            <w:tcW w:w="823" w:type="dxa"/>
            <w:vMerge/>
            <w:tcBorders>
              <w:top w:val="single" w:sz="8" w:space="0" w:color="auto"/>
              <w:left w:val="single" w:sz="8" w:space="0" w:color="auto"/>
              <w:bottom w:val="single" w:sz="8" w:space="0" w:color="000000"/>
              <w:right w:val="single" w:sz="8" w:space="0" w:color="auto"/>
            </w:tcBorders>
            <w:vAlign w:val="center"/>
            <w:hideMark/>
          </w:tcPr>
          <w:p w14:paraId="3E5D7814"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p>
        </w:tc>
        <w:tc>
          <w:tcPr>
            <w:tcW w:w="622" w:type="dxa"/>
            <w:tcBorders>
              <w:top w:val="nil"/>
              <w:left w:val="nil"/>
              <w:bottom w:val="single" w:sz="8" w:space="0" w:color="auto"/>
              <w:right w:val="single" w:sz="4" w:space="0" w:color="auto"/>
            </w:tcBorders>
            <w:shd w:val="clear" w:color="auto" w:fill="auto"/>
            <w:vAlign w:val="center"/>
            <w:hideMark/>
          </w:tcPr>
          <w:p w14:paraId="22D46AE3"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4A155537"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2F72F526"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6833884C"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1C00AF1E"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614ACDC4"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0DC4B711"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4EAFB901"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46592D2F"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66274B66"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0C847468"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50725FEB"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4ED6A5AB"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1B9E6F29"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281B29CC"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351F4FE7"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0D490DC3"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46A1B833"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45244582"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1B8B62EC"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4D5EB147"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44C3DDD0"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r>
      <w:tr w:rsidR="008564E2" w:rsidRPr="00234D18" w14:paraId="26A77AAE" w14:textId="77777777" w:rsidTr="00C2037F">
        <w:trPr>
          <w:trHeight w:val="520"/>
        </w:trPr>
        <w:tc>
          <w:tcPr>
            <w:tcW w:w="823" w:type="dxa"/>
            <w:tcBorders>
              <w:top w:val="nil"/>
              <w:left w:val="single" w:sz="8" w:space="0" w:color="auto"/>
              <w:bottom w:val="single" w:sz="4" w:space="0" w:color="auto"/>
              <w:right w:val="single" w:sz="8" w:space="0" w:color="auto"/>
            </w:tcBorders>
            <w:shd w:val="clear" w:color="auto" w:fill="auto"/>
            <w:vAlign w:val="center"/>
            <w:hideMark/>
          </w:tcPr>
          <w:p w14:paraId="7F702413"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PH</w:t>
            </w:r>
          </w:p>
        </w:tc>
        <w:tc>
          <w:tcPr>
            <w:tcW w:w="622" w:type="dxa"/>
            <w:tcBorders>
              <w:top w:val="nil"/>
              <w:left w:val="nil"/>
              <w:bottom w:val="single" w:sz="4" w:space="0" w:color="auto"/>
              <w:right w:val="single" w:sz="4" w:space="0" w:color="auto"/>
            </w:tcBorders>
            <w:shd w:val="clear" w:color="auto" w:fill="auto"/>
            <w:noWrap/>
            <w:vAlign w:val="center"/>
            <w:hideMark/>
          </w:tcPr>
          <w:p w14:paraId="0C24F4A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114.34</w:t>
            </w:r>
          </w:p>
        </w:tc>
        <w:tc>
          <w:tcPr>
            <w:tcW w:w="622" w:type="dxa"/>
            <w:tcBorders>
              <w:top w:val="nil"/>
              <w:left w:val="nil"/>
              <w:bottom w:val="single" w:sz="4" w:space="0" w:color="auto"/>
              <w:right w:val="single" w:sz="8" w:space="0" w:color="auto"/>
            </w:tcBorders>
            <w:shd w:val="clear" w:color="auto" w:fill="auto"/>
            <w:noWrap/>
            <w:vAlign w:val="center"/>
            <w:hideMark/>
          </w:tcPr>
          <w:p w14:paraId="00CB496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111.84</w:t>
            </w:r>
          </w:p>
        </w:tc>
        <w:tc>
          <w:tcPr>
            <w:tcW w:w="622" w:type="dxa"/>
            <w:tcBorders>
              <w:top w:val="nil"/>
              <w:left w:val="nil"/>
              <w:bottom w:val="single" w:sz="4" w:space="0" w:color="auto"/>
              <w:right w:val="single" w:sz="4" w:space="0" w:color="auto"/>
            </w:tcBorders>
            <w:shd w:val="clear" w:color="auto" w:fill="auto"/>
            <w:noWrap/>
            <w:vAlign w:val="center"/>
            <w:hideMark/>
          </w:tcPr>
          <w:p w14:paraId="11CC6D0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121.30</w:t>
            </w:r>
          </w:p>
        </w:tc>
        <w:tc>
          <w:tcPr>
            <w:tcW w:w="622" w:type="dxa"/>
            <w:tcBorders>
              <w:top w:val="nil"/>
              <w:left w:val="nil"/>
              <w:bottom w:val="single" w:sz="4" w:space="0" w:color="auto"/>
              <w:right w:val="single" w:sz="8" w:space="0" w:color="auto"/>
            </w:tcBorders>
            <w:shd w:val="clear" w:color="auto" w:fill="auto"/>
            <w:noWrap/>
            <w:vAlign w:val="center"/>
            <w:hideMark/>
          </w:tcPr>
          <w:p w14:paraId="6A7F999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109.92</w:t>
            </w:r>
          </w:p>
        </w:tc>
        <w:tc>
          <w:tcPr>
            <w:tcW w:w="622" w:type="dxa"/>
            <w:tcBorders>
              <w:top w:val="nil"/>
              <w:left w:val="nil"/>
              <w:bottom w:val="single" w:sz="4" w:space="0" w:color="auto"/>
              <w:right w:val="single" w:sz="4" w:space="0" w:color="auto"/>
            </w:tcBorders>
            <w:shd w:val="clear" w:color="auto" w:fill="auto"/>
            <w:noWrap/>
            <w:vAlign w:val="center"/>
            <w:hideMark/>
          </w:tcPr>
          <w:p w14:paraId="3C34C28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116.63</w:t>
            </w:r>
          </w:p>
        </w:tc>
        <w:tc>
          <w:tcPr>
            <w:tcW w:w="622" w:type="dxa"/>
            <w:tcBorders>
              <w:top w:val="nil"/>
              <w:left w:val="nil"/>
              <w:bottom w:val="single" w:sz="4" w:space="0" w:color="auto"/>
              <w:right w:val="single" w:sz="8" w:space="0" w:color="auto"/>
            </w:tcBorders>
            <w:shd w:val="clear" w:color="auto" w:fill="auto"/>
            <w:noWrap/>
            <w:vAlign w:val="center"/>
            <w:hideMark/>
          </w:tcPr>
          <w:p w14:paraId="4F16ECA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111.39</w:t>
            </w:r>
          </w:p>
        </w:tc>
        <w:tc>
          <w:tcPr>
            <w:tcW w:w="622" w:type="dxa"/>
            <w:tcBorders>
              <w:top w:val="nil"/>
              <w:left w:val="nil"/>
              <w:bottom w:val="single" w:sz="4" w:space="0" w:color="auto"/>
              <w:right w:val="single" w:sz="4" w:space="0" w:color="auto"/>
            </w:tcBorders>
            <w:shd w:val="clear" w:color="auto" w:fill="auto"/>
            <w:noWrap/>
            <w:vAlign w:val="center"/>
            <w:hideMark/>
          </w:tcPr>
          <w:p w14:paraId="3D81FDC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81.00</w:t>
            </w:r>
          </w:p>
        </w:tc>
        <w:tc>
          <w:tcPr>
            <w:tcW w:w="622" w:type="dxa"/>
            <w:tcBorders>
              <w:top w:val="nil"/>
              <w:left w:val="nil"/>
              <w:bottom w:val="single" w:sz="4" w:space="0" w:color="auto"/>
              <w:right w:val="single" w:sz="8" w:space="0" w:color="auto"/>
            </w:tcBorders>
            <w:shd w:val="clear" w:color="auto" w:fill="auto"/>
            <w:noWrap/>
            <w:vAlign w:val="center"/>
            <w:hideMark/>
          </w:tcPr>
          <w:p w14:paraId="3EF1110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84.00</w:t>
            </w:r>
          </w:p>
        </w:tc>
        <w:tc>
          <w:tcPr>
            <w:tcW w:w="622" w:type="dxa"/>
            <w:tcBorders>
              <w:top w:val="nil"/>
              <w:left w:val="nil"/>
              <w:bottom w:val="single" w:sz="4" w:space="0" w:color="auto"/>
              <w:right w:val="single" w:sz="4" w:space="0" w:color="auto"/>
            </w:tcBorders>
            <w:shd w:val="clear" w:color="auto" w:fill="auto"/>
            <w:noWrap/>
            <w:vAlign w:val="center"/>
            <w:hideMark/>
          </w:tcPr>
          <w:p w14:paraId="41274F0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123.38</w:t>
            </w:r>
          </w:p>
        </w:tc>
        <w:tc>
          <w:tcPr>
            <w:tcW w:w="622" w:type="dxa"/>
            <w:tcBorders>
              <w:top w:val="nil"/>
              <w:left w:val="nil"/>
              <w:bottom w:val="single" w:sz="4" w:space="0" w:color="auto"/>
              <w:right w:val="single" w:sz="8" w:space="0" w:color="auto"/>
            </w:tcBorders>
            <w:shd w:val="clear" w:color="auto" w:fill="auto"/>
            <w:noWrap/>
            <w:vAlign w:val="center"/>
            <w:hideMark/>
          </w:tcPr>
          <w:p w14:paraId="1C0F815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122.13</w:t>
            </w:r>
          </w:p>
        </w:tc>
        <w:tc>
          <w:tcPr>
            <w:tcW w:w="622" w:type="dxa"/>
            <w:tcBorders>
              <w:top w:val="nil"/>
              <w:left w:val="nil"/>
              <w:bottom w:val="single" w:sz="4" w:space="0" w:color="auto"/>
              <w:right w:val="single" w:sz="4" w:space="0" w:color="auto"/>
            </w:tcBorders>
            <w:shd w:val="clear" w:color="auto" w:fill="auto"/>
            <w:noWrap/>
            <w:vAlign w:val="center"/>
            <w:hideMark/>
          </w:tcPr>
          <w:p w14:paraId="19E15FC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124.05</w:t>
            </w:r>
          </w:p>
        </w:tc>
        <w:tc>
          <w:tcPr>
            <w:tcW w:w="622" w:type="dxa"/>
            <w:tcBorders>
              <w:top w:val="nil"/>
              <w:left w:val="nil"/>
              <w:bottom w:val="single" w:sz="4" w:space="0" w:color="auto"/>
              <w:right w:val="single" w:sz="8" w:space="0" w:color="auto"/>
            </w:tcBorders>
            <w:shd w:val="clear" w:color="auto" w:fill="auto"/>
            <w:noWrap/>
            <w:vAlign w:val="center"/>
            <w:hideMark/>
          </w:tcPr>
          <w:p w14:paraId="76248DE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123.18</w:t>
            </w:r>
          </w:p>
        </w:tc>
        <w:tc>
          <w:tcPr>
            <w:tcW w:w="622" w:type="dxa"/>
            <w:tcBorders>
              <w:top w:val="nil"/>
              <w:left w:val="nil"/>
              <w:bottom w:val="single" w:sz="4" w:space="0" w:color="auto"/>
              <w:right w:val="single" w:sz="4" w:space="0" w:color="auto"/>
            </w:tcBorders>
            <w:shd w:val="clear" w:color="auto" w:fill="auto"/>
            <w:noWrap/>
            <w:vAlign w:val="center"/>
            <w:hideMark/>
          </w:tcPr>
          <w:p w14:paraId="7365396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85.00</w:t>
            </w:r>
          </w:p>
        </w:tc>
        <w:tc>
          <w:tcPr>
            <w:tcW w:w="622" w:type="dxa"/>
            <w:tcBorders>
              <w:top w:val="nil"/>
              <w:left w:val="nil"/>
              <w:bottom w:val="single" w:sz="4" w:space="0" w:color="auto"/>
              <w:right w:val="single" w:sz="8" w:space="0" w:color="auto"/>
            </w:tcBorders>
            <w:shd w:val="clear" w:color="auto" w:fill="auto"/>
            <w:noWrap/>
            <w:vAlign w:val="center"/>
            <w:hideMark/>
          </w:tcPr>
          <w:p w14:paraId="0D58E85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86.63</w:t>
            </w:r>
          </w:p>
        </w:tc>
        <w:tc>
          <w:tcPr>
            <w:tcW w:w="622" w:type="dxa"/>
            <w:tcBorders>
              <w:top w:val="nil"/>
              <w:left w:val="nil"/>
              <w:bottom w:val="single" w:sz="4" w:space="0" w:color="auto"/>
              <w:right w:val="single" w:sz="4" w:space="0" w:color="auto"/>
            </w:tcBorders>
            <w:shd w:val="clear" w:color="auto" w:fill="auto"/>
            <w:noWrap/>
            <w:vAlign w:val="center"/>
            <w:hideMark/>
          </w:tcPr>
          <w:p w14:paraId="26D5E7B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152.65</w:t>
            </w:r>
          </w:p>
        </w:tc>
        <w:tc>
          <w:tcPr>
            <w:tcW w:w="622" w:type="dxa"/>
            <w:tcBorders>
              <w:top w:val="nil"/>
              <w:left w:val="nil"/>
              <w:bottom w:val="single" w:sz="4" w:space="0" w:color="auto"/>
              <w:right w:val="single" w:sz="8" w:space="0" w:color="auto"/>
            </w:tcBorders>
            <w:shd w:val="clear" w:color="auto" w:fill="auto"/>
            <w:noWrap/>
            <w:vAlign w:val="center"/>
            <w:hideMark/>
          </w:tcPr>
          <w:p w14:paraId="7726FAF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155.65</w:t>
            </w:r>
          </w:p>
        </w:tc>
        <w:tc>
          <w:tcPr>
            <w:tcW w:w="622" w:type="dxa"/>
            <w:tcBorders>
              <w:top w:val="nil"/>
              <w:left w:val="nil"/>
              <w:bottom w:val="single" w:sz="4" w:space="0" w:color="auto"/>
              <w:right w:val="single" w:sz="4" w:space="0" w:color="auto"/>
            </w:tcBorders>
            <w:shd w:val="clear" w:color="auto" w:fill="auto"/>
            <w:noWrap/>
            <w:vAlign w:val="center"/>
            <w:hideMark/>
          </w:tcPr>
          <w:p w14:paraId="2D77E63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162.75</w:t>
            </w:r>
          </w:p>
        </w:tc>
        <w:tc>
          <w:tcPr>
            <w:tcW w:w="622" w:type="dxa"/>
            <w:tcBorders>
              <w:top w:val="nil"/>
              <w:left w:val="nil"/>
              <w:bottom w:val="single" w:sz="4" w:space="0" w:color="auto"/>
              <w:right w:val="single" w:sz="8" w:space="0" w:color="auto"/>
            </w:tcBorders>
            <w:shd w:val="clear" w:color="auto" w:fill="auto"/>
            <w:noWrap/>
            <w:vAlign w:val="center"/>
            <w:hideMark/>
          </w:tcPr>
          <w:p w14:paraId="6BC7ED9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143.08</w:t>
            </w:r>
          </w:p>
        </w:tc>
        <w:tc>
          <w:tcPr>
            <w:tcW w:w="622" w:type="dxa"/>
            <w:tcBorders>
              <w:top w:val="nil"/>
              <w:left w:val="nil"/>
              <w:bottom w:val="single" w:sz="4" w:space="0" w:color="auto"/>
              <w:right w:val="single" w:sz="4" w:space="0" w:color="auto"/>
            </w:tcBorders>
            <w:shd w:val="clear" w:color="auto" w:fill="auto"/>
            <w:noWrap/>
            <w:vAlign w:val="center"/>
            <w:hideMark/>
          </w:tcPr>
          <w:p w14:paraId="6FF2FF1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145.80</w:t>
            </w:r>
          </w:p>
        </w:tc>
        <w:tc>
          <w:tcPr>
            <w:tcW w:w="622" w:type="dxa"/>
            <w:tcBorders>
              <w:top w:val="nil"/>
              <w:left w:val="nil"/>
              <w:bottom w:val="single" w:sz="4" w:space="0" w:color="auto"/>
              <w:right w:val="single" w:sz="8" w:space="0" w:color="auto"/>
            </w:tcBorders>
            <w:shd w:val="clear" w:color="auto" w:fill="auto"/>
            <w:noWrap/>
            <w:vAlign w:val="center"/>
            <w:hideMark/>
          </w:tcPr>
          <w:p w14:paraId="58300C0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161.30</w:t>
            </w:r>
          </w:p>
        </w:tc>
        <w:tc>
          <w:tcPr>
            <w:tcW w:w="622" w:type="dxa"/>
            <w:tcBorders>
              <w:top w:val="nil"/>
              <w:left w:val="nil"/>
              <w:bottom w:val="single" w:sz="4" w:space="0" w:color="auto"/>
              <w:right w:val="single" w:sz="4" w:space="0" w:color="auto"/>
            </w:tcBorders>
            <w:shd w:val="clear" w:color="auto" w:fill="auto"/>
            <w:noWrap/>
            <w:vAlign w:val="center"/>
            <w:hideMark/>
          </w:tcPr>
          <w:p w14:paraId="4649AB07"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194.68</w:t>
            </w:r>
          </w:p>
        </w:tc>
        <w:tc>
          <w:tcPr>
            <w:tcW w:w="622" w:type="dxa"/>
            <w:tcBorders>
              <w:top w:val="nil"/>
              <w:left w:val="nil"/>
              <w:bottom w:val="single" w:sz="4" w:space="0" w:color="auto"/>
              <w:right w:val="single" w:sz="8" w:space="0" w:color="auto"/>
            </w:tcBorders>
            <w:shd w:val="clear" w:color="auto" w:fill="auto"/>
            <w:noWrap/>
            <w:vAlign w:val="center"/>
            <w:hideMark/>
          </w:tcPr>
          <w:p w14:paraId="1333008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201.93</w:t>
            </w:r>
          </w:p>
        </w:tc>
      </w:tr>
      <w:tr w:rsidR="008564E2" w:rsidRPr="00234D18" w14:paraId="0D9452B1" w14:textId="77777777" w:rsidTr="00C2037F">
        <w:trPr>
          <w:trHeight w:val="539"/>
        </w:trPr>
        <w:tc>
          <w:tcPr>
            <w:tcW w:w="823" w:type="dxa"/>
            <w:tcBorders>
              <w:top w:val="nil"/>
              <w:left w:val="single" w:sz="8" w:space="0" w:color="auto"/>
              <w:bottom w:val="single" w:sz="4" w:space="0" w:color="auto"/>
              <w:right w:val="single" w:sz="8" w:space="0" w:color="auto"/>
            </w:tcBorders>
            <w:shd w:val="clear" w:color="auto" w:fill="auto"/>
            <w:vAlign w:val="center"/>
            <w:hideMark/>
          </w:tcPr>
          <w:p w14:paraId="021A3DEE"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ET</w:t>
            </w:r>
          </w:p>
        </w:tc>
        <w:tc>
          <w:tcPr>
            <w:tcW w:w="622" w:type="dxa"/>
            <w:tcBorders>
              <w:top w:val="nil"/>
              <w:left w:val="nil"/>
              <w:bottom w:val="single" w:sz="4" w:space="0" w:color="auto"/>
              <w:right w:val="single" w:sz="4" w:space="0" w:color="auto"/>
            </w:tcBorders>
            <w:shd w:val="clear" w:color="auto" w:fill="auto"/>
            <w:noWrap/>
            <w:vAlign w:val="center"/>
            <w:hideMark/>
          </w:tcPr>
          <w:p w14:paraId="43C6895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c>
          <w:tcPr>
            <w:tcW w:w="622" w:type="dxa"/>
            <w:tcBorders>
              <w:top w:val="nil"/>
              <w:left w:val="nil"/>
              <w:bottom w:val="single" w:sz="4" w:space="0" w:color="auto"/>
              <w:right w:val="single" w:sz="8" w:space="0" w:color="auto"/>
            </w:tcBorders>
            <w:shd w:val="clear" w:color="auto" w:fill="auto"/>
            <w:noWrap/>
            <w:vAlign w:val="center"/>
            <w:hideMark/>
          </w:tcPr>
          <w:p w14:paraId="328F72B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3.58</w:t>
            </w:r>
          </w:p>
        </w:tc>
        <w:tc>
          <w:tcPr>
            <w:tcW w:w="622" w:type="dxa"/>
            <w:tcBorders>
              <w:top w:val="nil"/>
              <w:left w:val="nil"/>
              <w:bottom w:val="single" w:sz="4" w:space="0" w:color="auto"/>
              <w:right w:val="single" w:sz="4" w:space="0" w:color="auto"/>
            </w:tcBorders>
            <w:shd w:val="clear" w:color="auto" w:fill="auto"/>
            <w:noWrap/>
            <w:vAlign w:val="center"/>
            <w:hideMark/>
          </w:tcPr>
          <w:p w14:paraId="443102D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1.49</w:t>
            </w:r>
          </w:p>
        </w:tc>
        <w:tc>
          <w:tcPr>
            <w:tcW w:w="622" w:type="dxa"/>
            <w:tcBorders>
              <w:top w:val="nil"/>
              <w:left w:val="nil"/>
              <w:bottom w:val="single" w:sz="4" w:space="0" w:color="auto"/>
              <w:right w:val="single" w:sz="8" w:space="0" w:color="auto"/>
            </w:tcBorders>
            <w:shd w:val="clear" w:color="auto" w:fill="auto"/>
            <w:noWrap/>
            <w:vAlign w:val="center"/>
            <w:hideMark/>
          </w:tcPr>
          <w:p w14:paraId="2745DD1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1.24</w:t>
            </w:r>
          </w:p>
        </w:tc>
        <w:tc>
          <w:tcPr>
            <w:tcW w:w="622" w:type="dxa"/>
            <w:tcBorders>
              <w:top w:val="nil"/>
              <w:left w:val="nil"/>
              <w:bottom w:val="single" w:sz="4" w:space="0" w:color="auto"/>
              <w:right w:val="single" w:sz="4" w:space="0" w:color="auto"/>
            </w:tcBorders>
            <w:shd w:val="clear" w:color="auto" w:fill="auto"/>
            <w:noWrap/>
            <w:vAlign w:val="center"/>
            <w:hideMark/>
          </w:tcPr>
          <w:p w14:paraId="3E3EF0E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4.13</w:t>
            </w:r>
          </w:p>
        </w:tc>
        <w:tc>
          <w:tcPr>
            <w:tcW w:w="622" w:type="dxa"/>
            <w:tcBorders>
              <w:top w:val="nil"/>
              <w:left w:val="nil"/>
              <w:bottom w:val="single" w:sz="4" w:space="0" w:color="auto"/>
              <w:right w:val="single" w:sz="8" w:space="0" w:color="auto"/>
            </w:tcBorders>
            <w:shd w:val="clear" w:color="auto" w:fill="auto"/>
            <w:noWrap/>
            <w:vAlign w:val="center"/>
            <w:hideMark/>
          </w:tcPr>
          <w:p w14:paraId="0FABAC7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3.13</w:t>
            </w:r>
          </w:p>
        </w:tc>
        <w:tc>
          <w:tcPr>
            <w:tcW w:w="622" w:type="dxa"/>
            <w:tcBorders>
              <w:top w:val="nil"/>
              <w:left w:val="nil"/>
              <w:bottom w:val="single" w:sz="4" w:space="0" w:color="auto"/>
              <w:right w:val="single" w:sz="4" w:space="0" w:color="auto"/>
            </w:tcBorders>
            <w:shd w:val="clear" w:color="auto" w:fill="auto"/>
            <w:noWrap/>
            <w:vAlign w:val="center"/>
            <w:hideMark/>
          </w:tcPr>
          <w:p w14:paraId="480380E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4.00</w:t>
            </w:r>
          </w:p>
        </w:tc>
        <w:tc>
          <w:tcPr>
            <w:tcW w:w="622" w:type="dxa"/>
            <w:tcBorders>
              <w:top w:val="nil"/>
              <w:left w:val="nil"/>
              <w:bottom w:val="single" w:sz="4" w:space="0" w:color="auto"/>
              <w:right w:val="single" w:sz="8" w:space="0" w:color="auto"/>
            </w:tcBorders>
            <w:shd w:val="clear" w:color="auto" w:fill="auto"/>
            <w:noWrap/>
            <w:vAlign w:val="center"/>
            <w:hideMark/>
          </w:tcPr>
          <w:p w14:paraId="497528E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3.75</w:t>
            </w:r>
          </w:p>
        </w:tc>
        <w:tc>
          <w:tcPr>
            <w:tcW w:w="622" w:type="dxa"/>
            <w:tcBorders>
              <w:top w:val="nil"/>
              <w:left w:val="nil"/>
              <w:bottom w:val="single" w:sz="4" w:space="0" w:color="auto"/>
              <w:right w:val="single" w:sz="4" w:space="0" w:color="auto"/>
            </w:tcBorders>
            <w:shd w:val="clear" w:color="auto" w:fill="auto"/>
            <w:noWrap/>
            <w:vAlign w:val="center"/>
            <w:hideMark/>
          </w:tcPr>
          <w:p w14:paraId="2EAF4A5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c>
          <w:tcPr>
            <w:tcW w:w="622" w:type="dxa"/>
            <w:tcBorders>
              <w:top w:val="nil"/>
              <w:left w:val="nil"/>
              <w:bottom w:val="single" w:sz="4" w:space="0" w:color="auto"/>
              <w:right w:val="single" w:sz="8" w:space="0" w:color="auto"/>
            </w:tcBorders>
            <w:shd w:val="clear" w:color="auto" w:fill="auto"/>
            <w:noWrap/>
            <w:vAlign w:val="center"/>
            <w:hideMark/>
          </w:tcPr>
          <w:p w14:paraId="15C2A67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3.50</w:t>
            </w:r>
          </w:p>
        </w:tc>
        <w:tc>
          <w:tcPr>
            <w:tcW w:w="622" w:type="dxa"/>
            <w:tcBorders>
              <w:top w:val="nil"/>
              <w:left w:val="nil"/>
              <w:bottom w:val="single" w:sz="4" w:space="0" w:color="auto"/>
              <w:right w:val="single" w:sz="4" w:space="0" w:color="auto"/>
            </w:tcBorders>
            <w:shd w:val="clear" w:color="auto" w:fill="auto"/>
            <w:noWrap/>
            <w:vAlign w:val="center"/>
            <w:hideMark/>
          </w:tcPr>
          <w:p w14:paraId="67792767"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6.50</w:t>
            </w:r>
          </w:p>
        </w:tc>
        <w:tc>
          <w:tcPr>
            <w:tcW w:w="622" w:type="dxa"/>
            <w:tcBorders>
              <w:top w:val="nil"/>
              <w:left w:val="nil"/>
              <w:bottom w:val="single" w:sz="4" w:space="0" w:color="auto"/>
              <w:right w:val="single" w:sz="8" w:space="0" w:color="auto"/>
            </w:tcBorders>
            <w:shd w:val="clear" w:color="auto" w:fill="auto"/>
            <w:noWrap/>
            <w:vAlign w:val="center"/>
            <w:hideMark/>
          </w:tcPr>
          <w:p w14:paraId="2DE9842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4" w:space="0" w:color="auto"/>
            </w:tcBorders>
            <w:shd w:val="clear" w:color="auto" w:fill="auto"/>
            <w:noWrap/>
            <w:vAlign w:val="center"/>
            <w:hideMark/>
          </w:tcPr>
          <w:p w14:paraId="727F3E3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4.50</w:t>
            </w:r>
          </w:p>
        </w:tc>
        <w:tc>
          <w:tcPr>
            <w:tcW w:w="622" w:type="dxa"/>
            <w:tcBorders>
              <w:top w:val="nil"/>
              <w:left w:val="nil"/>
              <w:bottom w:val="single" w:sz="4" w:space="0" w:color="auto"/>
              <w:right w:val="single" w:sz="8" w:space="0" w:color="auto"/>
            </w:tcBorders>
            <w:shd w:val="clear" w:color="auto" w:fill="auto"/>
            <w:noWrap/>
            <w:vAlign w:val="center"/>
            <w:hideMark/>
          </w:tcPr>
          <w:p w14:paraId="16833F8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3.25</w:t>
            </w:r>
          </w:p>
        </w:tc>
        <w:tc>
          <w:tcPr>
            <w:tcW w:w="622" w:type="dxa"/>
            <w:tcBorders>
              <w:top w:val="nil"/>
              <w:left w:val="nil"/>
              <w:bottom w:val="single" w:sz="4" w:space="0" w:color="auto"/>
              <w:right w:val="single" w:sz="4" w:space="0" w:color="auto"/>
            </w:tcBorders>
            <w:shd w:val="clear" w:color="auto" w:fill="auto"/>
            <w:noWrap/>
            <w:vAlign w:val="center"/>
            <w:hideMark/>
          </w:tcPr>
          <w:p w14:paraId="44287BF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5.75</w:t>
            </w:r>
          </w:p>
        </w:tc>
        <w:tc>
          <w:tcPr>
            <w:tcW w:w="622" w:type="dxa"/>
            <w:tcBorders>
              <w:top w:val="nil"/>
              <w:left w:val="nil"/>
              <w:bottom w:val="single" w:sz="4" w:space="0" w:color="auto"/>
              <w:right w:val="single" w:sz="8" w:space="0" w:color="auto"/>
            </w:tcBorders>
            <w:shd w:val="clear" w:color="auto" w:fill="auto"/>
            <w:noWrap/>
            <w:vAlign w:val="center"/>
            <w:hideMark/>
          </w:tcPr>
          <w:p w14:paraId="602800A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3.25</w:t>
            </w:r>
          </w:p>
        </w:tc>
        <w:tc>
          <w:tcPr>
            <w:tcW w:w="622" w:type="dxa"/>
            <w:tcBorders>
              <w:top w:val="nil"/>
              <w:left w:val="nil"/>
              <w:bottom w:val="single" w:sz="4" w:space="0" w:color="auto"/>
              <w:right w:val="single" w:sz="4" w:space="0" w:color="auto"/>
            </w:tcBorders>
            <w:shd w:val="clear" w:color="auto" w:fill="auto"/>
            <w:noWrap/>
            <w:vAlign w:val="center"/>
            <w:hideMark/>
          </w:tcPr>
          <w:p w14:paraId="79AEE02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5.50</w:t>
            </w:r>
          </w:p>
        </w:tc>
        <w:tc>
          <w:tcPr>
            <w:tcW w:w="622" w:type="dxa"/>
            <w:tcBorders>
              <w:top w:val="nil"/>
              <w:left w:val="nil"/>
              <w:bottom w:val="single" w:sz="4" w:space="0" w:color="auto"/>
              <w:right w:val="single" w:sz="8" w:space="0" w:color="auto"/>
            </w:tcBorders>
            <w:shd w:val="clear" w:color="auto" w:fill="auto"/>
            <w:noWrap/>
            <w:vAlign w:val="center"/>
            <w:hideMark/>
          </w:tcPr>
          <w:p w14:paraId="44DA73A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c>
          <w:tcPr>
            <w:tcW w:w="622" w:type="dxa"/>
            <w:tcBorders>
              <w:top w:val="nil"/>
              <w:left w:val="nil"/>
              <w:bottom w:val="single" w:sz="4" w:space="0" w:color="auto"/>
              <w:right w:val="single" w:sz="4" w:space="0" w:color="auto"/>
            </w:tcBorders>
            <w:shd w:val="clear" w:color="auto" w:fill="auto"/>
            <w:noWrap/>
            <w:vAlign w:val="center"/>
            <w:hideMark/>
          </w:tcPr>
          <w:p w14:paraId="0B93200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4.50</w:t>
            </w:r>
          </w:p>
        </w:tc>
        <w:tc>
          <w:tcPr>
            <w:tcW w:w="622" w:type="dxa"/>
            <w:tcBorders>
              <w:top w:val="nil"/>
              <w:left w:val="nil"/>
              <w:bottom w:val="single" w:sz="4" w:space="0" w:color="auto"/>
              <w:right w:val="single" w:sz="8" w:space="0" w:color="auto"/>
            </w:tcBorders>
            <w:shd w:val="clear" w:color="auto" w:fill="auto"/>
            <w:noWrap/>
            <w:vAlign w:val="center"/>
            <w:hideMark/>
          </w:tcPr>
          <w:p w14:paraId="2640E1B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4.00</w:t>
            </w:r>
          </w:p>
        </w:tc>
        <w:tc>
          <w:tcPr>
            <w:tcW w:w="622" w:type="dxa"/>
            <w:tcBorders>
              <w:top w:val="nil"/>
              <w:left w:val="nil"/>
              <w:bottom w:val="single" w:sz="4" w:space="0" w:color="auto"/>
              <w:right w:val="single" w:sz="4" w:space="0" w:color="auto"/>
            </w:tcBorders>
            <w:shd w:val="clear" w:color="auto" w:fill="auto"/>
            <w:noWrap/>
            <w:vAlign w:val="center"/>
            <w:hideMark/>
          </w:tcPr>
          <w:p w14:paraId="222031A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5.75</w:t>
            </w:r>
          </w:p>
        </w:tc>
        <w:tc>
          <w:tcPr>
            <w:tcW w:w="622" w:type="dxa"/>
            <w:tcBorders>
              <w:top w:val="nil"/>
              <w:left w:val="nil"/>
              <w:bottom w:val="single" w:sz="4" w:space="0" w:color="auto"/>
              <w:right w:val="single" w:sz="8" w:space="0" w:color="auto"/>
            </w:tcBorders>
            <w:shd w:val="clear" w:color="auto" w:fill="auto"/>
            <w:noWrap/>
            <w:vAlign w:val="center"/>
            <w:hideMark/>
          </w:tcPr>
          <w:p w14:paraId="481CA28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r>
      <w:tr w:rsidR="008564E2" w:rsidRPr="00234D18" w14:paraId="0C128FF2" w14:textId="77777777"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14:paraId="0E34F984"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DA</w:t>
            </w:r>
          </w:p>
        </w:tc>
        <w:tc>
          <w:tcPr>
            <w:tcW w:w="622" w:type="dxa"/>
            <w:tcBorders>
              <w:top w:val="nil"/>
              <w:left w:val="nil"/>
              <w:bottom w:val="single" w:sz="4" w:space="0" w:color="auto"/>
              <w:right w:val="single" w:sz="4" w:space="0" w:color="auto"/>
            </w:tcBorders>
            <w:shd w:val="clear" w:color="auto" w:fill="auto"/>
            <w:noWrap/>
            <w:vAlign w:val="center"/>
            <w:hideMark/>
          </w:tcPr>
          <w:p w14:paraId="2154ECA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62.63</w:t>
            </w:r>
          </w:p>
        </w:tc>
        <w:tc>
          <w:tcPr>
            <w:tcW w:w="622" w:type="dxa"/>
            <w:tcBorders>
              <w:top w:val="nil"/>
              <w:left w:val="nil"/>
              <w:bottom w:val="single" w:sz="4" w:space="0" w:color="auto"/>
              <w:right w:val="single" w:sz="8" w:space="0" w:color="auto"/>
            </w:tcBorders>
            <w:shd w:val="clear" w:color="auto" w:fill="auto"/>
            <w:noWrap/>
            <w:vAlign w:val="center"/>
            <w:hideMark/>
          </w:tcPr>
          <w:p w14:paraId="5208C41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64.79</w:t>
            </w:r>
          </w:p>
        </w:tc>
        <w:tc>
          <w:tcPr>
            <w:tcW w:w="622" w:type="dxa"/>
            <w:tcBorders>
              <w:top w:val="nil"/>
              <w:left w:val="nil"/>
              <w:bottom w:val="single" w:sz="4" w:space="0" w:color="auto"/>
              <w:right w:val="single" w:sz="4" w:space="0" w:color="auto"/>
            </w:tcBorders>
            <w:shd w:val="clear" w:color="auto" w:fill="auto"/>
            <w:noWrap/>
            <w:vAlign w:val="center"/>
            <w:hideMark/>
          </w:tcPr>
          <w:p w14:paraId="3557DAB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69.21</w:t>
            </w:r>
          </w:p>
        </w:tc>
        <w:tc>
          <w:tcPr>
            <w:tcW w:w="622" w:type="dxa"/>
            <w:tcBorders>
              <w:top w:val="nil"/>
              <w:left w:val="nil"/>
              <w:bottom w:val="single" w:sz="4" w:space="0" w:color="auto"/>
              <w:right w:val="single" w:sz="8" w:space="0" w:color="auto"/>
            </w:tcBorders>
            <w:shd w:val="clear" w:color="auto" w:fill="auto"/>
            <w:noWrap/>
            <w:vAlign w:val="center"/>
            <w:hideMark/>
          </w:tcPr>
          <w:p w14:paraId="066E339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69.21</w:t>
            </w:r>
          </w:p>
        </w:tc>
        <w:tc>
          <w:tcPr>
            <w:tcW w:w="622" w:type="dxa"/>
            <w:tcBorders>
              <w:top w:val="nil"/>
              <w:left w:val="nil"/>
              <w:bottom w:val="single" w:sz="4" w:space="0" w:color="auto"/>
              <w:right w:val="single" w:sz="4" w:space="0" w:color="auto"/>
            </w:tcBorders>
            <w:shd w:val="clear" w:color="auto" w:fill="auto"/>
            <w:noWrap/>
            <w:vAlign w:val="center"/>
            <w:hideMark/>
          </w:tcPr>
          <w:p w14:paraId="4CBECA0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63.50</w:t>
            </w:r>
          </w:p>
        </w:tc>
        <w:tc>
          <w:tcPr>
            <w:tcW w:w="622" w:type="dxa"/>
            <w:tcBorders>
              <w:top w:val="nil"/>
              <w:left w:val="nil"/>
              <w:bottom w:val="single" w:sz="4" w:space="0" w:color="auto"/>
              <w:right w:val="single" w:sz="8" w:space="0" w:color="auto"/>
            </w:tcBorders>
            <w:shd w:val="clear" w:color="auto" w:fill="auto"/>
            <w:noWrap/>
            <w:vAlign w:val="center"/>
            <w:hideMark/>
          </w:tcPr>
          <w:p w14:paraId="4E5A418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65.00</w:t>
            </w:r>
          </w:p>
        </w:tc>
        <w:tc>
          <w:tcPr>
            <w:tcW w:w="622" w:type="dxa"/>
            <w:tcBorders>
              <w:top w:val="nil"/>
              <w:left w:val="nil"/>
              <w:bottom w:val="single" w:sz="4" w:space="0" w:color="auto"/>
              <w:right w:val="single" w:sz="4" w:space="0" w:color="auto"/>
            </w:tcBorders>
            <w:shd w:val="clear" w:color="auto" w:fill="auto"/>
            <w:noWrap/>
            <w:vAlign w:val="center"/>
            <w:hideMark/>
          </w:tcPr>
          <w:p w14:paraId="77905B4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65.67</w:t>
            </w:r>
          </w:p>
        </w:tc>
        <w:tc>
          <w:tcPr>
            <w:tcW w:w="622" w:type="dxa"/>
            <w:tcBorders>
              <w:top w:val="nil"/>
              <w:left w:val="nil"/>
              <w:bottom w:val="single" w:sz="4" w:space="0" w:color="auto"/>
              <w:right w:val="single" w:sz="8" w:space="0" w:color="auto"/>
            </w:tcBorders>
            <w:shd w:val="clear" w:color="auto" w:fill="auto"/>
            <w:noWrap/>
            <w:vAlign w:val="center"/>
            <w:hideMark/>
          </w:tcPr>
          <w:p w14:paraId="780A124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68.00</w:t>
            </w:r>
          </w:p>
        </w:tc>
        <w:tc>
          <w:tcPr>
            <w:tcW w:w="622" w:type="dxa"/>
            <w:tcBorders>
              <w:top w:val="nil"/>
              <w:left w:val="nil"/>
              <w:bottom w:val="single" w:sz="4" w:space="0" w:color="auto"/>
              <w:right w:val="single" w:sz="4" w:space="0" w:color="auto"/>
            </w:tcBorders>
            <w:shd w:val="clear" w:color="auto" w:fill="auto"/>
            <w:noWrap/>
            <w:vAlign w:val="center"/>
            <w:hideMark/>
          </w:tcPr>
          <w:p w14:paraId="356BE7D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64.00</w:t>
            </w:r>
          </w:p>
        </w:tc>
        <w:tc>
          <w:tcPr>
            <w:tcW w:w="622" w:type="dxa"/>
            <w:tcBorders>
              <w:top w:val="nil"/>
              <w:left w:val="nil"/>
              <w:bottom w:val="single" w:sz="4" w:space="0" w:color="auto"/>
              <w:right w:val="single" w:sz="8" w:space="0" w:color="auto"/>
            </w:tcBorders>
            <w:shd w:val="clear" w:color="auto" w:fill="auto"/>
            <w:noWrap/>
            <w:vAlign w:val="center"/>
            <w:hideMark/>
          </w:tcPr>
          <w:p w14:paraId="07AADA7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65.58</w:t>
            </w:r>
          </w:p>
        </w:tc>
        <w:tc>
          <w:tcPr>
            <w:tcW w:w="622" w:type="dxa"/>
            <w:tcBorders>
              <w:top w:val="nil"/>
              <w:left w:val="nil"/>
              <w:bottom w:val="single" w:sz="4" w:space="0" w:color="auto"/>
              <w:right w:val="single" w:sz="4" w:space="0" w:color="auto"/>
            </w:tcBorders>
            <w:shd w:val="clear" w:color="auto" w:fill="auto"/>
            <w:noWrap/>
            <w:vAlign w:val="center"/>
            <w:hideMark/>
          </w:tcPr>
          <w:p w14:paraId="408AA34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62.42</w:t>
            </w:r>
          </w:p>
        </w:tc>
        <w:tc>
          <w:tcPr>
            <w:tcW w:w="622" w:type="dxa"/>
            <w:tcBorders>
              <w:top w:val="nil"/>
              <w:left w:val="nil"/>
              <w:bottom w:val="single" w:sz="4" w:space="0" w:color="auto"/>
              <w:right w:val="single" w:sz="8" w:space="0" w:color="auto"/>
            </w:tcBorders>
            <w:shd w:val="clear" w:color="auto" w:fill="auto"/>
            <w:noWrap/>
            <w:vAlign w:val="center"/>
            <w:hideMark/>
          </w:tcPr>
          <w:p w14:paraId="21A785A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61.92</w:t>
            </w:r>
          </w:p>
        </w:tc>
        <w:tc>
          <w:tcPr>
            <w:tcW w:w="622" w:type="dxa"/>
            <w:tcBorders>
              <w:top w:val="nil"/>
              <w:left w:val="nil"/>
              <w:bottom w:val="single" w:sz="4" w:space="0" w:color="auto"/>
              <w:right w:val="single" w:sz="4" w:space="0" w:color="auto"/>
            </w:tcBorders>
            <w:shd w:val="clear" w:color="auto" w:fill="auto"/>
            <w:noWrap/>
            <w:vAlign w:val="center"/>
            <w:hideMark/>
          </w:tcPr>
          <w:p w14:paraId="32C053B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66.00</w:t>
            </w:r>
          </w:p>
        </w:tc>
        <w:tc>
          <w:tcPr>
            <w:tcW w:w="622" w:type="dxa"/>
            <w:tcBorders>
              <w:top w:val="nil"/>
              <w:left w:val="nil"/>
              <w:bottom w:val="single" w:sz="4" w:space="0" w:color="auto"/>
              <w:right w:val="single" w:sz="8" w:space="0" w:color="auto"/>
            </w:tcBorders>
            <w:shd w:val="clear" w:color="auto" w:fill="auto"/>
            <w:noWrap/>
            <w:vAlign w:val="center"/>
            <w:hideMark/>
          </w:tcPr>
          <w:p w14:paraId="1758050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67.17</w:t>
            </w:r>
          </w:p>
        </w:tc>
        <w:tc>
          <w:tcPr>
            <w:tcW w:w="622" w:type="dxa"/>
            <w:tcBorders>
              <w:top w:val="nil"/>
              <w:left w:val="nil"/>
              <w:bottom w:val="single" w:sz="4" w:space="0" w:color="auto"/>
              <w:right w:val="single" w:sz="4" w:space="0" w:color="auto"/>
            </w:tcBorders>
            <w:shd w:val="clear" w:color="auto" w:fill="auto"/>
            <w:noWrap/>
            <w:vAlign w:val="center"/>
            <w:hideMark/>
          </w:tcPr>
          <w:p w14:paraId="26C5687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65.33</w:t>
            </w:r>
          </w:p>
        </w:tc>
        <w:tc>
          <w:tcPr>
            <w:tcW w:w="622" w:type="dxa"/>
            <w:tcBorders>
              <w:top w:val="nil"/>
              <w:left w:val="nil"/>
              <w:bottom w:val="single" w:sz="4" w:space="0" w:color="auto"/>
              <w:right w:val="single" w:sz="8" w:space="0" w:color="auto"/>
            </w:tcBorders>
            <w:shd w:val="clear" w:color="auto" w:fill="auto"/>
            <w:noWrap/>
            <w:vAlign w:val="center"/>
            <w:hideMark/>
          </w:tcPr>
          <w:p w14:paraId="7E46247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69.00</w:t>
            </w:r>
          </w:p>
        </w:tc>
        <w:tc>
          <w:tcPr>
            <w:tcW w:w="622" w:type="dxa"/>
            <w:tcBorders>
              <w:top w:val="nil"/>
              <w:left w:val="nil"/>
              <w:bottom w:val="single" w:sz="4" w:space="0" w:color="auto"/>
              <w:right w:val="single" w:sz="4" w:space="0" w:color="auto"/>
            </w:tcBorders>
            <w:shd w:val="clear" w:color="auto" w:fill="auto"/>
            <w:noWrap/>
            <w:vAlign w:val="center"/>
            <w:hideMark/>
          </w:tcPr>
          <w:p w14:paraId="63F153F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64.17</w:t>
            </w:r>
          </w:p>
        </w:tc>
        <w:tc>
          <w:tcPr>
            <w:tcW w:w="622" w:type="dxa"/>
            <w:tcBorders>
              <w:top w:val="nil"/>
              <w:left w:val="nil"/>
              <w:bottom w:val="single" w:sz="4" w:space="0" w:color="auto"/>
              <w:right w:val="single" w:sz="8" w:space="0" w:color="auto"/>
            </w:tcBorders>
            <w:shd w:val="clear" w:color="auto" w:fill="auto"/>
            <w:noWrap/>
            <w:vAlign w:val="center"/>
            <w:hideMark/>
          </w:tcPr>
          <w:p w14:paraId="3C2E7B0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66.58</w:t>
            </w:r>
          </w:p>
        </w:tc>
        <w:tc>
          <w:tcPr>
            <w:tcW w:w="622" w:type="dxa"/>
            <w:tcBorders>
              <w:top w:val="nil"/>
              <w:left w:val="nil"/>
              <w:bottom w:val="single" w:sz="4" w:space="0" w:color="auto"/>
              <w:right w:val="single" w:sz="4" w:space="0" w:color="auto"/>
            </w:tcBorders>
            <w:shd w:val="clear" w:color="auto" w:fill="auto"/>
            <w:noWrap/>
            <w:vAlign w:val="center"/>
            <w:hideMark/>
          </w:tcPr>
          <w:p w14:paraId="5E319427"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71.25</w:t>
            </w:r>
          </w:p>
        </w:tc>
        <w:tc>
          <w:tcPr>
            <w:tcW w:w="622" w:type="dxa"/>
            <w:tcBorders>
              <w:top w:val="nil"/>
              <w:left w:val="nil"/>
              <w:bottom w:val="single" w:sz="4" w:space="0" w:color="auto"/>
              <w:right w:val="single" w:sz="8" w:space="0" w:color="auto"/>
            </w:tcBorders>
            <w:shd w:val="clear" w:color="auto" w:fill="auto"/>
            <w:noWrap/>
            <w:vAlign w:val="center"/>
            <w:hideMark/>
          </w:tcPr>
          <w:p w14:paraId="2F0D7E4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67.50</w:t>
            </w:r>
          </w:p>
        </w:tc>
        <w:tc>
          <w:tcPr>
            <w:tcW w:w="622" w:type="dxa"/>
            <w:tcBorders>
              <w:top w:val="nil"/>
              <w:left w:val="nil"/>
              <w:bottom w:val="single" w:sz="4" w:space="0" w:color="auto"/>
              <w:right w:val="single" w:sz="4" w:space="0" w:color="auto"/>
            </w:tcBorders>
            <w:shd w:val="clear" w:color="auto" w:fill="auto"/>
            <w:noWrap/>
            <w:vAlign w:val="center"/>
            <w:hideMark/>
          </w:tcPr>
          <w:p w14:paraId="33B12E2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71.50</w:t>
            </w:r>
          </w:p>
        </w:tc>
        <w:tc>
          <w:tcPr>
            <w:tcW w:w="622" w:type="dxa"/>
            <w:tcBorders>
              <w:top w:val="nil"/>
              <w:left w:val="nil"/>
              <w:bottom w:val="single" w:sz="4" w:space="0" w:color="auto"/>
              <w:right w:val="single" w:sz="8" w:space="0" w:color="auto"/>
            </w:tcBorders>
            <w:shd w:val="clear" w:color="auto" w:fill="auto"/>
            <w:noWrap/>
            <w:vAlign w:val="center"/>
            <w:hideMark/>
          </w:tcPr>
          <w:p w14:paraId="2F452E6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71.25</w:t>
            </w:r>
          </w:p>
        </w:tc>
      </w:tr>
      <w:tr w:rsidR="008564E2" w:rsidRPr="00234D18" w14:paraId="3B539BC9" w14:textId="77777777"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14:paraId="3F28FEEC"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DFF</w:t>
            </w:r>
          </w:p>
        </w:tc>
        <w:tc>
          <w:tcPr>
            <w:tcW w:w="622" w:type="dxa"/>
            <w:tcBorders>
              <w:top w:val="nil"/>
              <w:left w:val="nil"/>
              <w:bottom w:val="single" w:sz="4" w:space="0" w:color="auto"/>
              <w:right w:val="single" w:sz="4" w:space="0" w:color="auto"/>
            </w:tcBorders>
            <w:shd w:val="clear" w:color="auto" w:fill="auto"/>
            <w:noWrap/>
            <w:vAlign w:val="center"/>
            <w:hideMark/>
          </w:tcPr>
          <w:p w14:paraId="22C86C9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70.29</w:t>
            </w:r>
          </w:p>
        </w:tc>
        <w:tc>
          <w:tcPr>
            <w:tcW w:w="622" w:type="dxa"/>
            <w:tcBorders>
              <w:top w:val="nil"/>
              <w:left w:val="nil"/>
              <w:bottom w:val="single" w:sz="4" w:space="0" w:color="auto"/>
              <w:right w:val="single" w:sz="8" w:space="0" w:color="auto"/>
            </w:tcBorders>
            <w:shd w:val="clear" w:color="auto" w:fill="auto"/>
            <w:noWrap/>
            <w:vAlign w:val="center"/>
            <w:hideMark/>
          </w:tcPr>
          <w:p w14:paraId="7DF9BF6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73.44</w:t>
            </w:r>
          </w:p>
        </w:tc>
        <w:tc>
          <w:tcPr>
            <w:tcW w:w="622" w:type="dxa"/>
            <w:tcBorders>
              <w:top w:val="nil"/>
              <w:left w:val="nil"/>
              <w:bottom w:val="single" w:sz="4" w:space="0" w:color="auto"/>
              <w:right w:val="single" w:sz="4" w:space="0" w:color="auto"/>
            </w:tcBorders>
            <w:shd w:val="clear" w:color="auto" w:fill="auto"/>
            <w:noWrap/>
            <w:vAlign w:val="center"/>
            <w:hideMark/>
          </w:tcPr>
          <w:p w14:paraId="7131C71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83.23</w:t>
            </w:r>
          </w:p>
        </w:tc>
        <w:tc>
          <w:tcPr>
            <w:tcW w:w="622" w:type="dxa"/>
            <w:tcBorders>
              <w:top w:val="nil"/>
              <w:left w:val="nil"/>
              <w:bottom w:val="single" w:sz="4" w:space="0" w:color="auto"/>
              <w:right w:val="single" w:sz="8" w:space="0" w:color="auto"/>
            </w:tcBorders>
            <w:shd w:val="clear" w:color="auto" w:fill="auto"/>
            <w:noWrap/>
            <w:vAlign w:val="center"/>
            <w:hideMark/>
          </w:tcPr>
          <w:p w14:paraId="1DB0699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83.21</w:t>
            </w:r>
          </w:p>
        </w:tc>
        <w:tc>
          <w:tcPr>
            <w:tcW w:w="622" w:type="dxa"/>
            <w:tcBorders>
              <w:top w:val="nil"/>
              <w:left w:val="nil"/>
              <w:bottom w:val="single" w:sz="4" w:space="0" w:color="auto"/>
              <w:right w:val="single" w:sz="4" w:space="0" w:color="auto"/>
            </w:tcBorders>
            <w:shd w:val="clear" w:color="auto" w:fill="auto"/>
            <w:noWrap/>
            <w:vAlign w:val="center"/>
            <w:hideMark/>
          </w:tcPr>
          <w:p w14:paraId="13CFBFC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70.88</w:t>
            </w:r>
          </w:p>
        </w:tc>
        <w:tc>
          <w:tcPr>
            <w:tcW w:w="622" w:type="dxa"/>
            <w:tcBorders>
              <w:top w:val="nil"/>
              <w:left w:val="nil"/>
              <w:bottom w:val="single" w:sz="4" w:space="0" w:color="auto"/>
              <w:right w:val="single" w:sz="8" w:space="0" w:color="auto"/>
            </w:tcBorders>
            <w:shd w:val="clear" w:color="auto" w:fill="auto"/>
            <w:noWrap/>
            <w:vAlign w:val="center"/>
            <w:hideMark/>
          </w:tcPr>
          <w:p w14:paraId="23FC89F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71.75</w:t>
            </w:r>
          </w:p>
        </w:tc>
        <w:tc>
          <w:tcPr>
            <w:tcW w:w="622" w:type="dxa"/>
            <w:tcBorders>
              <w:top w:val="nil"/>
              <w:left w:val="nil"/>
              <w:bottom w:val="single" w:sz="4" w:space="0" w:color="auto"/>
              <w:right w:val="single" w:sz="4" w:space="0" w:color="auto"/>
            </w:tcBorders>
            <w:shd w:val="clear" w:color="auto" w:fill="auto"/>
            <w:noWrap/>
            <w:vAlign w:val="center"/>
            <w:hideMark/>
          </w:tcPr>
          <w:p w14:paraId="2A4662D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74.00</w:t>
            </w:r>
          </w:p>
        </w:tc>
        <w:tc>
          <w:tcPr>
            <w:tcW w:w="622" w:type="dxa"/>
            <w:tcBorders>
              <w:top w:val="nil"/>
              <w:left w:val="nil"/>
              <w:bottom w:val="single" w:sz="4" w:space="0" w:color="auto"/>
              <w:right w:val="single" w:sz="8" w:space="0" w:color="auto"/>
            </w:tcBorders>
            <w:shd w:val="clear" w:color="auto" w:fill="auto"/>
            <w:noWrap/>
            <w:vAlign w:val="center"/>
            <w:hideMark/>
          </w:tcPr>
          <w:p w14:paraId="694A80D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77.25</w:t>
            </w:r>
          </w:p>
        </w:tc>
        <w:tc>
          <w:tcPr>
            <w:tcW w:w="622" w:type="dxa"/>
            <w:tcBorders>
              <w:top w:val="nil"/>
              <w:left w:val="nil"/>
              <w:bottom w:val="single" w:sz="4" w:space="0" w:color="auto"/>
              <w:right w:val="single" w:sz="4" w:space="0" w:color="auto"/>
            </w:tcBorders>
            <w:shd w:val="clear" w:color="auto" w:fill="auto"/>
            <w:noWrap/>
            <w:vAlign w:val="center"/>
            <w:hideMark/>
          </w:tcPr>
          <w:p w14:paraId="6A3E5EF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73.25</w:t>
            </w:r>
          </w:p>
        </w:tc>
        <w:tc>
          <w:tcPr>
            <w:tcW w:w="622" w:type="dxa"/>
            <w:tcBorders>
              <w:top w:val="nil"/>
              <w:left w:val="nil"/>
              <w:bottom w:val="single" w:sz="4" w:space="0" w:color="auto"/>
              <w:right w:val="single" w:sz="8" w:space="0" w:color="auto"/>
            </w:tcBorders>
            <w:shd w:val="clear" w:color="auto" w:fill="auto"/>
            <w:noWrap/>
            <w:vAlign w:val="center"/>
            <w:hideMark/>
          </w:tcPr>
          <w:p w14:paraId="75CD60B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70.58</w:t>
            </w:r>
          </w:p>
        </w:tc>
        <w:tc>
          <w:tcPr>
            <w:tcW w:w="622" w:type="dxa"/>
            <w:tcBorders>
              <w:top w:val="nil"/>
              <w:left w:val="nil"/>
              <w:bottom w:val="single" w:sz="4" w:space="0" w:color="auto"/>
              <w:right w:val="single" w:sz="4" w:space="0" w:color="auto"/>
            </w:tcBorders>
            <w:shd w:val="clear" w:color="auto" w:fill="auto"/>
            <w:noWrap/>
            <w:vAlign w:val="center"/>
            <w:hideMark/>
          </w:tcPr>
          <w:p w14:paraId="630582B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70.25</w:t>
            </w:r>
          </w:p>
        </w:tc>
        <w:tc>
          <w:tcPr>
            <w:tcW w:w="622" w:type="dxa"/>
            <w:tcBorders>
              <w:top w:val="nil"/>
              <w:left w:val="nil"/>
              <w:bottom w:val="single" w:sz="4" w:space="0" w:color="auto"/>
              <w:right w:val="single" w:sz="8" w:space="0" w:color="auto"/>
            </w:tcBorders>
            <w:shd w:val="clear" w:color="auto" w:fill="auto"/>
            <w:noWrap/>
            <w:vAlign w:val="center"/>
            <w:hideMark/>
          </w:tcPr>
          <w:p w14:paraId="6575502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70.75</w:t>
            </w:r>
          </w:p>
        </w:tc>
        <w:tc>
          <w:tcPr>
            <w:tcW w:w="622" w:type="dxa"/>
            <w:tcBorders>
              <w:top w:val="nil"/>
              <w:left w:val="nil"/>
              <w:bottom w:val="single" w:sz="4" w:space="0" w:color="auto"/>
              <w:right w:val="single" w:sz="4" w:space="0" w:color="auto"/>
            </w:tcBorders>
            <w:shd w:val="clear" w:color="auto" w:fill="auto"/>
            <w:noWrap/>
            <w:vAlign w:val="center"/>
            <w:hideMark/>
          </w:tcPr>
          <w:p w14:paraId="609174B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73.50</w:t>
            </w:r>
          </w:p>
        </w:tc>
        <w:tc>
          <w:tcPr>
            <w:tcW w:w="622" w:type="dxa"/>
            <w:tcBorders>
              <w:top w:val="nil"/>
              <w:left w:val="nil"/>
              <w:bottom w:val="single" w:sz="4" w:space="0" w:color="auto"/>
              <w:right w:val="single" w:sz="8" w:space="0" w:color="auto"/>
            </w:tcBorders>
            <w:shd w:val="clear" w:color="auto" w:fill="auto"/>
            <w:noWrap/>
            <w:vAlign w:val="center"/>
            <w:hideMark/>
          </w:tcPr>
          <w:p w14:paraId="473743F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75.25</w:t>
            </w:r>
          </w:p>
        </w:tc>
        <w:tc>
          <w:tcPr>
            <w:tcW w:w="622" w:type="dxa"/>
            <w:tcBorders>
              <w:top w:val="nil"/>
              <w:left w:val="nil"/>
              <w:bottom w:val="single" w:sz="4" w:space="0" w:color="auto"/>
              <w:right w:val="single" w:sz="4" w:space="0" w:color="auto"/>
            </w:tcBorders>
            <w:shd w:val="clear" w:color="auto" w:fill="auto"/>
            <w:noWrap/>
            <w:vAlign w:val="center"/>
            <w:hideMark/>
          </w:tcPr>
          <w:p w14:paraId="2E36DFA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72.25</w:t>
            </w:r>
          </w:p>
        </w:tc>
        <w:tc>
          <w:tcPr>
            <w:tcW w:w="622" w:type="dxa"/>
            <w:tcBorders>
              <w:top w:val="nil"/>
              <w:left w:val="nil"/>
              <w:bottom w:val="single" w:sz="4" w:space="0" w:color="auto"/>
              <w:right w:val="single" w:sz="8" w:space="0" w:color="auto"/>
            </w:tcBorders>
            <w:shd w:val="clear" w:color="auto" w:fill="auto"/>
            <w:noWrap/>
            <w:vAlign w:val="center"/>
            <w:hideMark/>
          </w:tcPr>
          <w:p w14:paraId="0A2FC93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77.08</w:t>
            </w:r>
          </w:p>
        </w:tc>
        <w:tc>
          <w:tcPr>
            <w:tcW w:w="622" w:type="dxa"/>
            <w:tcBorders>
              <w:top w:val="nil"/>
              <w:left w:val="nil"/>
              <w:bottom w:val="single" w:sz="4" w:space="0" w:color="auto"/>
              <w:right w:val="single" w:sz="4" w:space="0" w:color="auto"/>
            </w:tcBorders>
            <w:shd w:val="clear" w:color="auto" w:fill="auto"/>
            <w:noWrap/>
            <w:vAlign w:val="center"/>
            <w:hideMark/>
          </w:tcPr>
          <w:p w14:paraId="6647F76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73.75</w:t>
            </w:r>
          </w:p>
        </w:tc>
        <w:tc>
          <w:tcPr>
            <w:tcW w:w="622" w:type="dxa"/>
            <w:tcBorders>
              <w:top w:val="nil"/>
              <w:left w:val="nil"/>
              <w:bottom w:val="single" w:sz="4" w:space="0" w:color="auto"/>
              <w:right w:val="single" w:sz="8" w:space="0" w:color="auto"/>
            </w:tcBorders>
            <w:shd w:val="clear" w:color="auto" w:fill="auto"/>
            <w:noWrap/>
            <w:vAlign w:val="center"/>
            <w:hideMark/>
          </w:tcPr>
          <w:p w14:paraId="71EA5CB7"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76.58</w:t>
            </w:r>
          </w:p>
        </w:tc>
        <w:tc>
          <w:tcPr>
            <w:tcW w:w="622" w:type="dxa"/>
            <w:tcBorders>
              <w:top w:val="nil"/>
              <w:left w:val="nil"/>
              <w:bottom w:val="single" w:sz="4" w:space="0" w:color="auto"/>
              <w:right w:val="single" w:sz="4" w:space="0" w:color="auto"/>
            </w:tcBorders>
            <w:shd w:val="clear" w:color="auto" w:fill="auto"/>
            <w:noWrap/>
            <w:vAlign w:val="center"/>
            <w:hideMark/>
          </w:tcPr>
          <w:p w14:paraId="46F3CAD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80.25</w:t>
            </w:r>
          </w:p>
        </w:tc>
        <w:tc>
          <w:tcPr>
            <w:tcW w:w="622" w:type="dxa"/>
            <w:tcBorders>
              <w:top w:val="nil"/>
              <w:left w:val="nil"/>
              <w:bottom w:val="single" w:sz="4" w:space="0" w:color="auto"/>
              <w:right w:val="single" w:sz="8" w:space="0" w:color="auto"/>
            </w:tcBorders>
            <w:shd w:val="clear" w:color="auto" w:fill="auto"/>
            <w:noWrap/>
            <w:vAlign w:val="center"/>
            <w:hideMark/>
          </w:tcPr>
          <w:p w14:paraId="11B8BB5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74.50</w:t>
            </w:r>
          </w:p>
        </w:tc>
        <w:tc>
          <w:tcPr>
            <w:tcW w:w="622" w:type="dxa"/>
            <w:tcBorders>
              <w:top w:val="nil"/>
              <w:left w:val="nil"/>
              <w:bottom w:val="single" w:sz="4" w:space="0" w:color="auto"/>
              <w:right w:val="single" w:sz="4" w:space="0" w:color="auto"/>
            </w:tcBorders>
            <w:shd w:val="clear" w:color="auto" w:fill="auto"/>
            <w:noWrap/>
            <w:vAlign w:val="center"/>
            <w:hideMark/>
          </w:tcPr>
          <w:p w14:paraId="76F71B3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80.75</w:t>
            </w:r>
          </w:p>
        </w:tc>
        <w:tc>
          <w:tcPr>
            <w:tcW w:w="622" w:type="dxa"/>
            <w:tcBorders>
              <w:top w:val="nil"/>
              <w:left w:val="nil"/>
              <w:bottom w:val="single" w:sz="4" w:space="0" w:color="auto"/>
              <w:right w:val="single" w:sz="8" w:space="0" w:color="auto"/>
            </w:tcBorders>
            <w:shd w:val="clear" w:color="auto" w:fill="auto"/>
            <w:noWrap/>
            <w:vAlign w:val="center"/>
            <w:hideMark/>
          </w:tcPr>
          <w:p w14:paraId="00DD0D4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82.05</w:t>
            </w:r>
          </w:p>
        </w:tc>
      </w:tr>
      <w:tr w:rsidR="008564E2" w:rsidRPr="00234D18" w14:paraId="213E99F3" w14:textId="77777777"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14:paraId="118C47F0"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TGM</w:t>
            </w:r>
          </w:p>
        </w:tc>
        <w:tc>
          <w:tcPr>
            <w:tcW w:w="622" w:type="dxa"/>
            <w:tcBorders>
              <w:top w:val="nil"/>
              <w:left w:val="nil"/>
              <w:bottom w:val="single" w:sz="4" w:space="0" w:color="auto"/>
              <w:right w:val="single" w:sz="4" w:space="0" w:color="auto"/>
            </w:tcBorders>
            <w:shd w:val="clear" w:color="auto" w:fill="auto"/>
            <w:noWrap/>
            <w:vAlign w:val="center"/>
            <w:hideMark/>
          </w:tcPr>
          <w:p w14:paraId="4DB07FE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116.41</w:t>
            </w:r>
          </w:p>
        </w:tc>
        <w:tc>
          <w:tcPr>
            <w:tcW w:w="622" w:type="dxa"/>
            <w:tcBorders>
              <w:top w:val="nil"/>
              <w:left w:val="nil"/>
              <w:bottom w:val="single" w:sz="4" w:space="0" w:color="auto"/>
              <w:right w:val="single" w:sz="8" w:space="0" w:color="auto"/>
            </w:tcBorders>
            <w:shd w:val="clear" w:color="auto" w:fill="auto"/>
            <w:noWrap/>
            <w:vAlign w:val="center"/>
            <w:hideMark/>
          </w:tcPr>
          <w:p w14:paraId="07289AB7"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113.87</w:t>
            </w:r>
          </w:p>
        </w:tc>
        <w:tc>
          <w:tcPr>
            <w:tcW w:w="622" w:type="dxa"/>
            <w:tcBorders>
              <w:top w:val="nil"/>
              <w:left w:val="nil"/>
              <w:bottom w:val="single" w:sz="4" w:space="0" w:color="auto"/>
              <w:right w:val="single" w:sz="4" w:space="0" w:color="auto"/>
            </w:tcBorders>
            <w:shd w:val="clear" w:color="auto" w:fill="auto"/>
            <w:noWrap/>
            <w:vAlign w:val="center"/>
            <w:hideMark/>
          </w:tcPr>
          <w:p w14:paraId="3BC41C5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119.14</w:t>
            </w:r>
          </w:p>
        </w:tc>
        <w:tc>
          <w:tcPr>
            <w:tcW w:w="622" w:type="dxa"/>
            <w:tcBorders>
              <w:top w:val="nil"/>
              <w:left w:val="nil"/>
              <w:bottom w:val="single" w:sz="4" w:space="0" w:color="auto"/>
              <w:right w:val="single" w:sz="8" w:space="0" w:color="auto"/>
            </w:tcBorders>
            <w:shd w:val="clear" w:color="auto" w:fill="auto"/>
            <w:noWrap/>
            <w:vAlign w:val="center"/>
            <w:hideMark/>
          </w:tcPr>
          <w:p w14:paraId="6D8143B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119.11</w:t>
            </w:r>
          </w:p>
        </w:tc>
        <w:tc>
          <w:tcPr>
            <w:tcW w:w="622" w:type="dxa"/>
            <w:tcBorders>
              <w:top w:val="nil"/>
              <w:left w:val="nil"/>
              <w:bottom w:val="single" w:sz="4" w:space="0" w:color="auto"/>
              <w:right w:val="single" w:sz="4" w:space="0" w:color="auto"/>
            </w:tcBorders>
            <w:shd w:val="clear" w:color="auto" w:fill="auto"/>
            <w:noWrap/>
            <w:vAlign w:val="center"/>
            <w:hideMark/>
          </w:tcPr>
          <w:p w14:paraId="130F060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122.13</w:t>
            </w:r>
          </w:p>
        </w:tc>
        <w:tc>
          <w:tcPr>
            <w:tcW w:w="622" w:type="dxa"/>
            <w:tcBorders>
              <w:top w:val="nil"/>
              <w:left w:val="nil"/>
              <w:bottom w:val="single" w:sz="4" w:space="0" w:color="auto"/>
              <w:right w:val="single" w:sz="8" w:space="0" w:color="auto"/>
            </w:tcBorders>
            <w:shd w:val="clear" w:color="auto" w:fill="auto"/>
            <w:noWrap/>
            <w:vAlign w:val="center"/>
            <w:hideMark/>
          </w:tcPr>
          <w:p w14:paraId="4267899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121.41</w:t>
            </w:r>
          </w:p>
        </w:tc>
        <w:tc>
          <w:tcPr>
            <w:tcW w:w="622" w:type="dxa"/>
            <w:tcBorders>
              <w:top w:val="nil"/>
              <w:left w:val="nil"/>
              <w:bottom w:val="single" w:sz="4" w:space="0" w:color="auto"/>
              <w:right w:val="single" w:sz="4" w:space="0" w:color="auto"/>
            </w:tcBorders>
            <w:shd w:val="clear" w:color="auto" w:fill="auto"/>
            <w:noWrap/>
            <w:vAlign w:val="center"/>
            <w:hideMark/>
          </w:tcPr>
          <w:p w14:paraId="19157B0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114.58</w:t>
            </w:r>
          </w:p>
        </w:tc>
        <w:tc>
          <w:tcPr>
            <w:tcW w:w="622" w:type="dxa"/>
            <w:tcBorders>
              <w:top w:val="nil"/>
              <w:left w:val="nil"/>
              <w:bottom w:val="single" w:sz="4" w:space="0" w:color="auto"/>
              <w:right w:val="single" w:sz="8" w:space="0" w:color="auto"/>
            </w:tcBorders>
            <w:shd w:val="clear" w:color="auto" w:fill="auto"/>
            <w:noWrap/>
            <w:vAlign w:val="center"/>
            <w:hideMark/>
          </w:tcPr>
          <w:p w14:paraId="681CD4D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118.75</w:t>
            </w:r>
          </w:p>
        </w:tc>
        <w:tc>
          <w:tcPr>
            <w:tcW w:w="622" w:type="dxa"/>
            <w:tcBorders>
              <w:top w:val="nil"/>
              <w:left w:val="nil"/>
              <w:bottom w:val="single" w:sz="4" w:space="0" w:color="auto"/>
              <w:right w:val="single" w:sz="4" w:space="0" w:color="auto"/>
            </w:tcBorders>
            <w:shd w:val="clear" w:color="auto" w:fill="auto"/>
            <w:noWrap/>
            <w:vAlign w:val="center"/>
            <w:hideMark/>
          </w:tcPr>
          <w:p w14:paraId="351D2EA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113.56</w:t>
            </w:r>
          </w:p>
        </w:tc>
        <w:tc>
          <w:tcPr>
            <w:tcW w:w="622" w:type="dxa"/>
            <w:tcBorders>
              <w:top w:val="nil"/>
              <w:left w:val="nil"/>
              <w:bottom w:val="single" w:sz="4" w:space="0" w:color="auto"/>
              <w:right w:val="single" w:sz="8" w:space="0" w:color="auto"/>
            </w:tcBorders>
            <w:shd w:val="clear" w:color="auto" w:fill="auto"/>
            <w:noWrap/>
            <w:vAlign w:val="center"/>
            <w:hideMark/>
          </w:tcPr>
          <w:p w14:paraId="3B9325D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111.88</w:t>
            </w:r>
          </w:p>
        </w:tc>
        <w:tc>
          <w:tcPr>
            <w:tcW w:w="622" w:type="dxa"/>
            <w:tcBorders>
              <w:top w:val="nil"/>
              <w:left w:val="nil"/>
              <w:bottom w:val="single" w:sz="4" w:space="0" w:color="auto"/>
              <w:right w:val="single" w:sz="4" w:space="0" w:color="auto"/>
            </w:tcBorders>
            <w:shd w:val="clear" w:color="auto" w:fill="auto"/>
            <w:noWrap/>
            <w:vAlign w:val="center"/>
            <w:hideMark/>
          </w:tcPr>
          <w:p w14:paraId="171E8D6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113.48</w:t>
            </w:r>
          </w:p>
        </w:tc>
        <w:tc>
          <w:tcPr>
            <w:tcW w:w="622" w:type="dxa"/>
            <w:tcBorders>
              <w:top w:val="nil"/>
              <w:left w:val="nil"/>
              <w:bottom w:val="single" w:sz="4" w:space="0" w:color="auto"/>
              <w:right w:val="single" w:sz="8" w:space="0" w:color="auto"/>
            </w:tcBorders>
            <w:shd w:val="clear" w:color="auto" w:fill="auto"/>
            <w:noWrap/>
            <w:vAlign w:val="center"/>
            <w:hideMark/>
          </w:tcPr>
          <w:p w14:paraId="0A23976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110.63</w:t>
            </w:r>
          </w:p>
        </w:tc>
        <w:tc>
          <w:tcPr>
            <w:tcW w:w="622" w:type="dxa"/>
            <w:tcBorders>
              <w:top w:val="nil"/>
              <w:left w:val="nil"/>
              <w:bottom w:val="single" w:sz="4" w:space="0" w:color="auto"/>
              <w:right w:val="single" w:sz="4" w:space="0" w:color="auto"/>
            </w:tcBorders>
            <w:shd w:val="clear" w:color="auto" w:fill="auto"/>
            <w:noWrap/>
            <w:vAlign w:val="center"/>
            <w:hideMark/>
          </w:tcPr>
          <w:p w14:paraId="12738B2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118.53</w:t>
            </w:r>
          </w:p>
        </w:tc>
        <w:tc>
          <w:tcPr>
            <w:tcW w:w="622" w:type="dxa"/>
            <w:tcBorders>
              <w:top w:val="nil"/>
              <w:left w:val="nil"/>
              <w:bottom w:val="single" w:sz="4" w:space="0" w:color="auto"/>
              <w:right w:val="single" w:sz="8" w:space="0" w:color="auto"/>
            </w:tcBorders>
            <w:shd w:val="clear" w:color="auto" w:fill="auto"/>
            <w:noWrap/>
            <w:vAlign w:val="center"/>
            <w:hideMark/>
          </w:tcPr>
          <w:p w14:paraId="75AF31D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114.58</w:t>
            </w:r>
          </w:p>
        </w:tc>
        <w:tc>
          <w:tcPr>
            <w:tcW w:w="622" w:type="dxa"/>
            <w:tcBorders>
              <w:top w:val="nil"/>
              <w:left w:val="nil"/>
              <w:bottom w:val="single" w:sz="4" w:space="0" w:color="auto"/>
              <w:right w:val="single" w:sz="4" w:space="0" w:color="auto"/>
            </w:tcBorders>
            <w:shd w:val="clear" w:color="auto" w:fill="auto"/>
            <w:noWrap/>
            <w:vAlign w:val="center"/>
            <w:hideMark/>
          </w:tcPr>
          <w:p w14:paraId="5D18B01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116.40</w:t>
            </w:r>
          </w:p>
        </w:tc>
        <w:tc>
          <w:tcPr>
            <w:tcW w:w="622" w:type="dxa"/>
            <w:tcBorders>
              <w:top w:val="nil"/>
              <w:left w:val="nil"/>
              <w:bottom w:val="single" w:sz="4" w:space="0" w:color="auto"/>
              <w:right w:val="single" w:sz="8" w:space="0" w:color="auto"/>
            </w:tcBorders>
            <w:shd w:val="clear" w:color="auto" w:fill="auto"/>
            <w:noWrap/>
            <w:vAlign w:val="center"/>
            <w:hideMark/>
          </w:tcPr>
          <w:p w14:paraId="172772C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116.80</w:t>
            </w:r>
          </w:p>
        </w:tc>
        <w:tc>
          <w:tcPr>
            <w:tcW w:w="622" w:type="dxa"/>
            <w:tcBorders>
              <w:top w:val="nil"/>
              <w:left w:val="nil"/>
              <w:bottom w:val="single" w:sz="4" w:space="0" w:color="auto"/>
              <w:right w:val="single" w:sz="4" w:space="0" w:color="auto"/>
            </w:tcBorders>
            <w:shd w:val="clear" w:color="auto" w:fill="auto"/>
            <w:noWrap/>
            <w:vAlign w:val="center"/>
            <w:hideMark/>
          </w:tcPr>
          <w:p w14:paraId="5F6B777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119.70</w:t>
            </w:r>
          </w:p>
        </w:tc>
        <w:tc>
          <w:tcPr>
            <w:tcW w:w="622" w:type="dxa"/>
            <w:tcBorders>
              <w:top w:val="nil"/>
              <w:left w:val="nil"/>
              <w:bottom w:val="single" w:sz="4" w:space="0" w:color="auto"/>
              <w:right w:val="single" w:sz="8" w:space="0" w:color="auto"/>
            </w:tcBorders>
            <w:shd w:val="clear" w:color="auto" w:fill="auto"/>
            <w:noWrap/>
            <w:vAlign w:val="center"/>
            <w:hideMark/>
          </w:tcPr>
          <w:p w14:paraId="38D2E00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119.04</w:t>
            </w:r>
          </w:p>
        </w:tc>
        <w:tc>
          <w:tcPr>
            <w:tcW w:w="622" w:type="dxa"/>
            <w:tcBorders>
              <w:top w:val="nil"/>
              <w:left w:val="nil"/>
              <w:bottom w:val="single" w:sz="4" w:space="0" w:color="auto"/>
              <w:right w:val="single" w:sz="4" w:space="0" w:color="auto"/>
            </w:tcBorders>
            <w:shd w:val="clear" w:color="auto" w:fill="auto"/>
            <w:noWrap/>
            <w:vAlign w:val="center"/>
            <w:hideMark/>
          </w:tcPr>
          <w:p w14:paraId="0CE9578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119.88</w:t>
            </w:r>
          </w:p>
        </w:tc>
        <w:tc>
          <w:tcPr>
            <w:tcW w:w="622" w:type="dxa"/>
            <w:tcBorders>
              <w:top w:val="nil"/>
              <w:left w:val="nil"/>
              <w:bottom w:val="single" w:sz="4" w:space="0" w:color="auto"/>
              <w:right w:val="single" w:sz="8" w:space="0" w:color="auto"/>
            </w:tcBorders>
            <w:shd w:val="clear" w:color="auto" w:fill="auto"/>
            <w:noWrap/>
            <w:vAlign w:val="center"/>
            <w:hideMark/>
          </w:tcPr>
          <w:p w14:paraId="6ED031A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119.08</w:t>
            </w:r>
          </w:p>
        </w:tc>
        <w:tc>
          <w:tcPr>
            <w:tcW w:w="622" w:type="dxa"/>
            <w:tcBorders>
              <w:top w:val="nil"/>
              <w:left w:val="nil"/>
              <w:bottom w:val="single" w:sz="4" w:space="0" w:color="auto"/>
              <w:right w:val="single" w:sz="4" w:space="0" w:color="auto"/>
            </w:tcBorders>
            <w:shd w:val="clear" w:color="auto" w:fill="auto"/>
            <w:noWrap/>
            <w:vAlign w:val="center"/>
            <w:hideMark/>
          </w:tcPr>
          <w:p w14:paraId="440DE2C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122.30</w:t>
            </w:r>
          </w:p>
        </w:tc>
        <w:tc>
          <w:tcPr>
            <w:tcW w:w="622" w:type="dxa"/>
            <w:tcBorders>
              <w:top w:val="nil"/>
              <w:left w:val="nil"/>
              <w:bottom w:val="single" w:sz="4" w:space="0" w:color="auto"/>
              <w:right w:val="single" w:sz="8" w:space="0" w:color="auto"/>
            </w:tcBorders>
            <w:shd w:val="clear" w:color="auto" w:fill="auto"/>
            <w:noWrap/>
            <w:vAlign w:val="center"/>
            <w:hideMark/>
          </w:tcPr>
          <w:p w14:paraId="63C1EA1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123.15</w:t>
            </w:r>
          </w:p>
        </w:tc>
      </w:tr>
      <w:tr w:rsidR="008564E2" w:rsidRPr="00234D18" w14:paraId="5BAB002E" w14:textId="77777777"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14:paraId="79A4C316"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HPPP</w:t>
            </w:r>
          </w:p>
        </w:tc>
        <w:tc>
          <w:tcPr>
            <w:tcW w:w="622" w:type="dxa"/>
            <w:tcBorders>
              <w:top w:val="nil"/>
              <w:left w:val="nil"/>
              <w:bottom w:val="single" w:sz="4" w:space="0" w:color="auto"/>
              <w:right w:val="single" w:sz="4" w:space="0" w:color="auto"/>
            </w:tcBorders>
            <w:shd w:val="clear" w:color="auto" w:fill="auto"/>
            <w:noWrap/>
            <w:vAlign w:val="center"/>
            <w:hideMark/>
          </w:tcPr>
          <w:p w14:paraId="40DD0B9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3.58</w:t>
            </w:r>
          </w:p>
        </w:tc>
        <w:tc>
          <w:tcPr>
            <w:tcW w:w="622" w:type="dxa"/>
            <w:tcBorders>
              <w:top w:val="nil"/>
              <w:left w:val="nil"/>
              <w:bottom w:val="single" w:sz="4" w:space="0" w:color="auto"/>
              <w:right w:val="single" w:sz="8" w:space="0" w:color="auto"/>
            </w:tcBorders>
            <w:shd w:val="clear" w:color="auto" w:fill="auto"/>
            <w:noWrap/>
            <w:vAlign w:val="center"/>
            <w:hideMark/>
          </w:tcPr>
          <w:p w14:paraId="7B128F9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3.38</w:t>
            </w:r>
          </w:p>
        </w:tc>
        <w:tc>
          <w:tcPr>
            <w:tcW w:w="622" w:type="dxa"/>
            <w:tcBorders>
              <w:top w:val="nil"/>
              <w:left w:val="nil"/>
              <w:bottom w:val="single" w:sz="4" w:space="0" w:color="auto"/>
              <w:right w:val="single" w:sz="4" w:space="0" w:color="auto"/>
            </w:tcBorders>
            <w:shd w:val="clear" w:color="auto" w:fill="auto"/>
            <w:noWrap/>
            <w:vAlign w:val="center"/>
            <w:hideMark/>
          </w:tcPr>
          <w:p w14:paraId="121ACD9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4.07</w:t>
            </w:r>
          </w:p>
        </w:tc>
        <w:tc>
          <w:tcPr>
            <w:tcW w:w="622" w:type="dxa"/>
            <w:tcBorders>
              <w:top w:val="nil"/>
              <w:left w:val="nil"/>
              <w:bottom w:val="single" w:sz="4" w:space="0" w:color="auto"/>
              <w:right w:val="single" w:sz="8" w:space="0" w:color="auto"/>
            </w:tcBorders>
            <w:shd w:val="clear" w:color="auto" w:fill="auto"/>
            <w:noWrap/>
            <w:vAlign w:val="center"/>
            <w:hideMark/>
          </w:tcPr>
          <w:p w14:paraId="294D4BD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2.99</w:t>
            </w:r>
          </w:p>
        </w:tc>
        <w:tc>
          <w:tcPr>
            <w:tcW w:w="622" w:type="dxa"/>
            <w:tcBorders>
              <w:top w:val="nil"/>
              <w:left w:val="nil"/>
              <w:bottom w:val="single" w:sz="4" w:space="0" w:color="auto"/>
              <w:right w:val="single" w:sz="4" w:space="0" w:color="auto"/>
            </w:tcBorders>
            <w:shd w:val="clear" w:color="auto" w:fill="auto"/>
            <w:noWrap/>
            <w:vAlign w:val="center"/>
            <w:hideMark/>
          </w:tcPr>
          <w:p w14:paraId="1563E707"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4.38</w:t>
            </w:r>
          </w:p>
        </w:tc>
        <w:tc>
          <w:tcPr>
            <w:tcW w:w="622" w:type="dxa"/>
            <w:tcBorders>
              <w:top w:val="nil"/>
              <w:left w:val="nil"/>
              <w:bottom w:val="single" w:sz="4" w:space="0" w:color="auto"/>
              <w:right w:val="single" w:sz="8" w:space="0" w:color="auto"/>
            </w:tcBorders>
            <w:shd w:val="clear" w:color="auto" w:fill="auto"/>
            <w:noWrap/>
            <w:vAlign w:val="center"/>
            <w:hideMark/>
          </w:tcPr>
          <w:p w14:paraId="34A2C28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3.50</w:t>
            </w:r>
          </w:p>
        </w:tc>
        <w:tc>
          <w:tcPr>
            <w:tcW w:w="622" w:type="dxa"/>
            <w:tcBorders>
              <w:top w:val="nil"/>
              <w:left w:val="nil"/>
              <w:bottom w:val="single" w:sz="4" w:space="0" w:color="auto"/>
              <w:right w:val="single" w:sz="4" w:space="0" w:color="auto"/>
            </w:tcBorders>
            <w:shd w:val="clear" w:color="auto" w:fill="auto"/>
            <w:noWrap/>
            <w:vAlign w:val="center"/>
            <w:hideMark/>
          </w:tcPr>
          <w:p w14:paraId="630E47E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c>
          <w:tcPr>
            <w:tcW w:w="622" w:type="dxa"/>
            <w:tcBorders>
              <w:top w:val="nil"/>
              <w:left w:val="nil"/>
              <w:bottom w:val="single" w:sz="4" w:space="0" w:color="auto"/>
              <w:right w:val="single" w:sz="8" w:space="0" w:color="auto"/>
            </w:tcBorders>
            <w:shd w:val="clear" w:color="auto" w:fill="auto"/>
            <w:noWrap/>
            <w:vAlign w:val="center"/>
            <w:hideMark/>
          </w:tcPr>
          <w:p w14:paraId="35E8667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4.00</w:t>
            </w:r>
          </w:p>
        </w:tc>
        <w:tc>
          <w:tcPr>
            <w:tcW w:w="622" w:type="dxa"/>
            <w:tcBorders>
              <w:top w:val="nil"/>
              <w:left w:val="nil"/>
              <w:bottom w:val="single" w:sz="4" w:space="0" w:color="auto"/>
              <w:right w:val="single" w:sz="4" w:space="0" w:color="auto"/>
            </w:tcBorders>
            <w:shd w:val="clear" w:color="auto" w:fill="auto"/>
            <w:noWrap/>
            <w:vAlign w:val="center"/>
            <w:hideMark/>
          </w:tcPr>
          <w:p w14:paraId="2FAFDA5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8" w:space="0" w:color="auto"/>
            </w:tcBorders>
            <w:shd w:val="clear" w:color="auto" w:fill="auto"/>
            <w:noWrap/>
            <w:vAlign w:val="center"/>
            <w:hideMark/>
          </w:tcPr>
          <w:p w14:paraId="08591AA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6.75</w:t>
            </w:r>
          </w:p>
        </w:tc>
        <w:tc>
          <w:tcPr>
            <w:tcW w:w="622" w:type="dxa"/>
            <w:tcBorders>
              <w:top w:val="nil"/>
              <w:left w:val="nil"/>
              <w:bottom w:val="single" w:sz="4" w:space="0" w:color="auto"/>
              <w:right w:val="single" w:sz="4" w:space="0" w:color="auto"/>
            </w:tcBorders>
            <w:shd w:val="clear" w:color="auto" w:fill="auto"/>
            <w:noWrap/>
            <w:vAlign w:val="center"/>
            <w:hideMark/>
          </w:tcPr>
          <w:p w14:paraId="5D60054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6.25</w:t>
            </w:r>
          </w:p>
        </w:tc>
        <w:tc>
          <w:tcPr>
            <w:tcW w:w="622" w:type="dxa"/>
            <w:tcBorders>
              <w:top w:val="nil"/>
              <w:left w:val="nil"/>
              <w:bottom w:val="single" w:sz="4" w:space="0" w:color="auto"/>
              <w:right w:val="single" w:sz="8" w:space="0" w:color="auto"/>
            </w:tcBorders>
            <w:shd w:val="clear" w:color="auto" w:fill="auto"/>
            <w:noWrap/>
            <w:vAlign w:val="center"/>
            <w:hideMark/>
          </w:tcPr>
          <w:p w14:paraId="47B67C3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4" w:space="0" w:color="auto"/>
            </w:tcBorders>
            <w:shd w:val="clear" w:color="auto" w:fill="auto"/>
            <w:noWrap/>
            <w:vAlign w:val="center"/>
            <w:hideMark/>
          </w:tcPr>
          <w:p w14:paraId="3EC8D9A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4.75</w:t>
            </w:r>
          </w:p>
        </w:tc>
        <w:tc>
          <w:tcPr>
            <w:tcW w:w="622" w:type="dxa"/>
            <w:tcBorders>
              <w:top w:val="nil"/>
              <w:left w:val="nil"/>
              <w:bottom w:val="single" w:sz="4" w:space="0" w:color="auto"/>
              <w:right w:val="single" w:sz="8" w:space="0" w:color="auto"/>
            </w:tcBorders>
            <w:shd w:val="clear" w:color="auto" w:fill="auto"/>
            <w:noWrap/>
            <w:vAlign w:val="center"/>
            <w:hideMark/>
          </w:tcPr>
          <w:p w14:paraId="3A53671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3.50</w:t>
            </w:r>
          </w:p>
        </w:tc>
        <w:tc>
          <w:tcPr>
            <w:tcW w:w="622" w:type="dxa"/>
            <w:tcBorders>
              <w:top w:val="nil"/>
              <w:left w:val="nil"/>
              <w:bottom w:val="single" w:sz="4" w:space="0" w:color="auto"/>
              <w:right w:val="single" w:sz="4" w:space="0" w:color="auto"/>
            </w:tcBorders>
            <w:shd w:val="clear" w:color="auto" w:fill="auto"/>
            <w:noWrap/>
            <w:vAlign w:val="center"/>
            <w:hideMark/>
          </w:tcPr>
          <w:p w14:paraId="2CA69B6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8" w:space="0" w:color="auto"/>
            </w:tcBorders>
            <w:shd w:val="clear" w:color="auto" w:fill="auto"/>
            <w:noWrap/>
            <w:vAlign w:val="center"/>
            <w:hideMark/>
          </w:tcPr>
          <w:p w14:paraId="0EA45AD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c>
          <w:tcPr>
            <w:tcW w:w="622" w:type="dxa"/>
            <w:tcBorders>
              <w:top w:val="nil"/>
              <w:left w:val="nil"/>
              <w:bottom w:val="single" w:sz="4" w:space="0" w:color="auto"/>
              <w:right w:val="single" w:sz="4" w:space="0" w:color="auto"/>
            </w:tcBorders>
            <w:shd w:val="clear" w:color="auto" w:fill="auto"/>
            <w:noWrap/>
            <w:vAlign w:val="center"/>
            <w:hideMark/>
          </w:tcPr>
          <w:p w14:paraId="523CD7B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8" w:space="0" w:color="auto"/>
            </w:tcBorders>
            <w:shd w:val="clear" w:color="auto" w:fill="auto"/>
            <w:noWrap/>
            <w:vAlign w:val="center"/>
            <w:hideMark/>
          </w:tcPr>
          <w:p w14:paraId="032BA45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4.50</w:t>
            </w:r>
          </w:p>
        </w:tc>
        <w:tc>
          <w:tcPr>
            <w:tcW w:w="622" w:type="dxa"/>
            <w:tcBorders>
              <w:top w:val="nil"/>
              <w:left w:val="nil"/>
              <w:bottom w:val="single" w:sz="4" w:space="0" w:color="auto"/>
              <w:right w:val="single" w:sz="4" w:space="0" w:color="auto"/>
            </w:tcBorders>
            <w:shd w:val="clear" w:color="auto" w:fill="auto"/>
            <w:noWrap/>
            <w:vAlign w:val="center"/>
            <w:hideMark/>
          </w:tcPr>
          <w:p w14:paraId="3C4CDE9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8" w:space="0" w:color="auto"/>
            </w:tcBorders>
            <w:shd w:val="clear" w:color="auto" w:fill="auto"/>
            <w:noWrap/>
            <w:vAlign w:val="center"/>
            <w:hideMark/>
          </w:tcPr>
          <w:p w14:paraId="6C05500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3.75</w:t>
            </w:r>
          </w:p>
        </w:tc>
        <w:tc>
          <w:tcPr>
            <w:tcW w:w="622" w:type="dxa"/>
            <w:tcBorders>
              <w:top w:val="nil"/>
              <w:left w:val="nil"/>
              <w:bottom w:val="single" w:sz="4" w:space="0" w:color="auto"/>
              <w:right w:val="single" w:sz="4" w:space="0" w:color="auto"/>
            </w:tcBorders>
            <w:shd w:val="clear" w:color="auto" w:fill="auto"/>
            <w:noWrap/>
            <w:vAlign w:val="center"/>
            <w:hideMark/>
          </w:tcPr>
          <w:p w14:paraId="22DB29D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6.50</w:t>
            </w:r>
          </w:p>
        </w:tc>
        <w:tc>
          <w:tcPr>
            <w:tcW w:w="622" w:type="dxa"/>
            <w:tcBorders>
              <w:top w:val="nil"/>
              <w:left w:val="nil"/>
              <w:bottom w:val="single" w:sz="4" w:space="0" w:color="auto"/>
              <w:right w:val="single" w:sz="8" w:space="0" w:color="auto"/>
            </w:tcBorders>
            <w:shd w:val="clear" w:color="auto" w:fill="auto"/>
            <w:noWrap/>
            <w:vAlign w:val="center"/>
            <w:hideMark/>
          </w:tcPr>
          <w:p w14:paraId="4CE0806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r>
      <w:tr w:rsidR="008564E2" w:rsidRPr="00234D18" w14:paraId="2BAD7F0F" w14:textId="77777777"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14:paraId="4A32BBDA"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TGDW</w:t>
            </w:r>
          </w:p>
        </w:tc>
        <w:tc>
          <w:tcPr>
            <w:tcW w:w="622" w:type="dxa"/>
            <w:tcBorders>
              <w:top w:val="nil"/>
              <w:left w:val="nil"/>
              <w:bottom w:val="single" w:sz="4" w:space="0" w:color="auto"/>
              <w:right w:val="single" w:sz="4" w:space="0" w:color="auto"/>
            </w:tcBorders>
            <w:shd w:val="clear" w:color="auto" w:fill="auto"/>
            <w:noWrap/>
            <w:vAlign w:val="center"/>
            <w:hideMark/>
          </w:tcPr>
          <w:p w14:paraId="175D7D8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166.53</w:t>
            </w:r>
          </w:p>
        </w:tc>
        <w:tc>
          <w:tcPr>
            <w:tcW w:w="622" w:type="dxa"/>
            <w:tcBorders>
              <w:top w:val="nil"/>
              <w:left w:val="nil"/>
              <w:bottom w:val="single" w:sz="4" w:space="0" w:color="auto"/>
              <w:right w:val="single" w:sz="8" w:space="0" w:color="auto"/>
            </w:tcBorders>
            <w:shd w:val="clear" w:color="auto" w:fill="auto"/>
            <w:noWrap/>
            <w:vAlign w:val="center"/>
            <w:hideMark/>
          </w:tcPr>
          <w:p w14:paraId="78A65E8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136.38</w:t>
            </w:r>
          </w:p>
        </w:tc>
        <w:tc>
          <w:tcPr>
            <w:tcW w:w="622" w:type="dxa"/>
            <w:tcBorders>
              <w:top w:val="nil"/>
              <w:left w:val="nil"/>
              <w:bottom w:val="single" w:sz="4" w:space="0" w:color="auto"/>
              <w:right w:val="single" w:sz="4" w:space="0" w:color="auto"/>
            </w:tcBorders>
            <w:shd w:val="clear" w:color="auto" w:fill="auto"/>
            <w:noWrap/>
            <w:vAlign w:val="center"/>
            <w:hideMark/>
          </w:tcPr>
          <w:p w14:paraId="2184D50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185.03</w:t>
            </w:r>
          </w:p>
        </w:tc>
        <w:tc>
          <w:tcPr>
            <w:tcW w:w="622" w:type="dxa"/>
            <w:tcBorders>
              <w:top w:val="nil"/>
              <w:left w:val="nil"/>
              <w:bottom w:val="single" w:sz="4" w:space="0" w:color="auto"/>
              <w:right w:val="single" w:sz="8" w:space="0" w:color="auto"/>
            </w:tcBorders>
            <w:shd w:val="clear" w:color="auto" w:fill="auto"/>
            <w:noWrap/>
            <w:vAlign w:val="center"/>
            <w:hideMark/>
          </w:tcPr>
          <w:p w14:paraId="7FEE518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125.52</w:t>
            </w:r>
          </w:p>
        </w:tc>
        <w:tc>
          <w:tcPr>
            <w:tcW w:w="622" w:type="dxa"/>
            <w:tcBorders>
              <w:top w:val="nil"/>
              <w:left w:val="nil"/>
              <w:bottom w:val="single" w:sz="4" w:space="0" w:color="auto"/>
              <w:right w:val="single" w:sz="4" w:space="0" w:color="auto"/>
            </w:tcBorders>
            <w:shd w:val="clear" w:color="auto" w:fill="auto"/>
            <w:noWrap/>
            <w:vAlign w:val="center"/>
            <w:hideMark/>
          </w:tcPr>
          <w:p w14:paraId="74BA80E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201.23</w:t>
            </w:r>
          </w:p>
        </w:tc>
        <w:tc>
          <w:tcPr>
            <w:tcW w:w="622" w:type="dxa"/>
            <w:tcBorders>
              <w:top w:val="nil"/>
              <w:left w:val="nil"/>
              <w:bottom w:val="single" w:sz="4" w:space="0" w:color="auto"/>
              <w:right w:val="single" w:sz="8" w:space="0" w:color="auto"/>
            </w:tcBorders>
            <w:shd w:val="clear" w:color="auto" w:fill="auto"/>
            <w:noWrap/>
            <w:vAlign w:val="center"/>
            <w:hideMark/>
          </w:tcPr>
          <w:p w14:paraId="31F02E9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192.47</w:t>
            </w:r>
          </w:p>
        </w:tc>
        <w:tc>
          <w:tcPr>
            <w:tcW w:w="622" w:type="dxa"/>
            <w:tcBorders>
              <w:top w:val="nil"/>
              <w:left w:val="nil"/>
              <w:bottom w:val="single" w:sz="4" w:space="0" w:color="auto"/>
              <w:right w:val="single" w:sz="4" w:space="0" w:color="auto"/>
            </w:tcBorders>
            <w:shd w:val="clear" w:color="auto" w:fill="auto"/>
            <w:noWrap/>
            <w:vAlign w:val="center"/>
            <w:hideMark/>
          </w:tcPr>
          <w:p w14:paraId="6638C08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174.90</w:t>
            </w:r>
          </w:p>
        </w:tc>
        <w:tc>
          <w:tcPr>
            <w:tcW w:w="622" w:type="dxa"/>
            <w:tcBorders>
              <w:top w:val="nil"/>
              <w:left w:val="nil"/>
              <w:bottom w:val="single" w:sz="4" w:space="0" w:color="auto"/>
              <w:right w:val="single" w:sz="8" w:space="0" w:color="auto"/>
            </w:tcBorders>
            <w:shd w:val="clear" w:color="auto" w:fill="auto"/>
            <w:noWrap/>
            <w:vAlign w:val="center"/>
            <w:hideMark/>
          </w:tcPr>
          <w:p w14:paraId="2A3FF60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166.60</w:t>
            </w:r>
          </w:p>
        </w:tc>
        <w:tc>
          <w:tcPr>
            <w:tcW w:w="622" w:type="dxa"/>
            <w:tcBorders>
              <w:top w:val="nil"/>
              <w:left w:val="nil"/>
              <w:bottom w:val="single" w:sz="4" w:space="0" w:color="auto"/>
              <w:right w:val="single" w:sz="4" w:space="0" w:color="auto"/>
            </w:tcBorders>
            <w:shd w:val="clear" w:color="auto" w:fill="auto"/>
            <w:noWrap/>
            <w:vAlign w:val="center"/>
            <w:hideMark/>
          </w:tcPr>
          <w:p w14:paraId="72CE60B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188.58</w:t>
            </w:r>
          </w:p>
        </w:tc>
        <w:tc>
          <w:tcPr>
            <w:tcW w:w="622" w:type="dxa"/>
            <w:tcBorders>
              <w:top w:val="nil"/>
              <w:left w:val="nil"/>
              <w:bottom w:val="single" w:sz="4" w:space="0" w:color="auto"/>
              <w:right w:val="single" w:sz="8" w:space="0" w:color="auto"/>
            </w:tcBorders>
            <w:shd w:val="clear" w:color="auto" w:fill="auto"/>
            <w:noWrap/>
            <w:vAlign w:val="center"/>
            <w:hideMark/>
          </w:tcPr>
          <w:p w14:paraId="7260C46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175.05</w:t>
            </w:r>
          </w:p>
        </w:tc>
        <w:tc>
          <w:tcPr>
            <w:tcW w:w="622" w:type="dxa"/>
            <w:tcBorders>
              <w:top w:val="nil"/>
              <w:left w:val="nil"/>
              <w:bottom w:val="single" w:sz="4" w:space="0" w:color="auto"/>
              <w:right w:val="single" w:sz="4" w:space="0" w:color="auto"/>
            </w:tcBorders>
            <w:shd w:val="clear" w:color="auto" w:fill="auto"/>
            <w:noWrap/>
            <w:vAlign w:val="center"/>
            <w:hideMark/>
          </w:tcPr>
          <w:p w14:paraId="055AF27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207.88</w:t>
            </w:r>
          </w:p>
        </w:tc>
        <w:tc>
          <w:tcPr>
            <w:tcW w:w="622" w:type="dxa"/>
            <w:tcBorders>
              <w:top w:val="nil"/>
              <w:left w:val="nil"/>
              <w:bottom w:val="single" w:sz="4" w:space="0" w:color="auto"/>
              <w:right w:val="single" w:sz="8" w:space="0" w:color="auto"/>
            </w:tcBorders>
            <w:shd w:val="clear" w:color="auto" w:fill="auto"/>
            <w:noWrap/>
            <w:vAlign w:val="center"/>
            <w:hideMark/>
          </w:tcPr>
          <w:p w14:paraId="0D158E3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185.08</w:t>
            </w:r>
          </w:p>
        </w:tc>
        <w:tc>
          <w:tcPr>
            <w:tcW w:w="622" w:type="dxa"/>
            <w:tcBorders>
              <w:top w:val="nil"/>
              <w:left w:val="nil"/>
              <w:bottom w:val="single" w:sz="4" w:space="0" w:color="auto"/>
              <w:right w:val="single" w:sz="4" w:space="0" w:color="auto"/>
            </w:tcBorders>
            <w:shd w:val="clear" w:color="auto" w:fill="auto"/>
            <w:noWrap/>
            <w:vAlign w:val="center"/>
            <w:hideMark/>
          </w:tcPr>
          <w:p w14:paraId="0EFE720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168.50</w:t>
            </w:r>
          </w:p>
        </w:tc>
        <w:tc>
          <w:tcPr>
            <w:tcW w:w="622" w:type="dxa"/>
            <w:tcBorders>
              <w:top w:val="nil"/>
              <w:left w:val="nil"/>
              <w:bottom w:val="single" w:sz="4" w:space="0" w:color="auto"/>
              <w:right w:val="single" w:sz="8" w:space="0" w:color="auto"/>
            </w:tcBorders>
            <w:shd w:val="clear" w:color="auto" w:fill="auto"/>
            <w:noWrap/>
            <w:vAlign w:val="center"/>
            <w:hideMark/>
          </w:tcPr>
          <w:p w14:paraId="526A704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160.58</w:t>
            </w:r>
          </w:p>
        </w:tc>
        <w:tc>
          <w:tcPr>
            <w:tcW w:w="622" w:type="dxa"/>
            <w:tcBorders>
              <w:top w:val="nil"/>
              <w:left w:val="nil"/>
              <w:bottom w:val="single" w:sz="4" w:space="0" w:color="auto"/>
              <w:right w:val="single" w:sz="4" w:space="0" w:color="auto"/>
            </w:tcBorders>
            <w:shd w:val="clear" w:color="auto" w:fill="auto"/>
            <w:noWrap/>
            <w:vAlign w:val="center"/>
            <w:hideMark/>
          </w:tcPr>
          <w:p w14:paraId="58616067"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202.60</w:t>
            </w:r>
          </w:p>
        </w:tc>
        <w:tc>
          <w:tcPr>
            <w:tcW w:w="622" w:type="dxa"/>
            <w:tcBorders>
              <w:top w:val="nil"/>
              <w:left w:val="nil"/>
              <w:bottom w:val="single" w:sz="4" w:space="0" w:color="auto"/>
              <w:right w:val="single" w:sz="8" w:space="0" w:color="auto"/>
            </w:tcBorders>
            <w:shd w:val="clear" w:color="auto" w:fill="auto"/>
            <w:noWrap/>
            <w:vAlign w:val="center"/>
            <w:hideMark/>
          </w:tcPr>
          <w:p w14:paraId="2ABC33C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165.08</w:t>
            </w:r>
          </w:p>
        </w:tc>
        <w:tc>
          <w:tcPr>
            <w:tcW w:w="622" w:type="dxa"/>
            <w:tcBorders>
              <w:top w:val="nil"/>
              <w:left w:val="nil"/>
              <w:bottom w:val="single" w:sz="4" w:space="0" w:color="auto"/>
              <w:right w:val="single" w:sz="4" w:space="0" w:color="auto"/>
            </w:tcBorders>
            <w:shd w:val="clear" w:color="auto" w:fill="auto"/>
            <w:noWrap/>
            <w:vAlign w:val="center"/>
            <w:hideMark/>
          </w:tcPr>
          <w:p w14:paraId="111A088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238.88</w:t>
            </w:r>
          </w:p>
        </w:tc>
        <w:tc>
          <w:tcPr>
            <w:tcW w:w="622" w:type="dxa"/>
            <w:tcBorders>
              <w:top w:val="nil"/>
              <w:left w:val="nil"/>
              <w:bottom w:val="single" w:sz="4" w:space="0" w:color="auto"/>
              <w:right w:val="single" w:sz="8" w:space="0" w:color="auto"/>
            </w:tcBorders>
            <w:shd w:val="clear" w:color="auto" w:fill="auto"/>
            <w:noWrap/>
            <w:vAlign w:val="center"/>
            <w:hideMark/>
          </w:tcPr>
          <w:p w14:paraId="2EC6946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152.75</w:t>
            </w:r>
          </w:p>
        </w:tc>
        <w:tc>
          <w:tcPr>
            <w:tcW w:w="622" w:type="dxa"/>
            <w:tcBorders>
              <w:top w:val="nil"/>
              <w:left w:val="nil"/>
              <w:bottom w:val="single" w:sz="4" w:space="0" w:color="auto"/>
              <w:right w:val="single" w:sz="4" w:space="0" w:color="auto"/>
            </w:tcBorders>
            <w:shd w:val="clear" w:color="auto" w:fill="auto"/>
            <w:noWrap/>
            <w:vAlign w:val="center"/>
            <w:hideMark/>
          </w:tcPr>
          <w:p w14:paraId="1337764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188.50</w:t>
            </w:r>
          </w:p>
        </w:tc>
        <w:tc>
          <w:tcPr>
            <w:tcW w:w="622" w:type="dxa"/>
            <w:tcBorders>
              <w:top w:val="nil"/>
              <w:left w:val="nil"/>
              <w:bottom w:val="single" w:sz="4" w:space="0" w:color="auto"/>
              <w:right w:val="single" w:sz="8" w:space="0" w:color="auto"/>
            </w:tcBorders>
            <w:shd w:val="clear" w:color="auto" w:fill="auto"/>
            <w:noWrap/>
            <w:vAlign w:val="center"/>
            <w:hideMark/>
          </w:tcPr>
          <w:p w14:paraId="51C1533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199.93</w:t>
            </w:r>
          </w:p>
        </w:tc>
        <w:tc>
          <w:tcPr>
            <w:tcW w:w="622" w:type="dxa"/>
            <w:tcBorders>
              <w:top w:val="nil"/>
              <w:left w:val="nil"/>
              <w:bottom w:val="single" w:sz="4" w:space="0" w:color="auto"/>
              <w:right w:val="single" w:sz="4" w:space="0" w:color="auto"/>
            </w:tcBorders>
            <w:shd w:val="clear" w:color="auto" w:fill="auto"/>
            <w:noWrap/>
            <w:vAlign w:val="center"/>
            <w:hideMark/>
          </w:tcPr>
          <w:p w14:paraId="00A3360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206.75</w:t>
            </w:r>
          </w:p>
        </w:tc>
        <w:tc>
          <w:tcPr>
            <w:tcW w:w="622" w:type="dxa"/>
            <w:tcBorders>
              <w:top w:val="nil"/>
              <w:left w:val="nil"/>
              <w:bottom w:val="single" w:sz="4" w:space="0" w:color="auto"/>
              <w:right w:val="single" w:sz="8" w:space="0" w:color="auto"/>
            </w:tcBorders>
            <w:shd w:val="clear" w:color="auto" w:fill="auto"/>
            <w:noWrap/>
            <w:vAlign w:val="center"/>
            <w:hideMark/>
          </w:tcPr>
          <w:p w14:paraId="105BC55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196.00</w:t>
            </w:r>
          </w:p>
        </w:tc>
      </w:tr>
      <w:tr w:rsidR="008564E2" w:rsidRPr="00234D18" w14:paraId="08B29DC8" w14:textId="77777777"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14:paraId="39F01E21"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GYPP</w:t>
            </w:r>
          </w:p>
        </w:tc>
        <w:tc>
          <w:tcPr>
            <w:tcW w:w="622" w:type="dxa"/>
            <w:tcBorders>
              <w:top w:val="nil"/>
              <w:left w:val="nil"/>
              <w:bottom w:val="single" w:sz="4" w:space="0" w:color="auto"/>
              <w:right w:val="single" w:sz="4" w:space="0" w:color="auto"/>
            </w:tcBorders>
            <w:shd w:val="clear" w:color="auto" w:fill="auto"/>
            <w:noWrap/>
            <w:vAlign w:val="center"/>
            <w:hideMark/>
          </w:tcPr>
          <w:p w14:paraId="4BC0B89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55.51</w:t>
            </w:r>
          </w:p>
        </w:tc>
        <w:tc>
          <w:tcPr>
            <w:tcW w:w="622" w:type="dxa"/>
            <w:tcBorders>
              <w:top w:val="nil"/>
              <w:left w:val="nil"/>
              <w:bottom w:val="single" w:sz="4" w:space="0" w:color="auto"/>
              <w:right w:val="single" w:sz="8" w:space="0" w:color="auto"/>
            </w:tcBorders>
            <w:shd w:val="clear" w:color="auto" w:fill="auto"/>
            <w:noWrap/>
            <w:vAlign w:val="center"/>
            <w:hideMark/>
          </w:tcPr>
          <w:p w14:paraId="3B7707F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45.46</w:t>
            </w:r>
          </w:p>
        </w:tc>
        <w:tc>
          <w:tcPr>
            <w:tcW w:w="622" w:type="dxa"/>
            <w:tcBorders>
              <w:top w:val="nil"/>
              <w:left w:val="nil"/>
              <w:bottom w:val="single" w:sz="4" w:space="0" w:color="auto"/>
              <w:right w:val="single" w:sz="4" w:space="0" w:color="auto"/>
            </w:tcBorders>
            <w:shd w:val="clear" w:color="auto" w:fill="auto"/>
            <w:noWrap/>
            <w:vAlign w:val="center"/>
            <w:hideMark/>
          </w:tcPr>
          <w:p w14:paraId="6078AF7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61.68</w:t>
            </w:r>
          </w:p>
        </w:tc>
        <w:tc>
          <w:tcPr>
            <w:tcW w:w="622" w:type="dxa"/>
            <w:tcBorders>
              <w:top w:val="nil"/>
              <w:left w:val="nil"/>
              <w:bottom w:val="single" w:sz="4" w:space="0" w:color="auto"/>
              <w:right w:val="single" w:sz="8" w:space="0" w:color="auto"/>
            </w:tcBorders>
            <w:shd w:val="clear" w:color="auto" w:fill="auto"/>
            <w:noWrap/>
            <w:vAlign w:val="center"/>
            <w:hideMark/>
          </w:tcPr>
          <w:p w14:paraId="10F17A2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41.84</w:t>
            </w:r>
          </w:p>
        </w:tc>
        <w:tc>
          <w:tcPr>
            <w:tcW w:w="622" w:type="dxa"/>
            <w:tcBorders>
              <w:top w:val="nil"/>
              <w:left w:val="nil"/>
              <w:bottom w:val="single" w:sz="4" w:space="0" w:color="auto"/>
              <w:right w:val="single" w:sz="4" w:space="0" w:color="auto"/>
            </w:tcBorders>
            <w:shd w:val="clear" w:color="auto" w:fill="auto"/>
            <w:noWrap/>
            <w:vAlign w:val="center"/>
            <w:hideMark/>
          </w:tcPr>
          <w:p w14:paraId="1AE7C39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67.08</w:t>
            </w:r>
          </w:p>
        </w:tc>
        <w:tc>
          <w:tcPr>
            <w:tcW w:w="622" w:type="dxa"/>
            <w:tcBorders>
              <w:top w:val="nil"/>
              <w:left w:val="nil"/>
              <w:bottom w:val="single" w:sz="4" w:space="0" w:color="auto"/>
              <w:right w:val="single" w:sz="8" w:space="0" w:color="auto"/>
            </w:tcBorders>
            <w:shd w:val="clear" w:color="auto" w:fill="auto"/>
            <w:noWrap/>
            <w:vAlign w:val="center"/>
            <w:hideMark/>
          </w:tcPr>
          <w:p w14:paraId="4846819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53.11</w:t>
            </w:r>
          </w:p>
        </w:tc>
        <w:tc>
          <w:tcPr>
            <w:tcW w:w="622" w:type="dxa"/>
            <w:tcBorders>
              <w:top w:val="nil"/>
              <w:left w:val="nil"/>
              <w:bottom w:val="single" w:sz="4" w:space="0" w:color="auto"/>
              <w:right w:val="single" w:sz="4" w:space="0" w:color="auto"/>
            </w:tcBorders>
            <w:shd w:val="clear" w:color="auto" w:fill="auto"/>
            <w:noWrap/>
            <w:vAlign w:val="center"/>
            <w:hideMark/>
          </w:tcPr>
          <w:p w14:paraId="53E7727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57.13</w:t>
            </w:r>
          </w:p>
        </w:tc>
        <w:tc>
          <w:tcPr>
            <w:tcW w:w="622" w:type="dxa"/>
            <w:tcBorders>
              <w:top w:val="nil"/>
              <w:left w:val="nil"/>
              <w:bottom w:val="single" w:sz="4" w:space="0" w:color="auto"/>
              <w:right w:val="single" w:sz="8" w:space="0" w:color="auto"/>
            </w:tcBorders>
            <w:shd w:val="clear" w:color="auto" w:fill="auto"/>
            <w:noWrap/>
            <w:vAlign w:val="center"/>
            <w:hideMark/>
          </w:tcPr>
          <w:p w14:paraId="711F714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52.28</w:t>
            </w:r>
          </w:p>
        </w:tc>
        <w:tc>
          <w:tcPr>
            <w:tcW w:w="622" w:type="dxa"/>
            <w:tcBorders>
              <w:top w:val="nil"/>
              <w:left w:val="nil"/>
              <w:bottom w:val="single" w:sz="4" w:space="0" w:color="auto"/>
              <w:right w:val="single" w:sz="4" w:space="0" w:color="auto"/>
            </w:tcBorders>
            <w:shd w:val="clear" w:color="auto" w:fill="auto"/>
            <w:noWrap/>
            <w:vAlign w:val="center"/>
            <w:hideMark/>
          </w:tcPr>
          <w:p w14:paraId="5E48E0F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62.86</w:t>
            </w:r>
          </w:p>
        </w:tc>
        <w:tc>
          <w:tcPr>
            <w:tcW w:w="622" w:type="dxa"/>
            <w:tcBorders>
              <w:top w:val="nil"/>
              <w:left w:val="nil"/>
              <w:bottom w:val="single" w:sz="4" w:space="0" w:color="auto"/>
              <w:right w:val="single" w:sz="8" w:space="0" w:color="auto"/>
            </w:tcBorders>
            <w:shd w:val="clear" w:color="auto" w:fill="auto"/>
            <w:noWrap/>
            <w:vAlign w:val="center"/>
            <w:hideMark/>
          </w:tcPr>
          <w:p w14:paraId="2CEC5F6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58.35</w:t>
            </w:r>
          </w:p>
        </w:tc>
        <w:tc>
          <w:tcPr>
            <w:tcW w:w="622" w:type="dxa"/>
            <w:tcBorders>
              <w:top w:val="nil"/>
              <w:left w:val="nil"/>
              <w:bottom w:val="single" w:sz="4" w:space="0" w:color="auto"/>
              <w:right w:val="single" w:sz="4" w:space="0" w:color="auto"/>
            </w:tcBorders>
            <w:shd w:val="clear" w:color="auto" w:fill="auto"/>
            <w:noWrap/>
            <w:vAlign w:val="center"/>
            <w:hideMark/>
          </w:tcPr>
          <w:p w14:paraId="0314677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69.29</w:t>
            </w:r>
          </w:p>
        </w:tc>
        <w:tc>
          <w:tcPr>
            <w:tcW w:w="622" w:type="dxa"/>
            <w:tcBorders>
              <w:top w:val="nil"/>
              <w:left w:val="nil"/>
              <w:bottom w:val="single" w:sz="4" w:space="0" w:color="auto"/>
              <w:right w:val="single" w:sz="8" w:space="0" w:color="auto"/>
            </w:tcBorders>
            <w:shd w:val="clear" w:color="auto" w:fill="auto"/>
            <w:noWrap/>
            <w:vAlign w:val="center"/>
            <w:hideMark/>
          </w:tcPr>
          <w:p w14:paraId="40D29F9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61.69</w:t>
            </w:r>
          </w:p>
        </w:tc>
        <w:tc>
          <w:tcPr>
            <w:tcW w:w="622" w:type="dxa"/>
            <w:tcBorders>
              <w:top w:val="nil"/>
              <w:left w:val="nil"/>
              <w:bottom w:val="single" w:sz="4" w:space="0" w:color="auto"/>
              <w:right w:val="single" w:sz="4" w:space="0" w:color="auto"/>
            </w:tcBorders>
            <w:shd w:val="clear" w:color="auto" w:fill="auto"/>
            <w:noWrap/>
            <w:vAlign w:val="center"/>
            <w:hideMark/>
          </w:tcPr>
          <w:p w14:paraId="6B414FC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54.94</w:t>
            </w:r>
          </w:p>
        </w:tc>
        <w:tc>
          <w:tcPr>
            <w:tcW w:w="622" w:type="dxa"/>
            <w:tcBorders>
              <w:top w:val="nil"/>
              <w:left w:val="nil"/>
              <w:bottom w:val="single" w:sz="4" w:space="0" w:color="auto"/>
              <w:right w:val="single" w:sz="8" w:space="0" w:color="auto"/>
            </w:tcBorders>
            <w:shd w:val="clear" w:color="auto" w:fill="auto"/>
            <w:noWrap/>
            <w:vAlign w:val="center"/>
            <w:hideMark/>
          </w:tcPr>
          <w:p w14:paraId="439D7F2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48.82</w:t>
            </w:r>
          </w:p>
        </w:tc>
        <w:tc>
          <w:tcPr>
            <w:tcW w:w="622" w:type="dxa"/>
            <w:tcBorders>
              <w:top w:val="nil"/>
              <w:left w:val="nil"/>
              <w:bottom w:val="single" w:sz="4" w:space="0" w:color="auto"/>
              <w:right w:val="single" w:sz="4" w:space="0" w:color="auto"/>
            </w:tcBorders>
            <w:shd w:val="clear" w:color="auto" w:fill="auto"/>
            <w:noWrap/>
            <w:vAlign w:val="center"/>
            <w:hideMark/>
          </w:tcPr>
          <w:p w14:paraId="0C248FB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56.88</w:t>
            </w:r>
          </w:p>
        </w:tc>
        <w:tc>
          <w:tcPr>
            <w:tcW w:w="622" w:type="dxa"/>
            <w:tcBorders>
              <w:top w:val="nil"/>
              <w:left w:val="nil"/>
              <w:bottom w:val="single" w:sz="4" w:space="0" w:color="auto"/>
              <w:right w:val="single" w:sz="8" w:space="0" w:color="auto"/>
            </w:tcBorders>
            <w:shd w:val="clear" w:color="auto" w:fill="auto"/>
            <w:noWrap/>
            <w:vAlign w:val="center"/>
            <w:hideMark/>
          </w:tcPr>
          <w:p w14:paraId="71AABD1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41.29</w:t>
            </w:r>
          </w:p>
        </w:tc>
        <w:tc>
          <w:tcPr>
            <w:tcW w:w="622" w:type="dxa"/>
            <w:tcBorders>
              <w:top w:val="nil"/>
              <w:left w:val="nil"/>
              <w:bottom w:val="single" w:sz="4" w:space="0" w:color="auto"/>
              <w:right w:val="single" w:sz="4" w:space="0" w:color="auto"/>
            </w:tcBorders>
            <w:shd w:val="clear" w:color="auto" w:fill="auto"/>
            <w:noWrap/>
            <w:vAlign w:val="center"/>
            <w:hideMark/>
          </w:tcPr>
          <w:p w14:paraId="3E260CF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73.91</w:t>
            </w:r>
          </w:p>
        </w:tc>
        <w:tc>
          <w:tcPr>
            <w:tcW w:w="622" w:type="dxa"/>
            <w:tcBorders>
              <w:top w:val="nil"/>
              <w:left w:val="nil"/>
              <w:bottom w:val="single" w:sz="4" w:space="0" w:color="auto"/>
              <w:right w:val="single" w:sz="8" w:space="0" w:color="auto"/>
            </w:tcBorders>
            <w:shd w:val="clear" w:color="auto" w:fill="auto"/>
            <w:noWrap/>
            <w:vAlign w:val="center"/>
            <w:hideMark/>
          </w:tcPr>
          <w:p w14:paraId="54CCAE0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46.48</w:t>
            </w:r>
          </w:p>
        </w:tc>
        <w:tc>
          <w:tcPr>
            <w:tcW w:w="622" w:type="dxa"/>
            <w:tcBorders>
              <w:top w:val="nil"/>
              <w:left w:val="nil"/>
              <w:bottom w:val="single" w:sz="4" w:space="0" w:color="auto"/>
              <w:right w:val="single" w:sz="4" w:space="0" w:color="auto"/>
            </w:tcBorders>
            <w:shd w:val="clear" w:color="auto" w:fill="auto"/>
            <w:noWrap/>
            <w:vAlign w:val="center"/>
            <w:hideMark/>
          </w:tcPr>
          <w:p w14:paraId="4B3C5EB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62.83</w:t>
            </w:r>
          </w:p>
        </w:tc>
        <w:tc>
          <w:tcPr>
            <w:tcW w:w="622" w:type="dxa"/>
            <w:tcBorders>
              <w:top w:val="nil"/>
              <w:left w:val="nil"/>
              <w:bottom w:val="single" w:sz="4" w:space="0" w:color="auto"/>
              <w:right w:val="single" w:sz="8" w:space="0" w:color="auto"/>
            </w:tcBorders>
            <w:shd w:val="clear" w:color="auto" w:fill="auto"/>
            <w:noWrap/>
            <w:vAlign w:val="center"/>
            <w:hideMark/>
          </w:tcPr>
          <w:p w14:paraId="660B549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44.08</w:t>
            </w:r>
          </w:p>
        </w:tc>
        <w:tc>
          <w:tcPr>
            <w:tcW w:w="622" w:type="dxa"/>
            <w:tcBorders>
              <w:top w:val="nil"/>
              <w:left w:val="nil"/>
              <w:bottom w:val="single" w:sz="4" w:space="0" w:color="auto"/>
              <w:right w:val="single" w:sz="4" w:space="0" w:color="auto"/>
            </w:tcBorders>
            <w:shd w:val="clear" w:color="auto" w:fill="auto"/>
            <w:noWrap/>
            <w:vAlign w:val="center"/>
            <w:hideMark/>
          </w:tcPr>
          <w:p w14:paraId="5BB9468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68.92</w:t>
            </w:r>
          </w:p>
        </w:tc>
        <w:tc>
          <w:tcPr>
            <w:tcW w:w="622" w:type="dxa"/>
            <w:tcBorders>
              <w:top w:val="nil"/>
              <w:left w:val="nil"/>
              <w:bottom w:val="single" w:sz="4" w:space="0" w:color="auto"/>
              <w:right w:val="single" w:sz="8" w:space="0" w:color="auto"/>
            </w:tcBorders>
            <w:shd w:val="clear" w:color="auto" w:fill="auto"/>
            <w:noWrap/>
            <w:vAlign w:val="center"/>
            <w:hideMark/>
          </w:tcPr>
          <w:p w14:paraId="6DD4684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45.25</w:t>
            </w:r>
          </w:p>
        </w:tc>
      </w:tr>
      <w:tr w:rsidR="008564E2" w:rsidRPr="00234D18" w14:paraId="0869274D" w14:textId="77777777"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14:paraId="475BB788"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DSW</w:t>
            </w:r>
          </w:p>
        </w:tc>
        <w:tc>
          <w:tcPr>
            <w:tcW w:w="622" w:type="dxa"/>
            <w:tcBorders>
              <w:top w:val="nil"/>
              <w:left w:val="nil"/>
              <w:bottom w:val="single" w:sz="4" w:space="0" w:color="auto"/>
              <w:right w:val="single" w:sz="4" w:space="0" w:color="auto"/>
            </w:tcBorders>
            <w:shd w:val="clear" w:color="auto" w:fill="auto"/>
            <w:noWrap/>
            <w:vAlign w:val="center"/>
            <w:hideMark/>
          </w:tcPr>
          <w:p w14:paraId="249CA6E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749.18</w:t>
            </w:r>
          </w:p>
        </w:tc>
        <w:tc>
          <w:tcPr>
            <w:tcW w:w="622" w:type="dxa"/>
            <w:tcBorders>
              <w:top w:val="nil"/>
              <w:left w:val="nil"/>
              <w:bottom w:val="single" w:sz="4" w:space="0" w:color="auto"/>
              <w:right w:val="single" w:sz="8" w:space="0" w:color="auto"/>
            </w:tcBorders>
            <w:shd w:val="clear" w:color="auto" w:fill="auto"/>
            <w:noWrap/>
            <w:vAlign w:val="center"/>
            <w:hideMark/>
          </w:tcPr>
          <w:p w14:paraId="28BB1B1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486.04</w:t>
            </w:r>
          </w:p>
        </w:tc>
        <w:tc>
          <w:tcPr>
            <w:tcW w:w="622" w:type="dxa"/>
            <w:tcBorders>
              <w:top w:val="nil"/>
              <w:left w:val="nil"/>
              <w:bottom w:val="single" w:sz="4" w:space="0" w:color="auto"/>
              <w:right w:val="single" w:sz="4" w:space="0" w:color="auto"/>
            </w:tcBorders>
            <w:shd w:val="clear" w:color="auto" w:fill="auto"/>
            <w:noWrap/>
            <w:vAlign w:val="center"/>
            <w:hideMark/>
          </w:tcPr>
          <w:p w14:paraId="2D0A5BC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682.84</w:t>
            </w:r>
          </w:p>
        </w:tc>
        <w:tc>
          <w:tcPr>
            <w:tcW w:w="622" w:type="dxa"/>
            <w:tcBorders>
              <w:top w:val="nil"/>
              <w:left w:val="nil"/>
              <w:bottom w:val="single" w:sz="4" w:space="0" w:color="auto"/>
              <w:right w:val="single" w:sz="8" w:space="0" w:color="auto"/>
            </w:tcBorders>
            <w:shd w:val="clear" w:color="auto" w:fill="auto"/>
            <w:noWrap/>
            <w:vAlign w:val="center"/>
            <w:hideMark/>
          </w:tcPr>
          <w:p w14:paraId="016EC94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460.71</w:t>
            </w:r>
          </w:p>
        </w:tc>
        <w:tc>
          <w:tcPr>
            <w:tcW w:w="622" w:type="dxa"/>
            <w:tcBorders>
              <w:top w:val="nil"/>
              <w:left w:val="nil"/>
              <w:bottom w:val="single" w:sz="4" w:space="0" w:color="auto"/>
              <w:right w:val="single" w:sz="4" w:space="0" w:color="auto"/>
            </w:tcBorders>
            <w:shd w:val="clear" w:color="auto" w:fill="auto"/>
            <w:noWrap/>
            <w:vAlign w:val="center"/>
            <w:hideMark/>
          </w:tcPr>
          <w:p w14:paraId="122BFA7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823.84</w:t>
            </w:r>
          </w:p>
        </w:tc>
        <w:tc>
          <w:tcPr>
            <w:tcW w:w="622" w:type="dxa"/>
            <w:tcBorders>
              <w:top w:val="nil"/>
              <w:left w:val="nil"/>
              <w:bottom w:val="single" w:sz="4" w:space="0" w:color="auto"/>
              <w:right w:val="single" w:sz="8" w:space="0" w:color="auto"/>
            </w:tcBorders>
            <w:shd w:val="clear" w:color="auto" w:fill="auto"/>
            <w:noWrap/>
            <w:vAlign w:val="center"/>
            <w:hideMark/>
          </w:tcPr>
          <w:p w14:paraId="3C355D8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634.64</w:t>
            </w:r>
          </w:p>
        </w:tc>
        <w:tc>
          <w:tcPr>
            <w:tcW w:w="622" w:type="dxa"/>
            <w:tcBorders>
              <w:top w:val="nil"/>
              <w:left w:val="nil"/>
              <w:bottom w:val="single" w:sz="4" w:space="0" w:color="auto"/>
              <w:right w:val="single" w:sz="4" w:space="0" w:color="auto"/>
            </w:tcBorders>
            <w:shd w:val="clear" w:color="auto" w:fill="auto"/>
            <w:noWrap/>
            <w:vAlign w:val="center"/>
            <w:hideMark/>
          </w:tcPr>
          <w:p w14:paraId="6651303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651.30</w:t>
            </w:r>
          </w:p>
        </w:tc>
        <w:tc>
          <w:tcPr>
            <w:tcW w:w="622" w:type="dxa"/>
            <w:tcBorders>
              <w:top w:val="nil"/>
              <w:left w:val="nil"/>
              <w:bottom w:val="single" w:sz="4" w:space="0" w:color="auto"/>
              <w:right w:val="single" w:sz="8" w:space="0" w:color="auto"/>
            </w:tcBorders>
            <w:shd w:val="clear" w:color="auto" w:fill="auto"/>
            <w:noWrap/>
            <w:vAlign w:val="center"/>
            <w:hideMark/>
          </w:tcPr>
          <w:p w14:paraId="53B4547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552.78</w:t>
            </w:r>
          </w:p>
        </w:tc>
        <w:tc>
          <w:tcPr>
            <w:tcW w:w="622" w:type="dxa"/>
            <w:tcBorders>
              <w:top w:val="nil"/>
              <w:left w:val="nil"/>
              <w:bottom w:val="single" w:sz="4" w:space="0" w:color="auto"/>
              <w:right w:val="single" w:sz="4" w:space="0" w:color="auto"/>
            </w:tcBorders>
            <w:shd w:val="clear" w:color="auto" w:fill="auto"/>
            <w:noWrap/>
            <w:vAlign w:val="center"/>
            <w:hideMark/>
          </w:tcPr>
          <w:p w14:paraId="481893C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671.80</w:t>
            </w:r>
          </w:p>
        </w:tc>
        <w:tc>
          <w:tcPr>
            <w:tcW w:w="622" w:type="dxa"/>
            <w:tcBorders>
              <w:top w:val="nil"/>
              <w:left w:val="nil"/>
              <w:bottom w:val="single" w:sz="4" w:space="0" w:color="auto"/>
              <w:right w:val="single" w:sz="8" w:space="0" w:color="auto"/>
            </w:tcBorders>
            <w:shd w:val="clear" w:color="auto" w:fill="auto"/>
            <w:noWrap/>
            <w:vAlign w:val="center"/>
            <w:hideMark/>
          </w:tcPr>
          <w:p w14:paraId="71E9DE2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576.63</w:t>
            </w:r>
          </w:p>
        </w:tc>
        <w:tc>
          <w:tcPr>
            <w:tcW w:w="622" w:type="dxa"/>
            <w:tcBorders>
              <w:top w:val="nil"/>
              <w:left w:val="nil"/>
              <w:bottom w:val="single" w:sz="4" w:space="0" w:color="auto"/>
              <w:right w:val="single" w:sz="4" w:space="0" w:color="auto"/>
            </w:tcBorders>
            <w:shd w:val="clear" w:color="auto" w:fill="auto"/>
            <w:noWrap/>
            <w:vAlign w:val="center"/>
            <w:hideMark/>
          </w:tcPr>
          <w:p w14:paraId="33FC8C7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727.53</w:t>
            </w:r>
          </w:p>
        </w:tc>
        <w:tc>
          <w:tcPr>
            <w:tcW w:w="622" w:type="dxa"/>
            <w:tcBorders>
              <w:top w:val="nil"/>
              <w:left w:val="nil"/>
              <w:bottom w:val="single" w:sz="4" w:space="0" w:color="auto"/>
              <w:right w:val="single" w:sz="8" w:space="0" w:color="auto"/>
            </w:tcBorders>
            <w:shd w:val="clear" w:color="auto" w:fill="auto"/>
            <w:noWrap/>
            <w:vAlign w:val="center"/>
            <w:hideMark/>
          </w:tcPr>
          <w:p w14:paraId="7AA53BF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536.95</w:t>
            </w:r>
          </w:p>
        </w:tc>
        <w:tc>
          <w:tcPr>
            <w:tcW w:w="622" w:type="dxa"/>
            <w:tcBorders>
              <w:top w:val="nil"/>
              <w:left w:val="nil"/>
              <w:bottom w:val="single" w:sz="4" w:space="0" w:color="auto"/>
              <w:right w:val="single" w:sz="4" w:space="0" w:color="auto"/>
            </w:tcBorders>
            <w:shd w:val="clear" w:color="auto" w:fill="auto"/>
            <w:noWrap/>
            <w:vAlign w:val="center"/>
            <w:hideMark/>
          </w:tcPr>
          <w:p w14:paraId="2FF98BC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636.69</w:t>
            </w:r>
          </w:p>
        </w:tc>
        <w:tc>
          <w:tcPr>
            <w:tcW w:w="622" w:type="dxa"/>
            <w:tcBorders>
              <w:top w:val="nil"/>
              <w:left w:val="nil"/>
              <w:bottom w:val="single" w:sz="4" w:space="0" w:color="auto"/>
              <w:right w:val="single" w:sz="8" w:space="0" w:color="auto"/>
            </w:tcBorders>
            <w:shd w:val="clear" w:color="auto" w:fill="auto"/>
            <w:noWrap/>
            <w:vAlign w:val="center"/>
            <w:hideMark/>
          </w:tcPr>
          <w:p w14:paraId="13743B9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587.69</w:t>
            </w:r>
          </w:p>
        </w:tc>
        <w:tc>
          <w:tcPr>
            <w:tcW w:w="622" w:type="dxa"/>
            <w:tcBorders>
              <w:top w:val="nil"/>
              <w:left w:val="nil"/>
              <w:bottom w:val="single" w:sz="4" w:space="0" w:color="auto"/>
              <w:right w:val="single" w:sz="4" w:space="0" w:color="auto"/>
            </w:tcBorders>
            <w:shd w:val="clear" w:color="auto" w:fill="auto"/>
            <w:noWrap/>
            <w:vAlign w:val="center"/>
            <w:hideMark/>
          </w:tcPr>
          <w:p w14:paraId="6D1FEC9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856.35</w:t>
            </w:r>
          </w:p>
        </w:tc>
        <w:tc>
          <w:tcPr>
            <w:tcW w:w="622" w:type="dxa"/>
            <w:tcBorders>
              <w:top w:val="nil"/>
              <w:left w:val="nil"/>
              <w:bottom w:val="single" w:sz="4" w:space="0" w:color="auto"/>
              <w:right w:val="single" w:sz="8" w:space="0" w:color="auto"/>
            </w:tcBorders>
            <w:shd w:val="clear" w:color="auto" w:fill="auto"/>
            <w:noWrap/>
            <w:vAlign w:val="center"/>
            <w:hideMark/>
          </w:tcPr>
          <w:p w14:paraId="7CC3848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533.23</w:t>
            </w:r>
          </w:p>
        </w:tc>
        <w:tc>
          <w:tcPr>
            <w:tcW w:w="622" w:type="dxa"/>
            <w:tcBorders>
              <w:top w:val="nil"/>
              <w:left w:val="nil"/>
              <w:bottom w:val="single" w:sz="4" w:space="0" w:color="auto"/>
              <w:right w:val="single" w:sz="4" w:space="0" w:color="auto"/>
            </w:tcBorders>
            <w:shd w:val="clear" w:color="auto" w:fill="auto"/>
            <w:noWrap/>
            <w:vAlign w:val="center"/>
            <w:hideMark/>
          </w:tcPr>
          <w:p w14:paraId="73BF8FF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852.77</w:t>
            </w:r>
          </w:p>
        </w:tc>
        <w:tc>
          <w:tcPr>
            <w:tcW w:w="622" w:type="dxa"/>
            <w:tcBorders>
              <w:top w:val="nil"/>
              <w:left w:val="nil"/>
              <w:bottom w:val="single" w:sz="4" w:space="0" w:color="auto"/>
              <w:right w:val="single" w:sz="8" w:space="0" w:color="auto"/>
            </w:tcBorders>
            <w:shd w:val="clear" w:color="auto" w:fill="auto"/>
            <w:noWrap/>
            <w:vAlign w:val="center"/>
            <w:hideMark/>
          </w:tcPr>
          <w:p w14:paraId="1702289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450.53</w:t>
            </w:r>
          </w:p>
        </w:tc>
        <w:tc>
          <w:tcPr>
            <w:tcW w:w="622" w:type="dxa"/>
            <w:tcBorders>
              <w:top w:val="nil"/>
              <w:left w:val="nil"/>
              <w:bottom w:val="single" w:sz="4" w:space="0" w:color="auto"/>
              <w:right w:val="single" w:sz="4" w:space="0" w:color="auto"/>
            </w:tcBorders>
            <w:shd w:val="clear" w:color="auto" w:fill="auto"/>
            <w:noWrap/>
            <w:vAlign w:val="center"/>
            <w:hideMark/>
          </w:tcPr>
          <w:p w14:paraId="48DBA4B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921.48</w:t>
            </w:r>
          </w:p>
        </w:tc>
        <w:tc>
          <w:tcPr>
            <w:tcW w:w="622" w:type="dxa"/>
            <w:tcBorders>
              <w:top w:val="nil"/>
              <w:left w:val="nil"/>
              <w:bottom w:val="single" w:sz="4" w:space="0" w:color="auto"/>
              <w:right w:val="single" w:sz="8" w:space="0" w:color="auto"/>
            </w:tcBorders>
            <w:shd w:val="clear" w:color="auto" w:fill="auto"/>
            <w:noWrap/>
            <w:vAlign w:val="center"/>
            <w:hideMark/>
          </w:tcPr>
          <w:p w14:paraId="2D4B9A8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649.00</w:t>
            </w:r>
          </w:p>
        </w:tc>
        <w:tc>
          <w:tcPr>
            <w:tcW w:w="622" w:type="dxa"/>
            <w:tcBorders>
              <w:top w:val="nil"/>
              <w:left w:val="nil"/>
              <w:bottom w:val="single" w:sz="4" w:space="0" w:color="auto"/>
              <w:right w:val="single" w:sz="4" w:space="0" w:color="auto"/>
            </w:tcBorders>
            <w:shd w:val="clear" w:color="auto" w:fill="auto"/>
            <w:noWrap/>
            <w:vAlign w:val="center"/>
            <w:hideMark/>
          </w:tcPr>
          <w:p w14:paraId="487361B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925.85</w:t>
            </w:r>
          </w:p>
        </w:tc>
        <w:tc>
          <w:tcPr>
            <w:tcW w:w="622" w:type="dxa"/>
            <w:tcBorders>
              <w:top w:val="nil"/>
              <w:left w:val="nil"/>
              <w:bottom w:val="single" w:sz="4" w:space="0" w:color="auto"/>
              <w:right w:val="single" w:sz="8" w:space="0" w:color="auto"/>
            </w:tcBorders>
            <w:shd w:val="clear" w:color="auto" w:fill="auto"/>
            <w:noWrap/>
            <w:vAlign w:val="center"/>
            <w:hideMark/>
          </w:tcPr>
          <w:p w14:paraId="0D797AD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554.23</w:t>
            </w:r>
          </w:p>
        </w:tc>
      </w:tr>
      <w:tr w:rsidR="008564E2" w:rsidRPr="00234D18" w14:paraId="2C427E9D" w14:textId="77777777" w:rsidTr="00C2037F">
        <w:trPr>
          <w:trHeight w:val="594"/>
        </w:trPr>
        <w:tc>
          <w:tcPr>
            <w:tcW w:w="823" w:type="dxa"/>
            <w:tcBorders>
              <w:top w:val="nil"/>
              <w:left w:val="single" w:sz="8" w:space="0" w:color="auto"/>
              <w:bottom w:val="single" w:sz="8" w:space="0" w:color="auto"/>
              <w:right w:val="single" w:sz="8" w:space="0" w:color="auto"/>
            </w:tcBorders>
            <w:shd w:val="clear" w:color="auto" w:fill="auto"/>
            <w:noWrap/>
            <w:vAlign w:val="center"/>
            <w:hideMark/>
          </w:tcPr>
          <w:p w14:paraId="45156F1E"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Pr>
                <w:rFonts w:ascii="Times New Roman" w:eastAsia="Times New Roman" w:hAnsi="Times New Roman" w:cs="Times New Roman"/>
                <w:b/>
                <w:bCs/>
                <w:color w:val="000000"/>
                <w:sz w:val="16"/>
                <w:szCs w:val="14"/>
                <w:lang w:eastAsia="en-IN"/>
              </w:rPr>
              <w:t>HSW</w:t>
            </w:r>
          </w:p>
        </w:tc>
        <w:tc>
          <w:tcPr>
            <w:tcW w:w="622" w:type="dxa"/>
            <w:tcBorders>
              <w:top w:val="nil"/>
              <w:left w:val="nil"/>
              <w:bottom w:val="single" w:sz="8" w:space="0" w:color="auto"/>
              <w:right w:val="single" w:sz="4" w:space="0" w:color="auto"/>
            </w:tcBorders>
            <w:shd w:val="clear" w:color="auto" w:fill="auto"/>
            <w:noWrap/>
            <w:vAlign w:val="center"/>
            <w:hideMark/>
          </w:tcPr>
          <w:p w14:paraId="6254A9F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3.40</w:t>
            </w:r>
          </w:p>
        </w:tc>
        <w:tc>
          <w:tcPr>
            <w:tcW w:w="622" w:type="dxa"/>
            <w:tcBorders>
              <w:top w:val="nil"/>
              <w:left w:val="nil"/>
              <w:bottom w:val="single" w:sz="8" w:space="0" w:color="auto"/>
              <w:right w:val="single" w:sz="8" w:space="0" w:color="auto"/>
            </w:tcBorders>
            <w:shd w:val="clear" w:color="auto" w:fill="auto"/>
            <w:noWrap/>
            <w:vAlign w:val="center"/>
            <w:hideMark/>
          </w:tcPr>
          <w:p w14:paraId="6508466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2.28</w:t>
            </w:r>
          </w:p>
        </w:tc>
        <w:tc>
          <w:tcPr>
            <w:tcW w:w="622" w:type="dxa"/>
            <w:tcBorders>
              <w:top w:val="nil"/>
              <w:left w:val="nil"/>
              <w:bottom w:val="single" w:sz="8" w:space="0" w:color="auto"/>
              <w:right w:val="single" w:sz="4" w:space="0" w:color="auto"/>
            </w:tcBorders>
            <w:shd w:val="clear" w:color="auto" w:fill="auto"/>
            <w:noWrap/>
            <w:vAlign w:val="center"/>
            <w:hideMark/>
          </w:tcPr>
          <w:p w14:paraId="0982FFE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3.57</w:t>
            </w:r>
          </w:p>
        </w:tc>
        <w:tc>
          <w:tcPr>
            <w:tcW w:w="622" w:type="dxa"/>
            <w:tcBorders>
              <w:top w:val="nil"/>
              <w:left w:val="nil"/>
              <w:bottom w:val="single" w:sz="8" w:space="0" w:color="auto"/>
              <w:right w:val="single" w:sz="8" w:space="0" w:color="auto"/>
            </w:tcBorders>
            <w:shd w:val="clear" w:color="auto" w:fill="auto"/>
            <w:noWrap/>
            <w:vAlign w:val="center"/>
            <w:hideMark/>
          </w:tcPr>
          <w:p w14:paraId="019FB96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2.81</w:t>
            </w:r>
          </w:p>
        </w:tc>
        <w:tc>
          <w:tcPr>
            <w:tcW w:w="622" w:type="dxa"/>
            <w:tcBorders>
              <w:top w:val="nil"/>
              <w:left w:val="nil"/>
              <w:bottom w:val="single" w:sz="8" w:space="0" w:color="auto"/>
              <w:right w:val="single" w:sz="4" w:space="0" w:color="auto"/>
            </w:tcBorders>
            <w:shd w:val="clear" w:color="auto" w:fill="auto"/>
            <w:noWrap/>
            <w:vAlign w:val="center"/>
            <w:hideMark/>
          </w:tcPr>
          <w:p w14:paraId="67995E2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3.91</w:t>
            </w:r>
          </w:p>
        </w:tc>
        <w:tc>
          <w:tcPr>
            <w:tcW w:w="622" w:type="dxa"/>
            <w:tcBorders>
              <w:top w:val="nil"/>
              <w:left w:val="nil"/>
              <w:bottom w:val="single" w:sz="8" w:space="0" w:color="auto"/>
              <w:right w:val="single" w:sz="8" w:space="0" w:color="auto"/>
            </w:tcBorders>
            <w:shd w:val="clear" w:color="auto" w:fill="auto"/>
            <w:noWrap/>
            <w:vAlign w:val="center"/>
            <w:hideMark/>
          </w:tcPr>
          <w:p w14:paraId="01BD793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3.46</w:t>
            </w:r>
          </w:p>
        </w:tc>
        <w:tc>
          <w:tcPr>
            <w:tcW w:w="622" w:type="dxa"/>
            <w:tcBorders>
              <w:top w:val="nil"/>
              <w:left w:val="nil"/>
              <w:bottom w:val="single" w:sz="8" w:space="0" w:color="auto"/>
              <w:right w:val="single" w:sz="4" w:space="0" w:color="auto"/>
            </w:tcBorders>
            <w:shd w:val="clear" w:color="auto" w:fill="auto"/>
            <w:noWrap/>
            <w:vAlign w:val="center"/>
            <w:hideMark/>
          </w:tcPr>
          <w:p w14:paraId="5CE0657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3.58</w:t>
            </w:r>
          </w:p>
        </w:tc>
        <w:tc>
          <w:tcPr>
            <w:tcW w:w="622" w:type="dxa"/>
            <w:tcBorders>
              <w:top w:val="nil"/>
              <w:left w:val="nil"/>
              <w:bottom w:val="single" w:sz="8" w:space="0" w:color="auto"/>
              <w:right w:val="single" w:sz="8" w:space="0" w:color="auto"/>
            </w:tcBorders>
            <w:shd w:val="clear" w:color="auto" w:fill="auto"/>
            <w:noWrap/>
            <w:vAlign w:val="center"/>
            <w:hideMark/>
          </w:tcPr>
          <w:p w14:paraId="27A12CF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3.13</w:t>
            </w:r>
          </w:p>
        </w:tc>
        <w:tc>
          <w:tcPr>
            <w:tcW w:w="622" w:type="dxa"/>
            <w:tcBorders>
              <w:top w:val="nil"/>
              <w:left w:val="nil"/>
              <w:bottom w:val="single" w:sz="8" w:space="0" w:color="auto"/>
              <w:right w:val="single" w:sz="4" w:space="0" w:color="auto"/>
            </w:tcBorders>
            <w:shd w:val="clear" w:color="auto" w:fill="auto"/>
            <w:noWrap/>
            <w:vAlign w:val="center"/>
            <w:hideMark/>
          </w:tcPr>
          <w:p w14:paraId="6D47136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3.65</w:t>
            </w:r>
          </w:p>
        </w:tc>
        <w:tc>
          <w:tcPr>
            <w:tcW w:w="622" w:type="dxa"/>
            <w:tcBorders>
              <w:top w:val="nil"/>
              <w:left w:val="nil"/>
              <w:bottom w:val="single" w:sz="8" w:space="0" w:color="auto"/>
              <w:right w:val="single" w:sz="8" w:space="0" w:color="auto"/>
            </w:tcBorders>
            <w:shd w:val="clear" w:color="auto" w:fill="auto"/>
            <w:noWrap/>
            <w:vAlign w:val="center"/>
            <w:hideMark/>
          </w:tcPr>
          <w:p w14:paraId="5AC0A3D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3.23</w:t>
            </w:r>
          </w:p>
        </w:tc>
        <w:tc>
          <w:tcPr>
            <w:tcW w:w="622" w:type="dxa"/>
            <w:tcBorders>
              <w:top w:val="nil"/>
              <w:left w:val="nil"/>
              <w:bottom w:val="single" w:sz="8" w:space="0" w:color="auto"/>
              <w:right w:val="single" w:sz="4" w:space="0" w:color="auto"/>
            </w:tcBorders>
            <w:shd w:val="clear" w:color="auto" w:fill="auto"/>
            <w:noWrap/>
            <w:vAlign w:val="center"/>
            <w:hideMark/>
          </w:tcPr>
          <w:p w14:paraId="2B5B7E4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3.55</w:t>
            </w:r>
          </w:p>
        </w:tc>
        <w:tc>
          <w:tcPr>
            <w:tcW w:w="622" w:type="dxa"/>
            <w:tcBorders>
              <w:top w:val="nil"/>
              <w:left w:val="nil"/>
              <w:bottom w:val="single" w:sz="8" w:space="0" w:color="auto"/>
              <w:right w:val="single" w:sz="8" w:space="0" w:color="auto"/>
            </w:tcBorders>
            <w:shd w:val="clear" w:color="auto" w:fill="auto"/>
            <w:noWrap/>
            <w:vAlign w:val="center"/>
            <w:hideMark/>
          </w:tcPr>
          <w:p w14:paraId="700727B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3.43</w:t>
            </w:r>
          </w:p>
        </w:tc>
        <w:tc>
          <w:tcPr>
            <w:tcW w:w="622" w:type="dxa"/>
            <w:tcBorders>
              <w:top w:val="nil"/>
              <w:left w:val="nil"/>
              <w:bottom w:val="single" w:sz="8" w:space="0" w:color="auto"/>
              <w:right w:val="single" w:sz="4" w:space="0" w:color="auto"/>
            </w:tcBorders>
            <w:shd w:val="clear" w:color="auto" w:fill="auto"/>
            <w:noWrap/>
            <w:vAlign w:val="center"/>
            <w:hideMark/>
          </w:tcPr>
          <w:p w14:paraId="5D8BF98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3.45</w:t>
            </w:r>
          </w:p>
        </w:tc>
        <w:tc>
          <w:tcPr>
            <w:tcW w:w="622" w:type="dxa"/>
            <w:tcBorders>
              <w:top w:val="nil"/>
              <w:left w:val="nil"/>
              <w:bottom w:val="single" w:sz="8" w:space="0" w:color="auto"/>
              <w:right w:val="single" w:sz="8" w:space="0" w:color="auto"/>
            </w:tcBorders>
            <w:shd w:val="clear" w:color="auto" w:fill="auto"/>
            <w:noWrap/>
            <w:vAlign w:val="center"/>
            <w:hideMark/>
          </w:tcPr>
          <w:p w14:paraId="5DF0FD6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3.23</w:t>
            </w:r>
          </w:p>
        </w:tc>
        <w:tc>
          <w:tcPr>
            <w:tcW w:w="622" w:type="dxa"/>
            <w:tcBorders>
              <w:top w:val="nil"/>
              <w:left w:val="nil"/>
              <w:bottom w:val="single" w:sz="8" w:space="0" w:color="auto"/>
              <w:right w:val="single" w:sz="4" w:space="0" w:color="auto"/>
            </w:tcBorders>
            <w:shd w:val="clear" w:color="auto" w:fill="auto"/>
            <w:noWrap/>
            <w:vAlign w:val="center"/>
            <w:hideMark/>
          </w:tcPr>
          <w:p w14:paraId="0136ED5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4.03</w:t>
            </w:r>
          </w:p>
        </w:tc>
        <w:tc>
          <w:tcPr>
            <w:tcW w:w="622" w:type="dxa"/>
            <w:tcBorders>
              <w:top w:val="nil"/>
              <w:left w:val="nil"/>
              <w:bottom w:val="single" w:sz="8" w:space="0" w:color="auto"/>
              <w:right w:val="single" w:sz="8" w:space="0" w:color="auto"/>
            </w:tcBorders>
            <w:shd w:val="clear" w:color="auto" w:fill="auto"/>
            <w:noWrap/>
            <w:vAlign w:val="center"/>
            <w:hideMark/>
          </w:tcPr>
          <w:p w14:paraId="333C7CB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3.10</w:t>
            </w:r>
          </w:p>
        </w:tc>
        <w:tc>
          <w:tcPr>
            <w:tcW w:w="622" w:type="dxa"/>
            <w:tcBorders>
              <w:top w:val="nil"/>
              <w:left w:val="nil"/>
              <w:bottom w:val="single" w:sz="8" w:space="0" w:color="auto"/>
              <w:right w:val="single" w:sz="4" w:space="0" w:color="auto"/>
            </w:tcBorders>
            <w:shd w:val="clear" w:color="auto" w:fill="auto"/>
            <w:noWrap/>
            <w:vAlign w:val="center"/>
            <w:hideMark/>
          </w:tcPr>
          <w:p w14:paraId="328995A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4.20</w:t>
            </w:r>
          </w:p>
        </w:tc>
        <w:tc>
          <w:tcPr>
            <w:tcW w:w="622" w:type="dxa"/>
            <w:tcBorders>
              <w:top w:val="nil"/>
              <w:left w:val="nil"/>
              <w:bottom w:val="single" w:sz="8" w:space="0" w:color="auto"/>
              <w:right w:val="single" w:sz="8" w:space="0" w:color="auto"/>
            </w:tcBorders>
            <w:shd w:val="clear" w:color="auto" w:fill="auto"/>
            <w:noWrap/>
            <w:vAlign w:val="center"/>
            <w:hideMark/>
          </w:tcPr>
          <w:p w14:paraId="63401CB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2.80</w:t>
            </w:r>
          </w:p>
        </w:tc>
        <w:tc>
          <w:tcPr>
            <w:tcW w:w="622" w:type="dxa"/>
            <w:tcBorders>
              <w:top w:val="nil"/>
              <w:left w:val="nil"/>
              <w:bottom w:val="single" w:sz="8" w:space="0" w:color="auto"/>
              <w:right w:val="single" w:sz="4" w:space="0" w:color="auto"/>
            </w:tcBorders>
            <w:shd w:val="clear" w:color="auto" w:fill="auto"/>
            <w:noWrap/>
            <w:vAlign w:val="center"/>
            <w:hideMark/>
          </w:tcPr>
          <w:p w14:paraId="2D99D11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3.58</w:t>
            </w:r>
          </w:p>
        </w:tc>
        <w:tc>
          <w:tcPr>
            <w:tcW w:w="622" w:type="dxa"/>
            <w:tcBorders>
              <w:top w:val="nil"/>
              <w:left w:val="nil"/>
              <w:bottom w:val="single" w:sz="8" w:space="0" w:color="auto"/>
              <w:right w:val="single" w:sz="8" w:space="0" w:color="auto"/>
            </w:tcBorders>
            <w:shd w:val="clear" w:color="auto" w:fill="auto"/>
            <w:noWrap/>
            <w:vAlign w:val="center"/>
            <w:hideMark/>
          </w:tcPr>
          <w:p w14:paraId="00F80BA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2.60</w:t>
            </w:r>
          </w:p>
        </w:tc>
        <w:tc>
          <w:tcPr>
            <w:tcW w:w="622" w:type="dxa"/>
            <w:tcBorders>
              <w:top w:val="nil"/>
              <w:left w:val="nil"/>
              <w:bottom w:val="single" w:sz="8" w:space="0" w:color="auto"/>
              <w:right w:val="single" w:sz="4" w:space="0" w:color="auto"/>
            </w:tcBorders>
            <w:shd w:val="clear" w:color="auto" w:fill="auto"/>
            <w:noWrap/>
            <w:vAlign w:val="center"/>
            <w:hideMark/>
          </w:tcPr>
          <w:p w14:paraId="46E4798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3.28</w:t>
            </w:r>
          </w:p>
        </w:tc>
        <w:tc>
          <w:tcPr>
            <w:tcW w:w="622" w:type="dxa"/>
            <w:tcBorders>
              <w:top w:val="nil"/>
              <w:left w:val="nil"/>
              <w:bottom w:val="single" w:sz="8" w:space="0" w:color="auto"/>
              <w:right w:val="single" w:sz="8" w:space="0" w:color="auto"/>
            </w:tcBorders>
            <w:shd w:val="clear" w:color="auto" w:fill="auto"/>
            <w:noWrap/>
            <w:vAlign w:val="center"/>
            <w:hideMark/>
          </w:tcPr>
          <w:p w14:paraId="4618460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2.73</w:t>
            </w:r>
          </w:p>
        </w:tc>
      </w:tr>
    </w:tbl>
    <w:p w14:paraId="34620DC2" w14:textId="4DE5BD7B" w:rsidR="008564E2" w:rsidRPr="006F41BE" w:rsidRDefault="008564E2" w:rsidP="006F41BE">
      <w:pPr>
        <w:rPr>
          <w:rFonts w:ascii="Times New Roman" w:hAnsi="Times New Roman" w:cs="Times New Roman"/>
          <w:b/>
          <w:sz w:val="24"/>
          <w:lang w:val="en-US"/>
        </w:rPr>
        <w:sectPr w:rsidR="008564E2" w:rsidRPr="006F41BE" w:rsidSect="00C2037F">
          <w:pgSz w:w="16838" w:h="11906" w:orient="landscape"/>
          <w:pgMar w:top="1440" w:right="1440" w:bottom="1440" w:left="2160" w:header="706" w:footer="706" w:gutter="0"/>
          <w:cols w:space="708"/>
          <w:docGrid w:linePitch="360"/>
        </w:sectPr>
      </w:pPr>
      <w:r>
        <w:rPr>
          <w:rFonts w:ascii="Times New Roman" w:hAnsi="Times New Roman" w:cs="Times New Roman"/>
          <w:bCs/>
          <w:sz w:val="24"/>
          <w:szCs w:val="24"/>
          <w:lang w:val="en-US"/>
        </w:rPr>
        <w:t>(PH-Plant height; ET-Effective tillers; DA-Days to anthesis; DFF-Days to fifty per cent flowering; TGM-Time taken to grain maturity; HPP-Harvested panicles per plant; TGDW-Threshold grain dry weight; GYPP-Grain yield per plant; DSW-Dry stover weight; HSW-Hundred seed weight)</w:t>
      </w:r>
    </w:p>
    <w:p w14:paraId="13C2CE6E" w14:textId="3995171E" w:rsidR="008564E2" w:rsidRDefault="00D94A87" w:rsidP="006F41BE">
      <w:pPr>
        <w:tabs>
          <w:tab w:val="left" w:pos="90"/>
        </w:tabs>
        <w:rPr>
          <w:rFonts w:ascii="Times New Roman" w:hAnsi="Times New Roman" w:cs="Times New Roman"/>
          <w:b/>
          <w:color w:val="000000" w:themeColor="text1"/>
          <w:sz w:val="24"/>
          <w:szCs w:val="24"/>
          <w:lang w:eastAsia="en-IN"/>
        </w:rPr>
      </w:pPr>
      <w:r>
        <w:rPr>
          <w:rFonts w:ascii="Times New Roman" w:hAnsi="Times New Roman" w:cs="Times New Roman"/>
          <w:b/>
          <w:color w:val="000000" w:themeColor="text1"/>
          <w:sz w:val="24"/>
          <w:szCs w:val="24"/>
          <w:lang w:eastAsia="en-IN"/>
        </w:rPr>
        <w:lastRenderedPageBreak/>
        <w:t>Conclusion</w:t>
      </w:r>
    </w:p>
    <w:p w14:paraId="491A5659" w14:textId="71B53C71" w:rsidR="00D94A87" w:rsidRDefault="00D94A87" w:rsidP="00D94A87">
      <w:pPr>
        <w:tabs>
          <w:tab w:val="left" w:pos="90"/>
        </w:tabs>
        <w:spacing w:before="240" w:line="360" w:lineRule="auto"/>
        <w:rPr>
          <w:rFonts w:ascii="Times New Roman" w:eastAsia="Times New Roman" w:hAnsi="Times New Roman" w:cs="Times New Roman"/>
          <w:sz w:val="24"/>
          <w:szCs w:val="24"/>
          <w:lang w:eastAsia="en-IN"/>
        </w:rPr>
      </w:pPr>
      <w:r w:rsidRPr="0096106E">
        <w:rPr>
          <w:rFonts w:ascii="Times New Roman" w:eastAsia="Times New Roman" w:hAnsi="Times New Roman" w:cs="Times New Roman"/>
          <w:sz w:val="24"/>
          <w:szCs w:val="24"/>
          <w:lang w:eastAsia="en-IN"/>
        </w:rPr>
        <w:t xml:space="preserve">This study </w:t>
      </w:r>
      <w:r w:rsidR="001B2CB8" w:rsidRPr="0096106E">
        <w:rPr>
          <w:rFonts w:ascii="Times New Roman" w:eastAsia="Times New Roman" w:hAnsi="Times New Roman" w:cs="Times New Roman"/>
          <w:sz w:val="24"/>
          <w:szCs w:val="24"/>
          <w:lang w:eastAsia="en-IN"/>
        </w:rPr>
        <w:t>phenotyp</w:t>
      </w:r>
      <w:r w:rsidR="006B68E1">
        <w:rPr>
          <w:rFonts w:ascii="Times New Roman" w:eastAsia="Times New Roman" w:hAnsi="Times New Roman" w:cs="Times New Roman"/>
          <w:sz w:val="24"/>
          <w:szCs w:val="24"/>
          <w:lang w:eastAsia="en-IN"/>
        </w:rPr>
        <w:t>ic</w:t>
      </w:r>
      <w:r w:rsidRPr="0096106E">
        <w:rPr>
          <w:rFonts w:ascii="Times New Roman" w:eastAsia="Times New Roman" w:hAnsi="Times New Roman" w:cs="Times New Roman"/>
          <w:sz w:val="24"/>
          <w:szCs w:val="24"/>
          <w:lang w:eastAsia="en-IN"/>
        </w:rPr>
        <w:t xml:space="preserve"> </w:t>
      </w:r>
      <w:r w:rsidR="001B2CB8">
        <w:rPr>
          <w:rFonts w:ascii="Times New Roman" w:eastAsia="Times New Roman" w:hAnsi="Times New Roman" w:cs="Times New Roman"/>
          <w:sz w:val="24"/>
          <w:szCs w:val="24"/>
          <w:lang w:eastAsia="en-IN"/>
        </w:rPr>
        <w:t xml:space="preserve">stay-green donor and recipient lines including </w:t>
      </w:r>
      <w:r w:rsidRPr="0096106E">
        <w:rPr>
          <w:rFonts w:ascii="Times New Roman" w:eastAsia="Times New Roman" w:hAnsi="Times New Roman" w:cs="Times New Roman"/>
          <w:sz w:val="24"/>
          <w:szCs w:val="24"/>
          <w:lang w:eastAsia="en-IN"/>
        </w:rPr>
        <w:t>a set of 200 F</w:t>
      </w:r>
      <w:r w:rsidRPr="0096106E">
        <w:rPr>
          <w:rFonts w:ascii="Times New Roman" w:eastAsia="Times New Roman" w:hAnsi="Times New Roman" w:cs="Times New Roman"/>
          <w:sz w:val="24"/>
          <w:szCs w:val="24"/>
          <w:vertAlign w:val="subscript"/>
          <w:lang w:eastAsia="en-IN"/>
        </w:rPr>
        <w:t>2</w:t>
      </w:r>
      <w:r w:rsidRPr="0096106E">
        <w:rPr>
          <w:rFonts w:ascii="Times New Roman" w:eastAsia="Times New Roman" w:hAnsi="Times New Roman" w:cs="Times New Roman"/>
          <w:sz w:val="24"/>
          <w:szCs w:val="24"/>
          <w:lang w:eastAsia="en-IN"/>
        </w:rPr>
        <w:t>-derived F</w:t>
      </w:r>
      <w:r w:rsidRPr="0096106E">
        <w:rPr>
          <w:rFonts w:ascii="Times New Roman" w:eastAsia="Times New Roman" w:hAnsi="Times New Roman" w:cs="Times New Roman"/>
          <w:sz w:val="24"/>
          <w:szCs w:val="24"/>
          <w:vertAlign w:val="subscript"/>
          <w:lang w:eastAsia="en-IN"/>
        </w:rPr>
        <w:t>3</w:t>
      </w:r>
      <w:r w:rsidRPr="0096106E">
        <w:rPr>
          <w:rFonts w:ascii="Times New Roman" w:eastAsia="Times New Roman" w:hAnsi="Times New Roman" w:cs="Times New Roman"/>
          <w:sz w:val="24"/>
          <w:szCs w:val="24"/>
          <w:lang w:eastAsia="en-IN"/>
        </w:rPr>
        <w:t xml:space="preserve"> recombinants for stay-green-related traits under water stress conditions during the rabi season. Significant variation in chlorophyll retention, leaf area, senescence rate, and agronomic traits w</w:t>
      </w:r>
      <w:r w:rsidR="006B68E1">
        <w:rPr>
          <w:rFonts w:ascii="Times New Roman" w:eastAsia="Times New Roman" w:hAnsi="Times New Roman" w:cs="Times New Roman"/>
          <w:sz w:val="24"/>
          <w:szCs w:val="24"/>
          <w:lang w:eastAsia="en-IN"/>
        </w:rPr>
        <w:t>ere</w:t>
      </w:r>
      <w:r w:rsidRPr="0096106E">
        <w:rPr>
          <w:rFonts w:ascii="Times New Roman" w:eastAsia="Times New Roman" w:hAnsi="Times New Roman" w:cs="Times New Roman"/>
          <w:sz w:val="24"/>
          <w:szCs w:val="24"/>
          <w:lang w:eastAsia="en-IN"/>
        </w:rPr>
        <w:t xml:space="preserve"> observed across genotypes, with K359W and F</w:t>
      </w:r>
      <w:r w:rsidRPr="0096106E">
        <w:rPr>
          <w:rFonts w:ascii="Times New Roman" w:eastAsia="Times New Roman" w:hAnsi="Times New Roman" w:cs="Times New Roman"/>
          <w:sz w:val="24"/>
          <w:szCs w:val="24"/>
          <w:vertAlign w:val="subscript"/>
          <w:lang w:eastAsia="en-IN"/>
        </w:rPr>
        <w:t>3</w:t>
      </w:r>
      <w:r w:rsidRPr="0096106E">
        <w:rPr>
          <w:rFonts w:ascii="Times New Roman" w:eastAsia="Times New Roman" w:hAnsi="Times New Roman" w:cs="Times New Roman"/>
          <w:sz w:val="24"/>
          <w:szCs w:val="24"/>
          <w:lang w:eastAsia="en-IN"/>
        </w:rPr>
        <w:t xml:space="preserve"> recombinants showing superior stay-green potential and better performance under stress. F</w:t>
      </w:r>
      <w:r w:rsidRPr="0096106E">
        <w:rPr>
          <w:rFonts w:ascii="Times New Roman" w:eastAsia="Times New Roman" w:hAnsi="Times New Roman" w:cs="Times New Roman"/>
          <w:sz w:val="24"/>
          <w:szCs w:val="24"/>
          <w:vertAlign w:val="subscript"/>
          <w:lang w:eastAsia="en-IN"/>
        </w:rPr>
        <w:t>3</w:t>
      </w:r>
      <w:r w:rsidRPr="0096106E">
        <w:rPr>
          <w:rFonts w:ascii="Times New Roman" w:eastAsia="Times New Roman" w:hAnsi="Times New Roman" w:cs="Times New Roman"/>
          <w:sz w:val="24"/>
          <w:szCs w:val="24"/>
          <w:lang w:eastAsia="en-IN"/>
        </w:rPr>
        <w:t xml:space="preserve"> recombinants exhibited delayed senescence and high agronomic performance, particularly in terms of grain yield, biomass, and </w:t>
      </w:r>
      <w:r w:rsidR="006B68E1">
        <w:rPr>
          <w:rFonts w:ascii="Times New Roman" w:eastAsia="Times New Roman" w:hAnsi="Times New Roman" w:cs="Times New Roman"/>
          <w:sz w:val="24"/>
          <w:szCs w:val="24"/>
          <w:lang w:eastAsia="en-IN"/>
        </w:rPr>
        <w:t>100-</w:t>
      </w:r>
      <w:r w:rsidRPr="0096106E">
        <w:rPr>
          <w:rFonts w:ascii="Times New Roman" w:eastAsia="Times New Roman" w:hAnsi="Times New Roman" w:cs="Times New Roman"/>
          <w:sz w:val="24"/>
          <w:szCs w:val="24"/>
          <w:lang w:eastAsia="en-IN"/>
        </w:rPr>
        <w:t>seed weight, making them promising candidates for breeding drought-tolerant sorghum varieties.</w:t>
      </w:r>
    </w:p>
    <w:p w14:paraId="05CAE48A" w14:textId="77777777" w:rsidR="00462C7F" w:rsidRDefault="00462C7F" w:rsidP="006B68E1">
      <w:pPr>
        <w:spacing w:line="360" w:lineRule="auto"/>
        <w:rPr>
          <w:rFonts w:ascii="Times New Roman" w:eastAsia="Times New Roman" w:hAnsi="Times New Roman" w:cs="Times New Roman"/>
          <w:b/>
          <w:bCs/>
          <w:sz w:val="24"/>
          <w:szCs w:val="24"/>
          <w:lang w:eastAsia="en-IN"/>
        </w:rPr>
      </w:pPr>
      <w:bookmarkStart w:id="7" w:name="_Hlk198120853"/>
    </w:p>
    <w:p w14:paraId="25713F68" w14:textId="1E503340" w:rsidR="000F3FAE" w:rsidRPr="00462C7F" w:rsidRDefault="000F3FAE" w:rsidP="006B68E1">
      <w:pPr>
        <w:spacing w:line="360" w:lineRule="auto"/>
        <w:rPr>
          <w:rFonts w:ascii="Times New Roman" w:eastAsia="Times New Roman" w:hAnsi="Times New Roman" w:cs="Times New Roman"/>
          <w:b/>
          <w:bCs/>
          <w:sz w:val="24"/>
          <w:szCs w:val="24"/>
          <w:lang w:eastAsia="en-IN"/>
        </w:rPr>
      </w:pPr>
      <w:r w:rsidRPr="00462C7F">
        <w:rPr>
          <w:rFonts w:ascii="Times New Roman" w:eastAsia="Times New Roman" w:hAnsi="Times New Roman" w:cs="Times New Roman"/>
          <w:b/>
          <w:bCs/>
          <w:sz w:val="24"/>
          <w:szCs w:val="24"/>
          <w:lang w:eastAsia="en-IN"/>
        </w:rPr>
        <w:t>Disclaimer (Artificial intelligence)</w:t>
      </w:r>
    </w:p>
    <w:p w14:paraId="049A2EF5" w14:textId="77777777" w:rsidR="000F3FAE" w:rsidRPr="006B68E1" w:rsidRDefault="000F3FAE" w:rsidP="006B68E1">
      <w:pPr>
        <w:spacing w:line="360" w:lineRule="auto"/>
        <w:rPr>
          <w:rFonts w:ascii="Times New Roman" w:eastAsia="Times New Roman" w:hAnsi="Times New Roman" w:cs="Times New Roman"/>
          <w:sz w:val="24"/>
          <w:szCs w:val="24"/>
          <w:lang w:eastAsia="en-IN"/>
        </w:rPr>
      </w:pPr>
      <w:r w:rsidRPr="006B68E1">
        <w:rPr>
          <w:rFonts w:ascii="Times New Roman" w:eastAsia="Times New Roman" w:hAnsi="Times New Roman" w:cs="Times New Roman"/>
          <w:sz w:val="24"/>
          <w:szCs w:val="24"/>
          <w:lang w:eastAsia="en-IN"/>
        </w:rPr>
        <w:t>Author(s) hereby declare that NO generative AI technologies such as Large Language Models (</w:t>
      </w:r>
      <w:proofErr w:type="spellStart"/>
      <w:r w:rsidRPr="006B68E1">
        <w:rPr>
          <w:rFonts w:ascii="Times New Roman" w:eastAsia="Times New Roman" w:hAnsi="Times New Roman" w:cs="Times New Roman"/>
          <w:sz w:val="24"/>
          <w:szCs w:val="24"/>
          <w:lang w:eastAsia="en-IN"/>
        </w:rPr>
        <w:t>ChatGPT</w:t>
      </w:r>
      <w:proofErr w:type="spellEnd"/>
      <w:r w:rsidRPr="006B68E1">
        <w:rPr>
          <w:rFonts w:ascii="Times New Roman" w:eastAsia="Times New Roman" w:hAnsi="Times New Roman" w:cs="Times New Roman"/>
          <w:sz w:val="24"/>
          <w:szCs w:val="24"/>
          <w:lang w:eastAsia="en-IN"/>
        </w:rPr>
        <w:t xml:space="preserve">, COPILOT, etc.) and text-to-image generators have been used during the writing or editing of this manuscript. </w:t>
      </w:r>
    </w:p>
    <w:p w14:paraId="2A082CFF" w14:textId="77777777" w:rsidR="000F3FAE" w:rsidRPr="00394842" w:rsidRDefault="000F3FAE" w:rsidP="000F3FAE">
      <w:pPr>
        <w:rPr>
          <w:highlight w:val="yellow"/>
        </w:rPr>
      </w:pPr>
    </w:p>
    <w:bookmarkEnd w:id="7"/>
    <w:p w14:paraId="08518243" w14:textId="7BFF0E85" w:rsidR="002F49DC" w:rsidRDefault="002F49DC" w:rsidP="00C77300">
      <w:pPr>
        <w:tabs>
          <w:tab w:val="left" w:pos="90"/>
        </w:tabs>
        <w:spacing w:line="360" w:lineRule="auto"/>
        <w:rPr>
          <w:rFonts w:ascii="Times New Roman" w:hAnsi="Times New Roman" w:cs="Times New Roman"/>
          <w:b/>
          <w:color w:val="000000" w:themeColor="text1"/>
          <w:sz w:val="24"/>
          <w:szCs w:val="24"/>
          <w:lang w:eastAsia="en-IN"/>
        </w:rPr>
      </w:pPr>
      <w:r>
        <w:rPr>
          <w:rFonts w:ascii="Times New Roman" w:hAnsi="Times New Roman" w:cs="Times New Roman"/>
          <w:b/>
          <w:color w:val="000000" w:themeColor="text1"/>
          <w:sz w:val="24"/>
          <w:szCs w:val="24"/>
          <w:lang w:eastAsia="en-IN"/>
        </w:rPr>
        <w:t>References</w:t>
      </w:r>
    </w:p>
    <w:p w14:paraId="07F39F26"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Abebe, T., Belay, G., Tadesse, T., &amp; </w:t>
      </w:r>
      <w:proofErr w:type="spellStart"/>
      <w:r w:rsidRPr="000E5AC7">
        <w:rPr>
          <w:rFonts w:ascii="Times New Roman" w:hAnsi="Times New Roman" w:cs="Times New Roman"/>
          <w:color w:val="000000" w:themeColor="text1"/>
          <w:sz w:val="24"/>
          <w:szCs w:val="24"/>
          <w:shd w:val="clear" w:color="auto" w:fill="FFFFFF"/>
        </w:rPr>
        <w:t>Keneni</w:t>
      </w:r>
      <w:proofErr w:type="spellEnd"/>
      <w:r w:rsidRPr="000E5AC7">
        <w:rPr>
          <w:rFonts w:ascii="Times New Roman" w:hAnsi="Times New Roman" w:cs="Times New Roman"/>
          <w:color w:val="000000" w:themeColor="text1"/>
          <w:sz w:val="24"/>
          <w:szCs w:val="24"/>
          <w:shd w:val="clear" w:color="auto" w:fill="FFFFFF"/>
        </w:rPr>
        <w:t xml:space="preserve">, G. (2021). Stay-green genes contributed for drought adaptation and performance under post-flowering moisture stress on sorghum (Sorghum </w:t>
      </w:r>
      <w:proofErr w:type="spellStart"/>
      <w:r w:rsidRPr="000E5AC7">
        <w:rPr>
          <w:rFonts w:ascii="Times New Roman" w:hAnsi="Times New Roman" w:cs="Times New Roman"/>
          <w:color w:val="000000" w:themeColor="text1"/>
          <w:sz w:val="24"/>
          <w:szCs w:val="24"/>
          <w:shd w:val="clear" w:color="auto" w:fill="FFFFFF"/>
        </w:rPr>
        <w:t>bicolor</w:t>
      </w:r>
      <w:proofErr w:type="spellEnd"/>
      <w:r w:rsidRPr="000E5AC7">
        <w:rPr>
          <w:rFonts w:ascii="Times New Roman" w:hAnsi="Times New Roman" w:cs="Times New Roman"/>
          <w:color w:val="000000" w:themeColor="text1"/>
          <w:sz w:val="24"/>
          <w:szCs w:val="24"/>
          <w:shd w:val="clear" w:color="auto" w:fill="FFFFFF"/>
        </w:rPr>
        <w:t xml:space="preserve"> L. Moench). </w:t>
      </w:r>
      <w:r w:rsidRPr="000E5AC7">
        <w:rPr>
          <w:rFonts w:ascii="Times New Roman" w:hAnsi="Times New Roman" w:cs="Times New Roman"/>
          <w:i/>
          <w:iCs/>
          <w:color w:val="000000" w:themeColor="text1"/>
          <w:sz w:val="24"/>
          <w:szCs w:val="24"/>
          <w:shd w:val="clear" w:color="auto" w:fill="FFFFFF"/>
        </w:rPr>
        <w:t>Journal of Plant Breeding and Crop Science</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13</w:t>
      </w:r>
      <w:r w:rsidRPr="000E5AC7">
        <w:rPr>
          <w:rFonts w:ascii="Times New Roman" w:hAnsi="Times New Roman" w:cs="Times New Roman"/>
          <w:color w:val="000000" w:themeColor="text1"/>
          <w:sz w:val="24"/>
          <w:szCs w:val="24"/>
          <w:shd w:val="clear" w:color="auto" w:fill="FFFFFF"/>
        </w:rPr>
        <w:t>(4), 190-202.</w:t>
      </w:r>
    </w:p>
    <w:p w14:paraId="282D2283"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Adotey</w:t>
      </w:r>
      <w:proofErr w:type="spellEnd"/>
      <w:r w:rsidRPr="000E5AC7">
        <w:rPr>
          <w:rFonts w:ascii="Times New Roman" w:hAnsi="Times New Roman" w:cs="Times New Roman"/>
          <w:color w:val="000000" w:themeColor="text1"/>
          <w:sz w:val="24"/>
          <w:szCs w:val="24"/>
          <w:shd w:val="clear" w:color="auto" w:fill="FFFFFF"/>
        </w:rPr>
        <w:t xml:space="preserve">, R. E., </w:t>
      </w:r>
      <w:proofErr w:type="spellStart"/>
      <w:r w:rsidRPr="000E5AC7">
        <w:rPr>
          <w:rFonts w:ascii="Times New Roman" w:hAnsi="Times New Roman" w:cs="Times New Roman"/>
          <w:color w:val="000000" w:themeColor="text1"/>
          <w:sz w:val="24"/>
          <w:szCs w:val="24"/>
          <w:shd w:val="clear" w:color="auto" w:fill="FFFFFF"/>
        </w:rPr>
        <w:t>Patrignani</w:t>
      </w:r>
      <w:proofErr w:type="spellEnd"/>
      <w:r w:rsidRPr="000E5AC7">
        <w:rPr>
          <w:rFonts w:ascii="Times New Roman" w:hAnsi="Times New Roman" w:cs="Times New Roman"/>
          <w:color w:val="000000" w:themeColor="text1"/>
          <w:sz w:val="24"/>
          <w:szCs w:val="24"/>
          <w:shd w:val="clear" w:color="auto" w:fill="FFFFFF"/>
        </w:rPr>
        <w:t xml:space="preserve">, A., Bergkamp, B., </w:t>
      </w:r>
      <w:proofErr w:type="spellStart"/>
      <w:r w:rsidRPr="000E5AC7">
        <w:rPr>
          <w:rFonts w:ascii="Times New Roman" w:hAnsi="Times New Roman" w:cs="Times New Roman"/>
          <w:color w:val="000000" w:themeColor="text1"/>
          <w:sz w:val="24"/>
          <w:szCs w:val="24"/>
          <w:shd w:val="clear" w:color="auto" w:fill="FFFFFF"/>
        </w:rPr>
        <w:t>Kluitenberg</w:t>
      </w:r>
      <w:proofErr w:type="spellEnd"/>
      <w:r w:rsidRPr="000E5AC7">
        <w:rPr>
          <w:rFonts w:ascii="Times New Roman" w:hAnsi="Times New Roman" w:cs="Times New Roman"/>
          <w:color w:val="000000" w:themeColor="text1"/>
          <w:sz w:val="24"/>
          <w:szCs w:val="24"/>
          <w:shd w:val="clear" w:color="auto" w:fill="FFFFFF"/>
        </w:rPr>
        <w:t>, G., Prasad, P. V., &amp; Jagadish, S. K. (2021). Water‐deficit stress alters intra‐panicle grain number in sorghum. </w:t>
      </w:r>
      <w:r w:rsidRPr="000E5AC7">
        <w:rPr>
          <w:rFonts w:ascii="Times New Roman" w:hAnsi="Times New Roman" w:cs="Times New Roman"/>
          <w:i/>
          <w:iCs/>
          <w:color w:val="000000" w:themeColor="text1"/>
          <w:sz w:val="24"/>
          <w:szCs w:val="24"/>
          <w:shd w:val="clear" w:color="auto" w:fill="FFFFFF"/>
        </w:rPr>
        <w:t>Crop Science</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61</w:t>
      </w:r>
      <w:r w:rsidRPr="000E5AC7">
        <w:rPr>
          <w:rFonts w:ascii="Times New Roman" w:hAnsi="Times New Roman" w:cs="Times New Roman"/>
          <w:color w:val="000000" w:themeColor="text1"/>
          <w:sz w:val="24"/>
          <w:szCs w:val="24"/>
          <w:shd w:val="clear" w:color="auto" w:fill="FFFFFF"/>
        </w:rPr>
        <w:t>(4), 2680-2695.</w:t>
      </w:r>
    </w:p>
    <w:p w14:paraId="6691CDC9"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Blümmel</w:t>
      </w:r>
      <w:proofErr w:type="spellEnd"/>
      <w:r w:rsidRPr="000E5AC7">
        <w:rPr>
          <w:rFonts w:ascii="Times New Roman" w:hAnsi="Times New Roman" w:cs="Times New Roman"/>
          <w:color w:val="000000" w:themeColor="text1"/>
          <w:sz w:val="24"/>
          <w:szCs w:val="24"/>
          <w:shd w:val="clear" w:color="auto" w:fill="FFFFFF"/>
        </w:rPr>
        <w:t xml:space="preserve">, M., Deshpande, S., </w:t>
      </w:r>
      <w:proofErr w:type="spellStart"/>
      <w:r w:rsidRPr="000E5AC7">
        <w:rPr>
          <w:rFonts w:ascii="Times New Roman" w:hAnsi="Times New Roman" w:cs="Times New Roman"/>
          <w:color w:val="000000" w:themeColor="text1"/>
          <w:sz w:val="24"/>
          <w:szCs w:val="24"/>
          <w:shd w:val="clear" w:color="auto" w:fill="FFFFFF"/>
        </w:rPr>
        <w:t>Kholova</w:t>
      </w:r>
      <w:proofErr w:type="spellEnd"/>
      <w:r w:rsidRPr="000E5AC7">
        <w:rPr>
          <w:rFonts w:ascii="Times New Roman" w:hAnsi="Times New Roman" w:cs="Times New Roman"/>
          <w:color w:val="000000" w:themeColor="text1"/>
          <w:sz w:val="24"/>
          <w:szCs w:val="24"/>
          <w:shd w:val="clear" w:color="auto" w:fill="FFFFFF"/>
        </w:rPr>
        <w:t xml:space="preserve">, J., &amp; </w:t>
      </w:r>
      <w:proofErr w:type="spellStart"/>
      <w:r w:rsidRPr="000E5AC7">
        <w:rPr>
          <w:rFonts w:ascii="Times New Roman" w:hAnsi="Times New Roman" w:cs="Times New Roman"/>
          <w:color w:val="000000" w:themeColor="text1"/>
          <w:sz w:val="24"/>
          <w:szCs w:val="24"/>
          <w:shd w:val="clear" w:color="auto" w:fill="FFFFFF"/>
        </w:rPr>
        <w:t>Vadez</w:t>
      </w:r>
      <w:proofErr w:type="spellEnd"/>
      <w:r w:rsidRPr="000E5AC7">
        <w:rPr>
          <w:rFonts w:ascii="Times New Roman" w:hAnsi="Times New Roman" w:cs="Times New Roman"/>
          <w:color w:val="000000" w:themeColor="text1"/>
          <w:sz w:val="24"/>
          <w:szCs w:val="24"/>
          <w:shd w:val="clear" w:color="auto" w:fill="FFFFFF"/>
        </w:rPr>
        <w:t xml:space="preserve">, V. (2015). </w:t>
      </w:r>
      <w:proofErr w:type="spellStart"/>
      <w:r w:rsidRPr="000E5AC7">
        <w:rPr>
          <w:rFonts w:ascii="Times New Roman" w:hAnsi="Times New Roman" w:cs="Times New Roman"/>
          <w:color w:val="000000" w:themeColor="text1"/>
          <w:sz w:val="24"/>
          <w:szCs w:val="24"/>
          <w:shd w:val="clear" w:color="auto" w:fill="FFFFFF"/>
        </w:rPr>
        <w:t>Introgression</w:t>
      </w:r>
      <w:proofErr w:type="spellEnd"/>
      <w:r w:rsidRPr="000E5AC7">
        <w:rPr>
          <w:rFonts w:ascii="Times New Roman" w:hAnsi="Times New Roman" w:cs="Times New Roman"/>
          <w:color w:val="000000" w:themeColor="text1"/>
          <w:sz w:val="24"/>
          <w:szCs w:val="24"/>
          <w:shd w:val="clear" w:color="auto" w:fill="FFFFFF"/>
        </w:rPr>
        <w:t xml:space="preserve"> of </w:t>
      </w:r>
      <w:proofErr w:type="spellStart"/>
      <w:r w:rsidRPr="000E5AC7">
        <w:rPr>
          <w:rFonts w:ascii="Times New Roman" w:hAnsi="Times New Roman" w:cs="Times New Roman"/>
          <w:color w:val="000000" w:themeColor="text1"/>
          <w:sz w:val="24"/>
          <w:szCs w:val="24"/>
          <w:shd w:val="clear" w:color="auto" w:fill="FFFFFF"/>
        </w:rPr>
        <w:t>staygreen</w:t>
      </w:r>
      <w:proofErr w:type="spellEnd"/>
      <w:r w:rsidRPr="000E5AC7">
        <w:rPr>
          <w:rFonts w:ascii="Times New Roman" w:hAnsi="Times New Roman" w:cs="Times New Roman"/>
          <w:color w:val="000000" w:themeColor="text1"/>
          <w:sz w:val="24"/>
          <w:szCs w:val="24"/>
          <w:shd w:val="clear" w:color="auto" w:fill="FFFFFF"/>
        </w:rPr>
        <w:t xml:space="preserve"> QLT's for concomitant improvement of food and fodder traits in Sorghum </w:t>
      </w:r>
      <w:proofErr w:type="spellStart"/>
      <w:r w:rsidRPr="000E5AC7">
        <w:rPr>
          <w:rFonts w:ascii="Times New Roman" w:hAnsi="Times New Roman" w:cs="Times New Roman"/>
          <w:color w:val="000000" w:themeColor="text1"/>
          <w:sz w:val="24"/>
          <w:szCs w:val="24"/>
          <w:shd w:val="clear" w:color="auto" w:fill="FFFFFF"/>
        </w:rPr>
        <w:t>bicolor</w:t>
      </w:r>
      <w:proofErr w:type="spellEnd"/>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Field Crops Research</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180</w:t>
      </w:r>
      <w:r w:rsidRPr="000E5AC7">
        <w:rPr>
          <w:rFonts w:ascii="Times New Roman" w:hAnsi="Times New Roman" w:cs="Times New Roman"/>
          <w:color w:val="000000" w:themeColor="text1"/>
          <w:sz w:val="24"/>
          <w:szCs w:val="24"/>
          <w:shd w:val="clear" w:color="auto" w:fill="FFFFFF"/>
        </w:rPr>
        <w:t>, 228-237.</w:t>
      </w:r>
    </w:p>
    <w:p w14:paraId="02907BD4" w14:textId="77777777" w:rsidR="000E5AC7" w:rsidRPr="000E5AC7" w:rsidRDefault="000E5AC7" w:rsidP="000E5AC7">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Borrell, A. K., &amp; Hammer, G. L. (2000). Nitrogen dynamics and the physiological basis of stay‐green in sorghum. </w:t>
      </w:r>
      <w:r w:rsidRPr="000E5AC7">
        <w:rPr>
          <w:rFonts w:ascii="Times New Roman" w:hAnsi="Times New Roman" w:cs="Times New Roman"/>
          <w:i/>
          <w:iCs/>
          <w:color w:val="000000" w:themeColor="text1"/>
          <w:sz w:val="24"/>
          <w:szCs w:val="24"/>
          <w:shd w:val="clear" w:color="auto" w:fill="FFFFFF"/>
        </w:rPr>
        <w:t>Crop science</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40</w:t>
      </w:r>
      <w:r w:rsidRPr="000E5AC7">
        <w:rPr>
          <w:rFonts w:ascii="Times New Roman" w:hAnsi="Times New Roman" w:cs="Times New Roman"/>
          <w:color w:val="000000" w:themeColor="text1"/>
          <w:sz w:val="24"/>
          <w:szCs w:val="24"/>
          <w:shd w:val="clear" w:color="auto" w:fill="FFFFFF"/>
        </w:rPr>
        <w:t>(5), 1295-1307.</w:t>
      </w:r>
    </w:p>
    <w:p w14:paraId="7BEB2564" w14:textId="77777777" w:rsidR="000E5AC7" w:rsidRPr="000E5AC7" w:rsidRDefault="000E5AC7" w:rsidP="000E5AC7">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Borrell, A. K., Wong, A. C., George-</w:t>
      </w:r>
      <w:proofErr w:type="spellStart"/>
      <w:r w:rsidRPr="000E5AC7">
        <w:rPr>
          <w:rFonts w:ascii="Times New Roman" w:hAnsi="Times New Roman" w:cs="Times New Roman"/>
          <w:color w:val="000000" w:themeColor="text1"/>
          <w:sz w:val="24"/>
          <w:szCs w:val="24"/>
          <w:shd w:val="clear" w:color="auto" w:fill="FFFFFF"/>
        </w:rPr>
        <w:t>Jaeggli</w:t>
      </w:r>
      <w:proofErr w:type="spellEnd"/>
      <w:r w:rsidRPr="000E5AC7">
        <w:rPr>
          <w:rFonts w:ascii="Times New Roman" w:hAnsi="Times New Roman" w:cs="Times New Roman"/>
          <w:color w:val="000000" w:themeColor="text1"/>
          <w:sz w:val="24"/>
          <w:szCs w:val="24"/>
          <w:shd w:val="clear" w:color="auto" w:fill="FFFFFF"/>
        </w:rPr>
        <w:t xml:space="preserve">, B., van </w:t>
      </w:r>
      <w:proofErr w:type="spellStart"/>
      <w:r w:rsidRPr="000E5AC7">
        <w:rPr>
          <w:rFonts w:ascii="Times New Roman" w:hAnsi="Times New Roman" w:cs="Times New Roman"/>
          <w:color w:val="000000" w:themeColor="text1"/>
          <w:sz w:val="24"/>
          <w:szCs w:val="24"/>
          <w:shd w:val="clear" w:color="auto" w:fill="FFFFFF"/>
        </w:rPr>
        <w:t>Oosterom</w:t>
      </w:r>
      <w:proofErr w:type="spellEnd"/>
      <w:r w:rsidRPr="000E5AC7">
        <w:rPr>
          <w:rFonts w:ascii="Times New Roman" w:hAnsi="Times New Roman" w:cs="Times New Roman"/>
          <w:color w:val="000000" w:themeColor="text1"/>
          <w:sz w:val="24"/>
          <w:szCs w:val="24"/>
          <w:shd w:val="clear" w:color="auto" w:fill="FFFFFF"/>
        </w:rPr>
        <w:t>, E. J., Mace, E. S., Godwin, I. D., ... &amp; Jordan, D. R. (2022). Genetic modification of PIN genes induces causal mechanisms of stay-green drought adaptation phenotype. </w:t>
      </w:r>
      <w:r w:rsidRPr="000E5AC7">
        <w:rPr>
          <w:rFonts w:ascii="Times New Roman" w:hAnsi="Times New Roman" w:cs="Times New Roman"/>
          <w:i/>
          <w:iCs/>
          <w:color w:val="000000" w:themeColor="text1"/>
          <w:sz w:val="24"/>
          <w:szCs w:val="24"/>
          <w:shd w:val="clear" w:color="auto" w:fill="FFFFFF"/>
        </w:rPr>
        <w:t>Journal of Experimental Botany</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73</w:t>
      </w:r>
      <w:r w:rsidRPr="000E5AC7">
        <w:rPr>
          <w:rFonts w:ascii="Times New Roman" w:hAnsi="Times New Roman" w:cs="Times New Roman"/>
          <w:color w:val="000000" w:themeColor="text1"/>
          <w:sz w:val="24"/>
          <w:szCs w:val="24"/>
          <w:shd w:val="clear" w:color="auto" w:fill="FFFFFF"/>
        </w:rPr>
        <w:t>(19), 6711-6726.</w:t>
      </w:r>
    </w:p>
    <w:p w14:paraId="07066213"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Chadalavada, K., Gummadi, S., </w:t>
      </w:r>
      <w:proofErr w:type="spellStart"/>
      <w:r w:rsidRPr="000E5AC7">
        <w:rPr>
          <w:rFonts w:ascii="Times New Roman" w:hAnsi="Times New Roman" w:cs="Times New Roman"/>
          <w:color w:val="000000" w:themeColor="text1"/>
          <w:sz w:val="24"/>
          <w:szCs w:val="24"/>
          <w:shd w:val="clear" w:color="auto" w:fill="FFFFFF"/>
        </w:rPr>
        <w:t>Kundeti</w:t>
      </w:r>
      <w:proofErr w:type="spellEnd"/>
      <w:r w:rsidRPr="000E5AC7">
        <w:rPr>
          <w:rFonts w:ascii="Times New Roman" w:hAnsi="Times New Roman" w:cs="Times New Roman"/>
          <w:color w:val="000000" w:themeColor="text1"/>
          <w:sz w:val="24"/>
          <w:szCs w:val="24"/>
          <w:shd w:val="clear" w:color="auto" w:fill="FFFFFF"/>
        </w:rPr>
        <w:t xml:space="preserve">, K. R., Kadiyala, D. M., </w:t>
      </w:r>
      <w:proofErr w:type="spellStart"/>
      <w:r w:rsidRPr="000E5AC7">
        <w:rPr>
          <w:rFonts w:ascii="Times New Roman" w:hAnsi="Times New Roman" w:cs="Times New Roman"/>
          <w:color w:val="000000" w:themeColor="text1"/>
          <w:sz w:val="24"/>
          <w:szCs w:val="24"/>
          <w:shd w:val="clear" w:color="auto" w:fill="FFFFFF"/>
        </w:rPr>
        <w:t>Deevi</w:t>
      </w:r>
      <w:proofErr w:type="spellEnd"/>
      <w:r w:rsidRPr="000E5AC7">
        <w:rPr>
          <w:rFonts w:ascii="Times New Roman" w:hAnsi="Times New Roman" w:cs="Times New Roman"/>
          <w:color w:val="000000" w:themeColor="text1"/>
          <w:sz w:val="24"/>
          <w:szCs w:val="24"/>
          <w:shd w:val="clear" w:color="auto" w:fill="FFFFFF"/>
        </w:rPr>
        <w:t xml:space="preserve">, K. C., Dakhore, K. K., ... &amp; </w:t>
      </w:r>
      <w:proofErr w:type="spellStart"/>
      <w:r w:rsidRPr="000E5AC7">
        <w:rPr>
          <w:rFonts w:ascii="Times New Roman" w:hAnsi="Times New Roman" w:cs="Times New Roman"/>
          <w:color w:val="000000" w:themeColor="text1"/>
          <w:sz w:val="24"/>
          <w:szCs w:val="24"/>
          <w:shd w:val="clear" w:color="auto" w:fill="FFFFFF"/>
        </w:rPr>
        <w:t>Thiruppathi</w:t>
      </w:r>
      <w:proofErr w:type="spellEnd"/>
      <w:r w:rsidRPr="000E5AC7">
        <w:rPr>
          <w:rFonts w:ascii="Times New Roman" w:hAnsi="Times New Roman" w:cs="Times New Roman"/>
          <w:color w:val="000000" w:themeColor="text1"/>
          <w:sz w:val="24"/>
          <w:szCs w:val="24"/>
          <w:shd w:val="clear" w:color="auto" w:fill="FFFFFF"/>
        </w:rPr>
        <w:t xml:space="preserve">, S. K. (2021). Simulating potential impacts of </w:t>
      </w:r>
      <w:r w:rsidRPr="000E5AC7">
        <w:rPr>
          <w:rFonts w:ascii="Times New Roman" w:hAnsi="Times New Roman" w:cs="Times New Roman"/>
          <w:color w:val="000000" w:themeColor="text1"/>
          <w:sz w:val="24"/>
          <w:szCs w:val="24"/>
          <w:shd w:val="clear" w:color="auto" w:fill="FFFFFF"/>
        </w:rPr>
        <w:lastRenderedPageBreak/>
        <w:t>future climate change on post-rainy season sorghum yields in India. </w:t>
      </w:r>
      <w:r w:rsidRPr="000E5AC7">
        <w:rPr>
          <w:rFonts w:ascii="Times New Roman" w:hAnsi="Times New Roman" w:cs="Times New Roman"/>
          <w:i/>
          <w:iCs/>
          <w:color w:val="000000" w:themeColor="text1"/>
          <w:sz w:val="24"/>
          <w:szCs w:val="24"/>
          <w:shd w:val="clear" w:color="auto" w:fill="FFFFFF"/>
        </w:rPr>
        <w:t>Sustainability</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14</w:t>
      </w:r>
      <w:r w:rsidRPr="000E5AC7">
        <w:rPr>
          <w:rFonts w:ascii="Times New Roman" w:hAnsi="Times New Roman" w:cs="Times New Roman"/>
          <w:color w:val="000000" w:themeColor="text1"/>
          <w:sz w:val="24"/>
          <w:szCs w:val="24"/>
          <w:shd w:val="clear" w:color="auto" w:fill="FFFFFF"/>
        </w:rPr>
        <w:t>(1), 334.</w:t>
      </w:r>
    </w:p>
    <w:p w14:paraId="1AED16F2"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Charyulu</w:t>
      </w:r>
      <w:proofErr w:type="spellEnd"/>
      <w:r w:rsidRPr="000E5AC7">
        <w:rPr>
          <w:rFonts w:ascii="Times New Roman" w:hAnsi="Times New Roman" w:cs="Times New Roman"/>
          <w:color w:val="000000" w:themeColor="text1"/>
          <w:sz w:val="24"/>
          <w:szCs w:val="24"/>
          <w:shd w:val="clear" w:color="auto" w:fill="FFFFFF"/>
        </w:rPr>
        <w:t>, D. K., Afari-Sefa, V., &amp; Gumma, M. K. (2024). Trends in Global Sorghum Production: Perspectives and Limitations. In </w:t>
      </w:r>
      <w:r w:rsidRPr="000E5AC7">
        <w:rPr>
          <w:rFonts w:ascii="Times New Roman" w:hAnsi="Times New Roman" w:cs="Times New Roman"/>
          <w:i/>
          <w:iCs/>
          <w:color w:val="000000" w:themeColor="text1"/>
          <w:sz w:val="24"/>
          <w:szCs w:val="24"/>
          <w:shd w:val="clear" w:color="auto" w:fill="FFFFFF"/>
        </w:rPr>
        <w:t>Omics and Biotechnological Approaches for Product Profile-Driven Sorghum Improvement</w:t>
      </w:r>
      <w:r w:rsidRPr="000E5AC7">
        <w:rPr>
          <w:rFonts w:ascii="Times New Roman" w:hAnsi="Times New Roman" w:cs="Times New Roman"/>
          <w:color w:val="000000" w:themeColor="text1"/>
          <w:sz w:val="24"/>
          <w:szCs w:val="24"/>
          <w:shd w:val="clear" w:color="auto" w:fill="FFFFFF"/>
        </w:rPr>
        <w:t> (pp. 1-19). Singapore: Springer Nature Singapore.</w:t>
      </w:r>
    </w:p>
    <w:p w14:paraId="1496038E"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Endalamaw</w:t>
      </w:r>
      <w:proofErr w:type="spellEnd"/>
      <w:r w:rsidRPr="000E5AC7">
        <w:rPr>
          <w:rFonts w:ascii="Times New Roman" w:hAnsi="Times New Roman" w:cs="Times New Roman"/>
          <w:color w:val="000000" w:themeColor="text1"/>
          <w:sz w:val="24"/>
          <w:szCs w:val="24"/>
          <w:shd w:val="clear" w:color="auto" w:fill="FFFFFF"/>
        </w:rPr>
        <w:t xml:space="preserve">, C., Nida, H., Tsegaye, D., van Biljon, A., </w:t>
      </w:r>
      <w:proofErr w:type="spellStart"/>
      <w:r w:rsidRPr="000E5AC7">
        <w:rPr>
          <w:rFonts w:ascii="Times New Roman" w:hAnsi="Times New Roman" w:cs="Times New Roman"/>
          <w:color w:val="000000" w:themeColor="text1"/>
          <w:sz w:val="24"/>
          <w:szCs w:val="24"/>
          <w:shd w:val="clear" w:color="auto" w:fill="FFFFFF"/>
        </w:rPr>
        <w:t>Herselman</w:t>
      </w:r>
      <w:proofErr w:type="spellEnd"/>
      <w:r w:rsidRPr="000E5AC7">
        <w:rPr>
          <w:rFonts w:ascii="Times New Roman" w:hAnsi="Times New Roman" w:cs="Times New Roman"/>
          <w:color w:val="000000" w:themeColor="text1"/>
          <w:sz w:val="24"/>
          <w:szCs w:val="24"/>
          <w:shd w:val="clear" w:color="auto" w:fill="FFFFFF"/>
        </w:rPr>
        <w:t>, L., &amp; Labuschagne, M. (2025). Genetics of sorghum: grain quality, molecular aspects, and drought responses. </w:t>
      </w:r>
      <w:r w:rsidRPr="000E5AC7">
        <w:rPr>
          <w:rFonts w:ascii="Times New Roman" w:hAnsi="Times New Roman" w:cs="Times New Roman"/>
          <w:i/>
          <w:iCs/>
          <w:color w:val="000000" w:themeColor="text1"/>
          <w:sz w:val="24"/>
          <w:szCs w:val="24"/>
          <w:shd w:val="clear" w:color="auto" w:fill="FFFFFF"/>
        </w:rPr>
        <w:t>Planta</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261</w:t>
      </w:r>
      <w:r w:rsidRPr="000E5AC7">
        <w:rPr>
          <w:rFonts w:ascii="Times New Roman" w:hAnsi="Times New Roman" w:cs="Times New Roman"/>
          <w:color w:val="000000" w:themeColor="text1"/>
          <w:sz w:val="24"/>
          <w:szCs w:val="24"/>
          <w:shd w:val="clear" w:color="auto" w:fill="FFFFFF"/>
        </w:rPr>
        <w:t>(3), 1-25.</w:t>
      </w:r>
    </w:p>
    <w:p w14:paraId="5A13168E"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Galyuon</w:t>
      </w:r>
      <w:proofErr w:type="spellEnd"/>
      <w:r w:rsidRPr="000E5AC7">
        <w:rPr>
          <w:rFonts w:ascii="Times New Roman" w:hAnsi="Times New Roman" w:cs="Times New Roman"/>
          <w:color w:val="000000" w:themeColor="text1"/>
          <w:sz w:val="24"/>
          <w:szCs w:val="24"/>
          <w:shd w:val="clear" w:color="auto" w:fill="FFFFFF"/>
        </w:rPr>
        <w:t xml:space="preserve">, I. K., Gay, A., Hash, C. T., Bidinger, F. R., &amp; Howarth, C. (2019). A comparative assessment of the performance of a stay-green sorghum (Sorghum </w:t>
      </w:r>
      <w:proofErr w:type="spellStart"/>
      <w:r w:rsidRPr="000E5AC7">
        <w:rPr>
          <w:rFonts w:ascii="Times New Roman" w:hAnsi="Times New Roman" w:cs="Times New Roman"/>
          <w:color w:val="000000" w:themeColor="text1"/>
          <w:sz w:val="24"/>
          <w:szCs w:val="24"/>
          <w:shd w:val="clear" w:color="auto" w:fill="FFFFFF"/>
        </w:rPr>
        <w:t>bicolor</w:t>
      </w:r>
      <w:proofErr w:type="spellEnd"/>
      <w:r w:rsidRPr="000E5AC7">
        <w:rPr>
          <w:rFonts w:ascii="Times New Roman" w:hAnsi="Times New Roman" w:cs="Times New Roman"/>
          <w:color w:val="000000" w:themeColor="text1"/>
          <w:sz w:val="24"/>
          <w:szCs w:val="24"/>
          <w:shd w:val="clear" w:color="auto" w:fill="FFFFFF"/>
        </w:rPr>
        <w:t xml:space="preserve"> (L) </w:t>
      </w:r>
      <w:proofErr w:type="spellStart"/>
      <w:r w:rsidRPr="000E5AC7">
        <w:rPr>
          <w:rFonts w:ascii="Times New Roman" w:hAnsi="Times New Roman" w:cs="Times New Roman"/>
          <w:color w:val="000000" w:themeColor="text1"/>
          <w:sz w:val="24"/>
          <w:szCs w:val="24"/>
          <w:shd w:val="clear" w:color="auto" w:fill="FFFFFF"/>
        </w:rPr>
        <w:t>Moench</w:t>
      </w:r>
      <w:proofErr w:type="spellEnd"/>
      <w:r w:rsidRPr="000E5AC7">
        <w:rPr>
          <w:rFonts w:ascii="Times New Roman" w:hAnsi="Times New Roman" w:cs="Times New Roman"/>
          <w:color w:val="000000" w:themeColor="text1"/>
          <w:sz w:val="24"/>
          <w:szCs w:val="24"/>
          <w:shd w:val="clear" w:color="auto" w:fill="FFFFFF"/>
        </w:rPr>
        <w:t xml:space="preserve">) </w:t>
      </w:r>
      <w:proofErr w:type="spellStart"/>
      <w:r w:rsidRPr="000E5AC7">
        <w:rPr>
          <w:rFonts w:ascii="Times New Roman" w:hAnsi="Times New Roman" w:cs="Times New Roman"/>
          <w:color w:val="000000" w:themeColor="text1"/>
          <w:sz w:val="24"/>
          <w:szCs w:val="24"/>
          <w:shd w:val="clear" w:color="auto" w:fill="FFFFFF"/>
        </w:rPr>
        <w:t>introgression</w:t>
      </w:r>
      <w:proofErr w:type="spellEnd"/>
      <w:r w:rsidRPr="000E5AC7">
        <w:rPr>
          <w:rFonts w:ascii="Times New Roman" w:hAnsi="Times New Roman" w:cs="Times New Roman"/>
          <w:color w:val="000000" w:themeColor="text1"/>
          <w:sz w:val="24"/>
          <w:szCs w:val="24"/>
          <w:shd w:val="clear" w:color="auto" w:fill="FFFFFF"/>
        </w:rPr>
        <w:t xml:space="preserve"> line developed by marker-assisted selection and its parental lines. </w:t>
      </w:r>
      <w:r w:rsidRPr="000E5AC7">
        <w:rPr>
          <w:rFonts w:ascii="Times New Roman" w:hAnsi="Times New Roman" w:cs="Times New Roman"/>
          <w:i/>
          <w:iCs/>
          <w:color w:val="000000" w:themeColor="text1"/>
          <w:sz w:val="24"/>
          <w:szCs w:val="24"/>
          <w:shd w:val="clear" w:color="auto" w:fill="FFFFFF"/>
        </w:rPr>
        <w:t>African Journal of Biotechnology</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18</w:t>
      </w:r>
      <w:r w:rsidRPr="000E5AC7">
        <w:rPr>
          <w:rFonts w:ascii="Times New Roman" w:hAnsi="Times New Roman" w:cs="Times New Roman"/>
          <w:color w:val="000000" w:themeColor="text1"/>
          <w:sz w:val="24"/>
          <w:szCs w:val="24"/>
          <w:shd w:val="clear" w:color="auto" w:fill="FFFFFF"/>
        </w:rPr>
        <w:t>(26), 548-563.</w:t>
      </w:r>
    </w:p>
    <w:p w14:paraId="295539BA"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Gomashe</w:t>
      </w:r>
      <w:proofErr w:type="spellEnd"/>
      <w:r w:rsidRPr="000E5AC7">
        <w:rPr>
          <w:rFonts w:ascii="Times New Roman" w:hAnsi="Times New Roman" w:cs="Times New Roman"/>
          <w:color w:val="000000" w:themeColor="text1"/>
          <w:sz w:val="24"/>
          <w:szCs w:val="24"/>
          <w:shd w:val="clear" w:color="auto" w:fill="FFFFFF"/>
        </w:rPr>
        <w:t>, S. S., Tayade, N., &amp; Ganapathy, K. N. (2025). Sorghum. In </w:t>
      </w:r>
      <w:r w:rsidRPr="000E5AC7">
        <w:rPr>
          <w:rFonts w:ascii="Times New Roman" w:hAnsi="Times New Roman" w:cs="Times New Roman"/>
          <w:i/>
          <w:iCs/>
          <w:color w:val="000000" w:themeColor="text1"/>
          <w:sz w:val="24"/>
          <w:szCs w:val="24"/>
          <w:shd w:val="clear" w:color="auto" w:fill="FFFFFF"/>
        </w:rPr>
        <w:t xml:space="preserve">Plant </w:t>
      </w:r>
      <w:proofErr w:type="spellStart"/>
      <w:r w:rsidRPr="000E5AC7">
        <w:rPr>
          <w:rFonts w:ascii="Times New Roman" w:hAnsi="Times New Roman" w:cs="Times New Roman"/>
          <w:i/>
          <w:iCs/>
          <w:color w:val="000000" w:themeColor="text1"/>
          <w:sz w:val="24"/>
          <w:szCs w:val="24"/>
          <w:shd w:val="clear" w:color="auto" w:fill="FFFFFF"/>
        </w:rPr>
        <w:t>Genebank</w:t>
      </w:r>
      <w:proofErr w:type="spellEnd"/>
      <w:r w:rsidRPr="000E5AC7">
        <w:rPr>
          <w:rFonts w:ascii="Times New Roman" w:hAnsi="Times New Roman" w:cs="Times New Roman"/>
          <w:i/>
          <w:iCs/>
          <w:color w:val="000000" w:themeColor="text1"/>
          <w:sz w:val="24"/>
          <w:szCs w:val="24"/>
          <w:shd w:val="clear" w:color="auto" w:fill="FFFFFF"/>
        </w:rPr>
        <w:t xml:space="preserve"> Utilization for Trait Discovery in Millets: Volume IV</w:t>
      </w:r>
      <w:r w:rsidRPr="000E5AC7">
        <w:rPr>
          <w:rFonts w:ascii="Times New Roman" w:hAnsi="Times New Roman" w:cs="Times New Roman"/>
          <w:color w:val="000000" w:themeColor="text1"/>
          <w:sz w:val="24"/>
          <w:szCs w:val="24"/>
          <w:shd w:val="clear" w:color="auto" w:fill="FFFFFF"/>
        </w:rPr>
        <w:t> (pp. 43-76). Singapore: Springer Nature Singapore.</w:t>
      </w:r>
    </w:p>
    <w:p w14:paraId="45945CE0"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Kamal, N. M., </w:t>
      </w:r>
      <w:proofErr w:type="spellStart"/>
      <w:r w:rsidRPr="000E5AC7">
        <w:rPr>
          <w:rFonts w:ascii="Times New Roman" w:hAnsi="Times New Roman" w:cs="Times New Roman"/>
          <w:color w:val="000000" w:themeColor="text1"/>
          <w:sz w:val="24"/>
          <w:szCs w:val="24"/>
          <w:shd w:val="clear" w:color="auto" w:fill="FFFFFF"/>
        </w:rPr>
        <w:t>Gorafi</w:t>
      </w:r>
      <w:proofErr w:type="spellEnd"/>
      <w:r w:rsidRPr="000E5AC7">
        <w:rPr>
          <w:rFonts w:ascii="Times New Roman" w:hAnsi="Times New Roman" w:cs="Times New Roman"/>
          <w:color w:val="000000" w:themeColor="text1"/>
          <w:sz w:val="24"/>
          <w:szCs w:val="24"/>
          <w:shd w:val="clear" w:color="auto" w:fill="FFFFFF"/>
        </w:rPr>
        <w:t>, Y. S. A., Abdelrahman, M., Tahir, I. S. A., &amp; Tsujimoto, H. (2025). Enhancing and protecting the innate system in stay-green sorghum is the secret behind high drought tolerance capacity. </w:t>
      </w:r>
      <w:r w:rsidRPr="000E5AC7">
        <w:rPr>
          <w:rFonts w:ascii="Times New Roman" w:hAnsi="Times New Roman" w:cs="Times New Roman"/>
          <w:i/>
          <w:iCs/>
          <w:color w:val="000000" w:themeColor="text1"/>
          <w:sz w:val="24"/>
          <w:szCs w:val="24"/>
          <w:shd w:val="clear" w:color="auto" w:fill="FFFFFF"/>
        </w:rPr>
        <w:t>Plant Stress</w:t>
      </w:r>
      <w:r w:rsidRPr="000E5AC7">
        <w:rPr>
          <w:rFonts w:ascii="Times New Roman" w:hAnsi="Times New Roman" w:cs="Times New Roman"/>
          <w:color w:val="000000" w:themeColor="text1"/>
          <w:sz w:val="24"/>
          <w:szCs w:val="24"/>
          <w:shd w:val="clear" w:color="auto" w:fill="FFFFFF"/>
        </w:rPr>
        <w:t>, 100840.</w:t>
      </w:r>
    </w:p>
    <w:p w14:paraId="67BBE214"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Karthik, R., &amp; </w:t>
      </w:r>
      <w:proofErr w:type="spellStart"/>
      <w:r w:rsidRPr="000E5AC7">
        <w:rPr>
          <w:rFonts w:ascii="Times New Roman" w:hAnsi="Times New Roman" w:cs="Times New Roman"/>
          <w:color w:val="000000" w:themeColor="text1"/>
          <w:sz w:val="24"/>
          <w:szCs w:val="24"/>
          <w:shd w:val="clear" w:color="auto" w:fill="FFFFFF"/>
        </w:rPr>
        <w:t>Hanamaratti</w:t>
      </w:r>
      <w:proofErr w:type="spellEnd"/>
      <w:r w:rsidRPr="000E5AC7">
        <w:rPr>
          <w:rFonts w:ascii="Times New Roman" w:hAnsi="Times New Roman" w:cs="Times New Roman"/>
          <w:color w:val="000000" w:themeColor="text1"/>
          <w:sz w:val="24"/>
          <w:szCs w:val="24"/>
          <w:shd w:val="clear" w:color="auto" w:fill="FFFFFF"/>
        </w:rPr>
        <w:t xml:space="preserve">, N. G. (2025). Multivariate analysis and </w:t>
      </w:r>
      <w:proofErr w:type="spellStart"/>
      <w:r w:rsidRPr="000E5AC7">
        <w:rPr>
          <w:rFonts w:ascii="Times New Roman" w:hAnsi="Times New Roman" w:cs="Times New Roman"/>
          <w:color w:val="000000" w:themeColor="text1"/>
          <w:sz w:val="24"/>
          <w:szCs w:val="24"/>
          <w:shd w:val="clear" w:color="auto" w:fill="FFFFFF"/>
        </w:rPr>
        <w:t>multitrait</w:t>
      </w:r>
      <w:proofErr w:type="spellEnd"/>
      <w:r w:rsidRPr="000E5AC7">
        <w:rPr>
          <w:rFonts w:ascii="Times New Roman" w:hAnsi="Times New Roman" w:cs="Times New Roman"/>
          <w:color w:val="000000" w:themeColor="text1"/>
          <w:sz w:val="24"/>
          <w:szCs w:val="24"/>
          <w:shd w:val="clear" w:color="auto" w:fill="FFFFFF"/>
        </w:rPr>
        <w:t xml:space="preserve"> genotype-ideotype distance index (MGIDI) for selection of promising genotypes under drought stress in post rainy sorghum (Sorghum </w:t>
      </w:r>
      <w:proofErr w:type="spellStart"/>
      <w:r w:rsidRPr="000E5AC7">
        <w:rPr>
          <w:rFonts w:ascii="Times New Roman" w:hAnsi="Times New Roman" w:cs="Times New Roman"/>
          <w:color w:val="000000" w:themeColor="text1"/>
          <w:sz w:val="24"/>
          <w:szCs w:val="24"/>
          <w:shd w:val="clear" w:color="auto" w:fill="FFFFFF"/>
        </w:rPr>
        <w:t>bicolor</w:t>
      </w:r>
      <w:proofErr w:type="spellEnd"/>
      <w:r w:rsidRPr="000E5AC7">
        <w:rPr>
          <w:rFonts w:ascii="Times New Roman" w:hAnsi="Times New Roman" w:cs="Times New Roman"/>
          <w:color w:val="000000" w:themeColor="text1"/>
          <w:sz w:val="24"/>
          <w:szCs w:val="24"/>
          <w:shd w:val="clear" w:color="auto" w:fill="FFFFFF"/>
        </w:rPr>
        <w:t xml:space="preserve"> L. Moench). </w:t>
      </w:r>
      <w:r w:rsidRPr="000E5AC7">
        <w:rPr>
          <w:rFonts w:ascii="Times New Roman" w:hAnsi="Times New Roman" w:cs="Times New Roman"/>
          <w:i/>
          <w:iCs/>
          <w:color w:val="000000" w:themeColor="text1"/>
          <w:sz w:val="24"/>
          <w:szCs w:val="24"/>
          <w:shd w:val="clear" w:color="auto" w:fill="FFFFFF"/>
        </w:rPr>
        <w:t>Electronic Journal of Plant Breeding</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16</w:t>
      </w:r>
      <w:r w:rsidRPr="000E5AC7">
        <w:rPr>
          <w:rFonts w:ascii="Times New Roman" w:hAnsi="Times New Roman" w:cs="Times New Roman"/>
          <w:color w:val="000000" w:themeColor="text1"/>
          <w:sz w:val="24"/>
          <w:szCs w:val="24"/>
          <w:shd w:val="clear" w:color="auto" w:fill="FFFFFF"/>
        </w:rPr>
        <w:t>(1), 57-69.</w:t>
      </w:r>
    </w:p>
    <w:p w14:paraId="2DDCF7E7"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Kebede, H., Subudhi, P. K., Rosenow, D. T., &amp; Nguyen, H. T. (2001). Quantitative trait loci influencing drought tolerance in grain sorghum (Sorghum </w:t>
      </w:r>
      <w:proofErr w:type="spellStart"/>
      <w:r w:rsidRPr="000E5AC7">
        <w:rPr>
          <w:rFonts w:ascii="Times New Roman" w:hAnsi="Times New Roman" w:cs="Times New Roman"/>
          <w:color w:val="000000" w:themeColor="text1"/>
          <w:sz w:val="24"/>
          <w:szCs w:val="24"/>
          <w:shd w:val="clear" w:color="auto" w:fill="FFFFFF"/>
        </w:rPr>
        <w:t>bicolor</w:t>
      </w:r>
      <w:proofErr w:type="spellEnd"/>
      <w:r w:rsidRPr="000E5AC7">
        <w:rPr>
          <w:rFonts w:ascii="Times New Roman" w:hAnsi="Times New Roman" w:cs="Times New Roman"/>
          <w:color w:val="000000" w:themeColor="text1"/>
          <w:sz w:val="24"/>
          <w:szCs w:val="24"/>
          <w:shd w:val="clear" w:color="auto" w:fill="FFFFFF"/>
        </w:rPr>
        <w:t xml:space="preserve"> L. Moench). </w:t>
      </w:r>
      <w:r w:rsidRPr="000E5AC7">
        <w:rPr>
          <w:rFonts w:ascii="Times New Roman" w:hAnsi="Times New Roman" w:cs="Times New Roman"/>
          <w:i/>
          <w:iCs/>
          <w:color w:val="000000" w:themeColor="text1"/>
          <w:sz w:val="24"/>
          <w:szCs w:val="24"/>
          <w:shd w:val="clear" w:color="auto" w:fill="FFFFFF"/>
        </w:rPr>
        <w:t>Theoretical and Applied Genetics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103</w:t>
      </w:r>
      <w:r w:rsidRPr="000E5AC7">
        <w:rPr>
          <w:rFonts w:ascii="Times New Roman" w:hAnsi="Times New Roman" w:cs="Times New Roman"/>
          <w:color w:val="000000" w:themeColor="text1"/>
          <w:sz w:val="24"/>
          <w:szCs w:val="24"/>
          <w:shd w:val="clear" w:color="auto" w:fill="FFFFFF"/>
        </w:rPr>
        <w:t>, 266-276.</w:t>
      </w:r>
    </w:p>
    <w:p w14:paraId="111F1C35"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Kiranmayee</w:t>
      </w:r>
      <w:proofErr w:type="spellEnd"/>
      <w:r w:rsidRPr="000E5AC7">
        <w:rPr>
          <w:rFonts w:ascii="Times New Roman" w:hAnsi="Times New Roman" w:cs="Times New Roman"/>
          <w:color w:val="000000" w:themeColor="text1"/>
          <w:sz w:val="24"/>
          <w:szCs w:val="24"/>
          <w:shd w:val="clear" w:color="auto" w:fill="FFFFFF"/>
        </w:rPr>
        <w:t xml:space="preserve">, K. U., Hash, C. T., </w:t>
      </w:r>
      <w:proofErr w:type="spellStart"/>
      <w:r w:rsidRPr="000E5AC7">
        <w:rPr>
          <w:rFonts w:ascii="Times New Roman" w:hAnsi="Times New Roman" w:cs="Times New Roman"/>
          <w:color w:val="000000" w:themeColor="text1"/>
          <w:sz w:val="24"/>
          <w:szCs w:val="24"/>
          <w:shd w:val="clear" w:color="auto" w:fill="FFFFFF"/>
        </w:rPr>
        <w:t>Sivasubramani</w:t>
      </w:r>
      <w:proofErr w:type="spellEnd"/>
      <w:r w:rsidRPr="000E5AC7">
        <w:rPr>
          <w:rFonts w:ascii="Times New Roman" w:hAnsi="Times New Roman" w:cs="Times New Roman"/>
          <w:color w:val="000000" w:themeColor="text1"/>
          <w:sz w:val="24"/>
          <w:szCs w:val="24"/>
          <w:shd w:val="clear" w:color="auto" w:fill="FFFFFF"/>
        </w:rPr>
        <w:t xml:space="preserve">, S., Ramu, P., </w:t>
      </w:r>
      <w:proofErr w:type="spellStart"/>
      <w:r w:rsidRPr="000E5AC7">
        <w:rPr>
          <w:rFonts w:ascii="Times New Roman" w:hAnsi="Times New Roman" w:cs="Times New Roman"/>
          <w:color w:val="000000" w:themeColor="text1"/>
          <w:sz w:val="24"/>
          <w:szCs w:val="24"/>
          <w:shd w:val="clear" w:color="auto" w:fill="FFFFFF"/>
        </w:rPr>
        <w:t>Amindala</w:t>
      </w:r>
      <w:proofErr w:type="spellEnd"/>
      <w:r w:rsidRPr="000E5AC7">
        <w:rPr>
          <w:rFonts w:ascii="Times New Roman" w:hAnsi="Times New Roman" w:cs="Times New Roman"/>
          <w:color w:val="000000" w:themeColor="text1"/>
          <w:sz w:val="24"/>
          <w:szCs w:val="24"/>
          <w:shd w:val="clear" w:color="auto" w:fill="FFFFFF"/>
        </w:rPr>
        <w:t>, B. P., Rathore, A., ... &amp; Deshpande, S. P. (2020). Fine-mapping of sorghum stay-green QTL on chromosome10 revealed genes associated with delayed senescence. </w:t>
      </w:r>
      <w:r w:rsidRPr="000E5AC7">
        <w:rPr>
          <w:rFonts w:ascii="Times New Roman" w:hAnsi="Times New Roman" w:cs="Times New Roman"/>
          <w:i/>
          <w:iCs/>
          <w:color w:val="000000" w:themeColor="text1"/>
          <w:sz w:val="24"/>
          <w:szCs w:val="24"/>
          <w:shd w:val="clear" w:color="auto" w:fill="FFFFFF"/>
        </w:rPr>
        <w:t>Genes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11</w:t>
      </w:r>
      <w:r w:rsidRPr="000E5AC7">
        <w:rPr>
          <w:rFonts w:ascii="Times New Roman" w:hAnsi="Times New Roman" w:cs="Times New Roman"/>
          <w:color w:val="000000" w:themeColor="text1"/>
          <w:sz w:val="24"/>
          <w:szCs w:val="24"/>
          <w:shd w:val="clear" w:color="auto" w:fill="FFFFFF"/>
        </w:rPr>
        <w:t>(9), 1026.</w:t>
      </w:r>
    </w:p>
    <w:p w14:paraId="7189D513"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Mahalakshmi, V., &amp; Bidinger, F. R. (2002). Evaluation of stay‐green sorghum germplasm lines at ICRISAT. </w:t>
      </w:r>
      <w:r w:rsidRPr="000E5AC7">
        <w:rPr>
          <w:rFonts w:ascii="Times New Roman" w:hAnsi="Times New Roman" w:cs="Times New Roman"/>
          <w:i/>
          <w:iCs/>
          <w:color w:val="000000" w:themeColor="text1"/>
          <w:sz w:val="24"/>
          <w:szCs w:val="24"/>
          <w:shd w:val="clear" w:color="auto" w:fill="FFFFFF"/>
        </w:rPr>
        <w:t>Crop Science</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42</w:t>
      </w:r>
      <w:r w:rsidRPr="000E5AC7">
        <w:rPr>
          <w:rFonts w:ascii="Times New Roman" w:hAnsi="Times New Roman" w:cs="Times New Roman"/>
          <w:color w:val="000000" w:themeColor="text1"/>
          <w:sz w:val="24"/>
          <w:szCs w:val="24"/>
          <w:shd w:val="clear" w:color="auto" w:fill="FFFFFF"/>
        </w:rPr>
        <w:t>(3), 965-974.</w:t>
      </w:r>
    </w:p>
    <w:p w14:paraId="4FC0201B"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lastRenderedPageBreak/>
        <w:t>Muitire</w:t>
      </w:r>
      <w:proofErr w:type="spellEnd"/>
      <w:r w:rsidRPr="000E5AC7">
        <w:rPr>
          <w:rFonts w:ascii="Times New Roman" w:hAnsi="Times New Roman" w:cs="Times New Roman"/>
          <w:color w:val="000000" w:themeColor="text1"/>
          <w:sz w:val="24"/>
          <w:szCs w:val="24"/>
          <w:shd w:val="clear" w:color="auto" w:fill="FFFFFF"/>
        </w:rPr>
        <w:t xml:space="preserve">, C., </w:t>
      </w:r>
      <w:proofErr w:type="spellStart"/>
      <w:r w:rsidRPr="000E5AC7">
        <w:rPr>
          <w:rFonts w:ascii="Times New Roman" w:hAnsi="Times New Roman" w:cs="Times New Roman"/>
          <w:color w:val="000000" w:themeColor="text1"/>
          <w:sz w:val="24"/>
          <w:szCs w:val="24"/>
          <w:shd w:val="clear" w:color="auto" w:fill="FFFFFF"/>
        </w:rPr>
        <w:t>Kamutando</w:t>
      </w:r>
      <w:proofErr w:type="spellEnd"/>
      <w:r w:rsidRPr="000E5AC7">
        <w:rPr>
          <w:rFonts w:ascii="Times New Roman" w:hAnsi="Times New Roman" w:cs="Times New Roman"/>
          <w:color w:val="000000" w:themeColor="text1"/>
          <w:sz w:val="24"/>
          <w:szCs w:val="24"/>
          <w:shd w:val="clear" w:color="auto" w:fill="FFFFFF"/>
        </w:rPr>
        <w:t xml:space="preserve">, C., &amp; Moyo, M. (2021). Building stress resilience of cereals under future climatic </w:t>
      </w:r>
      <w:proofErr w:type="spellStart"/>
      <w:proofErr w:type="gramStart"/>
      <w:r w:rsidRPr="000E5AC7">
        <w:rPr>
          <w:rFonts w:ascii="Times New Roman" w:hAnsi="Times New Roman" w:cs="Times New Roman"/>
          <w:color w:val="000000" w:themeColor="text1"/>
          <w:sz w:val="24"/>
          <w:szCs w:val="24"/>
          <w:shd w:val="clear" w:color="auto" w:fill="FFFFFF"/>
        </w:rPr>
        <w:t>scenarios:‘</w:t>
      </w:r>
      <w:proofErr w:type="gramEnd"/>
      <w:r w:rsidRPr="000E5AC7">
        <w:rPr>
          <w:rFonts w:ascii="Times New Roman" w:hAnsi="Times New Roman" w:cs="Times New Roman"/>
          <w:color w:val="000000" w:themeColor="text1"/>
          <w:sz w:val="24"/>
          <w:szCs w:val="24"/>
          <w:shd w:val="clear" w:color="auto" w:fill="FFFFFF"/>
        </w:rPr>
        <w:t>the</w:t>
      </w:r>
      <w:proofErr w:type="spellEnd"/>
      <w:r w:rsidRPr="000E5AC7">
        <w:rPr>
          <w:rFonts w:ascii="Times New Roman" w:hAnsi="Times New Roman" w:cs="Times New Roman"/>
          <w:color w:val="000000" w:themeColor="text1"/>
          <w:sz w:val="24"/>
          <w:szCs w:val="24"/>
          <w:shd w:val="clear" w:color="auto" w:fill="FFFFFF"/>
        </w:rPr>
        <w:t xml:space="preserve"> case of maize, wheat, rice and sorghum’. In </w:t>
      </w:r>
      <w:r w:rsidRPr="000E5AC7">
        <w:rPr>
          <w:rFonts w:ascii="Times New Roman" w:hAnsi="Times New Roman" w:cs="Times New Roman"/>
          <w:i/>
          <w:iCs/>
          <w:color w:val="000000" w:themeColor="text1"/>
          <w:sz w:val="24"/>
          <w:szCs w:val="24"/>
          <w:shd w:val="clear" w:color="auto" w:fill="FFFFFF"/>
        </w:rPr>
        <w:t>Cereal Grains-Volume 1</w:t>
      </w:r>
      <w:r w:rsidRPr="000E5AC7">
        <w:rPr>
          <w:rFonts w:ascii="Times New Roman" w:hAnsi="Times New Roman" w:cs="Times New Roman"/>
          <w:color w:val="000000" w:themeColor="text1"/>
          <w:sz w:val="24"/>
          <w:szCs w:val="24"/>
          <w:shd w:val="clear" w:color="auto" w:fill="FFFFFF"/>
        </w:rPr>
        <w:t xml:space="preserve">. </w:t>
      </w:r>
      <w:proofErr w:type="spellStart"/>
      <w:r w:rsidRPr="000E5AC7">
        <w:rPr>
          <w:rFonts w:ascii="Times New Roman" w:hAnsi="Times New Roman" w:cs="Times New Roman"/>
          <w:color w:val="000000" w:themeColor="text1"/>
          <w:sz w:val="24"/>
          <w:szCs w:val="24"/>
          <w:shd w:val="clear" w:color="auto" w:fill="FFFFFF"/>
        </w:rPr>
        <w:t>IntechOpen</w:t>
      </w:r>
      <w:proofErr w:type="spellEnd"/>
      <w:r w:rsidRPr="000E5AC7">
        <w:rPr>
          <w:rFonts w:ascii="Times New Roman" w:hAnsi="Times New Roman" w:cs="Times New Roman"/>
          <w:color w:val="000000" w:themeColor="text1"/>
          <w:sz w:val="24"/>
          <w:szCs w:val="24"/>
          <w:shd w:val="clear" w:color="auto" w:fill="FFFFFF"/>
        </w:rPr>
        <w:t>.</w:t>
      </w:r>
    </w:p>
    <w:p w14:paraId="189C7C5C"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Otwani</w:t>
      </w:r>
      <w:proofErr w:type="spellEnd"/>
      <w:r w:rsidRPr="000E5AC7">
        <w:rPr>
          <w:rFonts w:ascii="Times New Roman" w:hAnsi="Times New Roman" w:cs="Times New Roman"/>
          <w:color w:val="000000" w:themeColor="text1"/>
          <w:sz w:val="24"/>
          <w:szCs w:val="24"/>
          <w:shd w:val="clear" w:color="auto" w:fill="FFFFFF"/>
        </w:rPr>
        <w:t>, D., McLean, G., Hammer, G., Cruickshank, A., Hunt, C., Tao, Y., ... &amp; Jordan, D. (2025). Extended grain filling has potential to improve yield in grain sorghum. </w:t>
      </w:r>
      <w:r w:rsidRPr="000E5AC7">
        <w:rPr>
          <w:rFonts w:ascii="Times New Roman" w:hAnsi="Times New Roman" w:cs="Times New Roman"/>
          <w:i/>
          <w:iCs/>
          <w:color w:val="000000" w:themeColor="text1"/>
          <w:sz w:val="24"/>
          <w:szCs w:val="24"/>
          <w:shd w:val="clear" w:color="auto" w:fill="FFFFFF"/>
        </w:rPr>
        <w:t>Journal of Experimental Botany</w:t>
      </w:r>
      <w:r w:rsidRPr="000E5AC7">
        <w:rPr>
          <w:rFonts w:ascii="Times New Roman" w:hAnsi="Times New Roman" w:cs="Times New Roman"/>
          <w:color w:val="000000" w:themeColor="text1"/>
          <w:sz w:val="24"/>
          <w:szCs w:val="24"/>
          <w:shd w:val="clear" w:color="auto" w:fill="FFFFFF"/>
        </w:rPr>
        <w:t>, eraf117.</w:t>
      </w:r>
    </w:p>
    <w:p w14:paraId="465B9303"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Pugh, N. A., Young, A., </w:t>
      </w:r>
      <w:proofErr w:type="spellStart"/>
      <w:r w:rsidRPr="000E5AC7">
        <w:rPr>
          <w:rFonts w:ascii="Times New Roman" w:hAnsi="Times New Roman" w:cs="Times New Roman"/>
          <w:color w:val="000000" w:themeColor="text1"/>
          <w:sz w:val="24"/>
          <w:szCs w:val="24"/>
          <w:shd w:val="clear" w:color="auto" w:fill="FFFFFF"/>
        </w:rPr>
        <w:t>Emendack</w:t>
      </w:r>
      <w:proofErr w:type="spellEnd"/>
      <w:r w:rsidRPr="000E5AC7">
        <w:rPr>
          <w:rFonts w:ascii="Times New Roman" w:hAnsi="Times New Roman" w:cs="Times New Roman"/>
          <w:color w:val="000000" w:themeColor="text1"/>
          <w:sz w:val="24"/>
          <w:szCs w:val="24"/>
          <w:shd w:val="clear" w:color="auto" w:fill="FFFFFF"/>
        </w:rPr>
        <w:t>, Y., Sanchez, J., Xin, Z., &amp; Hayes, C. (2025). High‐throughput phenotyping of stay‐green in a sorghum breeding program using unmanned aerial vehicles and machine learning. </w:t>
      </w:r>
      <w:r w:rsidRPr="000E5AC7">
        <w:rPr>
          <w:rFonts w:ascii="Times New Roman" w:hAnsi="Times New Roman" w:cs="Times New Roman"/>
          <w:i/>
          <w:iCs/>
          <w:color w:val="000000" w:themeColor="text1"/>
          <w:sz w:val="24"/>
          <w:szCs w:val="24"/>
          <w:shd w:val="clear" w:color="auto" w:fill="FFFFFF"/>
        </w:rPr>
        <w:t>The Plant Phenome Journal</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8</w:t>
      </w:r>
      <w:r w:rsidRPr="000E5AC7">
        <w:rPr>
          <w:rFonts w:ascii="Times New Roman" w:hAnsi="Times New Roman" w:cs="Times New Roman"/>
          <w:color w:val="000000" w:themeColor="text1"/>
          <w:sz w:val="24"/>
          <w:szCs w:val="24"/>
          <w:shd w:val="clear" w:color="auto" w:fill="FFFFFF"/>
        </w:rPr>
        <w:t>(1), e70014.</w:t>
      </w:r>
    </w:p>
    <w:p w14:paraId="4223BFC5"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Rajarajan, K., </w:t>
      </w:r>
      <w:proofErr w:type="spellStart"/>
      <w:r w:rsidRPr="000E5AC7">
        <w:rPr>
          <w:rFonts w:ascii="Times New Roman" w:hAnsi="Times New Roman" w:cs="Times New Roman"/>
          <w:color w:val="000000" w:themeColor="text1"/>
          <w:sz w:val="24"/>
          <w:szCs w:val="24"/>
          <w:shd w:val="clear" w:color="auto" w:fill="FFFFFF"/>
        </w:rPr>
        <w:t>Ganesamurthy</w:t>
      </w:r>
      <w:proofErr w:type="spellEnd"/>
      <w:r w:rsidRPr="000E5AC7">
        <w:rPr>
          <w:rFonts w:ascii="Times New Roman" w:hAnsi="Times New Roman" w:cs="Times New Roman"/>
          <w:color w:val="000000" w:themeColor="text1"/>
          <w:sz w:val="24"/>
          <w:szCs w:val="24"/>
          <w:shd w:val="clear" w:color="auto" w:fill="FFFFFF"/>
        </w:rPr>
        <w:t xml:space="preserve">, K., Raveendran, M., Jeyakumar, P., Yuvaraja, A., Sampath, P., ... &amp; </w:t>
      </w:r>
      <w:proofErr w:type="spellStart"/>
      <w:r w:rsidRPr="000E5AC7">
        <w:rPr>
          <w:rFonts w:ascii="Times New Roman" w:hAnsi="Times New Roman" w:cs="Times New Roman"/>
          <w:color w:val="000000" w:themeColor="text1"/>
          <w:sz w:val="24"/>
          <w:szCs w:val="24"/>
          <w:shd w:val="clear" w:color="auto" w:fill="FFFFFF"/>
        </w:rPr>
        <w:t>Senthilraja</w:t>
      </w:r>
      <w:proofErr w:type="spellEnd"/>
      <w:r w:rsidRPr="000E5AC7">
        <w:rPr>
          <w:rFonts w:ascii="Times New Roman" w:hAnsi="Times New Roman" w:cs="Times New Roman"/>
          <w:color w:val="000000" w:themeColor="text1"/>
          <w:sz w:val="24"/>
          <w:szCs w:val="24"/>
          <w:shd w:val="clear" w:color="auto" w:fill="FFFFFF"/>
        </w:rPr>
        <w:t>, C. (2021). Differential responses of sorghum genotypes to drought stress revealed by physio-chemical and transcriptional analysis. </w:t>
      </w:r>
      <w:r w:rsidRPr="000E5AC7">
        <w:rPr>
          <w:rFonts w:ascii="Times New Roman" w:hAnsi="Times New Roman" w:cs="Times New Roman"/>
          <w:i/>
          <w:iCs/>
          <w:color w:val="000000" w:themeColor="text1"/>
          <w:sz w:val="24"/>
          <w:szCs w:val="24"/>
          <w:shd w:val="clear" w:color="auto" w:fill="FFFFFF"/>
        </w:rPr>
        <w:t>Molecular biology reports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48</w:t>
      </w:r>
      <w:r w:rsidRPr="000E5AC7">
        <w:rPr>
          <w:rFonts w:ascii="Times New Roman" w:hAnsi="Times New Roman" w:cs="Times New Roman"/>
          <w:color w:val="000000" w:themeColor="text1"/>
          <w:sz w:val="24"/>
          <w:szCs w:val="24"/>
          <w:shd w:val="clear" w:color="auto" w:fill="FFFFFF"/>
        </w:rPr>
        <w:t>, 2453-2462.</w:t>
      </w:r>
    </w:p>
    <w:p w14:paraId="7080AEB2"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Rama Reddy, N. R., </w:t>
      </w:r>
      <w:proofErr w:type="spellStart"/>
      <w:r w:rsidRPr="000E5AC7">
        <w:rPr>
          <w:rFonts w:ascii="Times New Roman" w:hAnsi="Times New Roman" w:cs="Times New Roman"/>
          <w:color w:val="000000" w:themeColor="text1"/>
          <w:sz w:val="24"/>
          <w:szCs w:val="24"/>
          <w:shd w:val="clear" w:color="auto" w:fill="FFFFFF"/>
        </w:rPr>
        <w:t>Ragimasalawada</w:t>
      </w:r>
      <w:proofErr w:type="spellEnd"/>
      <w:r w:rsidRPr="000E5AC7">
        <w:rPr>
          <w:rFonts w:ascii="Times New Roman" w:hAnsi="Times New Roman" w:cs="Times New Roman"/>
          <w:color w:val="000000" w:themeColor="text1"/>
          <w:sz w:val="24"/>
          <w:szCs w:val="24"/>
          <w:shd w:val="clear" w:color="auto" w:fill="FFFFFF"/>
        </w:rPr>
        <w:t xml:space="preserve">, M., </w:t>
      </w:r>
      <w:proofErr w:type="spellStart"/>
      <w:r w:rsidRPr="000E5AC7">
        <w:rPr>
          <w:rFonts w:ascii="Times New Roman" w:hAnsi="Times New Roman" w:cs="Times New Roman"/>
          <w:color w:val="000000" w:themeColor="text1"/>
          <w:sz w:val="24"/>
          <w:szCs w:val="24"/>
          <w:shd w:val="clear" w:color="auto" w:fill="FFFFFF"/>
        </w:rPr>
        <w:t>Sabbavarapu</w:t>
      </w:r>
      <w:proofErr w:type="spellEnd"/>
      <w:r w:rsidRPr="000E5AC7">
        <w:rPr>
          <w:rFonts w:ascii="Times New Roman" w:hAnsi="Times New Roman" w:cs="Times New Roman"/>
          <w:color w:val="000000" w:themeColor="text1"/>
          <w:sz w:val="24"/>
          <w:szCs w:val="24"/>
          <w:shd w:val="clear" w:color="auto" w:fill="FFFFFF"/>
        </w:rPr>
        <w:t xml:space="preserve">, M. M., </w:t>
      </w:r>
      <w:proofErr w:type="spellStart"/>
      <w:r w:rsidRPr="000E5AC7">
        <w:rPr>
          <w:rFonts w:ascii="Times New Roman" w:hAnsi="Times New Roman" w:cs="Times New Roman"/>
          <w:color w:val="000000" w:themeColor="text1"/>
          <w:sz w:val="24"/>
          <w:szCs w:val="24"/>
          <w:shd w:val="clear" w:color="auto" w:fill="FFFFFF"/>
        </w:rPr>
        <w:t>Nadoor</w:t>
      </w:r>
      <w:proofErr w:type="spellEnd"/>
      <w:r w:rsidRPr="000E5AC7">
        <w:rPr>
          <w:rFonts w:ascii="Times New Roman" w:hAnsi="Times New Roman" w:cs="Times New Roman"/>
          <w:color w:val="000000" w:themeColor="text1"/>
          <w:sz w:val="24"/>
          <w:szCs w:val="24"/>
          <w:shd w:val="clear" w:color="auto" w:fill="FFFFFF"/>
        </w:rPr>
        <w:t>, S., &amp; Patil, J. V. (2014). Detection and validation of stay-green QTL in post-rainy sorghum involving widely adapted cultivar, M35-1 and a popular stay-green genotype B35. </w:t>
      </w:r>
      <w:r w:rsidRPr="000E5AC7">
        <w:rPr>
          <w:rFonts w:ascii="Times New Roman" w:hAnsi="Times New Roman" w:cs="Times New Roman"/>
          <w:i/>
          <w:iCs/>
          <w:color w:val="000000" w:themeColor="text1"/>
          <w:sz w:val="24"/>
          <w:szCs w:val="24"/>
          <w:shd w:val="clear" w:color="auto" w:fill="FFFFFF"/>
        </w:rPr>
        <w:t>BMC genomics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15</w:t>
      </w:r>
      <w:r w:rsidRPr="000E5AC7">
        <w:rPr>
          <w:rFonts w:ascii="Times New Roman" w:hAnsi="Times New Roman" w:cs="Times New Roman"/>
          <w:color w:val="000000" w:themeColor="text1"/>
          <w:sz w:val="24"/>
          <w:szCs w:val="24"/>
          <w:shd w:val="clear" w:color="auto" w:fill="FFFFFF"/>
        </w:rPr>
        <w:t>, 1-16.</w:t>
      </w:r>
    </w:p>
    <w:p w14:paraId="13BAE378"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Reddy, B. V., Ramaiah, B., Ashok Kumar, A., &amp; Reddy, P. S. (2007). Evaluation of sorghum genotypes for the stay-green trait and grain yield. </w:t>
      </w:r>
      <w:r w:rsidRPr="000E5AC7">
        <w:rPr>
          <w:rFonts w:ascii="Times New Roman" w:hAnsi="Times New Roman" w:cs="Times New Roman"/>
          <w:i/>
          <w:iCs/>
          <w:color w:val="000000" w:themeColor="text1"/>
          <w:sz w:val="24"/>
          <w:szCs w:val="24"/>
          <w:shd w:val="clear" w:color="auto" w:fill="FFFFFF"/>
        </w:rPr>
        <w:t>Journal of SAT Agricultural Research</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3</w:t>
      </w:r>
      <w:r w:rsidRPr="000E5AC7">
        <w:rPr>
          <w:rFonts w:ascii="Times New Roman" w:hAnsi="Times New Roman" w:cs="Times New Roman"/>
          <w:color w:val="000000" w:themeColor="text1"/>
          <w:sz w:val="24"/>
          <w:szCs w:val="24"/>
          <w:shd w:val="clear" w:color="auto" w:fill="FFFFFF"/>
        </w:rPr>
        <w:t>(1), 1-4.</w:t>
      </w:r>
    </w:p>
    <w:p w14:paraId="03B52F5D" w14:textId="77777777" w:rsidR="000E5AC7" w:rsidRPr="000E5AC7" w:rsidRDefault="000E5AC7" w:rsidP="000E5AC7">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Shivalli</w:t>
      </w:r>
      <w:proofErr w:type="spellEnd"/>
      <w:r w:rsidRPr="000E5AC7">
        <w:rPr>
          <w:rFonts w:ascii="Times New Roman" w:hAnsi="Times New Roman" w:cs="Times New Roman"/>
          <w:color w:val="000000" w:themeColor="text1"/>
          <w:sz w:val="24"/>
          <w:szCs w:val="24"/>
          <w:shd w:val="clear" w:color="auto" w:fill="FFFFFF"/>
        </w:rPr>
        <w:t>, S. N. (2000). </w:t>
      </w:r>
      <w:r w:rsidRPr="000E5AC7">
        <w:rPr>
          <w:rFonts w:ascii="Times New Roman" w:hAnsi="Times New Roman" w:cs="Times New Roman"/>
          <w:i/>
          <w:iCs/>
          <w:color w:val="000000" w:themeColor="text1"/>
          <w:sz w:val="24"/>
          <w:szCs w:val="24"/>
          <w:shd w:val="clear" w:color="auto" w:fill="FFFFFF"/>
        </w:rPr>
        <w:t>CHARACTERISATION OF MORPHO-PHYSIOLOGICAL TRAITS FOR HIGHER PRODUCTIVITY IN RABI SORGHUM</w:t>
      </w:r>
      <w:r w:rsidRPr="000E5AC7">
        <w:rPr>
          <w:rFonts w:ascii="Times New Roman" w:hAnsi="Times New Roman" w:cs="Times New Roman"/>
          <w:color w:val="000000" w:themeColor="text1"/>
          <w:sz w:val="24"/>
          <w:szCs w:val="24"/>
          <w:shd w:val="clear" w:color="auto" w:fill="FFFFFF"/>
        </w:rPr>
        <w:t> (Doctoral dissertation, University of Agricultural Sciences, Dharwad).</w:t>
      </w:r>
    </w:p>
    <w:p w14:paraId="58E6C22C"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Subudhi, P. K., Rosenow, D. T., &amp; Nguyen, H. T. (2000). Quantitative trait loci for the stay green trait in sorghum (Sorghum </w:t>
      </w:r>
      <w:proofErr w:type="spellStart"/>
      <w:r w:rsidRPr="000E5AC7">
        <w:rPr>
          <w:rFonts w:ascii="Times New Roman" w:hAnsi="Times New Roman" w:cs="Times New Roman"/>
          <w:color w:val="000000" w:themeColor="text1"/>
          <w:sz w:val="24"/>
          <w:szCs w:val="24"/>
          <w:shd w:val="clear" w:color="auto" w:fill="FFFFFF"/>
        </w:rPr>
        <w:t>bicolor</w:t>
      </w:r>
      <w:proofErr w:type="spellEnd"/>
      <w:r w:rsidRPr="000E5AC7">
        <w:rPr>
          <w:rFonts w:ascii="Times New Roman" w:hAnsi="Times New Roman" w:cs="Times New Roman"/>
          <w:color w:val="000000" w:themeColor="text1"/>
          <w:sz w:val="24"/>
          <w:szCs w:val="24"/>
          <w:shd w:val="clear" w:color="auto" w:fill="FFFFFF"/>
        </w:rPr>
        <w:t xml:space="preserve"> L. Moench): consistency across genetic backgrounds and environments. </w:t>
      </w:r>
      <w:r w:rsidRPr="000E5AC7">
        <w:rPr>
          <w:rFonts w:ascii="Times New Roman" w:hAnsi="Times New Roman" w:cs="Times New Roman"/>
          <w:i/>
          <w:iCs/>
          <w:color w:val="000000" w:themeColor="text1"/>
          <w:sz w:val="24"/>
          <w:szCs w:val="24"/>
          <w:shd w:val="clear" w:color="auto" w:fill="FFFFFF"/>
        </w:rPr>
        <w:t>Theoretical and Applied Genetics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101</w:t>
      </w:r>
      <w:r w:rsidRPr="000E5AC7">
        <w:rPr>
          <w:rFonts w:ascii="Times New Roman" w:hAnsi="Times New Roman" w:cs="Times New Roman"/>
          <w:color w:val="000000" w:themeColor="text1"/>
          <w:sz w:val="24"/>
          <w:szCs w:val="24"/>
          <w:shd w:val="clear" w:color="auto" w:fill="FFFFFF"/>
        </w:rPr>
        <w:t>, 733-741.</w:t>
      </w:r>
    </w:p>
    <w:p w14:paraId="27B40573"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Suman, S., &amp; Chandra, S. (2025). Introduction to millet and challenges of millet production due to extreme environmental conditions in India: a review. </w:t>
      </w:r>
      <w:r w:rsidRPr="000E5AC7">
        <w:rPr>
          <w:rFonts w:ascii="Times New Roman" w:hAnsi="Times New Roman" w:cs="Times New Roman"/>
          <w:i/>
          <w:iCs/>
          <w:color w:val="000000" w:themeColor="text1"/>
          <w:sz w:val="24"/>
          <w:szCs w:val="24"/>
          <w:shd w:val="clear" w:color="auto" w:fill="FFFFFF"/>
        </w:rPr>
        <w:t>Cereal Research Communications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53</w:t>
      </w:r>
      <w:r w:rsidRPr="000E5AC7">
        <w:rPr>
          <w:rFonts w:ascii="Times New Roman" w:hAnsi="Times New Roman" w:cs="Times New Roman"/>
          <w:color w:val="000000" w:themeColor="text1"/>
          <w:sz w:val="24"/>
          <w:szCs w:val="24"/>
          <w:shd w:val="clear" w:color="auto" w:fill="FFFFFF"/>
        </w:rPr>
        <w:t>(1), 101-125.</w:t>
      </w:r>
    </w:p>
    <w:p w14:paraId="4041E318"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Tao, Y. Z., Henzell, R. G., Jordan, D. R., Butler, D. G., Kelly, A. M., &amp; McIntyre, C. L. (2000). Identification of genomic regions associated with stay green in </w:t>
      </w:r>
      <w:r w:rsidRPr="000E5AC7">
        <w:rPr>
          <w:rFonts w:ascii="Times New Roman" w:hAnsi="Times New Roman" w:cs="Times New Roman"/>
          <w:color w:val="000000" w:themeColor="text1"/>
          <w:sz w:val="24"/>
          <w:szCs w:val="24"/>
          <w:shd w:val="clear" w:color="auto" w:fill="FFFFFF"/>
        </w:rPr>
        <w:lastRenderedPageBreak/>
        <w:t>sorghum by testing RILs in multiple environments. </w:t>
      </w:r>
      <w:r w:rsidRPr="000E5AC7">
        <w:rPr>
          <w:rFonts w:ascii="Times New Roman" w:hAnsi="Times New Roman" w:cs="Times New Roman"/>
          <w:i/>
          <w:iCs/>
          <w:color w:val="000000" w:themeColor="text1"/>
          <w:sz w:val="24"/>
          <w:szCs w:val="24"/>
          <w:shd w:val="clear" w:color="auto" w:fill="FFFFFF"/>
        </w:rPr>
        <w:t>Theoretical and Applied Genetics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100</w:t>
      </w:r>
      <w:r w:rsidRPr="000E5AC7">
        <w:rPr>
          <w:rFonts w:ascii="Times New Roman" w:hAnsi="Times New Roman" w:cs="Times New Roman"/>
          <w:color w:val="000000" w:themeColor="text1"/>
          <w:sz w:val="24"/>
          <w:szCs w:val="24"/>
          <w:shd w:val="clear" w:color="auto" w:fill="FFFFFF"/>
        </w:rPr>
        <w:t>, 1225-1232.</w:t>
      </w:r>
    </w:p>
    <w:p w14:paraId="3AB1F326"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Tulu, A., </w:t>
      </w:r>
      <w:proofErr w:type="spellStart"/>
      <w:r w:rsidRPr="000E5AC7">
        <w:rPr>
          <w:rFonts w:ascii="Times New Roman" w:hAnsi="Times New Roman" w:cs="Times New Roman"/>
          <w:color w:val="000000" w:themeColor="text1"/>
          <w:sz w:val="24"/>
          <w:szCs w:val="24"/>
          <w:shd w:val="clear" w:color="auto" w:fill="FFFFFF"/>
        </w:rPr>
        <w:t>Diribsa</w:t>
      </w:r>
      <w:proofErr w:type="spellEnd"/>
      <w:r w:rsidRPr="000E5AC7">
        <w:rPr>
          <w:rFonts w:ascii="Times New Roman" w:hAnsi="Times New Roman" w:cs="Times New Roman"/>
          <w:color w:val="000000" w:themeColor="text1"/>
          <w:sz w:val="24"/>
          <w:szCs w:val="24"/>
          <w:shd w:val="clear" w:color="auto" w:fill="FFFFFF"/>
        </w:rPr>
        <w:t>, M., Gadisa, B., &amp; Temesgen, W. (2025). Stover yield, morphological fractions and nutrient composition of five stay-green sorghum (Sorghum biochar L.) varieties at the physiological maturity stage. </w:t>
      </w:r>
      <w:proofErr w:type="spellStart"/>
      <w:r w:rsidRPr="000E5AC7">
        <w:rPr>
          <w:rFonts w:ascii="Times New Roman" w:hAnsi="Times New Roman" w:cs="Times New Roman"/>
          <w:i/>
          <w:iCs/>
          <w:color w:val="000000" w:themeColor="text1"/>
          <w:sz w:val="24"/>
          <w:szCs w:val="24"/>
          <w:shd w:val="clear" w:color="auto" w:fill="FFFFFF"/>
        </w:rPr>
        <w:t>Heliyon</w:t>
      </w:r>
      <w:proofErr w:type="spellEnd"/>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11</w:t>
      </w:r>
      <w:r w:rsidRPr="000E5AC7">
        <w:rPr>
          <w:rFonts w:ascii="Times New Roman" w:hAnsi="Times New Roman" w:cs="Times New Roman"/>
          <w:color w:val="000000" w:themeColor="text1"/>
          <w:sz w:val="24"/>
          <w:szCs w:val="24"/>
          <w:shd w:val="clear" w:color="auto" w:fill="FFFFFF"/>
        </w:rPr>
        <w:t>(1).</w:t>
      </w:r>
    </w:p>
    <w:p w14:paraId="57C9D411" w14:textId="77777777" w:rsidR="000E5AC7" w:rsidRPr="000E5AC7" w:rsidRDefault="000E5AC7" w:rsidP="000E5AC7">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Upadhyaya, H. D., </w:t>
      </w:r>
      <w:proofErr w:type="spellStart"/>
      <w:r w:rsidRPr="000E5AC7">
        <w:rPr>
          <w:rFonts w:ascii="Times New Roman" w:hAnsi="Times New Roman" w:cs="Times New Roman"/>
          <w:color w:val="000000" w:themeColor="text1"/>
          <w:sz w:val="24"/>
          <w:szCs w:val="24"/>
          <w:shd w:val="clear" w:color="auto" w:fill="FFFFFF"/>
        </w:rPr>
        <w:t>Vetriventhan</w:t>
      </w:r>
      <w:proofErr w:type="spellEnd"/>
      <w:r w:rsidRPr="000E5AC7">
        <w:rPr>
          <w:rFonts w:ascii="Times New Roman" w:hAnsi="Times New Roman" w:cs="Times New Roman"/>
          <w:color w:val="000000" w:themeColor="text1"/>
          <w:sz w:val="24"/>
          <w:szCs w:val="24"/>
          <w:shd w:val="clear" w:color="auto" w:fill="FFFFFF"/>
        </w:rPr>
        <w:t>, M., &amp; Azevedo, V. C. (2021). Variation for photoperiod and temperature sensitivity in the global mini core collection of sorghum. </w:t>
      </w:r>
      <w:r w:rsidRPr="000E5AC7">
        <w:rPr>
          <w:rFonts w:ascii="Times New Roman" w:hAnsi="Times New Roman" w:cs="Times New Roman"/>
          <w:i/>
          <w:iCs/>
          <w:color w:val="000000" w:themeColor="text1"/>
          <w:sz w:val="24"/>
          <w:szCs w:val="24"/>
          <w:shd w:val="clear" w:color="auto" w:fill="FFFFFF"/>
        </w:rPr>
        <w:t>Frontiers in Plant Science</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12</w:t>
      </w:r>
      <w:r w:rsidRPr="000E5AC7">
        <w:rPr>
          <w:rFonts w:ascii="Times New Roman" w:hAnsi="Times New Roman" w:cs="Times New Roman"/>
          <w:color w:val="000000" w:themeColor="text1"/>
          <w:sz w:val="24"/>
          <w:szCs w:val="24"/>
          <w:shd w:val="clear" w:color="auto" w:fill="FFFFFF"/>
        </w:rPr>
        <w:t>, 571243.</w:t>
      </w:r>
    </w:p>
    <w:p w14:paraId="75253E38" w14:textId="77777777" w:rsidR="00F5096D" w:rsidRPr="00017951" w:rsidRDefault="00F5096D" w:rsidP="000163F5">
      <w:pPr>
        <w:autoSpaceDE w:val="0"/>
        <w:autoSpaceDN w:val="0"/>
        <w:adjustRightInd w:val="0"/>
        <w:spacing w:line="360" w:lineRule="auto"/>
        <w:ind w:left="720" w:hanging="720"/>
        <w:rPr>
          <w:rFonts w:ascii="Times New Roman" w:hAnsi="Times New Roman" w:cs="Times New Roman"/>
          <w:color w:val="000000" w:themeColor="text1"/>
          <w:sz w:val="32"/>
          <w:szCs w:val="32"/>
          <w:shd w:val="clear" w:color="auto" w:fill="FFFFFF"/>
        </w:rPr>
      </w:pPr>
    </w:p>
    <w:sectPr w:rsidR="00F5096D" w:rsidRPr="00017951" w:rsidSect="00184EC8">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37ECE" w14:textId="77777777" w:rsidR="002E1970" w:rsidRDefault="002E1970" w:rsidP="00727236">
      <w:r>
        <w:separator/>
      </w:r>
    </w:p>
  </w:endnote>
  <w:endnote w:type="continuationSeparator" w:id="0">
    <w:p w14:paraId="1607DEA5" w14:textId="77777777" w:rsidR="002E1970" w:rsidRDefault="002E1970" w:rsidP="0072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FA91" w14:textId="77777777" w:rsidR="00E11EDD" w:rsidRDefault="00E11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D42B" w14:textId="77777777" w:rsidR="00E11EDD" w:rsidRDefault="00E11E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D7349" w14:textId="77777777" w:rsidR="00E11EDD" w:rsidRDefault="00E11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27D63" w14:textId="77777777" w:rsidR="002E1970" w:rsidRDefault="002E1970" w:rsidP="00727236">
      <w:r>
        <w:separator/>
      </w:r>
    </w:p>
  </w:footnote>
  <w:footnote w:type="continuationSeparator" w:id="0">
    <w:p w14:paraId="124CC8C9" w14:textId="77777777" w:rsidR="002E1970" w:rsidRDefault="002E1970" w:rsidP="0072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B572" w14:textId="2FE73C11" w:rsidR="00E11EDD" w:rsidRDefault="002E1970">
    <w:pPr>
      <w:pStyle w:val="Header"/>
    </w:pPr>
    <w:r>
      <w:rPr>
        <w:noProof/>
      </w:rPr>
      <w:pict w14:anchorId="044A4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91764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1172" w14:textId="704D18A5" w:rsidR="00E11EDD" w:rsidRDefault="002E1970">
    <w:pPr>
      <w:pStyle w:val="Header"/>
    </w:pPr>
    <w:r>
      <w:rPr>
        <w:noProof/>
      </w:rPr>
      <w:pict w14:anchorId="06687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91764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F883" w14:textId="3EA5FB6E" w:rsidR="00E11EDD" w:rsidRDefault="002E1970">
    <w:pPr>
      <w:pStyle w:val="Header"/>
    </w:pPr>
    <w:r>
      <w:rPr>
        <w:noProof/>
      </w:rPr>
      <w:pict w14:anchorId="198FD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91764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4697"/>
    <w:multiLevelType w:val="multilevel"/>
    <w:tmpl w:val="8360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55CAA"/>
    <w:multiLevelType w:val="hybridMultilevel"/>
    <w:tmpl w:val="7D98C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F47AED"/>
    <w:multiLevelType w:val="hybridMultilevel"/>
    <w:tmpl w:val="430EC8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E22E4E"/>
    <w:multiLevelType w:val="multilevel"/>
    <w:tmpl w:val="2FD8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54B68"/>
    <w:multiLevelType w:val="multilevel"/>
    <w:tmpl w:val="44C2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341AE"/>
    <w:multiLevelType w:val="multilevel"/>
    <w:tmpl w:val="DDD4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E6AA8"/>
    <w:multiLevelType w:val="hybridMultilevel"/>
    <w:tmpl w:val="8B90A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036132"/>
    <w:multiLevelType w:val="multilevel"/>
    <w:tmpl w:val="1D84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520A0"/>
    <w:multiLevelType w:val="hybridMultilevel"/>
    <w:tmpl w:val="BCE06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8D82521"/>
    <w:multiLevelType w:val="multilevel"/>
    <w:tmpl w:val="33E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64B4A"/>
    <w:multiLevelType w:val="multilevel"/>
    <w:tmpl w:val="3982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4E2B3C"/>
    <w:multiLevelType w:val="multilevel"/>
    <w:tmpl w:val="D1CC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187A8D"/>
    <w:multiLevelType w:val="multilevel"/>
    <w:tmpl w:val="9082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775CC"/>
    <w:multiLevelType w:val="hybridMultilevel"/>
    <w:tmpl w:val="FE743F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3C37433E"/>
    <w:multiLevelType w:val="hybridMultilevel"/>
    <w:tmpl w:val="AEA0A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05F4ED0"/>
    <w:multiLevelType w:val="multilevel"/>
    <w:tmpl w:val="A128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0826D8"/>
    <w:multiLevelType w:val="multilevel"/>
    <w:tmpl w:val="EB66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2D19F5"/>
    <w:multiLevelType w:val="hybridMultilevel"/>
    <w:tmpl w:val="FEFEE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C964E87"/>
    <w:multiLevelType w:val="hybridMultilevel"/>
    <w:tmpl w:val="A58C64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333EAA"/>
    <w:multiLevelType w:val="multilevel"/>
    <w:tmpl w:val="6280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44B17"/>
    <w:multiLevelType w:val="multilevel"/>
    <w:tmpl w:val="D196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A76150"/>
    <w:multiLevelType w:val="multilevel"/>
    <w:tmpl w:val="242A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307DC"/>
    <w:multiLevelType w:val="hybridMultilevel"/>
    <w:tmpl w:val="66BA4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A6E562C"/>
    <w:multiLevelType w:val="hybridMultilevel"/>
    <w:tmpl w:val="5C08F8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CBC4178"/>
    <w:multiLevelType w:val="hybridMultilevel"/>
    <w:tmpl w:val="D39248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6FB410BD"/>
    <w:multiLevelType w:val="hybridMultilevel"/>
    <w:tmpl w:val="C3BED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6055CCC"/>
    <w:multiLevelType w:val="multilevel"/>
    <w:tmpl w:val="9FB6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73604E"/>
    <w:multiLevelType w:val="multilevel"/>
    <w:tmpl w:val="9866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E536F2"/>
    <w:multiLevelType w:val="multilevel"/>
    <w:tmpl w:val="39E8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F7874"/>
    <w:multiLevelType w:val="multilevel"/>
    <w:tmpl w:val="B266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9F7F48"/>
    <w:multiLevelType w:val="hybridMultilevel"/>
    <w:tmpl w:val="48D232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2"/>
  </w:num>
  <w:num w:numId="2">
    <w:abstractNumId w:val="30"/>
  </w:num>
  <w:num w:numId="3">
    <w:abstractNumId w:val="25"/>
  </w:num>
  <w:num w:numId="4">
    <w:abstractNumId w:val="6"/>
  </w:num>
  <w:num w:numId="5">
    <w:abstractNumId w:val="14"/>
  </w:num>
  <w:num w:numId="6">
    <w:abstractNumId w:val="24"/>
  </w:num>
  <w:num w:numId="7">
    <w:abstractNumId w:val="1"/>
  </w:num>
  <w:num w:numId="8">
    <w:abstractNumId w:val="8"/>
  </w:num>
  <w:num w:numId="9">
    <w:abstractNumId w:val="17"/>
  </w:num>
  <w:num w:numId="10">
    <w:abstractNumId w:val="2"/>
  </w:num>
  <w:num w:numId="11">
    <w:abstractNumId w:val="13"/>
  </w:num>
  <w:num w:numId="12">
    <w:abstractNumId w:val="18"/>
  </w:num>
  <w:num w:numId="13">
    <w:abstractNumId w:val="23"/>
  </w:num>
  <w:num w:numId="14">
    <w:abstractNumId w:val="19"/>
  </w:num>
  <w:num w:numId="15">
    <w:abstractNumId w:val="28"/>
  </w:num>
  <w:num w:numId="16">
    <w:abstractNumId w:val="3"/>
  </w:num>
  <w:num w:numId="17">
    <w:abstractNumId w:val="20"/>
  </w:num>
  <w:num w:numId="18">
    <w:abstractNumId w:val="7"/>
  </w:num>
  <w:num w:numId="19">
    <w:abstractNumId w:val="5"/>
  </w:num>
  <w:num w:numId="20">
    <w:abstractNumId w:val="12"/>
  </w:num>
  <w:num w:numId="21">
    <w:abstractNumId w:val="16"/>
  </w:num>
  <w:num w:numId="22">
    <w:abstractNumId w:val="9"/>
  </w:num>
  <w:num w:numId="23">
    <w:abstractNumId w:val="26"/>
  </w:num>
  <w:num w:numId="24">
    <w:abstractNumId w:val="10"/>
  </w:num>
  <w:num w:numId="25">
    <w:abstractNumId w:val="15"/>
  </w:num>
  <w:num w:numId="26">
    <w:abstractNumId w:val="0"/>
  </w:num>
  <w:num w:numId="27">
    <w:abstractNumId w:val="4"/>
  </w:num>
  <w:num w:numId="28">
    <w:abstractNumId w:val="11"/>
  </w:num>
  <w:num w:numId="29">
    <w:abstractNumId w:val="29"/>
  </w:num>
  <w:num w:numId="30">
    <w:abstractNumId w:val="2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0MbUwNDc3NjU1NDFW0lEKTi0uzszPAykwqQUAXzxJzywAAAA="/>
  </w:docVars>
  <w:rsids>
    <w:rsidRoot w:val="000652DB"/>
    <w:rsid w:val="00000DAA"/>
    <w:rsid w:val="00015EDB"/>
    <w:rsid w:val="000163F5"/>
    <w:rsid w:val="00017951"/>
    <w:rsid w:val="00017EC6"/>
    <w:rsid w:val="00020B83"/>
    <w:rsid w:val="00022497"/>
    <w:rsid w:val="0003185A"/>
    <w:rsid w:val="00040F24"/>
    <w:rsid w:val="00044028"/>
    <w:rsid w:val="00051306"/>
    <w:rsid w:val="000652DB"/>
    <w:rsid w:val="00093630"/>
    <w:rsid w:val="000B3F7F"/>
    <w:rsid w:val="000E5476"/>
    <w:rsid w:val="000E5AC7"/>
    <w:rsid w:val="000E7A23"/>
    <w:rsid w:val="000F3FAE"/>
    <w:rsid w:val="00101A81"/>
    <w:rsid w:val="001147DC"/>
    <w:rsid w:val="001307C5"/>
    <w:rsid w:val="00130E69"/>
    <w:rsid w:val="0014180D"/>
    <w:rsid w:val="0014363C"/>
    <w:rsid w:val="00143E2F"/>
    <w:rsid w:val="00147CD8"/>
    <w:rsid w:val="00154D35"/>
    <w:rsid w:val="00174E33"/>
    <w:rsid w:val="0018095D"/>
    <w:rsid w:val="0018374C"/>
    <w:rsid w:val="00184EC8"/>
    <w:rsid w:val="00196BC0"/>
    <w:rsid w:val="001A79DB"/>
    <w:rsid w:val="001B2CB8"/>
    <w:rsid w:val="001D58EB"/>
    <w:rsid w:val="001E6073"/>
    <w:rsid w:val="001E60B1"/>
    <w:rsid w:val="00201ECF"/>
    <w:rsid w:val="00214D0D"/>
    <w:rsid w:val="00225646"/>
    <w:rsid w:val="002278D1"/>
    <w:rsid w:val="0025285F"/>
    <w:rsid w:val="002646B9"/>
    <w:rsid w:val="00285F8A"/>
    <w:rsid w:val="002872F4"/>
    <w:rsid w:val="0029443D"/>
    <w:rsid w:val="002B6B13"/>
    <w:rsid w:val="002C1D86"/>
    <w:rsid w:val="002C4A6D"/>
    <w:rsid w:val="002E1970"/>
    <w:rsid w:val="002F04A0"/>
    <w:rsid w:val="002F49DC"/>
    <w:rsid w:val="002F6263"/>
    <w:rsid w:val="00306AC6"/>
    <w:rsid w:val="0032009C"/>
    <w:rsid w:val="00323E06"/>
    <w:rsid w:val="003324B1"/>
    <w:rsid w:val="00350FEA"/>
    <w:rsid w:val="0037624A"/>
    <w:rsid w:val="00392DB9"/>
    <w:rsid w:val="00395E10"/>
    <w:rsid w:val="003A0303"/>
    <w:rsid w:val="003A644D"/>
    <w:rsid w:val="003B2A6B"/>
    <w:rsid w:val="003C6ACE"/>
    <w:rsid w:val="003D25E4"/>
    <w:rsid w:val="003F51A9"/>
    <w:rsid w:val="00462C7F"/>
    <w:rsid w:val="004762A2"/>
    <w:rsid w:val="004814B0"/>
    <w:rsid w:val="00490D4E"/>
    <w:rsid w:val="00493D89"/>
    <w:rsid w:val="004A2C1A"/>
    <w:rsid w:val="004B6233"/>
    <w:rsid w:val="004E2B97"/>
    <w:rsid w:val="004F1BBB"/>
    <w:rsid w:val="004F74E8"/>
    <w:rsid w:val="00501333"/>
    <w:rsid w:val="00504535"/>
    <w:rsid w:val="005078E6"/>
    <w:rsid w:val="00511179"/>
    <w:rsid w:val="005128F0"/>
    <w:rsid w:val="005251AE"/>
    <w:rsid w:val="005365A8"/>
    <w:rsid w:val="00536DCF"/>
    <w:rsid w:val="00541A41"/>
    <w:rsid w:val="00541EED"/>
    <w:rsid w:val="00543D57"/>
    <w:rsid w:val="0054685A"/>
    <w:rsid w:val="0054702E"/>
    <w:rsid w:val="00554973"/>
    <w:rsid w:val="00571CE9"/>
    <w:rsid w:val="00592BBC"/>
    <w:rsid w:val="0059583E"/>
    <w:rsid w:val="005A02E9"/>
    <w:rsid w:val="005C044B"/>
    <w:rsid w:val="005F30F8"/>
    <w:rsid w:val="0060063B"/>
    <w:rsid w:val="00605CB7"/>
    <w:rsid w:val="0062367D"/>
    <w:rsid w:val="00635AFA"/>
    <w:rsid w:val="00636D20"/>
    <w:rsid w:val="00645CAD"/>
    <w:rsid w:val="00647605"/>
    <w:rsid w:val="00655F78"/>
    <w:rsid w:val="0066489E"/>
    <w:rsid w:val="00684751"/>
    <w:rsid w:val="0068656F"/>
    <w:rsid w:val="0069264B"/>
    <w:rsid w:val="006A03A0"/>
    <w:rsid w:val="006B68E1"/>
    <w:rsid w:val="006F41BE"/>
    <w:rsid w:val="00723BC3"/>
    <w:rsid w:val="00727236"/>
    <w:rsid w:val="00737B7A"/>
    <w:rsid w:val="00740552"/>
    <w:rsid w:val="00741212"/>
    <w:rsid w:val="00751A35"/>
    <w:rsid w:val="00764130"/>
    <w:rsid w:val="00770C23"/>
    <w:rsid w:val="0078447D"/>
    <w:rsid w:val="007861D3"/>
    <w:rsid w:val="007A2FB7"/>
    <w:rsid w:val="007C1855"/>
    <w:rsid w:val="007C5238"/>
    <w:rsid w:val="007D49E5"/>
    <w:rsid w:val="007E45A9"/>
    <w:rsid w:val="007F202C"/>
    <w:rsid w:val="007F3255"/>
    <w:rsid w:val="007F3311"/>
    <w:rsid w:val="007F3861"/>
    <w:rsid w:val="00802025"/>
    <w:rsid w:val="00804EB8"/>
    <w:rsid w:val="00812A31"/>
    <w:rsid w:val="00821005"/>
    <w:rsid w:val="00836AE7"/>
    <w:rsid w:val="00843B05"/>
    <w:rsid w:val="0084799C"/>
    <w:rsid w:val="008564E2"/>
    <w:rsid w:val="008938CD"/>
    <w:rsid w:val="008B183E"/>
    <w:rsid w:val="008C04BB"/>
    <w:rsid w:val="008C3942"/>
    <w:rsid w:val="008C5D4C"/>
    <w:rsid w:val="008D0236"/>
    <w:rsid w:val="008F68C6"/>
    <w:rsid w:val="00923073"/>
    <w:rsid w:val="00933E36"/>
    <w:rsid w:val="009351E5"/>
    <w:rsid w:val="00960E44"/>
    <w:rsid w:val="009675B5"/>
    <w:rsid w:val="009707AB"/>
    <w:rsid w:val="00973B02"/>
    <w:rsid w:val="00981B8C"/>
    <w:rsid w:val="009B0744"/>
    <w:rsid w:val="009B4835"/>
    <w:rsid w:val="009C223B"/>
    <w:rsid w:val="009D0D5D"/>
    <w:rsid w:val="009D14E7"/>
    <w:rsid w:val="009D67AB"/>
    <w:rsid w:val="00A139D5"/>
    <w:rsid w:val="00A16E57"/>
    <w:rsid w:val="00A21D88"/>
    <w:rsid w:val="00A32E7F"/>
    <w:rsid w:val="00A33619"/>
    <w:rsid w:val="00A3574C"/>
    <w:rsid w:val="00A36ECC"/>
    <w:rsid w:val="00A51BA8"/>
    <w:rsid w:val="00A628D0"/>
    <w:rsid w:val="00A92300"/>
    <w:rsid w:val="00A9537C"/>
    <w:rsid w:val="00A959A0"/>
    <w:rsid w:val="00AA1370"/>
    <w:rsid w:val="00AB5694"/>
    <w:rsid w:val="00AC1817"/>
    <w:rsid w:val="00B01526"/>
    <w:rsid w:val="00B26193"/>
    <w:rsid w:val="00B31BAB"/>
    <w:rsid w:val="00B469F7"/>
    <w:rsid w:val="00B534A7"/>
    <w:rsid w:val="00B71A8A"/>
    <w:rsid w:val="00B9198D"/>
    <w:rsid w:val="00B92EB6"/>
    <w:rsid w:val="00BA5710"/>
    <w:rsid w:val="00BB4ACF"/>
    <w:rsid w:val="00BC0103"/>
    <w:rsid w:val="00BC4A42"/>
    <w:rsid w:val="00BE35E1"/>
    <w:rsid w:val="00BE62E3"/>
    <w:rsid w:val="00BE6D5B"/>
    <w:rsid w:val="00BF27C1"/>
    <w:rsid w:val="00C051D9"/>
    <w:rsid w:val="00C11E28"/>
    <w:rsid w:val="00C15A13"/>
    <w:rsid w:val="00C17C5F"/>
    <w:rsid w:val="00C2037F"/>
    <w:rsid w:val="00C23779"/>
    <w:rsid w:val="00C25314"/>
    <w:rsid w:val="00C31F94"/>
    <w:rsid w:val="00C40DFB"/>
    <w:rsid w:val="00C43BD8"/>
    <w:rsid w:val="00C449E1"/>
    <w:rsid w:val="00C46426"/>
    <w:rsid w:val="00C513DF"/>
    <w:rsid w:val="00C6350A"/>
    <w:rsid w:val="00C76128"/>
    <w:rsid w:val="00C77300"/>
    <w:rsid w:val="00C84B11"/>
    <w:rsid w:val="00CA02E5"/>
    <w:rsid w:val="00CC629F"/>
    <w:rsid w:val="00CD0407"/>
    <w:rsid w:val="00D23546"/>
    <w:rsid w:val="00D457D1"/>
    <w:rsid w:val="00D64C47"/>
    <w:rsid w:val="00D73946"/>
    <w:rsid w:val="00D82CFA"/>
    <w:rsid w:val="00D8694F"/>
    <w:rsid w:val="00D94A87"/>
    <w:rsid w:val="00DA521D"/>
    <w:rsid w:val="00DA5767"/>
    <w:rsid w:val="00DB2E19"/>
    <w:rsid w:val="00DB4D30"/>
    <w:rsid w:val="00DC5DAE"/>
    <w:rsid w:val="00DD677C"/>
    <w:rsid w:val="00DD70D4"/>
    <w:rsid w:val="00DE0558"/>
    <w:rsid w:val="00DE32B4"/>
    <w:rsid w:val="00E00194"/>
    <w:rsid w:val="00E11EDD"/>
    <w:rsid w:val="00E37A9B"/>
    <w:rsid w:val="00E61EA0"/>
    <w:rsid w:val="00E62B88"/>
    <w:rsid w:val="00E666CF"/>
    <w:rsid w:val="00E67362"/>
    <w:rsid w:val="00E71AF3"/>
    <w:rsid w:val="00E75931"/>
    <w:rsid w:val="00E80001"/>
    <w:rsid w:val="00E8028A"/>
    <w:rsid w:val="00E93501"/>
    <w:rsid w:val="00EB0F20"/>
    <w:rsid w:val="00EB6B5B"/>
    <w:rsid w:val="00ED187D"/>
    <w:rsid w:val="00F020E8"/>
    <w:rsid w:val="00F05217"/>
    <w:rsid w:val="00F15E80"/>
    <w:rsid w:val="00F17F01"/>
    <w:rsid w:val="00F255A1"/>
    <w:rsid w:val="00F27230"/>
    <w:rsid w:val="00F30889"/>
    <w:rsid w:val="00F5096D"/>
    <w:rsid w:val="00F52239"/>
    <w:rsid w:val="00F53A7C"/>
    <w:rsid w:val="00F55A52"/>
    <w:rsid w:val="00F712EA"/>
    <w:rsid w:val="00F75FF9"/>
    <w:rsid w:val="00F80646"/>
    <w:rsid w:val="00F94844"/>
    <w:rsid w:val="00FA4513"/>
    <w:rsid w:val="00FA57D4"/>
    <w:rsid w:val="00FC220B"/>
    <w:rsid w:val="00FC6324"/>
    <w:rsid w:val="00FD147F"/>
    <w:rsid w:val="00FE1AD8"/>
    <w:rsid w:val="00FE6987"/>
    <w:rsid w:val="00FF2E6A"/>
    <w:rsid w:val="00FF3E6B"/>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950B6F"/>
  <w15:chartTrackingRefBased/>
  <w15:docId w15:val="{F9D24475-2668-4EC3-8DC0-6805956D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kn-IN"/>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4E2"/>
    <w:pPr>
      <w:keepNext/>
      <w:keepLines/>
      <w:spacing w:before="240" w:line="360"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unhideWhenUsed/>
    <w:qFormat/>
    <w:rsid w:val="008564E2"/>
    <w:pPr>
      <w:keepNext/>
      <w:keepLines/>
      <w:spacing w:before="40" w:line="360" w:lineRule="auto"/>
      <w:outlineLvl w:val="1"/>
    </w:pPr>
    <w:rPr>
      <w:rFonts w:asciiTheme="majorHAnsi" w:eastAsiaTheme="majorEastAsia" w:hAnsiTheme="majorHAnsi" w:cstheme="majorBidi"/>
      <w:color w:val="2F5496" w:themeColor="accent1" w:themeShade="BF"/>
      <w:sz w:val="26"/>
      <w:szCs w:val="26"/>
      <w:lang w:bidi="ar-SA"/>
    </w:rPr>
  </w:style>
  <w:style w:type="paragraph" w:styleId="Heading3">
    <w:name w:val="heading 3"/>
    <w:basedOn w:val="Normal"/>
    <w:next w:val="Normal"/>
    <w:link w:val="Heading3Char"/>
    <w:uiPriority w:val="9"/>
    <w:unhideWhenUsed/>
    <w:qFormat/>
    <w:rsid w:val="008564E2"/>
    <w:pPr>
      <w:keepNext/>
      <w:keepLines/>
      <w:spacing w:before="40" w:line="360" w:lineRule="auto"/>
      <w:outlineLvl w:val="2"/>
    </w:pPr>
    <w:rPr>
      <w:rFonts w:asciiTheme="majorHAnsi" w:eastAsiaTheme="majorEastAsia" w:hAnsiTheme="majorHAnsi" w:cstheme="majorBidi"/>
      <w:color w:val="1F3763" w:themeColor="accent1" w:themeShade="7F"/>
      <w:sz w:val="24"/>
      <w:szCs w:val="24"/>
      <w:lang w:bidi="ar-SA"/>
    </w:rPr>
  </w:style>
  <w:style w:type="paragraph" w:styleId="Heading4">
    <w:name w:val="heading 4"/>
    <w:basedOn w:val="Normal"/>
    <w:link w:val="Heading4Char"/>
    <w:uiPriority w:val="9"/>
    <w:qFormat/>
    <w:rsid w:val="008564E2"/>
    <w:pPr>
      <w:spacing w:before="100" w:beforeAutospacing="1" w:after="100" w:afterAutospacing="1"/>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4E2"/>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link w:val="Heading2"/>
    <w:uiPriority w:val="9"/>
    <w:rsid w:val="008564E2"/>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link w:val="Heading3"/>
    <w:uiPriority w:val="9"/>
    <w:rsid w:val="008564E2"/>
    <w:rPr>
      <w:rFonts w:asciiTheme="majorHAnsi" w:eastAsiaTheme="majorEastAsia" w:hAnsiTheme="majorHAnsi" w:cstheme="majorBidi"/>
      <w:color w:val="1F3763" w:themeColor="accent1" w:themeShade="7F"/>
      <w:sz w:val="24"/>
      <w:szCs w:val="24"/>
      <w:lang w:bidi="ar-SA"/>
    </w:rPr>
  </w:style>
  <w:style w:type="character" w:customStyle="1" w:styleId="Heading4Char">
    <w:name w:val="Heading 4 Char"/>
    <w:basedOn w:val="DefaultParagraphFont"/>
    <w:link w:val="Heading4"/>
    <w:uiPriority w:val="9"/>
    <w:rsid w:val="008564E2"/>
    <w:rPr>
      <w:rFonts w:ascii="Times New Roman" w:eastAsia="Times New Roman" w:hAnsi="Times New Roman" w:cs="Times New Roman"/>
      <w:b/>
      <w:bCs/>
      <w:sz w:val="24"/>
      <w:szCs w:val="24"/>
      <w:lang w:eastAsia="en-IN"/>
    </w:rPr>
  </w:style>
  <w:style w:type="table" w:styleId="TableGrid">
    <w:name w:val="Table Grid"/>
    <w:basedOn w:val="TableNormal"/>
    <w:uiPriority w:val="39"/>
    <w:rsid w:val="008564E2"/>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4E2"/>
    <w:pPr>
      <w:spacing w:line="360" w:lineRule="auto"/>
      <w:ind w:left="720"/>
      <w:contextualSpacing/>
    </w:pPr>
    <w:rPr>
      <w:lang w:bidi="ar-SA"/>
    </w:rPr>
  </w:style>
  <w:style w:type="character" w:styleId="Hyperlink">
    <w:name w:val="Hyperlink"/>
    <w:basedOn w:val="DefaultParagraphFont"/>
    <w:uiPriority w:val="99"/>
    <w:unhideWhenUsed/>
    <w:rsid w:val="008564E2"/>
    <w:rPr>
      <w:color w:val="0563C1" w:themeColor="hyperlink"/>
      <w:u w:val="single"/>
    </w:rPr>
  </w:style>
  <w:style w:type="character" w:styleId="Emphasis">
    <w:name w:val="Emphasis"/>
    <w:basedOn w:val="DefaultParagraphFont"/>
    <w:uiPriority w:val="20"/>
    <w:qFormat/>
    <w:rsid w:val="008564E2"/>
    <w:rPr>
      <w:i/>
      <w:iCs/>
    </w:rPr>
  </w:style>
  <w:style w:type="character" w:customStyle="1" w:styleId="html-italic">
    <w:name w:val="html-italic"/>
    <w:basedOn w:val="DefaultParagraphFont"/>
    <w:rsid w:val="008564E2"/>
  </w:style>
  <w:style w:type="character" w:styleId="Strong">
    <w:name w:val="Strong"/>
    <w:basedOn w:val="DefaultParagraphFont"/>
    <w:uiPriority w:val="22"/>
    <w:qFormat/>
    <w:rsid w:val="008564E2"/>
    <w:rPr>
      <w:b/>
      <w:bCs/>
    </w:rPr>
  </w:style>
  <w:style w:type="paragraph" w:styleId="Subtitle">
    <w:name w:val="Subtitle"/>
    <w:basedOn w:val="Normal"/>
    <w:next w:val="Normal"/>
    <w:link w:val="SubtitleChar"/>
    <w:uiPriority w:val="11"/>
    <w:qFormat/>
    <w:rsid w:val="008564E2"/>
    <w:pPr>
      <w:numPr>
        <w:ilvl w:val="1"/>
      </w:numPr>
      <w:spacing w:after="160" w:line="259" w:lineRule="auto"/>
    </w:pPr>
    <w:rPr>
      <w:rFonts w:eastAsiaTheme="minorEastAsia"/>
      <w:color w:val="5A5A5A" w:themeColor="text1" w:themeTint="A5"/>
      <w:spacing w:val="15"/>
      <w:lang w:bidi="ar-SA"/>
    </w:rPr>
  </w:style>
  <w:style w:type="character" w:customStyle="1" w:styleId="SubtitleChar">
    <w:name w:val="Subtitle Char"/>
    <w:basedOn w:val="DefaultParagraphFont"/>
    <w:link w:val="Subtitle"/>
    <w:uiPriority w:val="11"/>
    <w:rsid w:val="008564E2"/>
    <w:rPr>
      <w:rFonts w:eastAsiaTheme="minorEastAsia"/>
      <w:color w:val="5A5A5A" w:themeColor="text1" w:themeTint="A5"/>
      <w:spacing w:val="15"/>
      <w:lang w:bidi="ar-SA"/>
    </w:rPr>
  </w:style>
  <w:style w:type="paragraph" w:styleId="NormalWeb">
    <w:name w:val="Normal (Web)"/>
    <w:basedOn w:val="Normal"/>
    <w:uiPriority w:val="99"/>
    <w:unhideWhenUsed/>
    <w:rsid w:val="008564E2"/>
    <w:pPr>
      <w:spacing w:before="100" w:beforeAutospacing="1" w:after="100" w:afterAutospacing="1"/>
    </w:pPr>
    <w:rPr>
      <w:rFonts w:ascii="Times New Roman" w:eastAsia="Times New Roman" w:hAnsi="Times New Roman" w:cs="Times New Roman"/>
      <w:sz w:val="24"/>
      <w:szCs w:val="24"/>
      <w:lang w:eastAsia="en-IN" w:bidi="ar-SA"/>
    </w:rPr>
  </w:style>
  <w:style w:type="paragraph" w:styleId="NoSpacing">
    <w:name w:val="No Spacing"/>
    <w:uiPriority w:val="1"/>
    <w:qFormat/>
    <w:rsid w:val="008564E2"/>
  </w:style>
  <w:style w:type="paragraph" w:customStyle="1" w:styleId="msonormal0">
    <w:name w:val="msonormal"/>
    <w:basedOn w:val="Normal"/>
    <w:rsid w:val="008564E2"/>
    <w:pPr>
      <w:spacing w:before="100" w:beforeAutospacing="1" w:after="100" w:afterAutospacing="1"/>
    </w:pPr>
    <w:rPr>
      <w:rFonts w:ascii="Times New Roman" w:eastAsia="Times New Roman" w:hAnsi="Times New Roman" w:cs="Times New Roman"/>
      <w:sz w:val="24"/>
      <w:szCs w:val="24"/>
      <w:lang w:eastAsia="en-IN"/>
    </w:rPr>
  </w:style>
  <w:style w:type="paragraph" w:customStyle="1" w:styleId="xl65">
    <w:name w:val="xl65"/>
    <w:basedOn w:val="Normal"/>
    <w:rsid w:val="008564E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eastAsia="Times New Roman" w:hAnsi="Arial" w:cs="Arial"/>
      <w:b/>
      <w:bCs/>
      <w:sz w:val="20"/>
      <w:szCs w:val="20"/>
      <w:lang w:eastAsia="en-IN"/>
    </w:rPr>
  </w:style>
  <w:style w:type="paragraph" w:customStyle="1" w:styleId="xl66">
    <w:name w:val="xl66"/>
    <w:basedOn w:val="Normal"/>
    <w:rsid w:val="008564E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w:eastAsia="Times New Roman" w:hAnsi="Arial" w:cs="Arial"/>
      <w:b/>
      <w:bCs/>
      <w:sz w:val="20"/>
      <w:szCs w:val="20"/>
      <w:lang w:eastAsia="en-IN"/>
    </w:rPr>
  </w:style>
  <w:style w:type="paragraph" w:customStyle="1" w:styleId="xl67">
    <w:name w:val="xl67"/>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IN"/>
    </w:rPr>
  </w:style>
  <w:style w:type="paragraph" w:customStyle="1" w:styleId="xl68">
    <w:name w:val="xl68"/>
    <w:basedOn w:val="Normal"/>
    <w:rsid w:val="00856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lang w:eastAsia="en-IN"/>
    </w:rPr>
  </w:style>
  <w:style w:type="paragraph" w:customStyle="1" w:styleId="xl69">
    <w:name w:val="xl69"/>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IN"/>
    </w:rPr>
  </w:style>
  <w:style w:type="paragraph" w:customStyle="1" w:styleId="xl70">
    <w:name w:val="xl70"/>
    <w:basedOn w:val="Normal"/>
    <w:rsid w:val="008564E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b/>
      <w:bCs/>
      <w:sz w:val="24"/>
      <w:szCs w:val="24"/>
      <w:lang w:eastAsia="en-IN"/>
    </w:rPr>
  </w:style>
  <w:style w:type="paragraph" w:customStyle="1" w:styleId="xl73">
    <w:name w:val="xl73"/>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IN"/>
    </w:rPr>
  </w:style>
  <w:style w:type="paragraph" w:customStyle="1" w:styleId="xl74">
    <w:name w:val="xl74"/>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IN"/>
    </w:rPr>
  </w:style>
  <w:style w:type="paragraph" w:customStyle="1" w:styleId="xl75">
    <w:name w:val="xl75"/>
    <w:basedOn w:val="Normal"/>
    <w:rsid w:val="008564E2"/>
    <w:pPr>
      <w:spacing w:before="100" w:beforeAutospacing="1" w:after="100" w:afterAutospacing="1"/>
    </w:pPr>
    <w:rPr>
      <w:rFonts w:ascii="Times New Roman" w:eastAsia="Times New Roman" w:hAnsi="Times New Roman" w:cs="Times New Roman"/>
      <w:sz w:val="24"/>
      <w:szCs w:val="24"/>
      <w:lang w:eastAsia="en-IN"/>
    </w:rPr>
  </w:style>
  <w:style w:type="paragraph" w:customStyle="1" w:styleId="xl76">
    <w:name w:val="xl76"/>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en-IN"/>
    </w:rPr>
  </w:style>
  <w:style w:type="paragraph" w:customStyle="1" w:styleId="xl77">
    <w:name w:val="xl77"/>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en-IN"/>
    </w:rPr>
  </w:style>
  <w:style w:type="paragraph" w:customStyle="1" w:styleId="xl78">
    <w:name w:val="xl78"/>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8564E2"/>
    <w:pPr>
      <w:tabs>
        <w:tab w:val="center" w:pos="4513"/>
        <w:tab w:val="right" w:pos="9026"/>
      </w:tabs>
      <w:jc w:val="left"/>
    </w:pPr>
  </w:style>
  <w:style w:type="character" w:customStyle="1" w:styleId="HeaderChar">
    <w:name w:val="Header Char"/>
    <w:basedOn w:val="DefaultParagraphFont"/>
    <w:link w:val="Header"/>
    <w:uiPriority w:val="99"/>
    <w:rsid w:val="008564E2"/>
  </w:style>
  <w:style w:type="paragraph" w:styleId="Footer">
    <w:name w:val="footer"/>
    <w:basedOn w:val="Normal"/>
    <w:link w:val="FooterChar"/>
    <w:uiPriority w:val="99"/>
    <w:unhideWhenUsed/>
    <w:rsid w:val="008564E2"/>
    <w:pPr>
      <w:tabs>
        <w:tab w:val="center" w:pos="4513"/>
        <w:tab w:val="right" w:pos="9026"/>
      </w:tabs>
      <w:jc w:val="left"/>
    </w:pPr>
  </w:style>
  <w:style w:type="character" w:customStyle="1" w:styleId="FooterChar">
    <w:name w:val="Footer Char"/>
    <w:basedOn w:val="DefaultParagraphFont"/>
    <w:link w:val="Footer"/>
    <w:uiPriority w:val="99"/>
    <w:rsid w:val="008564E2"/>
  </w:style>
  <w:style w:type="character" w:customStyle="1" w:styleId="overflow-hidden">
    <w:name w:val="overflow-hidden"/>
    <w:basedOn w:val="DefaultParagraphFont"/>
    <w:rsid w:val="008564E2"/>
  </w:style>
  <w:style w:type="character" w:customStyle="1" w:styleId="EndnoteTextChar">
    <w:name w:val="Endnote Text Char"/>
    <w:basedOn w:val="DefaultParagraphFont"/>
    <w:link w:val="EndnoteText"/>
    <w:uiPriority w:val="99"/>
    <w:semiHidden/>
    <w:rsid w:val="008564E2"/>
    <w:rPr>
      <w:sz w:val="20"/>
      <w:szCs w:val="20"/>
      <w:lang w:bidi="ar-SA"/>
    </w:rPr>
  </w:style>
  <w:style w:type="paragraph" w:styleId="EndnoteText">
    <w:name w:val="endnote text"/>
    <w:basedOn w:val="Normal"/>
    <w:link w:val="EndnoteTextChar"/>
    <w:uiPriority w:val="99"/>
    <w:semiHidden/>
    <w:unhideWhenUsed/>
    <w:rsid w:val="008564E2"/>
    <w:rPr>
      <w:sz w:val="20"/>
      <w:szCs w:val="20"/>
      <w:lang w:bidi="ar-SA"/>
    </w:rPr>
  </w:style>
  <w:style w:type="character" w:customStyle="1" w:styleId="relative">
    <w:name w:val="relative"/>
    <w:basedOn w:val="DefaultParagraphFont"/>
    <w:rsid w:val="008564E2"/>
  </w:style>
  <w:style w:type="paragraph" w:customStyle="1" w:styleId="Default">
    <w:name w:val="Default"/>
    <w:rsid w:val="008564E2"/>
    <w:pPr>
      <w:autoSpaceDE w:val="0"/>
      <w:autoSpaceDN w:val="0"/>
      <w:adjustRightInd w:val="0"/>
      <w:jc w:val="left"/>
    </w:pPr>
    <w:rPr>
      <w:rFonts w:ascii="Arial" w:hAnsi="Arial" w:cs="Arial"/>
      <w:color w:val="000000"/>
      <w:sz w:val="24"/>
      <w:szCs w:val="24"/>
      <w:lang w:bidi="ar-SA"/>
    </w:rPr>
  </w:style>
  <w:style w:type="character" w:styleId="UnresolvedMention">
    <w:name w:val="Unresolved Mention"/>
    <w:basedOn w:val="DefaultParagraphFont"/>
    <w:uiPriority w:val="99"/>
    <w:semiHidden/>
    <w:unhideWhenUsed/>
    <w:rsid w:val="00DE0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757178">
      <w:bodyDiv w:val="1"/>
      <w:marLeft w:val="0"/>
      <w:marRight w:val="0"/>
      <w:marTop w:val="0"/>
      <w:marBottom w:val="0"/>
      <w:divBdr>
        <w:top w:val="none" w:sz="0" w:space="0" w:color="auto"/>
        <w:left w:val="none" w:sz="0" w:space="0" w:color="auto"/>
        <w:bottom w:val="none" w:sz="0" w:space="0" w:color="auto"/>
        <w:right w:val="none" w:sz="0" w:space="0" w:color="auto"/>
      </w:divBdr>
    </w:div>
    <w:div w:id="1909342325">
      <w:bodyDiv w:val="1"/>
      <w:marLeft w:val="0"/>
      <w:marRight w:val="0"/>
      <w:marTop w:val="0"/>
      <w:marBottom w:val="0"/>
      <w:divBdr>
        <w:top w:val="none" w:sz="0" w:space="0" w:color="auto"/>
        <w:left w:val="none" w:sz="0" w:space="0" w:color="auto"/>
        <w:bottom w:val="none" w:sz="0" w:space="0" w:color="auto"/>
        <w:right w:val="none" w:sz="0" w:space="0" w:color="auto"/>
      </w:divBdr>
    </w:div>
    <w:div w:id="20309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1790</TotalTime>
  <Pages>29</Pages>
  <Words>10281</Words>
  <Characters>58608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RajuNaik Sabavat(ICRISAT-IN)</dc:creator>
  <cp:keywords/>
  <dc:description/>
  <cp:lastModifiedBy>SDI 1183</cp:lastModifiedBy>
  <cp:revision>133</cp:revision>
  <dcterms:created xsi:type="dcterms:W3CDTF">2025-05-08T02:44:00Z</dcterms:created>
  <dcterms:modified xsi:type="dcterms:W3CDTF">2025-05-16T07:53:00Z</dcterms:modified>
</cp:coreProperties>
</file>