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03B2D" w14:textId="6B442C74" w:rsidR="00E37B44" w:rsidRPr="00650A72" w:rsidRDefault="00E37B44" w:rsidP="00650A72">
      <w:pPr>
        <w:jc w:val="center"/>
        <w:rPr>
          <w:rFonts w:ascii="Arial" w:hAnsi="Arial" w:cs="Arial"/>
          <w:b/>
          <w:sz w:val="32"/>
          <w:szCs w:val="32"/>
        </w:rPr>
      </w:pPr>
      <w:r w:rsidRPr="00650A72">
        <w:rPr>
          <w:rFonts w:ascii="Arial" w:hAnsi="Arial" w:cs="Arial"/>
          <w:b/>
          <w:sz w:val="32"/>
          <w:szCs w:val="32"/>
        </w:rPr>
        <w:t>Exploring Hybrid ARIMA-SVR Approach for Forecast of Gross Cropped Area of Kerala in India</w:t>
      </w:r>
    </w:p>
    <w:p w14:paraId="5B993D6A" w14:textId="77777777" w:rsidR="00E37B44" w:rsidRPr="00650A72" w:rsidRDefault="00E37B44" w:rsidP="00E37B44">
      <w:pPr>
        <w:rPr>
          <w:rFonts w:ascii="Arial" w:hAnsi="Arial" w:cs="Arial"/>
          <w:b/>
          <w:sz w:val="24"/>
        </w:rPr>
      </w:pPr>
      <w:r w:rsidRPr="00650A72">
        <w:rPr>
          <w:rFonts w:ascii="Arial" w:hAnsi="Arial" w:cs="Arial"/>
          <w:b/>
          <w:sz w:val="24"/>
        </w:rPr>
        <w:t>ABSTRACT</w:t>
      </w:r>
    </w:p>
    <w:p w14:paraId="20D5FB27" w14:textId="79223713" w:rsidR="00E37B44" w:rsidRPr="00650A72" w:rsidRDefault="00E37B44" w:rsidP="00650A72">
      <w:pPr>
        <w:jc w:val="both"/>
        <w:rPr>
          <w:rFonts w:ascii="Arial" w:hAnsi="Arial" w:cs="Arial"/>
          <w:sz w:val="20"/>
        </w:rPr>
      </w:pPr>
      <w:r w:rsidRPr="00650A72">
        <w:rPr>
          <w:rFonts w:ascii="Arial" w:hAnsi="Arial" w:cs="Arial"/>
          <w:sz w:val="20"/>
        </w:rPr>
        <w:t xml:space="preserve">The present study aimed at fitting forecasting models to Gross Cropped Area of Kerala State in India using data from 1965-66 to 2022-23. It focused on sole models such as Auto Regressive Integrated Moving Average (ARIMA) and Support Vector Regression (SVR). A hybrid model using combination between Support Vector and time series analysis was also done. The study showed that the most appropriate model based on its Root Mean Squared Error (RMSE) and Mean Absolute Percentage Error (MAPE) to predict the gross cropped area of the state  is the model of combination between Support Vector and ARIMA models, where it gave more accurate results rather than ARIMA and SVR each separately, that is because the combination between these models combining the flexibility of the time series and the power of Support Vectors, where one of these models compensates the shortage of the other model. Forecasts from ARIMA Model showed a decreasing trend and SVR model showed </w:t>
      </w:r>
      <w:r w:rsidR="00650A72" w:rsidRPr="00650A72">
        <w:rPr>
          <w:rFonts w:ascii="Arial" w:hAnsi="Arial" w:cs="Arial"/>
          <w:sz w:val="20"/>
        </w:rPr>
        <w:t>constancy</w:t>
      </w:r>
      <w:r w:rsidRPr="00650A72">
        <w:rPr>
          <w:rFonts w:ascii="Arial" w:hAnsi="Arial" w:cs="Arial"/>
          <w:sz w:val="20"/>
        </w:rPr>
        <w:t xml:space="preserve"> while Hybrid model showed a decreasing trend in gross cropped area. </w:t>
      </w:r>
      <w:r w:rsidR="00204BC5">
        <w:rPr>
          <w:rFonts w:ascii="Arial" w:hAnsi="Arial" w:cs="Arial"/>
          <w:sz w:val="20"/>
        </w:rPr>
        <w:t>The study stands itself as a reference for and risk mitigation and effective resource management for agricultural sustainability of the state.</w:t>
      </w:r>
    </w:p>
    <w:p w14:paraId="4C10D35F" w14:textId="77777777" w:rsidR="00E37B44" w:rsidRPr="00650A72" w:rsidRDefault="00E37B44" w:rsidP="00E37B44">
      <w:pPr>
        <w:rPr>
          <w:rFonts w:ascii="Arial" w:hAnsi="Arial" w:cs="Arial"/>
          <w:i/>
          <w:sz w:val="20"/>
        </w:rPr>
      </w:pPr>
      <w:r w:rsidRPr="00650A72">
        <w:rPr>
          <w:rFonts w:ascii="Arial" w:hAnsi="Arial" w:cs="Arial"/>
          <w:b/>
          <w:i/>
          <w:sz w:val="20"/>
        </w:rPr>
        <w:t xml:space="preserve">Key words: </w:t>
      </w:r>
      <w:r w:rsidRPr="00650A72">
        <w:rPr>
          <w:rFonts w:ascii="Arial" w:hAnsi="Arial" w:cs="Arial"/>
          <w:i/>
          <w:sz w:val="20"/>
        </w:rPr>
        <w:t>Hybrid model, ARIMA-SVR, Forecasting, Gross Cropped Area, Kerala</w:t>
      </w:r>
    </w:p>
    <w:p w14:paraId="3C89B2F0" w14:textId="77777777" w:rsidR="00E37B44" w:rsidRPr="00650A72" w:rsidRDefault="00E37B44" w:rsidP="00E37B44">
      <w:pPr>
        <w:rPr>
          <w:rFonts w:ascii="Arial" w:hAnsi="Arial" w:cs="Arial"/>
          <w:b/>
          <w:sz w:val="24"/>
        </w:rPr>
      </w:pPr>
      <w:r w:rsidRPr="00650A72">
        <w:rPr>
          <w:rFonts w:ascii="Arial" w:hAnsi="Arial" w:cs="Arial"/>
          <w:b/>
          <w:sz w:val="24"/>
        </w:rPr>
        <w:t>INTRODUCTION</w:t>
      </w:r>
    </w:p>
    <w:p w14:paraId="09A26959" w14:textId="73476397" w:rsidR="00FE4FB8" w:rsidRDefault="00857B64" w:rsidP="00857B64">
      <w:pPr>
        <w:jc w:val="both"/>
        <w:rPr>
          <w:rFonts w:ascii="Arial" w:hAnsi="Arial" w:cs="Arial"/>
          <w:sz w:val="20"/>
        </w:rPr>
      </w:pPr>
      <w:r w:rsidRPr="00B42F45">
        <w:rPr>
          <w:rFonts w:ascii="Arial" w:hAnsi="Arial" w:cs="Arial"/>
          <w:sz w:val="20"/>
        </w:rPr>
        <w:t>The Gross Cropped Area (GCA) of a state is a pivotal variable in measuring its agricultural productivity and growth. It measures the cropping intensity of the state and is an indicator of food security. An analysis of the trend and patters of GCA over the years can help manage the resources effectively and thus helps in economic planning. It also reduces the environmental impacts caused by the change in cropping patterns and cropping systems. Several singular for</w:t>
      </w:r>
      <w:r w:rsidR="00B42F45" w:rsidRPr="00B42F45">
        <w:rPr>
          <w:rFonts w:ascii="Arial" w:hAnsi="Arial" w:cs="Arial"/>
          <w:sz w:val="20"/>
        </w:rPr>
        <w:t>e</w:t>
      </w:r>
      <w:r w:rsidRPr="00B42F45">
        <w:rPr>
          <w:rFonts w:ascii="Arial" w:hAnsi="Arial" w:cs="Arial"/>
          <w:sz w:val="20"/>
        </w:rPr>
        <w:t xml:space="preserve">casting models were devised for accurate prediction of time series variables and they do their purpose in given contexts. But, the </w:t>
      </w:r>
      <w:r w:rsidR="00B42F45" w:rsidRPr="00B42F45">
        <w:rPr>
          <w:rFonts w:ascii="Arial" w:hAnsi="Arial" w:cs="Arial"/>
          <w:sz w:val="20"/>
        </w:rPr>
        <w:t>single</w:t>
      </w:r>
      <w:r w:rsidRPr="00B42F45">
        <w:rPr>
          <w:rFonts w:ascii="Arial" w:hAnsi="Arial" w:cs="Arial"/>
          <w:sz w:val="20"/>
        </w:rPr>
        <w:t xml:space="preserve"> model will not apply </w:t>
      </w:r>
      <w:r w:rsidR="00B42F45" w:rsidRPr="00B42F45">
        <w:rPr>
          <w:rFonts w:ascii="Arial" w:hAnsi="Arial" w:cs="Arial"/>
          <w:sz w:val="20"/>
        </w:rPr>
        <w:t xml:space="preserve">in all </w:t>
      </w:r>
      <w:r w:rsidRPr="00B42F45">
        <w:rPr>
          <w:rFonts w:ascii="Arial" w:hAnsi="Arial" w:cs="Arial"/>
          <w:sz w:val="20"/>
        </w:rPr>
        <w:t>the contexts of study.</w:t>
      </w:r>
      <w:r w:rsidR="00B42F45" w:rsidRPr="00B42F45">
        <w:rPr>
          <w:rFonts w:ascii="Arial" w:hAnsi="Arial" w:cs="Arial"/>
          <w:sz w:val="20"/>
        </w:rPr>
        <w:t xml:space="preserve"> That was how hybrid models were generated.  By overcoming the limitations of single models, hybrid models were found to produce results with better accuracy</w:t>
      </w:r>
      <w:r w:rsidR="00B62891">
        <w:rPr>
          <w:rFonts w:ascii="Arial" w:hAnsi="Arial" w:cs="Arial"/>
          <w:sz w:val="20"/>
        </w:rPr>
        <w:t xml:space="preserve"> (</w:t>
      </w:r>
      <w:proofErr w:type="spellStart"/>
      <w:r w:rsidR="00B62891" w:rsidRPr="00B62891">
        <w:rPr>
          <w:rFonts w:ascii="Arial" w:hAnsi="Arial" w:cs="Arial"/>
          <w:sz w:val="20"/>
        </w:rPr>
        <w:t>Kavousi-Fard</w:t>
      </w:r>
      <w:proofErr w:type="spellEnd"/>
      <w:r w:rsidR="00B62891">
        <w:rPr>
          <w:rFonts w:ascii="Arial" w:hAnsi="Arial" w:cs="Arial"/>
          <w:sz w:val="20"/>
        </w:rPr>
        <w:t xml:space="preserve"> </w:t>
      </w:r>
      <w:r w:rsidR="00B62891" w:rsidRPr="00B62891">
        <w:rPr>
          <w:rFonts w:ascii="Arial" w:hAnsi="Arial" w:cs="Arial"/>
          <w:sz w:val="20"/>
        </w:rPr>
        <w:t xml:space="preserve">&amp; </w:t>
      </w:r>
      <w:proofErr w:type="spellStart"/>
      <w:r w:rsidR="00B62891" w:rsidRPr="00B62891">
        <w:rPr>
          <w:rFonts w:ascii="Arial" w:hAnsi="Arial" w:cs="Arial"/>
          <w:sz w:val="20"/>
        </w:rPr>
        <w:t>Kavousi-Fard</w:t>
      </w:r>
      <w:proofErr w:type="spellEnd"/>
      <w:r w:rsidR="00B62891">
        <w:rPr>
          <w:rFonts w:ascii="Arial" w:hAnsi="Arial" w:cs="Arial"/>
          <w:sz w:val="20"/>
        </w:rPr>
        <w:t>, 2013)</w:t>
      </w:r>
      <w:r w:rsidR="00B42F45" w:rsidRPr="00B42F45">
        <w:rPr>
          <w:rFonts w:ascii="Arial" w:hAnsi="Arial" w:cs="Arial"/>
          <w:sz w:val="20"/>
        </w:rPr>
        <w:t>. These models increases stability and are flexible over domains and conditions by handling</w:t>
      </w:r>
      <w:bookmarkStart w:id="0" w:name="_GoBack"/>
      <w:bookmarkEnd w:id="0"/>
      <w:r w:rsidR="00B42F45" w:rsidRPr="00B42F45">
        <w:rPr>
          <w:rFonts w:ascii="Arial" w:hAnsi="Arial" w:cs="Arial"/>
          <w:sz w:val="20"/>
        </w:rPr>
        <w:t xml:space="preserve"> complex patters within the scenario. </w:t>
      </w:r>
    </w:p>
    <w:p w14:paraId="36B02BBD" w14:textId="77777777" w:rsidR="00FE4FB8" w:rsidRDefault="00FE4FB8" w:rsidP="00FE4FB8">
      <w:pPr>
        <w:jc w:val="both"/>
        <w:rPr>
          <w:rFonts w:ascii="Arial" w:hAnsi="Arial" w:cs="Arial"/>
          <w:sz w:val="20"/>
        </w:rPr>
      </w:pPr>
      <w:r>
        <w:rPr>
          <w:rFonts w:ascii="Arial" w:hAnsi="Arial" w:cs="Arial"/>
          <w:sz w:val="20"/>
        </w:rPr>
        <w:t>The ARIMA-SVR</w:t>
      </w:r>
      <w:r w:rsidRPr="00FE4FB8">
        <w:rPr>
          <w:rFonts w:ascii="Arial" w:hAnsi="Arial" w:cs="Arial"/>
          <w:sz w:val="20"/>
        </w:rPr>
        <w:t xml:space="preserve"> model has been used to forecast the service life of aircraft engines, short-term wind, drought, gold price, value at risk of crude oil, library borrowing, power load, and other things, according to recent literature research. However, there hasn't been any use of the model in cropping systems, particularly cropping intensity and gross cropped area. This study compared the forecasting accuracy of the Support Vector Regression (SVR) and Auto Regressive Integrated Moving Average (ARIMA) models using the Hybrid ARIMA-SVR model on the gross cropped area of Kerala, India. </w:t>
      </w:r>
    </w:p>
    <w:p w14:paraId="1F8AB22D" w14:textId="77777777" w:rsidR="00E37B44" w:rsidRPr="00650A72" w:rsidRDefault="00E37B44" w:rsidP="00FE4FB8">
      <w:pPr>
        <w:jc w:val="both"/>
        <w:rPr>
          <w:rFonts w:ascii="Arial" w:hAnsi="Arial" w:cs="Arial"/>
          <w:b/>
          <w:sz w:val="24"/>
        </w:rPr>
      </w:pPr>
      <w:r w:rsidRPr="00650A72">
        <w:rPr>
          <w:rFonts w:ascii="Arial" w:hAnsi="Arial" w:cs="Arial"/>
          <w:b/>
          <w:sz w:val="24"/>
        </w:rPr>
        <w:t>MATERIALS AND METHODS</w:t>
      </w:r>
    </w:p>
    <w:p w14:paraId="26E22AE3" w14:textId="77777777" w:rsidR="00CB6878" w:rsidRPr="00CB6878" w:rsidRDefault="00E37B44" w:rsidP="00CB6878">
      <w:pPr>
        <w:jc w:val="both"/>
        <w:rPr>
          <w:rFonts w:ascii="Arial" w:hAnsi="Arial" w:cs="Arial"/>
          <w:sz w:val="20"/>
        </w:rPr>
      </w:pPr>
      <w:r w:rsidRPr="00650A72">
        <w:rPr>
          <w:rFonts w:ascii="Arial" w:hAnsi="Arial" w:cs="Arial"/>
          <w:sz w:val="20"/>
        </w:rPr>
        <w:t>Gross Cropped Area refers to the land utilized for crop cultivation once or more than once in a year. This is also known as Total Cropped Area. The yearly data on Gross Cropped Area in lakh hectares from 1965-66 to 2022-23 over a period of 58 years for the entire Kerala State were collected from Economic Review published by The Kerala State Planning Board (</w:t>
      </w:r>
      <w:hyperlink r:id="rId8" w:history="1">
        <w:r w:rsidRPr="00650A72">
          <w:rPr>
            <w:rStyle w:val="Hyperlink"/>
            <w:rFonts w:ascii="Arial" w:hAnsi="Arial" w:cs="Arial"/>
            <w:sz w:val="20"/>
          </w:rPr>
          <w:t>https://spb.kerala.gov.in</w:t>
        </w:r>
      </w:hyperlink>
      <w:r w:rsidRPr="00650A72">
        <w:rPr>
          <w:rFonts w:ascii="Arial" w:hAnsi="Arial" w:cs="Arial"/>
          <w:sz w:val="20"/>
        </w:rPr>
        <w:t>).</w:t>
      </w:r>
    </w:p>
    <w:p w14:paraId="4D940554" w14:textId="77777777" w:rsidR="00CB6878" w:rsidRDefault="00CB6878" w:rsidP="00E37B44">
      <w:pPr>
        <w:rPr>
          <w:rFonts w:ascii="Arial" w:hAnsi="Arial" w:cs="Arial"/>
          <w:b/>
          <w:sz w:val="20"/>
          <w:lang w:val="en-IN"/>
        </w:rPr>
      </w:pPr>
    </w:p>
    <w:p w14:paraId="429D5091" w14:textId="77777777" w:rsidR="00CB6878" w:rsidRDefault="00CB6878" w:rsidP="00E37B44">
      <w:pPr>
        <w:rPr>
          <w:rFonts w:ascii="Arial" w:hAnsi="Arial" w:cs="Arial"/>
          <w:b/>
          <w:sz w:val="20"/>
          <w:lang w:val="en-IN"/>
        </w:rPr>
      </w:pPr>
    </w:p>
    <w:p w14:paraId="2828977B" w14:textId="77777777" w:rsidR="00E37B44" w:rsidRPr="00650A72" w:rsidRDefault="00E37B44" w:rsidP="00E37B44">
      <w:pPr>
        <w:rPr>
          <w:rFonts w:ascii="Arial" w:hAnsi="Arial" w:cs="Arial"/>
          <w:b/>
          <w:sz w:val="20"/>
          <w:lang w:val="en-IN"/>
        </w:rPr>
      </w:pPr>
      <w:r w:rsidRPr="00650A72">
        <w:rPr>
          <w:rFonts w:ascii="Arial" w:hAnsi="Arial" w:cs="Arial"/>
          <w:b/>
          <w:sz w:val="20"/>
          <w:lang w:val="en-IN"/>
        </w:rPr>
        <w:lastRenderedPageBreak/>
        <w:t>BDS Test for linearity</w:t>
      </w:r>
    </w:p>
    <w:p w14:paraId="38480421" w14:textId="77777777" w:rsidR="00E37B44" w:rsidRPr="00650A72" w:rsidRDefault="00E37B44" w:rsidP="00650A72">
      <w:pPr>
        <w:jc w:val="both"/>
        <w:rPr>
          <w:rFonts w:ascii="Arial" w:hAnsi="Arial" w:cs="Arial"/>
          <w:sz w:val="20"/>
          <w:lang w:val="en-IN"/>
        </w:rPr>
      </w:pPr>
      <w:r w:rsidRPr="00650A72">
        <w:rPr>
          <w:rFonts w:ascii="Arial" w:hAnsi="Arial" w:cs="Arial"/>
          <w:sz w:val="20"/>
          <w:lang w:val="en-IN"/>
        </w:rPr>
        <w:t xml:space="preserve">The </w:t>
      </w:r>
      <w:r w:rsidRPr="00650A72">
        <w:rPr>
          <w:rFonts w:ascii="Arial" w:hAnsi="Arial" w:cs="Arial"/>
          <w:i/>
          <w:sz w:val="20"/>
          <w:lang w:val="en-IN"/>
        </w:rPr>
        <w:t>BDS</w:t>
      </w:r>
      <w:r w:rsidRPr="00650A72">
        <w:rPr>
          <w:rFonts w:ascii="Arial" w:hAnsi="Arial" w:cs="Arial"/>
          <w:sz w:val="20"/>
          <w:lang w:val="en-IN"/>
        </w:rPr>
        <w:t xml:space="preserve"> test (after the initials of W. A. Brock, W. Dechert and J. </w:t>
      </w:r>
      <w:proofErr w:type="spellStart"/>
      <w:r w:rsidRPr="00650A72">
        <w:rPr>
          <w:rFonts w:ascii="Arial" w:hAnsi="Arial" w:cs="Arial"/>
          <w:sz w:val="20"/>
          <w:lang w:val="en-IN"/>
        </w:rPr>
        <w:t>Scheinkman</w:t>
      </w:r>
      <w:proofErr w:type="spellEnd"/>
      <w:r w:rsidRPr="00650A72">
        <w:rPr>
          <w:rFonts w:ascii="Arial" w:hAnsi="Arial" w:cs="Arial"/>
          <w:sz w:val="20"/>
          <w:lang w:val="en-IN"/>
        </w:rPr>
        <w:t>) detects nonlinear serial dependence in time series. It tests the null hypothesis that the remaining residuals are independent and identically distributed (</w:t>
      </w:r>
      <w:proofErr w:type="spellStart"/>
      <w:r w:rsidRPr="00650A72">
        <w:rPr>
          <w:rFonts w:ascii="Arial" w:hAnsi="Arial" w:cs="Arial"/>
          <w:i/>
          <w:sz w:val="20"/>
          <w:lang w:val="en-IN"/>
        </w:rPr>
        <w:t>i.i.d</w:t>
      </w:r>
      <w:proofErr w:type="spellEnd"/>
      <w:r w:rsidRPr="00650A72">
        <w:rPr>
          <w:rFonts w:ascii="Arial" w:hAnsi="Arial" w:cs="Arial"/>
          <w:sz w:val="20"/>
          <w:lang w:val="en-IN"/>
        </w:rPr>
        <w:t xml:space="preserve">.). Rejection of the </w:t>
      </w:r>
      <w:proofErr w:type="spellStart"/>
      <w:r w:rsidRPr="00650A72">
        <w:rPr>
          <w:rFonts w:ascii="Arial" w:hAnsi="Arial" w:cs="Arial"/>
          <w:i/>
          <w:sz w:val="20"/>
          <w:lang w:val="en-IN"/>
        </w:rPr>
        <w:t>i.i.d</w:t>
      </w:r>
      <w:proofErr w:type="spellEnd"/>
      <w:r w:rsidRPr="00650A72">
        <w:rPr>
          <w:rFonts w:ascii="Arial" w:hAnsi="Arial" w:cs="Arial"/>
          <w:i/>
          <w:sz w:val="20"/>
          <w:lang w:val="en-IN"/>
        </w:rPr>
        <w:t>.</w:t>
      </w:r>
      <w:r w:rsidRPr="00650A72">
        <w:rPr>
          <w:rFonts w:ascii="Arial" w:hAnsi="Arial" w:cs="Arial"/>
          <w:sz w:val="20"/>
          <w:lang w:val="en-IN"/>
        </w:rPr>
        <w:t xml:space="preserve"> hypothesis implies that there is remaining structure in the time series, which could include a hidden nonlinearity, hidden non-stationarity or other type of structure missed by detrending or model fitting. </w:t>
      </w:r>
      <w:r w:rsidRPr="00650A72">
        <w:rPr>
          <w:rFonts w:ascii="Arial" w:hAnsi="Arial" w:cs="Arial"/>
          <w:i/>
          <w:sz w:val="20"/>
        </w:rPr>
        <w:t>BDS</w:t>
      </w:r>
      <w:r w:rsidRPr="00650A72">
        <w:rPr>
          <w:rFonts w:ascii="Arial" w:hAnsi="Arial" w:cs="Arial"/>
          <w:sz w:val="20"/>
        </w:rPr>
        <w:t xml:space="preserve"> Test Statistic is given as follows:</w:t>
      </w:r>
    </w:p>
    <w:p w14:paraId="3DD3338A" w14:textId="77777777" w:rsidR="00E37B44" w:rsidRPr="00650A72" w:rsidRDefault="00B62891" w:rsidP="00E37B44">
      <w:pPr>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m,ϵ</m:t>
              </m:r>
            </m:sub>
          </m:sSub>
          <m:r>
            <w:rPr>
              <w:rFonts w:ascii="Cambria Math" w:hAnsi="Cambria Math" w:cs="Arial"/>
            </w:rPr>
            <m:t>=</m:t>
          </m:r>
          <m:rad>
            <m:radPr>
              <m:degHide m:val="1"/>
              <m:ctrlPr>
                <w:rPr>
                  <w:rFonts w:ascii="Cambria Math" w:hAnsi="Cambria Math" w:cs="Arial"/>
                  <w:i/>
                </w:rPr>
              </m:ctrlPr>
            </m:radPr>
            <m:deg/>
            <m:e>
              <m:r>
                <w:rPr>
                  <w:rFonts w:ascii="Cambria Math" w:hAnsi="Cambria Math" w:cs="Arial"/>
                </w:rPr>
                <m:t>T</m:t>
              </m:r>
            </m:e>
          </m:ra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C</m:t>
                  </m:r>
                </m:e>
                <m:sub>
                  <m:r>
                    <w:rPr>
                      <w:rFonts w:ascii="Cambria Math" w:hAnsi="Cambria Math" w:cs="Arial"/>
                    </w:rPr>
                    <m:t>m,ϵ</m:t>
                  </m:r>
                </m:sub>
              </m:sSub>
              <m:r>
                <w:rPr>
                  <w:rFonts w:ascii="Cambria Math" w:hAnsi="Cambria Math" w:cs="Arial"/>
                </w:rPr>
                <m:t>-</m:t>
              </m:r>
              <m:sSup>
                <m:sSupPr>
                  <m:ctrlPr>
                    <w:rPr>
                      <w:rFonts w:ascii="Cambria Math" w:hAnsi="Cambria Math" w:cs="Arial"/>
                      <w:i/>
                    </w:rPr>
                  </m:ctrlPr>
                </m:sSupPr>
                <m:e>
                  <m:sSub>
                    <m:sSubPr>
                      <m:ctrlPr>
                        <w:rPr>
                          <w:rFonts w:ascii="Cambria Math" w:hAnsi="Cambria Math" w:cs="Arial"/>
                          <w:i/>
                        </w:rPr>
                      </m:ctrlPr>
                    </m:sSubPr>
                    <m:e>
                      <m:r>
                        <w:rPr>
                          <w:rFonts w:ascii="Cambria Math" w:hAnsi="Cambria Math" w:cs="Arial"/>
                        </w:rPr>
                        <m:t>C</m:t>
                      </m:r>
                    </m:e>
                    <m:sub>
                      <m:r>
                        <w:rPr>
                          <w:rFonts w:ascii="Cambria Math" w:hAnsi="Cambria Math" w:cs="Arial"/>
                        </w:rPr>
                        <m:t>1,ϵ</m:t>
                      </m:r>
                    </m:sub>
                  </m:sSub>
                </m:e>
                <m:sup>
                  <m:r>
                    <w:rPr>
                      <w:rFonts w:ascii="Cambria Math" w:hAnsi="Cambria Math" w:cs="Arial"/>
                    </w:rPr>
                    <m:t>m</m:t>
                  </m:r>
                </m:sup>
              </m:sSup>
            </m:num>
            <m:den>
              <m:sSub>
                <m:sSubPr>
                  <m:ctrlPr>
                    <w:rPr>
                      <w:rFonts w:ascii="Cambria Math" w:hAnsi="Cambria Math" w:cs="Arial"/>
                      <w:i/>
                    </w:rPr>
                  </m:ctrlPr>
                </m:sSubPr>
                <m:e>
                  <m:r>
                    <w:rPr>
                      <w:rFonts w:ascii="Cambria Math" w:hAnsi="Cambria Math" w:cs="Arial"/>
                    </w:rPr>
                    <m:t>s</m:t>
                  </m:r>
                </m:e>
                <m:sub>
                  <m:r>
                    <w:rPr>
                      <w:rFonts w:ascii="Cambria Math" w:hAnsi="Cambria Math" w:cs="Arial"/>
                    </w:rPr>
                    <m:t>m,ϵ</m:t>
                  </m:r>
                </m:sub>
              </m:sSub>
            </m:den>
          </m:f>
        </m:oMath>
      </m:oMathPara>
    </w:p>
    <w:p w14:paraId="6A6D0EE5" w14:textId="77777777" w:rsidR="00857B64" w:rsidRPr="00857B64" w:rsidRDefault="00E37B44" w:rsidP="00857B64">
      <w:pPr>
        <w:jc w:val="both"/>
        <w:rPr>
          <w:rFonts w:ascii="Arial" w:hAnsi="Arial" w:cs="Arial"/>
          <w:sz w:val="20"/>
        </w:rPr>
      </w:pPr>
      <w:r w:rsidRPr="00650A72">
        <w:rPr>
          <w:rFonts w:ascii="Arial" w:hAnsi="Arial" w:cs="Arial"/>
          <w:sz w:val="20"/>
        </w:rPr>
        <w:t xml:space="preserve">Where </w:t>
      </w:r>
      <m:oMath>
        <m:sSub>
          <m:sSubPr>
            <m:ctrlPr>
              <w:rPr>
                <w:rFonts w:ascii="Cambria Math" w:hAnsi="Cambria Math" w:cs="Arial"/>
                <w:i/>
                <w:sz w:val="20"/>
              </w:rPr>
            </m:ctrlPr>
          </m:sSubPr>
          <m:e>
            <m:r>
              <w:rPr>
                <w:rFonts w:ascii="Cambria Math" w:hAnsi="Cambria Math" w:cs="Arial"/>
                <w:sz w:val="20"/>
              </w:rPr>
              <m:t>s</m:t>
            </m:r>
          </m:e>
          <m:sub>
            <m:r>
              <w:rPr>
                <w:rFonts w:ascii="Cambria Math" w:hAnsi="Cambria Math" w:cs="Arial"/>
                <w:sz w:val="20"/>
              </w:rPr>
              <m:t>m,ϵ</m:t>
            </m:r>
          </m:sub>
        </m:sSub>
      </m:oMath>
      <w:r w:rsidRPr="00650A72">
        <w:rPr>
          <w:rFonts w:ascii="Arial" w:hAnsi="Arial" w:cs="Arial"/>
          <w:sz w:val="20"/>
        </w:rPr>
        <w:t xml:space="preserve"> is the standard deviation of </w:t>
      </w:r>
      <m:oMath>
        <m:rad>
          <m:radPr>
            <m:degHide m:val="1"/>
            <m:ctrlPr>
              <w:rPr>
                <w:rFonts w:ascii="Cambria Math" w:hAnsi="Cambria Math" w:cs="Arial"/>
                <w:i/>
                <w:sz w:val="20"/>
              </w:rPr>
            </m:ctrlPr>
          </m:radPr>
          <m:deg/>
          <m:e>
            <m:r>
              <w:rPr>
                <w:rFonts w:ascii="Cambria Math" w:hAnsi="Cambria Math" w:cs="Arial"/>
                <w:sz w:val="20"/>
              </w:rPr>
              <m:t>T</m:t>
            </m:r>
          </m:e>
        </m:rad>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m,ϵ</m:t>
                </m:r>
              </m:sub>
            </m:sSub>
            <m:r>
              <w:rPr>
                <w:rFonts w:ascii="Cambria Math" w:hAnsi="Cambria Math" w:cs="Arial"/>
                <w:sz w:val="20"/>
              </w:rPr>
              <m:t>-</m:t>
            </m:r>
            <m:sSup>
              <m:sSupPr>
                <m:ctrlPr>
                  <w:rPr>
                    <w:rFonts w:ascii="Cambria Math" w:hAnsi="Cambria Math" w:cs="Arial"/>
                    <w:i/>
                    <w:sz w:val="20"/>
                  </w:rPr>
                </m:ctrlPr>
              </m:sSupPr>
              <m:e>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1,ϵ</m:t>
                    </m:r>
                  </m:sub>
                </m:sSub>
              </m:e>
              <m:sup>
                <m:r>
                  <w:rPr>
                    <w:rFonts w:ascii="Cambria Math" w:hAnsi="Cambria Math" w:cs="Arial"/>
                    <w:sz w:val="20"/>
                  </w:rPr>
                  <m:t>m</m:t>
                </m:r>
              </m:sup>
            </m:sSup>
          </m:e>
        </m:d>
      </m:oMath>
      <w:r w:rsidRPr="00650A72">
        <w:rPr>
          <w:rFonts w:ascii="Arial" w:hAnsi="Arial" w:cs="Arial"/>
          <w:sz w:val="20"/>
        </w:rPr>
        <w:t xml:space="preserve"> and can be estimated consistently. Under fairly moderate regulatory conditions, </w:t>
      </w:r>
      <w:r w:rsidRPr="00650A72">
        <w:rPr>
          <w:rFonts w:ascii="Arial" w:hAnsi="Arial" w:cs="Arial"/>
          <w:i/>
          <w:sz w:val="20"/>
        </w:rPr>
        <w:t>BDS</w:t>
      </w:r>
      <w:r w:rsidRPr="00650A72">
        <w:rPr>
          <w:rFonts w:ascii="Arial" w:hAnsi="Arial" w:cs="Arial"/>
          <w:sz w:val="20"/>
        </w:rPr>
        <w:t xml:space="preserve"> Statistic converges in distribution to </w:t>
      </w:r>
      <w:proofErr w:type="gramStart"/>
      <w:r w:rsidRPr="00650A72">
        <w:rPr>
          <w:rFonts w:ascii="Arial" w:hAnsi="Arial" w:cs="Arial"/>
          <w:i/>
          <w:sz w:val="20"/>
        </w:rPr>
        <w:t>N</w:t>
      </w:r>
      <w:r w:rsidRPr="00650A72">
        <w:rPr>
          <w:rFonts w:ascii="Arial" w:hAnsi="Arial" w:cs="Arial"/>
          <w:sz w:val="20"/>
        </w:rPr>
        <w:t>(</w:t>
      </w:r>
      <w:proofErr w:type="gramEnd"/>
      <w:r w:rsidRPr="00650A72">
        <w:rPr>
          <w:rFonts w:ascii="Arial" w:hAnsi="Arial" w:cs="Arial"/>
          <w:sz w:val="20"/>
        </w:rPr>
        <w:t xml:space="preserve">0, 1). So, the null hypothesis of </w:t>
      </w:r>
      <w:proofErr w:type="spellStart"/>
      <w:r w:rsidRPr="00650A72">
        <w:rPr>
          <w:rFonts w:ascii="Arial" w:hAnsi="Arial" w:cs="Arial"/>
          <w:i/>
          <w:sz w:val="20"/>
        </w:rPr>
        <w:t>i.i.d</w:t>
      </w:r>
      <w:proofErr w:type="spellEnd"/>
      <w:r w:rsidRPr="00650A72">
        <w:rPr>
          <w:rFonts w:ascii="Arial" w:hAnsi="Arial" w:cs="Arial"/>
          <w:sz w:val="20"/>
        </w:rPr>
        <w:t xml:space="preserve">. is rejected at the 5% significance level whenever </w:t>
      </w:r>
      <m:oMath>
        <m:d>
          <m:dPr>
            <m:begChr m:val="|"/>
            <m:endChr m:val="|"/>
            <m:ctrlPr>
              <w:rPr>
                <w:rFonts w:ascii="Cambria Math" w:hAnsi="Cambria Math" w:cs="Arial"/>
                <w:i/>
                <w:sz w:val="20"/>
              </w:rPr>
            </m:ctrlPr>
          </m:dPr>
          <m:e>
            <m:m>
              <m:mPr>
                <m:mcs>
                  <m:mc>
                    <m:mcPr>
                      <m:count m:val="1"/>
                      <m:mcJc m:val="center"/>
                    </m:mcPr>
                  </m:mc>
                </m:mcs>
                <m:ctrlPr>
                  <w:rPr>
                    <w:rFonts w:ascii="Cambria Math" w:hAnsi="Cambria Math" w:cs="Arial"/>
                    <w:i/>
                    <w:sz w:val="20"/>
                  </w:rPr>
                </m:ctrlPr>
              </m:mPr>
              <m:mr>
                <m:e>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m,ϵ</m:t>
                      </m:r>
                    </m:sub>
                  </m:sSub>
                </m:e>
              </m:mr>
            </m:m>
          </m:e>
        </m:d>
        <m:r>
          <w:rPr>
            <w:rFonts w:ascii="Cambria Math" w:hAnsi="Cambria Math" w:cs="Arial"/>
            <w:sz w:val="20"/>
          </w:rPr>
          <m:t>&gt;1.96</m:t>
        </m:r>
      </m:oMath>
    </w:p>
    <w:p w14:paraId="74E15841" w14:textId="77777777" w:rsidR="00E37B44" w:rsidRPr="00650A72" w:rsidRDefault="00E37B44" w:rsidP="00E37B44">
      <w:pPr>
        <w:rPr>
          <w:rFonts w:ascii="Arial" w:hAnsi="Arial" w:cs="Arial"/>
          <w:b/>
          <w:sz w:val="20"/>
        </w:rPr>
      </w:pPr>
      <w:r w:rsidRPr="00650A72">
        <w:rPr>
          <w:rFonts w:ascii="Arial" w:hAnsi="Arial" w:cs="Arial"/>
          <w:b/>
          <w:sz w:val="20"/>
        </w:rPr>
        <w:t>Auto Regressive Integrated Moving Average (ARIMA) Model</w:t>
      </w:r>
    </w:p>
    <w:p w14:paraId="0403B97E" w14:textId="77777777" w:rsidR="00E37B44" w:rsidRPr="00650A72" w:rsidRDefault="00E37B44" w:rsidP="00650A72">
      <w:pPr>
        <w:jc w:val="both"/>
        <w:rPr>
          <w:rFonts w:ascii="Arial" w:hAnsi="Arial" w:cs="Arial"/>
          <w:sz w:val="20"/>
        </w:rPr>
      </w:pPr>
      <w:r w:rsidRPr="00650A72">
        <w:rPr>
          <w:rFonts w:ascii="Arial" w:hAnsi="Arial" w:cs="Arial"/>
          <w:sz w:val="20"/>
        </w:rPr>
        <w:t>The ARIMA models, created by Box and Jenkins, are the most popular and effective statistical models for time series forecasting. These are based on the basic premise that the future values of a time series are generated by a linear function of its white noise terms and past data. A non-seasonal ARIMA model is classified as an "ARIMA(</w:t>
      </w:r>
      <w:proofErr w:type="spellStart"/>
      <w:proofErr w:type="gramStart"/>
      <w:r w:rsidRPr="00650A72">
        <w:rPr>
          <w:rFonts w:ascii="Arial" w:hAnsi="Arial" w:cs="Arial"/>
          <w:sz w:val="20"/>
        </w:rPr>
        <w:t>p,d</w:t>
      </w:r>
      <w:proofErr w:type="gramEnd"/>
      <w:r w:rsidRPr="00650A72">
        <w:rPr>
          <w:rFonts w:ascii="Arial" w:hAnsi="Arial" w:cs="Arial"/>
          <w:sz w:val="20"/>
        </w:rPr>
        <w:t>,q</w:t>
      </w:r>
      <w:proofErr w:type="spellEnd"/>
      <w:r w:rsidRPr="00650A72">
        <w:rPr>
          <w:rFonts w:ascii="Arial" w:hAnsi="Arial" w:cs="Arial"/>
          <w:sz w:val="20"/>
        </w:rPr>
        <w:t>)" model, where ‘</w:t>
      </w:r>
      <w:r w:rsidRPr="00650A72">
        <w:rPr>
          <w:rFonts w:ascii="Arial" w:hAnsi="Arial" w:cs="Arial"/>
          <w:bCs/>
          <w:sz w:val="20"/>
        </w:rPr>
        <w:t>p’</w:t>
      </w:r>
      <w:r w:rsidRPr="00650A72">
        <w:rPr>
          <w:rFonts w:ascii="Arial" w:hAnsi="Arial" w:cs="Arial"/>
          <w:sz w:val="20"/>
        </w:rPr>
        <w:t> is the number of autoregressive terms, ‘</w:t>
      </w:r>
      <w:r w:rsidRPr="00650A72">
        <w:rPr>
          <w:rFonts w:ascii="Arial" w:hAnsi="Arial" w:cs="Arial"/>
          <w:bCs/>
          <w:sz w:val="20"/>
        </w:rPr>
        <w:t>d’</w:t>
      </w:r>
      <w:r w:rsidRPr="00650A72">
        <w:rPr>
          <w:rFonts w:ascii="Arial" w:hAnsi="Arial" w:cs="Arial"/>
          <w:sz w:val="20"/>
        </w:rPr>
        <w:t> is the number of non-seasonal differences needed for stationarity, and ‘</w:t>
      </w:r>
      <w:r w:rsidRPr="00650A72">
        <w:rPr>
          <w:rFonts w:ascii="Arial" w:hAnsi="Arial" w:cs="Arial"/>
          <w:bCs/>
          <w:sz w:val="20"/>
        </w:rPr>
        <w:t>q’</w:t>
      </w:r>
      <w:r w:rsidRPr="00650A72">
        <w:rPr>
          <w:rFonts w:ascii="Arial" w:hAnsi="Arial" w:cs="Arial"/>
          <w:sz w:val="20"/>
        </w:rPr>
        <w:t> is the number of lagged forecast errors in the prediction equation. First, let y</w:t>
      </w:r>
      <w:r w:rsidRPr="00650A72">
        <w:rPr>
          <w:rFonts w:ascii="Arial" w:hAnsi="Arial" w:cs="Arial"/>
          <w:sz w:val="20"/>
          <w:vertAlign w:val="subscript"/>
        </w:rPr>
        <w:t> </w:t>
      </w:r>
      <w:r w:rsidRPr="00650A72">
        <w:rPr>
          <w:rFonts w:ascii="Arial" w:hAnsi="Arial" w:cs="Arial"/>
          <w:sz w:val="20"/>
        </w:rPr>
        <w:t xml:space="preserve">denote the </w:t>
      </w:r>
      <w:proofErr w:type="spellStart"/>
      <w:r w:rsidRPr="00650A72">
        <w:rPr>
          <w:rFonts w:ascii="Arial" w:hAnsi="Arial" w:cs="Arial"/>
          <w:sz w:val="20"/>
        </w:rPr>
        <w:t>d</w:t>
      </w:r>
      <w:r w:rsidRPr="00650A72">
        <w:rPr>
          <w:rFonts w:ascii="Arial" w:hAnsi="Arial" w:cs="Arial"/>
          <w:sz w:val="20"/>
          <w:vertAlign w:val="superscript"/>
        </w:rPr>
        <w:t>th</w:t>
      </w:r>
      <w:proofErr w:type="spellEnd"/>
      <w:r w:rsidRPr="00650A72">
        <w:rPr>
          <w:rFonts w:ascii="Arial" w:hAnsi="Arial" w:cs="Arial"/>
          <w:sz w:val="20"/>
        </w:rPr>
        <w:t> difference of Y, In terms of y, the general forecasting equation is:</w:t>
      </w:r>
    </w:p>
    <w:p w14:paraId="1DEFBE43" w14:textId="77777777" w:rsidR="00E37B44" w:rsidRPr="00650A72" w:rsidRDefault="00B62891" w:rsidP="00E37B44">
      <w:pPr>
        <w:rPr>
          <w:rFonts w:ascii="Arial" w:hAnsi="Arial" w:cs="Arial"/>
        </w:rPr>
      </w:pPr>
      <m:oMathPara>
        <m:oMath>
          <m:acc>
            <m:accPr>
              <m:ctrlPr>
                <w:rPr>
                  <w:rFonts w:ascii="Cambria Math" w:hAnsi="Cambria Math" w:cs="Arial"/>
                  <w:i/>
                </w:rPr>
              </m:ctrlPr>
            </m:accPr>
            <m:e>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e>
          </m:acc>
          <m:r>
            <w:rPr>
              <w:rFonts w:ascii="Cambria Math" w:hAnsi="Cambria Math" w:cs="Arial"/>
            </w:rPr>
            <m:t>=μ+</m:t>
          </m:r>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p</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t-p</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e</m:t>
              </m:r>
            </m:e>
            <m:sub>
              <m:r>
                <w:rPr>
                  <w:rFonts w:ascii="Cambria Math" w:hAnsi="Cambria Math" w:cs="Arial"/>
                </w:rPr>
                <m:t>t-1</m:t>
              </m:r>
            </m:sub>
          </m:sSub>
          <m:r>
            <w:rPr>
              <w:rFonts w:ascii="Cambria Math" w:hAnsi="Cambria Math" w:cs="Arial"/>
            </w:rPr>
            <m:t>-…-</m:t>
          </m:r>
          <m:sSub>
            <m:sSubPr>
              <m:ctrlPr>
                <w:rPr>
                  <w:rFonts w:ascii="Cambria Math" w:hAnsi="Cambria Math" w:cs="Arial"/>
                  <w:i/>
                </w:rPr>
              </m:ctrlPr>
            </m:sSubPr>
            <m:e>
              <m:r>
                <w:rPr>
                  <w:rFonts w:ascii="Cambria Math" w:hAnsi="Cambria Math" w:cs="Arial"/>
                </w:rPr>
                <m:t>θ</m:t>
              </m:r>
            </m:e>
            <m:sub>
              <m:r>
                <w:rPr>
                  <w:rFonts w:ascii="Cambria Math" w:hAnsi="Cambria Math" w:cs="Arial"/>
                </w:rPr>
                <m:t>q</m:t>
              </m:r>
            </m:sub>
          </m:sSub>
          <m:sSub>
            <m:sSubPr>
              <m:ctrlPr>
                <w:rPr>
                  <w:rFonts w:ascii="Cambria Math" w:hAnsi="Cambria Math" w:cs="Arial"/>
                  <w:i/>
                </w:rPr>
              </m:ctrlPr>
            </m:sSubPr>
            <m:e>
              <m:r>
                <w:rPr>
                  <w:rFonts w:ascii="Cambria Math" w:hAnsi="Cambria Math" w:cs="Arial"/>
                </w:rPr>
                <m:t>e</m:t>
              </m:r>
            </m:e>
            <m:sub>
              <m:r>
                <w:rPr>
                  <w:rFonts w:ascii="Cambria Math" w:hAnsi="Cambria Math" w:cs="Arial"/>
                </w:rPr>
                <m:t>t-q</m:t>
              </m:r>
            </m:sub>
          </m:sSub>
        </m:oMath>
      </m:oMathPara>
    </w:p>
    <w:p w14:paraId="1162DF9E" w14:textId="77777777" w:rsidR="00E37B44" w:rsidRPr="00650A72" w:rsidRDefault="00E37B44" w:rsidP="00650A72">
      <w:pPr>
        <w:jc w:val="both"/>
        <w:rPr>
          <w:rFonts w:ascii="Arial" w:hAnsi="Arial" w:cs="Arial"/>
          <w:sz w:val="20"/>
        </w:rPr>
      </w:pPr>
      <w:r w:rsidRPr="00650A72">
        <w:rPr>
          <w:rFonts w:ascii="Arial" w:hAnsi="Arial" w:cs="Arial"/>
          <w:sz w:val="20"/>
        </w:rPr>
        <w:t>Here the moving average parameters (</w:t>
      </w:r>
      <w:proofErr w:type="spellStart"/>
      <w:r w:rsidRPr="00650A72">
        <w:rPr>
          <w:rFonts w:ascii="Arial" w:hAnsi="Arial" w:cs="Arial"/>
          <w:sz w:val="20"/>
        </w:rPr>
        <w:t>θ’s</w:t>
      </w:r>
      <w:proofErr w:type="spellEnd"/>
      <w:r w:rsidRPr="00650A72">
        <w:rPr>
          <w:rFonts w:ascii="Arial" w:hAnsi="Arial" w:cs="Arial"/>
          <w:sz w:val="20"/>
        </w:rPr>
        <w:t>) are defined so that their signs are negative in the equation, following the convention introduced by Box and Jenkins.</w:t>
      </w:r>
    </w:p>
    <w:p w14:paraId="19296A9F" w14:textId="77777777" w:rsidR="00E37B44" w:rsidRPr="00650A72" w:rsidRDefault="00E37B44" w:rsidP="00E37B44">
      <w:pPr>
        <w:rPr>
          <w:rFonts w:ascii="Arial" w:hAnsi="Arial" w:cs="Arial"/>
          <w:b/>
          <w:sz w:val="20"/>
        </w:rPr>
      </w:pPr>
      <w:r w:rsidRPr="00650A72">
        <w:rPr>
          <w:rFonts w:ascii="Arial" w:hAnsi="Arial" w:cs="Arial"/>
          <w:b/>
          <w:sz w:val="20"/>
        </w:rPr>
        <w:t>Support Vector Regression (SVR) Model</w:t>
      </w:r>
    </w:p>
    <w:p w14:paraId="64EC0E68" w14:textId="77777777" w:rsidR="0097763B" w:rsidRPr="004550D1" w:rsidRDefault="0097763B" w:rsidP="0097763B">
      <w:pPr>
        <w:jc w:val="both"/>
        <w:rPr>
          <w:rFonts w:ascii="Arial" w:hAnsi="Arial" w:cs="Arial"/>
          <w:sz w:val="20"/>
        </w:rPr>
      </w:pPr>
      <w:r w:rsidRPr="004550D1">
        <w:rPr>
          <w:rFonts w:ascii="Arial" w:hAnsi="Arial" w:cs="Arial"/>
          <w:sz w:val="20"/>
        </w:rPr>
        <w:t xml:space="preserve">Support Vector Regression (SVR) is a machine learning algorithm derived from Support Vector Machines (SVM) that performs regression tasks by finding a hyperplane that best fits the data within a specified margin of tolerance, known as ϵ. Unlike traditional regression models that aim to minimize the prediction error for all data points, SVR seeks to balance complexity and accuracy by only considering errors outside the ϵ margin. The optimization process involves minimizing a cost function that includes a penalty term controlled by the parameter CC, which governs the trade-off between a larger margin and smaller errors. The regression of any non-linear function or curve can be handled by applying kernel in the (SVR) algorithm, where the non-linear data is set in a space that makes the data linear. Suppose that the data set: </w:t>
      </w:r>
    </w:p>
    <w:p w14:paraId="4EF191E8" w14:textId="77777777" w:rsidR="0097763B" w:rsidRPr="004550D1" w:rsidRDefault="0097763B" w:rsidP="0097763B">
      <w:pPr>
        <w:jc w:val="both"/>
        <w:rPr>
          <w:rFonts w:ascii="Arial" w:hAnsi="Arial" w:cs="Arial"/>
          <w:sz w:val="20"/>
        </w:rPr>
      </w:pPr>
      <m:oMathPara>
        <m:oMath>
          <m:r>
            <w:rPr>
              <w:rFonts w:ascii="Cambria Math" w:hAnsi="Cambria Math" w:cs="Arial"/>
              <w:sz w:val="20"/>
            </w:rPr>
            <m:t>D=</m:t>
          </m:r>
          <m:d>
            <m:dPr>
              <m:begChr m:val="{"/>
              <m:endChr m:val="}"/>
              <m:ctrlPr>
                <w:rPr>
                  <w:rFonts w:ascii="Cambria Math" w:hAnsi="Cambria Math" w:cs="Arial"/>
                  <w:i/>
                  <w:sz w:val="20"/>
                </w:rPr>
              </m:ctrlPr>
            </m:dPr>
            <m:e>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1</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1</m:t>
                      </m:r>
                    </m:sub>
                  </m:sSub>
                </m:e>
              </m:d>
              <m:r>
                <w:rPr>
                  <w:rFonts w:ascii="Cambria Math" w:hAnsi="Cambria Math" w:cs="Arial"/>
                  <w:sz w:val="20"/>
                </w:rPr>
                <m:t>,</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2</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2</m:t>
                      </m:r>
                    </m:sub>
                  </m:sSub>
                </m:e>
              </m:d>
              <m:r>
                <w:rPr>
                  <w:rFonts w:ascii="Cambria Math" w:hAnsi="Cambria Math" w:cs="Arial"/>
                  <w:sz w:val="20"/>
                </w:rPr>
                <m:t xml:space="preserve">, …, </m:t>
              </m:r>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n</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n</m:t>
                      </m:r>
                    </m:sub>
                  </m:sSub>
                </m:e>
              </m:d>
            </m:e>
          </m:d>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m:t>
              </m:r>
            </m:sub>
          </m:sSub>
          <m:r>
            <w:rPr>
              <w:rFonts w:ascii="Cambria Math" w:hAnsi="Cambria Math" w:cs="Arial"/>
              <w:sz w:val="20"/>
            </w:rPr>
            <m:t>∈</m:t>
          </m:r>
          <m:sSup>
            <m:sSupPr>
              <m:ctrlPr>
                <w:rPr>
                  <w:rFonts w:ascii="Cambria Math" w:hAnsi="Cambria Math" w:cs="Arial"/>
                  <w:i/>
                  <w:sz w:val="20"/>
                </w:rPr>
              </m:ctrlPr>
            </m:sSupPr>
            <m:e>
              <m:r>
                <w:rPr>
                  <w:rFonts w:ascii="Cambria Math" w:hAnsi="Cambria Math" w:cs="Arial"/>
                  <w:sz w:val="20"/>
                </w:rPr>
                <m:t>R</m:t>
              </m:r>
            </m:e>
            <m:sup>
              <m:r>
                <w:rPr>
                  <w:rFonts w:ascii="Cambria Math" w:hAnsi="Cambria Math" w:cs="Arial"/>
                  <w:sz w:val="20"/>
                </w:rPr>
                <m:t>n</m:t>
              </m:r>
            </m:sup>
          </m:sSup>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i</m:t>
              </m:r>
            </m:sub>
          </m:sSub>
          <m:r>
            <w:rPr>
              <w:rFonts w:ascii="Cambria Math" w:hAnsi="Cambria Math" w:cs="Arial"/>
              <w:sz w:val="20"/>
            </w:rPr>
            <m:t>∈R,  i=1,2,…,n</m:t>
          </m:r>
        </m:oMath>
      </m:oMathPara>
    </w:p>
    <w:p w14:paraId="2477613A" w14:textId="77777777" w:rsidR="004550D1" w:rsidRPr="004550D1" w:rsidRDefault="0097763B" w:rsidP="0097763B">
      <w:pPr>
        <w:jc w:val="both"/>
        <w:rPr>
          <w:rFonts w:ascii="Arial" w:hAnsi="Arial" w:cs="Arial"/>
          <w:sz w:val="20"/>
        </w:rPr>
      </w:pPr>
      <w:r w:rsidRPr="004550D1">
        <w:rPr>
          <w:rFonts w:ascii="Arial" w:hAnsi="Arial" w:cs="Arial"/>
          <w:sz w:val="20"/>
        </w:rPr>
        <w:t xml:space="preserve">where, D is the data set, </w:t>
      </w:r>
      <m:oMath>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1</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2</m:t>
            </m:r>
          </m:sub>
        </m:sSub>
        <m:r>
          <w:rPr>
            <w:rFonts w:ascii="Cambria Math" w:hAnsi="Cambria Math" w:cs="Arial"/>
            <w:sz w:val="20"/>
          </w:rPr>
          <m:t>, …,</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n</m:t>
            </m:r>
          </m:sub>
        </m:sSub>
      </m:oMath>
      <w:r w:rsidR="004550D1" w:rsidRPr="004550D1">
        <w:rPr>
          <w:rFonts w:ascii="Arial" w:eastAsiaTheme="minorEastAsia" w:hAnsi="Arial" w:cs="Arial"/>
          <w:sz w:val="20"/>
        </w:rPr>
        <w:t xml:space="preserve"> </w:t>
      </w:r>
      <w:r w:rsidRPr="004550D1">
        <w:rPr>
          <w:rFonts w:ascii="Arial" w:hAnsi="Arial" w:cs="Arial"/>
          <w:sz w:val="20"/>
        </w:rPr>
        <w:t>are th</w:t>
      </w:r>
      <w:r w:rsidR="004550D1" w:rsidRPr="004550D1">
        <w:rPr>
          <w:rFonts w:ascii="Arial" w:hAnsi="Arial" w:cs="Arial"/>
          <w:sz w:val="20"/>
        </w:rPr>
        <w:t>e numbers of input variables and</w:t>
      </w:r>
      <w:r w:rsidRPr="004550D1">
        <w:rPr>
          <w:rFonts w:ascii="Arial" w:hAnsi="Arial" w:cs="Arial"/>
          <w:sz w:val="20"/>
        </w:rPr>
        <w:t xml:space="preserve"> </w:t>
      </w:r>
      <m:oMath>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1</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2</m:t>
            </m:r>
          </m:sub>
        </m:sSub>
        <m:r>
          <w:rPr>
            <w:rFonts w:ascii="Cambria Math" w:hAnsi="Cambria Math" w:cs="Arial"/>
            <w:sz w:val="20"/>
          </w:rPr>
          <m:t xml:space="preserve">, …, </m:t>
        </m:r>
        <m:sSub>
          <m:sSubPr>
            <m:ctrlPr>
              <w:rPr>
                <w:rFonts w:ascii="Cambria Math" w:hAnsi="Cambria Math" w:cs="Arial"/>
                <w:i/>
                <w:sz w:val="20"/>
              </w:rPr>
            </m:ctrlPr>
          </m:sSubPr>
          <m:e>
            <m:r>
              <w:rPr>
                <w:rFonts w:ascii="Cambria Math" w:hAnsi="Cambria Math" w:cs="Arial"/>
                <w:sz w:val="20"/>
              </w:rPr>
              <m:t>y</m:t>
            </m:r>
          </m:e>
          <m:sub>
            <m:r>
              <w:rPr>
                <w:rFonts w:ascii="Cambria Math" w:hAnsi="Cambria Math" w:cs="Arial"/>
                <w:sz w:val="20"/>
              </w:rPr>
              <m:t>n</m:t>
            </m:r>
          </m:sub>
        </m:sSub>
        <m:r>
          <w:rPr>
            <w:rFonts w:ascii="Cambria Math" w:hAnsi="Cambria Math" w:cs="Arial"/>
            <w:sz w:val="20"/>
          </w:rPr>
          <m:t xml:space="preserve"> </m:t>
        </m:r>
      </m:oMath>
      <w:r w:rsidRPr="004550D1">
        <w:rPr>
          <w:rFonts w:ascii="Arial" w:hAnsi="Arial" w:cs="Arial"/>
          <w:sz w:val="20"/>
        </w:rPr>
        <w:t>are the o</w:t>
      </w:r>
      <w:r w:rsidR="004550D1" w:rsidRPr="004550D1">
        <w:rPr>
          <w:rFonts w:ascii="Arial" w:hAnsi="Arial" w:cs="Arial"/>
          <w:sz w:val="20"/>
        </w:rPr>
        <w:t xml:space="preserve">utput values associated of </w:t>
      </w:r>
      <m:oMath>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m:t>
            </m:r>
          </m:sub>
        </m:sSub>
        <m:r>
          <w:rPr>
            <w:rFonts w:ascii="Cambria Math" w:hAnsi="Cambria Math" w:cs="Arial"/>
            <w:sz w:val="20"/>
          </w:rPr>
          <m:t>)</m:t>
        </m:r>
      </m:oMath>
      <w:r w:rsidRPr="004550D1">
        <w:rPr>
          <w:rFonts w:ascii="Arial" w:hAnsi="Arial" w:cs="Arial"/>
          <w:sz w:val="20"/>
        </w:rPr>
        <w:t>’s. The mathematical equation for the non-linear (SVR</w:t>
      </w:r>
      <w:r w:rsidR="004550D1" w:rsidRPr="004550D1">
        <w:rPr>
          <w:rFonts w:ascii="Arial" w:hAnsi="Arial" w:cs="Arial"/>
          <w:sz w:val="20"/>
        </w:rPr>
        <w:t xml:space="preserve">) function is expressed as: </w:t>
      </w:r>
    </w:p>
    <w:p w14:paraId="12D9AFC9" w14:textId="77777777" w:rsidR="004550D1" w:rsidRPr="004550D1" w:rsidRDefault="004550D1" w:rsidP="0097763B">
      <w:pPr>
        <w:jc w:val="both"/>
        <w:rPr>
          <w:rFonts w:ascii="Arial" w:hAnsi="Arial" w:cs="Arial"/>
          <w:sz w:val="20"/>
        </w:rPr>
      </w:pPr>
      <m:oMathPara>
        <m:oMath>
          <m:r>
            <w:rPr>
              <w:rFonts w:ascii="Cambria Math" w:hAnsi="Cambria Math" w:cs="Arial"/>
              <w:sz w:val="20"/>
            </w:rPr>
            <m:t>f</m:t>
          </m:r>
          <m:d>
            <m:dPr>
              <m:ctrlPr>
                <w:rPr>
                  <w:rFonts w:ascii="Cambria Math" w:hAnsi="Cambria Math" w:cs="Arial"/>
                  <w:i/>
                  <w:sz w:val="20"/>
                </w:rPr>
              </m:ctrlPr>
            </m:dPr>
            <m:e>
              <m:r>
                <w:rPr>
                  <w:rFonts w:ascii="Cambria Math" w:hAnsi="Cambria Math" w:cs="Arial"/>
                  <w:sz w:val="20"/>
                </w:rPr>
                <m:t>x</m:t>
              </m:r>
            </m:e>
          </m:d>
          <m:r>
            <w:rPr>
              <w:rFonts w:ascii="Cambria Math" w:hAnsi="Cambria Math" w:cs="Arial"/>
              <w:sz w:val="20"/>
            </w:rPr>
            <m:t>=&lt;ω,φ</m:t>
          </m:r>
          <m:d>
            <m:dPr>
              <m:ctrlPr>
                <w:rPr>
                  <w:rFonts w:ascii="Cambria Math" w:hAnsi="Cambria Math" w:cs="Arial"/>
                  <w:i/>
                  <w:sz w:val="20"/>
                </w:rPr>
              </m:ctrlPr>
            </m:dPr>
            <m:e>
              <m:r>
                <w:rPr>
                  <w:rFonts w:ascii="Cambria Math" w:hAnsi="Cambria Math" w:cs="Arial"/>
                  <w:sz w:val="20"/>
                </w:rPr>
                <m:t>x</m:t>
              </m:r>
            </m:e>
          </m:d>
          <m:r>
            <w:rPr>
              <w:rFonts w:ascii="Cambria Math" w:hAnsi="Cambria Math" w:cs="Arial"/>
              <w:sz w:val="20"/>
            </w:rPr>
            <m:t xml:space="preserve">&gt;+b </m:t>
          </m:r>
        </m:oMath>
      </m:oMathPara>
    </w:p>
    <w:p w14:paraId="443970F6" w14:textId="77777777" w:rsidR="00CB6878" w:rsidRPr="00CB6878" w:rsidRDefault="0097763B" w:rsidP="00CB6878">
      <w:pPr>
        <w:jc w:val="both"/>
        <w:rPr>
          <w:rFonts w:ascii="Arial" w:hAnsi="Arial" w:cs="Arial"/>
          <w:sz w:val="20"/>
        </w:rPr>
      </w:pPr>
      <w:r w:rsidRPr="004550D1">
        <w:rPr>
          <w:rFonts w:ascii="Arial" w:hAnsi="Arial" w:cs="Arial"/>
          <w:sz w:val="20"/>
        </w:rPr>
        <w:t xml:space="preserve">where: </w:t>
      </w:r>
      <m:oMath>
        <m:r>
          <w:rPr>
            <w:rFonts w:ascii="Cambria Math" w:hAnsi="Cambria Math" w:cs="Arial"/>
            <w:sz w:val="20"/>
          </w:rPr>
          <m:t>φ (x)</m:t>
        </m:r>
      </m:oMath>
      <w:r w:rsidRPr="004550D1">
        <w:rPr>
          <w:rFonts w:ascii="Arial" w:hAnsi="Arial" w:cs="Arial"/>
          <w:sz w:val="20"/>
        </w:rPr>
        <w:t xml:space="preserve"> is the feature which is the non-linear mapping of inputs </w:t>
      </w:r>
      <m:oMath>
        <m:r>
          <w:rPr>
            <w:rFonts w:ascii="Cambria Math" w:hAnsi="Cambria Math" w:cs="Arial"/>
            <w:sz w:val="20"/>
          </w:rPr>
          <m:t>(x),</m:t>
        </m:r>
      </m:oMath>
      <w:r w:rsidRPr="004550D1">
        <w:rPr>
          <w:rFonts w:ascii="Arial" w:hAnsi="Arial" w:cs="Arial"/>
          <w:sz w:val="20"/>
        </w:rPr>
        <w:t xml:space="preserve"> </w:t>
      </w:r>
      <m:oMath>
        <m:r>
          <w:rPr>
            <w:rFonts w:ascii="Cambria Math" w:hAnsi="Cambria Math" w:cs="Arial"/>
            <w:sz w:val="20"/>
          </w:rPr>
          <m:t>f (x)</m:t>
        </m:r>
      </m:oMath>
      <w:r w:rsidRPr="004550D1">
        <w:rPr>
          <w:rFonts w:ascii="Arial" w:hAnsi="Arial" w:cs="Arial"/>
          <w:sz w:val="20"/>
        </w:rPr>
        <w:t xml:space="preserve"> is the (SVR) function,</w:t>
      </w:r>
      <m:oMath>
        <m:r>
          <w:rPr>
            <w:rFonts w:ascii="Cambria Math" w:hAnsi="Cambria Math" w:cs="Arial"/>
            <w:sz w:val="20"/>
          </w:rPr>
          <m:t xml:space="preserve"> ω</m:t>
        </m:r>
      </m:oMath>
      <w:r w:rsidRPr="004550D1">
        <w:rPr>
          <w:rFonts w:ascii="Arial" w:hAnsi="Arial" w:cs="Arial"/>
          <w:sz w:val="20"/>
        </w:rPr>
        <w:t xml:space="preserve"> is the parameters or weights, </w:t>
      </w:r>
      <m:oMath>
        <m:r>
          <w:rPr>
            <w:rFonts w:ascii="Cambria Math" w:hAnsi="Cambria Math" w:cs="Arial"/>
            <w:sz w:val="20"/>
          </w:rPr>
          <m:t>b</m:t>
        </m:r>
      </m:oMath>
      <w:r w:rsidRPr="004550D1">
        <w:rPr>
          <w:rFonts w:ascii="Arial" w:hAnsi="Arial" w:cs="Arial"/>
          <w:sz w:val="20"/>
        </w:rPr>
        <w:t xml:space="preserve"> is the intercept term and called the bias which is a numerical value and </w:t>
      </w:r>
      <m:oMath>
        <m:r>
          <w:rPr>
            <w:rFonts w:ascii="Cambria Math" w:hAnsi="Cambria Math" w:cs="Arial"/>
            <w:sz w:val="20"/>
          </w:rPr>
          <m:t>&lt; ω, φ(x) &gt;</m:t>
        </m:r>
      </m:oMath>
      <w:r w:rsidRPr="004550D1">
        <w:rPr>
          <w:rFonts w:ascii="Arial" w:hAnsi="Arial" w:cs="Arial"/>
          <w:sz w:val="20"/>
        </w:rPr>
        <w:t xml:space="preserve"> is the inner product of the vectors </w:t>
      </w:r>
      <m:oMath>
        <m:r>
          <w:rPr>
            <w:rFonts w:ascii="Cambria Math" w:hAnsi="Cambria Math" w:cs="Arial"/>
            <w:sz w:val="20"/>
          </w:rPr>
          <m:t>(ω)</m:t>
        </m:r>
      </m:oMath>
      <w:r w:rsidRPr="004550D1">
        <w:rPr>
          <w:rFonts w:ascii="Arial" w:hAnsi="Arial" w:cs="Arial"/>
          <w:sz w:val="20"/>
        </w:rPr>
        <w:t xml:space="preserve"> and </w:t>
      </w:r>
      <m:oMath>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m:t>
            </m:r>
          </m:sub>
        </m:sSub>
        <m:r>
          <w:rPr>
            <w:rFonts w:ascii="Cambria Math" w:hAnsi="Cambria Math" w:cs="Arial"/>
            <w:sz w:val="20"/>
          </w:rPr>
          <m:t>).</m:t>
        </m:r>
      </m:oMath>
    </w:p>
    <w:p w14:paraId="6AAF5705" w14:textId="77777777" w:rsidR="00E37B44" w:rsidRPr="00650A72" w:rsidRDefault="00E37B44" w:rsidP="00E37B44">
      <w:pPr>
        <w:rPr>
          <w:rFonts w:ascii="Arial" w:hAnsi="Arial" w:cs="Arial"/>
          <w:b/>
          <w:sz w:val="20"/>
        </w:rPr>
      </w:pPr>
      <w:r w:rsidRPr="00650A72">
        <w:rPr>
          <w:rFonts w:ascii="Arial" w:hAnsi="Arial" w:cs="Arial"/>
          <w:b/>
          <w:sz w:val="20"/>
        </w:rPr>
        <w:t>Hybrid ARIMA – SVR Model</w:t>
      </w:r>
    </w:p>
    <w:p w14:paraId="63AA49DC" w14:textId="77777777" w:rsidR="00E37B44" w:rsidRPr="00650A72" w:rsidRDefault="00E37B44" w:rsidP="00650A72">
      <w:pPr>
        <w:jc w:val="both"/>
        <w:rPr>
          <w:rFonts w:ascii="Arial" w:hAnsi="Arial" w:cs="Arial"/>
          <w:sz w:val="20"/>
        </w:rPr>
      </w:pPr>
      <w:r w:rsidRPr="00650A72">
        <w:rPr>
          <w:rFonts w:ascii="Arial" w:hAnsi="Arial" w:cs="Arial"/>
          <w:sz w:val="20"/>
        </w:rPr>
        <w:lastRenderedPageBreak/>
        <w:t xml:space="preserve">When the data being considered has both linear and nonlinear components, neither ARIMA nor SVR are generally appropriate for all types of time series.  In these situations, models with both linear and nonlinear components are recommended.  Given a time series data, ARIMA model is directly modeled on the data. The residuals obtained from ARIMA model is considered as a nonlinear component, and this nonlinear data is modeled using SVR. </w:t>
      </w:r>
    </w:p>
    <w:p w14:paraId="16E05E1B" w14:textId="77777777" w:rsidR="00E37B44" w:rsidRPr="00650A72" w:rsidRDefault="00E37B44" w:rsidP="00E37B44">
      <w:pPr>
        <w:rPr>
          <w:rFonts w:ascii="Arial" w:hAnsi="Arial" w:cs="Arial"/>
          <w:sz w:val="20"/>
        </w:rPr>
      </w:pPr>
      <w:r w:rsidRPr="00650A72">
        <w:rPr>
          <w:rFonts w:ascii="Arial" w:hAnsi="Arial" w:cs="Arial"/>
          <w:b/>
          <w:sz w:val="20"/>
        </w:rPr>
        <w:t>Model Selection</w:t>
      </w:r>
    </w:p>
    <w:p w14:paraId="3886FBD7" w14:textId="77777777" w:rsidR="00E37B44" w:rsidRPr="00650A72" w:rsidRDefault="00E37B44" w:rsidP="00650A72">
      <w:pPr>
        <w:jc w:val="both"/>
        <w:rPr>
          <w:rFonts w:ascii="Arial" w:hAnsi="Arial" w:cs="Arial"/>
          <w:sz w:val="20"/>
        </w:rPr>
      </w:pPr>
      <w:r w:rsidRPr="00650A72">
        <w:rPr>
          <w:rFonts w:ascii="Arial" w:hAnsi="Arial" w:cs="Arial"/>
          <w:sz w:val="20"/>
        </w:rPr>
        <w:t>Among the different fitted forecasting models, the better fitted one can be selected based on the values of criteria such as Root Mean Squared Error (RMSE) and Mean Absolute Percentage Error (MAPE). The model with minimum RMSE and MAPE may be considered for selection</w:t>
      </w:r>
    </w:p>
    <w:p w14:paraId="2D782C44" w14:textId="77777777" w:rsidR="00E37B44" w:rsidRPr="00650A72" w:rsidRDefault="00E37B44" w:rsidP="00E37B44">
      <w:pPr>
        <w:rPr>
          <w:rFonts w:ascii="Arial" w:hAnsi="Arial" w:cs="Arial"/>
          <w:b/>
          <w:sz w:val="24"/>
        </w:rPr>
      </w:pPr>
      <w:r w:rsidRPr="00650A72">
        <w:rPr>
          <w:rFonts w:ascii="Arial" w:hAnsi="Arial" w:cs="Arial"/>
          <w:b/>
          <w:sz w:val="24"/>
        </w:rPr>
        <w:t>RESULTS AND DISCUSSION</w:t>
      </w:r>
    </w:p>
    <w:p w14:paraId="7646F947" w14:textId="77777777" w:rsidR="00E37B44" w:rsidRPr="00650A72" w:rsidRDefault="00E37B44" w:rsidP="00650A72">
      <w:pPr>
        <w:jc w:val="both"/>
        <w:rPr>
          <w:rFonts w:ascii="Arial" w:hAnsi="Arial" w:cs="Arial"/>
          <w:sz w:val="20"/>
        </w:rPr>
      </w:pPr>
      <w:r w:rsidRPr="00650A72">
        <w:rPr>
          <w:rFonts w:ascii="Arial" w:hAnsi="Arial" w:cs="Arial"/>
          <w:sz w:val="20"/>
        </w:rPr>
        <w:t xml:space="preserve">Average Gross Cropped Area of the state over the 58 years was found to be 28.45 lakh ha with a standard deviation of 1.72 lakh ha. The least Gross Cropped Area was reported to be 25.16 lakh ha in the year 2022-23 while the maximum was reported to be 30.67 lakh ha in the year 1995-96. The data on Gross Cropped area was found to be negatively skewed (-0.61) and platykurtic (-1.13) with a Coefficient of Variation of 6.05%. </w:t>
      </w:r>
    </w:p>
    <w:p w14:paraId="1BD60B10" w14:textId="77777777" w:rsidR="00E37B44" w:rsidRDefault="00E37B44" w:rsidP="00650A72">
      <w:pPr>
        <w:jc w:val="both"/>
        <w:rPr>
          <w:rFonts w:ascii="Arial" w:hAnsi="Arial" w:cs="Arial"/>
          <w:sz w:val="20"/>
        </w:rPr>
      </w:pPr>
      <w:r w:rsidRPr="00650A72">
        <w:rPr>
          <w:rFonts w:ascii="Arial" w:hAnsi="Arial" w:cs="Arial"/>
          <w:sz w:val="20"/>
        </w:rPr>
        <w:t>In case of Gross Cropped Area, average of first half (1965-1993) was estimated to be 29.08 lakh ha and that of second half (1994-2022) was estimated to be 27.82 lakh ha, which clearly showed that there is a decreasing trend over the years. Plot of the original data is given in Figure 1.</w:t>
      </w:r>
    </w:p>
    <w:p w14:paraId="7D73186F" w14:textId="77777777" w:rsidR="008031ED" w:rsidRDefault="008031ED" w:rsidP="00650A72">
      <w:pPr>
        <w:jc w:val="both"/>
        <w:rPr>
          <w:rFonts w:ascii="Arial" w:hAnsi="Arial" w:cs="Arial"/>
          <w:sz w:val="20"/>
        </w:rPr>
      </w:pPr>
      <w:r>
        <w:rPr>
          <w:rFonts w:ascii="Arial" w:hAnsi="Arial" w:cs="Arial"/>
          <w:noProof/>
          <w:sz w:val="20"/>
        </w:rPr>
        <w:drawing>
          <wp:inline distT="0" distB="0" distL="0" distR="0" wp14:anchorId="3373C115" wp14:editId="7AC30E9A">
            <wp:extent cx="6147881" cy="1755287"/>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1364" cy="1761992"/>
                    </a:xfrm>
                    <a:prstGeom prst="rect">
                      <a:avLst/>
                    </a:prstGeom>
                    <a:noFill/>
                  </pic:spPr>
                </pic:pic>
              </a:graphicData>
            </a:graphic>
          </wp:inline>
        </w:drawing>
      </w:r>
    </w:p>
    <w:p w14:paraId="437D604C" w14:textId="77777777" w:rsidR="008031ED" w:rsidRPr="00650A72" w:rsidRDefault="008031ED" w:rsidP="008031ED">
      <w:pPr>
        <w:jc w:val="center"/>
        <w:rPr>
          <w:rFonts w:ascii="Arial" w:hAnsi="Arial" w:cs="Arial"/>
          <w:sz w:val="20"/>
        </w:rPr>
      </w:pPr>
      <w:r w:rsidRPr="008031ED">
        <w:rPr>
          <w:rFonts w:ascii="Arial" w:hAnsi="Arial" w:cs="Arial"/>
          <w:sz w:val="20"/>
        </w:rPr>
        <w:t>Fig. 1 Plot of Original Gross Cropped Area</w:t>
      </w:r>
    </w:p>
    <w:p w14:paraId="3BE414C2" w14:textId="77777777" w:rsidR="00E37B44" w:rsidRDefault="00E37B44" w:rsidP="00650A72">
      <w:pPr>
        <w:jc w:val="both"/>
        <w:rPr>
          <w:rFonts w:ascii="Arial" w:hAnsi="Arial" w:cs="Arial"/>
          <w:sz w:val="20"/>
        </w:rPr>
      </w:pPr>
      <w:r w:rsidRPr="00650A72">
        <w:rPr>
          <w:rFonts w:ascii="Arial" w:hAnsi="Arial" w:cs="Arial"/>
          <w:sz w:val="20"/>
        </w:rPr>
        <w:t>Initially, the data were subjected to BDS test for checking non-linearity, if any. At the embedding dimensions of 2 and 3, four Epsilon values for close points were obtained. All the Standard Normal values were greater than 1.96 with p values less than 0.05 at all combinations of embedding dimensions and epsilon values. This clearly provided an evidence to reject the null hypothesis of linearity and it was found that Gross Cropped Area is non-linearly dependent. Results of BDS Test are given in Table 1.</w:t>
      </w:r>
    </w:p>
    <w:p w14:paraId="37FD2574" w14:textId="77777777" w:rsidR="008031ED" w:rsidRPr="008031ED" w:rsidRDefault="008031ED" w:rsidP="008031ED">
      <w:pPr>
        <w:jc w:val="center"/>
        <w:rPr>
          <w:rFonts w:ascii="Arial" w:hAnsi="Arial" w:cs="Arial"/>
          <w:sz w:val="20"/>
        </w:rPr>
      </w:pPr>
      <w:r w:rsidRPr="008031ED">
        <w:rPr>
          <w:rFonts w:ascii="Arial" w:hAnsi="Arial" w:cs="Arial"/>
          <w:sz w:val="20"/>
        </w:rPr>
        <w:t>Table 1. Results of BDS Test: Standard Normal Values</w:t>
      </w:r>
    </w:p>
    <w:tbl>
      <w:tblPr>
        <w:tblStyle w:val="TableGrid"/>
        <w:tblW w:w="0" w:type="auto"/>
        <w:jc w:val="center"/>
        <w:tblLook w:val="04A0" w:firstRow="1" w:lastRow="0" w:firstColumn="1" w:lastColumn="0" w:noHBand="0" w:noVBand="1"/>
      </w:tblPr>
      <w:tblGrid>
        <w:gridCol w:w="1328"/>
        <w:gridCol w:w="1051"/>
        <w:gridCol w:w="1051"/>
        <w:gridCol w:w="1051"/>
        <w:gridCol w:w="1051"/>
      </w:tblGrid>
      <w:tr w:rsidR="008031ED" w:rsidRPr="008031ED" w14:paraId="7C6807C7" w14:textId="77777777" w:rsidTr="00857B64">
        <w:trPr>
          <w:trHeight w:val="432"/>
          <w:jc w:val="center"/>
        </w:trPr>
        <w:tc>
          <w:tcPr>
            <w:tcW w:w="1328" w:type="dxa"/>
            <w:vMerge w:val="restart"/>
            <w:vAlign w:val="center"/>
          </w:tcPr>
          <w:p w14:paraId="059297DB" w14:textId="77777777" w:rsidR="008031ED" w:rsidRPr="004550D1" w:rsidRDefault="008031ED" w:rsidP="00CB6878">
            <w:pPr>
              <w:jc w:val="center"/>
              <w:rPr>
                <w:rFonts w:ascii="Arial" w:hAnsi="Arial" w:cs="Arial"/>
                <w:b/>
                <w:sz w:val="20"/>
              </w:rPr>
            </w:pPr>
            <w:r w:rsidRPr="004550D1">
              <w:rPr>
                <w:rFonts w:ascii="Arial" w:hAnsi="Arial" w:cs="Arial"/>
                <w:b/>
                <w:sz w:val="20"/>
              </w:rPr>
              <w:t>Embedding dimensions</w:t>
            </w:r>
          </w:p>
        </w:tc>
        <w:tc>
          <w:tcPr>
            <w:tcW w:w="4204" w:type="dxa"/>
            <w:gridSpan w:val="4"/>
            <w:vAlign w:val="center"/>
          </w:tcPr>
          <w:p w14:paraId="63D84F53" w14:textId="77777777" w:rsidR="008031ED" w:rsidRPr="004550D1" w:rsidRDefault="008031ED" w:rsidP="00CB6878">
            <w:pPr>
              <w:jc w:val="center"/>
              <w:rPr>
                <w:rFonts w:ascii="Arial" w:hAnsi="Arial" w:cs="Arial"/>
                <w:b/>
                <w:sz w:val="20"/>
              </w:rPr>
            </w:pPr>
            <w:r w:rsidRPr="004550D1">
              <w:rPr>
                <w:rFonts w:ascii="Arial" w:hAnsi="Arial" w:cs="Arial"/>
                <w:b/>
                <w:sz w:val="20"/>
              </w:rPr>
              <w:t>Epsilon values for close points</w:t>
            </w:r>
          </w:p>
        </w:tc>
      </w:tr>
      <w:tr w:rsidR="008031ED" w:rsidRPr="008031ED" w14:paraId="706CE207" w14:textId="77777777" w:rsidTr="00857B64">
        <w:trPr>
          <w:trHeight w:val="432"/>
          <w:jc w:val="center"/>
        </w:trPr>
        <w:tc>
          <w:tcPr>
            <w:tcW w:w="1328" w:type="dxa"/>
            <w:vMerge/>
            <w:vAlign w:val="center"/>
          </w:tcPr>
          <w:p w14:paraId="3DFF5B53" w14:textId="77777777" w:rsidR="008031ED" w:rsidRPr="008031ED" w:rsidRDefault="008031ED" w:rsidP="00CB6878">
            <w:pPr>
              <w:jc w:val="center"/>
              <w:rPr>
                <w:rFonts w:ascii="Arial" w:hAnsi="Arial" w:cs="Arial"/>
                <w:sz w:val="20"/>
              </w:rPr>
            </w:pPr>
          </w:p>
        </w:tc>
        <w:tc>
          <w:tcPr>
            <w:tcW w:w="1051" w:type="dxa"/>
            <w:vAlign w:val="center"/>
          </w:tcPr>
          <w:p w14:paraId="085F46B6" w14:textId="77777777" w:rsidR="008031ED" w:rsidRPr="008031ED" w:rsidRDefault="008031ED" w:rsidP="00CB6878">
            <w:pPr>
              <w:jc w:val="center"/>
              <w:rPr>
                <w:rFonts w:ascii="Arial" w:hAnsi="Arial" w:cs="Arial"/>
                <w:sz w:val="20"/>
              </w:rPr>
            </w:pPr>
            <w:r w:rsidRPr="008031ED">
              <w:rPr>
                <w:rFonts w:ascii="Arial" w:hAnsi="Arial" w:cs="Arial"/>
                <w:sz w:val="20"/>
              </w:rPr>
              <w:t>0.8603</w:t>
            </w:r>
          </w:p>
        </w:tc>
        <w:tc>
          <w:tcPr>
            <w:tcW w:w="1051" w:type="dxa"/>
            <w:vAlign w:val="center"/>
          </w:tcPr>
          <w:p w14:paraId="4A287980" w14:textId="77777777" w:rsidR="008031ED" w:rsidRPr="008031ED" w:rsidRDefault="008031ED" w:rsidP="00CB6878">
            <w:pPr>
              <w:jc w:val="center"/>
              <w:rPr>
                <w:rFonts w:ascii="Arial" w:hAnsi="Arial" w:cs="Arial"/>
                <w:sz w:val="20"/>
              </w:rPr>
            </w:pPr>
            <w:r w:rsidRPr="008031ED">
              <w:rPr>
                <w:rFonts w:ascii="Arial" w:hAnsi="Arial" w:cs="Arial"/>
                <w:sz w:val="20"/>
              </w:rPr>
              <w:t>1.7207</w:t>
            </w:r>
          </w:p>
        </w:tc>
        <w:tc>
          <w:tcPr>
            <w:tcW w:w="1051" w:type="dxa"/>
            <w:vAlign w:val="center"/>
          </w:tcPr>
          <w:p w14:paraId="0DCA04FC" w14:textId="77777777" w:rsidR="008031ED" w:rsidRPr="008031ED" w:rsidRDefault="008031ED" w:rsidP="00CB6878">
            <w:pPr>
              <w:jc w:val="center"/>
              <w:rPr>
                <w:rFonts w:ascii="Arial" w:hAnsi="Arial" w:cs="Arial"/>
                <w:sz w:val="20"/>
              </w:rPr>
            </w:pPr>
            <w:r w:rsidRPr="008031ED">
              <w:rPr>
                <w:rFonts w:ascii="Arial" w:hAnsi="Arial" w:cs="Arial"/>
                <w:sz w:val="20"/>
              </w:rPr>
              <w:t>2.581</w:t>
            </w:r>
          </w:p>
        </w:tc>
        <w:tc>
          <w:tcPr>
            <w:tcW w:w="1051" w:type="dxa"/>
            <w:vAlign w:val="center"/>
          </w:tcPr>
          <w:p w14:paraId="1A2DF717" w14:textId="77777777" w:rsidR="008031ED" w:rsidRPr="008031ED" w:rsidRDefault="008031ED" w:rsidP="00CB6878">
            <w:pPr>
              <w:jc w:val="center"/>
              <w:rPr>
                <w:rFonts w:ascii="Arial" w:hAnsi="Arial" w:cs="Arial"/>
                <w:sz w:val="20"/>
              </w:rPr>
            </w:pPr>
            <w:r w:rsidRPr="008031ED">
              <w:rPr>
                <w:rFonts w:ascii="Arial" w:hAnsi="Arial" w:cs="Arial"/>
                <w:sz w:val="20"/>
              </w:rPr>
              <w:t>3.4414</w:t>
            </w:r>
          </w:p>
        </w:tc>
      </w:tr>
      <w:tr w:rsidR="008031ED" w:rsidRPr="008031ED" w14:paraId="6658BE41" w14:textId="77777777" w:rsidTr="00857B64">
        <w:trPr>
          <w:trHeight w:val="432"/>
          <w:jc w:val="center"/>
        </w:trPr>
        <w:tc>
          <w:tcPr>
            <w:tcW w:w="1328" w:type="dxa"/>
            <w:vAlign w:val="center"/>
          </w:tcPr>
          <w:p w14:paraId="1C281AFC" w14:textId="77777777" w:rsidR="008031ED" w:rsidRPr="008031ED" w:rsidRDefault="008031ED" w:rsidP="00CB6878">
            <w:pPr>
              <w:jc w:val="center"/>
              <w:rPr>
                <w:rFonts w:ascii="Arial" w:hAnsi="Arial" w:cs="Arial"/>
                <w:sz w:val="20"/>
              </w:rPr>
            </w:pPr>
            <w:r w:rsidRPr="008031ED">
              <w:rPr>
                <w:rFonts w:ascii="Arial" w:hAnsi="Arial" w:cs="Arial"/>
                <w:sz w:val="20"/>
              </w:rPr>
              <w:t>2</w:t>
            </w:r>
          </w:p>
        </w:tc>
        <w:tc>
          <w:tcPr>
            <w:tcW w:w="1051" w:type="dxa"/>
            <w:vAlign w:val="center"/>
          </w:tcPr>
          <w:p w14:paraId="499FF383" w14:textId="77777777" w:rsidR="008031ED" w:rsidRPr="008031ED" w:rsidRDefault="008031ED" w:rsidP="00CB6878">
            <w:pPr>
              <w:jc w:val="center"/>
              <w:rPr>
                <w:rFonts w:ascii="Arial" w:hAnsi="Arial" w:cs="Arial"/>
                <w:sz w:val="20"/>
              </w:rPr>
            </w:pPr>
            <w:r w:rsidRPr="008031ED">
              <w:rPr>
                <w:rFonts w:ascii="Arial" w:hAnsi="Arial" w:cs="Arial"/>
                <w:sz w:val="20"/>
              </w:rPr>
              <w:t>35.9724</w:t>
            </w:r>
          </w:p>
        </w:tc>
        <w:tc>
          <w:tcPr>
            <w:tcW w:w="1051" w:type="dxa"/>
            <w:vAlign w:val="center"/>
          </w:tcPr>
          <w:p w14:paraId="184DCAC0" w14:textId="77777777" w:rsidR="008031ED" w:rsidRPr="008031ED" w:rsidRDefault="008031ED" w:rsidP="00CB6878">
            <w:pPr>
              <w:jc w:val="center"/>
              <w:rPr>
                <w:rFonts w:ascii="Arial" w:hAnsi="Arial" w:cs="Arial"/>
                <w:sz w:val="20"/>
              </w:rPr>
            </w:pPr>
            <w:r w:rsidRPr="008031ED">
              <w:rPr>
                <w:rFonts w:ascii="Arial" w:hAnsi="Arial" w:cs="Arial"/>
                <w:sz w:val="20"/>
              </w:rPr>
              <w:t>26.9220</w:t>
            </w:r>
          </w:p>
        </w:tc>
        <w:tc>
          <w:tcPr>
            <w:tcW w:w="1051" w:type="dxa"/>
            <w:vAlign w:val="center"/>
          </w:tcPr>
          <w:p w14:paraId="7B67D946" w14:textId="77777777" w:rsidR="008031ED" w:rsidRPr="008031ED" w:rsidRDefault="008031ED" w:rsidP="00CB6878">
            <w:pPr>
              <w:jc w:val="center"/>
              <w:rPr>
                <w:rFonts w:ascii="Arial" w:hAnsi="Arial" w:cs="Arial"/>
                <w:sz w:val="20"/>
              </w:rPr>
            </w:pPr>
            <w:r w:rsidRPr="008031ED">
              <w:rPr>
                <w:rFonts w:ascii="Arial" w:hAnsi="Arial" w:cs="Arial"/>
                <w:sz w:val="20"/>
              </w:rPr>
              <w:t>23.3934</w:t>
            </w:r>
          </w:p>
        </w:tc>
        <w:tc>
          <w:tcPr>
            <w:tcW w:w="1051" w:type="dxa"/>
            <w:vAlign w:val="center"/>
          </w:tcPr>
          <w:p w14:paraId="5A07551A" w14:textId="77777777" w:rsidR="008031ED" w:rsidRPr="008031ED" w:rsidRDefault="008031ED" w:rsidP="00CB6878">
            <w:pPr>
              <w:jc w:val="center"/>
              <w:rPr>
                <w:rFonts w:ascii="Arial" w:hAnsi="Arial" w:cs="Arial"/>
                <w:sz w:val="20"/>
              </w:rPr>
            </w:pPr>
            <w:r w:rsidRPr="008031ED">
              <w:rPr>
                <w:rFonts w:ascii="Arial" w:hAnsi="Arial" w:cs="Arial"/>
                <w:sz w:val="20"/>
              </w:rPr>
              <w:t>20.0813</w:t>
            </w:r>
          </w:p>
        </w:tc>
      </w:tr>
      <w:tr w:rsidR="008031ED" w:rsidRPr="008031ED" w14:paraId="60A1F740" w14:textId="77777777" w:rsidTr="00857B64">
        <w:trPr>
          <w:trHeight w:val="432"/>
          <w:jc w:val="center"/>
        </w:trPr>
        <w:tc>
          <w:tcPr>
            <w:tcW w:w="1328" w:type="dxa"/>
            <w:vAlign w:val="center"/>
          </w:tcPr>
          <w:p w14:paraId="7587AE75" w14:textId="77777777" w:rsidR="008031ED" w:rsidRPr="008031ED" w:rsidRDefault="008031ED" w:rsidP="00CB6878">
            <w:pPr>
              <w:jc w:val="center"/>
              <w:rPr>
                <w:rFonts w:ascii="Arial" w:hAnsi="Arial" w:cs="Arial"/>
                <w:sz w:val="20"/>
              </w:rPr>
            </w:pPr>
            <w:r w:rsidRPr="008031ED">
              <w:rPr>
                <w:rFonts w:ascii="Arial" w:hAnsi="Arial" w:cs="Arial"/>
                <w:sz w:val="20"/>
              </w:rPr>
              <w:t>3</w:t>
            </w:r>
          </w:p>
        </w:tc>
        <w:tc>
          <w:tcPr>
            <w:tcW w:w="1051" w:type="dxa"/>
            <w:vAlign w:val="center"/>
          </w:tcPr>
          <w:p w14:paraId="713CBF74" w14:textId="77777777" w:rsidR="008031ED" w:rsidRPr="008031ED" w:rsidRDefault="008031ED" w:rsidP="00CB6878">
            <w:pPr>
              <w:jc w:val="center"/>
              <w:rPr>
                <w:rFonts w:ascii="Arial" w:hAnsi="Arial" w:cs="Arial"/>
                <w:sz w:val="20"/>
              </w:rPr>
            </w:pPr>
            <w:r w:rsidRPr="008031ED">
              <w:rPr>
                <w:rFonts w:ascii="Arial" w:hAnsi="Arial" w:cs="Arial"/>
                <w:sz w:val="20"/>
              </w:rPr>
              <w:t>49.7120</w:t>
            </w:r>
          </w:p>
        </w:tc>
        <w:tc>
          <w:tcPr>
            <w:tcW w:w="1051" w:type="dxa"/>
            <w:vAlign w:val="center"/>
          </w:tcPr>
          <w:p w14:paraId="4289B635" w14:textId="77777777" w:rsidR="008031ED" w:rsidRPr="008031ED" w:rsidRDefault="008031ED" w:rsidP="00CB6878">
            <w:pPr>
              <w:jc w:val="center"/>
              <w:rPr>
                <w:rFonts w:ascii="Arial" w:hAnsi="Arial" w:cs="Arial"/>
                <w:sz w:val="20"/>
              </w:rPr>
            </w:pPr>
            <w:r w:rsidRPr="008031ED">
              <w:rPr>
                <w:rFonts w:ascii="Arial" w:hAnsi="Arial" w:cs="Arial"/>
                <w:sz w:val="20"/>
              </w:rPr>
              <w:t>31.0499</w:t>
            </w:r>
          </w:p>
        </w:tc>
        <w:tc>
          <w:tcPr>
            <w:tcW w:w="1051" w:type="dxa"/>
            <w:vAlign w:val="center"/>
          </w:tcPr>
          <w:p w14:paraId="381FECD7" w14:textId="77777777" w:rsidR="008031ED" w:rsidRPr="008031ED" w:rsidRDefault="008031ED" w:rsidP="00CB6878">
            <w:pPr>
              <w:jc w:val="center"/>
              <w:rPr>
                <w:rFonts w:ascii="Arial" w:hAnsi="Arial" w:cs="Arial"/>
                <w:sz w:val="20"/>
              </w:rPr>
            </w:pPr>
            <w:r w:rsidRPr="008031ED">
              <w:rPr>
                <w:rFonts w:ascii="Arial" w:hAnsi="Arial" w:cs="Arial"/>
                <w:sz w:val="20"/>
              </w:rPr>
              <w:t>25.2117</w:t>
            </w:r>
          </w:p>
        </w:tc>
        <w:tc>
          <w:tcPr>
            <w:tcW w:w="1051" w:type="dxa"/>
            <w:vAlign w:val="center"/>
          </w:tcPr>
          <w:p w14:paraId="3BCDC8ED" w14:textId="77777777" w:rsidR="008031ED" w:rsidRPr="008031ED" w:rsidRDefault="008031ED" w:rsidP="00CB6878">
            <w:pPr>
              <w:jc w:val="center"/>
              <w:rPr>
                <w:rFonts w:ascii="Arial" w:hAnsi="Arial" w:cs="Arial"/>
                <w:sz w:val="20"/>
              </w:rPr>
            </w:pPr>
            <w:r w:rsidRPr="008031ED">
              <w:rPr>
                <w:rFonts w:ascii="Arial" w:hAnsi="Arial" w:cs="Arial"/>
                <w:sz w:val="20"/>
              </w:rPr>
              <w:t>19.6789</w:t>
            </w:r>
          </w:p>
        </w:tc>
      </w:tr>
    </w:tbl>
    <w:p w14:paraId="40973335" w14:textId="77777777" w:rsidR="00E37B44" w:rsidRPr="00650A72" w:rsidRDefault="00E37B44" w:rsidP="00650A72">
      <w:pPr>
        <w:jc w:val="both"/>
        <w:rPr>
          <w:rFonts w:ascii="Arial" w:hAnsi="Arial" w:cs="Arial"/>
          <w:color w:val="C00000"/>
          <w:sz w:val="20"/>
        </w:rPr>
      </w:pPr>
      <w:r w:rsidRPr="00650A72">
        <w:rPr>
          <w:rFonts w:ascii="Arial" w:hAnsi="Arial" w:cs="Arial"/>
          <w:sz w:val="20"/>
        </w:rPr>
        <w:lastRenderedPageBreak/>
        <w:t xml:space="preserve">ARIMA and SVR models were fitted to the data using R Software. The models were fitted to the training data set consisting of 48 values of each time series from 1965-67 to 2012-13 and predictions were obtained for next 10 years. These estimates were used to calculate MAPE and RMSE. Subsequently, both models were fitted to original data independently and forecasts were obtained. </w:t>
      </w:r>
      <w:r w:rsidRPr="007339EB">
        <w:rPr>
          <w:rFonts w:ascii="Arial" w:hAnsi="Arial" w:cs="Arial"/>
          <w:sz w:val="20"/>
        </w:rPr>
        <w:t xml:space="preserve">ARIMA (0,2,2) was found to be the better fitted model among all other ARIMA Models tried. In case of </w:t>
      </w:r>
      <w:r w:rsidR="007339EB" w:rsidRPr="007339EB">
        <w:rPr>
          <w:rFonts w:ascii="Arial" w:hAnsi="Arial" w:cs="Arial"/>
          <w:sz w:val="20"/>
        </w:rPr>
        <w:t xml:space="preserve">SVR </w:t>
      </w:r>
      <w:r w:rsidRPr="007339EB">
        <w:rPr>
          <w:rFonts w:ascii="Arial" w:hAnsi="Arial" w:cs="Arial"/>
          <w:sz w:val="20"/>
        </w:rPr>
        <w:t xml:space="preserve">Models, there </w:t>
      </w:r>
      <w:r w:rsidR="007339EB" w:rsidRPr="007339EB">
        <w:rPr>
          <w:rFonts w:ascii="Arial" w:hAnsi="Arial" w:cs="Arial"/>
          <w:sz w:val="20"/>
        </w:rPr>
        <w:t xml:space="preserve">were 39 support vectors. </w:t>
      </w:r>
      <w:r w:rsidRPr="007339EB">
        <w:rPr>
          <w:rFonts w:ascii="Arial" w:hAnsi="Arial" w:cs="Arial"/>
          <w:sz w:val="20"/>
        </w:rPr>
        <w:t xml:space="preserve"> Forecasted values using ARIMA Model show that Gross Cropped Area is going to decrease in future while that from </w:t>
      </w:r>
      <w:r w:rsidR="007339EB" w:rsidRPr="007339EB">
        <w:rPr>
          <w:rFonts w:ascii="Arial" w:hAnsi="Arial" w:cs="Arial"/>
          <w:sz w:val="20"/>
        </w:rPr>
        <w:t>SVR</w:t>
      </w:r>
      <w:r w:rsidRPr="007339EB">
        <w:rPr>
          <w:rFonts w:ascii="Arial" w:hAnsi="Arial" w:cs="Arial"/>
          <w:sz w:val="20"/>
        </w:rPr>
        <w:t xml:space="preserve"> Model showed </w:t>
      </w:r>
      <w:r w:rsidR="007339EB" w:rsidRPr="007339EB">
        <w:rPr>
          <w:rFonts w:ascii="Arial" w:hAnsi="Arial" w:cs="Arial"/>
          <w:sz w:val="20"/>
        </w:rPr>
        <w:t>a constancy</w:t>
      </w:r>
      <w:r w:rsidRPr="007339EB">
        <w:rPr>
          <w:rFonts w:ascii="Arial" w:hAnsi="Arial" w:cs="Arial"/>
          <w:sz w:val="20"/>
        </w:rPr>
        <w:t xml:space="preserve"> in gross cropped area. </w:t>
      </w:r>
    </w:p>
    <w:p w14:paraId="039453BF" w14:textId="77777777" w:rsidR="007339EB" w:rsidRDefault="00E37B44" w:rsidP="007339EB">
      <w:pPr>
        <w:jc w:val="both"/>
        <w:rPr>
          <w:rFonts w:ascii="Arial" w:hAnsi="Arial" w:cs="Arial"/>
          <w:sz w:val="20"/>
        </w:rPr>
      </w:pPr>
      <w:r w:rsidRPr="00650A72">
        <w:rPr>
          <w:rFonts w:ascii="Arial" w:hAnsi="Arial" w:cs="Arial"/>
          <w:sz w:val="20"/>
        </w:rPr>
        <w:t xml:space="preserve">Contradictory results using independent models suggested the approach of hybrid modeling using ARIMA – SVR Models. In order to combine the benefits of ARIMA and SVR to get better fit, an ARIMA - SVR Hybrid model was applied to each time series. ARIMA model accounted for the linear effects and SVR model accounted for the Non-linear effects. ARIMA was fitted for the time series and on the residuals of which SVR model was applied. The forecasts were obtained finally combining the advantages of both models. Forecasted values from hybrid model showed gradual decrease in gross cropped area. </w:t>
      </w:r>
    </w:p>
    <w:p w14:paraId="6C5D718B" w14:textId="77777777" w:rsidR="00E37B44" w:rsidRDefault="00E37B44" w:rsidP="00650A72">
      <w:pPr>
        <w:jc w:val="both"/>
        <w:rPr>
          <w:rFonts w:ascii="Arial" w:hAnsi="Arial" w:cs="Arial"/>
          <w:sz w:val="20"/>
          <w:szCs w:val="20"/>
        </w:rPr>
      </w:pPr>
      <w:r w:rsidRPr="007339EB">
        <w:rPr>
          <w:rFonts w:ascii="Arial" w:hAnsi="Arial" w:cs="Arial"/>
          <w:sz w:val="20"/>
          <w:szCs w:val="20"/>
        </w:rPr>
        <w:t>The estimates of three models along with their MAPE and RMSE Values are given in Table 2. Forecasts obtained from these three models are given in Table 3 and their plots are given in Figure 2(a) to 2(c)</w:t>
      </w:r>
      <w:r w:rsidR="007339EB" w:rsidRPr="007339EB">
        <w:rPr>
          <w:rFonts w:ascii="Arial" w:hAnsi="Arial" w:cs="Arial"/>
          <w:sz w:val="20"/>
          <w:szCs w:val="20"/>
        </w:rPr>
        <w:t>. In case of Gross Cropped Area, ARIMA-SVR hybrid model was found to have lesser MAPE while SVR model was found to have lesser RMSE. As we focus on the forecasted values, ARIMA-SVR hybrid model was found to give better forecasts.</w:t>
      </w:r>
    </w:p>
    <w:p w14:paraId="57D9D350" w14:textId="77777777" w:rsidR="003636BC" w:rsidRPr="003636BC" w:rsidRDefault="003636BC" w:rsidP="003636BC">
      <w:pPr>
        <w:jc w:val="center"/>
        <w:rPr>
          <w:rFonts w:ascii="Arial" w:hAnsi="Arial" w:cs="Arial"/>
          <w:sz w:val="20"/>
          <w:szCs w:val="20"/>
        </w:rPr>
      </w:pPr>
      <w:r w:rsidRPr="003636BC">
        <w:rPr>
          <w:rFonts w:ascii="Arial" w:hAnsi="Arial" w:cs="Arial"/>
          <w:sz w:val="20"/>
          <w:szCs w:val="20"/>
        </w:rPr>
        <w:t>Table 2. Estimates of ARIMA, SVR and ARIMA-SVR Models</w:t>
      </w:r>
    </w:p>
    <w:tbl>
      <w:tblPr>
        <w:tblStyle w:val="TableGrid"/>
        <w:tblW w:w="0" w:type="auto"/>
        <w:jc w:val="center"/>
        <w:tblLook w:val="04A0" w:firstRow="1" w:lastRow="0" w:firstColumn="1" w:lastColumn="0" w:noHBand="0" w:noVBand="1"/>
      </w:tblPr>
      <w:tblGrid>
        <w:gridCol w:w="928"/>
        <w:gridCol w:w="1595"/>
        <w:gridCol w:w="2675"/>
        <w:gridCol w:w="939"/>
        <w:gridCol w:w="939"/>
      </w:tblGrid>
      <w:tr w:rsidR="003636BC" w:rsidRPr="003636BC" w14:paraId="2650A7FB" w14:textId="77777777" w:rsidTr="00857B64">
        <w:trPr>
          <w:trHeight w:val="144"/>
          <w:jc w:val="center"/>
        </w:trPr>
        <w:tc>
          <w:tcPr>
            <w:tcW w:w="928" w:type="dxa"/>
            <w:vAlign w:val="center"/>
          </w:tcPr>
          <w:p w14:paraId="5A8C7A9A" w14:textId="77777777" w:rsidR="003636BC" w:rsidRPr="003636BC" w:rsidRDefault="003636BC" w:rsidP="004550D1">
            <w:pPr>
              <w:jc w:val="center"/>
              <w:rPr>
                <w:rFonts w:ascii="Arial" w:hAnsi="Arial" w:cs="Arial"/>
                <w:b/>
                <w:sz w:val="20"/>
                <w:szCs w:val="20"/>
              </w:rPr>
            </w:pPr>
            <w:r w:rsidRPr="003636BC">
              <w:rPr>
                <w:rFonts w:ascii="Arial" w:hAnsi="Arial" w:cs="Arial"/>
                <w:b/>
                <w:sz w:val="20"/>
                <w:szCs w:val="20"/>
              </w:rPr>
              <w:t>Sl. No.</w:t>
            </w:r>
          </w:p>
        </w:tc>
        <w:tc>
          <w:tcPr>
            <w:tcW w:w="1595" w:type="dxa"/>
            <w:vAlign w:val="center"/>
          </w:tcPr>
          <w:p w14:paraId="5A485E47" w14:textId="77777777" w:rsidR="003636BC" w:rsidRPr="003636BC" w:rsidRDefault="003636BC" w:rsidP="004550D1">
            <w:pPr>
              <w:jc w:val="center"/>
              <w:rPr>
                <w:rFonts w:ascii="Arial" w:hAnsi="Arial" w:cs="Arial"/>
                <w:b/>
                <w:sz w:val="20"/>
                <w:szCs w:val="20"/>
              </w:rPr>
            </w:pPr>
            <w:r w:rsidRPr="003636BC">
              <w:rPr>
                <w:rFonts w:ascii="Arial" w:hAnsi="Arial" w:cs="Arial"/>
                <w:b/>
                <w:sz w:val="20"/>
                <w:szCs w:val="20"/>
              </w:rPr>
              <w:t>Model</w:t>
            </w:r>
          </w:p>
        </w:tc>
        <w:tc>
          <w:tcPr>
            <w:tcW w:w="2675" w:type="dxa"/>
            <w:vAlign w:val="center"/>
          </w:tcPr>
          <w:p w14:paraId="2555BF0F" w14:textId="77777777" w:rsidR="003636BC" w:rsidRPr="003636BC" w:rsidRDefault="003636BC" w:rsidP="004550D1">
            <w:pPr>
              <w:jc w:val="center"/>
              <w:rPr>
                <w:rFonts w:ascii="Arial" w:hAnsi="Arial" w:cs="Arial"/>
                <w:b/>
                <w:sz w:val="20"/>
                <w:szCs w:val="20"/>
              </w:rPr>
            </w:pPr>
            <w:r w:rsidRPr="003636BC">
              <w:rPr>
                <w:rFonts w:ascii="Arial" w:hAnsi="Arial" w:cs="Arial"/>
                <w:b/>
                <w:sz w:val="20"/>
                <w:szCs w:val="20"/>
              </w:rPr>
              <w:t>Estimates</w:t>
            </w:r>
          </w:p>
        </w:tc>
        <w:tc>
          <w:tcPr>
            <w:tcW w:w="939" w:type="dxa"/>
            <w:vAlign w:val="center"/>
          </w:tcPr>
          <w:p w14:paraId="658F6030" w14:textId="77777777" w:rsidR="003636BC" w:rsidRPr="003636BC" w:rsidRDefault="003636BC" w:rsidP="004550D1">
            <w:pPr>
              <w:jc w:val="center"/>
              <w:rPr>
                <w:rFonts w:ascii="Arial" w:hAnsi="Arial" w:cs="Arial"/>
                <w:b/>
                <w:sz w:val="20"/>
                <w:szCs w:val="20"/>
              </w:rPr>
            </w:pPr>
            <w:r w:rsidRPr="003636BC">
              <w:rPr>
                <w:rFonts w:ascii="Arial" w:hAnsi="Arial" w:cs="Arial"/>
                <w:b/>
                <w:sz w:val="20"/>
                <w:szCs w:val="20"/>
              </w:rPr>
              <w:t>MAPE</w:t>
            </w:r>
          </w:p>
        </w:tc>
        <w:tc>
          <w:tcPr>
            <w:tcW w:w="939" w:type="dxa"/>
            <w:vAlign w:val="center"/>
          </w:tcPr>
          <w:p w14:paraId="486A050D" w14:textId="77777777" w:rsidR="003636BC" w:rsidRPr="003636BC" w:rsidRDefault="003636BC" w:rsidP="004550D1">
            <w:pPr>
              <w:jc w:val="center"/>
              <w:rPr>
                <w:rFonts w:ascii="Arial" w:hAnsi="Arial" w:cs="Arial"/>
                <w:b/>
                <w:sz w:val="20"/>
                <w:szCs w:val="20"/>
              </w:rPr>
            </w:pPr>
            <w:r w:rsidRPr="003636BC">
              <w:rPr>
                <w:rFonts w:ascii="Arial" w:hAnsi="Arial" w:cs="Arial"/>
                <w:b/>
                <w:sz w:val="20"/>
                <w:szCs w:val="20"/>
              </w:rPr>
              <w:t>RMSE</w:t>
            </w:r>
          </w:p>
        </w:tc>
      </w:tr>
      <w:tr w:rsidR="003636BC" w:rsidRPr="003636BC" w14:paraId="553F222F" w14:textId="77777777" w:rsidTr="00857B64">
        <w:trPr>
          <w:trHeight w:val="144"/>
          <w:jc w:val="center"/>
        </w:trPr>
        <w:tc>
          <w:tcPr>
            <w:tcW w:w="928" w:type="dxa"/>
            <w:vAlign w:val="center"/>
          </w:tcPr>
          <w:p w14:paraId="7F48FD01"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1.</w:t>
            </w:r>
          </w:p>
        </w:tc>
        <w:tc>
          <w:tcPr>
            <w:tcW w:w="1595" w:type="dxa"/>
            <w:vAlign w:val="center"/>
          </w:tcPr>
          <w:p w14:paraId="2E1F11BD"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ARIMA</w:t>
            </w:r>
          </w:p>
        </w:tc>
        <w:tc>
          <w:tcPr>
            <w:tcW w:w="2675" w:type="dxa"/>
            <w:vAlign w:val="center"/>
          </w:tcPr>
          <w:p w14:paraId="78F85B98"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MA1 = -0.4780</w:t>
            </w:r>
          </w:p>
          <w:p w14:paraId="6ADED18C"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MA2 = -0.2963</w:t>
            </w:r>
          </w:p>
        </w:tc>
        <w:tc>
          <w:tcPr>
            <w:tcW w:w="939" w:type="dxa"/>
            <w:vAlign w:val="center"/>
          </w:tcPr>
          <w:p w14:paraId="0119E777"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3.4223</w:t>
            </w:r>
          </w:p>
        </w:tc>
        <w:tc>
          <w:tcPr>
            <w:tcW w:w="939" w:type="dxa"/>
            <w:vAlign w:val="center"/>
          </w:tcPr>
          <w:p w14:paraId="59D18098"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4.1635</w:t>
            </w:r>
          </w:p>
        </w:tc>
      </w:tr>
      <w:tr w:rsidR="003636BC" w:rsidRPr="003636BC" w14:paraId="7BF2735A" w14:textId="77777777" w:rsidTr="00857B64">
        <w:trPr>
          <w:trHeight w:val="144"/>
          <w:jc w:val="center"/>
        </w:trPr>
        <w:tc>
          <w:tcPr>
            <w:tcW w:w="928" w:type="dxa"/>
            <w:vAlign w:val="center"/>
          </w:tcPr>
          <w:p w14:paraId="720F37A4"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2.</w:t>
            </w:r>
          </w:p>
        </w:tc>
        <w:tc>
          <w:tcPr>
            <w:tcW w:w="1595" w:type="dxa"/>
            <w:vAlign w:val="center"/>
          </w:tcPr>
          <w:p w14:paraId="4CD69539"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SVR</w:t>
            </w:r>
          </w:p>
        </w:tc>
        <w:tc>
          <w:tcPr>
            <w:tcW w:w="2675" w:type="dxa"/>
            <w:vAlign w:val="center"/>
          </w:tcPr>
          <w:p w14:paraId="5F279548"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No of support vectors = 39</w:t>
            </w:r>
          </w:p>
          <w:p w14:paraId="0C96C260"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Cost = 1</w:t>
            </w:r>
          </w:p>
          <w:p w14:paraId="0EABA0D7"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γ = 0.333</w:t>
            </w:r>
          </w:p>
          <w:p w14:paraId="694601EA"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ε = 0.1</w:t>
            </w:r>
          </w:p>
        </w:tc>
        <w:tc>
          <w:tcPr>
            <w:tcW w:w="939" w:type="dxa"/>
            <w:vAlign w:val="center"/>
          </w:tcPr>
          <w:p w14:paraId="3DC4557C"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1.0649</w:t>
            </w:r>
          </w:p>
        </w:tc>
        <w:tc>
          <w:tcPr>
            <w:tcW w:w="939" w:type="dxa"/>
            <w:vAlign w:val="center"/>
          </w:tcPr>
          <w:p w14:paraId="301049F8"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0.3978</w:t>
            </w:r>
          </w:p>
        </w:tc>
      </w:tr>
      <w:tr w:rsidR="003636BC" w:rsidRPr="003636BC" w14:paraId="15E4E252" w14:textId="77777777" w:rsidTr="00857B64">
        <w:trPr>
          <w:trHeight w:val="144"/>
          <w:jc w:val="center"/>
        </w:trPr>
        <w:tc>
          <w:tcPr>
            <w:tcW w:w="928" w:type="dxa"/>
            <w:vAlign w:val="center"/>
          </w:tcPr>
          <w:p w14:paraId="1F402FBF"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3.</w:t>
            </w:r>
          </w:p>
        </w:tc>
        <w:tc>
          <w:tcPr>
            <w:tcW w:w="1595" w:type="dxa"/>
            <w:vAlign w:val="center"/>
          </w:tcPr>
          <w:p w14:paraId="7C746329"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ARIMA – SVR</w:t>
            </w:r>
          </w:p>
        </w:tc>
        <w:tc>
          <w:tcPr>
            <w:tcW w:w="2675" w:type="dxa"/>
            <w:vAlign w:val="center"/>
          </w:tcPr>
          <w:p w14:paraId="180D259E"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MA1 = -0.4780</w:t>
            </w:r>
          </w:p>
          <w:p w14:paraId="4B68CC7B"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MA2 = -0.2963</w:t>
            </w:r>
          </w:p>
          <w:p w14:paraId="0E79595D"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No of support vectors = 16</w:t>
            </w:r>
          </w:p>
          <w:p w14:paraId="6065ED9F"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Cost = 1</w:t>
            </w:r>
          </w:p>
          <w:p w14:paraId="4159C660"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γ = 0.5</w:t>
            </w:r>
          </w:p>
          <w:p w14:paraId="2C1C3402"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ε = 0.1</w:t>
            </w:r>
          </w:p>
        </w:tc>
        <w:tc>
          <w:tcPr>
            <w:tcW w:w="939" w:type="dxa"/>
            <w:vAlign w:val="center"/>
          </w:tcPr>
          <w:p w14:paraId="5103F01D"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0.0319</w:t>
            </w:r>
          </w:p>
        </w:tc>
        <w:tc>
          <w:tcPr>
            <w:tcW w:w="939" w:type="dxa"/>
            <w:vAlign w:val="center"/>
          </w:tcPr>
          <w:p w14:paraId="1F1F7C01" w14:textId="77777777" w:rsidR="003636BC" w:rsidRPr="003636BC" w:rsidRDefault="003636BC" w:rsidP="004550D1">
            <w:pPr>
              <w:jc w:val="center"/>
              <w:rPr>
                <w:rFonts w:ascii="Arial" w:hAnsi="Arial" w:cs="Arial"/>
                <w:sz w:val="20"/>
                <w:szCs w:val="20"/>
              </w:rPr>
            </w:pPr>
            <w:r w:rsidRPr="003636BC">
              <w:rPr>
                <w:rFonts w:ascii="Arial" w:hAnsi="Arial" w:cs="Arial"/>
                <w:sz w:val="20"/>
                <w:szCs w:val="20"/>
              </w:rPr>
              <w:t>0.9849</w:t>
            </w:r>
          </w:p>
        </w:tc>
      </w:tr>
    </w:tbl>
    <w:p w14:paraId="08CB20DC" w14:textId="77777777" w:rsidR="003636BC" w:rsidRPr="003636BC" w:rsidRDefault="003636BC" w:rsidP="003636BC">
      <w:pPr>
        <w:jc w:val="both"/>
        <w:rPr>
          <w:rFonts w:ascii="Arial" w:hAnsi="Arial" w:cs="Arial"/>
          <w:sz w:val="20"/>
          <w:szCs w:val="20"/>
        </w:rPr>
      </w:pPr>
    </w:p>
    <w:p w14:paraId="73B84CD2" w14:textId="77777777" w:rsidR="003636BC" w:rsidRPr="003636BC" w:rsidRDefault="003636BC" w:rsidP="00FE4FB8">
      <w:pPr>
        <w:spacing w:after="120" w:line="240" w:lineRule="auto"/>
        <w:jc w:val="center"/>
        <w:rPr>
          <w:rFonts w:ascii="Arial" w:hAnsi="Arial" w:cs="Arial"/>
          <w:sz w:val="20"/>
          <w:szCs w:val="20"/>
        </w:rPr>
      </w:pPr>
      <w:r w:rsidRPr="003636BC">
        <w:rPr>
          <w:rFonts w:ascii="Arial" w:hAnsi="Arial" w:cs="Arial"/>
          <w:sz w:val="20"/>
          <w:szCs w:val="20"/>
        </w:rPr>
        <w:t>Table 3. Forecasted Values using ARIMA, SVR and ARIMA-SVR Models</w:t>
      </w:r>
    </w:p>
    <w:tbl>
      <w:tblPr>
        <w:tblStyle w:val="TableGrid"/>
        <w:tblW w:w="0" w:type="auto"/>
        <w:jc w:val="center"/>
        <w:tblLayout w:type="fixed"/>
        <w:tblLook w:val="04A0" w:firstRow="1" w:lastRow="0" w:firstColumn="1" w:lastColumn="0" w:noHBand="0" w:noVBand="1"/>
      </w:tblPr>
      <w:tblGrid>
        <w:gridCol w:w="1062"/>
        <w:gridCol w:w="1051"/>
        <w:gridCol w:w="1051"/>
        <w:gridCol w:w="1483"/>
      </w:tblGrid>
      <w:tr w:rsidR="003636BC" w:rsidRPr="003636BC" w14:paraId="3F6D3851" w14:textId="77777777" w:rsidTr="00CB6878">
        <w:trPr>
          <w:trHeight w:val="432"/>
          <w:tblHeader/>
          <w:jc w:val="center"/>
        </w:trPr>
        <w:tc>
          <w:tcPr>
            <w:tcW w:w="1062" w:type="dxa"/>
            <w:vMerge w:val="restart"/>
            <w:shd w:val="clear" w:color="auto" w:fill="auto"/>
            <w:vAlign w:val="center"/>
          </w:tcPr>
          <w:p w14:paraId="0067F746" w14:textId="77777777" w:rsidR="003636BC" w:rsidRPr="003636BC" w:rsidRDefault="003636BC" w:rsidP="00FE4FB8">
            <w:pPr>
              <w:jc w:val="center"/>
              <w:rPr>
                <w:rFonts w:ascii="Arial" w:hAnsi="Arial" w:cs="Arial"/>
                <w:b/>
                <w:sz w:val="20"/>
                <w:szCs w:val="20"/>
              </w:rPr>
            </w:pPr>
            <w:r w:rsidRPr="003636BC">
              <w:rPr>
                <w:rFonts w:ascii="Arial" w:hAnsi="Arial" w:cs="Arial"/>
                <w:b/>
                <w:sz w:val="20"/>
                <w:szCs w:val="20"/>
              </w:rPr>
              <w:t>Year</w:t>
            </w:r>
          </w:p>
        </w:tc>
        <w:tc>
          <w:tcPr>
            <w:tcW w:w="3585" w:type="dxa"/>
            <w:gridSpan w:val="3"/>
            <w:shd w:val="clear" w:color="auto" w:fill="auto"/>
            <w:vAlign w:val="center"/>
          </w:tcPr>
          <w:p w14:paraId="2F85E9F5" w14:textId="77777777" w:rsidR="003636BC" w:rsidRPr="003636BC" w:rsidRDefault="003636BC" w:rsidP="00FE4FB8">
            <w:pPr>
              <w:jc w:val="center"/>
              <w:rPr>
                <w:rFonts w:ascii="Arial" w:hAnsi="Arial" w:cs="Arial"/>
                <w:b/>
                <w:sz w:val="20"/>
                <w:szCs w:val="20"/>
              </w:rPr>
            </w:pPr>
            <w:r w:rsidRPr="003636BC">
              <w:rPr>
                <w:rFonts w:ascii="Arial" w:hAnsi="Arial" w:cs="Arial"/>
                <w:b/>
                <w:sz w:val="20"/>
                <w:szCs w:val="20"/>
              </w:rPr>
              <w:t>Models</w:t>
            </w:r>
          </w:p>
        </w:tc>
      </w:tr>
      <w:tr w:rsidR="003636BC" w:rsidRPr="003636BC" w14:paraId="07A194BD" w14:textId="77777777" w:rsidTr="00CB6878">
        <w:trPr>
          <w:trHeight w:val="432"/>
          <w:tblHeader/>
          <w:jc w:val="center"/>
        </w:trPr>
        <w:tc>
          <w:tcPr>
            <w:tcW w:w="1062" w:type="dxa"/>
            <w:vMerge/>
            <w:shd w:val="clear" w:color="auto" w:fill="auto"/>
            <w:vAlign w:val="center"/>
          </w:tcPr>
          <w:p w14:paraId="5C165B42" w14:textId="77777777" w:rsidR="003636BC" w:rsidRPr="003636BC" w:rsidRDefault="003636BC" w:rsidP="00FE4FB8">
            <w:pPr>
              <w:jc w:val="center"/>
              <w:rPr>
                <w:rFonts w:ascii="Arial" w:hAnsi="Arial" w:cs="Arial"/>
                <w:b/>
                <w:sz w:val="20"/>
                <w:szCs w:val="20"/>
              </w:rPr>
            </w:pPr>
          </w:p>
        </w:tc>
        <w:tc>
          <w:tcPr>
            <w:tcW w:w="1051" w:type="dxa"/>
            <w:shd w:val="clear" w:color="auto" w:fill="auto"/>
            <w:vAlign w:val="center"/>
          </w:tcPr>
          <w:p w14:paraId="60B7D907" w14:textId="77777777" w:rsidR="003636BC" w:rsidRPr="003636BC" w:rsidRDefault="003636BC" w:rsidP="00FE4FB8">
            <w:pPr>
              <w:jc w:val="center"/>
              <w:rPr>
                <w:rFonts w:ascii="Arial" w:hAnsi="Arial" w:cs="Arial"/>
                <w:b/>
                <w:sz w:val="20"/>
                <w:szCs w:val="20"/>
              </w:rPr>
            </w:pPr>
            <w:r w:rsidRPr="003636BC">
              <w:rPr>
                <w:rFonts w:ascii="Arial" w:hAnsi="Arial" w:cs="Arial"/>
                <w:b/>
                <w:sz w:val="20"/>
                <w:szCs w:val="20"/>
              </w:rPr>
              <w:t>ARIMA</w:t>
            </w:r>
          </w:p>
        </w:tc>
        <w:tc>
          <w:tcPr>
            <w:tcW w:w="1051" w:type="dxa"/>
            <w:shd w:val="clear" w:color="auto" w:fill="auto"/>
            <w:vAlign w:val="center"/>
          </w:tcPr>
          <w:p w14:paraId="080DCA85" w14:textId="77777777" w:rsidR="003636BC" w:rsidRPr="003636BC" w:rsidRDefault="003636BC" w:rsidP="00FE4FB8">
            <w:pPr>
              <w:jc w:val="center"/>
              <w:rPr>
                <w:rFonts w:ascii="Arial" w:hAnsi="Arial" w:cs="Arial"/>
                <w:b/>
                <w:sz w:val="20"/>
                <w:szCs w:val="20"/>
              </w:rPr>
            </w:pPr>
            <w:r w:rsidRPr="003636BC">
              <w:rPr>
                <w:rFonts w:ascii="Arial" w:hAnsi="Arial" w:cs="Arial"/>
                <w:b/>
                <w:sz w:val="20"/>
                <w:szCs w:val="20"/>
              </w:rPr>
              <w:t>ANN</w:t>
            </w:r>
          </w:p>
        </w:tc>
        <w:tc>
          <w:tcPr>
            <w:tcW w:w="1483" w:type="dxa"/>
            <w:shd w:val="clear" w:color="auto" w:fill="auto"/>
            <w:vAlign w:val="center"/>
          </w:tcPr>
          <w:p w14:paraId="141F1627" w14:textId="77777777" w:rsidR="003636BC" w:rsidRPr="003636BC" w:rsidRDefault="003636BC" w:rsidP="00FE4FB8">
            <w:pPr>
              <w:jc w:val="center"/>
              <w:rPr>
                <w:rFonts w:ascii="Arial" w:hAnsi="Arial" w:cs="Arial"/>
                <w:b/>
                <w:sz w:val="20"/>
                <w:szCs w:val="20"/>
              </w:rPr>
            </w:pPr>
            <w:r w:rsidRPr="003636BC">
              <w:rPr>
                <w:rFonts w:ascii="Arial" w:hAnsi="Arial" w:cs="Arial"/>
                <w:b/>
                <w:sz w:val="20"/>
                <w:szCs w:val="20"/>
              </w:rPr>
              <w:t>ARIMA-SVR</w:t>
            </w:r>
          </w:p>
        </w:tc>
      </w:tr>
      <w:tr w:rsidR="003636BC" w:rsidRPr="003636BC" w14:paraId="5D423CE9" w14:textId="77777777" w:rsidTr="004550D1">
        <w:trPr>
          <w:trHeight w:val="432"/>
          <w:jc w:val="center"/>
        </w:trPr>
        <w:tc>
          <w:tcPr>
            <w:tcW w:w="1062" w:type="dxa"/>
            <w:shd w:val="clear" w:color="auto" w:fill="auto"/>
            <w:vAlign w:val="center"/>
          </w:tcPr>
          <w:p w14:paraId="5CD3BD79"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2023-24</w:t>
            </w:r>
          </w:p>
        </w:tc>
        <w:tc>
          <w:tcPr>
            <w:tcW w:w="1051" w:type="dxa"/>
            <w:shd w:val="clear" w:color="auto" w:fill="auto"/>
            <w:vAlign w:val="center"/>
          </w:tcPr>
          <w:p w14:paraId="4218A83E"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25.0713</w:t>
            </w:r>
          </w:p>
        </w:tc>
        <w:tc>
          <w:tcPr>
            <w:tcW w:w="1051" w:type="dxa"/>
            <w:shd w:val="clear" w:color="auto" w:fill="auto"/>
            <w:vAlign w:val="center"/>
          </w:tcPr>
          <w:p w14:paraId="46FB31D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2DB3940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24.8241</w:t>
            </w:r>
          </w:p>
        </w:tc>
      </w:tr>
      <w:tr w:rsidR="003636BC" w:rsidRPr="003636BC" w14:paraId="2A36B35E" w14:textId="77777777" w:rsidTr="004550D1">
        <w:trPr>
          <w:trHeight w:val="432"/>
          <w:jc w:val="center"/>
        </w:trPr>
        <w:tc>
          <w:tcPr>
            <w:tcW w:w="1062" w:type="dxa"/>
            <w:shd w:val="clear" w:color="auto" w:fill="auto"/>
            <w:vAlign w:val="center"/>
          </w:tcPr>
          <w:p w14:paraId="5127A038"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2024-25</w:t>
            </w:r>
          </w:p>
        </w:tc>
        <w:tc>
          <w:tcPr>
            <w:tcW w:w="1051" w:type="dxa"/>
            <w:shd w:val="clear" w:color="auto" w:fill="auto"/>
            <w:vAlign w:val="center"/>
          </w:tcPr>
          <w:p w14:paraId="783A5B8F"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24.9247</w:t>
            </w:r>
          </w:p>
        </w:tc>
        <w:tc>
          <w:tcPr>
            <w:tcW w:w="1051" w:type="dxa"/>
            <w:shd w:val="clear" w:color="auto" w:fill="auto"/>
            <w:vAlign w:val="center"/>
          </w:tcPr>
          <w:p w14:paraId="71D7674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6FA1B8AD"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24.6776</w:t>
            </w:r>
          </w:p>
        </w:tc>
      </w:tr>
      <w:tr w:rsidR="003636BC" w:rsidRPr="003636BC" w14:paraId="2EF7177D" w14:textId="77777777" w:rsidTr="004550D1">
        <w:trPr>
          <w:trHeight w:val="432"/>
          <w:jc w:val="center"/>
        </w:trPr>
        <w:tc>
          <w:tcPr>
            <w:tcW w:w="1062" w:type="dxa"/>
            <w:shd w:val="clear" w:color="auto" w:fill="auto"/>
            <w:vAlign w:val="center"/>
          </w:tcPr>
          <w:p w14:paraId="0F8BF3FE"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2025-26</w:t>
            </w:r>
          </w:p>
        </w:tc>
        <w:tc>
          <w:tcPr>
            <w:tcW w:w="1051" w:type="dxa"/>
            <w:shd w:val="clear" w:color="auto" w:fill="auto"/>
            <w:vAlign w:val="center"/>
          </w:tcPr>
          <w:p w14:paraId="071C1EC2"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24.7782</w:t>
            </w:r>
          </w:p>
        </w:tc>
        <w:tc>
          <w:tcPr>
            <w:tcW w:w="1051" w:type="dxa"/>
            <w:shd w:val="clear" w:color="auto" w:fill="auto"/>
            <w:vAlign w:val="center"/>
          </w:tcPr>
          <w:p w14:paraId="5CD4B6E4"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67792E6E"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24.5311</w:t>
            </w:r>
          </w:p>
        </w:tc>
      </w:tr>
      <w:tr w:rsidR="003636BC" w:rsidRPr="003636BC" w14:paraId="75633331" w14:textId="77777777" w:rsidTr="004550D1">
        <w:trPr>
          <w:trHeight w:val="432"/>
          <w:jc w:val="center"/>
        </w:trPr>
        <w:tc>
          <w:tcPr>
            <w:tcW w:w="1062" w:type="dxa"/>
            <w:shd w:val="clear" w:color="auto" w:fill="auto"/>
            <w:vAlign w:val="center"/>
          </w:tcPr>
          <w:p w14:paraId="584CF4F8"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2026-27</w:t>
            </w:r>
          </w:p>
        </w:tc>
        <w:tc>
          <w:tcPr>
            <w:tcW w:w="1051" w:type="dxa"/>
            <w:shd w:val="clear" w:color="auto" w:fill="auto"/>
            <w:vAlign w:val="center"/>
          </w:tcPr>
          <w:p w14:paraId="1B5EB0C7"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24.6317</w:t>
            </w:r>
          </w:p>
        </w:tc>
        <w:tc>
          <w:tcPr>
            <w:tcW w:w="1051" w:type="dxa"/>
            <w:shd w:val="clear" w:color="auto" w:fill="auto"/>
            <w:vAlign w:val="center"/>
          </w:tcPr>
          <w:p w14:paraId="1AB07E3D"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7FE7A99F"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24.3846</w:t>
            </w:r>
          </w:p>
        </w:tc>
      </w:tr>
      <w:tr w:rsidR="003636BC" w:rsidRPr="003636BC" w14:paraId="0F015EB6" w14:textId="77777777" w:rsidTr="004550D1">
        <w:trPr>
          <w:trHeight w:val="432"/>
          <w:jc w:val="center"/>
        </w:trPr>
        <w:tc>
          <w:tcPr>
            <w:tcW w:w="1062" w:type="dxa"/>
            <w:shd w:val="clear" w:color="auto" w:fill="auto"/>
            <w:vAlign w:val="center"/>
          </w:tcPr>
          <w:p w14:paraId="79AFD782"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2027-28</w:t>
            </w:r>
          </w:p>
        </w:tc>
        <w:tc>
          <w:tcPr>
            <w:tcW w:w="1051" w:type="dxa"/>
            <w:shd w:val="clear" w:color="auto" w:fill="auto"/>
            <w:vAlign w:val="center"/>
          </w:tcPr>
          <w:p w14:paraId="69EB880A"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24.4852</w:t>
            </w:r>
          </w:p>
        </w:tc>
        <w:tc>
          <w:tcPr>
            <w:tcW w:w="1051" w:type="dxa"/>
            <w:shd w:val="clear" w:color="auto" w:fill="auto"/>
            <w:vAlign w:val="center"/>
          </w:tcPr>
          <w:p w14:paraId="0BCEE48B"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1B22541B"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24.2380</w:t>
            </w:r>
          </w:p>
        </w:tc>
      </w:tr>
      <w:tr w:rsidR="003636BC" w:rsidRPr="003636BC" w14:paraId="75C28357" w14:textId="77777777" w:rsidTr="004550D1">
        <w:trPr>
          <w:trHeight w:val="432"/>
          <w:jc w:val="center"/>
        </w:trPr>
        <w:tc>
          <w:tcPr>
            <w:tcW w:w="1062" w:type="dxa"/>
            <w:shd w:val="clear" w:color="auto" w:fill="auto"/>
            <w:vAlign w:val="center"/>
          </w:tcPr>
          <w:p w14:paraId="429B29DC"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2028-29</w:t>
            </w:r>
          </w:p>
        </w:tc>
        <w:tc>
          <w:tcPr>
            <w:tcW w:w="1051" w:type="dxa"/>
            <w:shd w:val="clear" w:color="auto" w:fill="auto"/>
            <w:vAlign w:val="center"/>
          </w:tcPr>
          <w:p w14:paraId="55A1AA2C"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24.3386</w:t>
            </w:r>
          </w:p>
        </w:tc>
        <w:tc>
          <w:tcPr>
            <w:tcW w:w="1051" w:type="dxa"/>
            <w:shd w:val="clear" w:color="auto" w:fill="auto"/>
            <w:vAlign w:val="center"/>
          </w:tcPr>
          <w:p w14:paraId="360A3E3D"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42028559"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24.0915</w:t>
            </w:r>
          </w:p>
        </w:tc>
      </w:tr>
      <w:tr w:rsidR="003636BC" w:rsidRPr="003636BC" w14:paraId="6813BF4D" w14:textId="77777777" w:rsidTr="004550D1">
        <w:trPr>
          <w:trHeight w:val="432"/>
          <w:jc w:val="center"/>
        </w:trPr>
        <w:tc>
          <w:tcPr>
            <w:tcW w:w="1062" w:type="dxa"/>
            <w:shd w:val="clear" w:color="auto" w:fill="auto"/>
            <w:vAlign w:val="center"/>
          </w:tcPr>
          <w:p w14:paraId="4235A2E8"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lastRenderedPageBreak/>
              <w:t>2029-30</w:t>
            </w:r>
          </w:p>
        </w:tc>
        <w:tc>
          <w:tcPr>
            <w:tcW w:w="1051" w:type="dxa"/>
            <w:shd w:val="clear" w:color="auto" w:fill="auto"/>
            <w:vAlign w:val="center"/>
          </w:tcPr>
          <w:p w14:paraId="1EB77354"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24.1921</w:t>
            </w:r>
          </w:p>
        </w:tc>
        <w:tc>
          <w:tcPr>
            <w:tcW w:w="1051" w:type="dxa"/>
            <w:shd w:val="clear" w:color="auto" w:fill="auto"/>
            <w:vAlign w:val="center"/>
          </w:tcPr>
          <w:p w14:paraId="7ED0173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10174737"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23.9450</w:t>
            </w:r>
          </w:p>
        </w:tc>
      </w:tr>
      <w:tr w:rsidR="003636BC" w:rsidRPr="003636BC" w14:paraId="41BB47C4" w14:textId="77777777" w:rsidTr="004550D1">
        <w:trPr>
          <w:trHeight w:val="432"/>
          <w:jc w:val="center"/>
        </w:trPr>
        <w:tc>
          <w:tcPr>
            <w:tcW w:w="1062" w:type="dxa"/>
            <w:shd w:val="clear" w:color="auto" w:fill="auto"/>
            <w:vAlign w:val="center"/>
          </w:tcPr>
          <w:p w14:paraId="589EE143"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2030-31</w:t>
            </w:r>
          </w:p>
        </w:tc>
        <w:tc>
          <w:tcPr>
            <w:tcW w:w="1051" w:type="dxa"/>
            <w:shd w:val="clear" w:color="auto" w:fill="auto"/>
            <w:vAlign w:val="center"/>
          </w:tcPr>
          <w:p w14:paraId="62349D9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24.0456</w:t>
            </w:r>
          </w:p>
        </w:tc>
        <w:tc>
          <w:tcPr>
            <w:tcW w:w="1051" w:type="dxa"/>
            <w:shd w:val="clear" w:color="auto" w:fill="auto"/>
            <w:vAlign w:val="center"/>
          </w:tcPr>
          <w:p w14:paraId="178E3998"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4644353D"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23.7985</w:t>
            </w:r>
          </w:p>
        </w:tc>
      </w:tr>
      <w:tr w:rsidR="003636BC" w:rsidRPr="003636BC" w14:paraId="22B5DC0F" w14:textId="77777777" w:rsidTr="004550D1">
        <w:trPr>
          <w:trHeight w:val="432"/>
          <w:jc w:val="center"/>
        </w:trPr>
        <w:tc>
          <w:tcPr>
            <w:tcW w:w="1062" w:type="dxa"/>
            <w:shd w:val="clear" w:color="auto" w:fill="auto"/>
            <w:vAlign w:val="center"/>
          </w:tcPr>
          <w:p w14:paraId="48BD058A"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2031-32</w:t>
            </w:r>
          </w:p>
        </w:tc>
        <w:tc>
          <w:tcPr>
            <w:tcW w:w="1051" w:type="dxa"/>
            <w:shd w:val="clear" w:color="auto" w:fill="auto"/>
            <w:vAlign w:val="center"/>
          </w:tcPr>
          <w:p w14:paraId="168A6916"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23.8991</w:t>
            </w:r>
          </w:p>
        </w:tc>
        <w:tc>
          <w:tcPr>
            <w:tcW w:w="1051" w:type="dxa"/>
            <w:shd w:val="clear" w:color="auto" w:fill="auto"/>
            <w:vAlign w:val="center"/>
          </w:tcPr>
          <w:p w14:paraId="56EE1E53"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080E2BE0"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23.6519</w:t>
            </w:r>
          </w:p>
        </w:tc>
      </w:tr>
      <w:tr w:rsidR="003636BC" w:rsidRPr="003636BC" w14:paraId="61B4CF8E" w14:textId="77777777" w:rsidTr="004550D1">
        <w:trPr>
          <w:trHeight w:val="432"/>
          <w:jc w:val="center"/>
        </w:trPr>
        <w:tc>
          <w:tcPr>
            <w:tcW w:w="1062" w:type="dxa"/>
            <w:shd w:val="clear" w:color="auto" w:fill="auto"/>
            <w:vAlign w:val="center"/>
          </w:tcPr>
          <w:p w14:paraId="35C80151"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2032-33</w:t>
            </w:r>
          </w:p>
        </w:tc>
        <w:tc>
          <w:tcPr>
            <w:tcW w:w="1051" w:type="dxa"/>
            <w:shd w:val="clear" w:color="auto" w:fill="auto"/>
            <w:vAlign w:val="center"/>
          </w:tcPr>
          <w:p w14:paraId="54E76068"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23.7526</w:t>
            </w:r>
          </w:p>
        </w:tc>
        <w:tc>
          <w:tcPr>
            <w:tcW w:w="1051" w:type="dxa"/>
            <w:shd w:val="clear" w:color="auto" w:fill="auto"/>
            <w:vAlign w:val="center"/>
          </w:tcPr>
          <w:p w14:paraId="4B6A69C5"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26.000</w:t>
            </w:r>
          </w:p>
        </w:tc>
        <w:tc>
          <w:tcPr>
            <w:tcW w:w="1483" w:type="dxa"/>
            <w:shd w:val="clear" w:color="auto" w:fill="auto"/>
            <w:vAlign w:val="center"/>
          </w:tcPr>
          <w:p w14:paraId="4C688B4C" w14:textId="77777777" w:rsidR="003636BC" w:rsidRPr="003636BC" w:rsidRDefault="003636BC" w:rsidP="00FE4FB8">
            <w:pPr>
              <w:jc w:val="center"/>
              <w:rPr>
                <w:rFonts w:ascii="Arial" w:hAnsi="Arial" w:cs="Arial"/>
                <w:sz w:val="20"/>
                <w:szCs w:val="20"/>
              </w:rPr>
            </w:pPr>
            <w:r w:rsidRPr="003636BC">
              <w:rPr>
                <w:rFonts w:ascii="Arial" w:hAnsi="Arial" w:cs="Arial"/>
                <w:sz w:val="20"/>
                <w:szCs w:val="20"/>
              </w:rPr>
              <w:t>23.5054</w:t>
            </w:r>
          </w:p>
        </w:tc>
      </w:tr>
    </w:tbl>
    <w:p w14:paraId="708B5878" w14:textId="77777777" w:rsidR="004550D1" w:rsidRDefault="003636BC" w:rsidP="00857B64">
      <w:pPr>
        <w:spacing w:after="0" w:line="240" w:lineRule="auto"/>
        <w:jc w:val="center"/>
        <w:rPr>
          <w:rFonts w:ascii="Arial" w:hAnsi="Arial" w:cs="Arial"/>
          <w:sz w:val="20"/>
          <w:szCs w:val="20"/>
        </w:rPr>
      </w:pPr>
      <w:r w:rsidRPr="003636BC">
        <w:rPr>
          <w:rFonts w:ascii="Arial" w:hAnsi="Arial" w:cs="Arial"/>
          <w:b/>
          <w:noProof/>
          <w:sz w:val="20"/>
          <w:szCs w:val="20"/>
        </w:rPr>
        <w:drawing>
          <wp:inline distT="0" distB="0" distL="0" distR="0" wp14:anchorId="28143131" wp14:editId="29AFF966">
            <wp:extent cx="2562225" cy="2557589"/>
            <wp:effectExtent l="19050" t="19050" r="9525"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2225" cy="2557589"/>
                    </a:xfrm>
                    <a:prstGeom prst="rect">
                      <a:avLst/>
                    </a:prstGeom>
                    <a:noFill/>
                    <a:ln>
                      <a:solidFill>
                        <a:sysClr val="windowText" lastClr="000000"/>
                      </a:solidFill>
                    </a:ln>
                  </pic:spPr>
                </pic:pic>
              </a:graphicData>
            </a:graphic>
          </wp:inline>
        </w:drawing>
      </w:r>
      <w:r w:rsidR="00857B64">
        <w:rPr>
          <w:rFonts w:ascii="Arial" w:hAnsi="Arial" w:cs="Arial"/>
          <w:sz w:val="20"/>
          <w:szCs w:val="20"/>
        </w:rPr>
        <w:t xml:space="preserve">   </w:t>
      </w:r>
      <w:r w:rsidRPr="003636BC">
        <w:rPr>
          <w:rFonts w:ascii="Arial" w:hAnsi="Arial" w:cs="Arial"/>
          <w:noProof/>
          <w:sz w:val="20"/>
          <w:szCs w:val="20"/>
        </w:rPr>
        <w:drawing>
          <wp:inline distT="0" distB="0" distL="0" distR="0" wp14:anchorId="5EFF744D" wp14:editId="091D9B4C">
            <wp:extent cx="2752725" cy="255270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CDE44A" w14:textId="77777777" w:rsidR="004550D1" w:rsidRDefault="004550D1" w:rsidP="00857B64">
      <w:pPr>
        <w:jc w:val="center"/>
        <w:rPr>
          <w:rFonts w:ascii="Arial" w:hAnsi="Arial" w:cs="Arial"/>
          <w:sz w:val="20"/>
          <w:szCs w:val="20"/>
        </w:rPr>
      </w:pPr>
      <w:r>
        <w:rPr>
          <w:rFonts w:ascii="Arial" w:hAnsi="Arial" w:cs="Arial"/>
          <w:sz w:val="20"/>
          <w:szCs w:val="20"/>
        </w:rPr>
        <w:t xml:space="preserve">(a) ARIMA </w:t>
      </w:r>
      <w:r w:rsidR="00857B64">
        <w:rPr>
          <w:rFonts w:ascii="Arial" w:hAnsi="Arial" w:cs="Arial"/>
          <w:sz w:val="20"/>
          <w:szCs w:val="20"/>
        </w:rPr>
        <w:t xml:space="preserve">                                                             </w:t>
      </w:r>
      <w:r>
        <w:rPr>
          <w:rFonts w:ascii="Arial" w:hAnsi="Arial" w:cs="Arial"/>
          <w:sz w:val="20"/>
          <w:szCs w:val="20"/>
        </w:rPr>
        <w:t>(b) SVR</w:t>
      </w:r>
    </w:p>
    <w:p w14:paraId="71BBA58D" w14:textId="77777777" w:rsidR="00CB6878" w:rsidRDefault="00CB6878" w:rsidP="00857B64">
      <w:pPr>
        <w:jc w:val="center"/>
        <w:rPr>
          <w:rFonts w:ascii="Arial" w:hAnsi="Arial" w:cs="Arial"/>
          <w:sz w:val="20"/>
          <w:szCs w:val="20"/>
        </w:rPr>
      </w:pPr>
    </w:p>
    <w:p w14:paraId="46CAF4AE" w14:textId="77777777" w:rsidR="003636BC" w:rsidRPr="003636BC" w:rsidRDefault="003636BC" w:rsidP="00857B64">
      <w:pPr>
        <w:jc w:val="center"/>
        <w:rPr>
          <w:rFonts w:ascii="Arial" w:hAnsi="Arial" w:cs="Arial"/>
          <w:sz w:val="20"/>
          <w:szCs w:val="20"/>
        </w:rPr>
      </w:pPr>
      <w:r w:rsidRPr="003636BC">
        <w:rPr>
          <w:rFonts w:ascii="Arial" w:hAnsi="Arial" w:cs="Arial"/>
          <w:noProof/>
          <w:sz w:val="20"/>
          <w:szCs w:val="20"/>
        </w:rPr>
        <w:drawing>
          <wp:inline distT="0" distB="0" distL="0" distR="0" wp14:anchorId="4FDB669C" wp14:editId="2EFC4AC3">
            <wp:extent cx="2725616" cy="2576147"/>
            <wp:effectExtent l="0" t="0" r="17780" b="1524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1984C2" w14:textId="77777777" w:rsidR="00857B64" w:rsidRDefault="00857B64" w:rsidP="00857B64">
      <w:pPr>
        <w:jc w:val="center"/>
        <w:rPr>
          <w:rFonts w:ascii="Arial" w:hAnsi="Arial" w:cs="Arial"/>
          <w:sz w:val="20"/>
          <w:szCs w:val="20"/>
        </w:rPr>
      </w:pPr>
      <w:r>
        <w:rPr>
          <w:rFonts w:ascii="Arial" w:hAnsi="Arial" w:cs="Arial"/>
          <w:sz w:val="20"/>
          <w:szCs w:val="20"/>
        </w:rPr>
        <w:t xml:space="preserve">(c) ARIMA – SVR </w:t>
      </w:r>
    </w:p>
    <w:p w14:paraId="3507069B" w14:textId="77777777" w:rsidR="003636BC" w:rsidRPr="007339EB" w:rsidRDefault="003636BC" w:rsidP="00857B64">
      <w:pPr>
        <w:jc w:val="center"/>
        <w:rPr>
          <w:rFonts w:ascii="Arial" w:hAnsi="Arial" w:cs="Arial"/>
          <w:sz w:val="20"/>
          <w:szCs w:val="20"/>
        </w:rPr>
      </w:pPr>
      <w:r w:rsidRPr="003636BC">
        <w:rPr>
          <w:rFonts w:ascii="Arial" w:hAnsi="Arial" w:cs="Arial"/>
          <w:sz w:val="20"/>
          <w:szCs w:val="20"/>
        </w:rPr>
        <w:t>Fig. 2 Plots of forecasted values using ARIMA, SVR and ARIMA-SVR Model</w:t>
      </w:r>
    </w:p>
    <w:p w14:paraId="69953329" w14:textId="77777777" w:rsidR="00E37B44" w:rsidRPr="00650A72" w:rsidRDefault="00E37B44" w:rsidP="00E37B44">
      <w:pPr>
        <w:rPr>
          <w:rFonts w:ascii="Arial" w:hAnsi="Arial" w:cs="Arial"/>
          <w:b/>
          <w:sz w:val="24"/>
        </w:rPr>
      </w:pPr>
      <w:r w:rsidRPr="00650A72">
        <w:rPr>
          <w:rFonts w:ascii="Arial" w:hAnsi="Arial" w:cs="Arial"/>
          <w:b/>
          <w:sz w:val="24"/>
        </w:rPr>
        <w:t>CONCLUSION</w:t>
      </w:r>
    </w:p>
    <w:p w14:paraId="1BD89758" w14:textId="77777777" w:rsidR="00B42F45" w:rsidRDefault="00FE4FB8" w:rsidP="00FE4FB8">
      <w:pPr>
        <w:jc w:val="both"/>
        <w:rPr>
          <w:rFonts w:ascii="Arial" w:hAnsi="Arial" w:cs="Arial"/>
          <w:sz w:val="20"/>
        </w:rPr>
      </w:pPr>
      <w:r w:rsidRPr="00CB6878">
        <w:rPr>
          <w:rFonts w:ascii="Arial" w:hAnsi="Arial" w:cs="Arial"/>
          <w:sz w:val="20"/>
        </w:rPr>
        <w:lastRenderedPageBreak/>
        <w:t xml:space="preserve">As evident from the literatures, </w:t>
      </w:r>
      <w:r w:rsidR="00B42F45" w:rsidRPr="00CB6878">
        <w:rPr>
          <w:rFonts w:ascii="Arial" w:hAnsi="Arial" w:cs="Arial"/>
          <w:sz w:val="20"/>
        </w:rPr>
        <w:t xml:space="preserve">Hybrid </w:t>
      </w:r>
      <w:r w:rsidRPr="00CB6878">
        <w:rPr>
          <w:rFonts w:ascii="Arial" w:hAnsi="Arial" w:cs="Arial"/>
          <w:sz w:val="20"/>
        </w:rPr>
        <w:t xml:space="preserve">ARIMA – SVR Model </w:t>
      </w:r>
      <w:r w:rsidR="00B42F45" w:rsidRPr="00CB6878">
        <w:rPr>
          <w:rFonts w:ascii="Arial" w:hAnsi="Arial" w:cs="Arial"/>
          <w:sz w:val="20"/>
        </w:rPr>
        <w:t xml:space="preserve">performed better than Single models </w:t>
      </w:r>
      <w:r w:rsidRPr="00CB6878">
        <w:rPr>
          <w:rFonts w:ascii="Arial" w:hAnsi="Arial" w:cs="Arial"/>
          <w:sz w:val="20"/>
        </w:rPr>
        <w:t>such as ARIMA and SVR in F</w:t>
      </w:r>
      <w:r w:rsidR="00B42F45" w:rsidRPr="00CB6878">
        <w:rPr>
          <w:rFonts w:ascii="Arial" w:hAnsi="Arial" w:cs="Arial"/>
          <w:sz w:val="20"/>
        </w:rPr>
        <w:t>orecasting Gross Cropped Area of the State</w:t>
      </w:r>
      <w:r w:rsidRPr="00CB6878">
        <w:rPr>
          <w:rFonts w:ascii="Arial" w:hAnsi="Arial" w:cs="Arial"/>
          <w:sz w:val="20"/>
        </w:rPr>
        <w:t xml:space="preserve"> it </w:t>
      </w:r>
      <w:r w:rsidR="00B42F45" w:rsidRPr="00CB6878">
        <w:rPr>
          <w:rFonts w:ascii="Arial" w:hAnsi="Arial" w:cs="Arial"/>
          <w:sz w:val="20"/>
        </w:rPr>
        <w:t>was predicted to be decreasing in the future</w:t>
      </w:r>
      <w:r w:rsidRPr="00CB6878">
        <w:rPr>
          <w:rFonts w:ascii="Arial" w:hAnsi="Arial" w:cs="Arial"/>
          <w:sz w:val="20"/>
        </w:rPr>
        <w:t>. The results obtained from this study can be utilized for agricultural planning and policy making for the Kerala State. This study can be reference for measures to ensure food security, resource and infrastructure manag</w:t>
      </w:r>
      <w:r w:rsidR="00CB6878" w:rsidRPr="00CB6878">
        <w:rPr>
          <w:rFonts w:ascii="Arial" w:hAnsi="Arial" w:cs="Arial"/>
          <w:sz w:val="20"/>
        </w:rPr>
        <w:t xml:space="preserve">ement and also for risk management and disaster preparedness. As forecasted, if the GCA of the state is decreasing over the years, strict and comprehensive monitoring of the agricultural sustainability of the state should be ensured through various action plans along with economic and market predictions. The present study was limited to two single models and their combined hybrid models. The study leaves an opportunity for other advanced time series models and their hybrid models to get better accuracy and precision. The study also has a scope to extend the same to other related variables. </w:t>
      </w:r>
    </w:p>
    <w:p w14:paraId="4A3A6972" w14:textId="77777777" w:rsidR="00434D5A" w:rsidRDefault="00434D5A" w:rsidP="00F94806">
      <w:pPr>
        <w:rPr>
          <w:rFonts w:ascii="Calibri" w:eastAsia="Calibri" w:hAnsi="Calibri" w:cs="Times New Roman"/>
        </w:rPr>
      </w:pPr>
      <w:bookmarkStart w:id="1" w:name="_Hlk193540946"/>
      <w:bookmarkStart w:id="2" w:name="_Hlk180402183"/>
      <w:bookmarkStart w:id="3" w:name="_Hlk183680988"/>
      <w:bookmarkStart w:id="4" w:name="_Hlk197173371"/>
      <w:bookmarkStart w:id="5" w:name="_Hlk192511329"/>
    </w:p>
    <w:p w14:paraId="581934BB" w14:textId="77777777" w:rsidR="00F94806" w:rsidRPr="00C9621A" w:rsidRDefault="00F94806" w:rsidP="00F94806">
      <w:pPr>
        <w:rPr>
          <w:rFonts w:ascii="Calibri" w:eastAsia="Calibri" w:hAnsi="Calibri" w:cs="Times New Roman"/>
          <w:b/>
        </w:rPr>
      </w:pPr>
      <w:r w:rsidRPr="00C9621A">
        <w:rPr>
          <w:rFonts w:ascii="Calibri" w:eastAsia="Calibri" w:hAnsi="Calibri" w:cs="Times New Roman"/>
          <w:b/>
        </w:rPr>
        <w:t>Disclaimer (Artificial intelligence)</w:t>
      </w:r>
    </w:p>
    <w:p w14:paraId="5A08BF47" w14:textId="77777777" w:rsidR="00F94806" w:rsidRPr="00204BC5" w:rsidRDefault="00F94806" w:rsidP="00F94806">
      <w:pPr>
        <w:rPr>
          <w:rFonts w:ascii="Calibri" w:eastAsia="Calibri" w:hAnsi="Calibri" w:cs="Times New Roman"/>
        </w:rPr>
      </w:pPr>
      <w:r w:rsidRPr="00204BC5">
        <w:rPr>
          <w:rFonts w:ascii="Calibri" w:eastAsia="Calibri" w:hAnsi="Calibri" w:cs="Times New Roman"/>
        </w:rPr>
        <w:t xml:space="preserve">Option 1: </w:t>
      </w:r>
    </w:p>
    <w:p w14:paraId="3DEC11B5" w14:textId="77777777" w:rsidR="00434D5A" w:rsidRDefault="00F94806" w:rsidP="00B42F45">
      <w:pPr>
        <w:rPr>
          <w:rFonts w:ascii="Calibri" w:eastAsia="Calibri" w:hAnsi="Calibri" w:cs="Times New Roman"/>
        </w:rPr>
      </w:pPr>
      <w:r w:rsidRPr="00204BC5">
        <w:rPr>
          <w:rFonts w:ascii="Calibri" w:eastAsia="Calibri" w:hAnsi="Calibri" w:cs="Times New Roman"/>
        </w:rPr>
        <w:t>Author(s) hereby declare that NO generative AI technologies such as Large Language Models (</w:t>
      </w:r>
      <w:proofErr w:type="spellStart"/>
      <w:r w:rsidRPr="00204BC5">
        <w:rPr>
          <w:rFonts w:ascii="Calibri" w:eastAsia="Calibri" w:hAnsi="Calibri" w:cs="Times New Roman"/>
        </w:rPr>
        <w:t>ChatGPT</w:t>
      </w:r>
      <w:proofErr w:type="spellEnd"/>
      <w:r w:rsidRPr="00204BC5">
        <w:rPr>
          <w:rFonts w:ascii="Calibri" w:eastAsia="Calibri" w:hAnsi="Calibri" w:cs="Times New Roman"/>
        </w:rPr>
        <w:t xml:space="preserve">, COPILOT, etc.) and text-to-image generators have been used during the writing or editing of this manuscript. </w:t>
      </w:r>
      <w:bookmarkEnd w:id="1"/>
      <w:bookmarkEnd w:id="2"/>
      <w:bookmarkEnd w:id="3"/>
    </w:p>
    <w:p w14:paraId="1634F7DF" w14:textId="247017AF" w:rsidR="00F94806" w:rsidRPr="00204BC5" w:rsidRDefault="00F94806" w:rsidP="00B42F45">
      <w:pPr>
        <w:rPr>
          <w:rFonts w:ascii="Calibri" w:eastAsia="Calibri" w:hAnsi="Calibri" w:cs="Times New Roman"/>
        </w:rPr>
      </w:pPr>
      <w:r>
        <w:rPr>
          <w:rFonts w:ascii="Calibri" w:eastAsia="Calibri" w:hAnsi="Calibri" w:cs="Times New Roman"/>
        </w:rPr>
        <w:tab/>
      </w:r>
      <w:bookmarkEnd w:id="4"/>
      <w:bookmarkEnd w:id="5"/>
    </w:p>
    <w:p w14:paraId="3B788DCA" w14:textId="77777777" w:rsidR="00E37B44" w:rsidRPr="00650A72" w:rsidRDefault="00E37B44" w:rsidP="00B42F45">
      <w:pPr>
        <w:rPr>
          <w:rFonts w:ascii="Arial" w:hAnsi="Arial" w:cs="Arial"/>
          <w:b/>
          <w:sz w:val="24"/>
        </w:rPr>
      </w:pPr>
      <w:r w:rsidRPr="00650A72">
        <w:rPr>
          <w:rFonts w:ascii="Arial" w:hAnsi="Arial" w:cs="Arial"/>
          <w:b/>
          <w:sz w:val="24"/>
        </w:rPr>
        <w:t>REFERENCES</w:t>
      </w:r>
    </w:p>
    <w:p w14:paraId="170E249B" w14:textId="77777777" w:rsidR="00434D5A" w:rsidRPr="00434D5A" w:rsidRDefault="00434D5A" w:rsidP="00C9621A">
      <w:pPr>
        <w:numPr>
          <w:ilvl w:val="0"/>
          <w:numId w:val="3"/>
        </w:numPr>
        <w:jc w:val="both"/>
        <w:rPr>
          <w:rFonts w:ascii="Arial" w:hAnsi="Arial" w:cs="Arial"/>
          <w:sz w:val="20"/>
        </w:rPr>
      </w:pPr>
      <w:r w:rsidRPr="008031ED">
        <w:rPr>
          <w:rFonts w:ascii="Arial" w:hAnsi="Arial" w:cs="Arial"/>
          <w:sz w:val="20"/>
        </w:rPr>
        <w:t xml:space="preserve">Chen, Zhang. </w:t>
      </w:r>
      <w:proofErr w:type="gramStart"/>
      <w:r w:rsidRPr="008031ED">
        <w:rPr>
          <w:rFonts w:ascii="Arial" w:hAnsi="Arial" w:cs="Arial"/>
          <w:sz w:val="20"/>
        </w:rPr>
        <w:t xml:space="preserve">and  </w:t>
      </w:r>
      <w:proofErr w:type="spellStart"/>
      <w:r w:rsidRPr="008031ED">
        <w:rPr>
          <w:rFonts w:ascii="Arial" w:hAnsi="Arial" w:cs="Arial"/>
          <w:sz w:val="20"/>
        </w:rPr>
        <w:t>Xinmiao</w:t>
      </w:r>
      <w:proofErr w:type="spellEnd"/>
      <w:proofErr w:type="gramEnd"/>
      <w:r w:rsidRPr="008031ED">
        <w:rPr>
          <w:rFonts w:ascii="Arial" w:hAnsi="Arial" w:cs="Arial"/>
          <w:sz w:val="20"/>
        </w:rPr>
        <w:t xml:space="preserve">, Zhou. (2024). Forecasting value-at-risk of crude oil futures using a hybrid ARIMA-SVR-POT model. </w:t>
      </w:r>
      <w:proofErr w:type="spellStart"/>
      <w:r w:rsidRPr="008031ED">
        <w:rPr>
          <w:rFonts w:ascii="Arial" w:hAnsi="Arial" w:cs="Arial"/>
          <w:sz w:val="20"/>
        </w:rPr>
        <w:t>Heliyon</w:t>
      </w:r>
      <w:proofErr w:type="spellEnd"/>
      <w:r w:rsidRPr="008031ED">
        <w:rPr>
          <w:rFonts w:ascii="Arial" w:hAnsi="Arial" w:cs="Arial"/>
          <w:sz w:val="20"/>
        </w:rPr>
        <w:t xml:space="preserve">. Volume 10, Issue 1, ISSN 2405-8440.  </w:t>
      </w:r>
      <w:hyperlink r:id="rId13" w:history="1">
        <w:r w:rsidRPr="00434D5A">
          <w:rPr>
            <w:rStyle w:val="Hyperlink"/>
            <w:rFonts w:ascii="Arial" w:hAnsi="Arial" w:cs="Arial"/>
            <w:color w:val="auto"/>
            <w:sz w:val="20"/>
            <w:u w:val="none"/>
          </w:rPr>
          <w:t>https://doi.org/10.1016/j.heliyon.2023.e23358</w:t>
        </w:r>
      </w:hyperlink>
      <w:r w:rsidRPr="00434D5A">
        <w:rPr>
          <w:rFonts w:ascii="Arial" w:hAnsi="Arial" w:cs="Arial"/>
          <w:sz w:val="20"/>
        </w:rPr>
        <w:t>.</w:t>
      </w:r>
    </w:p>
    <w:p w14:paraId="149EFA85" w14:textId="77777777" w:rsidR="00434D5A" w:rsidRPr="00434D5A" w:rsidRDefault="00434D5A" w:rsidP="00C9621A">
      <w:pPr>
        <w:numPr>
          <w:ilvl w:val="0"/>
          <w:numId w:val="3"/>
        </w:numPr>
        <w:jc w:val="both"/>
        <w:rPr>
          <w:rFonts w:ascii="Arial" w:hAnsi="Arial" w:cs="Arial"/>
          <w:sz w:val="20"/>
        </w:rPr>
      </w:pPr>
      <w:proofErr w:type="spellStart"/>
      <w:r w:rsidRPr="00204BC5">
        <w:rPr>
          <w:rFonts w:ascii="Arial" w:hAnsi="Arial" w:cs="Arial"/>
          <w:sz w:val="20"/>
        </w:rPr>
        <w:t>Domingos</w:t>
      </w:r>
      <w:proofErr w:type="spellEnd"/>
      <w:r>
        <w:rPr>
          <w:rFonts w:ascii="Arial" w:hAnsi="Arial" w:cs="Arial"/>
          <w:sz w:val="20"/>
        </w:rPr>
        <w:t>, S,</w:t>
      </w:r>
      <w:r w:rsidRPr="00204BC5">
        <w:rPr>
          <w:rFonts w:ascii="Arial" w:hAnsi="Arial" w:cs="Arial"/>
          <w:sz w:val="20"/>
        </w:rPr>
        <w:t xml:space="preserve"> de</w:t>
      </w:r>
      <w:r>
        <w:rPr>
          <w:rFonts w:ascii="Arial" w:hAnsi="Arial" w:cs="Arial"/>
          <w:sz w:val="20"/>
        </w:rPr>
        <w:t>, O,</w:t>
      </w:r>
      <w:r w:rsidRPr="00204BC5">
        <w:rPr>
          <w:rFonts w:ascii="Arial" w:hAnsi="Arial" w:cs="Arial"/>
          <w:sz w:val="20"/>
        </w:rPr>
        <w:t xml:space="preserve"> Santos</w:t>
      </w:r>
      <w:r>
        <w:rPr>
          <w:rFonts w:ascii="Arial" w:hAnsi="Arial" w:cs="Arial"/>
          <w:sz w:val="20"/>
        </w:rPr>
        <w:t>,</w:t>
      </w:r>
      <w:r w:rsidRPr="00204BC5">
        <w:rPr>
          <w:rFonts w:ascii="Arial" w:hAnsi="Arial" w:cs="Arial"/>
          <w:sz w:val="20"/>
        </w:rPr>
        <w:t xml:space="preserve"> Júnior</w:t>
      </w:r>
      <w:r>
        <w:rPr>
          <w:rFonts w:ascii="Arial" w:hAnsi="Arial" w:cs="Arial"/>
          <w:sz w:val="20"/>
        </w:rPr>
        <w:t>.</w:t>
      </w:r>
      <w:r w:rsidRPr="00204BC5">
        <w:rPr>
          <w:rFonts w:ascii="Arial" w:hAnsi="Arial" w:cs="Arial"/>
          <w:sz w:val="20"/>
        </w:rPr>
        <w:t>, João</w:t>
      </w:r>
      <w:r>
        <w:rPr>
          <w:rFonts w:ascii="Arial" w:hAnsi="Arial" w:cs="Arial"/>
          <w:sz w:val="20"/>
        </w:rPr>
        <w:t xml:space="preserve">, F, L, de, </w:t>
      </w:r>
      <w:r w:rsidRPr="00204BC5">
        <w:rPr>
          <w:rFonts w:ascii="Arial" w:hAnsi="Arial" w:cs="Arial"/>
          <w:sz w:val="20"/>
        </w:rPr>
        <w:t>Oliveira</w:t>
      </w:r>
      <w:r>
        <w:rPr>
          <w:rFonts w:ascii="Arial" w:hAnsi="Arial" w:cs="Arial"/>
          <w:sz w:val="20"/>
        </w:rPr>
        <w:t>.</w:t>
      </w:r>
      <w:r w:rsidRPr="00204BC5">
        <w:rPr>
          <w:rFonts w:ascii="Arial" w:hAnsi="Arial" w:cs="Arial"/>
          <w:sz w:val="20"/>
        </w:rPr>
        <w:t xml:space="preserve">, </w:t>
      </w:r>
      <w:r>
        <w:rPr>
          <w:rFonts w:ascii="Arial" w:hAnsi="Arial" w:cs="Arial"/>
          <w:sz w:val="20"/>
        </w:rPr>
        <w:t xml:space="preserve">and </w:t>
      </w:r>
      <w:r w:rsidRPr="00204BC5">
        <w:rPr>
          <w:rFonts w:ascii="Arial" w:hAnsi="Arial" w:cs="Arial"/>
          <w:sz w:val="20"/>
        </w:rPr>
        <w:t>Paulo</w:t>
      </w:r>
      <w:r>
        <w:rPr>
          <w:rFonts w:ascii="Arial" w:hAnsi="Arial" w:cs="Arial"/>
          <w:sz w:val="20"/>
        </w:rPr>
        <w:t xml:space="preserve">, </w:t>
      </w:r>
      <w:proofErr w:type="gramStart"/>
      <w:r>
        <w:rPr>
          <w:rFonts w:ascii="Arial" w:hAnsi="Arial" w:cs="Arial"/>
          <w:sz w:val="20"/>
        </w:rPr>
        <w:t>S,G</w:t>
      </w:r>
      <w:proofErr w:type="gramEnd"/>
      <w:r>
        <w:rPr>
          <w:rFonts w:ascii="Arial" w:hAnsi="Arial" w:cs="Arial"/>
          <w:sz w:val="20"/>
        </w:rPr>
        <w:t>,</w:t>
      </w:r>
      <w:r w:rsidRPr="00204BC5">
        <w:rPr>
          <w:rFonts w:ascii="Arial" w:hAnsi="Arial" w:cs="Arial"/>
          <w:sz w:val="20"/>
        </w:rPr>
        <w:t xml:space="preserve"> de</w:t>
      </w:r>
      <w:r>
        <w:rPr>
          <w:rFonts w:ascii="Arial" w:hAnsi="Arial" w:cs="Arial"/>
          <w:sz w:val="20"/>
        </w:rPr>
        <w:t>,</w:t>
      </w:r>
      <w:r w:rsidRPr="00204BC5">
        <w:rPr>
          <w:rFonts w:ascii="Arial" w:hAnsi="Arial" w:cs="Arial"/>
          <w:sz w:val="20"/>
        </w:rPr>
        <w:t xml:space="preserve"> Mattos</w:t>
      </w:r>
      <w:r>
        <w:rPr>
          <w:rFonts w:ascii="Arial" w:hAnsi="Arial" w:cs="Arial"/>
          <w:sz w:val="20"/>
        </w:rPr>
        <w:t xml:space="preserve">, </w:t>
      </w:r>
      <w:proofErr w:type="spellStart"/>
      <w:r>
        <w:rPr>
          <w:rFonts w:ascii="Arial" w:hAnsi="Arial" w:cs="Arial"/>
          <w:sz w:val="20"/>
        </w:rPr>
        <w:t>Neto</w:t>
      </w:r>
      <w:proofErr w:type="spellEnd"/>
      <w:r>
        <w:rPr>
          <w:rFonts w:ascii="Arial" w:hAnsi="Arial" w:cs="Arial"/>
          <w:sz w:val="20"/>
        </w:rPr>
        <w:t xml:space="preserve">. (2019). </w:t>
      </w:r>
      <w:r w:rsidRPr="00204BC5">
        <w:rPr>
          <w:rFonts w:ascii="Arial" w:hAnsi="Arial" w:cs="Arial"/>
          <w:sz w:val="20"/>
        </w:rPr>
        <w:t>An intelligent hybridization of ARIMA with machine learning models for time series forecasting,</w:t>
      </w:r>
      <w:r>
        <w:rPr>
          <w:rFonts w:ascii="Arial" w:hAnsi="Arial" w:cs="Arial"/>
          <w:sz w:val="20"/>
        </w:rPr>
        <w:t xml:space="preserve"> </w:t>
      </w:r>
      <w:r w:rsidRPr="00434D5A">
        <w:rPr>
          <w:rFonts w:ascii="Arial" w:hAnsi="Arial" w:cs="Arial"/>
          <w:sz w:val="20"/>
        </w:rPr>
        <w:t>Knowledge-Based Systems,</w:t>
      </w:r>
      <w:r>
        <w:rPr>
          <w:rFonts w:ascii="Arial" w:hAnsi="Arial" w:cs="Arial"/>
          <w:sz w:val="20"/>
        </w:rPr>
        <w:t xml:space="preserve"> </w:t>
      </w:r>
      <w:r w:rsidRPr="00434D5A">
        <w:rPr>
          <w:rFonts w:ascii="Arial" w:hAnsi="Arial" w:cs="Arial"/>
          <w:sz w:val="20"/>
        </w:rPr>
        <w:t>Volume 175,</w:t>
      </w:r>
      <w:r>
        <w:rPr>
          <w:rFonts w:ascii="Arial" w:hAnsi="Arial" w:cs="Arial"/>
          <w:sz w:val="20"/>
        </w:rPr>
        <w:t xml:space="preserve"> </w:t>
      </w:r>
      <w:r w:rsidRPr="00434D5A">
        <w:rPr>
          <w:rFonts w:ascii="Arial" w:hAnsi="Arial" w:cs="Arial"/>
          <w:sz w:val="20"/>
        </w:rPr>
        <w:t>Pages 72-86,</w:t>
      </w:r>
      <w:r>
        <w:rPr>
          <w:rFonts w:ascii="Arial" w:hAnsi="Arial" w:cs="Arial"/>
          <w:sz w:val="20"/>
        </w:rPr>
        <w:t xml:space="preserve"> </w:t>
      </w:r>
      <w:r w:rsidRPr="00434D5A">
        <w:rPr>
          <w:rFonts w:ascii="Arial" w:hAnsi="Arial" w:cs="Arial"/>
          <w:sz w:val="20"/>
        </w:rPr>
        <w:t>ISSN 0950-7051,</w:t>
      </w:r>
      <w:r>
        <w:rPr>
          <w:rFonts w:ascii="Arial" w:hAnsi="Arial" w:cs="Arial"/>
          <w:sz w:val="20"/>
        </w:rPr>
        <w:t xml:space="preserve"> </w:t>
      </w:r>
      <w:hyperlink r:id="rId14" w:history="1">
        <w:r w:rsidRPr="00B12449">
          <w:rPr>
            <w:rStyle w:val="Hyperlink"/>
            <w:rFonts w:ascii="Arial" w:hAnsi="Arial" w:cs="Arial"/>
            <w:sz w:val="20"/>
          </w:rPr>
          <w:t>https://doi.org/10.1016/j.knosys.2019.03.011</w:t>
        </w:r>
      </w:hyperlink>
    </w:p>
    <w:p w14:paraId="31FD7A3D" w14:textId="77777777" w:rsidR="00434D5A" w:rsidRPr="008031ED" w:rsidRDefault="00434D5A" w:rsidP="00C9621A">
      <w:pPr>
        <w:numPr>
          <w:ilvl w:val="0"/>
          <w:numId w:val="3"/>
        </w:numPr>
        <w:jc w:val="both"/>
        <w:rPr>
          <w:rFonts w:ascii="Arial" w:hAnsi="Arial" w:cs="Arial"/>
          <w:sz w:val="20"/>
        </w:rPr>
      </w:pPr>
      <w:r w:rsidRPr="008031ED">
        <w:rPr>
          <w:rFonts w:ascii="Arial" w:hAnsi="Arial" w:cs="Arial"/>
          <w:sz w:val="20"/>
        </w:rPr>
        <w:t>Johnson, D (2018) Cropping Pattern Changes in Kerala, 1956–57 to 2016–17. Review of Agrarian Studies, 8(1):65-99</w:t>
      </w:r>
    </w:p>
    <w:p w14:paraId="6447394B" w14:textId="77777777" w:rsidR="00434D5A" w:rsidRPr="008031ED" w:rsidRDefault="00434D5A" w:rsidP="00C9621A">
      <w:pPr>
        <w:numPr>
          <w:ilvl w:val="0"/>
          <w:numId w:val="3"/>
        </w:numPr>
        <w:jc w:val="both"/>
        <w:rPr>
          <w:rFonts w:ascii="Arial" w:hAnsi="Arial" w:cs="Arial"/>
          <w:sz w:val="20"/>
        </w:rPr>
      </w:pPr>
      <w:r w:rsidRPr="008031ED">
        <w:rPr>
          <w:rFonts w:ascii="Arial" w:hAnsi="Arial" w:cs="Arial"/>
          <w:sz w:val="20"/>
        </w:rPr>
        <w:t>Joseph, B. and Joseph, K.J (2005) Commercial agriculture in Kerala after the WTO. S. Asia Econ. J. 6(37):37-57.</w:t>
      </w:r>
    </w:p>
    <w:p w14:paraId="1B6DE8DC" w14:textId="77777777" w:rsidR="00434D5A" w:rsidRPr="008031ED" w:rsidRDefault="00434D5A" w:rsidP="00C9621A">
      <w:pPr>
        <w:numPr>
          <w:ilvl w:val="0"/>
          <w:numId w:val="3"/>
        </w:numPr>
        <w:jc w:val="both"/>
        <w:rPr>
          <w:rFonts w:ascii="Arial" w:hAnsi="Arial" w:cs="Arial"/>
          <w:sz w:val="20"/>
        </w:rPr>
      </w:pPr>
      <w:proofErr w:type="spellStart"/>
      <w:r w:rsidRPr="008031ED">
        <w:rPr>
          <w:rFonts w:ascii="Arial" w:hAnsi="Arial" w:cs="Arial"/>
          <w:sz w:val="20"/>
        </w:rPr>
        <w:t>Saleena</w:t>
      </w:r>
      <w:proofErr w:type="spellEnd"/>
      <w:r w:rsidRPr="008031ED">
        <w:rPr>
          <w:rFonts w:ascii="Arial" w:hAnsi="Arial" w:cs="Arial"/>
          <w:sz w:val="20"/>
        </w:rPr>
        <w:t>, E.C (2017) Performance appraisal of Indian agricultural system with special reference to agricultural scenario in the state of Kerala. J. Bus. Manag.19(10):5-11.</w:t>
      </w:r>
    </w:p>
    <w:p w14:paraId="628B0800" w14:textId="77777777" w:rsidR="00434D5A" w:rsidRDefault="00434D5A" w:rsidP="00C9621A">
      <w:pPr>
        <w:numPr>
          <w:ilvl w:val="0"/>
          <w:numId w:val="3"/>
        </w:numPr>
        <w:jc w:val="both"/>
        <w:rPr>
          <w:rFonts w:ascii="Arial" w:hAnsi="Arial" w:cs="Arial"/>
          <w:sz w:val="20"/>
        </w:rPr>
      </w:pPr>
      <w:r w:rsidRPr="00204BC5">
        <w:rPr>
          <w:rFonts w:ascii="Arial" w:hAnsi="Arial" w:cs="Arial"/>
          <w:sz w:val="20"/>
        </w:rPr>
        <w:t>Su, J., Lin, Z., Xu, F. </w:t>
      </w:r>
      <w:r w:rsidRPr="00204BC5">
        <w:rPr>
          <w:rFonts w:ascii="Arial" w:hAnsi="Arial" w:cs="Arial"/>
          <w:i/>
          <w:iCs/>
          <w:sz w:val="20"/>
        </w:rPr>
        <w:t>et al.</w:t>
      </w:r>
      <w:r w:rsidRPr="00204BC5">
        <w:rPr>
          <w:rFonts w:ascii="Arial" w:hAnsi="Arial" w:cs="Arial"/>
          <w:sz w:val="20"/>
        </w:rPr>
        <w:t> </w:t>
      </w:r>
      <w:r>
        <w:rPr>
          <w:rFonts w:ascii="Arial" w:hAnsi="Arial" w:cs="Arial"/>
          <w:sz w:val="20"/>
        </w:rPr>
        <w:t xml:space="preserve">(2024). </w:t>
      </w:r>
      <w:r w:rsidRPr="00204BC5">
        <w:rPr>
          <w:rFonts w:ascii="Arial" w:hAnsi="Arial" w:cs="Arial"/>
          <w:sz w:val="20"/>
        </w:rPr>
        <w:t>A hybrid model of ARIMA and MLP with a Grasshopper optimization algorithm for time series forecasting of water quality. </w:t>
      </w:r>
      <w:r w:rsidRPr="00204BC5">
        <w:rPr>
          <w:rFonts w:ascii="Arial" w:hAnsi="Arial" w:cs="Arial"/>
          <w:i/>
          <w:iCs/>
          <w:sz w:val="20"/>
        </w:rPr>
        <w:t>Sci Rep</w:t>
      </w:r>
      <w:r w:rsidRPr="00204BC5">
        <w:rPr>
          <w:rFonts w:ascii="Arial" w:hAnsi="Arial" w:cs="Arial"/>
          <w:sz w:val="20"/>
        </w:rPr>
        <w:t> </w:t>
      </w:r>
      <w:r w:rsidRPr="00204BC5">
        <w:rPr>
          <w:rFonts w:ascii="Arial" w:hAnsi="Arial" w:cs="Arial"/>
          <w:b/>
          <w:bCs/>
          <w:sz w:val="20"/>
        </w:rPr>
        <w:t>14</w:t>
      </w:r>
      <w:r>
        <w:rPr>
          <w:rFonts w:ascii="Arial" w:hAnsi="Arial" w:cs="Arial"/>
          <w:sz w:val="20"/>
        </w:rPr>
        <w:t xml:space="preserve">, 23927. </w:t>
      </w:r>
      <w:hyperlink r:id="rId15" w:history="1">
        <w:r w:rsidRPr="00B12449">
          <w:rPr>
            <w:rStyle w:val="Hyperlink"/>
            <w:rFonts w:ascii="Arial" w:hAnsi="Arial" w:cs="Arial"/>
            <w:sz w:val="20"/>
          </w:rPr>
          <w:t>https://doi.org/10.1038/s41598-024-74144-7</w:t>
        </w:r>
      </w:hyperlink>
    </w:p>
    <w:p w14:paraId="0ABEDE2A" w14:textId="77777777" w:rsidR="00434D5A" w:rsidRPr="008031ED" w:rsidRDefault="00434D5A" w:rsidP="00C9621A">
      <w:pPr>
        <w:numPr>
          <w:ilvl w:val="0"/>
          <w:numId w:val="3"/>
        </w:numPr>
        <w:jc w:val="both"/>
        <w:rPr>
          <w:rFonts w:ascii="Arial" w:hAnsi="Arial" w:cs="Arial"/>
          <w:sz w:val="20"/>
        </w:rPr>
      </w:pPr>
      <w:r w:rsidRPr="008031ED">
        <w:rPr>
          <w:rFonts w:ascii="Arial" w:hAnsi="Arial" w:cs="Arial"/>
          <w:sz w:val="20"/>
        </w:rPr>
        <w:t xml:space="preserve">Viswanathan, P. K (2014) The </w:t>
      </w:r>
      <w:proofErr w:type="spellStart"/>
      <w:r w:rsidRPr="008031ED">
        <w:rPr>
          <w:rFonts w:ascii="Arial" w:hAnsi="Arial" w:cs="Arial"/>
          <w:sz w:val="20"/>
        </w:rPr>
        <w:t>Rationalisation</w:t>
      </w:r>
      <w:proofErr w:type="spellEnd"/>
      <w:r w:rsidRPr="008031ED">
        <w:rPr>
          <w:rFonts w:ascii="Arial" w:hAnsi="Arial" w:cs="Arial"/>
          <w:sz w:val="20"/>
        </w:rPr>
        <w:t xml:space="preserve"> of Agriculture in Kerala: Implications for the Natural Environment, Agro-ecosystems, and Livelihoods. Agrarian South: Journal of Political Economy, 3(1)</w:t>
      </w:r>
    </w:p>
    <w:p w14:paraId="575DB5E4" w14:textId="77777777" w:rsidR="00434D5A" w:rsidRPr="008031ED" w:rsidRDefault="00434D5A" w:rsidP="00C9621A">
      <w:pPr>
        <w:numPr>
          <w:ilvl w:val="0"/>
          <w:numId w:val="3"/>
        </w:numPr>
        <w:jc w:val="both"/>
        <w:rPr>
          <w:rFonts w:ascii="Arial" w:hAnsi="Arial" w:cs="Arial"/>
          <w:sz w:val="20"/>
        </w:rPr>
      </w:pPr>
      <w:r w:rsidRPr="008031ED">
        <w:rPr>
          <w:rFonts w:ascii="Arial" w:hAnsi="Arial" w:cs="Arial"/>
          <w:sz w:val="20"/>
        </w:rPr>
        <w:t>Xu, D., Zhang, Q., Ding. Y., et al. (2020). Application of a hybrid ARIMA-SVR model based on the SPI for the forecast of drought: A case study in Henan Province, China[J]. Journal of Applied Meteorology and Climatology. 59(7).</w:t>
      </w:r>
    </w:p>
    <w:p w14:paraId="4117D45A" w14:textId="58A52D3B" w:rsidR="00434D5A" w:rsidRDefault="00434D5A" w:rsidP="00C9621A">
      <w:pPr>
        <w:numPr>
          <w:ilvl w:val="0"/>
          <w:numId w:val="3"/>
        </w:numPr>
        <w:jc w:val="both"/>
        <w:rPr>
          <w:rFonts w:ascii="Arial" w:hAnsi="Arial" w:cs="Arial"/>
          <w:sz w:val="20"/>
        </w:rPr>
      </w:pPr>
      <w:r w:rsidRPr="008031ED">
        <w:rPr>
          <w:rFonts w:ascii="Arial" w:hAnsi="Arial" w:cs="Arial"/>
          <w:sz w:val="20"/>
        </w:rPr>
        <w:lastRenderedPageBreak/>
        <w:t xml:space="preserve">Yan, Pan., </w:t>
      </w:r>
      <w:proofErr w:type="spellStart"/>
      <w:r w:rsidRPr="008031ED">
        <w:rPr>
          <w:rFonts w:ascii="Arial" w:hAnsi="Arial" w:cs="Arial"/>
          <w:sz w:val="20"/>
        </w:rPr>
        <w:t>Xiuling</w:t>
      </w:r>
      <w:proofErr w:type="spellEnd"/>
      <w:r w:rsidRPr="008031ED">
        <w:rPr>
          <w:rFonts w:ascii="Arial" w:hAnsi="Arial" w:cs="Arial"/>
          <w:sz w:val="20"/>
        </w:rPr>
        <w:t xml:space="preserve">, </w:t>
      </w:r>
      <w:proofErr w:type="spellStart"/>
      <w:r w:rsidRPr="008031ED">
        <w:rPr>
          <w:rFonts w:ascii="Arial" w:hAnsi="Arial" w:cs="Arial"/>
          <w:sz w:val="20"/>
        </w:rPr>
        <w:t>Jin</w:t>
      </w:r>
      <w:proofErr w:type="spellEnd"/>
      <w:r w:rsidRPr="008031ED">
        <w:rPr>
          <w:rFonts w:ascii="Arial" w:hAnsi="Arial" w:cs="Arial"/>
          <w:sz w:val="20"/>
        </w:rPr>
        <w:t xml:space="preserve">., </w:t>
      </w:r>
      <w:proofErr w:type="spellStart"/>
      <w:r w:rsidRPr="008031ED">
        <w:rPr>
          <w:rFonts w:ascii="Arial" w:hAnsi="Arial" w:cs="Arial"/>
          <w:sz w:val="20"/>
        </w:rPr>
        <w:t>Yuliang</w:t>
      </w:r>
      <w:proofErr w:type="spellEnd"/>
      <w:r w:rsidRPr="008031ED">
        <w:rPr>
          <w:rFonts w:ascii="Arial" w:hAnsi="Arial" w:cs="Arial"/>
          <w:sz w:val="20"/>
        </w:rPr>
        <w:t xml:space="preserve">, Li., Dalian, Chen. and Juan, Zhou. (2021), A Study on the Prediction of Book Borrowing Based on ARIMA-SVR Model. Procedia Computer Science. Volume 188, Pages 93-102, ISSN 1877-0509. </w:t>
      </w:r>
      <w:hyperlink r:id="rId16" w:history="1">
        <w:r w:rsidRPr="00B12449">
          <w:rPr>
            <w:rStyle w:val="Hyperlink"/>
            <w:rFonts w:ascii="Arial" w:hAnsi="Arial" w:cs="Arial"/>
            <w:sz w:val="20"/>
          </w:rPr>
          <w:t>https://doi.org/10.1016/j.procs.2021.05.057</w:t>
        </w:r>
      </w:hyperlink>
      <w:r w:rsidRPr="008031ED">
        <w:rPr>
          <w:rFonts w:ascii="Arial" w:hAnsi="Arial" w:cs="Arial"/>
          <w:sz w:val="20"/>
        </w:rPr>
        <w:t>.</w:t>
      </w:r>
    </w:p>
    <w:p w14:paraId="53C509BF" w14:textId="5C9EF619" w:rsidR="00B62891" w:rsidRDefault="00B62891" w:rsidP="00C9621A">
      <w:pPr>
        <w:numPr>
          <w:ilvl w:val="0"/>
          <w:numId w:val="3"/>
        </w:numPr>
        <w:jc w:val="both"/>
        <w:rPr>
          <w:rFonts w:ascii="Arial" w:hAnsi="Arial" w:cs="Arial"/>
          <w:sz w:val="20"/>
        </w:rPr>
      </w:pPr>
      <w:proofErr w:type="spellStart"/>
      <w:r w:rsidRPr="00B62891">
        <w:rPr>
          <w:rFonts w:ascii="Arial" w:hAnsi="Arial" w:cs="Arial"/>
          <w:sz w:val="20"/>
        </w:rPr>
        <w:t>Kavousi-Fard</w:t>
      </w:r>
      <w:proofErr w:type="spellEnd"/>
      <w:r w:rsidRPr="00B62891">
        <w:rPr>
          <w:rFonts w:ascii="Arial" w:hAnsi="Arial" w:cs="Arial"/>
          <w:sz w:val="20"/>
        </w:rPr>
        <w:t xml:space="preserve">, A., &amp; </w:t>
      </w:r>
      <w:proofErr w:type="spellStart"/>
      <w:r w:rsidRPr="00B62891">
        <w:rPr>
          <w:rFonts w:ascii="Arial" w:hAnsi="Arial" w:cs="Arial"/>
          <w:sz w:val="20"/>
        </w:rPr>
        <w:t>Kavousi-Fard</w:t>
      </w:r>
      <w:proofErr w:type="spellEnd"/>
      <w:r w:rsidRPr="00B62891">
        <w:rPr>
          <w:rFonts w:ascii="Arial" w:hAnsi="Arial" w:cs="Arial"/>
          <w:sz w:val="20"/>
        </w:rPr>
        <w:t>, F. (2013). A new hybrid correction method for short-term load forecasting based on ARIMA, SVR and CSA. Journal of Experimental &amp; Theoretical Artificial Intelligence, 25(4), 559-574.</w:t>
      </w:r>
    </w:p>
    <w:p w14:paraId="17264D64" w14:textId="77777777" w:rsidR="008C4039" w:rsidRPr="00650A72" w:rsidRDefault="008C4039" w:rsidP="004F4FE2">
      <w:pPr>
        <w:rPr>
          <w:rFonts w:ascii="Arial" w:hAnsi="Arial" w:cs="Arial"/>
        </w:rPr>
      </w:pPr>
    </w:p>
    <w:sectPr w:rsidR="008C4039" w:rsidRPr="00650A72" w:rsidSect="00CB6878">
      <w:headerReference w:type="even" r:id="rId17"/>
      <w:headerReference w:type="default" r:id="rId18"/>
      <w:footerReference w:type="even" r:id="rId19"/>
      <w:footerReference w:type="default" r:id="rId20"/>
      <w:headerReference w:type="first" r:id="rId21"/>
      <w:footerReference w:type="first" r:id="rId22"/>
      <w:pgSz w:w="12240" w:h="15840" w:code="1"/>
      <w:pgMar w:top="1267" w:right="1080" w:bottom="540" w:left="1440" w:header="720" w:footer="8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1A938" w14:textId="77777777" w:rsidR="00C86AEE" w:rsidRDefault="00C86AEE" w:rsidP="004F4FE2">
      <w:pPr>
        <w:spacing w:after="0" w:line="240" w:lineRule="auto"/>
      </w:pPr>
      <w:r>
        <w:separator/>
      </w:r>
    </w:p>
  </w:endnote>
  <w:endnote w:type="continuationSeparator" w:id="0">
    <w:p w14:paraId="3B6E0F9C" w14:textId="77777777" w:rsidR="00C86AEE" w:rsidRDefault="00C86AEE" w:rsidP="004F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C8C9" w14:textId="77777777" w:rsidR="009B730C" w:rsidRDefault="009B7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4A0A" w14:textId="77777777" w:rsidR="009B730C" w:rsidRDefault="009B7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35EC" w14:textId="77777777" w:rsidR="009B730C" w:rsidRDefault="009B7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4DDC6" w14:textId="77777777" w:rsidR="00C86AEE" w:rsidRDefault="00C86AEE" w:rsidP="004F4FE2">
      <w:pPr>
        <w:spacing w:after="0" w:line="240" w:lineRule="auto"/>
      </w:pPr>
      <w:r>
        <w:separator/>
      </w:r>
    </w:p>
  </w:footnote>
  <w:footnote w:type="continuationSeparator" w:id="0">
    <w:p w14:paraId="56B84D7F" w14:textId="77777777" w:rsidR="00C86AEE" w:rsidRDefault="00C86AEE" w:rsidP="004F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B9BBE" w14:textId="2F61AA1C" w:rsidR="009B730C" w:rsidRDefault="00B62891">
    <w:pPr>
      <w:pStyle w:val="Header"/>
    </w:pPr>
    <w:r>
      <w:rPr>
        <w:noProof/>
      </w:rPr>
      <w:pict w14:anchorId="6A829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4376"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986A" w14:textId="6C44725B" w:rsidR="009B730C" w:rsidRDefault="00B62891">
    <w:pPr>
      <w:pStyle w:val="Header"/>
    </w:pPr>
    <w:r>
      <w:rPr>
        <w:noProof/>
      </w:rPr>
      <w:pict w14:anchorId="06AB1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4377"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B15F" w14:textId="2AAB0678" w:rsidR="009B730C" w:rsidRDefault="00B62891">
    <w:pPr>
      <w:pStyle w:val="Header"/>
    </w:pPr>
    <w:r>
      <w:rPr>
        <w:noProof/>
      </w:rPr>
      <w:pict w14:anchorId="5D4E9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84375"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75DC9"/>
    <w:multiLevelType w:val="hybridMultilevel"/>
    <w:tmpl w:val="7D2C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21D56"/>
    <w:multiLevelType w:val="hybridMultilevel"/>
    <w:tmpl w:val="5902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A58D3"/>
    <w:multiLevelType w:val="hybridMultilevel"/>
    <w:tmpl w:val="BE8A54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ACF"/>
    <w:rsid w:val="000169CE"/>
    <w:rsid w:val="000844DA"/>
    <w:rsid w:val="000B0133"/>
    <w:rsid w:val="001968BA"/>
    <w:rsid w:val="00204BC5"/>
    <w:rsid w:val="00262CC3"/>
    <w:rsid w:val="003636BC"/>
    <w:rsid w:val="00434D5A"/>
    <w:rsid w:val="00444426"/>
    <w:rsid w:val="004550D1"/>
    <w:rsid w:val="00456394"/>
    <w:rsid w:val="004F4FE2"/>
    <w:rsid w:val="00650A72"/>
    <w:rsid w:val="007339EB"/>
    <w:rsid w:val="00746293"/>
    <w:rsid w:val="007C1ACF"/>
    <w:rsid w:val="008031ED"/>
    <w:rsid w:val="00857B64"/>
    <w:rsid w:val="008C4039"/>
    <w:rsid w:val="0097763B"/>
    <w:rsid w:val="009B730C"/>
    <w:rsid w:val="009E3417"/>
    <w:rsid w:val="00B42F45"/>
    <w:rsid w:val="00B62891"/>
    <w:rsid w:val="00BA669C"/>
    <w:rsid w:val="00C86AEE"/>
    <w:rsid w:val="00C9621A"/>
    <w:rsid w:val="00CB6878"/>
    <w:rsid w:val="00D12654"/>
    <w:rsid w:val="00DD0D44"/>
    <w:rsid w:val="00E37B44"/>
    <w:rsid w:val="00E56090"/>
    <w:rsid w:val="00F23B86"/>
    <w:rsid w:val="00F94806"/>
    <w:rsid w:val="00FD6C2C"/>
    <w:rsid w:val="00FE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A92BAC"/>
  <w15:docId w15:val="{038127C6-ABC7-488E-B31D-950A2A3A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B44"/>
  </w:style>
  <w:style w:type="table" w:styleId="TableGrid">
    <w:name w:val="Table Grid"/>
    <w:basedOn w:val="TableNormal"/>
    <w:uiPriority w:val="39"/>
    <w:rsid w:val="00E3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7B44"/>
    <w:rPr>
      <w:color w:val="0000FF" w:themeColor="hyperlink"/>
      <w:u w:val="single"/>
    </w:rPr>
  </w:style>
  <w:style w:type="paragraph" w:styleId="BalloonText">
    <w:name w:val="Balloon Text"/>
    <w:basedOn w:val="Normal"/>
    <w:link w:val="BalloonTextChar"/>
    <w:uiPriority w:val="99"/>
    <w:semiHidden/>
    <w:unhideWhenUsed/>
    <w:rsid w:val="00E3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B44"/>
    <w:rPr>
      <w:rFonts w:ascii="Tahoma" w:hAnsi="Tahoma" w:cs="Tahoma"/>
      <w:sz w:val="16"/>
      <w:szCs w:val="16"/>
    </w:rPr>
  </w:style>
  <w:style w:type="table" w:customStyle="1" w:styleId="TableGrid1">
    <w:name w:val="Table Grid1"/>
    <w:basedOn w:val="TableNormal"/>
    <w:next w:val="TableGrid"/>
    <w:uiPriority w:val="39"/>
    <w:rsid w:val="00E3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44"/>
    <w:pPr>
      <w:spacing w:after="0" w:line="240" w:lineRule="auto"/>
      <w:ind w:left="720"/>
      <w:contextualSpacing/>
    </w:pPr>
  </w:style>
  <w:style w:type="paragraph" w:styleId="Header">
    <w:name w:val="header"/>
    <w:basedOn w:val="Normal"/>
    <w:link w:val="HeaderChar"/>
    <w:uiPriority w:val="99"/>
    <w:unhideWhenUsed/>
    <w:rsid w:val="004F4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E2"/>
  </w:style>
  <w:style w:type="character" w:styleId="PlaceholderText">
    <w:name w:val="Placeholder Text"/>
    <w:basedOn w:val="DefaultParagraphFont"/>
    <w:uiPriority w:val="99"/>
    <w:semiHidden/>
    <w:rsid w:val="0097763B"/>
    <w:rPr>
      <w:color w:val="808080"/>
    </w:rPr>
  </w:style>
  <w:style w:type="character" w:customStyle="1" w:styleId="UnresolvedMention1">
    <w:name w:val="Unresolved Mention1"/>
    <w:basedOn w:val="DefaultParagraphFont"/>
    <w:uiPriority w:val="99"/>
    <w:semiHidden/>
    <w:unhideWhenUsed/>
    <w:rsid w:val="0001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100484">
      <w:bodyDiv w:val="1"/>
      <w:marLeft w:val="0"/>
      <w:marRight w:val="0"/>
      <w:marTop w:val="0"/>
      <w:marBottom w:val="0"/>
      <w:divBdr>
        <w:top w:val="none" w:sz="0" w:space="0" w:color="auto"/>
        <w:left w:val="none" w:sz="0" w:space="0" w:color="auto"/>
        <w:bottom w:val="none" w:sz="0" w:space="0" w:color="auto"/>
        <w:right w:val="none" w:sz="0" w:space="0" w:color="auto"/>
      </w:divBdr>
    </w:div>
    <w:div w:id="177891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kerala.gov.in" TargetMode="External"/><Relationship Id="rId13" Type="http://schemas.openxmlformats.org/officeDocument/2006/relationships/hyperlink" Target="https://doi.org/10.1016/j.heliyon.2023.e2335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procs.2021.05.05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8/s41598-024-74144-7"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knosys.2019.03.011"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0"/>
            </a:pPr>
            <a:r>
              <a:rPr lang="en-US" sz="800" b="0"/>
              <a:t>Gross Cropped Area</a:t>
            </a:r>
          </a:p>
        </c:rich>
      </c:tx>
      <c:overlay val="0"/>
    </c:title>
    <c:autoTitleDeleted val="0"/>
    <c:plotArea>
      <c:layout>
        <c:manualLayout>
          <c:layoutTarget val="inner"/>
          <c:xMode val="edge"/>
          <c:yMode val="edge"/>
          <c:x val="0.13196522309711287"/>
          <c:y val="0.14722222222222223"/>
          <c:w val="0.83028477690288705"/>
          <c:h val="0.536712962962963"/>
        </c:manualLayout>
      </c:layout>
      <c:lineChart>
        <c:grouping val="standard"/>
        <c:varyColors val="0"/>
        <c:ser>
          <c:idx val="0"/>
          <c:order val="0"/>
          <c:tx>
            <c:strRef>
              <c:f>SVM!$B$1</c:f>
              <c:strCache>
                <c:ptCount val="1"/>
                <c:pt idx="0">
                  <c:v>Original Values</c:v>
                </c:pt>
              </c:strCache>
            </c:strRef>
          </c:tx>
          <c:spPr>
            <a:ln w="3175"/>
          </c:spPr>
          <c:marker>
            <c:symbol val="none"/>
          </c:marker>
          <c:cat>
            <c:numRef>
              <c:f>SVM!$A$2:$A$69</c:f>
              <c:numCache>
                <c:formatCode>General</c:formatCode>
                <c:ptCount val="68"/>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pt idx="52">
                  <c:v>2017</c:v>
                </c:pt>
                <c:pt idx="53">
                  <c:v>2018</c:v>
                </c:pt>
                <c:pt idx="54">
                  <c:v>2019</c:v>
                </c:pt>
                <c:pt idx="55">
                  <c:v>2020</c:v>
                </c:pt>
                <c:pt idx="56">
                  <c:v>2021</c:v>
                </c:pt>
                <c:pt idx="57">
                  <c:v>2022</c:v>
                </c:pt>
                <c:pt idx="58">
                  <c:v>2023</c:v>
                </c:pt>
                <c:pt idx="59">
                  <c:v>2024</c:v>
                </c:pt>
                <c:pt idx="60">
                  <c:v>2025</c:v>
                </c:pt>
                <c:pt idx="61">
                  <c:v>2026</c:v>
                </c:pt>
                <c:pt idx="62">
                  <c:v>2027</c:v>
                </c:pt>
                <c:pt idx="63">
                  <c:v>2028</c:v>
                </c:pt>
                <c:pt idx="64">
                  <c:v>2029</c:v>
                </c:pt>
                <c:pt idx="65">
                  <c:v>2030</c:v>
                </c:pt>
                <c:pt idx="66">
                  <c:v>2031</c:v>
                </c:pt>
                <c:pt idx="67">
                  <c:v>2032</c:v>
                </c:pt>
              </c:numCache>
            </c:numRef>
          </c:cat>
          <c:val>
            <c:numRef>
              <c:f>SVM!$B$2:$B$69</c:f>
              <c:numCache>
                <c:formatCode>General</c:formatCode>
                <c:ptCount val="68"/>
                <c:pt idx="0">
                  <c:v>25.513439999999999</c:v>
                </c:pt>
                <c:pt idx="1">
                  <c:v>26.22</c:v>
                </c:pt>
                <c:pt idx="2">
                  <c:v>27.57</c:v>
                </c:pt>
                <c:pt idx="3">
                  <c:v>28.53</c:v>
                </c:pt>
                <c:pt idx="4">
                  <c:v>29.16</c:v>
                </c:pt>
                <c:pt idx="5">
                  <c:v>29.33</c:v>
                </c:pt>
                <c:pt idx="6">
                  <c:v>29.58</c:v>
                </c:pt>
                <c:pt idx="7">
                  <c:v>29.86</c:v>
                </c:pt>
                <c:pt idx="8">
                  <c:v>29.99</c:v>
                </c:pt>
                <c:pt idx="9">
                  <c:v>30.28</c:v>
                </c:pt>
                <c:pt idx="10">
                  <c:v>29.81279</c:v>
                </c:pt>
                <c:pt idx="11">
                  <c:v>29.334499999999998</c:v>
                </c:pt>
                <c:pt idx="12">
                  <c:v>29.46613</c:v>
                </c:pt>
                <c:pt idx="13">
                  <c:v>28.857099999999999</c:v>
                </c:pt>
                <c:pt idx="14">
                  <c:v>28.54055</c:v>
                </c:pt>
                <c:pt idx="15">
                  <c:v>28.848400000000002</c:v>
                </c:pt>
                <c:pt idx="16">
                  <c:v>29.052569999999999</c:v>
                </c:pt>
                <c:pt idx="17">
                  <c:v>28.620729999999998</c:v>
                </c:pt>
                <c:pt idx="18">
                  <c:v>28.61702</c:v>
                </c:pt>
                <c:pt idx="19">
                  <c:v>28.74643</c:v>
                </c:pt>
                <c:pt idx="20">
                  <c:v>28.665520000000001</c:v>
                </c:pt>
                <c:pt idx="21">
                  <c:v>28.703140000000001</c:v>
                </c:pt>
                <c:pt idx="22">
                  <c:v>28.998550000000002</c:v>
                </c:pt>
                <c:pt idx="23">
                  <c:v>29.634730000000001</c:v>
                </c:pt>
                <c:pt idx="24">
                  <c:v>30.190190000000001</c:v>
                </c:pt>
                <c:pt idx="25">
                  <c:v>30.1998</c:v>
                </c:pt>
                <c:pt idx="26">
                  <c:v>30.21116</c:v>
                </c:pt>
                <c:pt idx="27">
                  <c:v>30.46471</c:v>
                </c:pt>
                <c:pt idx="28">
                  <c:v>30.427009999999999</c:v>
                </c:pt>
                <c:pt idx="29">
                  <c:v>30.48405</c:v>
                </c:pt>
                <c:pt idx="30">
                  <c:v>30.67136</c:v>
                </c:pt>
                <c:pt idx="31">
                  <c:v>30.212240000000001</c:v>
                </c:pt>
                <c:pt idx="32">
                  <c:v>29.690020000000001</c:v>
                </c:pt>
                <c:pt idx="33">
                  <c:v>29.165050000000001</c:v>
                </c:pt>
                <c:pt idx="34">
                  <c:v>30.017040000000001</c:v>
                </c:pt>
                <c:pt idx="35">
                  <c:v>30.216819999999998</c:v>
                </c:pt>
                <c:pt idx="36">
                  <c:v>29.922519999999999</c:v>
                </c:pt>
                <c:pt idx="37">
                  <c:v>29.70384</c:v>
                </c:pt>
                <c:pt idx="38">
                  <c:v>29.544540000000001</c:v>
                </c:pt>
                <c:pt idx="39">
                  <c:v>29.946660000000001</c:v>
                </c:pt>
                <c:pt idx="40">
                  <c:v>29.824539999999999</c:v>
                </c:pt>
                <c:pt idx="41">
                  <c:v>29.138729999999999</c:v>
                </c:pt>
                <c:pt idx="42">
                  <c:v>27.587399999999999</c:v>
                </c:pt>
                <c:pt idx="43">
                  <c:v>26.94943</c:v>
                </c:pt>
                <c:pt idx="44">
                  <c:v>26.686779999999999</c:v>
                </c:pt>
                <c:pt idx="45">
                  <c:v>26.474609999999998</c:v>
                </c:pt>
                <c:pt idx="46">
                  <c:v>26.617570000000001</c:v>
                </c:pt>
                <c:pt idx="47">
                  <c:v>25.917339999999999</c:v>
                </c:pt>
                <c:pt idx="48">
                  <c:v>26.166699999999999</c:v>
                </c:pt>
                <c:pt idx="49">
                  <c:v>26.24624</c:v>
                </c:pt>
                <c:pt idx="50">
                  <c:v>26.275770000000001</c:v>
                </c:pt>
                <c:pt idx="51">
                  <c:v>25.840070000000001</c:v>
                </c:pt>
                <c:pt idx="52">
                  <c:v>25.796990000000001</c:v>
                </c:pt>
                <c:pt idx="53">
                  <c:v>25.683039999999998</c:v>
                </c:pt>
                <c:pt idx="54">
                  <c:v>25.899560000000001</c:v>
                </c:pt>
                <c:pt idx="55">
                  <c:v>25.689599999999999</c:v>
                </c:pt>
                <c:pt idx="56">
                  <c:v>25.230139999999999</c:v>
                </c:pt>
                <c:pt idx="57">
                  <c:v>25.16254</c:v>
                </c:pt>
              </c:numCache>
            </c:numRef>
          </c:val>
          <c:smooth val="0"/>
          <c:extLst>
            <c:ext xmlns:c16="http://schemas.microsoft.com/office/drawing/2014/chart" uri="{C3380CC4-5D6E-409C-BE32-E72D297353CC}">
              <c16:uniqueId val="{00000000-4078-4C34-855D-54D24B832253}"/>
            </c:ext>
          </c:extLst>
        </c:ser>
        <c:ser>
          <c:idx val="1"/>
          <c:order val="1"/>
          <c:tx>
            <c:strRef>
              <c:f>SVM!$C$1</c:f>
              <c:strCache>
                <c:ptCount val="1"/>
                <c:pt idx="0">
                  <c:v>Forecasted Values</c:v>
                </c:pt>
              </c:strCache>
            </c:strRef>
          </c:tx>
          <c:spPr>
            <a:ln w="3175"/>
          </c:spPr>
          <c:marker>
            <c:symbol val="none"/>
          </c:marker>
          <c:cat>
            <c:numRef>
              <c:f>SVM!$A$2:$A$69</c:f>
              <c:numCache>
                <c:formatCode>General</c:formatCode>
                <c:ptCount val="68"/>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pt idx="52">
                  <c:v>2017</c:v>
                </c:pt>
                <c:pt idx="53">
                  <c:v>2018</c:v>
                </c:pt>
                <c:pt idx="54">
                  <c:v>2019</c:v>
                </c:pt>
                <c:pt idx="55">
                  <c:v>2020</c:v>
                </c:pt>
                <c:pt idx="56">
                  <c:v>2021</c:v>
                </c:pt>
                <c:pt idx="57">
                  <c:v>2022</c:v>
                </c:pt>
                <c:pt idx="58">
                  <c:v>2023</c:v>
                </c:pt>
                <c:pt idx="59">
                  <c:v>2024</c:v>
                </c:pt>
                <c:pt idx="60">
                  <c:v>2025</c:v>
                </c:pt>
                <c:pt idx="61">
                  <c:v>2026</c:v>
                </c:pt>
                <c:pt idx="62">
                  <c:v>2027</c:v>
                </c:pt>
                <c:pt idx="63">
                  <c:v>2028</c:v>
                </c:pt>
                <c:pt idx="64">
                  <c:v>2029</c:v>
                </c:pt>
                <c:pt idx="65">
                  <c:v>2030</c:v>
                </c:pt>
                <c:pt idx="66">
                  <c:v>2031</c:v>
                </c:pt>
                <c:pt idx="67">
                  <c:v>2032</c:v>
                </c:pt>
              </c:numCache>
            </c:numRef>
          </c:cat>
          <c:val>
            <c:numRef>
              <c:f>SVM!$C$2:$C$69</c:f>
              <c:numCache>
                <c:formatCode>General</c:formatCode>
                <c:ptCount val="68"/>
                <c:pt idx="58">
                  <c:v>26</c:v>
                </c:pt>
                <c:pt idx="59">
                  <c:v>26</c:v>
                </c:pt>
                <c:pt idx="60">
                  <c:v>26</c:v>
                </c:pt>
                <c:pt idx="61">
                  <c:v>26</c:v>
                </c:pt>
                <c:pt idx="62">
                  <c:v>26</c:v>
                </c:pt>
                <c:pt idx="63">
                  <c:v>26</c:v>
                </c:pt>
                <c:pt idx="64">
                  <c:v>26</c:v>
                </c:pt>
                <c:pt idx="65">
                  <c:v>26</c:v>
                </c:pt>
                <c:pt idx="66">
                  <c:v>26</c:v>
                </c:pt>
                <c:pt idx="67">
                  <c:v>26</c:v>
                </c:pt>
              </c:numCache>
            </c:numRef>
          </c:val>
          <c:smooth val="0"/>
          <c:extLst>
            <c:ext xmlns:c16="http://schemas.microsoft.com/office/drawing/2014/chart" uri="{C3380CC4-5D6E-409C-BE32-E72D297353CC}">
              <c16:uniqueId val="{00000001-4078-4C34-855D-54D24B832253}"/>
            </c:ext>
          </c:extLst>
        </c:ser>
        <c:dLbls>
          <c:showLegendKey val="0"/>
          <c:showVal val="0"/>
          <c:showCatName val="0"/>
          <c:showSerName val="0"/>
          <c:showPercent val="0"/>
          <c:showBubbleSize val="0"/>
        </c:dLbls>
        <c:hiLowLines/>
        <c:smooth val="0"/>
        <c:axId val="129110016"/>
        <c:axId val="42323904"/>
      </c:lineChart>
      <c:catAx>
        <c:axId val="129110016"/>
        <c:scaling>
          <c:orientation val="minMax"/>
        </c:scaling>
        <c:delete val="0"/>
        <c:axPos val="b"/>
        <c:title>
          <c:tx>
            <c:rich>
              <a:bodyPr/>
              <a:lstStyle/>
              <a:p>
                <a:pPr>
                  <a:defRPr/>
                </a:pPr>
                <a:r>
                  <a:rPr lang="en-US"/>
                  <a:t>Years</a:t>
                </a:r>
              </a:p>
            </c:rich>
          </c:tx>
          <c:overlay val="0"/>
        </c:title>
        <c:numFmt formatCode="General" sourceLinked="1"/>
        <c:majorTickMark val="none"/>
        <c:minorTickMark val="none"/>
        <c:tickLblPos val="nextTo"/>
        <c:crossAx val="42323904"/>
        <c:crosses val="autoZero"/>
        <c:auto val="1"/>
        <c:lblAlgn val="ctr"/>
        <c:lblOffset val="100"/>
        <c:noMultiLvlLbl val="0"/>
      </c:catAx>
      <c:valAx>
        <c:axId val="42323904"/>
        <c:scaling>
          <c:orientation val="minMax"/>
          <c:min val="25"/>
        </c:scaling>
        <c:delete val="0"/>
        <c:axPos val="l"/>
        <c:title>
          <c:tx>
            <c:rich>
              <a:bodyPr/>
              <a:lstStyle/>
              <a:p>
                <a:pPr>
                  <a:defRPr/>
                </a:pPr>
                <a:r>
                  <a:rPr lang="en-US"/>
                  <a:t>Area in lakh ha</a:t>
                </a:r>
              </a:p>
            </c:rich>
          </c:tx>
          <c:overlay val="0"/>
        </c:title>
        <c:numFmt formatCode="General" sourceLinked="1"/>
        <c:majorTickMark val="out"/>
        <c:minorTickMark val="none"/>
        <c:tickLblPos val="nextTo"/>
        <c:crossAx val="129110016"/>
        <c:crosses val="autoZero"/>
        <c:crossBetween val="between"/>
      </c:valAx>
    </c:plotArea>
    <c:legend>
      <c:legendPos val="r"/>
      <c:layout>
        <c:manualLayout>
          <c:xMode val="edge"/>
          <c:yMode val="edge"/>
          <c:x val="2.891666666666666E-2"/>
          <c:y val="0.93720290172061826"/>
          <c:w val="0.94608333333333339"/>
          <c:h val="5.9853455818022747E-2"/>
        </c:manualLayout>
      </c:layout>
      <c:overlay val="0"/>
      <c:txPr>
        <a:bodyPr/>
        <a:lstStyle/>
        <a:p>
          <a:pPr>
            <a:defRPr sz="800"/>
          </a:pPr>
          <a:endParaRPr lang="en-US"/>
        </a:p>
      </c:txPr>
    </c:legend>
    <c:plotVisOnly val="1"/>
    <c:dispBlanksAs val="gap"/>
    <c:showDLblsOverMax val="0"/>
  </c:chart>
  <c:txPr>
    <a:bodyPr/>
    <a:lstStyle/>
    <a:p>
      <a:pPr>
        <a:defRPr sz="900"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Gross</a:t>
            </a:r>
            <a:r>
              <a:rPr lang="en-US" sz="800" baseline="0"/>
              <a:t> Cropped Area</a:t>
            </a:r>
            <a:endParaRPr lang="en-US" sz="800"/>
          </a:p>
        </c:rich>
      </c:tx>
      <c:overlay val="0"/>
    </c:title>
    <c:autoTitleDeleted val="0"/>
    <c:plotArea>
      <c:layout>
        <c:manualLayout>
          <c:layoutTarget val="inner"/>
          <c:xMode val="edge"/>
          <c:yMode val="edge"/>
          <c:x val="0.13196522309711287"/>
          <c:y val="0.14722222222222223"/>
          <c:w val="0.83028477690288705"/>
          <c:h val="0.536712962962963"/>
        </c:manualLayout>
      </c:layout>
      <c:lineChart>
        <c:grouping val="standard"/>
        <c:varyColors val="0"/>
        <c:ser>
          <c:idx val="0"/>
          <c:order val="0"/>
          <c:tx>
            <c:strRef>
              <c:f>SVM!$B$1</c:f>
              <c:strCache>
                <c:ptCount val="1"/>
                <c:pt idx="0">
                  <c:v>Original Values</c:v>
                </c:pt>
              </c:strCache>
            </c:strRef>
          </c:tx>
          <c:spPr>
            <a:ln w="3175"/>
          </c:spPr>
          <c:marker>
            <c:symbol val="none"/>
          </c:marker>
          <c:cat>
            <c:numRef>
              <c:f>SVM!$A$2:$A$69</c:f>
              <c:numCache>
                <c:formatCode>General</c:formatCode>
                <c:ptCount val="68"/>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pt idx="52">
                  <c:v>2017</c:v>
                </c:pt>
                <c:pt idx="53">
                  <c:v>2018</c:v>
                </c:pt>
                <c:pt idx="54">
                  <c:v>2019</c:v>
                </c:pt>
                <c:pt idx="55">
                  <c:v>2020</c:v>
                </c:pt>
                <c:pt idx="56">
                  <c:v>2021</c:v>
                </c:pt>
                <c:pt idx="57">
                  <c:v>2022</c:v>
                </c:pt>
                <c:pt idx="58">
                  <c:v>2023</c:v>
                </c:pt>
                <c:pt idx="59">
                  <c:v>2024</c:v>
                </c:pt>
                <c:pt idx="60">
                  <c:v>2025</c:v>
                </c:pt>
                <c:pt idx="61">
                  <c:v>2026</c:v>
                </c:pt>
                <c:pt idx="62">
                  <c:v>2027</c:v>
                </c:pt>
                <c:pt idx="63">
                  <c:v>2028</c:v>
                </c:pt>
                <c:pt idx="64">
                  <c:v>2029</c:v>
                </c:pt>
                <c:pt idx="65">
                  <c:v>2030</c:v>
                </c:pt>
                <c:pt idx="66">
                  <c:v>2031</c:v>
                </c:pt>
                <c:pt idx="67">
                  <c:v>2032</c:v>
                </c:pt>
              </c:numCache>
            </c:numRef>
          </c:cat>
          <c:val>
            <c:numRef>
              <c:f>SVM!$B$2:$B$69</c:f>
              <c:numCache>
                <c:formatCode>General</c:formatCode>
                <c:ptCount val="68"/>
                <c:pt idx="0">
                  <c:v>25.513439999999999</c:v>
                </c:pt>
                <c:pt idx="1">
                  <c:v>26.22</c:v>
                </c:pt>
                <c:pt idx="2">
                  <c:v>27.57</c:v>
                </c:pt>
                <c:pt idx="3">
                  <c:v>28.53</c:v>
                </c:pt>
                <c:pt idx="4">
                  <c:v>29.16</c:v>
                </c:pt>
                <c:pt idx="5">
                  <c:v>29.33</c:v>
                </c:pt>
                <c:pt idx="6">
                  <c:v>29.58</c:v>
                </c:pt>
                <c:pt idx="7">
                  <c:v>29.86</c:v>
                </c:pt>
                <c:pt idx="8">
                  <c:v>29.99</c:v>
                </c:pt>
                <c:pt idx="9">
                  <c:v>30.28</c:v>
                </c:pt>
                <c:pt idx="10">
                  <c:v>29.81279</c:v>
                </c:pt>
                <c:pt idx="11">
                  <c:v>29.334499999999998</c:v>
                </c:pt>
                <c:pt idx="12">
                  <c:v>29.46613</c:v>
                </c:pt>
                <c:pt idx="13">
                  <c:v>28.857099999999999</c:v>
                </c:pt>
                <c:pt idx="14">
                  <c:v>28.54055</c:v>
                </c:pt>
                <c:pt idx="15">
                  <c:v>28.848400000000002</c:v>
                </c:pt>
                <c:pt idx="16">
                  <c:v>29.052569999999999</c:v>
                </c:pt>
                <c:pt idx="17">
                  <c:v>28.620729999999998</c:v>
                </c:pt>
                <c:pt idx="18">
                  <c:v>28.61702</c:v>
                </c:pt>
                <c:pt idx="19">
                  <c:v>28.74643</c:v>
                </c:pt>
                <c:pt idx="20">
                  <c:v>28.665520000000001</c:v>
                </c:pt>
                <c:pt idx="21">
                  <c:v>28.703140000000001</c:v>
                </c:pt>
                <c:pt idx="22">
                  <c:v>28.998550000000002</c:v>
                </c:pt>
                <c:pt idx="23">
                  <c:v>29.634730000000001</c:v>
                </c:pt>
                <c:pt idx="24">
                  <c:v>30.190190000000001</c:v>
                </c:pt>
                <c:pt idx="25">
                  <c:v>30.1998</c:v>
                </c:pt>
                <c:pt idx="26">
                  <c:v>30.21116</c:v>
                </c:pt>
                <c:pt idx="27">
                  <c:v>30.46471</c:v>
                </c:pt>
                <c:pt idx="28">
                  <c:v>30.427009999999999</c:v>
                </c:pt>
                <c:pt idx="29">
                  <c:v>30.48405</c:v>
                </c:pt>
                <c:pt idx="30">
                  <c:v>30.67136</c:v>
                </c:pt>
                <c:pt idx="31">
                  <c:v>30.212240000000001</c:v>
                </c:pt>
                <c:pt idx="32">
                  <c:v>29.690020000000001</c:v>
                </c:pt>
                <c:pt idx="33">
                  <c:v>29.165050000000001</c:v>
                </c:pt>
                <c:pt idx="34">
                  <c:v>30.017040000000001</c:v>
                </c:pt>
                <c:pt idx="35">
                  <c:v>30.216819999999998</c:v>
                </c:pt>
                <c:pt idx="36">
                  <c:v>29.922519999999999</c:v>
                </c:pt>
                <c:pt idx="37">
                  <c:v>29.70384</c:v>
                </c:pt>
                <c:pt idx="38">
                  <c:v>29.544540000000001</c:v>
                </c:pt>
                <c:pt idx="39">
                  <c:v>29.946660000000001</c:v>
                </c:pt>
                <c:pt idx="40">
                  <c:v>29.824539999999999</c:v>
                </c:pt>
                <c:pt idx="41">
                  <c:v>29.138729999999999</c:v>
                </c:pt>
                <c:pt idx="42">
                  <c:v>27.587399999999999</c:v>
                </c:pt>
                <c:pt idx="43">
                  <c:v>26.94943</c:v>
                </c:pt>
                <c:pt idx="44">
                  <c:v>26.686779999999999</c:v>
                </c:pt>
                <c:pt idx="45">
                  <c:v>26.474609999999998</c:v>
                </c:pt>
                <c:pt idx="46">
                  <c:v>26.617570000000001</c:v>
                </c:pt>
                <c:pt idx="47">
                  <c:v>25.917339999999999</c:v>
                </c:pt>
                <c:pt idx="48">
                  <c:v>26.166699999999999</c:v>
                </c:pt>
                <c:pt idx="49">
                  <c:v>26.24624</c:v>
                </c:pt>
                <c:pt idx="50">
                  <c:v>26.275770000000001</c:v>
                </c:pt>
                <c:pt idx="51">
                  <c:v>25.840070000000001</c:v>
                </c:pt>
                <c:pt idx="52">
                  <c:v>25.796990000000001</c:v>
                </c:pt>
                <c:pt idx="53">
                  <c:v>25.683039999999998</c:v>
                </c:pt>
                <c:pt idx="54">
                  <c:v>25.899560000000001</c:v>
                </c:pt>
                <c:pt idx="55">
                  <c:v>25.689599999999999</c:v>
                </c:pt>
                <c:pt idx="56">
                  <c:v>25.230139999999999</c:v>
                </c:pt>
                <c:pt idx="57">
                  <c:v>25.16254</c:v>
                </c:pt>
              </c:numCache>
            </c:numRef>
          </c:val>
          <c:smooth val="0"/>
          <c:extLst>
            <c:ext xmlns:c16="http://schemas.microsoft.com/office/drawing/2014/chart" uri="{C3380CC4-5D6E-409C-BE32-E72D297353CC}">
              <c16:uniqueId val="{00000000-1EEF-44C0-A11D-33C7BA975C8D}"/>
            </c:ext>
          </c:extLst>
        </c:ser>
        <c:ser>
          <c:idx val="1"/>
          <c:order val="1"/>
          <c:tx>
            <c:strRef>
              <c:f>SVM!$C$1</c:f>
              <c:strCache>
                <c:ptCount val="1"/>
                <c:pt idx="0">
                  <c:v>Forecasted Values</c:v>
                </c:pt>
              </c:strCache>
            </c:strRef>
          </c:tx>
          <c:spPr>
            <a:ln w="3175"/>
          </c:spPr>
          <c:marker>
            <c:symbol val="none"/>
          </c:marker>
          <c:cat>
            <c:numRef>
              <c:f>SVM!$A$2:$A$69</c:f>
              <c:numCache>
                <c:formatCode>General</c:formatCode>
                <c:ptCount val="68"/>
                <c:pt idx="0">
                  <c:v>1965</c:v>
                </c:pt>
                <c:pt idx="1">
                  <c:v>1966</c:v>
                </c:pt>
                <c:pt idx="2">
                  <c:v>1967</c:v>
                </c:pt>
                <c:pt idx="3">
                  <c:v>1968</c:v>
                </c:pt>
                <c:pt idx="4">
                  <c:v>1969</c:v>
                </c:pt>
                <c:pt idx="5">
                  <c:v>1970</c:v>
                </c:pt>
                <c:pt idx="6">
                  <c:v>1971</c:v>
                </c:pt>
                <c:pt idx="7">
                  <c:v>1972</c:v>
                </c:pt>
                <c:pt idx="8">
                  <c:v>1973</c:v>
                </c:pt>
                <c:pt idx="9">
                  <c:v>1974</c:v>
                </c:pt>
                <c:pt idx="10">
                  <c:v>1975</c:v>
                </c:pt>
                <c:pt idx="11">
                  <c:v>1976</c:v>
                </c:pt>
                <c:pt idx="12">
                  <c:v>1977</c:v>
                </c:pt>
                <c:pt idx="13">
                  <c:v>1978</c:v>
                </c:pt>
                <c:pt idx="14">
                  <c:v>1979</c:v>
                </c:pt>
                <c:pt idx="15">
                  <c:v>1980</c:v>
                </c:pt>
                <c:pt idx="16">
                  <c:v>1981</c:v>
                </c:pt>
                <c:pt idx="17">
                  <c:v>1982</c:v>
                </c:pt>
                <c:pt idx="18">
                  <c:v>1983</c:v>
                </c:pt>
                <c:pt idx="19">
                  <c:v>1984</c:v>
                </c:pt>
                <c:pt idx="20">
                  <c:v>1985</c:v>
                </c:pt>
                <c:pt idx="21">
                  <c:v>1986</c:v>
                </c:pt>
                <c:pt idx="22">
                  <c:v>1987</c:v>
                </c:pt>
                <c:pt idx="23">
                  <c:v>1988</c:v>
                </c:pt>
                <c:pt idx="24">
                  <c:v>1989</c:v>
                </c:pt>
                <c:pt idx="25">
                  <c:v>1990</c:v>
                </c:pt>
                <c:pt idx="26">
                  <c:v>1991</c:v>
                </c:pt>
                <c:pt idx="27">
                  <c:v>1992</c:v>
                </c:pt>
                <c:pt idx="28">
                  <c:v>1993</c:v>
                </c:pt>
                <c:pt idx="29">
                  <c:v>1994</c:v>
                </c:pt>
                <c:pt idx="30">
                  <c:v>1995</c:v>
                </c:pt>
                <c:pt idx="31">
                  <c:v>1996</c:v>
                </c:pt>
                <c:pt idx="32">
                  <c:v>1997</c:v>
                </c:pt>
                <c:pt idx="33">
                  <c:v>1998</c:v>
                </c:pt>
                <c:pt idx="34">
                  <c:v>1999</c:v>
                </c:pt>
                <c:pt idx="35">
                  <c:v>2000</c:v>
                </c:pt>
                <c:pt idx="36">
                  <c:v>2001</c:v>
                </c:pt>
                <c:pt idx="37">
                  <c:v>2002</c:v>
                </c:pt>
                <c:pt idx="38">
                  <c:v>2003</c:v>
                </c:pt>
                <c:pt idx="39">
                  <c:v>2004</c:v>
                </c:pt>
                <c:pt idx="40">
                  <c:v>2005</c:v>
                </c:pt>
                <c:pt idx="41">
                  <c:v>2006</c:v>
                </c:pt>
                <c:pt idx="42">
                  <c:v>2007</c:v>
                </c:pt>
                <c:pt idx="43">
                  <c:v>2008</c:v>
                </c:pt>
                <c:pt idx="44">
                  <c:v>2009</c:v>
                </c:pt>
                <c:pt idx="45">
                  <c:v>2010</c:v>
                </c:pt>
                <c:pt idx="46">
                  <c:v>2011</c:v>
                </c:pt>
                <c:pt idx="47">
                  <c:v>2012</c:v>
                </c:pt>
                <c:pt idx="48">
                  <c:v>2013</c:v>
                </c:pt>
                <c:pt idx="49">
                  <c:v>2014</c:v>
                </c:pt>
                <c:pt idx="50">
                  <c:v>2015</c:v>
                </c:pt>
                <c:pt idx="51">
                  <c:v>2016</c:v>
                </c:pt>
                <c:pt idx="52">
                  <c:v>2017</c:v>
                </c:pt>
                <c:pt idx="53">
                  <c:v>2018</c:v>
                </c:pt>
                <c:pt idx="54">
                  <c:v>2019</c:v>
                </c:pt>
                <c:pt idx="55">
                  <c:v>2020</c:v>
                </c:pt>
                <c:pt idx="56">
                  <c:v>2021</c:v>
                </c:pt>
                <c:pt idx="57">
                  <c:v>2022</c:v>
                </c:pt>
                <c:pt idx="58">
                  <c:v>2023</c:v>
                </c:pt>
                <c:pt idx="59">
                  <c:v>2024</c:v>
                </c:pt>
                <c:pt idx="60">
                  <c:v>2025</c:v>
                </c:pt>
                <c:pt idx="61">
                  <c:v>2026</c:v>
                </c:pt>
                <c:pt idx="62">
                  <c:v>2027</c:v>
                </c:pt>
                <c:pt idx="63">
                  <c:v>2028</c:v>
                </c:pt>
                <c:pt idx="64">
                  <c:v>2029</c:v>
                </c:pt>
                <c:pt idx="65">
                  <c:v>2030</c:v>
                </c:pt>
                <c:pt idx="66">
                  <c:v>2031</c:v>
                </c:pt>
                <c:pt idx="67">
                  <c:v>2032</c:v>
                </c:pt>
              </c:numCache>
            </c:numRef>
          </c:cat>
          <c:val>
            <c:numRef>
              <c:f>SVM!$C$2:$C$69</c:f>
              <c:numCache>
                <c:formatCode>General</c:formatCode>
                <c:ptCount val="68"/>
                <c:pt idx="58">
                  <c:v>24.824100000000001</c:v>
                </c:pt>
                <c:pt idx="59">
                  <c:v>24.677600000000002</c:v>
                </c:pt>
                <c:pt idx="60">
                  <c:v>24.531099999999999</c:v>
                </c:pt>
                <c:pt idx="61">
                  <c:v>24.384599999999999</c:v>
                </c:pt>
                <c:pt idx="62">
                  <c:v>24.238</c:v>
                </c:pt>
                <c:pt idx="63">
                  <c:v>24.0915</c:v>
                </c:pt>
                <c:pt idx="64">
                  <c:v>23.945</c:v>
                </c:pt>
                <c:pt idx="65">
                  <c:v>23.798500000000001</c:v>
                </c:pt>
                <c:pt idx="66">
                  <c:v>23.651900000000001</c:v>
                </c:pt>
                <c:pt idx="67">
                  <c:v>23.505400000000002</c:v>
                </c:pt>
              </c:numCache>
            </c:numRef>
          </c:val>
          <c:smooth val="0"/>
          <c:extLst>
            <c:ext xmlns:c16="http://schemas.microsoft.com/office/drawing/2014/chart" uri="{C3380CC4-5D6E-409C-BE32-E72D297353CC}">
              <c16:uniqueId val="{00000001-1EEF-44C0-A11D-33C7BA975C8D}"/>
            </c:ext>
          </c:extLst>
        </c:ser>
        <c:dLbls>
          <c:showLegendKey val="0"/>
          <c:showVal val="0"/>
          <c:showCatName val="0"/>
          <c:showSerName val="0"/>
          <c:showPercent val="0"/>
          <c:showBubbleSize val="0"/>
        </c:dLbls>
        <c:hiLowLines/>
        <c:smooth val="0"/>
        <c:axId val="39402496"/>
        <c:axId val="42327360"/>
      </c:lineChart>
      <c:catAx>
        <c:axId val="39402496"/>
        <c:scaling>
          <c:orientation val="minMax"/>
        </c:scaling>
        <c:delete val="0"/>
        <c:axPos val="b"/>
        <c:title>
          <c:tx>
            <c:rich>
              <a:bodyPr/>
              <a:lstStyle/>
              <a:p>
                <a:pPr>
                  <a:defRPr/>
                </a:pPr>
                <a:r>
                  <a:rPr lang="en-US"/>
                  <a:t>Years</a:t>
                </a:r>
              </a:p>
            </c:rich>
          </c:tx>
          <c:overlay val="0"/>
        </c:title>
        <c:numFmt formatCode="General" sourceLinked="1"/>
        <c:majorTickMark val="none"/>
        <c:minorTickMark val="none"/>
        <c:tickLblPos val="nextTo"/>
        <c:crossAx val="42327360"/>
        <c:crosses val="autoZero"/>
        <c:auto val="1"/>
        <c:lblAlgn val="ctr"/>
        <c:lblOffset val="100"/>
        <c:noMultiLvlLbl val="0"/>
      </c:catAx>
      <c:valAx>
        <c:axId val="42327360"/>
        <c:scaling>
          <c:orientation val="minMax"/>
          <c:max val="32"/>
          <c:min val="22"/>
        </c:scaling>
        <c:delete val="0"/>
        <c:axPos val="l"/>
        <c:title>
          <c:tx>
            <c:rich>
              <a:bodyPr/>
              <a:lstStyle/>
              <a:p>
                <a:pPr>
                  <a:defRPr/>
                </a:pPr>
                <a:r>
                  <a:rPr lang="en-US"/>
                  <a:t>Area in lakh ha</a:t>
                </a:r>
              </a:p>
            </c:rich>
          </c:tx>
          <c:overlay val="0"/>
        </c:title>
        <c:numFmt formatCode="General" sourceLinked="1"/>
        <c:majorTickMark val="out"/>
        <c:minorTickMark val="none"/>
        <c:tickLblPos val="nextTo"/>
        <c:crossAx val="39402496"/>
        <c:crosses val="autoZero"/>
        <c:crossBetween val="between"/>
        <c:majorUnit val="2"/>
      </c:valAx>
    </c:plotArea>
    <c:legend>
      <c:legendPos val="r"/>
      <c:layout>
        <c:manualLayout>
          <c:xMode val="edge"/>
          <c:yMode val="edge"/>
          <c:x val="2.891666666666666E-2"/>
          <c:y val="0.93720290172061826"/>
          <c:w val="0.94608333333333339"/>
          <c:h val="5.9853455818022747E-2"/>
        </c:manualLayout>
      </c:layout>
      <c:overlay val="0"/>
      <c:txPr>
        <a:bodyPr/>
        <a:lstStyle/>
        <a:p>
          <a:pPr>
            <a:defRPr sz="800"/>
          </a:pPr>
          <a:endParaRPr lang="en-US"/>
        </a:p>
      </c:txPr>
    </c:legend>
    <c:plotVisOnly val="1"/>
    <c:dispBlanksAs val="gap"/>
    <c:showDLblsOverMax val="0"/>
  </c:chart>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A414D-0B7E-4DDC-87A0-D20E75EF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Examcell-III</dc:creator>
  <cp:keywords/>
  <dc:description/>
  <cp:lastModifiedBy>SDI PC New 16</cp:lastModifiedBy>
  <cp:revision>18</cp:revision>
  <dcterms:created xsi:type="dcterms:W3CDTF">2025-05-04T06:59:00Z</dcterms:created>
  <dcterms:modified xsi:type="dcterms:W3CDTF">2025-05-12T08:13:00Z</dcterms:modified>
</cp:coreProperties>
</file>