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A63" w:rsidRDefault="003C1EC9">
      <w:pPr>
        <w:spacing w:line="276" w:lineRule="auto"/>
        <w:ind w:left="1" w:hanging="3"/>
        <w:rPr>
          <w:rFonts w:ascii="Arial" w:eastAsia="Arial" w:hAnsi="Arial" w:cs="Arial"/>
          <w:color w:val="000000"/>
          <w:sz w:val="32"/>
          <w:szCs w:val="32"/>
          <w:u w:val="single"/>
        </w:rPr>
      </w:pPr>
      <w:r>
        <w:rPr>
          <w:rFonts w:ascii="Arial" w:eastAsia="Arial" w:hAnsi="Arial" w:cs="Arial"/>
          <w:b/>
          <w:i/>
          <w:color w:val="000000"/>
          <w:sz w:val="32"/>
          <w:szCs w:val="32"/>
          <w:u w:val="single"/>
        </w:rPr>
        <w:t>Case report</w:t>
      </w:r>
    </w:p>
    <w:p w:rsidR="00355A63" w:rsidRDefault="00355A63">
      <w:pPr>
        <w:spacing w:line="276" w:lineRule="auto"/>
        <w:ind w:left="1" w:hanging="3"/>
        <w:rPr>
          <w:rFonts w:ascii="Arial" w:eastAsia="Arial" w:hAnsi="Arial" w:cs="Arial"/>
          <w:color w:val="000000"/>
          <w:sz w:val="32"/>
          <w:szCs w:val="32"/>
        </w:rPr>
      </w:pPr>
    </w:p>
    <w:p w:rsidR="00355A63" w:rsidRDefault="003C1EC9">
      <w:pPr>
        <w:spacing w:line="276" w:lineRule="auto"/>
        <w:ind w:left="1" w:hanging="3"/>
        <w:rPr>
          <w:rFonts w:ascii="Arial" w:eastAsia="Arial" w:hAnsi="Arial" w:cs="Arial"/>
          <w:color w:val="000000"/>
          <w:sz w:val="32"/>
          <w:szCs w:val="32"/>
        </w:rPr>
      </w:pPr>
      <w:r>
        <w:rPr>
          <w:rFonts w:ascii="Arial" w:eastAsia="Arial" w:hAnsi="Arial" w:cs="Arial"/>
          <w:b/>
          <w:color w:val="000000"/>
          <w:sz w:val="32"/>
          <w:szCs w:val="32"/>
        </w:rPr>
        <w:t xml:space="preserve"> Gastric Neuroendocrine Carcinoma Presenting as Liver Abscess: A Rare Case Report</w:t>
      </w:r>
    </w:p>
    <w:p w:rsidR="00355A63" w:rsidRDefault="00355A63">
      <w:pPr>
        <w:spacing w:line="276" w:lineRule="auto"/>
        <w:ind w:left="1" w:hanging="3"/>
        <w:jc w:val="center"/>
        <w:rPr>
          <w:rFonts w:ascii="Arial" w:eastAsia="Arial" w:hAnsi="Arial" w:cs="Arial"/>
          <w:color w:val="000000"/>
          <w:sz w:val="32"/>
          <w:szCs w:val="32"/>
        </w:rPr>
      </w:pPr>
    </w:p>
    <w:p w:rsidR="00355A63" w:rsidRDefault="003C1EC9">
      <w:pPr>
        <w:spacing w:line="276" w:lineRule="auto"/>
        <w:ind w:left="0" w:hanging="2"/>
        <w:rPr>
          <w:rFonts w:ascii="Arial" w:eastAsia="Arial" w:hAnsi="Arial" w:cs="Arial"/>
        </w:rPr>
      </w:pPr>
      <w:r>
        <w:rPr>
          <w:rFonts w:ascii="Arial" w:eastAsia="Arial" w:hAnsi="Arial" w:cs="Arial"/>
        </w:rPr>
        <w:t xml:space="preserve">ABSTRACT </w:t>
      </w:r>
    </w:p>
    <w:p w:rsidR="00355A63" w:rsidRDefault="003C1EC9">
      <w:pPr>
        <w:spacing w:line="276" w:lineRule="auto"/>
        <w:ind w:left="0" w:hanging="2"/>
        <w:rPr>
          <w:rFonts w:ascii="Arial" w:eastAsia="Arial" w:hAnsi="Arial" w:cs="Arial"/>
        </w:rPr>
      </w:pPr>
      <w:r>
        <w:rPr>
          <w:rFonts w:ascii="Arial" w:eastAsia="Arial" w:hAnsi="Arial" w:cs="Arial"/>
        </w:rPr>
        <w:t>Gastric neuroendocrine carcinomas (NECs) are rare, accounting for less than 1% of stomach malignancies. Among these, poorly differentiated small cell subtypes comprise an even smaller proportion. These tumors often present with nonspecific gastrointestinal</w:t>
      </w:r>
      <w:r>
        <w:rPr>
          <w:rFonts w:ascii="Arial" w:eastAsia="Arial" w:hAnsi="Arial" w:cs="Arial"/>
        </w:rPr>
        <w:t xml:space="preserve"> symptoms, making diagnosis and management challenging. We report the case of a 76-year-old female presenting with progressive epigastric pain. Clinical workup included a </w:t>
      </w:r>
      <w:proofErr w:type="spellStart"/>
      <w:r>
        <w:rPr>
          <w:rFonts w:ascii="Arial" w:eastAsia="Arial" w:hAnsi="Arial" w:cs="Arial"/>
        </w:rPr>
        <w:t>triphasic</w:t>
      </w:r>
      <w:proofErr w:type="spellEnd"/>
      <w:r>
        <w:rPr>
          <w:rFonts w:ascii="Arial" w:eastAsia="Arial" w:hAnsi="Arial" w:cs="Arial"/>
        </w:rPr>
        <w:t xml:space="preserve"> CT scan, endoscopy with biopsy, and </w:t>
      </w:r>
      <w:proofErr w:type="spellStart"/>
      <w:r>
        <w:rPr>
          <w:rFonts w:ascii="Arial" w:eastAsia="Arial" w:hAnsi="Arial" w:cs="Arial"/>
        </w:rPr>
        <w:t>immunohistochemical</w:t>
      </w:r>
      <w:proofErr w:type="spellEnd"/>
      <w:r>
        <w:rPr>
          <w:rFonts w:ascii="Arial" w:eastAsia="Arial" w:hAnsi="Arial" w:cs="Arial"/>
        </w:rPr>
        <w:t xml:space="preserve"> staining. A multidi</w:t>
      </w:r>
      <w:r>
        <w:rPr>
          <w:rFonts w:ascii="Arial" w:eastAsia="Arial" w:hAnsi="Arial" w:cs="Arial"/>
        </w:rPr>
        <w:t xml:space="preserve">sciplinary team (MDT) approach was used to guide treatment planning. Imaging revealed a malignant-appearing gastric ulcer with liver perforation and associated </w:t>
      </w:r>
      <w:proofErr w:type="spellStart"/>
      <w:proofErr w:type="gramStart"/>
      <w:r>
        <w:rPr>
          <w:rFonts w:ascii="Arial" w:eastAsia="Arial" w:hAnsi="Arial" w:cs="Arial"/>
        </w:rPr>
        <w:t>multiloculated</w:t>
      </w:r>
      <w:proofErr w:type="spellEnd"/>
      <w:proofErr w:type="gramEnd"/>
      <w:r>
        <w:rPr>
          <w:rFonts w:ascii="Arial" w:eastAsia="Arial" w:hAnsi="Arial" w:cs="Arial"/>
        </w:rPr>
        <w:t xml:space="preserve"> abscess. Biopsy confirmed a high-grade small cell NEC with a Ki-67 index of 90%. </w:t>
      </w:r>
      <w:r>
        <w:rPr>
          <w:rFonts w:ascii="Arial" w:eastAsia="Arial" w:hAnsi="Arial" w:cs="Arial"/>
        </w:rPr>
        <w:t xml:space="preserve">Following nutritional optimization via </w:t>
      </w:r>
      <w:proofErr w:type="spellStart"/>
      <w:r>
        <w:rPr>
          <w:rFonts w:ascii="Arial" w:eastAsia="Arial" w:hAnsi="Arial" w:cs="Arial"/>
        </w:rPr>
        <w:t>nasojejunal</w:t>
      </w:r>
      <w:proofErr w:type="spellEnd"/>
      <w:r>
        <w:rPr>
          <w:rFonts w:ascii="Arial" w:eastAsia="Arial" w:hAnsi="Arial" w:cs="Arial"/>
        </w:rPr>
        <w:t xml:space="preserve"> (NJ) feeding, the patient underwent a subtotal gastrectomy, left lateral </w:t>
      </w:r>
      <w:proofErr w:type="spellStart"/>
      <w:r>
        <w:rPr>
          <w:rFonts w:ascii="Arial" w:eastAsia="Arial" w:hAnsi="Arial" w:cs="Arial"/>
        </w:rPr>
        <w:t>segmentectomy</w:t>
      </w:r>
      <w:proofErr w:type="spellEnd"/>
      <w:r>
        <w:rPr>
          <w:rFonts w:ascii="Arial" w:eastAsia="Arial" w:hAnsi="Arial" w:cs="Arial"/>
        </w:rPr>
        <w:t xml:space="preserve"> of the liver, and reconstruction with </w:t>
      </w:r>
      <w:proofErr w:type="spellStart"/>
      <w:r>
        <w:rPr>
          <w:rFonts w:ascii="Arial" w:eastAsia="Arial" w:hAnsi="Arial" w:cs="Arial"/>
        </w:rPr>
        <w:t>gastrojejunostomy</w:t>
      </w:r>
      <w:proofErr w:type="spellEnd"/>
      <w:r>
        <w:rPr>
          <w:rFonts w:ascii="Arial" w:eastAsia="Arial" w:hAnsi="Arial" w:cs="Arial"/>
        </w:rPr>
        <w:t xml:space="preserve"> and </w:t>
      </w:r>
      <w:proofErr w:type="spellStart"/>
      <w:r>
        <w:rPr>
          <w:rFonts w:ascii="Arial" w:eastAsia="Arial" w:hAnsi="Arial" w:cs="Arial"/>
        </w:rPr>
        <w:t>jejunojejunostomy</w:t>
      </w:r>
      <w:proofErr w:type="spellEnd"/>
      <w:r>
        <w:rPr>
          <w:rFonts w:ascii="Arial" w:eastAsia="Arial" w:hAnsi="Arial" w:cs="Arial"/>
        </w:rPr>
        <w:t>. Histopathology confirmed Grade III poor</w:t>
      </w:r>
      <w:r>
        <w:rPr>
          <w:rFonts w:ascii="Arial" w:eastAsia="Arial" w:hAnsi="Arial" w:cs="Arial"/>
        </w:rPr>
        <w:t xml:space="preserve">ly differentiated NEC with </w:t>
      </w:r>
      <w:proofErr w:type="spellStart"/>
      <w:r>
        <w:rPr>
          <w:rFonts w:ascii="Arial" w:eastAsia="Arial" w:hAnsi="Arial" w:cs="Arial"/>
        </w:rPr>
        <w:t>lymphovascular</w:t>
      </w:r>
      <w:proofErr w:type="spellEnd"/>
      <w:r>
        <w:rPr>
          <w:rFonts w:ascii="Arial" w:eastAsia="Arial" w:hAnsi="Arial" w:cs="Arial"/>
        </w:rPr>
        <w:t xml:space="preserve"> and </w:t>
      </w:r>
      <w:proofErr w:type="spellStart"/>
      <w:r>
        <w:rPr>
          <w:rFonts w:ascii="Arial" w:eastAsia="Arial" w:hAnsi="Arial" w:cs="Arial"/>
        </w:rPr>
        <w:t>perineural</w:t>
      </w:r>
      <w:proofErr w:type="spellEnd"/>
      <w:r>
        <w:rPr>
          <w:rFonts w:ascii="Arial" w:eastAsia="Arial" w:hAnsi="Arial" w:cs="Arial"/>
        </w:rPr>
        <w:t xml:space="preserve"> invasion and 7 of 29 lymph nodes positive. Postoperative Gallium DOTATATE PET-CT showed no metabolically active disease. This case highlights a rare presentation of gastric NEC clinically presenting </w:t>
      </w:r>
      <w:r>
        <w:rPr>
          <w:rFonts w:ascii="Arial" w:eastAsia="Arial" w:hAnsi="Arial" w:cs="Arial"/>
        </w:rPr>
        <w:t>as a liver abscess. Early diagnosis and a coordinated MDT strategy were pivotal in guiding surgical and oncological management. Clinicians should maintain high suspicion for aggressive gastric malignancies in atypical abscess presentations. Further researc</w:t>
      </w:r>
      <w:r>
        <w:rPr>
          <w:rFonts w:ascii="Arial" w:eastAsia="Arial" w:hAnsi="Arial" w:cs="Arial"/>
        </w:rPr>
        <w:t>h is needed to establish standardized protocols for the diagnosis and treatment of gastric NECs.</w:t>
      </w:r>
    </w:p>
    <w:p w:rsidR="00355A63" w:rsidRDefault="00355A63">
      <w:pPr>
        <w:spacing w:line="276" w:lineRule="auto"/>
        <w:ind w:left="0" w:hanging="2"/>
        <w:rPr>
          <w:rFonts w:ascii="Arial" w:eastAsia="Arial" w:hAnsi="Arial" w:cs="Arial"/>
        </w:rPr>
      </w:pPr>
    </w:p>
    <w:p w:rsidR="00355A63" w:rsidRDefault="003520C2">
      <w:pPr>
        <w:spacing w:line="276" w:lineRule="auto"/>
        <w:ind w:left="0" w:hanging="2"/>
        <w:rPr>
          <w:rFonts w:ascii="Arial" w:eastAsia="Arial" w:hAnsi="Arial" w:cs="Arial"/>
        </w:rPr>
      </w:pPr>
      <w:r>
        <w:rPr>
          <w:rFonts w:ascii="Arial" w:eastAsia="Arial" w:hAnsi="Arial" w:cs="Arial"/>
        </w:rPr>
        <w:t>Keywords:</w:t>
      </w:r>
      <w:r w:rsidRPr="003520C2">
        <w:t xml:space="preserve"> </w:t>
      </w:r>
      <w:r w:rsidRPr="003520C2">
        <w:rPr>
          <w:rFonts w:ascii="Arial" w:eastAsia="Arial" w:hAnsi="Arial" w:cs="Arial"/>
        </w:rPr>
        <w:t>Gastric Neuroendocrine Carcinoma</w:t>
      </w:r>
      <w:r>
        <w:rPr>
          <w:rFonts w:ascii="Arial" w:eastAsia="Arial" w:hAnsi="Arial" w:cs="Arial"/>
        </w:rPr>
        <w:t xml:space="preserve">, </w:t>
      </w:r>
      <w:proofErr w:type="gramStart"/>
      <w:r>
        <w:rPr>
          <w:rFonts w:ascii="Arial" w:eastAsia="Arial" w:hAnsi="Arial" w:cs="Arial"/>
        </w:rPr>
        <w:t>stomach ,</w:t>
      </w:r>
      <w:proofErr w:type="gramEnd"/>
      <w:r>
        <w:rPr>
          <w:rFonts w:ascii="Arial" w:eastAsia="Arial" w:hAnsi="Arial" w:cs="Arial"/>
        </w:rPr>
        <w:t xml:space="preserve"> malignancy</w:t>
      </w:r>
      <w:r w:rsidRPr="003520C2">
        <w:rPr>
          <w:rFonts w:ascii="Arial" w:eastAsia="Arial" w:hAnsi="Arial" w:cs="Arial"/>
        </w:rPr>
        <w:t>, Liver Abscess</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INTRODUCTION</w:t>
      </w:r>
    </w:p>
    <w:p w:rsidR="00355A63" w:rsidRDefault="003C1EC9">
      <w:pPr>
        <w:spacing w:line="276" w:lineRule="auto"/>
        <w:ind w:left="0" w:hanging="2"/>
        <w:rPr>
          <w:rFonts w:ascii="Arial" w:eastAsia="Arial" w:hAnsi="Arial" w:cs="Arial"/>
        </w:rPr>
      </w:pPr>
      <w:r>
        <w:rPr>
          <w:rFonts w:ascii="Arial" w:eastAsia="Arial" w:hAnsi="Arial" w:cs="Arial"/>
        </w:rPr>
        <w:t>Neuroendocrine neoplasms (NENs) are a rare and heterogeneous group of tumors originating from neuroendocrine cells, accounting for approximatel</w:t>
      </w:r>
      <w:r>
        <w:rPr>
          <w:rFonts w:ascii="Arial" w:eastAsia="Arial" w:hAnsi="Arial" w:cs="Arial"/>
        </w:rPr>
        <w:t xml:space="preserve">y 0.5% of all malignancies worldwide [1]. Since their initial description by Rudolf </w:t>
      </w:r>
      <w:proofErr w:type="spellStart"/>
      <w:r>
        <w:rPr>
          <w:rFonts w:ascii="Arial" w:eastAsia="Arial" w:hAnsi="Arial" w:cs="Arial"/>
        </w:rPr>
        <w:t>Heidenhain</w:t>
      </w:r>
      <w:proofErr w:type="spellEnd"/>
      <w:r>
        <w:rPr>
          <w:rFonts w:ascii="Arial" w:eastAsia="Arial" w:hAnsi="Arial" w:cs="Arial"/>
        </w:rPr>
        <w:t xml:space="preserve"> in 1870, ongoing research has enhanced our understanding of their classification, biology, and management. However, the low incidence and diverse presentation of</w:t>
      </w:r>
      <w:r>
        <w:rPr>
          <w:rFonts w:ascii="Arial" w:eastAsia="Arial" w:hAnsi="Arial" w:cs="Arial"/>
        </w:rPr>
        <w:t xml:space="preserve"> NENs continue to pose challenges in establishing standardized diagnostic and therapeutic guidelines.</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NENs are broadly classified into well-differentiated neuroendocrine tumors (NETs), which are typically slow-growing, and poorly differentiated neuroendoc</w:t>
      </w:r>
      <w:r>
        <w:rPr>
          <w:rFonts w:ascii="Arial" w:eastAsia="Arial" w:hAnsi="Arial" w:cs="Arial"/>
        </w:rPr>
        <w:t xml:space="preserve">rine carcinomas </w:t>
      </w:r>
      <w:r>
        <w:rPr>
          <w:rFonts w:ascii="Arial" w:eastAsia="Arial" w:hAnsi="Arial" w:cs="Arial"/>
        </w:rPr>
        <w:lastRenderedPageBreak/>
        <w:t xml:space="preserve">(NECs), which are aggressive and rapidly proliferative [2]. NECs represent approximately 10–20% of all NENs. While nearly 90% of NECs originate in the lungs, </w:t>
      </w:r>
      <w:proofErr w:type="spellStart"/>
      <w:r>
        <w:rPr>
          <w:rFonts w:ascii="Arial" w:eastAsia="Arial" w:hAnsi="Arial" w:cs="Arial"/>
        </w:rPr>
        <w:t>extrapulmonary</w:t>
      </w:r>
      <w:proofErr w:type="spellEnd"/>
      <w:r>
        <w:rPr>
          <w:rFonts w:ascii="Arial" w:eastAsia="Arial" w:hAnsi="Arial" w:cs="Arial"/>
        </w:rPr>
        <w:t xml:space="preserve"> NECs—particularly those arising in the stomach—are extremely rare a</w:t>
      </w:r>
      <w:r>
        <w:rPr>
          <w:rFonts w:ascii="Arial" w:eastAsia="Arial" w:hAnsi="Arial" w:cs="Arial"/>
        </w:rPr>
        <w:t>nd less well characterized [2</w:t>
      </w:r>
      <w:proofErr w:type="gramStart"/>
      <w:r>
        <w:rPr>
          <w:rFonts w:ascii="Arial" w:eastAsia="Arial" w:hAnsi="Arial" w:cs="Arial"/>
        </w:rPr>
        <w:t>,3</w:t>
      </w:r>
      <w:proofErr w:type="gramEnd"/>
      <w:r>
        <w:rPr>
          <w:rFonts w:ascii="Arial" w:eastAsia="Arial" w:hAnsi="Arial" w:cs="Arial"/>
        </w:rPr>
        <w:t>].</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Gastric NECs comprise less than 1% of all gastric malignancies, and of these, only a minority are of the small cell subtype (~35%) [4]. </w:t>
      </w:r>
      <w:proofErr w:type="gramStart"/>
      <w:r>
        <w:rPr>
          <w:rFonts w:ascii="Arial" w:eastAsia="Arial" w:hAnsi="Arial" w:cs="Arial"/>
        </w:rPr>
        <w:t>These</w:t>
      </w:r>
      <w:proofErr w:type="gramEnd"/>
      <w:r>
        <w:rPr>
          <w:rFonts w:ascii="Arial" w:eastAsia="Arial" w:hAnsi="Arial" w:cs="Arial"/>
        </w:rPr>
        <w:t xml:space="preserve"> tumors often present with vague, nonspecific symptoms, further complicating dia</w:t>
      </w:r>
      <w:r>
        <w:rPr>
          <w:rFonts w:ascii="Arial" w:eastAsia="Arial" w:hAnsi="Arial" w:cs="Arial"/>
        </w:rPr>
        <w:t>gnosis and delaying appropriate intervention. Here, we report a rare case of a poorly differentiated gastric small cell NEC presenting as a liver abscess and discuss the clinical, diagnostic, and therapeutic considerations, along with the importance of a m</w:t>
      </w:r>
      <w:r>
        <w:rPr>
          <w:rFonts w:ascii="Arial" w:eastAsia="Arial" w:hAnsi="Arial" w:cs="Arial"/>
        </w:rPr>
        <w:t>ultidisciplinary approach.</w:t>
      </w: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CASE PRESENTATION</w:t>
      </w:r>
    </w:p>
    <w:p w:rsidR="00355A63" w:rsidRDefault="003C1EC9">
      <w:pPr>
        <w:spacing w:line="276" w:lineRule="auto"/>
        <w:ind w:left="0" w:hanging="2"/>
        <w:rPr>
          <w:rFonts w:ascii="Arial" w:eastAsia="Arial" w:hAnsi="Arial" w:cs="Arial"/>
        </w:rPr>
      </w:pPr>
      <w:r>
        <w:rPr>
          <w:rFonts w:ascii="Arial" w:eastAsia="Arial" w:hAnsi="Arial" w:cs="Arial"/>
        </w:rPr>
        <w:t>A 76-year-old female presented to the emergency department with complaints of fever and abdominal pain localized to the epigastric region. The symptoms had been intermittently present for one year but had inte</w:t>
      </w:r>
      <w:r>
        <w:rPr>
          <w:rFonts w:ascii="Arial" w:eastAsia="Arial" w:hAnsi="Arial" w:cs="Arial"/>
        </w:rPr>
        <w:t>nsified over the preceding month. She also reported nausea and a sense of postprandial fullness. On physical examination, epigastric tenderness was noted without a palpable mass.</w:t>
      </w: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WORKUP</w:t>
      </w:r>
    </w:p>
    <w:p w:rsidR="00355A63" w:rsidRDefault="003C1EC9">
      <w:pPr>
        <w:spacing w:line="276" w:lineRule="auto"/>
        <w:ind w:left="0" w:hanging="2"/>
        <w:rPr>
          <w:rFonts w:ascii="Arial" w:eastAsia="Arial" w:hAnsi="Arial" w:cs="Arial"/>
        </w:rPr>
      </w:pPr>
      <w:r>
        <w:rPr>
          <w:rFonts w:ascii="Arial" w:eastAsia="Arial" w:hAnsi="Arial" w:cs="Arial"/>
        </w:rPr>
        <w:t xml:space="preserve">A </w:t>
      </w:r>
      <w:proofErr w:type="spellStart"/>
      <w:r>
        <w:rPr>
          <w:rFonts w:ascii="Arial" w:eastAsia="Arial" w:hAnsi="Arial" w:cs="Arial"/>
        </w:rPr>
        <w:t>triphasic</w:t>
      </w:r>
      <w:proofErr w:type="spellEnd"/>
      <w:r>
        <w:rPr>
          <w:rFonts w:ascii="Arial" w:eastAsia="Arial" w:hAnsi="Arial" w:cs="Arial"/>
        </w:rPr>
        <w:t xml:space="preserve"> contrast-enhanced computed tomography (CT) scan revealed</w:t>
      </w:r>
      <w:r>
        <w:rPr>
          <w:rFonts w:ascii="Arial" w:eastAsia="Arial" w:hAnsi="Arial" w:cs="Arial"/>
        </w:rPr>
        <w:t xml:space="preserve"> a malignant-appearing gastric ulcer with raised, irregular edges perforating into the left lobe of the liver. A </w:t>
      </w:r>
      <w:proofErr w:type="spellStart"/>
      <w:r>
        <w:rPr>
          <w:rFonts w:ascii="Arial" w:eastAsia="Arial" w:hAnsi="Arial" w:cs="Arial"/>
        </w:rPr>
        <w:t>multiloculated</w:t>
      </w:r>
      <w:proofErr w:type="spellEnd"/>
      <w:r>
        <w:rPr>
          <w:rFonts w:ascii="Arial" w:eastAsia="Arial" w:hAnsi="Arial" w:cs="Arial"/>
        </w:rPr>
        <w:t xml:space="preserve"> lesion was noted in the liver, suggestive of an abscess. Additionally, a 1 cm lesion in segment II of the liver was suspicious f</w:t>
      </w:r>
      <w:r>
        <w:rPr>
          <w:rFonts w:ascii="Arial" w:eastAsia="Arial" w:hAnsi="Arial" w:cs="Arial"/>
        </w:rPr>
        <w:t>or metastatic disease.</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jc w:val="center"/>
        <w:rPr>
          <w:rFonts w:ascii="Arial" w:eastAsia="Arial" w:hAnsi="Arial" w:cs="Arial"/>
        </w:rPr>
      </w:pPr>
      <w:r>
        <w:rPr>
          <w:rFonts w:ascii="Arial" w:eastAsia="Arial" w:hAnsi="Arial" w:cs="Arial"/>
          <w:noProof/>
        </w:rPr>
        <w:drawing>
          <wp:inline distT="114300" distB="114300" distL="114300" distR="114300">
            <wp:extent cx="2168236" cy="1731818"/>
            <wp:effectExtent l="0" t="0" r="0" b="0"/>
            <wp:docPr id="103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168236" cy="1731818"/>
                    </a:xfrm>
                    <a:prstGeom prst="rect">
                      <a:avLst/>
                    </a:prstGeom>
                    <a:ln/>
                  </pic:spPr>
                </pic:pic>
              </a:graphicData>
            </a:graphic>
          </wp:inline>
        </w:drawing>
      </w:r>
    </w:p>
    <w:p w:rsidR="00355A63" w:rsidRDefault="003C1EC9">
      <w:pPr>
        <w:spacing w:line="276" w:lineRule="auto"/>
        <w:ind w:left="0" w:hanging="2"/>
        <w:jc w:val="center"/>
        <w:rPr>
          <w:rFonts w:ascii="Arial" w:eastAsia="Arial" w:hAnsi="Arial" w:cs="Arial"/>
        </w:rPr>
      </w:pPr>
      <w:r>
        <w:rPr>
          <w:rFonts w:ascii="Arial" w:eastAsia="Arial" w:hAnsi="Arial" w:cs="Arial"/>
        </w:rPr>
        <w:t>Fig 1: CT image showing a malignant ulcer along the lesser curvature of the stomach eroding into the liver resulting in a fluid collection</w:t>
      </w:r>
    </w:p>
    <w:p w:rsidR="00355A63" w:rsidRDefault="00355A63">
      <w:pPr>
        <w:spacing w:line="276" w:lineRule="auto"/>
        <w:ind w:left="0" w:hanging="2"/>
        <w:jc w:val="center"/>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lastRenderedPageBreak/>
        <w:t>Endoscopic evaluation using esophagogastroduodenoscopy (EGD) revealed a malignant ulcer at the gastric incisura.</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jc w:val="center"/>
        <w:rPr>
          <w:rFonts w:ascii="Arial" w:eastAsia="Arial" w:hAnsi="Arial" w:cs="Arial"/>
        </w:rPr>
      </w:pPr>
      <w:r>
        <w:rPr>
          <w:rFonts w:ascii="Arial" w:eastAsia="Arial" w:hAnsi="Arial" w:cs="Arial"/>
          <w:noProof/>
        </w:rPr>
        <w:drawing>
          <wp:inline distT="114300" distB="114300" distL="114300" distR="114300">
            <wp:extent cx="1918855" cy="1731818"/>
            <wp:effectExtent l="0" t="0" r="0" b="0"/>
            <wp:docPr id="10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918855" cy="1731818"/>
                    </a:xfrm>
                    <a:prstGeom prst="rect">
                      <a:avLst/>
                    </a:prstGeom>
                    <a:ln/>
                  </pic:spPr>
                </pic:pic>
              </a:graphicData>
            </a:graphic>
          </wp:inline>
        </w:drawing>
      </w:r>
    </w:p>
    <w:p w:rsidR="00355A63" w:rsidRDefault="003C1EC9">
      <w:pPr>
        <w:spacing w:line="276" w:lineRule="auto"/>
        <w:ind w:left="0" w:hanging="2"/>
        <w:jc w:val="center"/>
        <w:rPr>
          <w:rFonts w:ascii="Arial" w:eastAsia="Arial" w:hAnsi="Arial" w:cs="Arial"/>
        </w:rPr>
      </w:pPr>
      <w:r>
        <w:rPr>
          <w:rFonts w:ascii="Arial" w:eastAsia="Arial" w:hAnsi="Arial" w:cs="Arial"/>
        </w:rPr>
        <w:t>Fig 2: CT image showing enlarged lymph nodes adjacent to the site of the malignant ulcer</w:t>
      </w:r>
    </w:p>
    <w:p w:rsidR="00355A63" w:rsidRDefault="00355A63">
      <w:pPr>
        <w:spacing w:line="276" w:lineRule="auto"/>
        <w:ind w:left="0" w:hanging="2"/>
        <w:jc w:val="center"/>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Ultrasound-guided percutaneous drainage of the liv</w:t>
      </w:r>
      <w:r>
        <w:rPr>
          <w:rFonts w:ascii="Arial" w:eastAsia="Arial" w:hAnsi="Arial" w:cs="Arial"/>
        </w:rPr>
        <w:t xml:space="preserve">er abscess by interventional radiology (IR) produced purulent material, but cytology and culture were negative for malignancy. Biopsies taken during EGD were subjected to histopathological and </w:t>
      </w:r>
      <w:proofErr w:type="spellStart"/>
      <w:r>
        <w:rPr>
          <w:rFonts w:ascii="Arial" w:eastAsia="Arial" w:hAnsi="Arial" w:cs="Arial"/>
        </w:rPr>
        <w:t>immunohistochemical</w:t>
      </w:r>
      <w:proofErr w:type="spellEnd"/>
      <w:r>
        <w:rPr>
          <w:rFonts w:ascii="Arial" w:eastAsia="Arial" w:hAnsi="Arial" w:cs="Arial"/>
        </w:rPr>
        <w:t xml:space="preserve"> (IHC) analysis.</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Microscopy revealed sheets</w:t>
      </w:r>
      <w:r>
        <w:rPr>
          <w:rFonts w:ascii="Arial" w:eastAsia="Arial" w:hAnsi="Arial" w:cs="Arial"/>
        </w:rPr>
        <w:t xml:space="preserve"> of markedly atypical cells with hyperchromatic nuclei, high mitotic activity, and nuclear </w:t>
      </w:r>
      <w:proofErr w:type="spellStart"/>
      <w:r>
        <w:rPr>
          <w:rFonts w:ascii="Arial" w:eastAsia="Arial" w:hAnsi="Arial" w:cs="Arial"/>
        </w:rPr>
        <w:t>pleomorphism</w:t>
      </w:r>
      <w:proofErr w:type="spellEnd"/>
      <w:r>
        <w:rPr>
          <w:rFonts w:ascii="Arial" w:eastAsia="Arial" w:hAnsi="Arial" w:cs="Arial"/>
        </w:rPr>
        <w:t xml:space="preserve">, consistent with a high-grade malignancy. IHC demonstrated diffuse positivity for </w:t>
      </w:r>
      <w:proofErr w:type="spellStart"/>
      <w:r>
        <w:rPr>
          <w:rFonts w:ascii="Arial" w:eastAsia="Arial" w:hAnsi="Arial" w:cs="Arial"/>
        </w:rPr>
        <w:t>synaptophysin</w:t>
      </w:r>
      <w:proofErr w:type="spellEnd"/>
      <w:r>
        <w:rPr>
          <w:rFonts w:ascii="Arial" w:eastAsia="Arial" w:hAnsi="Arial" w:cs="Arial"/>
        </w:rPr>
        <w:t xml:space="preserve">, chromogranin </w:t>
      </w:r>
      <w:proofErr w:type="gramStart"/>
      <w:r>
        <w:rPr>
          <w:rFonts w:ascii="Arial" w:eastAsia="Arial" w:hAnsi="Arial" w:cs="Arial"/>
        </w:rPr>
        <w:t>A</w:t>
      </w:r>
      <w:proofErr w:type="gramEnd"/>
      <w:r>
        <w:rPr>
          <w:rFonts w:ascii="Arial" w:eastAsia="Arial" w:hAnsi="Arial" w:cs="Arial"/>
        </w:rPr>
        <w:t xml:space="preserve">, cytokeratin AE1/AE3, CD56, cytokeratin </w:t>
      </w:r>
      <w:r>
        <w:rPr>
          <w:rFonts w:ascii="Arial" w:eastAsia="Arial" w:hAnsi="Arial" w:cs="Arial"/>
        </w:rPr>
        <w:t>7, p16, and thyroid transcription factor-1 (TTF-1). The Ki-67 proliferation index was approximately 90%, confirming the diagnosis of a Grade III poorly differentiated small cell neuroendocrine carcinoma.</w:t>
      </w:r>
    </w:p>
    <w:p w:rsidR="00355A63" w:rsidRDefault="00355A63">
      <w:pPr>
        <w:spacing w:line="276" w:lineRule="auto"/>
        <w:ind w:left="0" w:hanging="2"/>
        <w:rPr>
          <w:rFonts w:ascii="Arial" w:eastAsia="Arial" w:hAnsi="Arial" w:cs="Arial"/>
        </w:rPr>
      </w:pPr>
    </w:p>
    <w:p w:rsidR="00355A63" w:rsidRDefault="003C1EC9">
      <w:pPr>
        <w:pBdr>
          <w:bottom w:val="none" w:sz="0" w:space="0" w:color="000000"/>
        </w:pBdr>
        <w:spacing w:line="345" w:lineRule="auto"/>
        <w:ind w:left="0" w:hanging="2"/>
        <w:jc w:val="center"/>
        <w:rPr>
          <w:rFonts w:ascii="Arial" w:eastAsia="Arial" w:hAnsi="Arial" w:cs="Arial"/>
        </w:rPr>
      </w:pPr>
      <w:r>
        <w:rPr>
          <w:rFonts w:ascii="Arial" w:eastAsia="Arial" w:hAnsi="Arial" w:cs="Arial"/>
        </w:rPr>
        <w:br/>
      </w:r>
      <w:r>
        <w:rPr>
          <w:rFonts w:ascii="Arial" w:eastAsia="Arial" w:hAnsi="Arial" w:cs="Arial"/>
          <w:noProof/>
        </w:rPr>
        <w:drawing>
          <wp:inline distT="114300" distB="114300" distL="114300" distR="114300">
            <wp:extent cx="3033713" cy="1896070"/>
            <wp:effectExtent l="0" t="0" r="0" b="0"/>
            <wp:docPr id="10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033713" cy="1896070"/>
                    </a:xfrm>
                    <a:prstGeom prst="rect">
                      <a:avLst/>
                    </a:prstGeom>
                    <a:ln/>
                  </pic:spPr>
                </pic:pic>
              </a:graphicData>
            </a:graphic>
          </wp:inline>
        </w:drawing>
      </w:r>
    </w:p>
    <w:p w:rsidR="00355A63" w:rsidRDefault="003C1EC9">
      <w:pPr>
        <w:pBdr>
          <w:bottom w:val="none" w:sz="0" w:space="0" w:color="000000"/>
        </w:pBdr>
        <w:spacing w:line="345" w:lineRule="auto"/>
        <w:ind w:left="0" w:hanging="2"/>
        <w:jc w:val="center"/>
        <w:rPr>
          <w:rFonts w:ascii="Arial" w:eastAsia="Arial" w:hAnsi="Arial" w:cs="Arial"/>
        </w:rPr>
      </w:pPr>
      <w:r>
        <w:rPr>
          <w:rFonts w:ascii="Arial" w:eastAsia="Arial" w:hAnsi="Arial" w:cs="Arial"/>
        </w:rPr>
        <w:t>Fig 3: H&amp;E staining, 20X</w:t>
      </w:r>
    </w:p>
    <w:p w:rsidR="00355A63" w:rsidRDefault="003C1EC9">
      <w:pPr>
        <w:spacing w:line="345" w:lineRule="auto"/>
        <w:ind w:left="0" w:hanging="2"/>
        <w:jc w:val="center"/>
        <w:rPr>
          <w:rFonts w:ascii="Arial" w:eastAsia="Arial" w:hAnsi="Arial" w:cs="Arial"/>
        </w:rPr>
      </w:pPr>
      <w:r>
        <w:rPr>
          <w:rFonts w:ascii="Arial" w:eastAsia="Arial" w:hAnsi="Arial" w:cs="Arial"/>
        </w:rPr>
        <w:t xml:space="preserve"> </w:t>
      </w:r>
    </w:p>
    <w:p w:rsidR="00355A63" w:rsidRDefault="003C1EC9">
      <w:pPr>
        <w:spacing w:line="276" w:lineRule="auto"/>
        <w:ind w:left="0" w:hanging="2"/>
        <w:jc w:val="center"/>
        <w:rPr>
          <w:rFonts w:ascii="Arial" w:eastAsia="Arial" w:hAnsi="Arial" w:cs="Arial"/>
        </w:rPr>
      </w:pPr>
      <w:r>
        <w:rPr>
          <w:rFonts w:ascii="Arial" w:eastAsia="Arial" w:hAnsi="Arial" w:cs="Arial"/>
          <w:noProof/>
        </w:rPr>
        <w:lastRenderedPageBreak/>
        <w:drawing>
          <wp:inline distT="114300" distB="114300" distL="114300" distR="114300">
            <wp:extent cx="3000934" cy="1871663"/>
            <wp:effectExtent l="0" t="0" r="0" b="0"/>
            <wp:docPr id="10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000934" cy="1871663"/>
                    </a:xfrm>
                    <a:prstGeom prst="rect">
                      <a:avLst/>
                    </a:prstGeom>
                    <a:ln/>
                  </pic:spPr>
                </pic:pic>
              </a:graphicData>
            </a:graphic>
          </wp:inline>
        </w:drawing>
      </w:r>
    </w:p>
    <w:p w:rsidR="00355A63" w:rsidRDefault="003C1EC9">
      <w:pPr>
        <w:spacing w:line="276" w:lineRule="auto"/>
        <w:ind w:left="0" w:hanging="2"/>
        <w:jc w:val="center"/>
        <w:rPr>
          <w:rFonts w:ascii="Arial" w:eastAsia="Arial" w:hAnsi="Arial" w:cs="Arial"/>
        </w:rPr>
      </w:pPr>
      <w:r>
        <w:rPr>
          <w:rFonts w:ascii="Arial" w:eastAsia="Arial" w:hAnsi="Arial" w:cs="Arial"/>
        </w:rPr>
        <w:t>Fig 4: Chromogranin staining, 20X</w:t>
      </w: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MANAGEMENT</w:t>
      </w:r>
    </w:p>
    <w:p w:rsidR="00355A63" w:rsidRDefault="003C1EC9">
      <w:pPr>
        <w:spacing w:line="276" w:lineRule="auto"/>
        <w:ind w:left="0" w:hanging="2"/>
        <w:rPr>
          <w:rFonts w:ascii="Arial" w:eastAsia="Arial" w:hAnsi="Arial" w:cs="Arial"/>
        </w:rPr>
      </w:pPr>
      <w:r>
        <w:rPr>
          <w:rFonts w:ascii="Arial" w:eastAsia="Arial" w:hAnsi="Arial" w:cs="Arial"/>
        </w:rPr>
        <w:t xml:space="preserve">Given the patient’s septic condition and compromised nutritional status, she was initially unfit for chemotherapy. A multidisciplinary team (MDT) meeting recommended surgical management following preoperative </w:t>
      </w:r>
      <w:r>
        <w:rPr>
          <w:rFonts w:ascii="Arial" w:eastAsia="Arial" w:hAnsi="Arial" w:cs="Arial"/>
        </w:rPr>
        <w:t xml:space="preserve">stabilization. Nutritional optimization was achieved through a </w:t>
      </w:r>
      <w:proofErr w:type="spellStart"/>
      <w:r>
        <w:rPr>
          <w:rFonts w:ascii="Arial" w:eastAsia="Arial" w:hAnsi="Arial" w:cs="Arial"/>
        </w:rPr>
        <w:t>nasojejunal</w:t>
      </w:r>
      <w:proofErr w:type="spellEnd"/>
      <w:r>
        <w:rPr>
          <w:rFonts w:ascii="Arial" w:eastAsia="Arial" w:hAnsi="Arial" w:cs="Arial"/>
        </w:rPr>
        <w:t xml:space="preserve"> (NJ) feeding tube along with multivitamin supplementation. Sepsis was managed with intravenous antibiotics, and the patient was encouraged to perform incentive spirometry and early </w:t>
      </w:r>
      <w:r>
        <w:rPr>
          <w:rFonts w:ascii="Arial" w:eastAsia="Arial" w:hAnsi="Arial" w:cs="Arial"/>
        </w:rPr>
        <w:t>mobilization.</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Surgical intervention included a subtotal gastrectomy, left lateral </w:t>
      </w:r>
      <w:proofErr w:type="spellStart"/>
      <w:r>
        <w:rPr>
          <w:rFonts w:ascii="Arial" w:eastAsia="Arial" w:hAnsi="Arial" w:cs="Arial"/>
        </w:rPr>
        <w:t>segmentectomy</w:t>
      </w:r>
      <w:proofErr w:type="spellEnd"/>
      <w:r>
        <w:rPr>
          <w:rFonts w:ascii="Arial" w:eastAsia="Arial" w:hAnsi="Arial" w:cs="Arial"/>
        </w:rPr>
        <w:t xml:space="preserve"> of the liver, and creation of a </w:t>
      </w:r>
      <w:proofErr w:type="spellStart"/>
      <w:r>
        <w:rPr>
          <w:rFonts w:ascii="Arial" w:eastAsia="Arial" w:hAnsi="Arial" w:cs="Arial"/>
        </w:rPr>
        <w:t>gastrojejunostomy</w:t>
      </w:r>
      <w:proofErr w:type="spellEnd"/>
      <w:r>
        <w:rPr>
          <w:rFonts w:ascii="Arial" w:eastAsia="Arial" w:hAnsi="Arial" w:cs="Arial"/>
        </w:rPr>
        <w:t xml:space="preserve"> and </w:t>
      </w:r>
      <w:proofErr w:type="spellStart"/>
      <w:r>
        <w:rPr>
          <w:rFonts w:ascii="Arial" w:eastAsia="Arial" w:hAnsi="Arial" w:cs="Arial"/>
        </w:rPr>
        <w:t>jejunojejunostomy</w:t>
      </w:r>
      <w:proofErr w:type="spellEnd"/>
      <w:r>
        <w:rPr>
          <w:rFonts w:ascii="Arial" w:eastAsia="Arial" w:hAnsi="Arial" w:cs="Arial"/>
        </w:rPr>
        <w:t>. Postoperatively, total parenteral nutrition (TPN) was initiated, followed by resumptio</w:t>
      </w:r>
      <w:r>
        <w:rPr>
          <w:rFonts w:ascii="Arial" w:eastAsia="Arial" w:hAnsi="Arial" w:cs="Arial"/>
        </w:rPr>
        <w:t>n of NJ feeds. The NJ tube was removed once adequate oral intake was re-established. The patient was discharged after eight days with appropriate medications, including oral acetaminophen, multivitamins, and pantoprazole.</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jc w:val="center"/>
        <w:rPr>
          <w:rFonts w:ascii="Arial" w:eastAsia="Arial" w:hAnsi="Arial" w:cs="Arial"/>
        </w:rPr>
      </w:pPr>
      <w:r>
        <w:rPr>
          <w:rFonts w:ascii="Arial" w:eastAsia="Arial" w:hAnsi="Arial" w:cs="Arial"/>
          <w:noProof/>
        </w:rPr>
        <w:lastRenderedPageBreak/>
        <w:drawing>
          <wp:inline distT="114300" distB="114300" distL="114300" distR="114300">
            <wp:extent cx="2295525" cy="3058957"/>
            <wp:effectExtent l="0" t="0" r="0" b="0"/>
            <wp:docPr id="10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295525" cy="3058957"/>
                    </a:xfrm>
                    <a:prstGeom prst="rect">
                      <a:avLst/>
                    </a:prstGeom>
                    <a:ln/>
                  </pic:spPr>
                </pic:pic>
              </a:graphicData>
            </a:graphic>
          </wp:inline>
        </w:drawing>
      </w:r>
    </w:p>
    <w:p w:rsidR="00355A63" w:rsidRDefault="003C1EC9">
      <w:pPr>
        <w:spacing w:line="276" w:lineRule="auto"/>
        <w:ind w:left="0" w:hanging="2"/>
        <w:jc w:val="center"/>
        <w:rPr>
          <w:rFonts w:ascii="Arial" w:eastAsia="Arial" w:hAnsi="Arial" w:cs="Arial"/>
        </w:rPr>
      </w:pPr>
      <w:r>
        <w:rPr>
          <w:rFonts w:ascii="Arial" w:eastAsia="Arial" w:hAnsi="Arial" w:cs="Arial"/>
        </w:rPr>
        <w:t>Fig 5: Gross specimen showing site of liver abscess access by IR.</w:t>
      </w:r>
    </w:p>
    <w:p w:rsidR="00355A63" w:rsidRDefault="00355A63">
      <w:pPr>
        <w:spacing w:line="276" w:lineRule="auto"/>
        <w:ind w:left="0" w:hanging="2"/>
        <w:jc w:val="center"/>
        <w:rPr>
          <w:rFonts w:ascii="Arial" w:eastAsia="Arial" w:hAnsi="Arial" w:cs="Arial"/>
        </w:rPr>
      </w:pPr>
    </w:p>
    <w:p w:rsidR="00355A63" w:rsidRDefault="003C1EC9">
      <w:pPr>
        <w:spacing w:line="276" w:lineRule="auto"/>
        <w:ind w:left="0" w:hanging="2"/>
        <w:jc w:val="center"/>
        <w:rPr>
          <w:rFonts w:ascii="Arial" w:eastAsia="Arial" w:hAnsi="Arial" w:cs="Arial"/>
        </w:rPr>
      </w:pPr>
      <w:r>
        <w:rPr>
          <w:rFonts w:ascii="Arial" w:eastAsia="Arial" w:hAnsi="Arial" w:cs="Arial"/>
          <w:noProof/>
        </w:rPr>
        <w:drawing>
          <wp:inline distT="114300" distB="114300" distL="114300" distR="114300">
            <wp:extent cx="2767013" cy="2072459"/>
            <wp:effectExtent l="0" t="0" r="0" b="0"/>
            <wp:docPr id="10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767013" cy="2072459"/>
                    </a:xfrm>
                    <a:prstGeom prst="rect">
                      <a:avLst/>
                    </a:prstGeom>
                    <a:ln/>
                  </pic:spPr>
                </pic:pic>
              </a:graphicData>
            </a:graphic>
          </wp:inline>
        </w:drawing>
      </w:r>
      <w:r>
        <w:rPr>
          <w:rFonts w:ascii="Arial" w:eastAsia="Arial" w:hAnsi="Arial" w:cs="Arial"/>
          <w:noProof/>
        </w:rPr>
        <w:drawing>
          <wp:inline distT="114300" distB="114300" distL="114300" distR="114300">
            <wp:extent cx="2709863" cy="2085975"/>
            <wp:effectExtent l="0" t="0" r="0" b="0"/>
            <wp:docPr id="10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709863" cy="2085975"/>
                    </a:xfrm>
                    <a:prstGeom prst="rect">
                      <a:avLst/>
                    </a:prstGeom>
                    <a:ln/>
                  </pic:spPr>
                </pic:pic>
              </a:graphicData>
            </a:graphic>
          </wp:inline>
        </w:drawing>
      </w:r>
    </w:p>
    <w:p w:rsidR="00355A63" w:rsidRDefault="003C1EC9">
      <w:pPr>
        <w:spacing w:line="276" w:lineRule="auto"/>
        <w:ind w:left="0" w:hanging="2"/>
        <w:jc w:val="center"/>
        <w:rPr>
          <w:rFonts w:ascii="Arial" w:eastAsia="Arial" w:hAnsi="Arial" w:cs="Arial"/>
        </w:rPr>
      </w:pPr>
      <w:r>
        <w:rPr>
          <w:rFonts w:ascii="Arial" w:eastAsia="Arial" w:hAnsi="Arial" w:cs="Arial"/>
        </w:rPr>
        <w:t>Fig 6 and 7: Gross specimen showing tumor extension from the stomach to the liver</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Final histopathological analysis confirmed a Grade III poorly differentiated small cell neuroendocrine </w:t>
      </w:r>
      <w:r>
        <w:rPr>
          <w:rFonts w:ascii="Arial" w:eastAsia="Arial" w:hAnsi="Arial" w:cs="Arial"/>
        </w:rPr>
        <w:t xml:space="preserve">carcinoma of the stomach with </w:t>
      </w:r>
      <w:proofErr w:type="spellStart"/>
      <w:r>
        <w:rPr>
          <w:rFonts w:ascii="Arial" w:eastAsia="Arial" w:hAnsi="Arial" w:cs="Arial"/>
        </w:rPr>
        <w:t>lymphovascular</w:t>
      </w:r>
      <w:proofErr w:type="spellEnd"/>
      <w:r>
        <w:rPr>
          <w:rFonts w:ascii="Arial" w:eastAsia="Arial" w:hAnsi="Arial" w:cs="Arial"/>
        </w:rPr>
        <w:t xml:space="preserve"> and </w:t>
      </w:r>
      <w:proofErr w:type="spellStart"/>
      <w:r>
        <w:rPr>
          <w:rFonts w:ascii="Arial" w:eastAsia="Arial" w:hAnsi="Arial" w:cs="Arial"/>
        </w:rPr>
        <w:t>perineural</w:t>
      </w:r>
      <w:proofErr w:type="spellEnd"/>
      <w:r>
        <w:rPr>
          <w:rFonts w:ascii="Arial" w:eastAsia="Arial" w:hAnsi="Arial" w:cs="Arial"/>
        </w:rPr>
        <w:t xml:space="preserve"> invasion. The tumor measured 3 cm in diameter, and 7 out of 29 regional lymph nodes tested positive for metastasis. The resected liver tissue showed no evidence of malignancy. A postoperative gall</w:t>
      </w:r>
      <w:r>
        <w:rPr>
          <w:rFonts w:ascii="Arial" w:eastAsia="Arial" w:hAnsi="Arial" w:cs="Arial"/>
        </w:rPr>
        <w:t>ium-68 DOTATATE positron emission tomography-computed tomography (PET-CT) scan revealed no residual or metabolically active disease in the abdomen. The patient was subsequently initiated on a chemotherapy regimen comprising carboplatin and etoposide.</w:t>
      </w: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DIS</w:t>
      </w:r>
      <w:r>
        <w:rPr>
          <w:rFonts w:ascii="Arial" w:eastAsia="Arial" w:hAnsi="Arial" w:cs="Arial"/>
        </w:rPr>
        <w:t>CUSSION</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Epidemiology and Clinical Presentation</w:t>
      </w:r>
    </w:p>
    <w:p w:rsidR="00355A63" w:rsidRDefault="003C1EC9">
      <w:pPr>
        <w:spacing w:line="276" w:lineRule="auto"/>
        <w:ind w:left="0" w:hanging="2"/>
        <w:rPr>
          <w:rFonts w:ascii="Arial" w:eastAsia="Arial" w:hAnsi="Arial" w:cs="Arial"/>
        </w:rPr>
      </w:pPr>
      <w:r>
        <w:rPr>
          <w:rFonts w:ascii="Arial" w:eastAsia="Arial" w:hAnsi="Arial" w:cs="Arial"/>
        </w:rPr>
        <w:t>Gastric NECs are exceedingly rare and represent a subset of highly aggressive malignancies. Among them, poorly differentiated small cell types comprise roughly one-third. Patients typically present with nonsp</w:t>
      </w:r>
      <w:r>
        <w:rPr>
          <w:rFonts w:ascii="Arial" w:eastAsia="Arial" w:hAnsi="Arial" w:cs="Arial"/>
        </w:rPr>
        <w:t>ecific symptoms such as abdominal pain, anorexia, or gastrointestinal bleeding, which often leads to delayed diagnosis. In rare cases, these tumors may invade adjacent organs and mimic infectious processes, as occurred in this patient with liver abscess fo</w:t>
      </w:r>
      <w:r>
        <w:rPr>
          <w:rFonts w:ascii="Arial" w:eastAsia="Arial" w:hAnsi="Arial" w:cs="Arial"/>
        </w:rPr>
        <w:t>rmation.</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Diagnostic Challenges:</w:t>
      </w:r>
    </w:p>
    <w:p w:rsidR="00355A63" w:rsidRDefault="003C1EC9">
      <w:pPr>
        <w:spacing w:line="276" w:lineRule="auto"/>
        <w:ind w:left="0" w:hanging="2"/>
        <w:rPr>
          <w:rFonts w:ascii="Arial" w:eastAsia="Arial" w:hAnsi="Arial" w:cs="Arial"/>
        </w:rPr>
      </w:pPr>
      <w:r>
        <w:rPr>
          <w:rFonts w:ascii="Arial" w:eastAsia="Arial" w:hAnsi="Arial" w:cs="Arial"/>
        </w:rPr>
        <w:t>The co-existence of a gastric ulcer and liver abscess posed a diagnostic dilemma. While fine-needle aspiration (FNA) is a common first-line diagnostic tool, its sensitivity can be limited in necrotic or inflammatory lesions</w:t>
      </w:r>
      <w:r>
        <w:rPr>
          <w:rFonts w:ascii="Arial" w:eastAsia="Arial" w:hAnsi="Arial" w:cs="Arial"/>
        </w:rPr>
        <w:t xml:space="preserve"> [3</w:t>
      </w:r>
      <w:proofErr w:type="gramStart"/>
      <w:r>
        <w:rPr>
          <w:rFonts w:ascii="Arial" w:eastAsia="Arial" w:hAnsi="Arial" w:cs="Arial"/>
        </w:rPr>
        <w:t>,4</w:t>
      </w:r>
      <w:proofErr w:type="gramEnd"/>
      <w:r>
        <w:rPr>
          <w:rFonts w:ascii="Arial" w:eastAsia="Arial" w:hAnsi="Arial" w:cs="Arial"/>
        </w:rPr>
        <w:t>]. In this case, FNA from the abscess cavity was negative, and the final diagnosis was established only after endoscopic biopsy and IHC. The histopathological findings ruled out hepatic metastasis, suggesting a non-metastatic, infective etiology. Rece</w:t>
      </w:r>
      <w:r>
        <w:rPr>
          <w:rFonts w:ascii="Arial" w:eastAsia="Arial" w:hAnsi="Arial" w:cs="Arial"/>
        </w:rPr>
        <w:t xml:space="preserve">nt studies, such as Liu et al. (2023), have emphasized that liver abscesses in non-hepatic malignancy patients can result from local spread of infection rather than metastatic disease, particularly when tumors erode adjacent structures [15]. This supports </w:t>
      </w:r>
      <w:r>
        <w:rPr>
          <w:rFonts w:ascii="Arial" w:eastAsia="Arial" w:hAnsi="Arial" w:cs="Arial"/>
        </w:rPr>
        <w:t>the hypothesis that the gastric NEC perforated into the liver, facilitating bacterial translocation and abscess formation despite the absence of malignant cells in the liver specimen.</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Staging and Imaging:</w:t>
      </w:r>
    </w:p>
    <w:p w:rsidR="00355A63" w:rsidRDefault="003C1EC9">
      <w:pPr>
        <w:spacing w:line="276" w:lineRule="auto"/>
        <w:ind w:left="0" w:hanging="2"/>
        <w:rPr>
          <w:rFonts w:ascii="Arial" w:eastAsia="Arial" w:hAnsi="Arial" w:cs="Arial"/>
        </w:rPr>
      </w:pPr>
      <w:r>
        <w:rPr>
          <w:rFonts w:ascii="Arial" w:eastAsia="Arial" w:hAnsi="Arial" w:cs="Arial"/>
        </w:rPr>
        <w:t>Accurate staging is essential in guiding treatment</w:t>
      </w:r>
      <w:r>
        <w:rPr>
          <w:rFonts w:ascii="Arial" w:eastAsia="Arial" w:hAnsi="Arial" w:cs="Arial"/>
        </w:rPr>
        <w:t xml:space="preserve"> strategy. While somatostatin receptor-based PET imaging such as gallium-68 DOTATATE is valuable for well-differentiated tumors, it is often less effective in high-grade NECs. Instead, </w:t>
      </w:r>
      <w:proofErr w:type="spellStart"/>
      <w:r>
        <w:rPr>
          <w:rFonts w:ascii="Arial" w:eastAsia="Arial" w:hAnsi="Arial" w:cs="Arial"/>
        </w:rPr>
        <w:t>fluorodeoxyglucose</w:t>
      </w:r>
      <w:proofErr w:type="spellEnd"/>
      <w:r>
        <w:rPr>
          <w:rFonts w:ascii="Arial" w:eastAsia="Arial" w:hAnsi="Arial" w:cs="Arial"/>
        </w:rPr>
        <w:t xml:space="preserve"> (FDG)-based PET imaging is more sensitive for detect</w:t>
      </w:r>
      <w:r>
        <w:rPr>
          <w:rFonts w:ascii="Arial" w:eastAsia="Arial" w:hAnsi="Arial" w:cs="Arial"/>
        </w:rPr>
        <w:t>ing metastases in poorly differentiated NECs [6]. Interestingly, our patient’s DOTATATE PET-CT was negative postoperatively, suggesting the tumor might have expressed somatostatin receptors despite its high-grade features.</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Management and Prognostic Consid</w:t>
      </w:r>
      <w:r>
        <w:rPr>
          <w:rFonts w:ascii="Arial" w:eastAsia="Arial" w:hAnsi="Arial" w:cs="Arial"/>
        </w:rPr>
        <w:t>erations:</w:t>
      </w:r>
    </w:p>
    <w:p w:rsidR="00355A63" w:rsidRDefault="003C1EC9">
      <w:pPr>
        <w:spacing w:line="276" w:lineRule="auto"/>
        <w:ind w:left="0" w:hanging="2"/>
        <w:rPr>
          <w:rFonts w:ascii="Arial" w:eastAsia="Arial" w:hAnsi="Arial" w:cs="Arial"/>
        </w:rPr>
      </w:pPr>
      <w:r>
        <w:rPr>
          <w:rFonts w:ascii="Arial" w:eastAsia="Arial" w:hAnsi="Arial" w:cs="Arial"/>
        </w:rPr>
        <w:t>Due to the lack of large-scale studies on gastric NECs, treatment approaches are extrapolated from small cell lung carcinoma protocols. Chemotherapy with platinum-based agents such as cisplatin or carboplatin combined with etoposide remains the f</w:t>
      </w:r>
      <w:r>
        <w:rPr>
          <w:rFonts w:ascii="Arial" w:eastAsia="Arial" w:hAnsi="Arial" w:cs="Arial"/>
        </w:rPr>
        <w:t>irst-line treatment [12]. In our case, carboplatin was selected due to its favorable toxicity profile, especially in elderly patients.</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Surgical resection was justified by the presence of sepsis, tumor-related bleeding, and compromised nutritional status. </w:t>
      </w:r>
      <w:r>
        <w:rPr>
          <w:rFonts w:ascii="Arial" w:eastAsia="Arial" w:hAnsi="Arial" w:cs="Arial"/>
        </w:rPr>
        <w:t xml:space="preserve">Several studies confirm that preoperative nutritional </w:t>
      </w:r>
      <w:r>
        <w:rPr>
          <w:rFonts w:ascii="Arial" w:eastAsia="Arial" w:hAnsi="Arial" w:cs="Arial"/>
        </w:rPr>
        <w:lastRenderedPageBreak/>
        <w:t xml:space="preserve">support reduces postoperative complications and hospital stay in gastrointestinal malignancies [9–11]. Post-surgical chemotherapy was pursued in accordance with guidelines and supported by studies such </w:t>
      </w:r>
      <w:r>
        <w:rPr>
          <w:rFonts w:ascii="Arial" w:eastAsia="Arial" w:hAnsi="Arial" w:cs="Arial"/>
        </w:rPr>
        <w:t>as the NORDIC NEC trial, which reported meaningful response rates to platinum-based regimens in NECs with high Ki-67 indices (&gt;55%) [13</w:t>
      </w:r>
      <w:proofErr w:type="gramStart"/>
      <w:r>
        <w:rPr>
          <w:rFonts w:ascii="Arial" w:eastAsia="Arial" w:hAnsi="Arial" w:cs="Arial"/>
        </w:rPr>
        <w:t>,14</w:t>
      </w:r>
      <w:proofErr w:type="gramEnd"/>
      <w:r>
        <w:rPr>
          <w:rFonts w:ascii="Arial" w:eastAsia="Arial" w:hAnsi="Arial" w:cs="Arial"/>
        </w:rPr>
        <w:t>].</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This case illustrates the importance of individualized, multidisciplinary care. MDTs have been shown to significan</w:t>
      </w:r>
      <w:r>
        <w:rPr>
          <w:rFonts w:ascii="Arial" w:eastAsia="Arial" w:hAnsi="Arial" w:cs="Arial"/>
        </w:rPr>
        <w:t>tly alter and optimize treatment plans in more than 50% of complex oncological cases [8].</w:t>
      </w: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CONCLUSION</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Poorly differentiated gastric neuroendocrine carcinomas are rare and aggressive tumors with nonspecific clinical features that often mimic benign conditions such as abscesses. This case highlights the diagnostic complexity and therapeutic challenges associ</w:t>
      </w:r>
      <w:r>
        <w:rPr>
          <w:rFonts w:ascii="Arial" w:eastAsia="Arial" w:hAnsi="Arial" w:cs="Arial"/>
        </w:rPr>
        <w:t>ated with such malignancies. A high index of suspicion, early histopathological confirmation using immunohistochemistry, and coordinated care via a multidisciplinary team are essential for favorable outcomes.</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In the absence of gastric NEC-specific guideli</w:t>
      </w:r>
      <w:r>
        <w:rPr>
          <w:rFonts w:ascii="Arial" w:eastAsia="Arial" w:hAnsi="Arial" w:cs="Arial"/>
        </w:rPr>
        <w:t>nes, treatment must be guided by extrapolated evidence from other high-grade NECs. This case underscores the need for more robust data and prospective studies to establish tailored protocols for the diagnosis and management of gastric NECs.</w:t>
      </w: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C1EC9">
      <w:pPr>
        <w:pBdr>
          <w:bottom w:val="none" w:sz="0" w:space="0" w:color="000000"/>
        </w:pBdr>
        <w:spacing w:after="400" w:line="345" w:lineRule="auto"/>
        <w:ind w:left="0" w:hanging="2"/>
        <w:rPr>
          <w:rFonts w:ascii="Arial" w:eastAsia="Arial" w:hAnsi="Arial" w:cs="Arial"/>
          <w:highlight w:val="white"/>
        </w:rPr>
      </w:pPr>
      <w:r>
        <w:rPr>
          <w:rFonts w:ascii="Arial" w:eastAsia="Arial" w:hAnsi="Arial" w:cs="Arial"/>
          <w:b/>
          <w:highlight w:val="white"/>
        </w:rPr>
        <w:t>Declaration</w:t>
      </w:r>
      <w:r>
        <w:rPr>
          <w:rFonts w:ascii="Arial" w:eastAsia="Arial" w:hAnsi="Arial" w:cs="Arial"/>
          <w:b/>
          <w:highlight w:val="white"/>
        </w:rPr>
        <w:t xml:space="preserve"> of conflicting </w:t>
      </w:r>
      <w:proofErr w:type="spellStart"/>
      <w:r>
        <w:rPr>
          <w:rFonts w:ascii="Arial" w:eastAsia="Arial" w:hAnsi="Arial" w:cs="Arial"/>
          <w:b/>
          <w:highlight w:val="white"/>
        </w:rPr>
        <w:t>interests</w:t>
      </w:r>
      <w:proofErr w:type="gramStart"/>
      <w:r>
        <w:rPr>
          <w:rFonts w:ascii="Arial" w:eastAsia="Arial" w:hAnsi="Arial" w:cs="Arial"/>
          <w:b/>
          <w:highlight w:val="white"/>
        </w:rPr>
        <w:t>:</w:t>
      </w:r>
      <w:r>
        <w:rPr>
          <w:rFonts w:ascii="Arial" w:eastAsia="Arial" w:hAnsi="Arial" w:cs="Arial"/>
          <w:highlight w:val="white"/>
        </w:rPr>
        <w:t>The</w:t>
      </w:r>
      <w:proofErr w:type="spellEnd"/>
      <w:proofErr w:type="gramEnd"/>
      <w:r>
        <w:rPr>
          <w:rFonts w:ascii="Arial" w:eastAsia="Arial" w:hAnsi="Arial" w:cs="Arial"/>
          <w:highlight w:val="white"/>
        </w:rPr>
        <w:t xml:space="preserve"> author(s) declared no potential conflicts of interest with respect to the research, authorship, and/or publication of this article.</w:t>
      </w:r>
    </w:p>
    <w:p w:rsidR="003520C2" w:rsidRDefault="003C1EC9">
      <w:pPr>
        <w:pBdr>
          <w:bottom w:val="none" w:sz="0" w:space="0" w:color="000000"/>
        </w:pBdr>
        <w:spacing w:after="400" w:line="345" w:lineRule="auto"/>
        <w:ind w:left="0" w:hanging="2"/>
        <w:rPr>
          <w:rFonts w:ascii="Arial" w:eastAsia="Arial" w:hAnsi="Arial" w:cs="Arial"/>
          <w:highlight w:val="white"/>
        </w:rPr>
      </w:pPr>
      <w:r>
        <w:rPr>
          <w:rFonts w:ascii="Arial" w:eastAsia="Arial" w:hAnsi="Arial" w:cs="Arial"/>
          <w:b/>
          <w:highlight w:val="white"/>
        </w:rPr>
        <w:t>Disclosures</w:t>
      </w:r>
      <w:r>
        <w:rPr>
          <w:rFonts w:ascii="Arial" w:eastAsia="Arial" w:hAnsi="Arial" w:cs="Arial"/>
          <w:b/>
          <w:highlight w:val="white"/>
        </w:rPr>
        <w:t>:</w:t>
      </w:r>
      <w:r>
        <w:rPr>
          <w:rFonts w:ascii="Arial" w:eastAsia="Arial" w:hAnsi="Arial" w:cs="Arial"/>
          <w:highlight w:val="white"/>
        </w:rPr>
        <w:t xml:space="preserve"> The authors have no conflicts of interest to </w:t>
      </w:r>
      <w:proofErr w:type="spellStart"/>
      <w:r>
        <w:rPr>
          <w:rFonts w:ascii="Arial" w:eastAsia="Arial" w:hAnsi="Arial" w:cs="Arial"/>
          <w:highlight w:val="white"/>
        </w:rPr>
        <w:t>declare.The</w:t>
      </w:r>
      <w:proofErr w:type="spellEnd"/>
      <w:r>
        <w:rPr>
          <w:rFonts w:ascii="Arial" w:eastAsia="Arial" w:hAnsi="Arial" w:cs="Arial"/>
          <w:highlight w:val="white"/>
        </w:rPr>
        <w:t xml:space="preserve"> article descr</w:t>
      </w:r>
      <w:r>
        <w:rPr>
          <w:rFonts w:ascii="Arial" w:eastAsia="Arial" w:hAnsi="Arial" w:cs="Arial"/>
          <w:highlight w:val="white"/>
        </w:rPr>
        <w:t xml:space="preserve">ibes a case report. </w:t>
      </w:r>
      <w:bookmarkStart w:id="0" w:name="_GoBack"/>
      <w:bookmarkEnd w:id="0"/>
    </w:p>
    <w:p w:rsidR="003520C2" w:rsidRDefault="003520C2">
      <w:pPr>
        <w:pBdr>
          <w:bottom w:val="none" w:sz="0" w:space="0" w:color="000000"/>
        </w:pBdr>
        <w:spacing w:after="400" w:line="345" w:lineRule="auto"/>
        <w:ind w:left="0" w:hanging="2"/>
        <w:rPr>
          <w:rFonts w:ascii="Arial" w:eastAsia="Arial" w:hAnsi="Arial" w:cs="Arial"/>
          <w:highlight w:val="white"/>
        </w:rPr>
      </w:pPr>
      <w:r w:rsidRPr="003520C2">
        <w:rPr>
          <w:rFonts w:ascii="Arial" w:eastAsia="Arial" w:hAnsi="Arial" w:cs="Arial"/>
        </w:rPr>
        <w:t xml:space="preserve">Ethical </w:t>
      </w:r>
      <w:proofErr w:type="gramStart"/>
      <w:r w:rsidRPr="003520C2">
        <w:rPr>
          <w:rFonts w:ascii="Arial" w:eastAsia="Arial" w:hAnsi="Arial" w:cs="Arial"/>
        </w:rPr>
        <w:t>Approval</w:t>
      </w:r>
      <w:r w:rsidRPr="003520C2">
        <w:rPr>
          <w:rFonts w:ascii="Arial" w:eastAsia="Arial" w:hAnsi="Arial" w:cs="Arial"/>
          <w:highlight w:val="white"/>
        </w:rPr>
        <w:t xml:space="preserve"> </w:t>
      </w:r>
      <w:r>
        <w:rPr>
          <w:rFonts w:ascii="Arial" w:eastAsia="Arial" w:hAnsi="Arial" w:cs="Arial"/>
          <w:highlight w:val="white"/>
        </w:rPr>
        <w:t>:</w:t>
      </w:r>
      <w:proofErr w:type="gramEnd"/>
      <w:r>
        <w:rPr>
          <w:rFonts w:ascii="Arial" w:eastAsia="Arial" w:hAnsi="Arial" w:cs="Arial"/>
          <w:highlight w:val="white"/>
        </w:rPr>
        <w:t xml:space="preserve"> </w:t>
      </w:r>
      <w:r w:rsidR="003C1EC9">
        <w:rPr>
          <w:rFonts w:ascii="Arial" w:eastAsia="Arial" w:hAnsi="Arial" w:cs="Arial"/>
          <w:highlight w:val="white"/>
        </w:rPr>
        <w:t xml:space="preserve">The Ethics Committee at Sheikh </w:t>
      </w:r>
      <w:proofErr w:type="spellStart"/>
      <w:r w:rsidR="003C1EC9">
        <w:rPr>
          <w:rFonts w:ascii="Arial" w:eastAsia="Arial" w:hAnsi="Arial" w:cs="Arial"/>
          <w:highlight w:val="white"/>
        </w:rPr>
        <w:t>Khalifa</w:t>
      </w:r>
      <w:proofErr w:type="spellEnd"/>
      <w:r w:rsidR="003C1EC9">
        <w:rPr>
          <w:rFonts w:ascii="Arial" w:eastAsia="Arial" w:hAnsi="Arial" w:cs="Arial"/>
          <w:highlight w:val="white"/>
        </w:rPr>
        <w:t xml:space="preserve"> Medical City waived ethical approval. </w:t>
      </w:r>
    </w:p>
    <w:p w:rsidR="003520C2" w:rsidRDefault="003520C2">
      <w:pPr>
        <w:pBdr>
          <w:bottom w:val="none" w:sz="0" w:space="0" w:color="000000"/>
        </w:pBdr>
        <w:spacing w:after="400" w:line="345" w:lineRule="auto"/>
        <w:ind w:left="0" w:hanging="2"/>
        <w:rPr>
          <w:rFonts w:ascii="Arial" w:eastAsia="Arial" w:hAnsi="Arial" w:cs="Arial"/>
          <w:highlight w:val="white"/>
        </w:rPr>
      </w:pPr>
    </w:p>
    <w:p w:rsidR="00355A63" w:rsidRDefault="003520C2">
      <w:pPr>
        <w:pBdr>
          <w:bottom w:val="none" w:sz="0" w:space="0" w:color="000000"/>
        </w:pBdr>
        <w:spacing w:after="400" w:line="345" w:lineRule="auto"/>
        <w:ind w:left="0" w:hanging="2"/>
        <w:rPr>
          <w:rFonts w:ascii="Arial" w:eastAsia="Arial" w:hAnsi="Arial" w:cs="Arial"/>
          <w:highlight w:val="white"/>
        </w:rPr>
      </w:pPr>
      <w:proofErr w:type="gramStart"/>
      <w:r>
        <w:rPr>
          <w:rFonts w:ascii="Arial" w:eastAsia="Arial" w:hAnsi="Arial" w:cs="Arial"/>
          <w:highlight w:val="white"/>
        </w:rPr>
        <w:lastRenderedPageBreak/>
        <w:t>Consent :</w:t>
      </w:r>
      <w:proofErr w:type="gramEnd"/>
      <w:r>
        <w:rPr>
          <w:rFonts w:ascii="Arial" w:eastAsia="Arial" w:hAnsi="Arial" w:cs="Arial"/>
          <w:highlight w:val="white"/>
        </w:rPr>
        <w:t xml:space="preserve"> </w:t>
      </w:r>
      <w:r w:rsidR="003C1EC9">
        <w:rPr>
          <w:rFonts w:ascii="Arial" w:eastAsia="Arial" w:hAnsi="Arial" w:cs="Arial"/>
          <w:highlight w:val="white"/>
        </w:rPr>
        <w:t>Written informed consent was obtained from the patient for publication of this case report and any accompanying images.</w:t>
      </w:r>
    </w:p>
    <w:p w:rsidR="00355A63" w:rsidRDefault="003C1EC9">
      <w:pPr>
        <w:pBdr>
          <w:bottom w:val="none" w:sz="0" w:space="0" w:color="000000"/>
        </w:pBdr>
        <w:spacing w:after="400" w:line="345" w:lineRule="auto"/>
        <w:ind w:left="0" w:hanging="2"/>
        <w:rPr>
          <w:rFonts w:ascii="Arial" w:eastAsia="Arial" w:hAnsi="Arial" w:cs="Arial"/>
        </w:rPr>
      </w:pPr>
      <w:r>
        <w:rPr>
          <w:rFonts w:ascii="Arial" w:eastAsia="Arial" w:hAnsi="Arial" w:cs="Arial"/>
          <w:b/>
        </w:rPr>
        <w:t xml:space="preserve">Disclaimer (Artificial intelligence): </w:t>
      </w:r>
      <w:r>
        <w:rPr>
          <w:rFonts w:ascii="Arial" w:eastAsia="Arial" w:hAnsi="Arial" w:cs="Arial"/>
        </w:rPr>
        <w:t>A</w:t>
      </w:r>
      <w:r>
        <w:rPr>
          <w:rFonts w:ascii="Arial" w:eastAsia="Arial" w:hAnsi="Arial" w:cs="Arial"/>
        </w:rPr>
        <w:t>uthor(s) hereby declare that NO generative AI technologies such as Large Language Models (</w:t>
      </w:r>
      <w:proofErr w:type="spellStart"/>
      <w:r>
        <w:rPr>
          <w:rFonts w:ascii="Arial" w:eastAsia="Arial" w:hAnsi="Arial" w:cs="Arial"/>
        </w:rPr>
        <w:t>ChatGPT</w:t>
      </w:r>
      <w:proofErr w:type="spellEnd"/>
      <w:r>
        <w:rPr>
          <w:rFonts w:ascii="Arial" w:eastAsia="Arial" w:hAnsi="Arial" w:cs="Arial"/>
        </w:rPr>
        <w:t>, COPILOT, etc.) and text-to-image generators have been used during the writing or editing of this manuscript.</w:t>
      </w:r>
    </w:p>
    <w:p w:rsidR="00355A63" w:rsidRDefault="00355A63">
      <w:pPr>
        <w:spacing w:line="276" w:lineRule="auto"/>
        <w:ind w:left="0" w:hanging="2"/>
        <w:rPr>
          <w:rFonts w:ascii="Arial" w:eastAsia="Arial" w:hAnsi="Arial" w:cs="Arial"/>
        </w:rPr>
      </w:pP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REFERENCES</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1. de Herder WW, </w:t>
      </w:r>
      <w:proofErr w:type="spellStart"/>
      <w:r>
        <w:rPr>
          <w:rFonts w:ascii="Arial" w:eastAsia="Arial" w:hAnsi="Arial" w:cs="Arial"/>
        </w:rPr>
        <w:t>Rehfeld</w:t>
      </w:r>
      <w:proofErr w:type="spellEnd"/>
      <w:r>
        <w:rPr>
          <w:rFonts w:ascii="Arial" w:eastAsia="Arial" w:hAnsi="Arial" w:cs="Arial"/>
        </w:rPr>
        <w:t xml:space="preserve"> JF, Kidd M, </w:t>
      </w:r>
      <w:proofErr w:type="spellStart"/>
      <w:r>
        <w:rPr>
          <w:rFonts w:ascii="Arial" w:eastAsia="Arial" w:hAnsi="Arial" w:cs="Arial"/>
        </w:rPr>
        <w:t>Modlin</w:t>
      </w:r>
      <w:proofErr w:type="spellEnd"/>
      <w:r>
        <w:rPr>
          <w:rFonts w:ascii="Arial" w:eastAsia="Arial" w:hAnsi="Arial" w:cs="Arial"/>
        </w:rPr>
        <w:t xml:space="preserve"> IM. A short history of neuroendocrine </w:t>
      </w:r>
      <w:proofErr w:type="spellStart"/>
      <w:r>
        <w:rPr>
          <w:rFonts w:ascii="Arial" w:eastAsia="Arial" w:hAnsi="Arial" w:cs="Arial"/>
        </w:rPr>
        <w:t>tumours</w:t>
      </w:r>
      <w:proofErr w:type="spellEnd"/>
      <w:r>
        <w:rPr>
          <w:rFonts w:ascii="Arial" w:eastAsia="Arial" w:hAnsi="Arial" w:cs="Arial"/>
        </w:rPr>
        <w:t xml:space="preserve"> and their peptide hormones. Best </w:t>
      </w:r>
      <w:proofErr w:type="spellStart"/>
      <w:r>
        <w:rPr>
          <w:rFonts w:ascii="Arial" w:eastAsia="Arial" w:hAnsi="Arial" w:cs="Arial"/>
        </w:rPr>
        <w:t>Pract</w:t>
      </w:r>
      <w:proofErr w:type="spellEnd"/>
      <w:r>
        <w:rPr>
          <w:rFonts w:ascii="Arial" w:eastAsia="Arial" w:hAnsi="Arial" w:cs="Arial"/>
        </w:rPr>
        <w:t xml:space="preserve"> Res </w:t>
      </w:r>
      <w:proofErr w:type="spellStart"/>
      <w:r>
        <w:rPr>
          <w:rFonts w:ascii="Arial" w:eastAsia="Arial" w:hAnsi="Arial" w:cs="Arial"/>
        </w:rPr>
        <w:t>Clin</w:t>
      </w:r>
      <w:proofErr w:type="spellEnd"/>
      <w:r>
        <w:rPr>
          <w:rFonts w:ascii="Arial" w:eastAsia="Arial" w:hAnsi="Arial" w:cs="Arial"/>
        </w:rPr>
        <w:t xml:space="preserve"> </w:t>
      </w:r>
      <w:proofErr w:type="spellStart"/>
      <w:r>
        <w:rPr>
          <w:rFonts w:ascii="Arial" w:eastAsia="Arial" w:hAnsi="Arial" w:cs="Arial"/>
        </w:rPr>
        <w:t>Endocrinol</w:t>
      </w:r>
      <w:proofErr w:type="spellEnd"/>
      <w:r>
        <w:rPr>
          <w:rFonts w:ascii="Arial" w:eastAsia="Arial" w:hAnsi="Arial" w:cs="Arial"/>
        </w:rPr>
        <w:t xml:space="preserve"> </w:t>
      </w:r>
      <w:proofErr w:type="spellStart"/>
      <w:r>
        <w:rPr>
          <w:rFonts w:ascii="Arial" w:eastAsia="Arial" w:hAnsi="Arial" w:cs="Arial"/>
        </w:rPr>
        <w:t>Metab</w:t>
      </w:r>
      <w:proofErr w:type="spellEnd"/>
      <w:r>
        <w:rPr>
          <w:rFonts w:ascii="Arial" w:eastAsia="Arial" w:hAnsi="Arial" w:cs="Arial"/>
        </w:rPr>
        <w:t>. 2016</w:t>
      </w:r>
      <w:proofErr w:type="gramStart"/>
      <w:r>
        <w:rPr>
          <w:rFonts w:ascii="Arial" w:eastAsia="Arial" w:hAnsi="Arial" w:cs="Arial"/>
        </w:rPr>
        <w:t>;30</w:t>
      </w:r>
      <w:proofErr w:type="gramEnd"/>
      <w:r>
        <w:rPr>
          <w:rFonts w:ascii="Arial" w:eastAsia="Arial" w:hAnsi="Arial" w:cs="Arial"/>
        </w:rPr>
        <w:t>(1):3–17. doi:10.1016/j.beem.2015.10.004.</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2. Das S, </w:t>
      </w:r>
      <w:proofErr w:type="spellStart"/>
      <w:r>
        <w:rPr>
          <w:rFonts w:ascii="Arial" w:eastAsia="Arial" w:hAnsi="Arial" w:cs="Arial"/>
        </w:rPr>
        <w:t>Dasari</w:t>
      </w:r>
      <w:proofErr w:type="spellEnd"/>
      <w:r>
        <w:rPr>
          <w:rFonts w:ascii="Arial" w:eastAsia="Arial" w:hAnsi="Arial" w:cs="Arial"/>
        </w:rPr>
        <w:t xml:space="preserve"> A. Epidemiology, incidence, and p</w:t>
      </w:r>
      <w:r>
        <w:rPr>
          <w:rFonts w:ascii="Arial" w:eastAsia="Arial" w:hAnsi="Arial" w:cs="Arial"/>
        </w:rPr>
        <w:t xml:space="preserve">revalence of neuroendocrine neoplasms: are there global differences? </w:t>
      </w:r>
      <w:proofErr w:type="spellStart"/>
      <w:r>
        <w:rPr>
          <w:rFonts w:ascii="Arial" w:eastAsia="Arial" w:hAnsi="Arial" w:cs="Arial"/>
        </w:rPr>
        <w:t>Curr</w:t>
      </w:r>
      <w:proofErr w:type="spellEnd"/>
      <w:r>
        <w:rPr>
          <w:rFonts w:ascii="Arial" w:eastAsia="Arial" w:hAnsi="Arial" w:cs="Arial"/>
        </w:rPr>
        <w:t xml:space="preserve"> </w:t>
      </w:r>
      <w:proofErr w:type="spellStart"/>
      <w:r>
        <w:rPr>
          <w:rFonts w:ascii="Arial" w:eastAsia="Arial" w:hAnsi="Arial" w:cs="Arial"/>
        </w:rPr>
        <w:t>Oncol</w:t>
      </w:r>
      <w:proofErr w:type="spellEnd"/>
      <w:r>
        <w:rPr>
          <w:rFonts w:ascii="Arial" w:eastAsia="Arial" w:hAnsi="Arial" w:cs="Arial"/>
        </w:rPr>
        <w:t xml:space="preserve"> Rep. 2021</w:t>
      </w:r>
      <w:proofErr w:type="gramStart"/>
      <w:r>
        <w:rPr>
          <w:rFonts w:ascii="Arial" w:eastAsia="Arial" w:hAnsi="Arial" w:cs="Arial"/>
        </w:rPr>
        <w:t>;23</w:t>
      </w:r>
      <w:proofErr w:type="gramEnd"/>
      <w:r>
        <w:rPr>
          <w:rFonts w:ascii="Arial" w:eastAsia="Arial" w:hAnsi="Arial" w:cs="Arial"/>
        </w:rPr>
        <w:t xml:space="preserve">(4):43. </w:t>
      </w:r>
      <w:proofErr w:type="gramStart"/>
      <w:r>
        <w:rPr>
          <w:rFonts w:ascii="Arial" w:eastAsia="Arial" w:hAnsi="Arial" w:cs="Arial"/>
        </w:rPr>
        <w:t>doi:</w:t>
      </w:r>
      <w:proofErr w:type="gramEnd"/>
      <w:r>
        <w:rPr>
          <w:rFonts w:ascii="Arial" w:eastAsia="Arial" w:hAnsi="Arial" w:cs="Arial"/>
        </w:rPr>
        <w:t>10.1007/s11912-021-01029-7.</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3. Wee A, Nilsson B, Yap I, Chong SM. Aspiration cytology of liver abscesses with an emphasis on diagnostic pitfalls. </w:t>
      </w:r>
      <w:proofErr w:type="spellStart"/>
      <w:r>
        <w:rPr>
          <w:rFonts w:ascii="Arial" w:eastAsia="Arial" w:hAnsi="Arial" w:cs="Arial"/>
        </w:rPr>
        <w:t>Acta</w:t>
      </w:r>
      <w:proofErr w:type="spellEnd"/>
      <w:r>
        <w:rPr>
          <w:rFonts w:ascii="Arial" w:eastAsia="Arial" w:hAnsi="Arial" w:cs="Arial"/>
        </w:rPr>
        <w:t xml:space="preserve"> </w:t>
      </w:r>
      <w:proofErr w:type="spellStart"/>
      <w:r>
        <w:rPr>
          <w:rFonts w:ascii="Arial" w:eastAsia="Arial" w:hAnsi="Arial" w:cs="Arial"/>
        </w:rPr>
        <w:t>Cytol</w:t>
      </w:r>
      <w:proofErr w:type="spellEnd"/>
      <w:r>
        <w:rPr>
          <w:rFonts w:ascii="Arial" w:eastAsia="Arial" w:hAnsi="Arial" w:cs="Arial"/>
        </w:rPr>
        <w:t>. 1995</w:t>
      </w:r>
      <w:proofErr w:type="gramStart"/>
      <w:r>
        <w:rPr>
          <w:rFonts w:ascii="Arial" w:eastAsia="Arial" w:hAnsi="Arial" w:cs="Arial"/>
        </w:rPr>
        <w:t>;39</w:t>
      </w:r>
      <w:proofErr w:type="gramEnd"/>
      <w:r>
        <w:rPr>
          <w:rFonts w:ascii="Arial" w:eastAsia="Arial" w:hAnsi="Arial" w:cs="Arial"/>
        </w:rPr>
        <w:t>(3):453–62.</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4. Aggarwal A, Gupta M, Gabriel J, Walker D. Metastatic neuroendocrine tumor masquerading as liver abscesses. </w:t>
      </w:r>
      <w:proofErr w:type="spellStart"/>
      <w:r>
        <w:rPr>
          <w:rFonts w:ascii="Arial" w:eastAsia="Arial" w:hAnsi="Arial" w:cs="Arial"/>
        </w:rPr>
        <w:t>Clin</w:t>
      </w:r>
      <w:proofErr w:type="spellEnd"/>
      <w:r>
        <w:rPr>
          <w:rFonts w:ascii="Arial" w:eastAsia="Arial" w:hAnsi="Arial" w:cs="Arial"/>
        </w:rPr>
        <w:t xml:space="preserve"> Case Rep. 2020</w:t>
      </w:r>
      <w:proofErr w:type="gramStart"/>
      <w:r>
        <w:rPr>
          <w:rFonts w:ascii="Arial" w:eastAsia="Arial" w:hAnsi="Arial" w:cs="Arial"/>
        </w:rPr>
        <w:t>;8</w:t>
      </w:r>
      <w:proofErr w:type="gramEnd"/>
      <w:r>
        <w:rPr>
          <w:rFonts w:ascii="Arial" w:eastAsia="Arial" w:hAnsi="Arial" w:cs="Arial"/>
        </w:rPr>
        <w:t>(12):2530–5. doi:10.1002/ccr3.3224.</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5. Frances N, </w:t>
      </w:r>
      <w:proofErr w:type="spellStart"/>
      <w:r>
        <w:rPr>
          <w:rFonts w:ascii="Arial" w:eastAsia="Arial" w:hAnsi="Arial" w:cs="Arial"/>
        </w:rPr>
        <w:t>Zeichner</w:t>
      </w:r>
      <w:proofErr w:type="spellEnd"/>
      <w:r>
        <w:rPr>
          <w:rFonts w:ascii="Arial" w:eastAsia="Arial" w:hAnsi="Arial" w:cs="Arial"/>
        </w:rPr>
        <w:t xml:space="preserve"> SB, </w:t>
      </w:r>
      <w:proofErr w:type="spellStart"/>
      <w:proofErr w:type="gramStart"/>
      <w:r>
        <w:rPr>
          <w:rFonts w:ascii="Arial" w:eastAsia="Arial" w:hAnsi="Arial" w:cs="Arial"/>
        </w:rPr>
        <w:t>Francavilla</w:t>
      </w:r>
      <w:proofErr w:type="spellEnd"/>
      <w:proofErr w:type="gramEnd"/>
      <w:r>
        <w:rPr>
          <w:rFonts w:ascii="Arial" w:eastAsia="Arial" w:hAnsi="Arial" w:cs="Arial"/>
        </w:rPr>
        <w:t xml:space="preserve"> M, </w:t>
      </w:r>
      <w:proofErr w:type="spellStart"/>
      <w:r>
        <w:rPr>
          <w:rFonts w:ascii="Arial" w:eastAsia="Arial" w:hAnsi="Arial" w:cs="Arial"/>
        </w:rPr>
        <w:t>Cusnir</w:t>
      </w:r>
      <w:proofErr w:type="spellEnd"/>
      <w:r>
        <w:rPr>
          <w:rFonts w:ascii="Arial" w:eastAsia="Arial" w:hAnsi="Arial" w:cs="Arial"/>
        </w:rPr>
        <w:t xml:space="preserve"> M. Gastric s</w:t>
      </w:r>
      <w:r>
        <w:rPr>
          <w:rFonts w:ascii="Arial" w:eastAsia="Arial" w:hAnsi="Arial" w:cs="Arial"/>
        </w:rPr>
        <w:t xml:space="preserve">mall-cell carcinoma found on esophagogastroduodenoscopy: a case report and literature review. Case Rep </w:t>
      </w:r>
      <w:proofErr w:type="spellStart"/>
      <w:r>
        <w:rPr>
          <w:rFonts w:ascii="Arial" w:eastAsia="Arial" w:hAnsi="Arial" w:cs="Arial"/>
        </w:rPr>
        <w:t>Oncol</w:t>
      </w:r>
      <w:proofErr w:type="spellEnd"/>
      <w:r>
        <w:rPr>
          <w:rFonts w:ascii="Arial" w:eastAsia="Arial" w:hAnsi="Arial" w:cs="Arial"/>
        </w:rPr>
        <w:t xml:space="preserve"> Med. 2013</w:t>
      </w:r>
      <w:proofErr w:type="gramStart"/>
      <w:r>
        <w:rPr>
          <w:rFonts w:ascii="Arial" w:eastAsia="Arial" w:hAnsi="Arial" w:cs="Arial"/>
        </w:rPr>
        <w:t>;2013:475961</w:t>
      </w:r>
      <w:proofErr w:type="gramEnd"/>
      <w:r>
        <w:rPr>
          <w:rFonts w:ascii="Arial" w:eastAsia="Arial" w:hAnsi="Arial" w:cs="Arial"/>
        </w:rPr>
        <w:t>. doi:10.1155/2013/475961.</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6. Walter T, </w:t>
      </w:r>
      <w:proofErr w:type="spellStart"/>
      <w:r>
        <w:rPr>
          <w:rFonts w:ascii="Arial" w:eastAsia="Arial" w:hAnsi="Arial" w:cs="Arial"/>
        </w:rPr>
        <w:t>Tougeron</w:t>
      </w:r>
      <w:proofErr w:type="spellEnd"/>
      <w:r>
        <w:rPr>
          <w:rFonts w:ascii="Arial" w:eastAsia="Arial" w:hAnsi="Arial" w:cs="Arial"/>
        </w:rPr>
        <w:t xml:space="preserve"> D, </w:t>
      </w:r>
      <w:proofErr w:type="spellStart"/>
      <w:r>
        <w:rPr>
          <w:rFonts w:ascii="Arial" w:eastAsia="Arial" w:hAnsi="Arial" w:cs="Arial"/>
        </w:rPr>
        <w:t>Baudin</w:t>
      </w:r>
      <w:proofErr w:type="spellEnd"/>
      <w:r>
        <w:rPr>
          <w:rFonts w:ascii="Arial" w:eastAsia="Arial" w:hAnsi="Arial" w:cs="Arial"/>
        </w:rPr>
        <w:t xml:space="preserve"> E, et al. </w:t>
      </w:r>
      <w:proofErr w:type="gramStart"/>
      <w:r>
        <w:rPr>
          <w:rFonts w:ascii="Arial" w:eastAsia="Arial" w:hAnsi="Arial" w:cs="Arial"/>
        </w:rPr>
        <w:t>Poorly</w:t>
      </w:r>
      <w:proofErr w:type="gramEnd"/>
      <w:r>
        <w:rPr>
          <w:rFonts w:ascii="Arial" w:eastAsia="Arial" w:hAnsi="Arial" w:cs="Arial"/>
        </w:rPr>
        <w:t xml:space="preserve"> differentiated gastro-</w:t>
      </w:r>
      <w:proofErr w:type="spellStart"/>
      <w:r>
        <w:rPr>
          <w:rFonts w:ascii="Arial" w:eastAsia="Arial" w:hAnsi="Arial" w:cs="Arial"/>
        </w:rPr>
        <w:t>entero</w:t>
      </w:r>
      <w:proofErr w:type="spellEnd"/>
      <w:r>
        <w:rPr>
          <w:rFonts w:ascii="Arial" w:eastAsia="Arial" w:hAnsi="Arial" w:cs="Arial"/>
        </w:rPr>
        <w:t>-pancreatic neuroendo</w:t>
      </w:r>
      <w:r>
        <w:rPr>
          <w:rFonts w:ascii="Arial" w:eastAsia="Arial" w:hAnsi="Arial" w:cs="Arial"/>
        </w:rPr>
        <w:t xml:space="preserve">crine carcinomas: are they really heterogeneous? Insights from the FFCD-GTE national cohort. </w:t>
      </w:r>
      <w:proofErr w:type="spellStart"/>
      <w:r>
        <w:rPr>
          <w:rFonts w:ascii="Arial" w:eastAsia="Arial" w:hAnsi="Arial" w:cs="Arial"/>
        </w:rPr>
        <w:t>Eur</w:t>
      </w:r>
      <w:proofErr w:type="spellEnd"/>
      <w:r>
        <w:rPr>
          <w:rFonts w:ascii="Arial" w:eastAsia="Arial" w:hAnsi="Arial" w:cs="Arial"/>
        </w:rPr>
        <w:t xml:space="preserve"> J Cancer. 2017</w:t>
      </w:r>
      <w:proofErr w:type="gramStart"/>
      <w:r>
        <w:rPr>
          <w:rFonts w:ascii="Arial" w:eastAsia="Arial" w:hAnsi="Arial" w:cs="Arial"/>
        </w:rPr>
        <w:t>;79:158</w:t>
      </w:r>
      <w:proofErr w:type="gramEnd"/>
      <w:r>
        <w:rPr>
          <w:rFonts w:ascii="Arial" w:eastAsia="Arial" w:hAnsi="Arial" w:cs="Arial"/>
        </w:rPr>
        <w:t>–65. doi:10.1016/j.ejca.2017.04.009.</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7. Iwasaki K, </w:t>
      </w:r>
      <w:proofErr w:type="spellStart"/>
      <w:r>
        <w:rPr>
          <w:rFonts w:ascii="Arial" w:eastAsia="Arial" w:hAnsi="Arial" w:cs="Arial"/>
        </w:rPr>
        <w:t>Barroga</w:t>
      </w:r>
      <w:proofErr w:type="spellEnd"/>
      <w:r>
        <w:rPr>
          <w:rFonts w:ascii="Arial" w:eastAsia="Arial" w:hAnsi="Arial" w:cs="Arial"/>
        </w:rPr>
        <w:t xml:space="preserve"> E, </w:t>
      </w:r>
      <w:proofErr w:type="spellStart"/>
      <w:r>
        <w:rPr>
          <w:rFonts w:ascii="Arial" w:eastAsia="Arial" w:hAnsi="Arial" w:cs="Arial"/>
        </w:rPr>
        <w:t>Enomoto</w:t>
      </w:r>
      <w:proofErr w:type="spellEnd"/>
      <w:r>
        <w:rPr>
          <w:rFonts w:ascii="Arial" w:eastAsia="Arial" w:hAnsi="Arial" w:cs="Arial"/>
        </w:rPr>
        <w:t xml:space="preserve"> M, et al. Long-term surgical outcomes of gastric neuroendocrine carcinoma and mixed neuroendocrine-non-neuroendocrine neoplasms. World J </w:t>
      </w:r>
      <w:proofErr w:type="spellStart"/>
      <w:r>
        <w:rPr>
          <w:rFonts w:ascii="Arial" w:eastAsia="Arial" w:hAnsi="Arial" w:cs="Arial"/>
        </w:rPr>
        <w:t>Surg</w:t>
      </w:r>
      <w:proofErr w:type="spellEnd"/>
      <w:r>
        <w:rPr>
          <w:rFonts w:ascii="Arial" w:eastAsia="Arial" w:hAnsi="Arial" w:cs="Arial"/>
        </w:rPr>
        <w:t xml:space="preserve"> </w:t>
      </w:r>
      <w:proofErr w:type="spellStart"/>
      <w:r>
        <w:rPr>
          <w:rFonts w:ascii="Arial" w:eastAsia="Arial" w:hAnsi="Arial" w:cs="Arial"/>
        </w:rPr>
        <w:t>Onc</w:t>
      </w:r>
      <w:proofErr w:type="spellEnd"/>
      <w:r>
        <w:rPr>
          <w:rFonts w:ascii="Arial" w:eastAsia="Arial" w:hAnsi="Arial" w:cs="Arial"/>
        </w:rPr>
        <w:t>. 2022</w:t>
      </w:r>
      <w:proofErr w:type="gramStart"/>
      <w:r>
        <w:rPr>
          <w:rFonts w:ascii="Arial" w:eastAsia="Arial" w:hAnsi="Arial" w:cs="Arial"/>
        </w:rPr>
        <w:t>;20</w:t>
      </w:r>
      <w:proofErr w:type="gramEnd"/>
      <w:r>
        <w:rPr>
          <w:rFonts w:ascii="Arial" w:eastAsia="Arial" w:hAnsi="Arial" w:cs="Arial"/>
        </w:rPr>
        <w:t xml:space="preserve">(1):165. </w:t>
      </w:r>
      <w:proofErr w:type="gramStart"/>
      <w:r>
        <w:rPr>
          <w:rFonts w:ascii="Arial" w:eastAsia="Arial" w:hAnsi="Arial" w:cs="Arial"/>
        </w:rPr>
        <w:t>doi:</w:t>
      </w:r>
      <w:proofErr w:type="gramEnd"/>
      <w:r>
        <w:rPr>
          <w:rFonts w:ascii="Arial" w:eastAsia="Arial" w:hAnsi="Arial" w:cs="Arial"/>
        </w:rPr>
        <w:t>10.1186/s12957-022-02625-y.</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lastRenderedPageBreak/>
        <w:t xml:space="preserve">8. Magi L, </w:t>
      </w:r>
      <w:proofErr w:type="spellStart"/>
      <w:r>
        <w:rPr>
          <w:rFonts w:ascii="Arial" w:eastAsia="Arial" w:hAnsi="Arial" w:cs="Arial"/>
        </w:rPr>
        <w:t>Mazzuca</w:t>
      </w:r>
      <w:proofErr w:type="spellEnd"/>
      <w:r>
        <w:rPr>
          <w:rFonts w:ascii="Arial" w:eastAsia="Arial" w:hAnsi="Arial" w:cs="Arial"/>
        </w:rPr>
        <w:t xml:space="preserve"> F, </w:t>
      </w:r>
      <w:proofErr w:type="spellStart"/>
      <w:r>
        <w:rPr>
          <w:rFonts w:ascii="Arial" w:eastAsia="Arial" w:hAnsi="Arial" w:cs="Arial"/>
        </w:rPr>
        <w:t>Rinzi</w:t>
      </w:r>
      <w:r>
        <w:rPr>
          <w:rFonts w:ascii="Arial" w:eastAsia="Arial" w:hAnsi="Arial" w:cs="Arial"/>
        </w:rPr>
        <w:t>villo</w:t>
      </w:r>
      <w:proofErr w:type="spellEnd"/>
      <w:r>
        <w:rPr>
          <w:rFonts w:ascii="Arial" w:eastAsia="Arial" w:hAnsi="Arial" w:cs="Arial"/>
        </w:rPr>
        <w:t xml:space="preserve"> M, et al. Multidisciplinary management of neuroendocrine neoplasia: a real-world experience from a referral center. J </w:t>
      </w:r>
      <w:proofErr w:type="spellStart"/>
      <w:r>
        <w:rPr>
          <w:rFonts w:ascii="Arial" w:eastAsia="Arial" w:hAnsi="Arial" w:cs="Arial"/>
        </w:rPr>
        <w:t>Clin</w:t>
      </w:r>
      <w:proofErr w:type="spellEnd"/>
      <w:r>
        <w:rPr>
          <w:rFonts w:ascii="Arial" w:eastAsia="Arial" w:hAnsi="Arial" w:cs="Arial"/>
        </w:rPr>
        <w:t xml:space="preserve"> Med. 2019</w:t>
      </w:r>
      <w:proofErr w:type="gramStart"/>
      <w:r>
        <w:rPr>
          <w:rFonts w:ascii="Arial" w:eastAsia="Arial" w:hAnsi="Arial" w:cs="Arial"/>
        </w:rPr>
        <w:t>;8</w:t>
      </w:r>
      <w:proofErr w:type="gramEnd"/>
      <w:r>
        <w:rPr>
          <w:rFonts w:ascii="Arial" w:eastAsia="Arial" w:hAnsi="Arial" w:cs="Arial"/>
        </w:rPr>
        <w:t xml:space="preserve">(6):910. </w:t>
      </w:r>
      <w:proofErr w:type="gramStart"/>
      <w:r>
        <w:rPr>
          <w:rFonts w:ascii="Arial" w:eastAsia="Arial" w:hAnsi="Arial" w:cs="Arial"/>
        </w:rPr>
        <w:t>doi:</w:t>
      </w:r>
      <w:proofErr w:type="gramEnd"/>
      <w:r>
        <w:rPr>
          <w:rFonts w:ascii="Arial" w:eastAsia="Arial" w:hAnsi="Arial" w:cs="Arial"/>
        </w:rPr>
        <w:t>10.3390/jcm8060910.</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9. </w:t>
      </w:r>
      <w:proofErr w:type="spellStart"/>
      <w:r>
        <w:rPr>
          <w:rFonts w:ascii="Arial" w:eastAsia="Arial" w:hAnsi="Arial" w:cs="Arial"/>
        </w:rPr>
        <w:t>Heyland</w:t>
      </w:r>
      <w:proofErr w:type="spellEnd"/>
      <w:r>
        <w:rPr>
          <w:rFonts w:ascii="Arial" w:eastAsia="Arial" w:hAnsi="Arial" w:cs="Arial"/>
        </w:rPr>
        <w:t xml:space="preserve"> DK, Montalvo M, MacDonald S, Keefe L, Su XY, Drover JW. Total parentera</w:t>
      </w:r>
      <w:r>
        <w:rPr>
          <w:rFonts w:ascii="Arial" w:eastAsia="Arial" w:hAnsi="Arial" w:cs="Arial"/>
        </w:rPr>
        <w:t>l nutrition in the surgical patient: a meta-analysis. Can J Surg. 2001</w:t>
      </w:r>
      <w:proofErr w:type="gramStart"/>
      <w:r>
        <w:rPr>
          <w:rFonts w:ascii="Arial" w:eastAsia="Arial" w:hAnsi="Arial" w:cs="Arial"/>
        </w:rPr>
        <w:t>;44</w:t>
      </w:r>
      <w:proofErr w:type="gramEnd"/>
      <w:r>
        <w:rPr>
          <w:rFonts w:ascii="Arial" w:eastAsia="Arial" w:hAnsi="Arial" w:cs="Arial"/>
        </w:rPr>
        <w:t>(2):102–11.</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10. </w:t>
      </w:r>
      <w:proofErr w:type="spellStart"/>
      <w:r>
        <w:rPr>
          <w:rFonts w:ascii="Arial" w:eastAsia="Arial" w:hAnsi="Arial" w:cs="Arial"/>
        </w:rPr>
        <w:t>Bozzetti</w:t>
      </w:r>
      <w:proofErr w:type="spellEnd"/>
      <w:r>
        <w:rPr>
          <w:rFonts w:ascii="Arial" w:eastAsia="Arial" w:hAnsi="Arial" w:cs="Arial"/>
        </w:rPr>
        <w:t xml:space="preserve"> F, Gavazzi C, </w:t>
      </w:r>
      <w:proofErr w:type="spellStart"/>
      <w:r>
        <w:rPr>
          <w:rFonts w:ascii="Arial" w:eastAsia="Arial" w:hAnsi="Arial" w:cs="Arial"/>
        </w:rPr>
        <w:t>Miceli</w:t>
      </w:r>
      <w:proofErr w:type="spellEnd"/>
      <w:r>
        <w:rPr>
          <w:rFonts w:ascii="Arial" w:eastAsia="Arial" w:hAnsi="Arial" w:cs="Arial"/>
        </w:rPr>
        <w:t xml:space="preserve"> R, et al. Perioperative total parenteral nutrition in malnourished gastrointestinal cancer patients: a randomized clinical trial. JPEN J</w:t>
      </w:r>
      <w:r>
        <w:rPr>
          <w:rFonts w:ascii="Arial" w:eastAsia="Arial" w:hAnsi="Arial" w:cs="Arial"/>
        </w:rPr>
        <w:t xml:space="preserve"> </w:t>
      </w:r>
      <w:proofErr w:type="spellStart"/>
      <w:r>
        <w:rPr>
          <w:rFonts w:ascii="Arial" w:eastAsia="Arial" w:hAnsi="Arial" w:cs="Arial"/>
        </w:rPr>
        <w:t>Parenter</w:t>
      </w:r>
      <w:proofErr w:type="spellEnd"/>
      <w:r>
        <w:rPr>
          <w:rFonts w:ascii="Arial" w:eastAsia="Arial" w:hAnsi="Arial" w:cs="Arial"/>
        </w:rPr>
        <w:t xml:space="preserve"> Enteral </w:t>
      </w:r>
      <w:proofErr w:type="spellStart"/>
      <w:r>
        <w:rPr>
          <w:rFonts w:ascii="Arial" w:eastAsia="Arial" w:hAnsi="Arial" w:cs="Arial"/>
        </w:rPr>
        <w:t>Nutr</w:t>
      </w:r>
      <w:proofErr w:type="spellEnd"/>
      <w:r>
        <w:rPr>
          <w:rFonts w:ascii="Arial" w:eastAsia="Arial" w:hAnsi="Arial" w:cs="Arial"/>
        </w:rPr>
        <w:t>. 2000</w:t>
      </w:r>
      <w:proofErr w:type="gramStart"/>
      <w:r>
        <w:rPr>
          <w:rFonts w:ascii="Arial" w:eastAsia="Arial" w:hAnsi="Arial" w:cs="Arial"/>
        </w:rPr>
        <w:t>;24</w:t>
      </w:r>
      <w:proofErr w:type="gramEnd"/>
      <w:r>
        <w:rPr>
          <w:rFonts w:ascii="Arial" w:eastAsia="Arial" w:hAnsi="Arial" w:cs="Arial"/>
        </w:rPr>
        <w:t xml:space="preserve">(1):7–14. </w:t>
      </w:r>
      <w:proofErr w:type="gramStart"/>
      <w:r>
        <w:rPr>
          <w:rFonts w:ascii="Arial" w:eastAsia="Arial" w:hAnsi="Arial" w:cs="Arial"/>
        </w:rPr>
        <w:t>doi:</w:t>
      </w:r>
      <w:proofErr w:type="gramEnd"/>
      <w:r>
        <w:rPr>
          <w:rFonts w:ascii="Arial" w:eastAsia="Arial" w:hAnsi="Arial" w:cs="Arial"/>
        </w:rPr>
        <w:t>10.1177/014860710002400107.</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11. Wu GH, Liu ZH, Wu ZH, Wu ZG. Perioperative artificial nutrition in malnourished gastrointestinal cancer patients. *World J </w:t>
      </w:r>
      <w:proofErr w:type="spellStart"/>
      <w:r>
        <w:rPr>
          <w:rFonts w:ascii="Arial" w:eastAsia="Arial" w:hAnsi="Arial" w:cs="Arial"/>
        </w:rPr>
        <w:t>Gastroenterol</w:t>
      </w:r>
      <w:proofErr w:type="spellEnd"/>
      <w:r>
        <w:rPr>
          <w:rFonts w:ascii="Arial" w:eastAsia="Arial" w:hAnsi="Arial" w:cs="Arial"/>
        </w:rPr>
        <w:t>*. 2006</w:t>
      </w:r>
      <w:proofErr w:type="gramStart"/>
      <w:r>
        <w:rPr>
          <w:rFonts w:ascii="Arial" w:eastAsia="Arial" w:hAnsi="Arial" w:cs="Arial"/>
        </w:rPr>
        <w:t>;12</w:t>
      </w:r>
      <w:proofErr w:type="gramEnd"/>
      <w:r>
        <w:rPr>
          <w:rFonts w:ascii="Arial" w:eastAsia="Arial" w:hAnsi="Arial" w:cs="Arial"/>
        </w:rPr>
        <w:t>(15):2441–4. doi:10.3748/wjg.v12</w:t>
      </w:r>
      <w:r>
        <w:rPr>
          <w:rFonts w:ascii="Arial" w:eastAsia="Arial" w:hAnsi="Arial" w:cs="Arial"/>
        </w:rPr>
        <w:t>.i15.2441.</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12. </w:t>
      </w:r>
      <w:proofErr w:type="spellStart"/>
      <w:r>
        <w:rPr>
          <w:rFonts w:ascii="Arial" w:eastAsia="Arial" w:hAnsi="Arial" w:cs="Arial"/>
        </w:rPr>
        <w:t>Strosberg</w:t>
      </w:r>
      <w:proofErr w:type="spellEnd"/>
      <w:r>
        <w:rPr>
          <w:rFonts w:ascii="Arial" w:eastAsia="Arial" w:hAnsi="Arial" w:cs="Arial"/>
        </w:rPr>
        <w:t xml:space="preserve"> JR, Coppola D, </w:t>
      </w:r>
      <w:proofErr w:type="spellStart"/>
      <w:r>
        <w:rPr>
          <w:rFonts w:ascii="Arial" w:eastAsia="Arial" w:hAnsi="Arial" w:cs="Arial"/>
        </w:rPr>
        <w:t>Klimstra</w:t>
      </w:r>
      <w:proofErr w:type="spellEnd"/>
      <w:r>
        <w:rPr>
          <w:rFonts w:ascii="Arial" w:eastAsia="Arial" w:hAnsi="Arial" w:cs="Arial"/>
        </w:rPr>
        <w:t xml:space="preserve"> DS, et al. The NANETS consensus guidelines for the diagnosis and management of poorly differentiated (high-grade) </w:t>
      </w:r>
      <w:proofErr w:type="spellStart"/>
      <w:r>
        <w:rPr>
          <w:rFonts w:ascii="Arial" w:eastAsia="Arial" w:hAnsi="Arial" w:cs="Arial"/>
        </w:rPr>
        <w:t>extrapulmonary</w:t>
      </w:r>
      <w:proofErr w:type="spellEnd"/>
      <w:r>
        <w:rPr>
          <w:rFonts w:ascii="Arial" w:eastAsia="Arial" w:hAnsi="Arial" w:cs="Arial"/>
        </w:rPr>
        <w:t xml:space="preserve"> neuroendocrine carcinomas. Pancreas. 2010</w:t>
      </w:r>
      <w:proofErr w:type="gramStart"/>
      <w:r>
        <w:rPr>
          <w:rFonts w:ascii="Arial" w:eastAsia="Arial" w:hAnsi="Arial" w:cs="Arial"/>
        </w:rPr>
        <w:t>;39</w:t>
      </w:r>
      <w:proofErr w:type="gramEnd"/>
      <w:r>
        <w:rPr>
          <w:rFonts w:ascii="Arial" w:eastAsia="Arial" w:hAnsi="Arial" w:cs="Arial"/>
        </w:rPr>
        <w:t>(6):799–800. doi:10.1097/MPA.0b01</w:t>
      </w:r>
      <w:r>
        <w:rPr>
          <w:rFonts w:ascii="Arial" w:eastAsia="Arial" w:hAnsi="Arial" w:cs="Arial"/>
        </w:rPr>
        <w:t>3e3181ebb56f.</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13. du Bois A, </w:t>
      </w:r>
      <w:proofErr w:type="spellStart"/>
      <w:r>
        <w:rPr>
          <w:rFonts w:ascii="Arial" w:eastAsia="Arial" w:hAnsi="Arial" w:cs="Arial"/>
        </w:rPr>
        <w:t>Lück</w:t>
      </w:r>
      <w:proofErr w:type="spellEnd"/>
      <w:r>
        <w:rPr>
          <w:rFonts w:ascii="Arial" w:eastAsia="Arial" w:hAnsi="Arial" w:cs="Arial"/>
        </w:rPr>
        <w:t xml:space="preserve"> HJ, Meier W, et al. A randomized clinical trial of cisplatin/paclitaxel versus carboplatin/paclitaxel as first-line treatment of ovarian cancer. JNCI J Natl Cancer Inst. 2003</w:t>
      </w:r>
      <w:proofErr w:type="gramStart"/>
      <w:r>
        <w:rPr>
          <w:rFonts w:ascii="Arial" w:eastAsia="Arial" w:hAnsi="Arial" w:cs="Arial"/>
        </w:rPr>
        <w:t>;95</w:t>
      </w:r>
      <w:proofErr w:type="gramEnd"/>
      <w:r>
        <w:rPr>
          <w:rFonts w:ascii="Arial" w:eastAsia="Arial" w:hAnsi="Arial" w:cs="Arial"/>
        </w:rPr>
        <w:t>(17):1320–9.</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 xml:space="preserve">14. </w:t>
      </w:r>
      <w:proofErr w:type="spellStart"/>
      <w:r>
        <w:rPr>
          <w:rFonts w:ascii="Arial" w:eastAsia="Arial" w:hAnsi="Arial" w:cs="Arial"/>
        </w:rPr>
        <w:t>Sorbye</w:t>
      </w:r>
      <w:proofErr w:type="spellEnd"/>
      <w:r>
        <w:rPr>
          <w:rFonts w:ascii="Arial" w:eastAsia="Arial" w:hAnsi="Arial" w:cs="Arial"/>
        </w:rPr>
        <w:t xml:space="preserve"> H, </w:t>
      </w:r>
      <w:proofErr w:type="spellStart"/>
      <w:r>
        <w:rPr>
          <w:rFonts w:ascii="Arial" w:eastAsia="Arial" w:hAnsi="Arial" w:cs="Arial"/>
        </w:rPr>
        <w:t>Welin</w:t>
      </w:r>
      <w:proofErr w:type="spellEnd"/>
      <w:r>
        <w:rPr>
          <w:rFonts w:ascii="Arial" w:eastAsia="Arial" w:hAnsi="Arial" w:cs="Arial"/>
        </w:rPr>
        <w:t xml:space="preserve"> S, Langer </w:t>
      </w:r>
      <w:r>
        <w:rPr>
          <w:rFonts w:ascii="Arial" w:eastAsia="Arial" w:hAnsi="Arial" w:cs="Arial"/>
        </w:rPr>
        <w:t xml:space="preserve">SW, et al. Predictive and prognostic factors for treatment and survival in 305 patients with advanced gastrointestinal neuroendocrine carcinoma (WHO G3): the NORDIC NEC study. Ann </w:t>
      </w:r>
      <w:proofErr w:type="spellStart"/>
      <w:r>
        <w:rPr>
          <w:rFonts w:ascii="Arial" w:eastAsia="Arial" w:hAnsi="Arial" w:cs="Arial"/>
        </w:rPr>
        <w:t>Oncol</w:t>
      </w:r>
      <w:proofErr w:type="spellEnd"/>
      <w:r>
        <w:rPr>
          <w:rFonts w:ascii="Arial" w:eastAsia="Arial" w:hAnsi="Arial" w:cs="Arial"/>
        </w:rPr>
        <w:t>. 2013</w:t>
      </w:r>
      <w:proofErr w:type="gramStart"/>
      <w:r>
        <w:rPr>
          <w:rFonts w:ascii="Arial" w:eastAsia="Arial" w:hAnsi="Arial" w:cs="Arial"/>
        </w:rPr>
        <w:t>;24</w:t>
      </w:r>
      <w:proofErr w:type="gramEnd"/>
      <w:r>
        <w:rPr>
          <w:rFonts w:ascii="Arial" w:eastAsia="Arial" w:hAnsi="Arial" w:cs="Arial"/>
        </w:rPr>
        <w:t>(1):152–60. doi:10.1093/</w:t>
      </w:r>
      <w:proofErr w:type="spellStart"/>
      <w:r>
        <w:rPr>
          <w:rFonts w:ascii="Arial" w:eastAsia="Arial" w:hAnsi="Arial" w:cs="Arial"/>
        </w:rPr>
        <w:t>annonc</w:t>
      </w:r>
      <w:proofErr w:type="spellEnd"/>
      <w:r>
        <w:rPr>
          <w:rFonts w:ascii="Arial" w:eastAsia="Arial" w:hAnsi="Arial" w:cs="Arial"/>
        </w:rPr>
        <w:t>/mds276.</w:t>
      </w:r>
    </w:p>
    <w:p w:rsidR="00355A63" w:rsidRDefault="00355A63">
      <w:pPr>
        <w:spacing w:line="276" w:lineRule="auto"/>
        <w:ind w:left="0" w:hanging="2"/>
        <w:rPr>
          <w:rFonts w:ascii="Arial" w:eastAsia="Arial" w:hAnsi="Arial" w:cs="Arial"/>
        </w:rPr>
      </w:pPr>
    </w:p>
    <w:p w:rsidR="00355A63" w:rsidRDefault="003C1EC9">
      <w:pPr>
        <w:spacing w:line="276" w:lineRule="auto"/>
        <w:ind w:left="0" w:hanging="2"/>
        <w:rPr>
          <w:rFonts w:ascii="Arial" w:eastAsia="Arial" w:hAnsi="Arial" w:cs="Arial"/>
        </w:rPr>
      </w:pPr>
      <w:r>
        <w:rPr>
          <w:rFonts w:ascii="Arial" w:eastAsia="Arial" w:hAnsi="Arial" w:cs="Arial"/>
        </w:rPr>
        <w:t>15. Liu YM, Ren YQ, So</w:t>
      </w:r>
      <w:r>
        <w:rPr>
          <w:rFonts w:ascii="Arial" w:eastAsia="Arial" w:hAnsi="Arial" w:cs="Arial"/>
        </w:rPr>
        <w:t>ng SL, Zheng CS. Pyogenic liver abscess in non‐liver cancer patients and liver cancer patients treated with TACE: Etiological characteristics, treatment, and outcome analysis. Kaohsiung J Med Sci. 2023</w:t>
      </w:r>
      <w:proofErr w:type="gramStart"/>
      <w:r>
        <w:rPr>
          <w:rFonts w:ascii="Arial" w:eastAsia="Arial" w:hAnsi="Arial" w:cs="Arial"/>
        </w:rPr>
        <w:t>;39</w:t>
      </w:r>
      <w:proofErr w:type="gramEnd"/>
      <w:r>
        <w:rPr>
          <w:rFonts w:ascii="Arial" w:eastAsia="Arial" w:hAnsi="Arial" w:cs="Arial"/>
        </w:rPr>
        <w:t>(1):87–94.</w:t>
      </w:r>
    </w:p>
    <w:p w:rsidR="00355A63" w:rsidRDefault="00355A63">
      <w:pPr>
        <w:spacing w:line="276" w:lineRule="auto"/>
        <w:ind w:left="0" w:hanging="2"/>
        <w:rPr>
          <w:rFonts w:ascii="Arial" w:eastAsia="Arial" w:hAnsi="Arial" w:cs="Arial"/>
          <w:sz w:val="22"/>
          <w:szCs w:val="22"/>
        </w:rPr>
      </w:pPr>
    </w:p>
    <w:p w:rsidR="00355A63" w:rsidRDefault="00355A63">
      <w:pPr>
        <w:spacing w:line="288" w:lineRule="auto"/>
        <w:ind w:left="0" w:hanging="2"/>
        <w:rPr>
          <w:rFonts w:ascii="Arial" w:eastAsia="Arial" w:hAnsi="Arial" w:cs="Arial"/>
          <w:highlight w:val="white"/>
        </w:rPr>
      </w:pPr>
    </w:p>
    <w:p w:rsidR="00355A63" w:rsidRDefault="00355A63">
      <w:pPr>
        <w:spacing w:line="288" w:lineRule="auto"/>
        <w:ind w:left="0" w:hanging="2"/>
        <w:rPr>
          <w:rFonts w:ascii="Arial" w:eastAsia="Arial" w:hAnsi="Arial" w:cs="Arial"/>
          <w:color w:val="000000"/>
          <w:sz w:val="22"/>
          <w:szCs w:val="22"/>
        </w:rPr>
      </w:pPr>
    </w:p>
    <w:sectPr w:rsidR="00355A63">
      <w:headerReference w:type="even" r:id="rId15"/>
      <w:headerReference w:type="default" r:id="rId16"/>
      <w:head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C9" w:rsidRDefault="003C1EC9">
      <w:pPr>
        <w:spacing w:line="240" w:lineRule="auto"/>
        <w:ind w:left="0" w:hanging="2"/>
      </w:pPr>
      <w:r>
        <w:separator/>
      </w:r>
    </w:p>
  </w:endnote>
  <w:endnote w:type="continuationSeparator" w:id="0">
    <w:p w:rsidR="003C1EC9" w:rsidRDefault="003C1EC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C9" w:rsidRDefault="003C1EC9">
      <w:pPr>
        <w:spacing w:line="240" w:lineRule="auto"/>
        <w:ind w:left="0" w:hanging="2"/>
      </w:pPr>
      <w:r>
        <w:separator/>
      </w:r>
    </w:p>
  </w:footnote>
  <w:footnote w:type="continuationSeparator" w:id="0">
    <w:p w:rsidR="003C1EC9" w:rsidRDefault="003C1EC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A63" w:rsidRDefault="003C1EC9">
    <w:pPr>
      <w:tabs>
        <w:tab w:val="center" w:pos="4680"/>
        <w:tab w:val="right" w:pos="9360"/>
      </w:tabs>
      <w:spacing w:line="240" w:lineRule="auto"/>
      <w:ind w:left="0" w:hanging="2"/>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3pt;height: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A63" w:rsidRDefault="003C1EC9">
    <w:pPr>
      <w:tabs>
        <w:tab w:val="right" w:pos="9020"/>
      </w:tabs>
      <w:spacing w:line="240" w:lineRule="auto"/>
      <w:ind w:left="0" w:hanging="2"/>
      <w:rPr>
        <w:rFonts w:ascii="Helvetica Neue" w:eastAsia="Helvetica Neue" w:hAnsi="Helvetica Neue" w:cs="Helvetica Neue"/>
        <w:color w:val="000000"/>
      </w:rPr>
    </w:pPr>
    <w:r>
      <w:rPr>
        <w:rFonts w:ascii="Helvetica Neue" w:eastAsia="Helvetica Neue" w:hAnsi="Helvetica Neue" w:cs="Helvetica Neue"/>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93pt;height: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A63" w:rsidRDefault="003C1EC9">
    <w:pPr>
      <w:tabs>
        <w:tab w:val="center" w:pos="4680"/>
        <w:tab w:val="right" w:pos="9360"/>
      </w:tabs>
      <w:spacing w:line="240" w:lineRule="auto"/>
      <w:ind w:left="0" w:hanging="2"/>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93pt;height: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F41695"/>
    <w:multiLevelType w:val="multilevel"/>
    <w:tmpl w:val="28106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A63"/>
    <w:rsid w:val="00280E6F"/>
    <w:rsid w:val="003520C2"/>
    <w:rsid w:val="00355A63"/>
    <w:rsid w:val="003C1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136F25"/>
  <w15:docId w15:val="{E15BBD33-EAAD-484B-A98A-5DE0828F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position w:val="-1"/>
      <w:bdr w:val="nil"/>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rPr>
      <w:w w:val="100"/>
      <w:position w:val="-1"/>
      <w:u w:val="single"/>
      <w:effect w:val="none"/>
      <w:vertAlign w:val="baseline"/>
      <w:cs w:val="0"/>
      <w:em w:val="none"/>
    </w:rPr>
  </w:style>
  <w:style w:type="paragraph" w:customStyle="1" w:styleId="HeaderFooter">
    <w:name w:val="Header &amp; Footer"/>
    <w:pPr>
      <w:pBdr>
        <w:top w:val="nil"/>
        <w:left w:val="nil"/>
        <w:bottom w:val="nil"/>
        <w:right w:val="nil"/>
        <w:between w:val="nil"/>
        <w:bar w:val="nil"/>
      </w:pBdr>
      <w:tabs>
        <w:tab w:val="right" w:pos="9020"/>
      </w:tabs>
      <w:suppressAutoHyphens/>
      <w:spacing w:line="1" w:lineRule="atLeast"/>
      <w:ind w:leftChars="-1" w:left="-1" w:hangingChars="1" w:hanging="1"/>
      <w:textDirection w:val="btLr"/>
      <w:textAlignment w:val="top"/>
      <w:outlineLvl w:val="0"/>
    </w:pPr>
    <w:rPr>
      <w:rFonts w:ascii="Helvetica Neue" w:hAnsi="Helvetica Neue" w:cs="Arial Unicode MS"/>
      <w:color w:val="000000"/>
      <w:position w:val="-1"/>
      <w:bdr w:val="nil"/>
      <w:lang w:eastAsia="zh-CN"/>
    </w:rPr>
  </w:style>
  <w:style w:type="paragraph" w:customStyle="1" w:styleId="Body">
    <w:name w:val="Body"/>
    <w:pPr>
      <w:pBdr>
        <w:top w:val="nil"/>
        <w:left w:val="nil"/>
        <w:bottom w:val="nil"/>
        <w:right w:val="nil"/>
        <w:between w:val="nil"/>
        <w:bar w:val="nil"/>
      </w:pBdr>
      <w:suppressAutoHyphens/>
      <w:spacing w:line="276" w:lineRule="auto"/>
      <w:ind w:leftChars="-1" w:left="-1" w:hangingChars="1" w:hanging="1"/>
      <w:textDirection w:val="btLr"/>
      <w:textAlignment w:val="top"/>
      <w:outlineLvl w:val="0"/>
    </w:pPr>
    <w:rPr>
      <w:rFonts w:ascii="Arial" w:hAnsi="Arial" w:cs="Arial Unicode MS"/>
      <w:color w:val="000000"/>
      <w:position w:val="-1"/>
      <w:sz w:val="22"/>
      <w:szCs w:val="22"/>
      <w:bdr w:val="nil"/>
      <w:lang w:val="de-DE" w:eastAsia="zh-CN"/>
    </w:rPr>
  </w:style>
  <w:style w:type="paragraph" w:customStyle="1" w:styleId="Default">
    <w:name w:val="Defaul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Neue" w:hAnsi="Helvetica Neue" w:cs="Arial Unicode MS"/>
      <w:color w:val="000000"/>
      <w:position w:val="-1"/>
      <w:sz w:val="22"/>
      <w:szCs w:val="22"/>
      <w:bdr w:val="nil"/>
      <w:lang w:eastAsia="zh-CN"/>
    </w:rPr>
  </w:style>
  <w:style w:type="paragraph" w:styleId="ListParagraph">
    <w:name w:val="List Paragraph"/>
    <w:pPr>
      <w:pBdr>
        <w:top w:val="nil"/>
        <w:left w:val="nil"/>
        <w:bottom w:val="nil"/>
        <w:right w:val="nil"/>
        <w:between w:val="nil"/>
        <w:bar w:val="nil"/>
      </w:pBdr>
      <w:suppressAutoHyphens/>
      <w:spacing w:line="276" w:lineRule="auto"/>
      <w:ind w:leftChars="-1" w:left="720" w:hangingChars="1" w:hanging="1"/>
      <w:textDirection w:val="btLr"/>
      <w:textAlignment w:val="top"/>
      <w:outlineLvl w:val="0"/>
    </w:pPr>
    <w:rPr>
      <w:rFonts w:ascii="Arial" w:hAnsi="Arial" w:cs="Arial Unicode MS"/>
      <w:color w:val="000000"/>
      <w:position w:val="-1"/>
      <w:sz w:val="22"/>
      <w:szCs w:val="22"/>
      <w:bdr w:val="nil"/>
      <w:lang w:eastAsia="zh-CN"/>
    </w:rPr>
  </w:style>
  <w:style w:type="numbering" w:customStyle="1" w:styleId="ImportedStyle1">
    <w:name w:val="Imported Style 1"/>
  </w:style>
  <w:style w:type="character" w:customStyle="1" w:styleId="Link">
    <w:name w:val="Link"/>
    <w:rPr>
      <w:color w:val="0000FF"/>
      <w:w w:val="100"/>
      <w:position w:val="-1"/>
      <w:u w:val="single" w:color="0000FF"/>
      <w:effect w:val="none"/>
      <w:vertAlign w:val="baseline"/>
      <w:cs w:val="0"/>
      <w:em w:val="none"/>
    </w:rPr>
  </w:style>
  <w:style w:type="character" w:customStyle="1" w:styleId="Hyperlink0">
    <w:name w:val="Hyperlink.0"/>
    <w:rPr>
      <w:color w:val="0000FF"/>
      <w:w w:val="100"/>
      <w:position w:val="-1"/>
      <w:u w:val="single" w:color="0000FF"/>
      <w:effect w:val="none"/>
      <w:shd w:val="clear" w:color="auto" w:fill="FFFFFF"/>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bdr w:val="nil"/>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bdr w:val="nil"/>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Ct/9KxugsKIBeNO6mqTxZCQw0g==">CgMxLjA4AHIhMU94bE0xQ3VIV2N4aDVmRUZBdG5HYi16TlJfdFRrc2lJ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2215</Words>
  <Characters>12631</Characters>
  <Application>Microsoft Office Word</Application>
  <DocSecurity>0</DocSecurity>
  <Lines>105</Lines>
  <Paragraphs>29</Paragraphs>
  <ScaleCrop>false</ScaleCrop>
  <Company/>
  <LinksUpToDate>false</LinksUpToDate>
  <CharactersWithSpaces>14817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cloudconvert_7</dc:creator>
  <cp:lastModifiedBy>SDI CPU 1052</cp:lastModifiedBy>
  <cp:revision>3</cp:revision>
  <dcterms:created xsi:type="dcterms:W3CDTF">2025-04-30T07:55:00Z</dcterms:created>
  <dcterms:modified xsi:type="dcterms:W3CDTF">2025-05-10T11:03:00Z</dcterms:modified>
</cp:coreProperties>
</file>