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2820" w14:textId="1BDCF1FC" w:rsidR="00754C9A" w:rsidRDefault="00AF022E" w:rsidP="00441B6F">
      <w:pPr>
        <w:pStyle w:val="Title"/>
        <w:spacing w:after="0"/>
        <w:jc w:val="both"/>
        <w:rPr>
          <w:rFonts w:ascii="Arial" w:hAnsi="Arial" w:cs="Arial"/>
        </w:rPr>
      </w:pPr>
      <w:r w:rsidRPr="00AF022E">
        <w:rPr>
          <w:rFonts w:ascii="Arial" w:hAnsi="Arial" w:cs="Arial"/>
        </w:rPr>
        <w:t>Original Research Article</w:t>
      </w:r>
    </w:p>
    <w:p w14:paraId="5041D408" w14:textId="77777777" w:rsidR="00AF022E" w:rsidRDefault="00AF022E" w:rsidP="00441B6F">
      <w:pPr>
        <w:pStyle w:val="Title"/>
        <w:spacing w:after="0"/>
        <w:jc w:val="both"/>
        <w:rPr>
          <w:rFonts w:ascii="Arial" w:hAnsi="Arial" w:cs="Arial"/>
        </w:rPr>
      </w:pPr>
    </w:p>
    <w:p w14:paraId="43BE5520" w14:textId="31349ED7" w:rsidR="006431FE" w:rsidRPr="005E6372" w:rsidRDefault="00A6579F" w:rsidP="00441B6F">
      <w:pPr>
        <w:pStyle w:val="Affiliation"/>
        <w:spacing w:after="0" w:line="240" w:lineRule="auto"/>
        <w:jc w:val="both"/>
        <w:rPr>
          <w:rFonts w:ascii="Arial" w:hAnsi="Arial" w:cs="Arial"/>
          <w:lang w:val="en-GB"/>
        </w:rPr>
      </w:pPr>
      <w:r w:rsidRPr="00A6579F">
        <w:rPr>
          <w:rFonts w:ascii="Arial" w:hAnsi="Arial" w:cs="Arial"/>
          <w:b/>
          <w:bCs/>
          <w:iCs/>
          <w:kern w:val="28"/>
          <w:sz w:val="36"/>
        </w:rPr>
        <w:t>Effects of Perceived Mate Availability on Intrasexual Competition and Alcohol Use: Unseen Effects of Gender and Relationship Status</w:t>
      </w:r>
    </w:p>
    <w:p w14:paraId="699053C0" w14:textId="77777777" w:rsidR="002C57D2" w:rsidRPr="00FB3A86" w:rsidRDefault="002C57D2" w:rsidP="00441B6F">
      <w:pPr>
        <w:pStyle w:val="Affiliation"/>
        <w:spacing w:after="0" w:line="240" w:lineRule="auto"/>
        <w:jc w:val="both"/>
        <w:rPr>
          <w:rFonts w:ascii="Arial" w:hAnsi="Arial" w:cs="Arial"/>
        </w:rPr>
      </w:pPr>
    </w:p>
    <w:p w14:paraId="60E9D93F" w14:textId="54D0D97D" w:rsidR="00B01FCD" w:rsidRPr="00FB3A86" w:rsidRDefault="00B1027D" w:rsidP="00441B6F">
      <w:pPr>
        <w:pStyle w:val="Copyright"/>
        <w:spacing w:after="0" w:line="240" w:lineRule="auto"/>
        <w:jc w:val="both"/>
        <w:rPr>
          <w:rFonts w:ascii="Arial" w:hAnsi="Arial" w:cs="Arial"/>
        </w:rPr>
        <w:sectPr w:rsidR="00B01FCD" w:rsidRPr="00FB3A86" w:rsidSect="006431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DA7C594" wp14:editId="509DE7C2">
                <wp:extent cx="5303520" cy="0"/>
                <wp:effectExtent l="9525" t="9525" r="11430" b="952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934F8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06402BCB" w14:textId="7ED0D42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6DCBF6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4FD5779" w14:textId="77777777" w:rsidTr="001E44FE">
        <w:tc>
          <w:tcPr>
            <w:tcW w:w="9576" w:type="dxa"/>
            <w:shd w:val="clear" w:color="auto" w:fill="F2F2F2"/>
          </w:tcPr>
          <w:p w14:paraId="291A3DB9" w14:textId="537BE21A" w:rsidR="005E6372" w:rsidRPr="005E6372" w:rsidRDefault="005E6372" w:rsidP="005E6372">
            <w:pPr>
              <w:pStyle w:val="Body"/>
              <w:spacing w:after="0"/>
              <w:rPr>
                <w:rFonts w:ascii="Arial" w:eastAsia="Calibri" w:hAnsi="Arial" w:cs="Arial"/>
                <w:szCs w:val="22"/>
                <w:lang w:val="en-GB"/>
              </w:rPr>
            </w:pPr>
            <w:r w:rsidRPr="005E6372">
              <w:rPr>
                <w:rFonts w:ascii="Arial" w:eastAsia="Calibri" w:hAnsi="Arial" w:cs="Arial"/>
                <w:b/>
                <w:bCs/>
                <w:szCs w:val="22"/>
                <w:lang w:val="en-GB"/>
              </w:rPr>
              <w:t>Aims:</w:t>
            </w:r>
            <w:r>
              <w:rPr>
                <w:rFonts w:ascii="Arial" w:eastAsia="Calibri" w:hAnsi="Arial" w:cs="Arial"/>
                <w:b/>
                <w:bCs/>
                <w:szCs w:val="22"/>
                <w:lang w:val="en-GB"/>
              </w:rPr>
              <w:t xml:space="preserve"> </w:t>
            </w:r>
            <w:r w:rsidRPr="005E6372">
              <w:rPr>
                <w:rFonts w:ascii="Arial" w:eastAsia="Calibri" w:hAnsi="Arial" w:cs="Arial"/>
                <w:szCs w:val="22"/>
                <w:lang w:val="en-GB"/>
              </w:rPr>
              <w:t>To</w:t>
            </w:r>
            <w:r>
              <w:rPr>
                <w:rFonts w:ascii="Arial" w:eastAsia="Calibri" w:hAnsi="Arial" w:cs="Arial"/>
                <w:szCs w:val="22"/>
                <w:lang w:val="en-GB"/>
              </w:rPr>
              <w:t xml:space="preserve"> </w:t>
            </w:r>
            <w:r w:rsidRPr="005E6372">
              <w:rPr>
                <w:rFonts w:ascii="Arial" w:eastAsia="Calibri" w:hAnsi="Arial" w:cs="Arial"/>
                <w:szCs w:val="22"/>
                <w:lang w:val="en-GB"/>
              </w:rPr>
              <w:t>investigate whether perceived mate availability influences intrasexual competitiveness and hypothetical alcohol consumption, and to examine the moderating role of gender and relationship status.</w:t>
            </w:r>
          </w:p>
          <w:p w14:paraId="6EBEA4AA" w14:textId="77777777" w:rsidR="005E6372" w:rsidRPr="005E6372" w:rsidRDefault="005E6372" w:rsidP="005E6372">
            <w:pPr>
              <w:pStyle w:val="Body"/>
              <w:spacing w:after="0"/>
              <w:rPr>
                <w:rFonts w:ascii="Arial" w:eastAsia="Calibri" w:hAnsi="Arial" w:cs="Arial"/>
                <w:szCs w:val="22"/>
                <w:lang w:val="en-GB"/>
              </w:rPr>
            </w:pPr>
            <w:r w:rsidRPr="005E6372">
              <w:rPr>
                <w:rFonts w:ascii="Arial" w:eastAsia="Calibri" w:hAnsi="Arial" w:cs="Arial"/>
                <w:b/>
                <w:bCs/>
                <w:szCs w:val="22"/>
                <w:lang w:val="en-GB"/>
              </w:rPr>
              <w:t>Study Design:</w:t>
            </w:r>
            <w:r w:rsidRPr="005E6372">
              <w:rPr>
                <w:rFonts w:ascii="Arial" w:eastAsia="Calibri" w:hAnsi="Arial" w:cs="Arial"/>
                <w:szCs w:val="22"/>
                <w:lang w:val="en-GB"/>
              </w:rPr>
              <w:t xml:space="preserve"> Between-subjects, single-blind experimental design.</w:t>
            </w:r>
          </w:p>
          <w:p w14:paraId="22C01262" w14:textId="340A7AF3" w:rsidR="005E6372" w:rsidRPr="005E6372" w:rsidRDefault="005E6372" w:rsidP="005E6372">
            <w:pPr>
              <w:pStyle w:val="Body"/>
              <w:spacing w:after="0"/>
              <w:rPr>
                <w:rFonts w:ascii="Arial" w:eastAsia="Calibri" w:hAnsi="Arial" w:cs="Arial"/>
                <w:szCs w:val="22"/>
                <w:lang w:val="en-GB"/>
              </w:rPr>
            </w:pPr>
            <w:r w:rsidRPr="005E6372">
              <w:rPr>
                <w:rFonts w:ascii="Arial" w:eastAsia="Calibri" w:hAnsi="Arial" w:cs="Arial"/>
                <w:b/>
                <w:bCs/>
                <w:szCs w:val="22"/>
                <w:lang w:val="en-GB"/>
              </w:rPr>
              <w:t>Place and Duration of Study:</w:t>
            </w:r>
            <w:r w:rsidRPr="005E6372">
              <w:rPr>
                <w:rFonts w:ascii="Arial" w:eastAsia="Calibri" w:hAnsi="Arial" w:cs="Arial"/>
                <w:szCs w:val="22"/>
                <w:lang w:val="en-GB"/>
              </w:rPr>
              <w:t xml:space="preserve"> School of Psychology, University of Portsmouth, between March and June 2024</w:t>
            </w:r>
            <w:r w:rsidR="00362EB0">
              <w:rPr>
                <w:rFonts w:ascii="Arial" w:eastAsia="Calibri" w:hAnsi="Arial" w:cs="Arial"/>
                <w:szCs w:val="22"/>
                <w:lang w:val="en-GB"/>
              </w:rPr>
              <w:t xml:space="preserve">, study was conducted online. </w:t>
            </w:r>
          </w:p>
          <w:p w14:paraId="3D8E008F" w14:textId="1E5625E8" w:rsidR="005E6372" w:rsidRPr="005E6372" w:rsidRDefault="005E6372" w:rsidP="005E6372">
            <w:pPr>
              <w:pStyle w:val="Body"/>
              <w:spacing w:after="0"/>
              <w:rPr>
                <w:rFonts w:ascii="Arial" w:eastAsia="Calibri" w:hAnsi="Arial" w:cs="Arial"/>
                <w:szCs w:val="22"/>
                <w:lang w:val="en-GB"/>
              </w:rPr>
            </w:pPr>
            <w:r w:rsidRPr="005E6372">
              <w:rPr>
                <w:rFonts w:ascii="Arial" w:eastAsia="Calibri" w:hAnsi="Arial" w:cs="Arial"/>
                <w:b/>
                <w:bCs/>
                <w:szCs w:val="22"/>
                <w:lang w:val="en-GB"/>
              </w:rPr>
              <w:t>Methodology:</w:t>
            </w:r>
            <w:r w:rsidRPr="005E6372">
              <w:rPr>
                <w:rFonts w:ascii="Arial" w:eastAsia="Calibri" w:hAnsi="Arial" w:cs="Arial"/>
                <w:szCs w:val="22"/>
                <w:lang w:val="en-GB"/>
              </w:rPr>
              <w:t xml:space="preserve"> </w:t>
            </w:r>
            <w:r w:rsidR="00A6579F" w:rsidRPr="00A6579F">
              <w:rPr>
                <w:rFonts w:ascii="Arial" w:eastAsia="Calibri" w:hAnsi="Arial" w:cs="Arial"/>
                <w:szCs w:val="22"/>
                <w:lang w:val="en-GB"/>
              </w:rPr>
              <w:t>A total of 129 participants initially took part. After applying exclusion criteria for non-drinkers, missing data, and poor-quality responses, 92 participants (52 females</w:t>
            </w:r>
            <w:r w:rsidR="00A6579F">
              <w:rPr>
                <w:rFonts w:ascii="Arial" w:eastAsia="Calibri" w:hAnsi="Arial" w:cs="Arial"/>
                <w:szCs w:val="22"/>
                <w:lang w:val="en-GB"/>
              </w:rPr>
              <w:t>, 40 males</w:t>
            </w:r>
            <w:r w:rsidR="00A6579F" w:rsidRPr="00A6579F">
              <w:rPr>
                <w:rFonts w:ascii="Arial" w:eastAsia="Calibri" w:hAnsi="Arial" w:cs="Arial"/>
                <w:szCs w:val="22"/>
                <w:lang w:val="en-GB"/>
              </w:rPr>
              <w:t>; aged 18–54, M = 26.34, SD = 7.12) remained for analysis. Participants were randomly assigned to read priming articles simulating either mate abundance or mate scarcity.</w:t>
            </w:r>
            <w:r w:rsidR="00A6579F">
              <w:rPr>
                <w:rFonts w:ascii="Arial" w:eastAsia="Calibri" w:hAnsi="Arial" w:cs="Arial"/>
                <w:szCs w:val="22"/>
                <w:lang w:val="en-GB"/>
              </w:rPr>
              <w:t xml:space="preserve"> </w:t>
            </w:r>
            <w:r w:rsidRPr="005E6372">
              <w:rPr>
                <w:rFonts w:ascii="Arial" w:eastAsia="Calibri" w:hAnsi="Arial" w:cs="Arial"/>
                <w:szCs w:val="22"/>
                <w:lang w:val="en-GB"/>
              </w:rPr>
              <w:t xml:space="preserve">Participants completed the Intrasexual Competition Scale (ICS) and an Alcohol Purchase Task (APT). </w:t>
            </w:r>
            <w:r w:rsidR="00A6579F" w:rsidRPr="00A6579F">
              <w:rPr>
                <w:rFonts w:ascii="Arial" w:eastAsia="Calibri" w:hAnsi="Arial" w:cs="Arial"/>
                <w:szCs w:val="22"/>
              </w:rPr>
              <w:t xml:space="preserve">Four demand-related variables were </w:t>
            </w:r>
            <w:r w:rsidR="00A6579F" w:rsidRPr="00A6579F">
              <w:rPr>
                <w:rFonts w:ascii="Arial" w:eastAsia="Calibri" w:hAnsi="Arial" w:cs="Arial"/>
                <w:szCs w:val="22"/>
              </w:rPr>
              <w:t>analyzed</w:t>
            </w:r>
            <w:r w:rsidR="00A6579F" w:rsidRPr="00A6579F">
              <w:rPr>
                <w:rFonts w:ascii="Arial" w:eastAsia="Calibri" w:hAnsi="Arial" w:cs="Arial"/>
                <w:szCs w:val="22"/>
              </w:rPr>
              <w:t>: estimated consumption when drinks are free (Q</w:t>
            </w:r>
            <w:r w:rsidR="00A6579F" w:rsidRPr="00A6579F">
              <w:rPr>
                <w:rFonts w:ascii="Cambria Math" w:eastAsia="Calibri" w:hAnsi="Cambria Math" w:cs="Cambria Math"/>
                <w:szCs w:val="22"/>
              </w:rPr>
              <w:t>₀</w:t>
            </w:r>
            <w:r w:rsidR="00A6579F" w:rsidRPr="00A6579F">
              <w:rPr>
                <w:rFonts w:ascii="Arial" w:eastAsia="Calibri" w:hAnsi="Arial" w:cs="Arial"/>
                <w:szCs w:val="22"/>
              </w:rPr>
              <w:t>), sensitivity to price increases (α), initial consumption level (intensity), and maximum spending (</w:t>
            </w:r>
            <w:proofErr w:type="spellStart"/>
            <w:r w:rsidR="00A6579F" w:rsidRPr="00A6579F">
              <w:rPr>
                <w:rFonts w:ascii="Arial" w:eastAsia="Calibri" w:hAnsi="Arial" w:cs="Arial"/>
                <w:szCs w:val="22"/>
              </w:rPr>
              <w:t>Omax</w:t>
            </w:r>
            <w:proofErr w:type="spellEnd"/>
            <w:r w:rsidR="00A6579F" w:rsidRPr="00A6579F">
              <w:rPr>
                <w:rFonts w:ascii="Arial" w:eastAsia="Calibri" w:hAnsi="Arial" w:cs="Arial"/>
                <w:szCs w:val="22"/>
              </w:rPr>
              <w:t>).</w:t>
            </w:r>
            <w:r w:rsidR="00A6579F">
              <w:rPr>
                <w:rFonts w:ascii="Arial" w:eastAsia="Calibri" w:hAnsi="Arial" w:cs="Arial"/>
                <w:szCs w:val="22"/>
              </w:rPr>
              <w:t xml:space="preserve"> </w:t>
            </w:r>
            <w:r w:rsidRPr="005E6372">
              <w:rPr>
                <w:rFonts w:ascii="Arial" w:eastAsia="Calibri" w:hAnsi="Arial" w:cs="Arial"/>
                <w:szCs w:val="22"/>
                <w:lang w:val="en-GB"/>
              </w:rPr>
              <w:t>ANOVAs and MANOVAs were conducted to test the effects of priming condition, gender, and relationship status on these outcomes.</w:t>
            </w:r>
          </w:p>
          <w:p w14:paraId="0BB84851" w14:textId="77777777" w:rsidR="005E6372" w:rsidRPr="005E6372" w:rsidRDefault="005E6372" w:rsidP="005E6372">
            <w:pPr>
              <w:pStyle w:val="Body"/>
              <w:spacing w:after="0"/>
              <w:rPr>
                <w:rFonts w:ascii="Arial" w:eastAsia="Calibri" w:hAnsi="Arial" w:cs="Arial"/>
                <w:szCs w:val="22"/>
                <w:lang w:val="en-GB"/>
              </w:rPr>
            </w:pPr>
            <w:r w:rsidRPr="005E6372">
              <w:rPr>
                <w:rFonts w:ascii="Arial" w:eastAsia="Calibri" w:hAnsi="Arial" w:cs="Arial"/>
                <w:b/>
                <w:bCs/>
                <w:szCs w:val="22"/>
                <w:lang w:val="en-GB"/>
              </w:rPr>
              <w:t>Results:</w:t>
            </w:r>
            <w:r w:rsidRPr="005E6372">
              <w:rPr>
                <w:rFonts w:ascii="Arial" w:eastAsia="Calibri" w:hAnsi="Arial" w:cs="Arial"/>
                <w:szCs w:val="22"/>
                <w:lang w:val="en-GB"/>
              </w:rPr>
              <w:t xml:space="preserve"> No significant main effect of condition was found on intrasexual competitiveness. However, significant interaction effects emerged, particularly for females in romantic relationships, suggesting that relationship status moderates sensitivity to mate availability cues. For alcohol consumption, mate scarcity increased hypothetical demand (Q</w:t>
            </w:r>
            <w:r w:rsidRPr="005E6372">
              <w:rPr>
                <w:rFonts w:ascii="Cambria Math" w:eastAsia="Calibri" w:hAnsi="Cambria Math" w:cs="Cambria Math"/>
                <w:szCs w:val="22"/>
                <w:lang w:val="en-GB"/>
              </w:rPr>
              <w:t>₀</w:t>
            </w:r>
            <w:r w:rsidRPr="005E6372">
              <w:rPr>
                <w:rFonts w:ascii="Arial" w:eastAsia="Calibri" w:hAnsi="Arial" w:cs="Arial"/>
                <w:szCs w:val="22"/>
                <w:lang w:val="en-GB"/>
              </w:rPr>
              <w:t xml:space="preserve">) and reduced price sensitivity (α), particularly among males in relationships. No significant effects were found for observed intensity or </w:t>
            </w:r>
            <w:proofErr w:type="spellStart"/>
            <w:r w:rsidRPr="005E6372">
              <w:rPr>
                <w:rFonts w:ascii="Arial" w:eastAsia="Calibri" w:hAnsi="Arial" w:cs="Arial"/>
                <w:szCs w:val="22"/>
                <w:lang w:val="en-GB"/>
              </w:rPr>
              <w:t>Omax</w:t>
            </w:r>
            <w:proofErr w:type="spellEnd"/>
            <w:r w:rsidRPr="005E6372">
              <w:rPr>
                <w:rFonts w:ascii="Arial" w:eastAsia="Calibri" w:hAnsi="Arial" w:cs="Arial"/>
                <w:szCs w:val="22"/>
                <w:lang w:val="en-GB"/>
              </w:rPr>
              <w:t xml:space="preserve"> overall, but significant interactions with gender and relationship status were present.</w:t>
            </w:r>
          </w:p>
          <w:p w14:paraId="75CAED45" w14:textId="7A00701A" w:rsidR="00505F06" w:rsidRPr="009838FB" w:rsidRDefault="005E6372" w:rsidP="00441B6F">
            <w:pPr>
              <w:pStyle w:val="Body"/>
              <w:spacing w:after="0"/>
              <w:rPr>
                <w:rFonts w:ascii="Arial" w:eastAsia="Calibri" w:hAnsi="Arial" w:cs="Arial"/>
                <w:szCs w:val="22"/>
                <w:lang w:val="en-GB"/>
              </w:rPr>
            </w:pPr>
            <w:r w:rsidRPr="005E6372">
              <w:rPr>
                <w:rFonts w:ascii="Arial" w:eastAsia="Calibri" w:hAnsi="Arial" w:cs="Arial"/>
                <w:b/>
                <w:bCs/>
                <w:szCs w:val="22"/>
                <w:lang w:val="en-GB"/>
              </w:rPr>
              <w:t>Conclusion:</w:t>
            </w:r>
            <w:r w:rsidRPr="005E6372">
              <w:rPr>
                <w:rFonts w:ascii="Arial" w:eastAsia="Calibri" w:hAnsi="Arial" w:cs="Arial"/>
                <w:szCs w:val="22"/>
                <w:lang w:val="en-GB"/>
              </w:rPr>
              <w:t xml:space="preserve"> Mate availability cues influence hypothetical alcohol consumption, particularly among partnered males, supporting evolutionary models of risk-taking and mate signalling. The null effect on ICS underscores the need for improved manipulation checks and more sensitive measures of competitiveness. </w:t>
            </w:r>
            <w:r w:rsidR="00B36DCF" w:rsidRPr="00B36DCF">
              <w:rPr>
                <w:rFonts w:ascii="Arial" w:eastAsia="Calibri" w:hAnsi="Arial" w:cs="Arial"/>
                <w:szCs w:val="22"/>
                <w:lang w:val="en-GB"/>
              </w:rPr>
              <w:t>Given the potential health implications of increased alcohol consumption, interventions and public health campaigns should consider how mating-related cues in the social environment might indirectly promote risky drinking behaviour. Future studies should incorporate cultural and socioeconomic variables to enhance generalisability.</w:t>
            </w:r>
          </w:p>
        </w:tc>
      </w:tr>
    </w:tbl>
    <w:p w14:paraId="06117AA0" w14:textId="77777777" w:rsidR="00636EB2" w:rsidRDefault="00636EB2" w:rsidP="00441B6F">
      <w:pPr>
        <w:pStyle w:val="Body"/>
        <w:spacing w:after="0"/>
        <w:rPr>
          <w:rFonts w:ascii="Arial" w:hAnsi="Arial" w:cs="Arial"/>
          <w:i/>
        </w:rPr>
      </w:pPr>
    </w:p>
    <w:p w14:paraId="679A1268" w14:textId="18FFB5FB" w:rsidR="00A24E7E" w:rsidRDefault="00A24E7E" w:rsidP="00441B6F">
      <w:pPr>
        <w:pStyle w:val="Body"/>
        <w:spacing w:after="0"/>
        <w:rPr>
          <w:rFonts w:ascii="Arial" w:hAnsi="Arial" w:cs="Arial"/>
          <w:i/>
        </w:rPr>
      </w:pPr>
      <w:r>
        <w:rPr>
          <w:rFonts w:ascii="Arial" w:hAnsi="Arial" w:cs="Arial"/>
          <w:i/>
        </w:rPr>
        <w:t xml:space="preserve">Keywords: </w:t>
      </w:r>
      <w:r w:rsidR="009838FB" w:rsidRPr="009838FB">
        <w:rPr>
          <w:rFonts w:ascii="Arial" w:hAnsi="Arial" w:cs="Arial"/>
          <w:i/>
        </w:rPr>
        <w:t xml:space="preserve">Mate availability, Intrasexual competition, Alcohol consumption, Alcohol purchase task, Relationship </w:t>
      </w:r>
      <w:r w:rsidR="005E6372">
        <w:rPr>
          <w:rFonts w:ascii="Arial" w:hAnsi="Arial" w:cs="Arial"/>
          <w:i/>
        </w:rPr>
        <w:t>s</w:t>
      </w:r>
      <w:r w:rsidR="009838FB" w:rsidRPr="009838FB">
        <w:rPr>
          <w:rFonts w:ascii="Arial" w:hAnsi="Arial" w:cs="Arial"/>
          <w:i/>
        </w:rPr>
        <w:t>tatus, Evolutionary theory</w:t>
      </w:r>
    </w:p>
    <w:p w14:paraId="19E4850E" w14:textId="77777777" w:rsidR="00505F06" w:rsidRPr="00A24E7E" w:rsidRDefault="00505F06" w:rsidP="00441B6F">
      <w:pPr>
        <w:pStyle w:val="Body"/>
        <w:spacing w:after="0"/>
        <w:rPr>
          <w:rFonts w:ascii="Arial" w:hAnsi="Arial" w:cs="Arial"/>
          <w:i/>
        </w:rPr>
      </w:pPr>
    </w:p>
    <w:p w14:paraId="51D247F4" w14:textId="77777777" w:rsidR="005F3203" w:rsidRDefault="005F3203" w:rsidP="00441B6F">
      <w:pPr>
        <w:pStyle w:val="AbstHead"/>
        <w:spacing w:after="0"/>
        <w:jc w:val="both"/>
        <w:rPr>
          <w:rFonts w:ascii="Arial" w:hAnsi="Arial" w:cs="Arial"/>
        </w:rPr>
      </w:pPr>
    </w:p>
    <w:p w14:paraId="7FE8857D" w14:textId="13A2D52B" w:rsidR="005F3203" w:rsidRPr="005F3203" w:rsidRDefault="00902823" w:rsidP="005F320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9A4D988" w14:textId="77777777" w:rsidR="009609E0" w:rsidRDefault="009609E0" w:rsidP="005E6372">
      <w:pPr>
        <w:pStyle w:val="Body"/>
        <w:spacing w:after="0"/>
        <w:rPr>
          <w:rFonts w:ascii="Arial" w:hAnsi="Arial" w:cs="Arial"/>
        </w:rPr>
      </w:pPr>
    </w:p>
    <w:p w14:paraId="0AFC50FC" w14:textId="77777777" w:rsidR="00994530" w:rsidRPr="00994530" w:rsidRDefault="00994530" w:rsidP="00994530">
      <w:pPr>
        <w:pStyle w:val="Body"/>
        <w:spacing w:after="0"/>
        <w:rPr>
          <w:rFonts w:ascii="Arial" w:hAnsi="Arial" w:cs="Arial"/>
          <w:lang w:val="en-GB"/>
        </w:rPr>
      </w:pPr>
      <w:r w:rsidRPr="00994530">
        <w:rPr>
          <w:rFonts w:ascii="Arial" w:hAnsi="Arial" w:cs="Arial"/>
          <w:lang w:val="en-GB"/>
        </w:rPr>
        <w:t xml:space="preserve">Alcohol remains one of the most widely consumed psychoactive substances globally, second only to caffeine. In Europe, per capita alcohol consumption is among the highest in the world, contributing significantly to premature mortality and a wide range of health problems, including liver disease, cardiovascular issues, and psychiatric disorders such as depression and suicide (WHO, 2022; Shield et al., 2023; Rehm &amp; Room, 2021). Beyond health consequences, alcohol </w:t>
      </w:r>
      <w:r w:rsidRPr="00994530">
        <w:rPr>
          <w:rFonts w:ascii="Arial" w:hAnsi="Arial" w:cs="Arial"/>
          <w:lang w:val="en-GB"/>
        </w:rPr>
        <w:lastRenderedPageBreak/>
        <w:t>misuse is also associated with social harms, including interpersonal violence, family disruption, and reduced economic productivity (Manthey et al., 2022).</w:t>
      </w:r>
    </w:p>
    <w:p w14:paraId="4EC59271" w14:textId="77777777" w:rsidR="00994530" w:rsidRDefault="00994530" w:rsidP="00994530">
      <w:pPr>
        <w:pStyle w:val="Body"/>
        <w:spacing w:after="0"/>
        <w:rPr>
          <w:rFonts w:ascii="Arial" w:hAnsi="Arial" w:cs="Arial"/>
          <w:lang w:val="en-GB"/>
        </w:rPr>
      </w:pPr>
    </w:p>
    <w:p w14:paraId="0CBB8740" w14:textId="344ED170" w:rsidR="00994530" w:rsidRPr="00994530" w:rsidRDefault="00994530" w:rsidP="00994530">
      <w:pPr>
        <w:pStyle w:val="Body"/>
        <w:spacing w:after="0"/>
        <w:rPr>
          <w:rFonts w:ascii="Arial" w:hAnsi="Arial" w:cs="Arial"/>
          <w:lang w:val="en-GB"/>
        </w:rPr>
      </w:pPr>
      <w:r w:rsidRPr="00994530">
        <w:rPr>
          <w:rFonts w:ascii="Arial" w:hAnsi="Arial" w:cs="Arial"/>
          <w:lang w:val="en-GB"/>
        </w:rPr>
        <w:t>Understanding the psychological mechanisms that underlie alcohol use remains a critical research priority. Traditional frameworks such as the motivational model of alcohol use (Cox &amp; Klinger, 1988, 1990) propose that drinking is driven by interactions between valence (positive or negative reinforcement) and source (internal or external motivations). Cooper (1994) expanded this framework to identify four primary drinking motives: enhancement (to increase positive emotions), social (to facilitate social interaction), coping (to reduce negative affect), and conformity (to avoid social rejection). Similarly, expectancy theory posits that alcohol-related behaviour is shaped by beliefs about anticipated outcomes, both positive and negative (Jones et al., 2001). While these models have generated valuable insights, they rely heavily on conscious self-report and have yielded inconsistent findings across studies (Lee et al., 2020). Moreover, many studies are based on student populations and fail to account for unconscious or biologically-driven influences on behaviour, limiting their ecological validity.</w:t>
      </w:r>
    </w:p>
    <w:p w14:paraId="004D6600" w14:textId="77777777" w:rsidR="00994530" w:rsidRDefault="00994530" w:rsidP="00994530">
      <w:pPr>
        <w:pStyle w:val="Body"/>
        <w:spacing w:after="0"/>
        <w:rPr>
          <w:rFonts w:ascii="Arial" w:hAnsi="Arial" w:cs="Arial"/>
          <w:lang w:val="en-GB"/>
        </w:rPr>
      </w:pPr>
    </w:p>
    <w:p w14:paraId="11406277" w14:textId="01ADB6E0" w:rsidR="00994530" w:rsidRPr="00994530" w:rsidRDefault="00994530" w:rsidP="00994530">
      <w:pPr>
        <w:pStyle w:val="Body"/>
        <w:spacing w:after="0"/>
        <w:rPr>
          <w:rFonts w:ascii="Arial" w:hAnsi="Arial" w:cs="Arial"/>
          <w:lang w:val="en-GB"/>
        </w:rPr>
      </w:pPr>
      <w:r w:rsidRPr="00994530">
        <w:rPr>
          <w:rFonts w:ascii="Arial" w:hAnsi="Arial" w:cs="Arial"/>
          <w:lang w:val="en-GB"/>
        </w:rPr>
        <w:t>These limitations have led researchers to explore alternative perspectives, including evolutionary psychology. This framework suggests that behaviours, particularly those with fitness trade-offs, may be shaped by reproductive goals rather than conscious deliberation. Sexual selection theory (Darwin, 1871; Trivers, 1972) explains how traits that may reduce survival can evolve if they enhance reproductive success. Due to lower obligatory parental investment, males in many species, including humans, tend to adopt riskier strategies to maximise mating opportunities (Emlen &amp; Oring, 1977). Human males, for example, are more likely to engage in short-term mating and value physical attractiveness, while females tend to prioritise partner stability and resource acquisition (Buss &amp; Schmitt, 2019). These sex differences influence intrasexual competition, with men more likely to engage in dominance- or status-oriented behaviours, while women may enhance physical appearance or compete indirectly for mates (Fisher &amp; Cox, 2016).</w:t>
      </w:r>
    </w:p>
    <w:p w14:paraId="30888D9E" w14:textId="77777777" w:rsidR="00994530" w:rsidRDefault="00994530" w:rsidP="00994530">
      <w:pPr>
        <w:pStyle w:val="Body"/>
        <w:spacing w:after="0"/>
        <w:rPr>
          <w:rFonts w:ascii="Arial" w:hAnsi="Arial" w:cs="Arial"/>
          <w:lang w:val="en-GB"/>
        </w:rPr>
      </w:pPr>
    </w:p>
    <w:p w14:paraId="6E0E3C41" w14:textId="2DDDC984" w:rsidR="00994530" w:rsidRPr="00994530" w:rsidRDefault="00994530" w:rsidP="00994530">
      <w:pPr>
        <w:pStyle w:val="Body"/>
        <w:spacing w:after="0"/>
        <w:rPr>
          <w:rFonts w:ascii="Arial" w:hAnsi="Arial" w:cs="Arial"/>
          <w:lang w:val="en-GB"/>
        </w:rPr>
      </w:pPr>
      <w:r w:rsidRPr="00994530">
        <w:rPr>
          <w:rFonts w:ascii="Arial" w:hAnsi="Arial" w:cs="Arial"/>
          <w:lang w:val="en-GB"/>
        </w:rPr>
        <w:t>Importantly, competitive behaviours may include risk-taking acts that signal fitness to potential mates. Just as the peacock’s tail serves as a costly signal of genetic quality, modern human behaviours</w:t>
      </w:r>
      <w:r>
        <w:rPr>
          <w:rFonts w:ascii="Arial" w:hAnsi="Arial" w:cs="Arial"/>
          <w:lang w:val="en-GB"/>
        </w:rPr>
        <w:t xml:space="preserve">, </w:t>
      </w:r>
      <w:r w:rsidRPr="00994530">
        <w:rPr>
          <w:rFonts w:ascii="Arial" w:hAnsi="Arial" w:cs="Arial"/>
          <w:lang w:val="en-GB"/>
        </w:rPr>
        <w:t>such as conspicuous consumption, aggression, or substance use</w:t>
      </w:r>
      <w:r>
        <w:rPr>
          <w:rFonts w:ascii="Arial" w:hAnsi="Arial" w:cs="Arial"/>
          <w:lang w:val="en-GB"/>
        </w:rPr>
        <w:t xml:space="preserve">, </w:t>
      </w:r>
      <w:r w:rsidRPr="00994530">
        <w:rPr>
          <w:rFonts w:ascii="Arial" w:hAnsi="Arial" w:cs="Arial"/>
          <w:lang w:val="en-GB"/>
        </w:rPr>
        <w:t xml:space="preserve">may function as socially strategic displays. While early theories viewed female competitiveness as a by-product of male aggression (Wallace, 1891), contemporary research recognises that both sexes engage in intrasexual competition when access to mates or mate-relevant resources is restricted (Rosvall, 2011; </w:t>
      </w:r>
      <w:proofErr w:type="spellStart"/>
      <w:r w:rsidRPr="00994530">
        <w:rPr>
          <w:rFonts w:ascii="Arial" w:hAnsi="Arial" w:cs="Arial"/>
          <w:lang w:val="en-GB"/>
        </w:rPr>
        <w:t>Arnocky</w:t>
      </w:r>
      <w:proofErr w:type="spellEnd"/>
      <w:r w:rsidRPr="00994530">
        <w:rPr>
          <w:rFonts w:ascii="Arial" w:hAnsi="Arial" w:cs="Arial"/>
          <w:lang w:val="en-GB"/>
        </w:rPr>
        <w:t xml:space="preserve"> et al., 2014). For example, women may enhance attractiveness or derogate rivals, while men may take physical or financial risks to gain status.</w:t>
      </w:r>
    </w:p>
    <w:p w14:paraId="073CB02B" w14:textId="77777777" w:rsidR="00994530" w:rsidRDefault="00994530" w:rsidP="00994530">
      <w:pPr>
        <w:pStyle w:val="Body"/>
        <w:spacing w:after="0"/>
        <w:rPr>
          <w:rFonts w:ascii="Arial" w:hAnsi="Arial" w:cs="Arial"/>
          <w:lang w:val="en-GB"/>
        </w:rPr>
      </w:pPr>
    </w:p>
    <w:p w14:paraId="332A7F54" w14:textId="2B7D76A0" w:rsidR="00994530" w:rsidRPr="00994530" w:rsidRDefault="00994530" w:rsidP="00994530">
      <w:pPr>
        <w:pStyle w:val="Body"/>
        <w:spacing w:after="0"/>
        <w:rPr>
          <w:rFonts w:ascii="Arial" w:hAnsi="Arial" w:cs="Arial"/>
          <w:lang w:val="en-GB"/>
        </w:rPr>
      </w:pPr>
      <w:r w:rsidRPr="00994530">
        <w:rPr>
          <w:rFonts w:ascii="Arial" w:hAnsi="Arial" w:cs="Arial"/>
          <w:lang w:val="en-GB"/>
        </w:rPr>
        <w:t>Emerging research suggests that alcohol consumption may also serve mating-related functions, especially among men. Studies have shown that drinking games are used as competitive displays in mating contexts (Hone &amp; McCullough, 2015), and that men may increase their alcohol use when exposed to attractive peers or perceived mate competition (</w:t>
      </w:r>
      <w:proofErr w:type="spellStart"/>
      <w:r w:rsidRPr="00994530">
        <w:rPr>
          <w:rFonts w:ascii="Arial" w:hAnsi="Arial" w:cs="Arial"/>
          <w:lang w:val="en-GB"/>
        </w:rPr>
        <w:t>Vincke</w:t>
      </w:r>
      <w:proofErr w:type="spellEnd"/>
      <w:r w:rsidRPr="00994530">
        <w:rPr>
          <w:rFonts w:ascii="Arial" w:hAnsi="Arial" w:cs="Arial"/>
          <w:lang w:val="en-GB"/>
        </w:rPr>
        <w:t>, 2016). Intrasexual competitiveness has also been linked to hazardous alcohol use and other high-risk behaviours (Harris et al., 2019; Galli et al., 2022), although causality is difficult to establish. Most of these studies rely on young, student samples and self-report measures, raising questions about generalisability and underlying mechanisms.</w:t>
      </w:r>
    </w:p>
    <w:p w14:paraId="748B9FC6" w14:textId="77777777" w:rsidR="00994530" w:rsidRDefault="00994530" w:rsidP="00994530">
      <w:pPr>
        <w:pStyle w:val="Body"/>
        <w:spacing w:after="0"/>
        <w:rPr>
          <w:rFonts w:ascii="Arial" w:hAnsi="Arial" w:cs="Arial"/>
          <w:lang w:val="en-GB"/>
        </w:rPr>
      </w:pPr>
    </w:p>
    <w:p w14:paraId="00637AC8" w14:textId="713760DB" w:rsidR="00994530" w:rsidRPr="00994530" w:rsidRDefault="00994530" w:rsidP="00994530">
      <w:pPr>
        <w:pStyle w:val="Body"/>
        <w:spacing w:after="0"/>
        <w:rPr>
          <w:rFonts w:ascii="Arial" w:hAnsi="Arial" w:cs="Arial"/>
          <w:lang w:val="en-GB"/>
        </w:rPr>
      </w:pPr>
      <w:r w:rsidRPr="00994530">
        <w:rPr>
          <w:rFonts w:ascii="Arial" w:hAnsi="Arial" w:cs="Arial"/>
          <w:lang w:val="en-GB"/>
        </w:rPr>
        <w:t>The present study aims to build on this emerging literature by testing whether perceived mate availability influences intrasexual competitiveness and hypothetical alcohol consumption in a more demographically diverse sample. It also examines the moderating roles of gender and relationship status, two variables known to influence both mating motives and substance use (Pedersen et al., 2009; Gervais et al., 2020). Alcohol demand was measured using the Alcohol Purchase Task (Murphy &amp; MacKillop, 2006), which yields behavioural economic indicators such as consumption intensity and price sensitivity.</w:t>
      </w:r>
    </w:p>
    <w:p w14:paraId="79313E7E" w14:textId="77777777" w:rsidR="00994530" w:rsidRDefault="00994530" w:rsidP="00994530">
      <w:pPr>
        <w:pStyle w:val="Body"/>
        <w:spacing w:after="0"/>
        <w:rPr>
          <w:rFonts w:ascii="Arial" w:hAnsi="Arial" w:cs="Arial"/>
          <w:lang w:val="en-GB"/>
        </w:rPr>
      </w:pPr>
    </w:p>
    <w:p w14:paraId="036A0627" w14:textId="5FAC89D9" w:rsidR="00994530" w:rsidRPr="00994530" w:rsidRDefault="00994530" w:rsidP="00994530">
      <w:pPr>
        <w:pStyle w:val="Body"/>
        <w:spacing w:after="0"/>
        <w:rPr>
          <w:rFonts w:ascii="Arial" w:hAnsi="Arial" w:cs="Arial"/>
          <w:lang w:val="en-GB"/>
        </w:rPr>
      </w:pPr>
      <w:r w:rsidRPr="00994530">
        <w:rPr>
          <w:rFonts w:ascii="Arial" w:hAnsi="Arial" w:cs="Arial"/>
          <w:lang w:val="en-GB"/>
        </w:rPr>
        <w:t>The following hypotheses were tested: (1) Mate scarcity would increase intrasexual competitiveness; (2) higher intrasexual competitiveness would be associated with increased alcohol consumption and reduced price sensitivity; (3) gender and relationship status would moderate these effects.</w:t>
      </w:r>
    </w:p>
    <w:p w14:paraId="29A0EE2E" w14:textId="77777777" w:rsidR="00790ADA" w:rsidRPr="005E6372" w:rsidRDefault="00790ADA" w:rsidP="00441B6F">
      <w:pPr>
        <w:pStyle w:val="Body"/>
        <w:spacing w:after="0"/>
        <w:rPr>
          <w:rFonts w:ascii="Arial" w:hAnsi="Arial" w:cs="Arial"/>
          <w:lang w:val="en-GB"/>
        </w:rPr>
      </w:pPr>
    </w:p>
    <w:p w14:paraId="1DDE1E26" w14:textId="1995014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08E173A" w14:textId="77777777" w:rsidR="00790ADA" w:rsidRPr="00FB3A86" w:rsidRDefault="00790ADA" w:rsidP="00441B6F">
      <w:pPr>
        <w:pStyle w:val="Body"/>
        <w:spacing w:after="0"/>
        <w:rPr>
          <w:rFonts w:ascii="Arial" w:hAnsi="Arial" w:cs="Arial"/>
        </w:rPr>
      </w:pPr>
    </w:p>
    <w:p w14:paraId="061DC8EA" w14:textId="2608AB27" w:rsidR="00AA74E0" w:rsidRDefault="00AA74E0" w:rsidP="00441B6F">
      <w:pPr>
        <w:pStyle w:val="Body"/>
        <w:spacing w:after="0"/>
        <w:rPr>
          <w:rFonts w:ascii="Arial" w:hAnsi="Arial" w:cs="Arial"/>
          <w:b/>
          <w:sz w:val="22"/>
        </w:rPr>
      </w:pPr>
      <w:r w:rsidRPr="00C30A0F">
        <w:rPr>
          <w:rFonts w:ascii="Arial" w:hAnsi="Arial" w:cs="Arial"/>
          <w:b/>
          <w:caps/>
          <w:sz w:val="22"/>
        </w:rPr>
        <w:t xml:space="preserve">2.1 </w:t>
      </w:r>
      <w:r w:rsidR="00BE5DC4">
        <w:rPr>
          <w:rFonts w:ascii="Arial" w:hAnsi="Arial" w:cs="Arial"/>
          <w:b/>
          <w:sz w:val="22"/>
        </w:rPr>
        <w:t>Participants</w:t>
      </w:r>
      <w:r w:rsidR="00C30A0F" w:rsidRPr="00C30A0F">
        <w:rPr>
          <w:rFonts w:ascii="Arial" w:hAnsi="Arial" w:cs="Arial"/>
          <w:b/>
          <w:sz w:val="22"/>
        </w:rPr>
        <w:t xml:space="preserve"> </w:t>
      </w:r>
    </w:p>
    <w:p w14:paraId="5571DEF3" w14:textId="77777777" w:rsidR="00C077E3" w:rsidRDefault="00C077E3" w:rsidP="00441B6F">
      <w:pPr>
        <w:pStyle w:val="Body"/>
        <w:spacing w:after="0"/>
        <w:rPr>
          <w:rFonts w:ascii="Arial" w:hAnsi="Arial" w:cs="Arial"/>
          <w:b/>
          <w:caps/>
        </w:rPr>
      </w:pPr>
    </w:p>
    <w:p w14:paraId="46DAAC6D" w14:textId="5939763D" w:rsidR="00BE5DC4" w:rsidRPr="00BE5DC4" w:rsidRDefault="00BE5DC4" w:rsidP="00BE5DC4">
      <w:pPr>
        <w:pStyle w:val="Body"/>
        <w:rPr>
          <w:rFonts w:ascii="Arial" w:hAnsi="Arial" w:cs="Arial"/>
          <w:lang w:val="en-GB"/>
        </w:rPr>
      </w:pPr>
      <w:r w:rsidRPr="00BE5DC4">
        <w:rPr>
          <w:rFonts w:ascii="Arial" w:hAnsi="Arial" w:cs="Arial"/>
          <w:lang w:val="en-GB"/>
        </w:rPr>
        <w:t>A total of 129 participants completed the study. After applying exclusion criteria (see Section 2.</w:t>
      </w:r>
      <w:r w:rsidR="00B36DCF">
        <w:rPr>
          <w:rFonts w:ascii="Arial" w:hAnsi="Arial" w:cs="Arial"/>
          <w:lang w:val="en-GB"/>
        </w:rPr>
        <w:t>4</w:t>
      </w:r>
      <w:r w:rsidRPr="00BE5DC4">
        <w:rPr>
          <w:rFonts w:ascii="Arial" w:hAnsi="Arial" w:cs="Arial"/>
          <w:lang w:val="en-GB"/>
        </w:rPr>
        <w:t>.1), the final sample included 92 participants (52 females), aged 18 to 54 years (M = 26.34, SD = 7.12). Participants were recruited online via Facebook, targeting individuals from the United Kingdom and Lithuania. Eligibility criteria included being 18 years or older and reporting any alcohol consumption. Participation was voluntary</w:t>
      </w:r>
      <w:r>
        <w:rPr>
          <w:rFonts w:ascii="Arial" w:hAnsi="Arial" w:cs="Arial"/>
          <w:lang w:val="en-GB"/>
        </w:rPr>
        <w:t>.</w:t>
      </w:r>
      <w:r w:rsidR="00515897">
        <w:rPr>
          <w:rFonts w:ascii="Arial" w:hAnsi="Arial" w:cs="Arial"/>
          <w:lang w:val="en-GB"/>
        </w:rPr>
        <w:t xml:space="preserve"> </w:t>
      </w:r>
    </w:p>
    <w:p w14:paraId="21E2EA72" w14:textId="3E57C2D7" w:rsidR="00BE5DC4" w:rsidRPr="00BE5DC4" w:rsidRDefault="00BE5DC4" w:rsidP="00BE5DC4">
      <w:pPr>
        <w:pStyle w:val="Body"/>
        <w:spacing w:after="0"/>
        <w:rPr>
          <w:rFonts w:ascii="Arial" w:hAnsi="Arial" w:cs="Arial"/>
          <w:b/>
          <w:bCs/>
          <w:lang w:val="en-GB"/>
        </w:rPr>
      </w:pPr>
      <w:r w:rsidRPr="00696C1C">
        <w:rPr>
          <w:rFonts w:ascii="Arial" w:hAnsi="Arial" w:cs="Arial"/>
          <w:b/>
          <w:bCs/>
          <w:lang w:val="en-GB"/>
        </w:rPr>
        <w:t>Table 1</w:t>
      </w:r>
      <w:r w:rsidR="006710B6">
        <w:rPr>
          <w:rFonts w:ascii="Arial" w:hAnsi="Arial" w:cs="Arial"/>
          <w:b/>
          <w:bCs/>
          <w:lang w:val="en-GB"/>
        </w:rPr>
        <w:t>.</w:t>
      </w:r>
      <w:r w:rsidR="00F86E46">
        <w:rPr>
          <w:rFonts w:ascii="Arial" w:hAnsi="Arial" w:cs="Arial"/>
          <w:b/>
          <w:bCs/>
          <w:lang w:val="en-GB"/>
        </w:rPr>
        <w:t xml:space="preserve"> D</w:t>
      </w:r>
      <w:r w:rsidRPr="00696C1C">
        <w:rPr>
          <w:rFonts w:ascii="Arial" w:hAnsi="Arial" w:cs="Arial"/>
          <w:b/>
          <w:bCs/>
          <w:lang w:val="en-GB"/>
        </w:rPr>
        <w:t>emographic characteristics by condition.</w:t>
      </w:r>
    </w:p>
    <w:p w14:paraId="481CE3EE" w14:textId="55D9AF77" w:rsidR="00BE5DC4" w:rsidRPr="00515897" w:rsidRDefault="00BE5DC4" w:rsidP="00BE5DC4">
      <w:pPr>
        <w:pStyle w:val="Body"/>
        <w:spacing w:after="0"/>
        <w:rPr>
          <w:rFonts w:ascii="Arial" w:hAnsi="Arial" w:cs="Arial"/>
          <w:lang w:val="en-GB"/>
        </w:rPr>
      </w:pPr>
    </w:p>
    <w:tbl>
      <w:tblPr>
        <w:tblStyle w:val="TableGrid"/>
        <w:tblW w:w="0" w:type="auto"/>
        <w:tblLook w:val="04A0" w:firstRow="1" w:lastRow="0" w:firstColumn="1" w:lastColumn="0" w:noHBand="0" w:noVBand="1"/>
      </w:tblPr>
      <w:tblGrid>
        <w:gridCol w:w="3672"/>
        <w:gridCol w:w="3672"/>
        <w:gridCol w:w="3672"/>
      </w:tblGrid>
      <w:tr w:rsidR="00515897" w:rsidRPr="00515897" w14:paraId="19A3AD78" w14:textId="77777777" w:rsidTr="007D1B33">
        <w:tc>
          <w:tcPr>
            <w:tcW w:w="3672" w:type="dxa"/>
            <w:tcBorders>
              <w:top w:val="single" w:sz="4" w:space="0" w:color="auto"/>
              <w:left w:val="nil"/>
              <w:bottom w:val="single" w:sz="4" w:space="0" w:color="auto"/>
              <w:right w:val="nil"/>
            </w:tcBorders>
          </w:tcPr>
          <w:p w14:paraId="18BA23E3" w14:textId="0FD12368" w:rsidR="00515897" w:rsidRPr="00515897" w:rsidRDefault="00515897" w:rsidP="00515897">
            <w:pPr>
              <w:pStyle w:val="Body"/>
              <w:spacing w:after="0"/>
              <w:rPr>
                <w:rFonts w:ascii="Arial" w:hAnsi="Arial" w:cs="Arial"/>
              </w:rPr>
            </w:pPr>
            <w:r w:rsidRPr="00515897">
              <w:rPr>
                <w:rFonts w:ascii="Arial" w:hAnsi="Arial" w:cs="Arial"/>
              </w:rPr>
              <w:t>Variable</w:t>
            </w:r>
          </w:p>
        </w:tc>
        <w:tc>
          <w:tcPr>
            <w:tcW w:w="3672" w:type="dxa"/>
            <w:tcBorders>
              <w:top w:val="single" w:sz="4" w:space="0" w:color="auto"/>
              <w:left w:val="nil"/>
              <w:bottom w:val="single" w:sz="4" w:space="0" w:color="auto"/>
              <w:right w:val="nil"/>
            </w:tcBorders>
          </w:tcPr>
          <w:p w14:paraId="37FF833F" w14:textId="0787B103" w:rsidR="00515897" w:rsidRPr="00515897" w:rsidRDefault="00515897" w:rsidP="00515897">
            <w:pPr>
              <w:pStyle w:val="Body"/>
              <w:spacing w:after="0"/>
              <w:jc w:val="center"/>
              <w:rPr>
                <w:rFonts w:ascii="Arial" w:hAnsi="Arial" w:cs="Arial"/>
              </w:rPr>
            </w:pPr>
            <w:r w:rsidRPr="00515897">
              <w:rPr>
                <w:rFonts w:ascii="Arial" w:hAnsi="Arial" w:cs="Arial"/>
              </w:rPr>
              <w:t>Mate Abundance (N=41)</w:t>
            </w:r>
          </w:p>
        </w:tc>
        <w:tc>
          <w:tcPr>
            <w:tcW w:w="3672" w:type="dxa"/>
            <w:tcBorders>
              <w:top w:val="single" w:sz="4" w:space="0" w:color="auto"/>
              <w:left w:val="nil"/>
              <w:bottom w:val="single" w:sz="4" w:space="0" w:color="auto"/>
              <w:right w:val="nil"/>
            </w:tcBorders>
          </w:tcPr>
          <w:p w14:paraId="605AE22C" w14:textId="1860E324" w:rsidR="00515897" w:rsidRPr="00515897" w:rsidRDefault="00515897" w:rsidP="00515897">
            <w:pPr>
              <w:pStyle w:val="Body"/>
              <w:spacing w:after="0"/>
              <w:jc w:val="center"/>
              <w:rPr>
                <w:rFonts w:ascii="Arial" w:hAnsi="Arial" w:cs="Arial"/>
              </w:rPr>
            </w:pPr>
            <w:r w:rsidRPr="00515897">
              <w:rPr>
                <w:rFonts w:ascii="Arial" w:hAnsi="Arial" w:cs="Arial"/>
              </w:rPr>
              <w:t>Mate Scarcity (N=51)</w:t>
            </w:r>
          </w:p>
        </w:tc>
      </w:tr>
      <w:tr w:rsidR="00515897" w:rsidRPr="00515897" w14:paraId="281517A4" w14:textId="77777777" w:rsidTr="007D1B33">
        <w:tc>
          <w:tcPr>
            <w:tcW w:w="3672" w:type="dxa"/>
            <w:tcBorders>
              <w:top w:val="single" w:sz="4" w:space="0" w:color="auto"/>
              <w:left w:val="nil"/>
              <w:bottom w:val="nil"/>
              <w:right w:val="nil"/>
            </w:tcBorders>
          </w:tcPr>
          <w:p w14:paraId="37429542" w14:textId="70F61328" w:rsidR="00515897" w:rsidRPr="00515897" w:rsidRDefault="00515897" w:rsidP="00515897">
            <w:pPr>
              <w:pStyle w:val="Body"/>
              <w:spacing w:after="0"/>
              <w:rPr>
                <w:rFonts w:ascii="Arial" w:hAnsi="Arial" w:cs="Arial"/>
              </w:rPr>
            </w:pPr>
            <w:r w:rsidRPr="00515897">
              <w:rPr>
                <w:rFonts w:ascii="Arial" w:hAnsi="Arial" w:cs="Arial"/>
              </w:rPr>
              <w:t>Mean Age (SD)</w:t>
            </w:r>
          </w:p>
        </w:tc>
        <w:tc>
          <w:tcPr>
            <w:tcW w:w="3672" w:type="dxa"/>
            <w:tcBorders>
              <w:top w:val="single" w:sz="4" w:space="0" w:color="auto"/>
              <w:left w:val="nil"/>
              <w:bottom w:val="nil"/>
              <w:right w:val="nil"/>
            </w:tcBorders>
          </w:tcPr>
          <w:p w14:paraId="1064D574" w14:textId="36FCAA9C" w:rsidR="00515897" w:rsidRPr="00515897" w:rsidRDefault="00515897" w:rsidP="00515897">
            <w:pPr>
              <w:pStyle w:val="Body"/>
              <w:spacing w:after="0"/>
              <w:jc w:val="center"/>
              <w:rPr>
                <w:rFonts w:ascii="Arial" w:hAnsi="Arial" w:cs="Arial"/>
              </w:rPr>
            </w:pPr>
            <w:r w:rsidRPr="00515897">
              <w:rPr>
                <w:rFonts w:ascii="Arial" w:hAnsi="Arial" w:cs="Arial"/>
              </w:rPr>
              <w:t>25.90 (5.44)</w:t>
            </w:r>
          </w:p>
        </w:tc>
        <w:tc>
          <w:tcPr>
            <w:tcW w:w="3672" w:type="dxa"/>
            <w:tcBorders>
              <w:top w:val="single" w:sz="4" w:space="0" w:color="auto"/>
              <w:left w:val="nil"/>
              <w:bottom w:val="nil"/>
              <w:right w:val="nil"/>
            </w:tcBorders>
          </w:tcPr>
          <w:p w14:paraId="075D79C4" w14:textId="42372D37" w:rsidR="00515897" w:rsidRPr="00515897" w:rsidRDefault="00515897" w:rsidP="00515897">
            <w:pPr>
              <w:pStyle w:val="Body"/>
              <w:spacing w:after="0"/>
              <w:jc w:val="center"/>
              <w:rPr>
                <w:rFonts w:ascii="Arial" w:hAnsi="Arial" w:cs="Arial"/>
              </w:rPr>
            </w:pPr>
            <w:r w:rsidRPr="00515897">
              <w:rPr>
                <w:rFonts w:ascii="Arial" w:hAnsi="Arial" w:cs="Arial"/>
              </w:rPr>
              <w:t>26.69 (8.26)</w:t>
            </w:r>
          </w:p>
        </w:tc>
      </w:tr>
      <w:tr w:rsidR="00515897" w:rsidRPr="00515897" w14:paraId="7029C759" w14:textId="77777777" w:rsidTr="007D1B33">
        <w:tc>
          <w:tcPr>
            <w:tcW w:w="3672" w:type="dxa"/>
            <w:tcBorders>
              <w:top w:val="nil"/>
              <w:left w:val="nil"/>
              <w:bottom w:val="nil"/>
              <w:right w:val="nil"/>
            </w:tcBorders>
          </w:tcPr>
          <w:p w14:paraId="4C38B456" w14:textId="475DC2B2" w:rsidR="00515897" w:rsidRPr="00515897" w:rsidRDefault="00515897" w:rsidP="00515897">
            <w:pPr>
              <w:pStyle w:val="Body"/>
              <w:spacing w:after="0"/>
              <w:rPr>
                <w:rFonts w:ascii="Arial" w:hAnsi="Arial" w:cs="Arial"/>
              </w:rPr>
            </w:pPr>
            <w:r w:rsidRPr="00515897">
              <w:rPr>
                <w:rFonts w:ascii="Arial" w:hAnsi="Arial" w:cs="Arial"/>
              </w:rPr>
              <w:t>Gender (M/F)</w:t>
            </w:r>
          </w:p>
        </w:tc>
        <w:tc>
          <w:tcPr>
            <w:tcW w:w="3672" w:type="dxa"/>
            <w:tcBorders>
              <w:top w:val="nil"/>
              <w:left w:val="nil"/>
              <w:bottom w:val="nil"/>
              <w:right w:val="nil"/>
            </w:tcBorders>
          </w:tcPr>
          <w:p w14:paraId="366B2534" w14:textId="17915BC3" w:rsidR="00515897" w:rsidRPr="00515897" w:rsidRDefault="00515897" w:rsidP="00515897">
            <w:pPr>
              <w:pStyle w:val="Body"/>
              <w:spacing w:after="0"/>
              <w:jc w:val="center"/>
              <w:rPr>
                <w:rFonts w:ascii="Arial" w:hAnsi="Arial" w:cs="Arial"/>
              </w:rPr>
            </w:pPr>
            <w:r w:rsidRPr="00515897">
              <w:rPr>
                <w:rFonts w:ascii="Arial" w:hAnsi="Arial" w:cs="Arial"/>
              </w:rPr>
              <w:t>20 / 21</w:t>
            </w:r>
          </w:p>
        </w:tc>
        <w:tc>
          <w:tcPr>
            <w:tcW w:w="3672" w:type="dxa"/>
            <w:tcBorders>
              <w:top w:val="nil"/>
              <w:left w:val="nil"/>
              <w:bottom w:val="nil"/>
              <w:right w:val="nil"/>
            </w:tcBorders>
          </w:tcPr>
          <w:p w14:paraId="477F0D30" w14:textId="2371FF51" w:rsidR="00515897" w:rsidRPr="00515897" w:rsidRDefault="00515897" w:rsidP="00515897">
            <w:pPr>
              <w:pStyle w:val="Body"/>
              <w:spacing w:after="0"/>
              <w:jc w:val="center"/>
              <w:rPr>
                <w:rFonts w:ascii="Arial" w:hAnsi="Arial" w:cs="Arial"/>
              </w:rPr>
            </w:pPr>
            <w:r w:rsidRPr="00515897">
              <w:rPr>
                <w:rFonts w:ascii="Arial" w:hAnsi="Arial" w:cs="Arial"/>
              </w:rPr>
              <w:t>20 / 31</w:t>
            </w:r>
          </w:p>
        </w:tc>
      </w:tr>
      <w:tr w:rsidR="00515897" w:rsidRPr="00515897" w14:paraId="52CF05AE" w14:textId="77777777" w:rsidTr="007D1B33">
        <w:tc>
          <w:tcPr>
            <w:tcW w:w="3672" w:type="dxa"/>
            <w:tcBorders>
              <w:top w:val="nil"/>
              <w:left w:val="nil"/>
              <w:bottom w:val="nil"/>
              <w:right w:val="nil"/>
            </w:tcBorders>
          </w:tcPr>
          <w:p w14:paraId="0DD1842A" w14:textId="37C3EFAD" w:rsidR="00515897" w:rsidRPr="00515897" w:rsidRDefault="00515897" w:rsidP="00515897">
            <w:pPr>
              <w:pStyle w:val="Body"/>
              <w:spacing w:after="0"/>
              <w:rPr>
                <w:rFonts w:ascii="Arial" w:hAnsi="Arial" w:cs="Arial"/>
              </w:rPr>
            </w:pPr>
            <w:r w:rsidRPr="00515897">
              <w:rPr>
                <w:rFonts w:ascii="Arial" w:hAnsi="Arial" w:cs="Arial"/>
              </w:rPr>
              <w:t>White Ethnicity (%)</w:t>
            </w:r>
          </w:p>
        </w:tc>
        <w:tc>
          <w:tcPr>
            <w:tcW w:w="3672" w:type="dxa"/>
            <w:tcBorders>
              <w:top w:val="nil"/>
              <w:left w:val="nil"/>
              <w:bottom w:val="nil"/>
              <w:right w:val="nil"/>
            </w:tcBorders>
          </w:tcPr>
          <w:p w14:paraId="39C80936" w14:textId="34B5FB49" w:rsidR="00515897" w:rsidRPr="00515897" w:rsidRDefault="00515897" w:rsidP="00515897">
            <w:pPr>
              <w:pStyle w:val="Body"/>
              <w:spacing w:after="0"/>
              <w:jc w:val="center"/>
              <w:rPr>
                <w:rFonts w:ascii="Arial" w:hAnsi="Arial" w:cs="Arial"/>
              </w:rPr>
            </w:pPr>
            <w:r w:rsidRPr="00515897">
              <w:rPr>
                <w:rFonts w:ascii="Arial" w:hAnsi="Arial" w:cs="Arial"/>
              </w:rPr>
              <w:t>80%</w:t>
            </w:r>
          </w:p>
        </w:tc>
        <w:tc>
          <w:tcPr>
            <w:tcW w:w="3672" w:type="dxa"/>
            <w:tcBorders>
              <w:top w:val="nil"/>
              <w:left w:val="nil"/>
              <w:bottom w:val="nil"/>
              <w:right w:val="nil"/>
            </w:tcBorders>
          </w:tcPr>
          <w:p w14:paraId="4A16412C" w14:textId="6ECF07EC" w:rsidR="00515897" w:rsidRPr="00515897" w:rsidRDefault="00515897" w:rsidP="00515897">
            <w:pPr>
              <w:pStyle w:val="Body"/>
              <w:spacing w:after="0"/>
              <w:jc w:val="center"/>
              <w:rPr>
                <w:rFonts w:ascii="Arial" w:hAnsi="Arial" w:cs="Arial"/>
              </w:rPr>
            </w:pPr>
            <w:r w:rsidRPr="00515897">
              <w:rPr>
                <w:rFonts w:ascii="Arial" w:hAnsi="Arial" w:cs="Arial"/>
              </w:rPr>
              <w:t>80%</w:t>
            </w:r>
          </w:p>
        </w:tc>
      </w:tr>
      <w:tr w:rsidR="00515897" w:rsidRPr="00515897" w14:paraId="6D928ACF" w14:textId="77777777" w:rsidTr="007D1B33">
        <w:tc>
          <w:tcPr>
            <w:tcW w:w="3672" w:type="dxa"/>
            <w:tcBorders>
              <w:top w:val="nil"/>
              <w:left w:val="nil"/>
              <w:bottom w:val="nil"/>
              <w:right w:val="nil"/>
            </w:tcBorders>
          </w:tcPr>
          <w:p w14:paraId="6B19D61A" w14:textId="626697E2" w:rsidR="00515897" w:rsidRPr="00515897" w:rsidRDefault="00515897" w:rsidP="00515897">
            <w:pPr>
              <w:pStyle w:val="Body"/>
              <w:spacing w:after="0"/>
              <w:rPr>
                <w:rFonts w:ascii="Arial" w:hAnsi="Arial" w:cs="Arial"/>
              </w:rPr>
            </w:pPr>
            <w:r w:rsidRPr="00515897">
              <w:rPr>
                <w:rFonts w:ascii="Arial" w:hAnsi="Arial" w:cs="Arial"/>
              </w:rPr>
              <w:t>Single (%)</w:t>
            </w:r>
          </w:p>
        </w:tc>
        <w:tc>
          <w:tcPr>
            <w:tcW w:w="3672" w:type="dxa"/>
            <w:tcBorders>
              <w:top w:val="nil"/>
              <w:left w:val="nil"/>
              <w:bottom w:val="nil"/>
              <w:right w:val="nil"/>
            </w:tcBorders>
          </w:tcPr>
          <w:p w14:paraId="593780E1" w14:textId="6826B692" w:rsidR="00515897" w:rsidRPr="00515897" w:rsidRDefault="00515897" w:rsidP="00515897">
            <w:pPr>
              <w:pStyle w:val="Body"/>
              <w:spacing w:after="0"/>
              <w:jc w:val="center"/>
              <w:rPr>
                <w:rFonts w:ascii="Arial" w:hAnsi="Arial" w:cs="Arial"/>
              </w:rPr>
            </w:pPr>
            <w:r w:rsidRPr="00515897">
              <w:rPr>
                <w:rFonts w:ascii="Arial" w:hAnsi="Arial" w:cs="Arial"/>
              </w:rPr>
              <w:t>37%</w:t>
            </w:r>
          </w:p>
        </w:tc>
        <w:tc>
          <w:tcPr>
            <w:tcW w:w="3672" w:type="dxa"/>
            <w:tcBorders>
              <w:top w:val="nil"/>
              <w:left w:val="nil"/>
              <w:bottom w:val="nil"/>
              <w:right w:val="nil"/>
            </w:tcBorders>
          </w:tcPr>
          <w:p w14:paraId="4158250F" w14:textId="2C82D514" w:rsidR="00515897" w:rsidRPr="00515897" w:rsidRDefault="00515897" w:rsidP="00515897">
            <w:pPr>
              <w:pStyle w:val="Body"/>
              <w:spacing w:after="0"/>
              <w:jc w:val="center"/>
              <w:rPr>
                <w:rFonts w:ascii="Arial" w:hAnsi="Arial" w:cs="Arial"/>
              </w:rPr>
            </w:pPr>
            <w:r w:rsidRPr="00515897">
              <w:rPr>
                <w:rFonts w:ascii="Arial" w:hAnsi="Arial" w:cs="Arial"/>
              </w:rPr>
              <w:t>39%</w:t>
            </w:r>
          </w:p>
        </w:tc>
      </w:tr>
      <w:tr w:rsidR="00515897" w:rsidRPr="00515897" w14:paraId="05874897" w14:textId="77777777" w:rsidTr="007D1B33">
        <w:tc>
          <w:tcPr>
            <w:tcW w:w="3672" w:type="dxa"/>
            <w:tcBorders>
              <w:top w:val="nil"/>
              <w:left w:val="nil"/>
              <w:bottom w:val="single" w:sz="4" w:space="0" w:color="auto"/>
              <w:right w:val="nil"/>
            </w:tcBorders>
          </w:tcPr>
          <w:p w14:paraId="29E429A7" w14:textId="262CCCCC" w:rsidR="00515897" w:rsidRPr="00515897" w:rsidRDefault="00515897" w:rsidP="00515897">
            <w:pPr>
              <w:pStyle w:val="Body"/>
              <w:spacing w:after="0"/>
              <w:rPr>
                <w:rFonts w:ascii="Arial" w:hAnsi="Arial" w:cs="Arial"/>
              </w:rPr>
            </w:pPr>
            <w:r w:rsidRPr="00515897">
              <w:rPr>
                <w:rFonts w:ascii="Arial" w:hAnsi="Arial" w:cs="Arial"/>
              </w:rPr>
              <w:t>Drinking Frequency (%)</w:t>
            </w:r>
          </w:p>
        </w:tc>
        <w:tc>
          <w:tcPr>
            <w:tcW w:w="3672" w:type="dxa"/>
            <w:tcBorders>
              <w:top w:val="nil"/>
              <w:left w:val="nil"/>
              <w:bottom w:val="single" w:sz="4" w:space="0" w:color="auto"/>
              <w:right w:val="nil"/>
            </w:tcBorders>
          </w:tcPr>
          <w:p w14:paraId="311EA849" w14:textId="77777777" w:rsidR="00515897" w:rsidRPr="00515897" w:rsidRDefault="00515897" w:rsidP="00515897">
            <w:pPr>
              <w:pStyle w:val="Body"/>
              <w:spacing w:after="0"/>
              <w:jc w:val="center"/>
              <w:rPr>
                <w:rFonts w:ascii="Arial" w:hAnsi="Arial" w:cs="Arial"/>
              </w:rPr>
            </w:pPr>
          </w:p>
        </w:tc>
        <w:tc>
          <w:tcPr>
            <w:tcW w:w="3672" w:type="dxa"/>
            <w:tcBorders>
              <w:top w:val="nil"/>
              <w:left w:val="nil"/>
              <w:bottom w:val="single" w:sz="4" w:space="0" w:color="auto"/>
              <w:right w:val="nil"/>
            </w:tcBorders>
          </w:tcPr>
          <w:p w14:paraId="002AD057" w14:textId="77777777" w:rsidR="00515897" w:rsidRPr="00515897" w:rsidRDefault="00515897" w:rsidP="00515897">
            <w:pPr>
              <w:pStyle w:val="Body"/>
              <w:spacing w:after="0"/>
              <w:jc w:val="center"/>
              <w:rPr>
                <w:rFonts w:ascii="Arial" w:hAnsi="Arial" w:cs="Arial"/>
              </w:rPr>
            </w:pPr>
          </w:p>
        </w:tc>
      </w:tr>
      <w:tr w:rsidR="00515897" w:rsidRPr="00515897" w14:paraId="463832D4" w14:textId="77777777" w:rsidTr="007D1B33">
        <w:tc>
          <w:tcPr>
            <w:tcW w:w="3672" w:type="dxa"/>
            <w:tcBorders>
              <w:top w:val="single" w:sz="4" w:space="0" w:color="auto"/>
              <w:left w:val="nil"/>
              <w:bottom w:val="nil"/>
              <w:right w:val="nil"/>
            </w:tcBorders>
          </w:tcPr>
          <w:p w14:paraId="4B5D3EDD" w14:textId="7CADAF70" w:rsidR="00515897" w:rsidRPr="00515897" w:rsidRDefault="00515897" w:rsidP="00515897">
            <w:pPr>
              <w:pStyle w:val="Body"/>
              <w:spacing w:after="0"/>
              <w:rPr>
                <w:rFonts w:ascii="Arial" w:hAnsi="Arial" w:cs="Arial"/>
              </w:rPr>
            </w:pPr>
            <w:r w:rsidRPr="00515897">
              <w:rPr>
                <w:rFonts w:ascii="Arial" w:hAnsi="Arial" w:cs="Arial"/>
              </w:rPr>
              <w:t>Monthly or less</w:t>
            </w:r>
          </w:p>
        </w:tc>
        <w:tc>
          <w:tcPr>
            <w:tcW w:w="3672" w:type="dxa"/>
            <w:tcBorders>
              <w:top w:val="single" w:sz="4" w:space="0" w:color="auto"/>
              <w:left w:val="nil"/>
              <w:bottom w:val="nil"/>
              <w:right w:val="nil"/>
            </w:tcBorders>
          </w:tcPr>
          <w:p w14:paraId="5341804C" w14:textId="19D58FDE" w:rsidR="00515897" w:rsidRPr="00515897" w:rsidRDefault="00515897" w:rsidP="00515897">
            <w:pPr>
              <w:pStyle w:val="Body"/>
              <w:spacing w:after="0"/>
              <w:jc w:val="center"/>
              <w:rPr>
                <w:rFonts w:ascii="Arial" w:hAnsi="Arial" w:cs="Arial"/>
              </w:rPr>
            </w:pPr>
            <w:r w:rsidRPr="00515897">
              <w:rPr>
                <w:rFonts w:ascii="Arial" w:hAnsi="Arial" w:cs="Arial"/>
              </w:rPr>
              <w:t>24%</w:t>
            </w:r>
          </w:p>
        </w:tc>
        <w:tc>
          <w:tcPr>
            <w:tcW w:w="3672" w:type="dxa"/>
            <w:tcBorders>
              <w:top w:val="single" w:sz="4" w:space="0" w:color="auto"/>
              <w:left w:val="nil"/>
              <w:bottom w:val="nil"/>
              <w:right w:val="nil"/>
            </w:tcBorders>
          </w:tcPr>
          <w:p w14:paraId="12E3BF8D" w14:textId="17E80D74" w:rsidR="00515897" w:rsidRPr="00515897" w:rsidRDefault="00515897" w:rsidP="00515897">
            <w:pPr>
              <w:pStyle w:val="Body"/>
              <w:spacing w:after="0"/>
              <w:jc w:val="center"/>
              <w:rPr>
                <w:rFonts w:ascii="Arial" w:hAnsi="Arial" w:cs="Arial"/>
              </w:rPr>
            </w:pPr>
            <w:r w:rsidRPr="00515897">
              <w:rPr>
                <w:rFonts w:ascii="Arial" w:hAnsi="Arial" w:cs="Arial"/>
              </w:rPr>
              <w:t>27%</w:t>
            </w:r>
          </w:p>
        </w:tc>
      </w:tr>
      <w:tr w:rsidR="00515897" w:rsidRPr="00515897" w14:paraId="6B44F3F5" w14:textId="77777777" w:rsidTr="007D1B33">
        <w:tc>
          <w:tcPr>
            <w:tcW w:w="3672" w:type="dxa"/>
            <w:tcBorders>
              <w:top w:val="nil"/>
              <w:left w:val="nil"/>
              <w:bottom w:val="nil"/>
              <w:right w:val="nil"/>
            </w:tcBorders>
          </w:tcPr>
          <w:p w14:paraId="7BAC1DD9" w14:textId="10CC9343" w:rsidR="00515897" w:rsidRPr="00515897" w:rsidRDefault="00515897" w:rsidP="00515897">
            <w:pPr>
              <w:pStyle w:val="Body"/>
              <w:spacing w:after="0"/>
              <w:rPr>
                <w:rFonts w:ascii="Arial" w:hAnsi="Arial" w:cs="Arial"/>
              </w:rPr>
            </w:pPr>
            <w:r w:rsidRPr="00515897">
              <w:rPr>
                <w:rFonts w:ascii="Arial" w:hAnsi="Arial" w:cs="Arial"/>
              </w:rPr>
              <w:t>2–4 times/mont</w:t>
            </w:r>
            <w:r>
              <w:rPr>
                <w:rFonts w:ascii="Arial" w:hAnsi="Arial" w:cs="Arial"/>
              </w:rPr>
              <w:t>h</w:t>
            </w:r>
          </w:p>
        </w:tc>
        <w:tc>
          <w:tcPr>
            <w:tcW w:w="3672" w:type="dxa"/>
            <w:tcBorders>
              <w:top w:val="nil"/>
              <w:left w:val="nil"/>
              <w:bottom w:val="nil"/>
              <w:right w:val="nil"/>
            </w:tcBorders>
          </w:tcPr>
          <w:p w14:paraId="1501FCCE" w14:textId="7212B0DC" w:rsidR="00515897" w:rsidRPr="00515897" w:rsidRDefault="00515897" w:rsidP="00515897">
            <w:pPr>
              <w:pStyle w:val="Body"/>
              <w:spacing w:after="0"/>
              <w:jc w:val="center"/>
              <w:rPr>
                <w:rFonts w:ascii="Arial" w:hAnsi="Arial" w:cs="Arial"/>
              </w:rPr>
            </w:pPr>
            <w:r w:rsidRPr="00515897">
              <w:rPr>
                <w:rFonts w:ascii="Arial" w:hAnsi="Arial" w:cs="Arial"/>
              </w:rPr>
              <w:t>44%</w:t>
            </w:r>
          </w:p>
        </w:tc>
        <w:tc>
          <w:tcPr>
            <w:tcW w:w="3672" w:type="dxa"/>
            <w:tcBorders>
              <w:top w:val="nil"/>
              <w:left w:val="nil"/>
              <w:bottom w:val="nil"/>
              <w:right w:val="nil"/>
            </w:tcBorders>
          </w:tcPr>
          <w:p w14:paraId="084C1EC4" w14:textId="2BFA4EDE" w:rsidR="00515897" w:rsidRPr="00515897" w:rsidRDefault="00515897" w:rsidP="00515897">
            <w:pPr>
              <w:pStyle w:val="Body"/>
              <w:spacing w:after="0"/>
              <w:jc w:val="center"/>
              <w:rPr>
                <w:rFonts w:ascii="Arial" w:hAnsi="Arial" w:cs="Arial"/>
              </w:rPr>
            </w:pPr>
            <w:r w:rsidRPr="00515897">
              <w:rPr>
                <w:rFonts w:ascii="Arial" w:hAnsi="Arial" w:cs="Arial"/>
              </w:rPr>
              <w:t>43%</w:t>
            </w:r>
          </w:p>
        </w:tc>
      </w:tr>
      <w:tr w:rsidR="00515897" w:rsidRPr="00515897" w14:paraId="73E0FA6D" w14:textId="77777777" w:rsidTr="007D1B33">
        <w:tc>
          <w:tcPr>
            <w:tcW w:w="3672" w:type="dxa"/>
            <w:tcBorders>
              <w:top w:val="nil"/>
              <w:left w:val="nil"/>
              <w:bottom w:val="nil"/>
              <w:right w:val="nil"/>
            </w:tcBorders>
          </w:tcPr>
          <w:p w14:paraId="7D22C065" w14:textId="7683BF4A" w:rsidR="00515897" w:rsidRPr="00515897" w:rsidRDefault="00515897" w:rsidP="00515897">
            <w:pPr>
              <w:pStyle w:val="Body"/>
              <w:spacing w:after="0"/>
              <w:rPr>
                <w:rFonts w:ascii="Arial" w:hAnsi="Arial" w:cs="Arial"/>
              </w:rPr>
            </w:pPr>
            <w:r w:rsidRPr="00515897">
              <w:rPr>
                <w:rFonts w:ascii="Arial" w:hAnsi="Arial" w:cs="Arial"/>
              </w:rPr>
              <w:t>2–3 times/week</w:t>
            </w:r>
          </w:p>
        </w:tc>
        <w:tc>
          <w:tcPr>
            <w:tcW w:w="3672" w:type="dxa"/>
            <w:tcBorders>
              <w:top w:val="nil"/>
              <w:left w:val="nil"/>
              <w:bottom w:val="nil"/>
              <w:right w:val="nil"/>
            </w:tcBorders>
          </w:tcPr>
          <w:p w14:paraId="393BCF30" w14:textId="6572246E" w:rsidR="00515897" w:rsidRPr="00515897" w:rsidRDefault="00515897" w:rsidP="00515897">
            <w:pPr>
              <w:pStyle w:val="Body"/>
              <w:spacing w:after="0"/>
              <w:jc w:val="center"/>
              <w:rPr>
                <w:rFonts w:ascii="Arial" w:hAnsi="Arial" w:cs="Arial"/>
              </w:rPr>
            </w:pPr>
            <w:r w:rsidRPr="00515897">
              <w:rPr>
                <w:rFonts w:ascii="Arial" w:hAnsi="Arial" w:cs="Arial"/>
              </w:rPr>
              <w:t>27%</w:t>
            </w:r>
          </w:p>
        </w:tc>
        <w:tc>
          <w:tcPr>
            <w:tcW w:w="3672" w:type="dxa"/>
            <w:tcBorders>
              <w:top w:val="nil"/>
              <w:left w:val="nil"/>
              <w:bottom w:val="nil"/>
              <w:right w:val="nil"/>
            </w:tcBorders>
          </w:tcPr>
          <w:p w14:paraId="46883EE0" w14:textId="311FFBCB" w:rsidR="00515897" w:rsidRPr="00515897" w:rsidRDefault="00515897" w:rsidP="00515897">
            <w:pPr>
              <w:pStyle w:val="Body"/>
              <w:spacing w:after="0"/>
              <w:jc w:val="center"/>
              <w:rPr>
                <w:rFonts w:ascii="Arial" w:hAnsi="Arial" w:cs="Arial"/>
              </w:rPr>
            </w:pPr>
            <w:r w:rsidRPr="00515897">
              <w:rPr>
                <w:rFonts w:ascii="Arial" w:hAnsi="Arial" w:cs="Arial"/>
              </w:rPr>
              <w:t>26%</w:t>
            </w:r>
          </w:p>
        </w:tc>
      </w:tr>
      <w:tr w:rsidR="00515897" w:rsidRPr="00515897" w14:paraId="20BCC631" w14:textId="77777777" w:rsidTr="00F86E46">
        <w:tc>
          <w:tcPr>
            <w:tcW w:w="3672" w:type="dxa"/>
            <w:tcBorders>
              <w:top w:val="nil"/>
              <w:left w:val="nil"/>
              <w:bottom w:val="single" w:sz="4" w:space="0" w:color="auto"/>
              <w:right w:val="nil"/>
            </w:tcBorders>
          </w:tcPr>
          <w:p w14:paraId="4862194D" w14:textId="7F72A83C" w:rsidR="00515897" w:rsidRPr="00515897" w:rsidRDefault="00515897" w:rsidP="00515897">
            <w:pPr>
              <w:pStyle w:val="Body"/>
              <w:spacing w:after="0"/>
              <w:rPr>
                <w:rFonts w:ascii="Arial" w:hAnsi="Arial" w:cs="Arial"/>
              </w:rPr>
            </w:pPr>
            <w:r w:rsidRPr="00515897">
              <w:rPr>
                <w:rFonts w:ascii="Arial" w:hAnsi="Arial" w:cs="Arial"/>
              </w:rPr>
              <w:t>4+ times/week</w:t>
            </w:r>
          </w:p>
        </w:tc>
        <w:tc>
          <w:tcPr>
            <w:tcW w:w="3672" w:type="dxa"/>
            <w:tcBorders>
              <w:top w:val="nil"/>
              <w:left w:val="nil"/>
              <w:bottom w:val="single" w:sz="4" w:space="0" w:color="auto"/>
              <w:right w:val="nil"/>
            </w:tcBorders>
          </w:tcPr>
          <w:p w14:paraId="767183D3" w14:textId="3BD7A773" w:rsidR="00515897" w:rsidRPr="00515897" w:rsidRDefault="00515897" w:rsidP="00515897">
            <w:pPr>
              <w:pStyle w:val="Body"/>
              <w:spacing w:after="0"/>
              <w:jc w:val="center"/>
              <w:rPr>
                <w:rFonts w:ascii="Arial" w:hAnsi="Arial" w:cs="Arial"/>
              </w:rPr>
            </w:pPr>
            <w:r w:rsidRPr="00515897">
              <w:rPr>
                <w:rFonts w:ascii="Arial" w:hAnsi="Arial" w:cs="Arial"/>
              </w:rPr>
              <w:t>5%</w:t>
            </w:r>
          </w:p>
        </w:tc>
        <w:tc>
          <w:tcPr>
            <w:tcW w:w="3672" w:type="dxa"/>
            <w:tcBorders>
              <w:top w:val="nil"/>
              <w:left w:val="nil"/>
              <w:bottom w:val="single" w:sz="4" w:space="0" w:color="auto"/>
              <w:right w:val="nil"/>
            </w:tcBorders>
          </w:tcPr>
          <w:p w14:paraId="7BDB2238" w14:textId="1A3AC1BE" w:rsidR="00515897" w:rsidRPr="00515897" w:rsidRDefault="00515897" w:rsidP="00515897">
            <w:pPr>
              <w:pStyle w:val="Body"/>
              <w:spacing w:after="0"/>
              <w:jc w:val="center"/>
              <w:rPr>
                <w:rFonts w:ascii="Arial" w:hAnsi="Arial" w:cs="Arial"/>
              </w:rPr>
            </w:pPr>
            <w:r w:rsidRPr="00515897">
              <w:rPr>
                <w:rFonts w:ascii="Arial" w:hAnsi="Arial" w:cs="Arial"/>
              </w:rPr>
              <w:t>4%</w:t>
            </w:r>
          </w:p>
        </w:tc>
      </w:tr>
    </w:tbl>
    <w:p w14:paraId="72490613" w14:textId="77777777" w:rsidR="007D1B33" w:rsidRDefault="007D1B33" w:rsidP="00BE5DC4">
      <w:pPr>
        <w:pStyle w:val="Body"/>
        <w:spacing w:after="0"/>
        <w:rPr>
          <w:rFonts w:ascii="Arial" w:hAnsi="Arial" w:cs="Arial"/>
          <w:lang w:val="en-GB"/>
        </w:rPr>
      </w:pPr>
    </w:p>
    <w:p w14:paraId="6F9357DC" w14:textId="34DBE0BA" w:rsidR="00BE5DC4" w:rsidRDefault="007D1B33" w:rsidP="00BE5DC4">
      <w:pPr>
        <w:pStyle w:val="Body"/>
        <w:spacing w:after="0"/>
        <w:rPr>
          <w:rFonts w:ascii="Arial" w:hAnsi="Arial" w:cs="Arial"/>
          <w:b/>
          <w:sz w:val="22"/>
        </w:rPr>
      </w:pPr>
      <w:r w:rsidRPr="00BE5DC4">
        <w:rPr>
          <w:rFonts w:ascii="Arial" w:hAnsi="Arial" w:cs="Arial"/>
          <w:lang w:val="en-GB"/>
        </w:rPr>
        <w:t xml:space="preserve">Notes. *Drinking frequencies: 1. Monthly or less, 2. 2-4 times per month, 3. 2-3 times per week, 4. 4 or more times per </w:t>
      </w:r>
      <w:r w:rsidRPr="00515897">
        <w:rPr>
          <w:rFonts w:ascii="Arial" w:hAnsi="Arial" w:cs="Arial"/>
          <w:lang w:val="en-GB"/>
        </w:rPr>
        <w:t>week.</w:t>
      </w:r>
    </w:p>
    <w:p w14:paraId="685C4D86" w14:textId="77777777" w:rsidR="007D1B33" w:rsidRDefault="007D1B33" w:rsidP="00BE5DC4">
      <w:pPr>
        <w:pStyle w:val="Body"/>
        <w:spacing w:after="0"/>
        <w:rPr>
          <w:rFonts w:ascii="Arial" w:hAnsi="Arial" w:cs="Arial"/>
          <w:b/>
          <w:sz w:val="22"/>
        </w:rPr>
      </w:pPr>
    </w:p>
    <w:p w14:paraId="4424686B" w14:textId="767B042E" w:rsidR="00BE5DC4" w:rsidRDefault="00BE5DC4" w:rsidP="00BE5DC4">
      <w:pPr>
        <w:pStyle w:val="Body"/>
        <w:spacing w:after="0"/>
        <w:rPr>
          <w:rFonts w:ascii="Arial" w:hAnsi="Arial" w:cs="Arial"/>
          <w:b/>
          <w:sz w:val="22"/>
        </w:rPr>
      </w:pPr>
      <w:r w:rsidRPr="00BE5DC4">
        <w:rPr>
          <w:rFonts w:ascii="Arial" w:hAnsi="Arial" w:cs="Arial"/>
          <w:b/>
          <w:sz w:val="22"/>
        </w:rPr>
        <w:t>2.2 Design</w:t>
      </w:r>
    </w:p>
    <w:p w14:paraId="0CF96A06" w14:textId="77777777" w:rsidR="00671C94" w:rsidRPr="00BE5DC4" w:rsidRDefault="00671C94" w:rsidP="00BE5DC4">
      <w:pPr>
        <w:pStyle w:val="Body"/>
        <w:spacing w:after="0"/>
        <w:rPr>
          <w:rFonts w:ascii="Arial" w:hAnsi="Arial" w:cs="Arial"/>
          <w:lang w:val="en-GB"/>
        </w:rPr>
      </w:pPr>
    </w:p>
    <w:p w14:paraId="5089D891" w14:textId="60D2E8A4" w:rsidR="00BE5DC4" w:rsidRDefault="00BE5DC4" w:rsidP="00BE5DC4">
      <w:pPr>
        <w:pStyle w:val="Body"/>
        <w:spacing w:after="0"/>
        <w:rPr>
          <w:rFonts w:ascii="Arial" w:hAnsi="Arial" w:cs="Arial"/>
          <w:lang w:val="en-GB"/>
        </w:rPr>
      </w:pPr>
      <w:r w:rsidRPr="00BE5DC4">
        <w:rPr>
          <w:rFonts w:ascii="Arial" w:hAnsi="Arial" w:cs="Arial"/>
          <w:lang w:val="en-GB"/>
        </w:rPr>
        <w:t xml:space="preserve">This was a single-blind, between-subjects experimental study conducted online using the Gorilla platform. Participants were randomly assigned to one of two conditions: mate abundance or mate scarcity. The independent variables were condition, gender, and relationship status. The dependent variables included intrasexual competitiveness and alcohol consumption, operationalised through four indices. </w:t>
      </w:r>
    </w:p>
    <w:p w14:paraId="6C636BD2" w14:textId="77777777" w:rsidR="007D1B33" w:rsidRDefault="007D1B33" w:rsidP="00BE5DC4">
      <w:pPr>
        <w:pStyle w:val="Body"/>
        <w:spacing w:after="0"/>
        <w:rPr>
          <w:rFonts w:ascii="Arial" w:hAnsi="Arial" w:cs="Arial"/>
          <w:lang w:val="en-GB"/>
        </w:rPr>
      </w:pPr>
    </w:p>
    <w:p w14:paraId="51D79936" w14:textId="15307608" w:rsidR="007D1B33" w:rsidRDefault="007D1B33" w:rsidP="007D1B33">
      <w:pPr>
        <w:pStyle w:val="Body"/>
        <w:spacing w:after="0"/>
        <w:rPr>
          <w:rFonts w:ascii="Arial" w:hAnsi="Arial" w:cs="Arial"/>
          <w:b/>
          <w:sz w:val="22"/>
        </w:rPr>
      </w:pPr>
      <w:r w:rsidRPr="00BE5DC4">
        <w:rPr>
          <w:rFonts w:ascii="Arial" w:hAnsi="Arial" w:cs="Arial"/>
          <w:b/>
          <w:sz w:val="22"/>
        </w:rPr>
        <w:t>2.</w:t>
      </w:r>
      <w:r>
        <w:rPr>
          <w:rFonts w:ascii="Arial" w:hAnsi="Arial" w:cs="Arial"/>
          <w:b/>
          <w:sz w:val="22"/>
        </w:rPr>
        <w:t>3</w:t>
      </w:r>
      <w:r w:rsidRPr="00BE5DC4">
        <w:rPr>
          <w:rFonts w:ascii="Arial" w:hAnsi="Arial" w:cs="Arial"/>
          <w:b/>
          <w:sz w:val="22"/>
        </w:rPr>
        <w:t xml:space="preserve"> </w:t>
      </w:r>
      <w:r>
        <w:rPr>
          <w:rFonts w:ascii="Arial" w:hAnsi="Arial" w:cs="Arial"/>
          <w:b/>
          <w:sz w:val="22"/>
        </w:rPr>
        <w:t>Ethical approval</w:t>
      </w:r>
    </w:p>
    <w:p w14:paraId="6739C48F" w14:textId="7D45CE62" w:rsidR="007D1B33" w:rsidRDefault="007D1B33" w:rsidP="00BE5DC4">
      <w:pPr>
        <w:pStyle w:val="Body"/>
        <w:spacing w:after="0"/>
        <w:rPr>
          <w:rFonts w:ascii="Arial" w:hAnsi="Arial" w:cs="Arial"/>
          <w:lang w:val="en-GB"/>
        </w:rPr>
      </w:pPr>
    </w:p>
    <w:p w14:paraId="0C79F268" w14:textId="092BF630" w:rsidR="007D1B33" w:rsidRPr="00BE5DC4" w:rsidRDefault="007D1B33" w:rsidP="007D1B33">
      <w:pPr>
        <w:pStyle w:val="Body"/>
        <w:spacing w:after="0"/>
        <w:rPr>
          <w:rFonts w:ascii="Arial" w:hAnsi="Arial" w:cs="Arial"/>
          <w:lang w:val="en-GB"/>
        </w:rPr>
      </w:pPr>
      <w:r w:rsidRPr="00BE5DC4">
        <w:rPr>
          <w:rFonts w:ascii="Arial" w:hAnsi="Arial" w:cs="Arial"/>
          <w:lang w:val="en-GB"/>
        </w:rPr>
        <w:t>Ethical approval was granted by the University of Portsmouth Department of Psychology Ethics Committee</w:t>
      </w:r>
      <w:r>
        <w:rPr>
          <w:rFonts w:ascii="Arial" w:hAnsi="Arial" w:cs="Arial"/>
          <w:lang w:val="en-GB"/>
        </w:rPr>
        <w:t>.</w:t>
      </w:r>
      <w:r>
        <w:rPr>
          <w:rFonts w:ascii="Arial" w:hAnsi="Arial" w:cs="Arial"/>
          <w:lang w:val="en-GB"/>
        </w:rPr>
        <w:t xml:space="preserve"> </w:t>
      </w:r>
      <w:r>
        <w:rPr>
          <w:rFonts w:ascii="Arial" w:hAnsi="Arial" w:cs="Arial"/>
          <w:lang w:val="en-GB"/>
        </w:rPr>
        <w:t>Consent form was signed before partaking in this study.</w:t>
      </w:r>
    </w:p>
    <w:p w14:paraId="6A4B56D3" w14:textId="77777777" w:rsidR="00BE5DC4" w:rsidRPr="00BE5DC4" w:rsidRDefault="00BE5DC4" w:rsidP="00BE5DC4">
      <w:pPr>
        <w:pStyle w:val="Body"/>
        <w:spacing w:after="0"/>
        <w:rPr>
          <w:rFonts w:ascii="Arial" w:hAnsi="Arial" w:cs="Arial"/>
          <w:lang w:val="en-GB"/>
        </w:rPr>
      </w:pPr>
    </w:p>
    <w:p w14:paraId="5CD252CF" w14:textId="73BBB22B" w:rsidR="00BE5DC4" w:rsidRDefault="00BE5DC4" w:rsidP="00BE5DC4">
      <w:pPr>
        <w:pStyle w:val="Body"/>
        <w:spacing w:after="0"/>
        <w:rPr>
          <w:rFonts w:ascii="Arial" w:hAnsi="Arial" w:cs="Arial"/>
          <w:b/>
          <w:sz w:val="22"/>
        </w:rPr>
      </w:pPr>
      <w:r w:rsidRPr="00BE5DC4">
        <w:rPr>
          <w:rFonts w:ascii="Arial" w:hAnsi="Arial" w:cs="Arial"/>
          <w:b/>
          <w:sz w:val="22"/>
        </w:rPr>
        <w:t>2.</w:t>
      </w:r>
      <w:r w:rsidR="007D1B33">
        <w:rPr>
          <w:rFonts w:ascii="Arial" w:hAnsi="Arial" w:cs="Arial"/>
          <w:b/>
          <w:sz w:val="22"/>
        </w:rPr>
        <w:t>4</w:t>
      </w:r>
      <w:r w:rsidRPr="00BE5DC4">
        <w:rPr>
          <w:rFonts w:ascii="Arial" w:hAnsi="Arial" w:cs="Arial"/>
          <w:b/>
          <w:sz w:val="22"/>
        </w:rPr>
        <w:t xml:space="preserve"> Materials and Procedure</w:t>
      </w:r>
    </w:p>
    <w:p w14:paraId="3FB17F5E" w14:textId="77777777" w:rsidR="00505F06" w:rsidRDefault="00505F06" w:rsidP="00441B6F">
      <w:pPr>
        <w:pStyle w:val="Body"/>
        <w:spacing w:after="0"/>
        <w:rPr>
          <w:rFonts w:ascii="Arial" w:hAnsi="Arial" w:cs="Arial"/>
        </w:rPr>
      </w:pPr>
    </w:p>
    <w:p w14:paraId="17700222" w14:textId="0F6CE633" w:rsidR="00AA74E0" w:rsidRDefault="00AA74E0"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sidR="007D1B33">
        <w:rPr>
          <w:rFonts w:ascii="Arial" w:hAnsi="Arial" w:cs="Arial"/>
          <w:b/>
          <w:u w:val="single"/>
        </w:rPr>
        <w:t>4</w:t>
      </w:r>
      <w:r w:rsidRPr="00902823">
        <w:rPr>
          <w:rFonts w:ascii="Arial" w:hAnsi="Arial" w:cs="Arial"/>
          <w:b/>
          <w:u w:val="single"/>
        </w:rPr>
        <w:t xml:space="preserve">.1 </w:t>
      </w:r>
      <w:r w:rsidR="00BE5DC4" w:rsidRPr="00BE5DC4">
        <w:rPr>
          <w:rFonts w:ascii="Arial" w:hAnsi="Arial" w:cs="Arial"/>
          <w:b/>
          <w:u w:val="single"/>
        </w:rPr>
        <w:t>Demographics Questionnaire</w:t>
      </w:r>
    </w:p>
    <w:p w14:paraId="1AB485BF" w14:textId="5066E82A" w:rsidR="00BE5DC4" w:rsidRDefault="00BE5DC4" w:rsidP="00441B6F">
      <w:pPr>
        <w:pStyle w:val="Body"/>
        <w:spacing w:after="0"/>
        <w:rPr>
          <w:rFonts w:ascii="Arial" w:hAnsi="Arial" w:cs="Arial"/>
          <w:lang w:val="en-GB"/>
        </w:rPr>
      </w:pPr>
      <w:r w:rsidRPr="00BE5DC4">
        <w:rPr>
          <w:rFonts w:ascii="Arial" w:hAnsi="Arial" w:cs="Arial"/>
          <w:lang w:val="en-GB"/>
        </w:rPr>
        <w:t>Participants first completed a demographics questionnaire assessing age, gender, ethnicity, relationship status, and drinking frequency.</w:t>
      </w:r>
    </w:p>
    <w:p w14:paraId="5AE8D79C" w14:textId="77777777" w:rsidR="00BE5DC4" w:rsidRDefault="00BE5DC4" w:rsidP="00441B6F">
      <w:pPr>
        <w:pStyle w:val="Body"/>
        <w:spacing w:after="0"/>
        <w:rPr>
          <w:rFonts w:ascii="Arial" w:hAnsi="Arial" w:cs="Arial"/>
          <w:lang w:val="en-GB"/>
        </w:rPr>
      </w:pPr>
    </w:p>
    <w:p w14:paraId="31972662" w14:textId="151722CA" w:rsidR="00BE5DC4" w:rsidRPr="005F3203" w:rsidRDefault="00BE5DC4" w:rsidP="005F3203">
      <w:pPr>
        <w:pStyle w:val="Body"/>
        <w:rPr>
          <w:rFonts w:ascii="Arial" w:hAnsi="Arial" w:cs="Arial"/>
          <w:b/>
          <w:bCs/>
          <w:u w:val="single"/>
          <w:lang w:val="en-GB"/>
        </w:rPr>
      </w:pPr>
      <w:r w:rsidRPr="005F3203">
        <w:rPr>
          <w:rFonts w:ascii="Arial" w:hAnsi="Arial" w:cs="Arial"/>
          <w:b/>
          <w:u w:val="single"/>
        </w:rPr>
        <w:t>2.</w:t>
      </w:r>
      <w:r w:rsidR="007D1B33">
        <w:rPr>
          <w:rFonts w:ascii="Arial" w:hAnsi="Arial" w:cs="Arial"/>
          <w:b/>
          <w:u w:val="single"/>
        </w:rPr>
        <w:t>4</w:t>
      </w:r>
      <w:r w:rsidRPr="005F3203">
        <w:rPr>
          <w:rFonts w:ascii="Arial" w:hAnsi="Arial" w:cs="Arial"/>
          <w:b/>
          <w:u w:val="single"/>
        </w:rPr>
        <w:t xml:space="preserve">.2 </w:t>
      </w:r>
      <w:r w:rsidRPr="005F3203">
        <w:rPr>
          <w:rFonts w:ascii="Arial" w:hAnsi="Arial" w:cs="Arial"/>
          <w:b/>
          <w:bCs/>
          <w:u w:val="single"/>
          <w:lang w:val="en-GB"/>
        </w:rPr>
        <w:t>Priming Task</w:t>
      </w:r>
    </w:p>
    <w:p w14:paraId="14AF38DB" w14:textId="350F7EF4" w:rsidR="00BE5DC4" w:rsidRDefault="00BE5DC4" w:rsidP="00441B6F">
      <w:pPr>
        <w:pStyle w:val="Body"/>
        <w:spacing w:after="0"/>
        <w:rPr>
          <w:rFonts w:ascii="Arial" w:hAnsi="Arial" w:cs="Arial"/>
          <w:lang w:val="en-GB"/>
        </w:rPr>
      </w:pPr>
      <w:r w:rsidRPr="00BE5DC4">
        <w:rPr>
          <w:rFonts w:ascii="Arial" w:hAnsi="Arial" w:cs="Arial"/>
          <w:lang w:val="en-GB"/>
        </w:rPr>
        <w:t>Participants were randomly allocated (1:1 ratio) to the mate abundance or mate scarcity condition. Each group read a brief fictitious article, adapted from Spielmann et al. (2009), designed to manipulate perceived mate availability. Articles in the abundance condition described favourable romantic prospects and high partner availability, while the scarcity condition emphasised limited opportunities and difficulty finding new partners. These manipulations have previously been validated and shown to affect intrasexual competition (</w:t>
      </w:r>
      <w:proofErr w:type="spellStart"/>
      <w:r w:rsidRPr="00BE5DC4">
        <w:rPr>
          <w:rFonts w:ascii="Arial" w:hAnsi="Arial" w:cs="Arial"/>
          <w:lang w:val="en-GB"/>
        </w:rPr>
        <w:t>Arnocky</w:t>
      </w:r>
      <w:proofErr w:type="spellEnd"/>
      <w:r w:rsidRPr="00BE5DC4">
        <w:rPr>
          <w:rFonts w:ascii="Arial" w:hAnsi="Arial" w:cs="Arial"/>
          <w:lang w:val="en-GB"/>
        </w:rPr>
        <w:t xml:space="preserve"> et al., 2014).</w:t>
      </w:r>
    </w:p>
    <w:p w14:paraId="5E6D098B" w14:textId="77777777" w:rsidR="00BE5DC4" w:rsidRDefault="00BE5DC4" w:rsidP="00441B6F">
      <w:pPr>
        <w:pStyle w:val="Body"/>
        <w:spacing w:after="0"/>
        <w:rPr>
          <w:rFonts w:ascii="Arial" w:hAnsi="Arial" w:cs="Arial"/>
          <w:lang w:val="en-GB"/>
        </w:rPr>
      </w:pPr>
    </w:p>
    <w:p w14:paraId="36898378" w14:textId="47FBF438" w:rsidR="00BE5DC4" w:rsidRPr="00BE5DC4" w:rsidRDefault="00BE5DC4" w:rsidP="00BE5DC4">
      <w:pPr>
        <w:pStyle w:val="Body"/>
        <w:rPr>
          <w:rFonts w:ascii="Arial" w:hAnsi="Arial" w:cs="Arial"/>
          <w:b/>
          <w:bCs/>
          <w:u w:val="single"/>
          <w:lang w:val="en-GB"/>
        </w:rPr>
      </w:pPr>
      <w:r w:rsidRPr="00BE5DC4">
        <w:rPr>
          <w:rFonts w:ascii="Arial" w:hAnsi="Arial" w:cs="Arial"/>
          <w:b/>
          <w:bCs/>
          <w:u w:val="single"/>
          <w:lang w:val="en-GB"/>
        </w:rPr>
        <w:t>2.</w:t>
      </w:r>
      <w:r w:rsidR="007D1B33">
        <w:rPr>
          <w:rFonts w:ascii="Arial" w:hAnsi="Arial" w:cs="Arial"/>
          <w:b/>
          <w:bCs/>
          <w:u w:val="single"/>
          <w:lang w:val="en-GB"/>
        </w:rPr>
        <w:t>4</w:t>
      </w:r>
      <w:r w:rsidRPr="00BE5DC4">
        <w:rPr>
          <w:rFonts w:ascii="Arial" w:hAnsi="Arial" w:cs="Arial"/>
          <w:b/>
          <w:bCs/>
          <w:u w:val="single"/>
          <w:lang w:val="en-GB"/>
        </w:rPr>
        <w:t>.3 Intrasexual Competition Scale (ICS)</w:t>
      </w:r>
    </w:p>
    <w:p w14:paraId="3749E371" w14:textId="54855C2C" w:rsidR="00BE5DC4" w:rsidRPr="00BE5DC4" w:rsidRDefault="00BE5DC4" w:rsidP="00BE5DC4">
      <w:pPr>
        <w:pStyle w:val="Body"/>
        <w:spacing w:after="0"/>
        <w:rPr>
          <w:rFonts w:ascii="Arial" w:hAnsi="Arial" w:cs="Arial"/>
          <w:lang w:val="en-GB"/>
        </w:rPr>
      </w:pPr>
      <w:r w:rsidRPr="00BE5DC4">
        <w:rPr>
          <w:rFonts w:ascii="Arial" w:hAnsi="Arial" w:cs="Arial"/>
          <w:lang w:val="en-GB"/>
        </w:rPr>
        <w:t>Participants then completed the 12-item ICS (</w:t>
      </w:r>
      <w:proofErr w:type="spellStart"/>
      <w:r w:rsidRPr="00BE5DC4">
        <w:rPr>
          <w:rFonts w:ascii="Arial" w:hAnsi="Arial" w:cs="Arial"/>
          <w:lang w:val="en-GB"/>
        </w:rPr>
        <w:t>Buunk</w:t>
      </w:r>
      <w:proofErr w:type="spellEnd"/>
      <w:r w:rsidRPr="00BE5DC4">
        <w:rPr>
          <w:rFonts w:ascii="Arial" w:hAnsi="Arial" w:cs="Arial"/>
          <w:lang w:val="en-GB"/>
        </w:rPr>
        <w:t xml:space="preserve"> &amp; Fisher, 2009), which measures competitiveness toward same-sex individuals. Items were rated on a 7-point Likert scale (1 = not at all applicable to 7 = completely applicable). Example items include: "I can't stand it when I meet someone of the same sex who is more attractive than I am." A mean score was computed by averaging all item responses. Higher scores indicate stronger intrasexual competitiveness. The ICS has demonstrated good reliability in previous studies (e.g., α = 0.83; Harris et al., 2019).</w:t>
      </w:r>
    </w:p>
    <w:p w14:paraId="76A7C4EB" w14:textId="77777777" w:rsidR="00790ADA" w:rsidRDefault="00790ADA" w:rsidP="00441B6F">
      <w:pPr>
        <w:pStyle w:val="Body"/>
        <w:spacing w:after="0"/>
        <w:rPr>
          <w:rFonts w:ascii="Arial" w:hAnsi="Arial" w:cs="Arial"/>
        </w:rPr>
      </w:pPr>
    </w:p>
    <w:p w14:paraId="6BADE486" w14:textId="2E20E94C" w:rsidR="00671C94" w:rsidRDefault="00671C94" w:rsidP="00671C94">
      <w:pPr>
        <w:pStyle w:val="Body"/>
        <w:spacing w:after="0"/>
        <w:rPr>
          <w:rFonts w:ascii="Arial" w:hAnsi="Arial" w:cs="Arial"/>
          <w:b/>
          <w:bCs/>
          <w:u w:val="single"/>
          <w:lang w:val="en-GB"/>
        </w:rPr>
      </w:pPr>
      <w:r w:rsidRPr="00671C94">
        <w:rPr>
          <w:rFonts w:ascii="Arial" w:hAnsi="Arial" w:cs="Arial"/>
          <w:b/>
          <w:bCs/>
          <w:u w:val="single"/>
          <w:lang w:val="en-GB"/>
        </w:rPr>
        <w:t>2.</w:t>
      </w:r>
      <w:r w:rsidR="007D1B33">
        <w:rPr>
          <w:rFonts w:ascii="Arial" w:hAnsi="Arial" w:cs="Arial"/>
          <w:b/>
          <w:bCs/>
          <w:u w:val="single"/>
          <w:lang w:val="en-GB"/>
        </w:rPr>
        <w:t>4</w:t>
      </w:r>
      <w:r w:rsidRPr="00671C94">
        <w:rPr>
          <w:rFonts w:ascii="Arial" w:hAnsi="Arial" w:cs="Arial"/>
          <w:b/>
          <w:bCs/>
          <w:u w:val="single"/>
          <w:lang w:val="en-GB"/>
        </w:rPr>
        <w:t>.4 Alcohol Purchase Task (APT)</w:t>
      </w:r>
    </w:p>
    <w:p w14:paraId="79541719" w14:textId="77777777" w:rsidR="00671C94" w:rsidRPr="00671C94" w:rsidRDefault="00671C94" w:rsidP="00671C94">
      <w:pPr>
        <w:pStyle w:val="Body"/>
        <w:spacing w:after="0"/>
        <w:rPr>
          <w:rFonts w:ascii="Arial" w:hAnsi="Arial" w:cs="Arial"/>
          <w:b/>
          <w:bCs/>
          <w:u w:val="single"/>
          <w:lang w:val="en-GB"/>
        </w:rPr>
      </w:pPr>
    </w:p>
    <w:p w14:paraId="0924DCD3" w14:textId="77777777" w:rsidR="00671C94" w:rsidRPr="00671C94" w:rsidRDefault="00671C94" w:rsidP="00671C94">
      <w:pPr>
        <w:pStyle w:val="Body"/>
        <w:spacing w:after="0"/>
        <w:rPr>
          <w:rFonts w:ascii="Arial" w:hAnsi="Arial" w:cs="Arial"/>
          <w:lang w:val="en-GB"/>
        </w:rPr>
      </w:pPr>
      <w:r w:rsidRPr="00671C94">
        <w:rPr>
          <w:rFonts w:ascii="Arial" w:hAnsi="Arial" w:cs="Arial"/>
          <w:lang w:val="en-GB"/>
        </w:rPr>
        <w:t>Following the ICS, participants completed the APT (Murphy &amp; MacKillop, 2006). This behavioural economic task measures hypothetical alcohol demand across increasing price points (£0 to £9 per drink). Participants imagined being at a bar with friends from 9 PM to 2 AM, where standard alcoholic drinks were available. They were asked how many drinks they would consume at each price point (e.g., "How many drinks would you purchase if each cost £1?").</w:t>
      </w:r>
    </w:p>
    <w:p w14:paraId="104E80A0" w14:textId="77777777" w:rsidR="00362EB0" w:rsidRDefault="00362EB0" w:rsidP="005F3203">
      <w:pPr>
        <w:pStyle w:val="Body"/>
        <w:spacing w:after="0"/>
        <w:rPr>
          <w:rFonts w:ascii="Arial" w:hAnsi="Arial" w:cs="Arial"/>
          <w:lang w:val="en-GB"/>
        </w:rPr>
      </w:pPr>
    </w:p>
    <w:p w14:paraId="0F9B011F" w14:textId="447D2703" w:rsidR="00671C94" w:rsidRPr="00671C94" w:rsidRDefault="00671C94" w:rsidP="005F3203">
      <w:pPr>
        <w:pStyle w:val="Body"/>
        <w:spacing w:after="0"/>
        <w:rPr>
          <w:rFonts w:ascii="Arial" w:hAnsi="Arial" w:cs="Arial"/>
          <w:lang w:val="en-GB"/>
        </w:rPr>
      </w:pPr>
      <w:r w:rsidRPr="00671C94">
        <w:rPr>
          <w:rFonts w:ascii="Arial" w:hAnsi="Arial" w:cs="Arial"/>
          <w:lang w:val="en-GB"/>
        </w:rPr>
        <w:lastRenderedPageBreak/>
        <w:t>The task generated four dependent variables:</w:t>
      </w:r>
      <w:r w:rsidR="005F3203">
        <w:rPr>
          <w:rFonts w:ascii="Arial" w:hAnsi="Arial" w:cs="Arial"/>
          <w:lang w:val="en-GB"/>
        </w:rPr>
        <w:t xml:space="preserve"> </w:t>
      </w:r>
      <w:r w:rsidRPr="00671C94">
        <w:rPr>
          <w:rFonts w:ascii="Arial" w:hAnsi="Arial" w:cs="Arial"/>
          <w:lang w:val="en-GB"/>
        </w:rPr>
        <w:t>Derived Q</w:t>
      </w:r>
      <w:r w:rsidRPr="00671C94">
        <w:rPr>
          <w:rFonts w:ascii="Cambria Math" w:hAnsi="Cambria Math" w:cs="Cambria Math"/>
          <w:lang w:val="en-GB"/>
        </w:rPr>
        <w:t>₀</w:t>
      </w:r>
      <w:r w:rsidRPr="00671C94">
        <w:rPr>
          <w:rFonts w:ascii="Arial" w:hAnsi="Arial" w:cs="Arial"/>
          <w:lang w:val="en-GB"/>
        </w:rPr>
        <w:t>: estimated consumption at zero price</w:t>
      </w:r>
      <w:r w:rsidR="005F3203">
        <w:rPr>
          <w:rFonts w:ascii="Arial" w:hAnsi="Arial" w:cs="Arial"/>
          <w:lang w:val="en-GB"/>
        </w:rPr>
        <w:t xml:space="preserve">; </w:t>
      </w:r>
      <w:r w:rsidRPr="00671C94">
        <w:rPr>
          <w:rFonts w:ascii="Arial" w:hAnsi="Arial" w:cs="Arial"/>
          <w:lang w:val="en-GB"/>
        </w:rPr>
        <w:t>Derived α: price sensitivity (elasticity)</w:t>
      </w:r>
      <w:r w:rsidR="005F3203">
        <w:rPr>
          <w:rFonts w:ascii="Arial" w:hAnsi="Arial" w:cs="Arial"/>
          <w:lang w:val="en-GB"/>
        </w:rPr>
        <w:t xml:space="preserve">; </w:t>
      </w:r>
      <w:r w:rsidRPr="00671C94">
        <w:rPr>
          <w:rFonts w:ascii="Arial" w:hAnsi="Arial" w:cs="Arial"/>
          <w:lang w:val="en-GB"/>
        </w:rPr>
        <w:t>Observed Intensity: actual consumption at £0</w:t>
      </w:r>
      <w:r w:rsidR="005F3203">
        <w:rPr>
          <w:rFonts w:ascii="Arial" w:hAnsi="Arial" w:cs="Arial"/>
          <w:lang w:val="en-GB"/>
        </w:rPr>
        <w:t xml:space="preserve">; </w:t>
      </w:r>
      <w:r w:rsidRPr="00671C94">
        <w:rPr>
          <w:rFonts w:ascii="Arial" w:hAnsi="Arial" w:cs="Arial"/>
          <w:lang w:val="en-GB"/>
        </w:rPr>
        <w:t xml:space="preserve">Observed </w:t>
      </w:r>
      <w:proofErr w:type="spellStart"/>
      <w:r w:rsidRPr="00671C94">
        <w:rPr>
          <w:rFonts w:ascii="Arial" w:hAnsi="Arial" w:cs="Arial"/>
          <w:lang w:val="en-GB"/>
        </w:rPr>
        <w:t>Omax</w:t>
      </w:r>
      <w:proofErr w:type="spellEnd"/>
      <w:r w:rsidRPr="00671C94">
        <w:rPr>
          <w:rFonts w:ascii="Arial" w:hAnsi="Arial" w:cs="Arial"/>
          <w:lang w:val="en-GB"/>
        </w:rPr>
        <w:t>: maximum monetary expenditure across prices</w:t>
      </w:r>
      <w:r w:rsidR="005F3203">
        <w:rPr>
          <w:rFonts w:ascii="Arial" w:hAnsi="Arial" w:cs="Arial"/>
          <w:lang w:val="en-GB"/>
        </w:rPr>
        <w:t>.</w:t>
      </w:r>
    </w:p>
    <w:p w14:paraId="2A75680F" w14:textId="77777777" w:rsidR="00362EB0" w:rsidRDefault="00362EB0" w:rsidP="00671C94">
      <w:pPr>
        <w:pStyle w:val="Body"/>
        <w:spacing w:after="0"/>
        <w:rPr>
          <w:rFonts w:ascii="Arial" w:hAnsi="Arial" w:cs="Arial"/>
          <w:lang w:val="en-GB"/>
        </w:rPr>
      </w:pPr>
    </w:p>
    <w:p w14:paraId="4886CD1D" w14:textId="2EA92822" w:rsidR="00671C94" w:rsidRPr="00671C94" w:rsidRDefault="00671C94" w:rsidP="00671C94">
      <w:pPr>
        <w:pStyle w:val="Body"/>
        <w:spacing w:after="0"/>
        <w:rPr>
          <w:rFonts w:ascii="Arial" w:hAnsi="Arial" w:cs="Arial"/>
          <w:lang w:val="en-GB"/>
        </w:rPr>
      </w:pPr>
      <w:r w:rsidRPr="00671C94">
        <w:rPr>
          <w:rFonts w:ascii="Arial" w:hAnsi="Arial" w:cs="Arial"/>
          <w:lang w:val="en-GB"/>
        </w:rPr>
        <w:t>The APT has demonstrated validity in both hypothetical and real settings (Amlung et al., 2012).</w:t>
      </w:r>
    </w:p>
    <w:p w14:paraId="1BBA322D" w14:textId="77777777" w:rsidR="005F3203" w:rsidRDefault="005F3203" w:rsidP="00671C94">
      <w:pPr>
        <w:pStyle w:val="Body"/>
        <w:spacing w:after="0"/>
        <w:rPr>
          <w:rFonts w:ascii="Arial" w:hAnsi="Arial" w:cs="Arial"/>
          <w:b/>
          <w:bCs/>
          <w:sz w:val="22"/>
          <w:szCs w:val="22"/>
          <w:lang w:val="en-GB"/>
        </w:rPr>
      </w:pPr>
    </w:p>
    <w:p w14:paraId="2A932FA2" w14:textId="65C7F39B" w:rsidR="00671C94" w:rsidRPr="00671C94" w:rsidRDefault="00671C94" w:rsidP="00671C94">
      <w:pPr>
        <w:pStyle w:val="Body"/>
        <w:spacing w:after="0"/>
        <w:rPr>
          <w:rFonts w:ascii="Arial" w:hAnsi="Arial" w:cs="Arial"/>
          <w:b/>
          <w:bCs/>
          <w:sz w:val="22"/>
          <w:szCs w:val="22"/>
          <w:lang w:val="en-GB"/>
        </w:rPr>
      </w:pPr>
      <w:r w:rsidRPr="00671C94">
        <w:rPr>
          <w:rFonts w:ascii="Arial" w:hAnsi="Arial" w:cs="Arial"/>
          <w:b/>
          <w:bCs/>
          <w:sz w:val="22"/>
          <w:szCs w:val="22"/>
          <w:lang w:val="en-GB"/>
        </w:rPr>
        <w:t>2.</w:t>
      </w:r>
      <w:r w:rsidR="007D1B33">
        <w:rPr>
          <w:rFonts w:ascii="Arial" w:hAnsi="Arial" w:cs="Arial"/>
          <w:b/>
          <w:bCs/>
          <w:sz w:val="22"/>
          <w:szCs w:val="22"/>
          <w:lang w:val="en-GB"/>
        </w:rPr>
        <w:t>5</w:t>
      </w:r>
      <w:r w:rsidRPr="00671C94">
        <w:rPr>
          <w:rFonts w:ascii="Arial" w:hAnsi="Arial" w:cs="Arial"/>
          <w:b/>
          <w:bCs/>
          <w:sz w:val="22"/>
          <w:szCs w:val="22"/>
          <w:lang w:val="en-GB"/>
        </w:rPr>
        <w:t xml:space="preserve"> Data Analysis</w:t>
      </w:r>
    </w:p>
    <w:p w14:paraId="510F3C51" w14:textId="77777777" w:rsidR="00671C94" w:rsidRPr="00671C94" w:rsidRDefault="00671C94" w:rsidP="00671C94">
      <w:pPr>
        <w:pStyle w:val="Body"/>
        <w:spacing w:after="0"/>
        <w:rPr>
          <w:rFonts w:ascii="Arial" w:hAnsi="Arial" w:cs="Arial"/>
          <w:b/>
          <w:bCs/>
          <w:lang w:val="en-GB"/>
        </w:rPr>
      </w:pPr>
    </w:p>
    <w:p w14:paraId="6B9713FE" w14:textId="28090CCA" w:rsidR="00671C94" w:rsidRPr="00EB527C" w:rsidRDefault="00EB527C" w:rsidP="00EB527C">
      <w:pPr>
        <w:pStyle w:val="Body"/>
        <w:spacing w:after="0"/>
        <w:rPr>
          <w:rFonts w:ascii="Arial" w:hAnsi="Arial" w:cs="Arial"/>
          <w:b/>
          <w:bCs/>
          <w:u w:val="single"/>
          <w:lang w:val="en-GB"/>
        </w:rPr>
      </w:pPr>
      <w:r>
        <w:rPr>
          <w:rFonts w:ascii="Arial" w:hAnsi="Arial" w:cs="Arial"/>
          <w:b/>
          <w:bCs/>
          <w:u w:val="single"/>
          <w:lang w:val="en-GB"/>
        </w:rPr>
        <w:t>2.</w:t>
      </w:r>
      <w:r w:rsidR="007D1B33">
        <w:rPr>
          <w:rFonts w:ascii="Arial" w:hAnsi="Arial" w:cs="Arial"/>
          <w:b/>
          <w:bCs/>
          <w:u w:val="single"/>
          <w:lang w:val="en-GB"/>
        </w:rPr>
        <w:t>5</w:t>
      </w:r>
      <w:r>
        <w:rPr>
          <w:rFonts w:ascii="Arial" w:hAnsi="Arial" w:cs="Arial"/>
          <w:b/>
          <w:bCs/>
          <w:u w:val="single"/>
          <w:lang w:val="en-GB"/>
        </w:rPr>
        <w:t xml:space="preserve">.1 </w:t>
      </w:r>
      <w:r w:rsidR="00671C94" w:rsidRPr="00671C94">
        <w:rPr>
          <w:rFonts w:ascii="Arial" w:hAnsi="Arial" w:cs="Arial"/>
          <w:b/>
          <w:bCs/>
          <w:u w:val="single"/>
          <w:lang w:val="en-GB"/>
        </w:rPr>
        <w:t>Data Cleaning</w:t>
      </w:r>
    </w:p>
    <w:p w14:paraId="474B2FFB" w14:textId="77777777" w:rsidR="00EB527C" w:rsidRDefault="00EB527C" w:rsidP="00671C94">
      <w:pPr>
        <w:pStyle w:val="Body"/>
        <w:spacing w:after="0"/>
        <w:rPr>
          <w:rFonts w:ascii="Arial" w:hAnsi="Arial" w:cs="Arial"/>
          <w:b/>
          <w:bCs/>
          <w:u w:val="single"/>
          <w:lang w:val="en-GB"/>
        </w:rPr>
      </w:pPr>
    </w:p>
    <w:p w14:paraId="46C18CB1" w14:textId="77777777" w:rsidR="00362EB0" w:rsidRPr="00362EB0" w:rsidRDefault="00362EB0" w:rsidP="00362EB0">
      <w:pPr>
        <w:pStyle w:val="Body"/>
        <w:spacing w:after="0"/>
        <w:rPr>
          <w:rFonts w:ascii="Arial" w:hAnsi="Arial" w:cs="Arial"/>
          <w:lang w:val="en-GB"/>
        </w:rPr>
      </w:pPr>
      <w:r w:rsidRPr="00362EB0">
        <w:rPr>
          <w:rFonts w:ascii="Arial" w:hAnsi="Arial" w:cs="Arial"/>
          <w:lang w:val="en-GB"/>
        </w:rPr>
        <w:t>A total of 129 participants initially completed the study. Of these, 37 participants were excluded based on predefined eligibility and data quality criteria, leaving a final sample of 92 participants. Three participants were excluded because they either did not report their gender or selected a non-binary option. Given that the study required binary gender categorisation for condition-specific analyses and defaulted to female-targeted measures, these participants could not be reliably classified and were therefore removed from analysis.</w:t>
      </w:r>
    </w:p>
    <w:p w14:paraId="5D168A6F" w14:textId="77777777" w:rsidR="00362EB0" w:rsidRDefault="00362EB0" w:rsidP="00362EB0">
      <w:pPr>
        <w:pStyle w:val="Body"/>
        <w:spacing w:after="0"/>
        <w:rPr>
          <w:rFonts w:ascii="Arial" w:hAnsi="Arial" w:cs="Arial"/>
          <w:lang w:val="en-GB"/>
        </w:rPr>
      </w:pPr>
    </w:p>
    <w:p w14:paraId="0A3F39D2" w14:textId="4A9BFBC5" w:rsidR="00362EB0" w:rsidRPr="00362EB0" w:rsidRDefault="00362EB0" w:rsidP="00362EB0">
      <w:pPr>
        <w:pStyle w:val="Body"/>
        <w:spacing w:after="0"/>
        <w:rPr>
          <w:rFonts w:ascii="Arial" w:hAnsi="Arial" w:cs="Arial"/>
          <w:lang w:val="en-GB"/>
        </w:rPr>
      </w:pPr>
      <w:r w:rsidRPr="00362EB0">
        <w:rPr>
          <w:rFonts w:ascii="Arial" w:hAnsi="Arial" w:cs="Arial"/>
          <w:lang w:val="en-GB"/>
        </w:rPr>
        <w:t>Seventeen participants indicated that they never consumed alcohol. Because the Alcohol Purchase Task (APT) relies on respondents' prior experience with alcohol to produce meaningful hypothetical consumption estimates, including abstainers would have undermined the validity of the behavioural economic indices and overall model assumptions.</w:t>
      </w:r>
    </w:p>
    <w:p w14:paraId="06B13854" w14:textId="77777777" w:rsidR="00362EB0" w:rsidRDefault="00362EB0" w:rsidP="00362EB0">
      <w:pPr>
        <w:pStyle w:val="Body"/>
        <w:spacing w:after="0"/>
        <w:rPr>
          <w:rFonts w:ascii="Arial" w:hAnsi="Arial" w:cs="Arial"/>
          <w:lang w:val="en-GB"/>
        </w:rPr>
      </w:pPr>
    </w:p>
    <w:p w14:paraId="3699E6C3" w14:textId="44C9A44F" w:rsidR="00362EB0" w:rsidRPr="00362EB0" w:rsidRDefault="00362EB0" w:rsidP="00362EB0">
      <w:pPr>
        <w:pStyle w:val="Body"/>
        <w:spacing w:after="0"/>
        <w:rPr>
          <w:rFonts w:ascii="Arial" w:hAnsi="Arial" w:cs="Arial"/>
          <w:lang w:val="en-GB"/>
        </w:rPr>
      </w:pPr>
      <w:r w:rsidRPr="00362EB0">
        <w:rPr>
          <w:rFonts w:ascii="Arial" w:hAnsi="Arial" w:cs="Arial"/>
          <w:lang w:val="en-GB"/>
        </w:rPr>
        <w:t>In addition, eleven participants were excluded due to poor-quality APT data, based on the criteria outlined by Stein et al. (2015). Specifically, three participants failed to provide responses to one or more APT items, thereby preventing curve modelling. Six participants violated the “Bounce” criterion, which occurs when consumption unexpectedly increases across successive price points, reflecting inconsistency in price sensitivity. Two participants violated the “Reversals from Zero” criterion, indicating renewed consumption at higher prices after previously reporting zero demand, which compromises the logical structure of the demand curve. These types of violations are considered indicators of non-systematic responding and are widely excluded in behavioural economic research to ensure data integrity.</w:t>
      </w:r>
    </w:p>
    <w:p w14:paraId="14BDD30D" w14:textId="77777777" w:rsidR="00362EB0" w:rsidRDefault="00362EB0" w:rsidP="00362EB0">
      <w:pPr>
        <w:pStyle w:val="Body"/>
        <w:spacing w:after="0"/>
        <w:rPr>
          <w:rFonts w:ascii="Arial" w:hAnsi="Arial" w:cs="Arial"/>
          <w:lang w:val="en-GB"/>
        </w:rPr>
      </w:pPr>
    </w:p>
    <w:p w14:paraId="49368687" w14:textId="57CAA8E2" w:rsidR="00362EB0" w:rsidRPr="00362EB0" w:rsidRDefault="00362EB0" w:rsidP="00362EB0">
      <w:pPr>
        <w:pStyle w:val="Body"/>
        <w:spacing w:after="0"/>
        <w:rPr>
          <w:rFonts w:ascii="Arial" w:hAnsi="Arial" w:cs="Arial"/>
          <w:lang w:val="en-GB"/>
        </w:rPr>
      </w:pPr>
      <w:r w:rsidRPr="00362EB0">
        <w:rPr>
          <w:rFonts w:ascii="Arial" w:hAnsi="Arial" w:cs="Arial"/>
          <w:lang w:val="en-GB"/>
        </w:rPr>
        <w:t>An additional five participants were removed as extreme outliers due to exceptionally high consumption values that substantially deviated from the group mean. These values distorted the distribution of key outcome variables and failed normality tests necessary for conducting parametric analyses.</w:t>
      </w:r>
    </w:p>
    <w:p w14:paraId="7777A836" w14:textId="77777777" w:rsidR="00362EB0" w:rsidRDefault="00362EB0" w:rsidP="00362EB0">
      <w:pPr>
        <w:pStyle w:val="Body"/>
        <w:spacing w:after="0"/>
        <w:rPr>
          <w:rFonts w:ascii="Arial" w:hAnsi="Arial" w:cs="Arial"/>
          <w:lang w:val="en-GB"/>
        </w:rPr>
      </w:pPr>
    </w:p>
    <w:p w14:paraId="4BD3D204" w14:textId="5156513E" w:rsidR="00362EB0" w:rsidRPr="00362EB0" w:rsidRDefault="00362EB0" w:rsidP="00362EB0">
      <w:pPr>
        <w:pStyle w:val="Body"/>
        <w:spacing w:after="0"/>
        <w:rPr>
          <w:rFonts w:ascii="Arial" w:hAnsi="Arial" w:cs="Arial"/>
          <w:lang w:val="en-GB"/>
        </w:rPr>
      </w:pPr>
      <w:r w:rsidRPr="00362EB0">
        <w:rPr>
          <w:rFonts w:ascii="Arial" w:hAnsi="Arial" w:cs="Arial"/>
          <w:lang w:val="en-GB"/>
        </w:rPr>
        <w:t>After all exclusions, the final analytic sample consisted of 92 participants, with 41 in the mate abundance condition and 51 in the mate scarcity condition.</w:t>
      </w:r>
    </w:p>
    <w:p w14:paraId="7F968C94" w14:textId="77777777" w:rsidR="00671C94" w:rsidRPr="00671C94" w:rsidRDefault="00671C94" w:rsidP="00671C94">
      <w:pPr>
        <w:pStyle w:val="Body"/>
        <w:spacing w:after="0"/>
        <w:rPr>
          <w:rFonts w:ascii="Arial" w:hAnsi="Arial" w:cs="Arial"/>
          <w:lang w:val="en-GB"/>
        </w:rPr>
      </w:pPr>
    </w:p>
    <w:p w14:paraId="494A926F" w14:textId="6D117C43" w:rsidR="00671C94" w:rsidRPr="00671C94" w:rsidRDefault="00671C94" w:rsidP="00671C94">
      <w:pPr>
        <w:pStyle w:val="Body"/>
        <w:spacing w:after="0"/>
        <w:rPr>
          <w:rFonts w:ascii="Arial" w:hAnsi="Arial" w:cs="Arial"/>
          <w:b/>
          <w:bCs/>
          <w:u w:val="single"/>
          <w:lang w:val="en-GB"/>
        </w:rPr>
      </w:pPr>
      <w:r w:rsidRPr="00671C94">
        <w:rPr>
          <w:rFonts w:ascii="Arial" w:hAnsi="Arial" w:cs="Arial"/>
          <w:b/>
          <w:bCs/>
          <w:u w:val="single"/>
          <w:lang w:val="en-GB"/>
        </w:rPr>
        <w:t>2.</w:t>
      </w:r>
      <w:r w:rsidR="007D1B33">
        <w:rPr>
          <w:rFonts w:ascii="Arial" w:hAnsi="Arial" w:cs="Arial"/>
          <w:b/>
          <w:bCs/>
          <w:u w:val="single"/>
          <w:lang w:val="en-GB"/>
        </w:rPr>
        <w:t>5</w:t>
      </w:r>
      <w:r w:rsidRPr="00671C94">
        <w:rPr>
          <w:rFonts w:ascii="Arial" w:hAnsi="Arial" w:cs="Arial"/>
          <w:b/>
          <w:bCs/>
          <w:u w:val="single"/>
          <w:lang w:val="en-GB"/>
        </w:rPr>
        <w:t>.2 ICS Analysis</w:t>
      </w:r>
    </w:p>
    <w:p w14:paraId="217F9BC4" w14:textId="77777777" w:rsidR="00671C94" w:rsidRPr="00671C94" w:rsidRDefault="00671C94" w:rsidP="00671C94">
      <w:pPr>
        <w:pStyle w:val="Body"/>
        <w:spacing w:after="0"/>
        <w:rPr>
          <w:rFonts w:ascii="Arial" w:hAnsi="Arial" w:cs="Arial"/>
          <w:b/>
          <w:bCs/>
          <w:lang w:val="en-GB"/>
        </w:rPr>
      </w:pPr>
    </w:p>
    <w:p w14:paraId="4CE08A49" w14:textId="77777777" w:rsidR="00671C94" w:rsidRDefault="00671C94" w:rsidP="00671C94">
      <w:pPr>
        <w:pStyle w:val="Body"/>
        <w:spacing w:after="0"/>
        <w:rPr>
          <w:rFonts w:ascii="Arial" w:hAnsi="Arial" w:cs="Arial"/>
          <w:lang w:val="en-GB"/>
        </w:rPr>
      </w:pPr>
      <w:r w:rsidRPr="00671C94">
        <w:rPr>
          <w:rFonts w:ascii="Arial" w:hAnsi="Arial" w:cs="Arial"/>
          <w:lang w:val="en-GB"/>
        </w:rPr>
        <w:t>Mean ICS scores were analysed using a three-way between-subjects ANOVA with condition, gender, and relationship status as factors. Levene’s test indicated no violations of variance homogeneity.</w:t>
      </w:r>
    </w:p>
    <w:p w14:paraId="7DDD17E9" w14:textId="77777777" w:rsidR="00671C94" w:rsidRPr="00671C94" w:rsidRDefault="00671C94" w:rsidP="00671C94">
      <w:pPr>
        <w:pStyle w:val="Body"/>
        <w:spacing w:after="0"/>
        <w:rPr>
          <w:rFonts w:ascii="Arial" w:hAnsi="Arial" w:cs="Arial"/>
          <w:lang w:val="en-GB"/>
        </w:rPr>
      </w:pPr>
    </w:p>
    <w:p w14:paraId="5D25E3D1" w14:textId="6AECBF24" w:rsidR="00671C94" w:rsidRDefault="00671C94" w:rsidP="00671C94">
      <w:pPr>
        <w:pStyle w:val="Body"/>
        <w:spacing w:after="0"/>
        <w:rPr>
          <w:rFonts w:ascii="Arial" w:hAnsi="Arial" w:cs="Arial"/>
          <w:b/>
          <w:bCs/>
          <w:u w:val="single"/>
          <w:lang w:val="en-GB"/>
        </w:rPr>
      </w:pPr>
      <w:r w:rsidRPr="00671C94">
        <w:rPr>
          <w:rFonts w:ascii="Arial" w:hAnsi="Arial" w:cs="Arial"/>
          <w:b/>
          <w:bCs/>
          <w:u w:val="single"/>
          <w:lang w:val="en-GB"/>
        </w:rPr>
        <w:t>2.</w:t>
      </w:r>
      <w:r w:rsidR="007D1B33">
        <w:rPr>
          <w:rFonts w:ascii="Arial" w:hAnsi="Arial" w:cs="Arial"/>
          <w:b/>
          <w:bCs/>
          <w:u w:val="single"/>
          <w:lang w:val="en-GB"/>
        </w:rPr>
        <w:t>5</w:t>
      </w:r>
      <w:r w:rsidRPr="00671C94">
        <w:rPr>
          <w:rFonts w:ascii="Arial" w:hAnsi="Arial" w:cs="Arial"/>
          <w:b/>
          <w:bCs/>
          <w:u w:val="single"/>
          <w:lang w:val="en-GB"/>
        </w:rPr>
        <w:t>.3 Alcohol Purchase Task Analysis</w:t>
      </w:r>
    </w:p>
    <w:p w14:paraId="5B23DA6C" w14:textId="77777777" w:rsidR="00671C94" w:rsidRPr="00671C94" w:rsidRDefault="00671C94" w:rsidP="00671C94">
      <w:pPr>
        <w:pStyle w:val="Body"/>
        <w:spacing w:after="0"/>
        <w:rPr>
          <w:rFonts w:ascii="Arial" w:hAnsi="Arial" w:cs="Arial"/>
          <w:b/>
          <w:bCs/>
          <w:u w:val="single"/>
          <w:lang w:val="en-GB"/>
        </w:rPr>
      </w:pPr>
    </w:p>
    <w:p w14:paraId="11A1A5D7" w14:textId="77777777" w:rsidR="00671C94" w:rsidRPr="00671C94" w:rsidRDefault="00671C94" w:rsidP="00671C94">
      <w:pPr>
        <w:pStyle w:val="Body"/>
        <w:spacing w:after="0"/>
        <w:rPr>
          <w:rFonts w:ascii="Arial" w:hAnsi="Arial" w:cs="Arial"/>
          <w:lang w:val="en-GB"/>
        </w:rPr>
      </w:pPr>
      <w:r w:rsidRPr="00671C94">
        <w:rPr>
          <w:rFonts w:ascii="Arial" w:hAnsi="Arial" w:cs="Arial"/>
          <w:lang w:val="en-GB"/>
        </w:rPr>
        <w:t>Demand curves were modelled using Hursh and Silberberg’s (2008) exponential equation:</w:t>
      </w:r>
    </w:p>
    <w:p w14:paraId="782444C2" w14:textId="66499E1B" w:rsidR="00671C94" w:rsidRPr="00671C94" w:rsidRDefault="00671C94" w:rsidP="00671C94">
      <w:pPr>
        <w:pStyle w:val="Body"/>
        <w:spacing w:after="0"/>
        <w:rPr>
          <w:rFonts w:ascii="Arial" w:hAnsi="Arial" w:cs="Arial"/>
          <w:lang w:val="en-GB"/>
        </w:rPr>
      </w:pPr>
      <w:r w:rsidRPr="00671C94">
        <w:rPr>
          <w:rFonts w:ascii="Arial" w:hAnsi="Arial" w:cs="Arial"/>
          <w:lang w:val="en-GB"/>
        </w:rPr>
        <w:t>ln(Q) = ln(Q</w:t>
      </w:r>
      <w:r w:rsidRPr="00671C94">
        <w:rPr>
          <w:rFonts w:ascii="Cambria Math" w:hAnsi="Cambria Math" w:cs="Cambria Math"/>
          <w:lang w:val="en-GB"/>
        </w:rPr>
        <w:t>₀</w:t>
      </w:r>
      <w:r w:rsidRPr="00671C94">
        <w:rPr>
          <w:rFonts w:ascii="Arial" w:hAnsi="Arial" w:cs="Arial"/>
          <w:lang w:val="en-GB"/>
        </w:rPr>
        <w:t>) + k(e^(–α × Q</w:t>
      </w:r>
      <w:r w:rsidRPr="00671C94">
        <w:rPr>
          <w:rFonts w:ascii="Cambria Math" w:hAnsi="Cambria Math" w:cs="Cambria Math"/>
          <w:lang w:val="en-GB"/>
        </w:rPr>
        <w:t>₀</w:t>
      </w:r>
      <w:r w:rsidRPr="00671C94">
        <w:rPr>
          <w:rFonts w:ascii="Arial" w:hAnsi="Arial" w:cs="Arial"/>
          <w:lang w:val="en-GB"/>
        </w:rPr>
        <w:t xml:space="preserve"> × C) – 1)</w:t>
      </w:r>
      <w:r w:rsidR="00322C45">
        <w:rPr>
          <w:rFonts w:ascii="Arial" w:hAnsi="Arial" w:cs="Arial"/>
          <w:lang w:val="en-GB"/>
        </w:rPr>
        <w:t>, w</w:t>
      </w:r>
      <w:r w:rsidRPr="00671C94">
        <w:rPr>
          <w:rFonts w:ascii="Arial" w:hAnsi="Arial" w:cs="Arial"/>
          <w:lang w:val="en-GB"/>
        </w:rPr>
        <w:t>here:</w:t>
      </w:r>
      <w:r w:rsidR="00322C45">
        <w:rPr>
          <w:rFonts w:ascii="Arial" w:hAnsi="Arial" w:cs="Arial"/>
          <w:lang w:val="en-GB"/>
        </w:rPr>
        <w:t xml:space="preserve"> </w:t>
      </w:r>
      <w:r w:rsidRPr="00671C94">
        <w:rPr>
          <w:rFonts w:ascii="Arial" w:hAnsi="Arial" w:cs="Arial"/>
          <w:lang w:val="en-GB"/>
        </w:rPr>
        <w:t>Q = consumption at price C</w:t>
      </w:r>
      <w:r w:rsidR="00322C45">
        <w:rPr>
          <w:rFonts w:ascii="Arial" w:hAnsi="Arial" w:cs="Arial"/>
          <w:lang w:val="en-GB"/>
        </w:rPr>
        <w:t xml:space="preserve">, </w:t>
      </w:r>
      <w:r w:rsidRPr="00671C94">
        <w:rPr>
          <w:rFonts w:ascii="Arial" w:hAnsi="Arial" w:cs="Arial"/>
          <w:lang w:val="en-GB"/>
        </w:rPr>
        <w:t>Q</w:t>
      </w:r>
      <w:r w:rsidRPr="00671C94">
        <w:rPr>
          <w:rFonts w:ascii="Cambria Math" w:hAnsi="Cambria Math" w:cs="Cambria Math"/>
          <w:lang w:val="en-GB"/>
        </w:rPr>
        <w:t>₀</w:t>
      </w:r>
      <w:r w:rsidRPr="00671C94">
        <w:rPr>
          <w:rFonts w:ascii="Arial" w:hAnsi="Arial" w:cs="Arial"/>
          <w:lang w:val="en-GB"/>
        </w:rPr>
        <w:t xml:space="preserve"> = baseline consumption (at or near zero price)</w:t>
      </w:r>
      <w:r w:rsidR="00322C45">
        <w:rPr>
          <w:rFonts w:ascii="Arial" w:hAnsi="Arial" w:cs="Arial"/>
          <w:lang w:val="en-GB"/>
        </w:rPr>
        <w:t xml:space="preserve">, </w:t>
      </w:r>
      <w:r w:rsidRPr="00671C94">
        <w:rPr>
          <w:rFonts w:ascii="Arial" w:hAnsi="Arial" w:cs="Arial"/>
          <w:lang w:val="en-GB"/>
        </w:rPr>
        <w:t>α = price elasticity</w:t>
      </w:r>
      <w:r w:rsidR="00322C45">
        <w:rPr>
          <w:rFonts w:ascii="Arial" w:hAnsi="Arial" w:cs="Arial"/>
          <w:lang w:val="en-GB"/>
        </w:rPr>
        <w:t xml:space="preserve">, </w:t>
      </w:r>
      <w:r w:rsidRPr="00671C94">
        <w:rPr>
          <w:rFonts w:ascii="Arial" w:hAnsi="Arial" w:cs="Arial"/>
          <w:lang w:val="en-GB"/>
        </w:rPr>
        <w:t>k = constant (set to 2.3, reflecting a log consumption range of 10)</w:t>
      </w:r>
      <w:r w:rsidR="00322C45">
        <w:rPr>
          <w:rFonts w:ascii="Arial" w:hAnsi="Arial" w:cs="Arial"/>
          <w:lang w:val="en-GB"/>
        </w:rPr>
        <w:t xml:space="preserve">. </w:t>
      </w:r>
      <w:r w:rsidRPr="00671C94">
        <w:rPr>
          <w:rFonts w:ascii="Arial" w:hAnsi="Arial" w:cs="Arial"/>
          <w:lang w:val="en-GB"/>
        </w:rPr>
        <w:t>Zero values were replaced with 0.01 to enable log transformation. Curve fitting and model comparisons were conducted using GraphPad Prism 9.2.0.</w:t>
      </w:r>
    </w:p>
    <w:p w14:paraId="56D7A921" w14:textId="77777777" w:rsidR="007478DA" w:rsidRDefault="007478DA" w:rsidP="00671C94">
      <w:pPr>
        <w:pStyle w:val="Body"/>
        <w:spacing w:after="0"/>
        <w:rPr>
          <w:rFonts w:ascii="Arial" w:hAnsi="Arial" w:cs="Arial"/>
          <w:lang w:val="en-GB"/>
        </w:rPr>
      </w:pPr>
    </w:p>
    <w:p w14:paraId="226EB599" w14:textId="7FE0317E" w:rsidR="00671C94" w:rsidRDefault="00671C94" w:rsidP="00671C94">
      <w:pPr>
        <w:pStyle w:val="Body"/>
        <w:spacing w:after="0"/>
        <w:rPr>
          <w:rFonts w:ascii="Arial" w:hAnsi="Arial" w:cs="Arial"/>
          <w:lang w:val="en-GB"/>
        </w:rPr>
      </w:pPr>
      <w:r w:rsidRPr="00671C94">
        <w:rPr>
          <w:rFonts w:ascii="Arial" w:hAnsi="Arial" w:cs="Arial"/>
          <w:lang w:val="en-GB"/>
        </w:rPr>
        <w:t xml:space="preserve">Additionally, observed intensity and </w:t>
      </w:r>
      <w:proofErr w:type="spellStart"/>
      <w:r w:rsidRPr="00671C94">
        <w:rPr>
          <w:rFonts w:ascii="Arial" w:hAnsi="Arial" w:cs="Arial"/>
          <w:lang w:val="en-GB"/>
        </w:rPr>
        <w:t>Omax</w:t>
      </w:r>
      <w:proofErr w:type="spellEnd"/>
      <w:r w:rsidRPr="00671C94">
        <w:rPr>
          <w:rFonts w:ascii="Arial" w:hAnsi="Arial" w:cs="Arial"/>
          <w:lang w:val="en-GB"/>
        </w:rPr>
        <w:t xml:space="preserve"> values were directly analysed. Observed intensity corresponded to the number of drinks at £0. </w:t>
      </w:r>
      <w:proofErr w:type="spellStart"/>
      <w:r w:rsidRPr="00671C94">
        <w:rPr>
          <w:rFonts w:ascii="Arial" w:hAnsi="Arial" w:cs="Arial"/>
          <w:lang w:val="en-GB"/>
        </w:rPr>
        <w:t>Omax</w:t>
      </w:r>
      <w:proofErr w:type="spellEnd"/>
      <w:r w:rsidRPr="00671C94">
        <w:rPr>
          <w:rFonts w:ascii="Arial" w:hAnsi="Arial" w:cs="Arial"/>
          <w:lang w:val="en-GB"/>
        </w:rPr>
        <w:t xml:space="preserve"> was calculated by multiplying each consumption response by the corresponding price and extracting the highest value. As these variables were positively correlated (r = 0.52, p = .001), a multivariate analysis of variance (MANOVA) was used to assess effects of condition, gender, and relationship status. Assumptions of multivariate normality and equality of variance were met (Box’s M and Levene’s tests non-significant).</w:t>
      </w:r>
    </w:p>
    <w:p w14:paraId="4B5D1902" w14:textId="77777777" w:rsidR="00671C94" w:rsidRDefault="00671C94" w:rsidP="00671C94">
      <w:pPr>
        <w:pStyle w:val="Body"/>
        <w:spacing w:after="0"/>
        <w:rPr>
          <w:rFonts w:ascii="Arial" w:hAnsi="Arial" w:cs="Arial"/>
          <w:lang w:val="en-GB"/>
        </w:rPr>
      </w:pPr>
    </w:p>
    <w:p w14:paraId="754808A8" w14:textId="16801973" w:rsidR="00671C94" w:rsidRPr="00671C94" w:rsidRDefault="00671C94" w:rsidP="00671C94">
      <w:pPr>
        <w:pStyle w:val="Body"/>
        <w:spacing w:after="0"/>
        <w:rPr>
          <w:rFonts w:ascii="Arial" w:hAnsi="Arial" w:cs="Arial"/>
          <w:lang w:val="en-GB"/>
        </w:rPr>
      </w:pPr>
      <w:r w:rsidRPr="00671C94">
        <w:rPr>
          <w:rFonts w:ascii="Arial" w:hAnsi="Arial" w:cs="Arial"/>
          <w:lang w:val="en-GB"/>
        </w:rPr>
        <w:t>All statistical analyses were conducted using IBM SPSS Statistics Version 26.0 and GraphPad Prism Version 9.2.0.</w:t>
      </w:r>
    </w:p>
    <w:p w14:paraId="42D34217" w14:textId="77777777" w:rsidR="00BE5DC4" w:rsidRPr="00671C94" w:rsidRDefault="00BE5DC4" w:rsidP="00441B6F">
      <w:pPr>
        <w:pStyle w:val="Body"/>
        <w:spacing w:after="0"/>
        <w:rPr>
          <w:rFonts w:ascii="Arial" w:hAnsi="Arial" w:cs="Arial"/>
          <w:lang w:val="en-GB"/>
        </w:rPr>
      </w:pPr>
    </w:p>
    <w:p w14:paraId="1D3A503A" w14:textId="0681C2EC"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6124876D" w14:textId="77777777" w:rsidR="00790ADA" w:rsidRPr="00FB3A86" w:rsidRDefault="00790ADA" w:rsidP="00441B6F">
      <w:pPr>
        <w:pStyle w:val="Head1"/>
        <w:spacing w:after="0"/>
        <w:jc w:val="both"/>
        <w:rPr>
          <w:rFonts w:ascii="Arial" w:hAnsi="Arial" w:cs="Arial"/>
        </w:rPr>
      </w:pPr>
    </w:p>
    <w:p w14:paraId="293F533E" w14:textId="7D6938B4" w:rsidR="006710B6" w:rsidRDefault="00671C94" w:rsidP="006710B6">
      <w:pPr>
        <w:pStyle w:val="Body"/>
        <w:spacing w:after="0"/>
        <w:rPr>
          <w:rFonts w:ascii="Arial" w:hAnsi="Arial" w:cs="Arial"/>
          <w:b/>
          <w:bCs/>
          <w:u w:val="single"/>
          <w:lang w:val="en-GB"/>
        </w:rPr>
      </w:pPr>
      <w:r w:rsidRPr="00671C94">
        <w:rPr>
          <w:rFonts w:ascii="Arial" w:hAnsi="Arial" w:cs="Arial"/>
          <w:b/>
          <w:bCs/>
          <w:u w:val="single"/>
          <w:lang w:val="en-GB"/>
        </w:rPr>
        <w:t>3.1 Intrasexual Competition Scale</w:t>
      </w:r>
    </w:p>
    <w:p w14:paraId="530A6331" w14:textId="77777777" w:rsidR="006710B6" w:rsidRPr="006710B6" w:rsidRDefault="006710B6" w:rsidP="006710B6">
      <w:pPr>
        <w:pStyle w:val="Body"/>
        <w:spacing w:after="0"/>
        <w:rPr>
          <w:rFonts w:ascii="Arial" w:hAnsi="Arial" w:cs="Arial"/>
          <w:b/>
          <w:bCs/>
          <w:u w:val="single"/>
          <w:lang w:val="en-GB"/>
        </w:rPr>
      </w:pPr>
    </w:p>
    <w:p w14:paraId="3F66F1E3" w14:textId="06B357E3" w:rsidR="006710B6" w:rsidRPr="006710B6" w:rsidRDefault="006710B6" w:rsidP="006710B6">
      <w:pPr>
        <w:pStyle w:val="Body"/>
        <w:rPr>
          <w:rFonts w:ascii="Arial" w:hAnsi="Arial" w:cs="Arial"/>
          <w:lang w:val="en-GB"/>
        </w:rPr>
      </w:pPr>
      <w:r w:rsidRPr="006710B6">
        <w:rPr>
          <w:rFonts w:ascii="Arial" w:hAnsi="Arial" w:cs="Arial"/>
          <w:lang w:val="en-GB"/>
        </w:rPr>
        <w:lastRenderedPageBreak/>
        <w:t xml:space="preserve">A three-way ANOVA was conducted with ICS scores as the dependent variable and condition, gender, and relationship status as between-subjects factors. There was no significant main effect of condition on ICS score, </w:t>
      </w:r>
      <w:r w:rsidRPr="006710B6">
        <w:rPr>
          <w:rFonts w:ascii="Arial" w:hAnsi="Arial" w:cs="Arial"/>
          <w:i/>
          <w:iCs/>
          <w:lang w:val="en-GB"/>
        </w:rPr>
        <w:t>F</w:t>
      </w:r>
      <w:r w:rsidRPr="006710B6">
        <w:rPr>
          <w:rFonts w:ascii="Arial" w:hAnsi="Arial" w:cs="Arial"/>
          <w:lang w:val="en-GB"/>
        </w:rPr>
        <w:t xml:space="preserve">(1, 79) = 0.34, </w:t>
      </w:r>
      <w:r w:rsidRPr="006710B6">
        <w:rPr>
          <w:rFonts w:ascii="Arial" w:hAnsi="Arial" w:cs="Arial"/>
          <w:i/>
          <w:iCs/>
          <w:lang w:val="en-GB"/>
        </w:rPr>
        <w:t>p</w:t>
      </w:r>
      <w:r w:rsidRPr="006710B6">
        <w:rPr>
          <w:rFonts w:ascii="Arial" w:hAnsi="Arial" w:cs="Arial"/>
          <w:lang w:val="en-GB"/>
        </w:rPr>
        <w:t xml:space="preserve"> = .56, ηp² = .001, 95% CI [–0.22, 0.12], indicating that mate availability manipulation did not affect intrasexual competitiveness overall.</w:t>
      </w:r>
    </w:p>
    <w:p w14:paraId="6B5A5858" w14:textId="77777777" w:rsidR="006710B6" w:rsidRPr="006710B6" w:rsidRDefault="006710B6" w:rsidP="006710B6">
      <w:pPr>
        <w:pStyle w:val="Body"/>
        <w:rPr>
          <w:rFonts w:ascii="Arial" w:hAnsi="Arial" w:cs="Arial"/>
          <w:lang w:val="en-GB"/>
        </w:rPr>
      </w:pPr>
      <w:r w:rsidRPr="006710B6">
        <w:rPr>
          <w:rFonts w:ascii="Arial" w:hAnsi="Arial" w:cs="Arial"/>
          <w:lang w:val="en-GB"/>
        </w:rPr>
        <w:t xml:space="preserve">A significant main effect of gender was observed, </w:t>
      </w:r>
      <w:r w:rsidRPr="006710B6">
        <w:rPr>
          <w:rFonts w:ascii="Arial" w:hAnsi="Arial" w:cs="Arial"/>
          <w:i/>
          <w:iCs/>
          <w:lang w:val="en-GB"/>
        </w:rPr>
        <w:t>F</w:t>
      </w:r>
      <w:r w:rsidRPr="006710B6">
        <w:rPr>
          <w:rFonts w:ascii="Arial" w:hAnsi="Arial" w:cs="Arial"/>
          <w:lang w:val="en-GB"/>
        </w:rPr>
        <w:t xml:space="preserve">(1, 79) = 4.68, </w:t>
      </w:r>
      <w:r w:rsidRPr="006710B6">
        <w:rPr>
          <w:rFonts w:ascii="Arial" w:hAnsi="Arial" w:cs="Arial"/>
          <w:i/>
          <w:iCs/>
          <w:lang w:val="en-GB"/>
        </w:rPr>
        <w:t>p</w:t>
      </w:r>
      <w:r w:rsidRPr="006710B6">
        <w:rPr>
          <w:rFonts w:ascii="Arial" w:hAnsi="Arial" w:cs="Arial"/>
          <w:lang w:val="en-GB"/>
        </w:rPr>
        <w:t xml:space="preserve"> = .03, ηp² = .06, 95% CI [0.01, 0.34], with males scoring higher on ICS than females. Relationship status showed no significant main effect, </w:t>
      </w:r>
      <w:r w:rsidRPr="006710B6">
        <w:rPr>
          <w:rFonts w:ascii="Arial" w:hAnsi="Arial" w:cs="Arial"/>
          <w:i/>
          <w:iCs/>
          <w:lang w:val="en-GB"/>
        </w:rPr>
        <w:t>F</w:t>
      </w:r>
      <w:r w:rsidRPr="006710B6">
        <w:rPr>
          <w:rFonts w:ascii="Arial" w:hAnsi="Arial" w:cs="Arial"/>
          <w:lang w:val="en-GB"/>
        </w:rPr>
        <w:t xml:space="preserve">(1, 79) = 1.42, </w:t>
      </w:r>
      <w:r w:rsidRPr="006710B6">
        <w:rPr>
          <w:rFonts w:ascii="Arial" w:hAnsi="Arial" w:cs="Arial"/>
          <w:i/>
          <w:iCs/>
          <w:lang w:val="en-GB"/>
        </w:rPr>
        <w:t>p</w:t>
      </w:r>
      <w:r w:rsidRPr="006710B6">
        <w:rPr>
          <w:rFonts w:ascii="Arial" w:hAnsi="Arial" w:cs="Arial"/>
          <w:lang w:val="en-GB"/>
        </w:rPr>
        <w:t xml:space="preserve"> = .29, ηp² = .04.</w:t>
      </w:r>
    </w:p>
    <w:p w14:paraId="03FC21BB" w14:textId="77777777" w:rsidR="006710B6" w:rsidRPr="006710B6" w:rsidRDefault="006710B6" w:rsidP="006710B6">
      <w:pPr>
        <w:pStyle w:val="Body"/>
        <w:rPr>
          <w:rFonts w:ascii="Arial" w:hAnsi="Arial" w:cs="Arial"/>
          <w:lang w:val="en-GB"/>
        </w:rPr>
      </w:pPr>
      <w:r w:rsidRPr="006710B6">
        <w:rPr>
          <w:rFonts w:ascii="Arial" w:hAnsi="Arial" w:cs="Arial"/>
          <w:lang w:val="en-GB"/>
        </w:rPr>
        <w:t xml:space="preserve">However, there was a significant interaction between condition and relationship status, </w:t>
      </w:r>
      <w:r w:rsidRPr="006710B6">
        <w:rPr>
          <w:rFonts w:ascii="Arial" w:hAnsi="Arial" w:cs="Arial"/>
          <w:i/>
          <w:iCs/>
          <w:lang w:val="en-GB"/>
        </w:rPr>
        <w:t>F</w:t>
      </w:r>
      <w:r w:rsidRPr="006710B6">
        <w:rPr>
          <w:rFonts w:ascii="Arial" w:hAnsi="Arial" w:cs="Arial"/>
          <w:lang w:val="en-GB"/>
        </w:rPr>
        <w:t xml:space="preserve">(1, 79) = 4.90, </w:t>
      </w:r>
      <w:r w:rsidRPr="006710B6">
        <w:rPr>
          <w:rFonts w:ascii="Arial" w:hAnsi="Arial" w:cs="Arial"/>
          <w:i/>
          <w:iCs/>
          <w:lang w:val="en-GB"/>
        </w:rPr>
        <w:t>p</w:t>
      </w:r>
      <w:r w:rsidRPr="006710B6">
        <w:rPr>
          <w:rFonts w:ascii="Arial" w:hAnsi="Arial" w:cs="Arial"/>
          <w:lang w:val="en-GB"/>
        </w:rPr>
        <w:t xml:space="preserve"> = .03, ηp² = .06, 95% CI [0.02, 0.38]. Pairwise comparisons revealed that, within the mate scarcity condition, participants in romantic relationships had higher ICS scores than single participants. Although the three-way interaction of condition × gender × relationship status was not significant (</w:t>
      </w:r>
      <w:r w:rsidRPr="006710B6">
        <w:rPr>
          <w:rFonts w:ascii="Arial" w:hAnsi="Arial" w:cs="Arial"/>
          <w:i/>
          <w:iCs/>
          <w:lang w:val="en-GB"/>
        </w:rPr>
        <w:t>F</w:t>
      </w:r>
      <w:r w:rsidRPr="006710B6">
        <w:rPr>
          <w:rFonts w:ascii="Arial" w:hAnsi="Arial" w:cs="Arial"/>
          <w:lang w:val="en-GB"/>
        </w:rPr>
        <w:t xml:space="preserve">(1, 79) = 0.42, </w:t>
      </w:r>
      <w:r w:rsidRPr="006710B6">
        <w:rPr>
          <w:rFonts w:ascii="Arial" w:hAnsi="Arial" w:cs="Arial"/>
          <w:i/>
          <w:iCs/>
          <w:lang w:val="en-GB"/>
        </w:rPr>
        <w:t>p</w:t>
      </w:r>
      <w:r w:rsidRPr="006710B6">
        <w:rPr>
          <w:rFonts w:ascii="Arial" w:hAnsi="Arial" w:cs="Arial"/>
          <w:lang w:val="en-GB"/>
        </w:rPr>
        <w:t xml:space="preserve"> = .52, ηp² = .001), further comparisons showed that among females, relationship status influenced competitiveness under mate scarcity: partnered females scored higher than single females.</w:t>
      </w:r>
    </w:p>
    <w:p w14:paraId="249166E6" w14:textId="77777777" w:rsidR="006B17FE" w:rsidRPr="006B17FE" w:rsidRDefault="006B17FE" w:rsidP="006B17FE">
      <w:pPr>
        <w:pStyle w:val="Body"/>
        <w:rPr>
          <w:rFonts w:ascii="Arial" w:hAnsi="Arial" w:cs="Arial"/>
          <w:lang w:val="en-GB"/>
        </w:rPr>
      </w:pPr>
      <w:r w:rsidRPr="006B17FE">
        <w:rPr>
          <w:rFonts w:ascii="Arial" w:hAnsi="Arial" w:cs="Arial"/>
          <w:noProof/>
        </w:rPr>
        <w:drawing>
          <wp:inline distT="0" distB="0" distL="0" distR="0" wp14:anchorId="7FCDBE06" wp14:editId="12FFF5D3">
            <wp:extent cx="6648450" cy="3155950"/>
            <wp:effectExtent l="0" t="0" r="0" b="635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8450" cy="3155950"/>
                    </a:xfrm>
                    <a:prstGeom prst="rect">
                      <a:avLst/>
                    </a:prstGeom>
                    <a:noFill/>
                    <a:ln>
                      <a:noFill/>
                    </a:ln>
                  </pic:spPr>
                </pic:pic>
              </a:graphicData>
            </a:graphic>
          </wp:inline>
        </w:drawing>
      </w:r>
    </w:p>
    <w:p w14:paraId="24547638" w14:textId="6FB991E9" w:rsidR="006B17FE" w:rsidRPr="006B17FE" w:rsidRDefault="006B17FE" w:rsidP="006B17FE">
      <w:pPr>
        <w:pStyle w:val="Body"/>
        <w:rPr>
          <w:rFonts w:ascii="Arial" w:hAnsi="Arial" w:cs="Arial"/>
          <w:lang w:val="en-GB"/>
        </w:rPr>
      </w:pPr>
      <w:r w:rsidRPr="006B17FE">
        <w:rPr>
          <w:rFonts w:ascii="Arial" w:hAnsi="Arial" w:cs="Arial"/>
          <w:lang w:val="en-GB"/>
        </w:rPr>
        <w:t xml:space="preserve">Note. Higher scores indicate stronger willingness to compete with same sex individuals. </w:t>
      </w:r>
    </w:p>
    <w:p w14:paraId="5747FD50" w14:textId="77777777" w:rsidR="006B17FE" w:rsidRPr="006B17FE" w:rsidRDefault="006B17FE" w:rsidP="006B17FE">
      <w:pPr>
        <w:pStyle w:val="Body"/>
        <w:rPr>
          <w:rFonts w:ascii="Arial" w:hAnsi="Arial" w:cs="Arial"/>
          <w:b/>
          <w:bCs/>
          <w:lang w:val="en-GB"/>
        </w:rPr>
      </w:pPr>
      <w:r w:rsidRPr="006B17FE">
        <w:rPr>
          <w:rFonts w:ascii="Arial" w:hAnsi="Arial" w:cs="Arial"/>
          <w:b/>
          <w:bCs/>
          <w:lang w:val="en-GB"/>
        </w:rPr>
        <w:t>Figure 1. Mean ICS scores (+/- 1 SD) of males and females based on relationship status for both conditions.</w:t>
      </w:r>
    </w:p>
    <w:p w14:paraId="157B89D7" w14:textId="77777777" w:rsidR="006B17FE" w:rsidRPr="006B17FE" w:rsidRDefault="006B17FE" w:rsidP="006B17FE">
      <w:pPr>
        <w:pStyle w:val="Body"/>
        <w:spacing w:after="0"/>
        <w:rPr>
          <w:rFonts w:ascii="Arial" w:hAnsi="Arial" w:cs="Arial"/>
          <w:b/>
          <w:bCs/>
          <w:u w:val="single"/>
          <w:lang w:val="en-GB"/>
        </w:rPr>
      </w:pPr>
      <w:r w:rsidRPr="006B17FE">
        <w:rPr>
          <w:rFonts w:ascii="Arial" w:hAnsi="Arial" w:cs="Arial"/>
          <w:b/>
          <w:bCs/>
          <w:u w:val="single"/>
          <w:lang w:val="en-GB"/>
        </w:rPr>
        <w:t>3.2 Alcohol Purchase Task</w:t>
      </w:r>
    </w:p>
    <w:p w14:paraId="647ED101" w14:textId="77777777" w:rsidR="006710B6" w:rsidRDefault="006710B6" w:rsidP="006710B6">
      <w:pPr>
        <w:pStyle w:val="Body"/>
        <w:spacing w:after="0"/>
        <w:rPr>
          <w:rFonts w:ascii="Arial" w:hAnsi="Arial" w:cs="Arial"/>
          <w:lang w:val="en-GB"/>
        </w:rPr>
      </w:pPr>
    </w:p>
    <w:p w14:paraId="6E5119B5" w14:textId="0E7CCADA" w:rsidR="006710B6" w:rsidRPr="006710B6" w:rsidRDefault="006710B6" w:rsidP="006710B6">
      <w:pPr>
        <w:pStyle w:val="Body"/>
        <w:spacing w:after="0"/>
        <w:rPr>
          <w:rFonts w:ascii="Arial" w:hAnsi="Arial" w:cs="Arial"/>
          <w:lang w:val="en-GB"/>
        </w:rPr>
      </w:pPr>
      <w:r w:rsidRPr="006710B6">
        <w:rPr>
          <w:rFonts w:ascii="Arial" w:hAnsi="Arial" w:cs="Arial"/>
          <w:lang w:val="en-GB"/>
        </w:rPr>
        <w:t xml:space="preserve">Exponential demand curves were fitted for each condition. The model fit was strong: </w:t>
      </w:r>
      <w:r w:rsidRPr="006710B6">
        <w:rPr>
          <w:rFonts w:ascii="Arial" w:hAnsi="Arial" w:cs="Arial"/>
          <w:i/>
          <w:iCs/>
          <w:lang w:val="en-GB"/>
        </w:rPr>
        <w:t>R²</w:t>
      </w:r>
      <w:r w:rsidRPr="006710B6">
        <w:rPr>
          <w:rFonts w:ascii="Arial" w:hAnsi="Arial" w:cs="Arial"/>
          <w:lang w:val="en-GB"/>
        </w:rPr>
        <w:t xml:space="preserve"> = .98 for mate abundance and </w:t>
      </w:r>
      <w:r w:rsidRPr="006710B6">
        <w:rPr>
          <w:rFonts w:ascii="Arial" w:hAnsi="Arial" w:cs="Arial"/>
          <w:i/>
          <w:iCs/>
          <w:lang w:val="en-GB"/>
        </w:rPr>
        <w:t>R²</w:t>
      </w:r>
      <w:r w:rsidRPr="006710B6">
        <w:rPr>
          <w:rFonts w:ascii="Arial" w:hAnsi="Arial" w:cs="Arial"/>
          <w:lang w:val="en-GB"/>
        </w:rPr>
        <w:t xml:space="preserve"> = .99 for mate scarcity. Mean derived Q</w:t>
      </w:r>
      <w:r w:rsidRPr="006710B6">
        <w:rPr>
          <w:rFonts w:ascii="Cambria Math" w:hAnsi="Cambria Math" w:cs="Cambria Math"/>
          <w:lang w:val="en-GB"/>
        </w:rPr>
        <w:t>₀</w:t>
      </w:r>
      <w:r w:rsidRPr="006710B6">
        <w:rPr>
          <w:rFonts w:ascii="Arial" w:hAnsi="Arial" w:cs="Arial"/>
          <w:lang w:val="en-GB"/>
        </w:rPr>
        <w:t xml:space="preserve"> (i.e. estimated consumption at price zero) was 4.7 (SD = 0.79) in mate abundance and 5.2 (SD = 1.07) in mate scarcity. Derived α (price sensitivity) was 0.0063 (SD = 0.0043) in abundance and 0.0053 (SD = 0.0041) in scarcity.</w:t>
      </w:r>
    </w:p>
    <w:p w14:paraId="579C3832" w14:textId="77777777" w:rsidR="006710B6" w:rsidRDefault="006710B6" w:rsidP="006710B6">
      <w:pPr>
        <w:pStyle w:val="Body"/>
        <w:spacing w:after="0"/>
        <w:rPr>
          <w:rFonts w:ascii="Arial" w:hAnsi="Arial" w:cs="Arial"/>
          <w:lang w:val="en-GB"/>
        </w:rPr>
      </w:pPr>
    </w:p>
    <w:p w14:paraId="3854193C" w14:textId="70250776" w:rsidR="006710B6" w:rsidRPr="006710B6" w:rsidRDefault="006710B6" w:rsidP="006710B6">
      <w:pPr>
        <w:pStyle w:val="Body"/>
        <w:spacing w:after="0"/>
        <w:rPr>
          <w:rFonts w:ascii="Arial" w:hAnsi="Arial" w:cs="Arial"/>
          <w:lang w:val="en-GB"/>
        </w:rPr>
      </w:pPr>
      <w:r w:rsidRPr="006710B6">
        <w:rPr>
          <w:rFonts w:ascii="Arial" w:hAnsi="Arial" w:cs="Arial"/>
          <w:lang w:val="en-GB"/>
        </w:rPr>
        <w:t>Q</w:t>
      </w:r>
      <w:r w:rsidRPr="006710B6">
        <w:rPr>
          <w:rFonts w:ascii="Cambria Math" w:hAnsi="Cambria Math" w:cs="Cambria Math"/>
          <w:lang w:val="en-GB"/>
        </w:rPr>
        <w:t>₀</w:t>
      </w:r>
      <w:r w:rsidRPr="006710B6">
        <w:rPr>
          <w:rFonts w:ascii="Arial" w:hAnsi="Arial" w:cs="Arial"/>
          <w:lang w:val="en-GB"/>
        </w:rPr>
        <w:t xml:space="preserve"> was significantly higher in mate scarcity, </w:t>
      </w:r>
      <w:r w:rsidRPr="006710B6">
        <w:rPr>
          <w:rFonts w:ascii="Arial" w:hAnsi="Arial" w:cs="Arial"/>
          <w:i/>
          <w:iCs/>
          <w:lang w:val="en-GB"/>
        </w:rPr>
        <w:t>F</w:t>
      </w:r>
      <w:r w:rsidRPr="006710B6">
        <w:rPr>
          <w:rFonts w:ascii="Arial" w:hAnsi="Arial" w:cs="Arial"/>
          <w:lang w:val="en-GB"/>
        </w:rPr>
        <w:t xml:space="preserve">(1, 21) = 7.60, </w:t>
      </w:r>
      <w:r w:rsidRPr="006710B6">
        <w:rPr>
          <w:rFonts w:ascii="Arial" w:hAnsi="Arial" w:cs="Arial"/>
          <w:i/>
          <w:iCs/>
          <w:lang w:val="en-GB"/>
        </w:rPr>
        <w:t>p</w:t>
      </w:r>
      <w:r w:rsidRPr="006710B6">
        <w:rPr>
          <w:rFonts w:ascii="Arial" w:hAnsi="Arial" w:cs="Arial"/>
          <w:lang w:val="en-GB"/>
        </w:rPr>
        <w:t xml:space="preserve"> = .01, ηp² = .27, 95% CI [0.12, 0.85], indicating greater baseline demand. α was significantly lower under scarcity, </w:t>
      </w:r>
      <w:r w:rsidRPr="006710B6">
        <w:rPr>
          <w:rFonts w:ascii="Arial" w:hAnsi="Arial" w:cs="Arial"/>
          <w:i/>
          <w:iCs/>
          <w:lang w:val="en-GB"/>
        </w:rPr>
        <w:t>F</w:t>
      </w:r>
      <w:r w:rsidRPr="006710B6">
        <w:rPr>
          <w:rFonts w:ascii="Arial" w:hAnsi="Arial" w:cs="Arial"/>
          <w:lang w:val="en-GB"/>
        </w:rPr>
        <w:t xml:space="preserve">(1, 21) = 21.00, </w:t>
      </w:r>
      <w:r w:rsidRPr="006710B6">
        <w:rPr>
          <w:rFonts w:ascii="Arial" w:hAnsi="Arial" w:cs="Arial"/>
          <w:i/>
          <w:iCs/>
          <w:lang w:val="en-GB"/>
        </w:rPr>
        <w:t>p</w:t>
      </w:r>
      <w:r w:rsidRPr="006710B6">
        <w:rPr>
          <w:rFonts w:ascii="Arial" w:hAnsi="Arial" w:cs="Arial"/>
          <w:lang w:val="en-GB"/>
        </w:rPr>
        <w:t xml:space="preserve"> = .001, ηp² = .50, 95% CI [–0.0015, –0.0006], indicating reduced price sensitivity. These results support the hypothesis that mate scarcity increases alcohol demand.</w:t>
      </w:r>
    </w:p>
    <w:p w14:paraId="189D090F" w14:textId="77777777" w:rsidR="006B17FE" w:rsidRPr="006B17FE" w:rsidRDefault="006B17FE" w:rsidP="006B17FE">
      <w:pPr>
        <w:pStyle w:val="Body"/>
        <w:spacing w:after="0"/>
        <w:rPr>
          <w:rFonts w:ascii="Arial" w:hAnsi="Arial" w:cs="Arial"/>
          <w:lang w:val="en-GB"/>
        </w:rPr>
      </w:pPr>
      <w:r w:rsidRPr="006B17FE">
        <w:rPr>
          <w:rFonts w:ascii="Arial" w:hAnsi="Arial" w:cs="Arial"/>
          <w:noProof/>
        </w:rPr>
        <w:lastRenderedPageBreak/>
        <w:drawing>
          <wp:inline distT="0" distB="0" distL="0" distR="0" wp14:anchorId="24E24996" wp14:editId="73B29C81">
            <wp:extent cx="6210300" cy="3530600"/>
            <wp:effectExtent l="0" t="0" r="0" b="0"/>
            <wp:docPr id="3" name="Picture 3" descr="A graph of a drink pr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a drink pric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10300" cy="3530600"/>
                    </a:xfrm>
                    <a:prstGeom prst="rect">
                      <a:avLst/>
                    </a:prstGeom>
                    <a:noFill/>
                    <a:ln>
                      <a:noFill/>
                    </a:ln>
                  </pic:spPr>
                </pic:pic>
              </a:graphicData>
            </a:graphic>
          </wp:inline>
        </w:drawing>
      </w:r>
    </w:p>
    <w:p w14:paraId="5B714EA0" w14:textId="77777777" w:rsidR="006B17FE" w:rsidRPr="006B17FE" w:rsidRDefault="006B17FE" w:rsidP="006B17FE">
      <w:pPr>
        <w:pStyle w:val="Body"/>
        <w:spacing w:after="0"/>
        <w:rPr>
          <w:rFonts w:ascii="Arial" w:hAnsi="Arial" w:cs="Arial"/>
          <w:b/>
          <w:bCs/>
          <w:lang w:val="en-GB"/>
        </w:rPr>
      </w:pPr>
      <w:r w:rsidRPr="006B17FE">
        <w:rPr>
          <w:rFonts w:ascii="Arial" w:hAnsi="Arial" w:cs="Arial"/>
          <w:b/>
          <w:bCs/>
          <w:lang w:val="en-GB"/>
        </w:rPr>
        <w:t>Figure 2. Demand curve (log consumption; price).  Mean alcohol demand curve for both conditions.</w:t>
      </w:r>
    </w:p>
    <w:p w14:paraId="64EB5B3D" w14:textId="77777777" w:rsidR="006B17FE" w:rsidRPr="006B17FE" w:rsidRDefault="006B17FE" w:rsidP="006B17FE">
      <w:pPr>
        <w:pStyle w:val="Body"/>
        <w:spacing w:after="0"/>
        <w:rPr>
          <w:rFonts w:ascii="Arial" w:hAnsi="Arial" w:cs="Arial"/>
          <w:lang w:val="en-GB"/>
        </w:rPr>
      </w:pPr>
    </w:p>
    <w:p w14:paraId="7AEE6FAD" w14:textId="77777777" w:rsidR="006710B6" w:rsidRPr="006710B6" w:rsidRDefault="006710B6" w:rsidP="006710B6">
      <w:pPr>
        <w:pStyle w:val="Body"/>
        <w:rPr>
          <w:rFonts w:ascii="Arial" w:hAnsi="Arial" w:cs="Arial"/>
          <w:lang w:val="en-GB"/>
        </w:rPr>
      </w:pPr>
      <w:r w:rsidRPr="006710B6">
        <w:rPr>
          <w:rFonts w:ascii="Arial" w:hAnsi="Arial" w:cs="Arial"/>
          <w:lang w:val="en-GB"/>
        </w:rPr>
        <w:t xml:space="preserve">To analyse observed values (consumption intensity and maximum expenditure), a MANOVA was performed with condition, gender, and relationship status as factors. There were no significant main effects of condition, </w:t>
      </w:r>
      <w:r w:rsidRPr="006710B6">
        <w:rPr>
          <w:rFonts w:ascii="Arial" w:hAnsi="Arial" w:cs="Arial"/>
          <w:i/>
          <w:iCs/>
          <w:lang w:val="en-GB"/>
        </w:rPr>
        <w:t>F</w:t>
      </w:r>
      <w:r w:rsidRPr="006710B6">
        <w:rPr>
          <w:rFonts w:ascii="Arial" w:hAnsi="Arial" w:cs="Arial"/>
          <w:lang w:val="en-GB"/>
        </w:rPr>
        <w:t xml:space="preserve">(2, 78) = 0.19, </w:t>
      </w:r>
      <w:r w:rsidRPr="006710B6">
        <w:rPr>
          <w:rFonts w:ascii="Arial" w:hAnsi="Arial" w:cs="Arial"/>
          <w:i/>
          <w:iCs/>
          <w:lang w:val="en-GB"/>
        </w:rPr>
        <w:t>p</w:t>
      </w:r>
      <w:r w:rsidRPr="006710B6">
        <w:rPr>
          <w:rFonts w:ascii="Arial" w:hAnsi="Arial" w:cs="Arial"/>
          <w:lang w:val="en-GB"/>
        </w:rPr>
        <w:t xml:space="preserve"> = .82, Wilks’ λ = .99, ηp² = .005, or gender, </w:t>
      </w:r>
      <w:r w:rsidRPr="006710B6">
        <w:rPr>
          <w:rFonts w:ascii="Arial" w:hAnsi="Arial" w:cs="Arial"/>
          <w:i/>
          <w:iCs/>
          <w:lang w:val="en-GB"/>
        </w:rPr>
        <w:t>F</w:t>
      </w:r>
      <w:r w:rsidRPr="006710B6">
        <w:rPr>
          <w:rFonts w:ascii="Arial" w:hAnsi="Arial" w:cs="Arial"/>
          <w:lang w:val="en-GB"/>
        </w:rPr>
        <w:t xml:space="preserve">(2, 78) = 1.73, </w:t>
      </w:r>
      <w:r w:rsidRPr="006710B6">
        <w:rPr>
          <w:rFonts w:ascii="Arial" w:hAnsi="Arial" w:cs="Arial"/>
          <w:i/>
          <w:iCs/>
          <w:lang w:val="en-GB"/>
        </w:rPr>
        <w:t>p</w:t>
      </w:r>
      <w:r w:rsidRPr="006710B6">
        <w:rPr>
          <w:rFonts w:ascii="Arial" w:hAnsi="Arial" w:cs="Arial"/>
          <w:lang w:val="en-GB"/>
        </w:rPr>
        <w:t xml:space="preserve"> = .18, Wilks’ λ = .96, ηp² = .04. Relationship status had a marginally significant effect, </w:t>
      </w:r>
      <w:r w:rsidRPr="006710B6">
        <w:rPr>
          <w:rFonts w:ascii="Arial" w:hAnsi="Arial" w:cs="Arial"/>
          <w:i/>
          <w:iCs/>
          <w:lang w:val="en-GB"/>
        </w:rPr>
        <w:t>F</w:t>
      </w:r>
      <w:r w:rsidRPr="006710B6">
        <w:rPr>
          <w:rFonts w:ascii="Arial" w:hAnsi="Arial" w:cs="Arial"/>
          <w:lang w:val="en-GB"/>
        </w:rPr>
        <w:t xml:space="preserve">(2, 78) = 2.43, </w:t>
      </w:r>
      <w:r w:rsidRPr="006710B6">
        <w:rPr>
          <w:rFonts w:ascii="Arial" w:hAnsi="Arial" w:cs="Arial"/>
          <w:i/>
          <w:iCs/>
          <w:lang w:val="en-GB"/>
        </w:rPr>
        <w:t>p</w:t>
      </w:r>
      <w:r w:rsidRPr="006710B6">
        <w:rPr>
          <w:rFonts w:ascii="Arial" w:hAnsi="Arial" w:cs="Arial"/>
          <w:lang w:val="en-GB"/>
        </w:rPr>
        <w:t xml:space="preserve"> = .05, Wilks’ λ = .87, ηp² = .06, suggesting higher consumption among single participants.</w:t>
      </w:r>
    </w:p>
    <w:p w14:paraId="283F39FC" w14:textId="77777777" w:rsidR="006710B6" w:rsidRPr="006710B6" w:rsidRDefault="006710B6" w:rsidP="006710B6">
      <w:pPr>
        <w:pStyle w:val="Body"/>
        <w:rPr>
          <w:rFonts w:ascii="Arial" w:hAnsi="Arial" w:cs="Arial"/>
          <w:lang w:val="en-GB"/>
        </w:rPr>
      </w:pPr>
      <w:r w:rsidRPr="006710B6">
        <w:rPr>
          <w:rFonts w:ascii="Arial" w:hAnsi="Arial" w:cs="Arial"/>
          <w:lang w:val="en-GB"/>
        </w:rPr>
        <w:t xml:space="preserve">A significant interaction was found between condition and relationship status, </w:t>
      </w:r>
      <w:r w:rsidRPr="006710B6">
        <w:rPr>
          <w:rFonts w:ascii="Arial" w:hAnsi="Arial" w:cs="Arial"/>
          <w:i/>
          <w:iCs/>
          <w:lang w:val="en-GB"/>
        </w:rPr>
        <w:t>F</w:t>
      </w:r>
      <w:r w:rsidRPr="006710B6">
        <w:rPr>
          <w:rFonts w:ascii="Arial" w:hAnsi="Arial" w:cs="Arial"/>
          <w:lang w:val="en-GB"/>
        </w:rPr>
        <w:t xml:space="preserve">(2, 78) = 4.19, </w:t>
      </w:r>
      <w:r w:rsidRPr="006710B6">
        <w:rPr>
          <w:rFonts w:ascii="Arial" w:hAnsi="Arial" w:cs="Arial"/>
          <w:i/>
          <w:iCs/>
          <w:lang w:val="en-GB"/>
        </w:rPr>
        <w:t>p</w:t>
      </w:r>
      <w:r w:rsidRPr="006710B6">
        <w:rPr>
          <w:rFonts w:ascii="Arial" w:hAnsi="Arial" w:cs="Arial"/>
          <w:lang w:val="en-GB"/>
        </w:rPr>
        <w:t xml:space="preserve"> = .02, Wilks’ λ = .90, ηp² = .10. (Note: Wilks’ lambda is a multivariate test statistic indicating the proportion of unexplained variance.) Pairwise comparisons indicated that participants in relationships under mate scarcity reported higher observed intensity and maximum expenditure than their abundance counterparts.</w:t>
      </w:r>
    </w:p>
    <w:p w14:paraId="1CA02F06" w14:textId="77777777" w:rsidR="006710B6" w:rsidRPr="006710B6" w:rsidRDefault="006710B6" w:rsidP="006710B6">
      <w:pPr>
        <w:pStyle w:val="Body"/>
        <w:rPr>
          <w:rFonts w:ascii="Arial" w:hAnsi="Arial" w:cs="Arial"/>
          <w:lang w:val="en-GB"/>
        </w:rPr>
      </w:pPr>
      <w:r w:rsidRPr="006710B6">
        <w:rPr>
          <w:rFonts w:ascii="Arial" w:hAnsi="Arial" w:cs="Arial"/>
          <w:lang w:val="en-GB"/>
        </w:rPr>
        <w:t xml:space="preserve">The interaction between condition and gender was not significant, </w:t>
      </w:r>
      <w:r w:rsidRPr="006710B6">
        <w:rPr>
          <w:rFonts w:ascii="Arial" w:hAnsi="Arial" w:cs="Arial"/>
          <w:i/>
          <w:iCs/>
          <w:lang w:val="en-GB"/>
        </w:rPr>
        <w:t>F</w:t>
      </w:r>
      <w:r w:rsidRPr="006710B6">
        <w:rPr>
          <w:rFonts w:ascii="Arial" w:hAnsi="Arial" w:cs="Arial"/>
          <w:lang w:val="en-GB"/>
        </w:rPr>
        <w:t xml:space="preserve">(2, 78) = 1.27, </w:t>
      </w:r>
      <w:r w:rsidRPr="006710B6">
        <w:rPr>
          <w:rFonts w:ascii="Arial" w:hAnsi="Arial" w:cs="Arial"/>
          <w:i/>
          <w:iCs/>
          <w:lang w:val="en-GB"/>
        </w:rPr>
        <w:t>p</w:t>
      </w:r>
      <w:r w:rsidRPr="006710B6">
        <w:rPr>
          <w:rFonts w:ascii="Arial" w:hAnsi="Arial" w:cs="Arial"/>
          <w:lang w:val="en-GB"/>
        </w:rPr>
        <w:t xml:space="preserve"> = .29, Wilks’ λ = .97, ηp² = .03. However, the three-way interaction (condition × gender × relationship status) was significant, </w:t>
      </w:r>
      <w:r w:rsidRPr="006710B6">
        <w:rPr>
          <w:rFonts w:ascii="Arial" w:hAnsi="Arial" w:cs="Arial"/>
          <w:i/>
          <w:iCs/>
          <w:lang w:val="en-GB"/>
        </w:rPr>
        <w:t>F</w:t>
      </w:r>
      <w:r w:rsidRPr="006710B6">
        <w:rPr>
          <w:rFonts w:ascii="Arial" w:hAnsi="Arial" w:cs="Arial"/>
          <w:lang w:val="en-GB"/>
        </w:rPr>
        <w:t xml:space="preserve">(2, 78) = 4.42, </w:t>
      </w:r>
      <w:r w:rsidRPr="006710B6">
        <w:rPr>
          <w:rFonts w:ascii="Arial" w:hAnsi="Arial" w:cs="Arial"/>
          <w:i/>
          <w:iCs/>
          <w:lang w:val="en-GB"/>
        </w:rPr>
        <w:t>p</w:t>
      </w:r>
      <w:r w:rsidRPr="006710B6">
        <w:rPr>
          <w:rFonts w:ascii="Arial" w:hAnsi="Arial" w:cs="Arial"/>
          <w:lang w:val="en-GB"/>
        </w:rPr>
        <w:t xml:space="preserve"> = .02, Wilks’ λ = .90, ηp² = .10. Specifically, partnered males in mate scarcity showed higher observed Q</w:t>
      </w:r>
      <w:r w:rsidRPr="006710B6">
        <w:rPr>
          <w:rFonts w:ascii="Cambria Math" w:hAnsi="Cambria Math" w:cs="Cambria Math"/>
          <w:lang w:val="en-GB"/>
        </w:rPr>
        <w:t>₀</w:t>
      </w:r>
      <w:r w:rsidRPr="006710B6">
        <w:rPr>
          <w:rFonts w:ascii="Arial" w:hAnsi="Arial" w:cs="Arial"/>
          <w:lang w:val="en-GB"/>
        </w:rPr>
        <w:t xml:space="preserve"> and </w:t>
      </w:r>
      <w:proofErr w:type="spellStart"/>
      <w:r w:rsidRPr="006710B6">
        <w:rPr>
          <w:rFonts w:ascii="Arial" w:hAnsi="Arial" w:cs="Arial"/>
          <w:lang w:val="en-GB"/>
        </w:rPr>
        <w:t>Omax</w:t>
      </w:r>
      <w:proofErr w:type="spellEnd"/>
      <w:r w:rsidRPr="006710B6">
        <w:rPr>
          <w:rFonts w:ascii="Arial" w:hAnsi="Arial" w:cs="Arial"/>
          <w:lang w:val="en-GB"/>
        </w:rPr>
        <w:t xml:space="preserve"> than partnered males in abundance. Additionally, single males in the mate abundance condition showed higher maximum expenditure than those in scarcity.</w:t>
      </w:r>
    </w:p>
    <w:p w14:paraId="32C70FC5" w14:textId="77777777" w:rsidR="006B17FE" w:rsidRPr="006B17FE" w:rsidRDefault="006B17FE" w:rsidP="006B17FE">
      <w:pPr>
        <w:pStyle w:val="Body"/>
        <w:rPr>
          <w:rFonts w:ascii="Arial" w:hAnsi="Arial" w:cs="Arial"/>
          <w:lang w:val="en-GB"/>
        </w:rPr>
      </w:pPr>
      <w:r w:rsidRPr="006B17FE">
        <w:rPr>
          <w:rFonts w:ascii="Arial" w:hAnsi="Arial" w:cs="Arial"/>
          <w:noProof/>
        </w:rPr>
        <w:lastRenderedPageBreak/>
        <w:drawing>
          <wp:inline distT="0" distB="0" distL="0" distR="0" wp14:anchorId="6B90F813" wp14:editId="3389DF33">
            <wp:extent cx="6648450" cy="3391535"/>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8450" cy="3391535"/>
                    </a:xfrm>
                    <a:prstGeom prst="rect">
                      <a:avLst/>
                    </a:prstGeom>
                    <a:noFill/>
                    <a:ln>
                      <a:noFill/>
                    </a:ln>
                  </pic:spPr>
                </pic:pic>
              </a:graphicData>
            </a:graphic>
          </wp:inline>
        </w:drawing>
      </w:r>
    </w:p>
    <w:p w14:paraId="19B4C898" w14:textId="77777777" w:rsidR="006B17FE" w:rsidRPr="006B17FE" w:rsidRDefault="006B17FE" w:rsidP="006B17FE">
      <w:pPr>
        <w:pStyle w:val="Body"/>
        <w:rPr>
          <w:rFonts w:ascii="Arial" w:hAnsi="Arial" w:cs="Arial"/>
          <w:b/>
          <w:bCs/>
          <w:lang w:val="en-GB"/>
        </w:rPr>
      </w:pPr>
      <w:r w:rsidRPr="006B17FE">
        <w:rPr>
          <w:rFonts w:ascii="Arial" w:hAnsi="Arial" w:cs="Arial"/>
          <w:b/>
          <w:bCs/>
          <w:lang w:val="en-GB"/>
        </w:rPr>
        <w:t>Figure 3. Mean consumption intensity values (+/- 1 SD) for both conditions separated by relationship status and filtered by gender.</w:t>
      </w:r>
    </w:p>
    <w:p w14:paraId="478030C8" w14:textId="77777777" w:rsidR="006B17FE" w:rsidRPr="006B17FE" w:rsidRDefault="006B17FE" w:rsidP="006B17FE">
      <w:pPr>
        <w:pStyle w:val="Body"/>
        <w:rPr>
          <w:rFonts w:ascii="Arial" w:hAnsi="Arial" w:cs="Arial"/>
          <w:lang w:val="en-GB"/>
        </w:rPr>
      </w:pPr>
      <w:r w:rsidRPr="006B17FE">
        <w:rPr>
          <w:rFonts w:ascii="Arial" w:hAnsi="Arial" w:cs="Arial"/>
          <w:noProof/>
        </w:rPr>
        <w:drawing>
          <wp:inline distT="0" distB="0" distL="0" distR="0" wp14:anchorId="4B446964" wp14:editId="1A8BEE35">
            <wp:extent cx="6648450" cy="3391535"/>
            <wp:effectExtent l="0" t="0" r="0" b="0"/>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8450" cy="3391535"/>
                    </a:xfrm>
                    <a:prstGeom prst="rect">
                      <a:avLst/>
                    </a:prstGeom>
                    <a:noFill/>
                    <a:ln>
                      <a:noFill/>
                    </a:ln>
                  </pic:spPr>
                </pic:pic>
              </a:graphicData>
            </a:graphic>
          </wp:inline>
        </w:drawing>
      </w:r>
    </w:p>
    <w:p w14:paraId="1BDC4006" w14:textId="77777777" w:rsidR="006B17FE" w:rsidRPr="006B17FE" w:rsidRDefault="006B17FE" w:rsidP="006B17FE">
      <w:pPr>
        <w:pStyle w:val="Body"/>
        <w:rPr>
          <w:rFonts w:ascii="Arial" w:hAnsi="Arial" w:cs="Arial"/>
          <w:b/>
          <w:bCs/>
          <w:lang w:val="en-GB"/>
        </w:rPr>
      </w:pPr>
      <w:r w:rsidRPr="006B17FE">
        <w:rPr>
          <w:rFonts w:ascii="Arial" w:hAnsi="Arial" w:cs="Arial"/>
          <w:b/>
          <w:bCs/>
          <w:lang w:val="en-GB"/>
        </w:rPr>
        <w:t>Figure 4. Mean maximum expenditure values (+/- 1 SD) for both conditions separated by relationship status and filtered by gender.</w:t>
      </w:r>
    </w:p>
    <w:p w14:paraId="490BEDD3" w14:textId="77777777" w:rsidR="006B17FE" w:rsidRPr="006B17FE" w:rsidRDefault="006B17FE" w:rsidP="006B17FE">
      <w:pPr>
        <w:pStyle w:val="Body"/>
        <w:spacing w:after="0"/>
        <w:rPr>
          <w:rFonts w:ascii="Arial" w:hAnsi="Arial" w:cs="Arial"/>
          <w:b/>
          <w:bCs/>
          <w:u w:val="single"/>
          <w:lang w:val="en-GB"/>
        </w:rPr>
      </w:pPr>
      <w:r w:rsidRPr="006B17FE">
        <w:rPr>
          <w:rFonts w:ascii="Arial" w:hAnsi="Arial" w:cs="Arial"/>
          <w:b/>
          <w:bCs/>
          <w:u w:val="single"/>
          <w:lang w:val="en-GB"/>
        </w:rPr>
        <w:t>3.3 Awareness of Study Purpose</w:t>
      </w:r>
    </w:p>
    <w:p w14:paraId="65660371" w14:textId="77777777" w:rsidR="006710B6" w:rsidRDefault="006710B6" w:rsidP="006B17FE">
      <w:pPr>
        <w:pStyle w:val="Body"/>
        <w:spacing w:after="0"/>
        <w:rPr>
          <w:rFonts w:ascii="Arial" w:hAnsi="Arial" w:cs="Arial"/>
          <w:lang w:val="en-GB"/>
        </w:rPr>
      </w:pPr>
    </w:p>
    <w:p w14:paraId="69AF9D8D" w14:textId="26BAC00A" w:rsidR="006B17FE" w:rsidRDefault="006B17FE" w:rsidP="006B17FE">
      <w:pPr>
        <w:pStyle w:val="Body"/>
        <w:spacing w:after="0"/>
        <w:rPr>
          <w:rFonts w:ascii="Arial" w:hAnsi="Arial" w:cs="Arial"/>
          <w:lang w:val="en-GB"/>
        </w:rPr>
      </w:pPr>
      <w:r w:rsidRPr="006B17FE">
        <w:rPr>
          <w:rFonts w:ascii="Arial" w:hAnsi="Arial" w:cs="Arial"/>
          <w:lang w:val="en-GB"/>
        </w:rPr>
        <w:t xml:space="preserve">When asked to guess the purpose of the study, 15 participants (16%) provided responses that correctly or partially referenced intrasexual competition. The remaining 77 participants (84%) gave incorrect or unrelated responses. These </w:t>
      </w:r>
      <w:r w:rsidRPr="006B17FE">
        <w:rPr>
          <w:rFonts w:ascii="Arial" w:hAnsi="Arial" w:cs="Arial"/>
          <w:lang w:val="en-GB"/>
        </w:rPr>
        <w:lastRenderedPageBreak/>
        <w:t>results suggest that the priming manipulation was subtle enough to avoid demand characteristics for the majority of participants.</w:t>
      </w:r>
    </w:p>
    <w:p w14:paraId="3FAB391C" w14:textId="77777777" w:rsidR="006710B6" w:rsidRDefault="006710B6" w:rsidP="006B17FE">
      <w:pPr>
        <w:pStyle w:val="Body"/>
        <w:spacing w:after="0"/>
        <w:rPr>
          <w:rFonts w:ascii="Arial" w:hAnsi="Arial" w:cs="Arial"/>
          <w:lang w:val="en-GB"/>
        </w:rPr>
      </w:pPr>
    </w:p>
    <w:p w14:paraId="0D364607" w14:textId="52D11354" w:rsidR="006710B6" w:rsidRPr="006B17FE" w:rsidRDefault="006710B6" w:rsidP="006710B6">
      <w:pPr>
        <w:pStyle w:val="Body"/>
        <w:spacing w:after="0"/>
        <w:rPr>
          <w:rFonts w:ascii="Arial" w:hAnsi="Arial" w:cs="Arial"/>
          <w:b/>
          <w:bCs/>
          <w:u w:val="single"/>
          <w:lang w:val="en-GB"/>
        </w:rPr>
      </w:pPr>
      <w:r w:rsidRPr="006B17FE">
        <w:rPr>
          <w:rFonts w:ascii="Arial" w:hAnsi="Arial" w:cs="Arial"/>
          <w:b/>
          <w:bCs/>
          <w:u w:val="single"/>
          <w:lang w:val="en-GB"/>
        </w:rPr>
        <w:t>3.</w:t>
      </w:r>
      <w:r>
        <w:rPr>
          <w:rFonts w:ascii="Arial" w:hAnsi="Arial" w:cs="Arial"/>
          <w:b/>
          <w:bCs/>
          <w:u w:val="single"/>
          <w:lang w:val="en-GB"/>
        </w:rPr>
        <w:t>4</w:t>
      </w:r>
      <w:r w:rsidRPr="006B17FE">
        <w:rPr>
          <w:rFonts w:ascii="Arial" w:hAnsi="Arial" w:cs="Arial"/>
          <w:b/>
          <w:bCs/>
          <w:u w:val="single"/>
          <w:lang w:val="en-GB"/>
        </w:rPr>
        <w:t xml:space="preserve"> </w:t>
      </w:r>
      <w:r w:rsidRPr="006710B6">
        <w:rPr>
          <w:rFonts w:ascii="Arial" w:hAnsi="Arial" w:cs="Arial"/>
          <w:b/>
          <w:bCs/>
          <w:u w:val="single"/>
        </w:rPr>
        <w:t>Summary of Results</w:t>
      </w:r>
    </w:p>
    <w:p w14:paraId="4C9918FB" w14:textId="77777777" w:rsidR="006B17FE" w:rsidRDefault="006B17FE" w:rsidP="006B17FE">
      <w:pPr>
        <w:pStyle w:val="Body"/>
        <w:spacing w:after="0"/>
        <w:rPr>
          <w:rFonts w:ascii="Arial" w:hAnsi="Arial" w:cs="Arial"/>
          <w:lang w:val="en-GB"/>
        </w:rPr>
      </w:pPr>
    </w:p>
    <w:p w14:paraId="55890785" w14:textId="4F14668A" w:rsidR="006710B6" w:rsidRDefault="006710B6" w:rsidP="006B17FE">
      <w:pPr>
        <w:pStyle w:val="Body"/>
        <w:spacing w:after="0"/>
        <w:rPr>
          <w:rFonts w:ascii="Arial" w:hAnsi="Arial" w:cs="Arial"/>
        </w:rPr>
      </w:pPr>
      <w:r w:rsidRPr="006710B6">
        <w:rPr>
          <w:rFonts w:ascii="Arial" w:hAnsi="Arial" w:cs="Arial"/>
        </w:rPr>
        <w:t>In summary, perceived mate availability did not significantly affect ICS scores overall. However, gender and relationship status moderated competitiveness, especially among females. Mate scarcity significantly increased hypothetical alcohol demand (Q</w:t>
      </w:r>
      <w:r w:rsidRPr="006710B6">
        <w:rPr>
          <w:rFonts w:ascii="Cambria Math" w:hAnsi="Cambria Math" w:cs="Cambria Math"/>
        </w:rPr>
        <w:t>₀</w:t>
      </w:r>
      <w:r w:rsidRPr="006710B6">
        <w:rPr>
          <w:rFonts w:ascii="Arial" w:hAnsi="Arial" w:cs="Arial"/>
        </w:rPr>
        <w:t>) and reduced price sensitivity (α), particularly in partnered males. No main effects emerged in observed consumption metrics, but significant interactions indicated that relationship context and gender shape alcohol-related responses to mate availability cues.</w:t>
      </w:r>
    </w:p>
    <w:p w14:paraId="6B314D22" w14:textId="77777777" w:rsidR="006710B6" w:rsidRDefault="006710B6" w:rsidP="006B17FE">
      <w:pPr>
        <w:pStyle w:val="Body"/>
        <w:spacing w:after="0"/>
        <w:rPr>
          <w:rFonts w:ascii="Arial" w:hAnsi="Arial" w:cs="Arial"/>
        </w:rPr>
      </w:pPr>
    </w:p>
    <w:p w14:paraId="21A2940B" w14:textId="3D866AC3" w:rsidR="006710B6" w:rsidRPr="006710B6" w:rsidRDefault="006710B6" w:rsidP="006B17FE">
      <w:pPr>
        <w:pStyle w:val="Body"/>
        <w:spacing w:after="0"/>
        <w:rPr>
          <w:rFonts w:ascii="Arial" w:hAnsi="Arial" w:cs="Arial"/>
          <w:b/>
          <w:bCs/>
        </w:rPr>
      </w:pPr>
      <w:r w:rsidRPr="006710B6">
        <w:rPr>
          <w:rFonts w:ascii="Arial" w:hAnsi="Arial" w:cs="Arial"/>
          <w:b/>
          <w:bCs/>
        </w:rPr>
        <w:t>Table 2</w:t>
      </w:r>
      <w:r w:rsidRPr="006710B6">
        <w:rPr>
          <w:rFonts w:ascii="Arial" w:hAnsi="Arial" w:cs="Arial"/>
          <w:b/>
          <w:bCs/>
        </w:rPr>
        <w:t xml:space="preserve">. </w:t>
      </w:r>
      <w:r w:rsidRPr="006710B6">
        <w:rPr>
          <w:rFonts w:ascii="Arial" w:hAnsi="Arial" w:cs="Arial"/>
          <w:b/>
          <w:bCs/>
        </w:rPr>
        <w:t>Summary of ANOVA and MANOVA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1"/>
        <w:gridCol w:w="3129"/>
        <w:gridCol w:w="561"/>
        <w:gridCol w:w="450"/>
        <w:gridCol w:w="450"/>
        <w:gridCol w:w="1744"/>
      </w:tblGrid>
      <w:tr w:rsidR="006710B6" w:rsidRPr="006710B6" w14:paraId="4C1321A2" w14:textId="77777777" w:rsidTr="006710B6">
        <w:trPr>
          <w:tblHeader/>
          <w:tblCellSpacing w:w="15" w:type="dxa"/>
        </w:trPr>
        <w:tc>
          <w:tcPr>
            <w:tcW w:w="0" w:type="auto"/>
            <w:tcBorders>
              <w:top w:val="single" w:sz="4" w:space="0" w:color="auto"/>
              <w:bottom w:val="single" w:sz="4" w:space="0" w:color="auto"/>
            </w:tcBorders>
            <w:vAlign w:val="center"/>
            <w:hideMark/>
          </w:tcPr>
          <w:p w14:paraId="6DA31558" w14:textId="77777777" w:rsidR="006710B6" w:rsidRPr="006710B6" w:rsidRDefault="006710B6" w:rsidP="006710B6">
            <w:pPr>
              <w:pStyle w:val="Body"/>
              <w:rPr>
                <w:rFonts w:ascii="Arial" w:hAnsi="Arial" w:cs="Arial"/>
                <w:b/>
                <w:bCs/>
                <w:lang w:val="en-GB"/>
              </w:rPr>
            </w:pPr>
            <w:r w:rsidRPr="006710B6">
              <w:rPr>
                <w:rFonts w:ascii="Arial" w:hAnsi="Arial" w:cs="Arial"/>
                <w:b/>
                <w:bCs/>
                <w:lang w:val="en-GB"/>
              </w:rPr>
              <w:t>Dependent Variable</w:t>
            </w:r>
          </w:p>
        </w:tc>
        <w:tc>
          <w:tcPr>
            <w:tcW w:w="0" w:type="auto"/>
            <w:tcBorders>
              <w:top w:val="single" w:sz="4" w:space="0" w:color="auto"/>
              <w:bottom w:val="single" w:sz="4" w:space="0" w:color="auto"/>
            </w:tcBorders>
            <w:vAlign w:val="center"/>
            <w:hideMark/>
          </w:tcPr>
          <w:p w14:paraId="2476CE2D" w14:textId="77777777" w:rsidR="006710B6" w:rsidRPr="006710B6" w:rsidRDefault="006710B6" w:rsidP="006710B6">
            <w:pPr>
              <w:pStyle w:val="Body"/>
              <w:rPr>
                <w:rFonts w:ascii="Arial" w:hAnsi="Arial" w:cs="Arial"/>
                <w:b/>
                <w:bCs/>
                <w:lang w:val="en-GB"/>
              </w:rPr>
            </w:pPr>
            <w:r w:rsidRPr="006710B6">
              <w:rPr>
                <w:rFonts w:ascii="Arial" w:hAnsi="Arial" w:cs="Arial"/>
                <w:b/>
                <w:bCs/>
                <w:lang w:val="en-GB"/>
              </w:rPr>
              <w:t>Effect</w:t>
            </w:r>
          </w:p>
        </w:tc>
        <w:tc>
          <w:tcPr>
            <w:tcW w:w="0" w:type="auto"/>
            <w:tcBorders>
              <w:top w:val="single" w:sz="4" w:space="0" w:color="auto"/>
              <w:bottom w:val="single" w:sz="4" w:space="0" w:color="auto"/>
            </w:tcBorders>
            <w:vAlign w:val="center"/>
            <w:hideMark/>
          </w:tcPr>
          <w:p w14:paraId="7CD05BE7" w14:textId="77777777" w:rsidR="006710B6" w:rsidRPr="006710B6" w:rsidRDefault="006710B6" w:rsidP="006710B6">
            <w:pPr>
              <w:pStyle w:val="Body"/>
              <w:rPr>
                <w:rFonts w:ascii="Arial" w:hAnsi="Arial" w:cs="Arial"/>
                <w:b/>
                <w:bCs/>
                <w:lang w:val="en-GB"/>
              </w:rPr>
            </w:pPr>
            <w:r w:rsidRPr="006710B6">
              <w:rPr>
                <w:rFonts w:ascii="Arial" w:hAnsi="Arial" w:cs="Arial"/>
                <w:b/>
                <w:bCs/>
                <w:lang w:val="en-GB"/>
              </w:rPr>
              <w:t>F</w:t>
            </w:r>
          </w:p>
        </w:tc>
        <w:tc>
          <w:tcPr>
            <w:tcW w:w="0" w:type="auto"/>
            <w:tcBorders>
              <w:top w:val="single" w:sz="4" w:space="0" w:color="auto"/>
              <w:bottom w:val="single" w:sz="4" w:space="0" w:color="auto"/>
            </w:tcBorders>
            <w:vAlign w:val="center"/>
            <w:hideMark/>
          </w:tcPr>
          <w:p w14:paraId="606298AA" w14:textId="77777777" w:rsidR="006710B6" w:rsidRPr="006710B6" w:rsidRDefault="006710B6" w:rsidP="006710B6">
            <w:pPr>
              <w:pStyle w:val="Body"/>
              <w:rPr>
                <w:rFonts w:ascii="Arial" w:hAnsi="Arial" w:cs="Arial"/>
                <w:b/>
                <w:bCs/>
                <w:lang w:val="en-GB"/>
              </w:rPr>
            </w:pPr>
            <w:r w:rsidRPr="006710B6">
              <w:rPr>
                <w:rFonts w:ascii="Arial" w:hAnsi="Arial" w:cs="Arial"/>
                <w:b/>
                <w:bCs/>
                <w:lang w:val="en-GB"/>
              </w:rPr>
              <w:t>p</w:t>
            </w:r>
          </w:p>
        </w:tc>
        <w:tc>
          <w:tcPr>
            <w:tcW w:w="0" w:type="auto"/>
            <w:tcBorders>
              <w:top w:val="single" w:sz="4" w:space="0" w:color="auto"/>
              <w:bottom w:val="single" w:sz="4" w:space="0" w:color="auto"/>
            </w:tcBorders>
            <w:vAlign w:val="center"/>
            <w:hideMark/>
          </w:tcPr>
          <w:p w14:paraId="41879364" w14:textId="77777777" w:rsidR="006710B6" w:rsidRPr="006710B6" w:rsidRDefault="006710B6" w:rsidP="006710B6">
            <w:pPr>
              <w:pStyle w:val="Body"/>
              <w:rPr>
                <w:rFonts w:ascii="Arial" w:hAnsi="Arial" w:cs="Arial"/>
                <w:b/>
                <w:bCs/>
                <w:lang w:val="en-GB"/>
              </w:rPr>
            </w:pPr>
            <w:r w:rsidRPr="006710B6">
              <w:rPr>
                <w:rFonts w:ascii="Arial" w:hAnsi="Arial" w:cs="Arial"/>
                <w:b/>
                <w:bCs/>
                <w:lang w:val="en-GB"/>
              </w:rPr>
              <w:t>ηp²</w:t>
            </w:r>
          </w:p>
        </w:tc>
        <w:tc>
          <w:tcPr>
            <w:tcW w:w="0" w:type="auto"/>
            <w:tcBorders>
              <w:top w:val="single" w:sz="4" w:space="0" w:color="auto"/>
              <w:bottom w:val="single" w:sz="4" w:space="0" w:color="auto"/>
            </w:tcBorders>
            <w:vAlign w:val="center"/>
            <w:hideMark/>
          </w:tcPr>
          <w:p w14:paraId="092E30CF" w14:textId="77777777" w:rsidR="006710B6" w:rsidRPr="006710B6" w:rsidRDefault="006710B6" w:rsidP="006710B6">
            <w:pPr>
              <w:pStyle w:val="Body"/>
              <w:rPr>
                <w:rFonts w:ascii="Arial" w:hAnsi="Arial" w:cs="Arial"/>
                <w:b/>
                <w:bCs/>
                <w:lang w:val="en-GB"/>
              </w:rPr>
            </w:pPr>
            <w:r w:rsidRPr="006710B6">
              <w:rPr>
                <w:rFonts w:ascii="Arial" w:hAnsi="Arial" w:cs="Arial"/>
                <w:b/>
                <w:bCs/>
                <w:lang w:val="en-GB"/>
              </w:rPr>
              <w:t>95% CI</w:t>
            </w:r>
          </w:p>
        </w:tc>
      </w:tr>
      <w:tr w:rsidR="006710B6" w:rsidRPr="006710B6" w14:paraId="0367083C" w14:textId="77777777" w:rsidTr="006710B6">
        <w:trPr>
          <w:tblCellSpacing w:w="15" w:type="dxa"/>
        </w:trPr>
        <w:tc>
          <w:tcPr>
            <w:tcW w:w="0" w:type="auto"/>
            <w:vAlign w:val="center"/>
            <w:hideMark/>
          </w:tcPr>
          <w:p w14:paraId="14FE12AE" w14:textId="77777777" w:rsidR="006710B6" w:rsidRPr="006710B6" w:rsidRDefault="006710B6" w:rsidP="006710B6">
            <w:pPr>
              <w:pStyle w:val="Body"/>
              <w:rPr>
                <w:rFonts w:ascii="Arial" w:hAnsi="Arial" w:cs="Arial"/>
                <w:lang w:val="en-GB"/>
              </w:rPr>
            </w:pPr>
            <w:r w:rsidRPr="006710B6">
              <w:rPr>
                <w:rFonts w:ascii="Arial" w:hAnsi="Arial" w:cs="Arial"/>
                <w:lang w:val="en-GB"/>
              </w:rPr>
              <w:t>ICS Score</w:t>
            </w:r>
          </w:p>
        </w:tc>
        <w:tc>
          <w:tcPr>
            <w:tcW w:w="0" w:type="auto"/>
            <w:vAlign w:val="center"/>
            <w:hideMark/>
          </w:tcPr>
          <w:p w14:paraId="721F53FB" w14:textId="77777777" w:rsidR="006710B6" w:rsidRPr="006710B6" w:rsidRDefault="006710B6" w:rsidP="006710B6">
            <w:pPr>
              <w:pStyle w:val="Body"/>
              <w:rPr>
                <w:rFonts w:ascii="Arial" w:hAnsi="Arial" w:cs="Arial"/>
                <w:lang w:val="en-GB"/>
              </w:rPr>
            </w:pPr>
            <w:r w:rsidRPr="006710B6">
              <w:rPr>
                <w:rFonts w:ascii="Arial" w:hAnsi="Arial" w:cs="Arial"/>
                <w:lang w:val="en-GB"/>
              </w:rPr>
              <w:t>Condition (main)</w:t>
            </w:r>
          </w:p>
        </w:tc>
        <w:tc>
          <w:tcPr>
            <w:tcW w:w="0" w:type="auto"/>
            <w:vAlign w:val="center"/>
            <w:hideMark/>
          </w:tcPr>
          <w:p w14:paraId="36E5BBEB" w14:textId="77777777" w:rsidR="006710B6" w:rsidRPr="006710B6" w:rsidRDefault="006710B6" w:rsidP="006710B6">
            <w:pPr>
              <w:pStyle w:val="Body"/>
              <w:rPr>
                <w:rFonts w:ascii="Arial" w:hAnsi="Arial" w:cs="Arial"/>
                <w:lang w:val="en-GB"/>
              </w:rPr>
            </w:pPr>
            <w:r w:rsidRPr="006710B6">
              <w:rPr>
                <w:rFonts w:ascii="Arial" w:hAnsi="Arial" w:cs="Arial"/>
                <w:lang w:val="en-GB"/>
              </w:rPr>
              <w:t>0.34</w:t>
            </w:r>
          </w:p>
        </w:tc>
        <w:tc>
          <w:tcPr>
            <w:tcW w:w="0" w:type="auto"/>
            <w:vAlign w:val="center"/>
            <w:hideMark/>
          </w:tcPr>
          <w:p w14:paraId="26670A67" w14:textId="77777777" w:rsidR="006710B6" w:rsidRPr="006710B6" w:rsidRDefault="006710B6" w:rsidP="006710B6">
            <w:pPr>
              <w:pStyle w:val="Body"/>
              <w:rPr>
                <w:rFonts w:ascii="Arial" w:hAnsi="Arial" w:cs="Arial"/>
                <w:lang w:val="en-GB"/>
              </w:rPr>
            </w:pPr>
            <w:r w:rsidRPr="006710B6">
              <w:rPr>
                <w:rFonts w:ascii="Arial" w:hAnsi="Arial" w:cs="Arial"/>
                <w:lang w:val="en-GB"/>
              </w:rPr>
              <w:t>.56</w:t>
            </w:r>
          </w:p>
        </w:tc>
        <w:tc>
          <w:tcPr>
            <w:tcW w:w="0" w:type="auto"/>
            <w:vAlign w:val="center"/>
            <w:hideMark/>
          </w:tcPr>
          <w:p w14:paraId="5A06D7B3" w14:textId="77777777" w:rsidR="006710B6" w:rsidRPr="006710B6" w:rsidRDefault="006710B6" w:rsidP="006710B6">
            <w:pPr>
              <w:pStyle w:val="Body"/>
              <w:rPr>
                <w:rFonts w:ascii="Arial" w:hAnsi="Arial" w:cs="Arial"/>
                <w:lang w:val="en-GB"/>
              </w:rPr>
            </w:pPr>
            <w:r w:rsidRPr="006710B6">
              <w:rPr>
                <w:rFonts w:ascii="Arial" w:hAnsi="Arial" w:cs="Arial"/>
                <w:lang w:val="en-GB"/>
              </w:rPr>
              <w:t>.001</w:t>
            </w:r>
          </w:p>
        </w:tc>
        <w:tc>
          <w:tcPr>
            <w:tcW w:w="0" w:type="auto"/>
            <w:vAlign w:val="center"/>
            <w:hideMark/>
          </w:tcPr>
          <w:p w14:paraId="538DD667" w14:textId="77777777" w:rsidR="006710B6" w:rsidRPr="006710B6" w:rsidRDefault="006710B6" w:rsidP="006710B6">
            <w:pPr>
              <w:pStyle w:val="Body"/>
              <w:rPr>
                <w:rFonts w:ascii="Arial" w:hAnsi="Arial" w:cs="Arial"/>
                <w:lang w:val="en-GB"/>
              </w:rPr>
            </w:pPr>
            <w:r w:rsidRPr="006710B6">
              <w:rPr>
                <w:rFonts w:ascii="Arial" w:hAnsi="Arial" w:cs="Arial"/>
                <w:lang w:val="en-GB"/>
              </w:rPr>
              <w:t>[–0.22, 0.12]</w:t>
            </w:r>
          </w:p>
        </w:tc>
      </w:tr>
      <w:tr w:rsidR="006710B6" w:rsidRPr="006710B6" w14:paraId="6F6FCBB0" w14:textId="77777777" w:rsidTr="006710B6">
        <w:trPr>
          <w:tblCellSpacing w:w="15" w:type="dxa"/>
        </w:trPr>
        <w:tc>
          <w:tcPr>
            <w:tcW w:w="0" w:type="auto"/>
            <w:vAlign w:val="center"/>
            <w:hideMark/>
          </w:tcPr>
          <w:p w14:paraId="22B39EF8" w14:textId="77777777" w:rsidR="006710B6" w:rsidRPr="006710B6" w:rsidRDefault="006710B6" w:rsidP="006710B6">
            <w:pPr>
              <w:pStyle w:val="Body"/>
              <w:rPr>
                <w:rFonts w:ascii="Arial" w:hAnsi="Arial" w:cs="Arial"/>
                <w:lang w:val="en-GB"/>
              </w:rPr>
            </w:pPr>
          </w:p>
        </w:tc>
        <w:tc>
          <w:tcPr>
            <w:tcW w:w="0" w:type="auto"/>
            <w:vAlign w:val="center"/>
            <w:hideMark/>
          </w:tcPr>
          <w:p w14:paraId="5FE65A45" w14:textId="77777777" w:rsidR="006710B6" w:rsidRPr="006710B6" w:rsidRDefault="006710B6" w:rsidP="006710B6">
            <w:pPr>
              <w:pStyle w:val="Body"/>
              <w:rPr>
                <w:rFonts w:ascii="Arial" w:hAnsi="Arial" w:cs="Arial"/>
                <w:lang w:val="en-GB"/>
              </w:rPr>
            </w:pPr>
            <w:r w:rsidRPr="006710B6">
              <w:rPr>
                <w:rFonts w:ascii="Arial" w:hAnsi="Arial" w:cs="Arial"/>
                <w:lang w:val="en-GB"/>
              </w:rPr>
              <w:t>Gender (main)</w:t>
            </w:r>
          </w:p>
        </w:tc>
        <w:tc>
          <w:tcPr>
            <w:tcW w:w="0" w:type="auto"/>
            <w:vAlign w:val="center"/>
            <w:hideMark/>
          </w:tcPr>
          <w:p w14:paraId="23220287" w14:textId="77777777" w:rsidR="006710B6" w:rsidRPr="006710B6" w:rsidRDefault="006710B6" w:rsidP="006710B6">
            <w:pPr>
              <w:pStyle w:val="Body"/>
              <w:rPr>
                <w:rFonts w:ascii="Arial" w:hAnsi="Arial" w:cs="Arial"/>
                <w:lang w:val="en-GB"/>
              </w:rPr>
            </w:pPr>
            <w:r w:rsidRPr="006710B6">
              <w:rPr>
                <w:rFonts w:ascii="Arial" w:hAnsi="Arial" w:cs="Arial"/>
                <w:lang w:val="en-GB"/>
              </w:rPr>
              <w:t>4.68</w:t>
            </w:r>
          </w:p>
        </w:tc>
        <w:tc>
          <w:tcPr>
            <w:tcW w:w="0" w:type="auto"/>
            <w:vAlign w:val="center"/>
            <w:hideMark/>
          </w:tcPr>
          <w:p w14:paraId="6AC7B960" w14:textId="77777777" w:rsidR="006710B6" w:rsidRPr="006710B6" w:rsidRDefault="006710B6" w:rsidP="006710B6">
            <w:pPr>
              <w:pStyle w:val="Body"/>
              <w:rPr>
                <w:rFonts w:ascii="Arial" w:hAnsi="Arial" w:cs="Arial"/>
                <w:lang w:val="en-GB"/>
              </w:rPr>
            </w:pPr>
            <w:r w:rsidRPr="006710B6">
              <w:rPr>
                <w:rFonts w:ascii="Arial" w:hAnsi="Arial" w:cs="Arial"/>
                <w:lang w:val="en-GB"/>
              </w:rPr>
              <w:t>.03</w:t>
            </w:r>
          </w:p>
        </w:tc>
        <w:tc>
          <w:tcPr>
            <w:tcW w:w="0" w:type="auto"/>
            <w:vAlign w:val="center"/>
            <w:hideMark/>
          </w:tcPr>
          <w:p w14:paraId="0B1F8AE5" w14:textId="77777777" w:rsidR="006710B6" w:rsidRPr="006710B6" w:rsidRDefault="006710B6" w:rsidP="006710B6">
            <w:pPr>
              <w:pStyle w:val="Body"/>
              <w:rPr>
                <w:rFonts w:ascii="Arial" w:hAnsi="Arial" w:cs="Arial"/>
                <w:lang w:val="en-GB"/>
              </w:rPr>
            </w:pPr>
            <w:r w:rsidRPr="006710B6">
              <w:rPr>
                <w:rFonts w:ascii="Arial" w:hAnsi="Arial" w:cs="Arial"/>
                <w:lang w:val="en-GB"/>
              </w:rPr>
              <w:t>.06</w:t>
            </w:r>
          </w:p>
        </w:tc>
        <w:tc>
          <w:tcPr>
            <w:tcW w:w="0" w:type="auto"/>
            <w:vAlign w:val="center"/>
            <w:hideMark/>
          </w:tcPr>
          <w:p w14:paraId="54201FC6" w14:textId="77777777" w:rsidR="006710B6" w:rsidRPr="006710B6" w:rsidRDefault="006710B6" w:rsidP="006710B6">
            <w:pPr>
              <w:pStyle w:val="Body"/>
              <w:rPr>
                <w:rFonts w:ascii="Arial" w:hAnsi="Arial" w:cs="Arial"/>
                <w:lang w:val="en-GB"/>
              </w:rPr>
            </w:pPr>
            <w:r w:rsidRPr="006710B6">
              <w:rPr>
                <w:rFonts w:ascii="Arial" w:hAnsi="Arial" w:cs="Arial"/>
                <w:lang w:val="en-GB"/>
              </w:rPr>
              <w:t>[0.01, 0.34]</w:t>
            </w:r>
          </w:p>
        </w:tc>
      </w:tr>
      <w:tr w:rsidR="006710B6" w:rsidRPr="006710B6" w14:paraId="245FCB38" w14:textId="77777777" w:rsidTr="006710B6">
        <w:trPr>
          <w:tblCellSpacing w:w="15" w:type="dxa"/>
        </w:trPr>
        <w:tc>
          <w:tcPr>
            <w:tcW w:w="0" w:type="auto"/>
            <w:vAlign w:val="center"/>
            <w:hideMark/>
          </w:tcPr>
          <w:p w14:paraId="2EE61A32" w14:textId="77777777" w:rsidR="006710B6" w:rsidRPr="006710B6" w:rsidRDefault="006710B6" w:rsidP="006710B6">
            <w:pPr>
              <w:pStyle w:val="Body"/>
              <w:rPr>
                <w:rFonts w:ascii="Arial" w:hAnsi="Arial" w:cs="Arial"/>
                <w:lang w:val="en-GB"/>
              </w:rPr>
            </w:pPr>
          </w:p>
        </w:tc>
        <w:tc>
          <w:tcPr>
            <w:tcW w:w="0" w:type="auto"/>
            <w:vAlign w:val="center"/>
            <w:hideMark/>
          </w:tcPr>
          <w:p w14:paraId="4C87C25C" w14:textId="77777777" w:rsidR="006710B6" w:rsidRPr="006710B6" w:rsidRDefault="006710B6" w:rsidP="006710B6">
            <w:pPr>
              <w:pStyle w:val="Body"/>
              <w:rPr>
                <w:rFonts w:ascii="Arial" w:hAnsi="Arial" w:cs="Arial"/>
                <w:lang w:val="en-GB"/>
              </w:rPr>
            </w:pPr>
            <w:r w:rsidRPr="006710B6">
              <w:rPr>
                <w:rFonts w:ascii="Arial" w:hAnsi="Arial" w:cs="Arial"/>
                <w:lang w:val="en-GB"/>
              </w:rPr>
              <w:t>Condition × Relationship</w:t>
            </w:r>
          </w:p>
        </w:tc>
        <w:tc>
          <w:tcPr>
            <w:tcW w:w="0" w:type="auto"/>
            <w:vAlign w:val="center"/>
            <w:hideMark/>
          </w:tcPr>
          <w:p w14:paraId="0F38273B" w14:textId="77777777" w:rsidR="006710B6" w:rsidRPr="006710B6" w:rsidRDefault="006710B6" w:rsidP="006710B6">
            <w:pPr>
              <w:pStyle w:val="Body"/>
              <w:rPr>
                <w:rFonts w:ascii="Arial" w:hAnsi="Arial" w:cs="Arial"/>
                <w:lang w:val="en-GB"/>
              </w:rPr>
            </w:pPr>
            <w:r w:rsidRPr="006710B6">
              <w:rPr>
                <w:rFonts w:ascii="Arial" w:hAnsi="Arial" w:cs="Arial"/>
                <w:lang w:val="en-GB"/>
              </w:rPr>
              <w:t>4.90</w:t>
            </w:r>
          </w:p>
        </w:tc>
        <w:tc>
          <w:tcPr>
            <w:tcW w:w="0" w:type="auto"/>
            <w:vAlign w:val="center"/>
            <w:hideMark/>
          </w:tcPr>
          <w:p w14:paraId="7845B3CF" w14:textId="77777777" w:rsidR="006710B6" w:rsidRPr="006710B6" w:rsidRDefault="006710B6" w:rsidP="006710B6">
            <w:pPr>
              <w:pStyle w:val="Body"/>
              <w:rPr>
                <w:rFonts w:ascii="Arial" w:hAnsi="Arial" w:cs="Arial"/>
                <w:lang w:val="en-GB"/>
              </w:rPr>
            </w:pPr>
            <w:r w:rsidRPr="006710B6">
              <w:rPr>
                <w:rFonts w:ascii="Arial" w:hAnsi="Arial" w:cs="Arial"/>
                <w:lang w:val="en-GB"/>
              </w:rPr>
              <w:t>.03</w:t>
            </w:r>
          </w:p>
        </w:tc>
        <w:tc>
          <w:tcPr>
            <w:tcW w:w="0" w:type="auto"/>
            <w:vAlign w:val="center"/>
            <w:hideMark/>
          </w:tcPr>
          <w:p w14:paraId="251000F1" w14:textId="77777777" w:rsidR="006710B6" w:rsidRPr="006710B6" w:rsidRDefault="006710B6" w:rsidP="006710B6">
            <w:pPr>
              <w:pStyle w:val="Body"/>
              <w:rPr>
                <w:rFonts w:ascii="Arial" w:hAnsi="Arial" w:cs="Arial"/>
                <w:lang w:val="en-GB"/>
              </w:rPr>
            </w:pPr>
            <w:r w:rsidRPr="006710B6">
              <w:rPr>
                <w:rFonts w:ascii="Arial" w:hAnsi="Arial" w:cs="Arial"/>
                <w:lang w:val="en-GB"/>
              </w:rPr>
              <w:t>.06</w:t>
            </w:r>
          </w:p>
        </w:tc>
        <w:tc>
          <w:tcPr>
            <w:tcW w:w="0" w:type="auto"/>
            <w:vAlign w:val="center"/>
            <w:hideMark/>
          </w:tcPr>
          <w:p w14:paraId="7200D106" w14:textId="77777777" w:rsidR="006710B6" w:rsidRPr="006710B6" w:rsidRDefault="006710B6" w:rsidP="006710B6">
            <w:pPr>
              <w:pStyle w:val="Body"/>
              <w:rPr>
                <w:rFonts w:ascii="Arial" w:hAnsi="Arial" w:cs="Arial"/>
                <w:lang w:val="en-GB"/>
              </w:rPr>
            </w:pPr>
            <w:r w:rsidRPr="006710B6">
              <w:rPr>
                <w:rFonts w:ascii="Arial" w:hAnsi="Arial" w:cs="Arial"/>
                <w:lang w:val="en-GB"/>
              </w:rPr>
              <w:t>[0.02, 0.38]</w:t>
            </w:r>
          </w:p>
        </w:tc>
      </w:tr>
      <w:tr w:rsidR="006710B6" w:rsidRPr="006710B6" w14:paraId="4B84A223" w14:textId="77777777" w:rsidTr="006710B6">
        <w:trPr>
          <w:tblCellSpacing w:w="15" w:type="dxa"/>
        </w:trPr>
        <w:tc>
          <w:tcPr>
            <w:tcW w:w="0" w:type="auto"/>
            <w:vAlign w:val="center"/>
            <w:hideMark/>
          </w:tcPr>
          <w:p w14:paraId="0A03D686" w14:textId="77777777" w:rsidR="006710B6" w:rsidRPr="006710B6" w:rsidRDefault="006710B6" w:rsidP="006710B6">
            <w:pPr>
              <w:pStyle w:val="Body"/>
              <w:rPr>
                <w:rFonts w:ascii="Arial" w:hAnsi="Arial" w:cs="Arial"/>
                <w:lang w:val="en-GB"/>
              </w:rPr>
            </w:pPr>
            <w:r w:rsidRPr="006710B6">
              <w:rPr>
                <w:rFonts w:ascii="Arial" w:hAnsi="Arial" w:cs="Arial"/>
                <w:lang w:val="en-GB"/>
              </w:rPr>
              <w:t>Q</w:t>
            </w:r>
            <w:r w:rsidRPr="006710B6">
              <w:rPr>
                <w:rFonts w:ascii="Cambria Math" w:hAnsi="Cambria Math" w:cs="Cambria Math"/>
                <w:lang w:val="en-GB"/>
              </w:rPr>
              <w:t>₀</w:t>
            </w:r>
            <w:r w:rsidRPr="006710B6">
              <w:rPr>
                <w:rFonts w:ascii="Arial" w:hAnsi="Arial" w:cs="Arial"/>
                <w:lang w:val="en-GB"/>
              </w:rPr>
              <w:t xml:space="preserve"> (hypothetical demand)</w:t>
            </w:r>
          </w:p>
        </w:tc>
        <w:tc>
          <w:tcPr>
            <w:tcW w:w="0" w:type="auto"/>
            <w:vAlign w:val="center"/>
            <w:hideMark/>
          </w:tcPr>
          <w:p w14:paraId="5049887A" w14:textId="77777777" w:rsidR="006710B6" w:rsidRPr="006710B6" w:rsidRDefault="006710B6" w:rsidP="006710B6">
            <w:pPr>
              <w:pStyle w:val="Body"/>
              <w:rPr>
                <w:rFonts w:ascii="Arial" w:hAnsi="Arial" w:cs="Arial"/>
                <w:lang w:val="en-GB"/>
              </w:rPr>
            </w:pPr>
            <w:r w:rsidRPr="006710B6">
              <w:rPr>
                <w:rFonts w:ascii="Arial" w:hAnsi="Arial" w:cs="Arial"/>
                <w:lang w:val="en-GB"/>
              </w:rPr>
              <w:t>Condition (main)</w:t>
            </w:r>
          </w:p>
        </w:tc>
        <w:tc>
          <w:tcPr>
            <w:tcW w:w="0" w:type="auto"/>
            <w:vAlign w:val="center"/>
            <w:hideMark/>
          </w:tcPr>
          <w:p w14:paraId="30059A32" w14:textId="77777777" w:rsidR="006710B6" w:rsidRPr="006710B6" w:rsidRDefault="006710B6" w:rsidP="006710B6">
            <w:pPr>
              <w:pStyle w:val="Body"/>
              <w:rPr>
                <w:rFonts w:ascii="Arial" w:hAnsi="Arial" w:cs="Arial"/>
                <w:lang w:val="en-GB"/>
              </w:rPr>
            </w:pPr>
            <w:r w:rsidRPr="006710B6">
              <w:rPr>
                <w:rFonts w:ascii="Arial" w:hAnsi="Arial" w:cs="Arial"/>
                <w:lang w:val="en-GB"/>
              </w:rPr>
              <w:t>7.60</w:t>
            </w:r>
          </w:p>
        </w:tc>
        <w:tc>
          <w:tcPr>
            <w:tcW w:w="0" w:type="auto"/>
            <w:vAlign w:val="center"/>
            <w:hideMark/>
          </w:tcPr>
          <w:p w14:paraId="61F93CE4" w14:textId="77777777" w:rsidR="006710B6" w:rsidRPr="006710B6" w:rsidRDefault="006710B6" w:rsidP="006710B6">
            <w:pPr>
              <w:pStyle w:val="Body"/>
              <w:rPr>
                <w:rFonts w:ascii="Arial" w:hAnsi="Arial" w:cs="Arial"/>
                <w:lang w:val="en-GB"/>
              </w:rPr>
            </w:pPr>
            <w:r w:rsidRPr="006710B6">
              <w:rPr>
                <w:rFonts w:ascii="Arial" w:hAnsi="Arial" w:cs="Arial"/>
                <w:lang w:val="en-GB"/>
              </w:rPr>
              <w:t>.01</w:t>
            </w:r>
          </w:p>
        </w:tc>
        <w:tc>
          <w:tcPr>
            <w:tcW w:w="0" w:type="auto"/>
            <w:vAlign w:val="center"/>
            <w:hideMark/>
          </w:tcPr>
          <w:p w14:paraId="31A1D0AB" w14:textId="77777777" w:rsidR="006710B6" w:rsidRPr="006710B6" w:rsidRDefault="006710B6" w:rsidP="006710B6">
            <w:pPr>
              <w:pStyle w:val="Body"/>
              <w:rPr>
                <w:rFonts w:ascii="Arial" w:hAnsi="Arial" w:cs="Arial"/>
                <w:lang w:val="en-GB"/>
              </w:rPr>
            </w:pPr>
            <w:r w:rsidRPr="006710B6">
              <w:rPr>
                <w:rFonts w:ascii="Arial" w:hAnsi="Arial" w:cs="Arial"/>
                <w:lang w:val="en-GB"/>
              </w:rPr>
              <w:t>.27</w:t>
            </w:r>
          </w:p>
        </w:tc>
        <w:tc>
          <w:tcPr>
            <w:tcW w:w="0" w:type="auto"/>
            <w:vAlign w:val="center"/>
            <w:hideMark/>
          </w:tcPr>
          <w:p w14:paraId="27CF01CB" w14:textId="77777777" w:rsidR="006710B6" w:rsidRPr="006710B6" w:rsidRDefault="006710B6" w:rsidP="006710B6">
            <w:pPr>
              <w:pStyle w:val="Body"/>
              <w:rPr>
                <w:rFonts w:ascii="Arial" w:hAnsi="Arial" w:cs="Arial"/>
                <w:lang w:val="en-GB"/>
              </w:rPr>
            </w:pPr>
            <w:r w:rsidRPr="006710B6">
              <w:rPr>
                <w:rFonts w:ascii="Arial" w:hAnsi="Arial" w:cs="Arial"/>
                <w:lang w:val="en-GB"/>
              </w:rPr>
              <w:t>[0.12, 0.85]</w:t>
            </w:r>
          </w:p>
        </w:tc>
      </w:tr>
      <w:tr w:rsidR="006710B6" w:rsidRPr="006710B6" w14:paraId="089FC02D" w14:textId="77777777" w:rsidTr="006710B6">
        <w:trPr>
          <w:tblCellSpacing w:w="15" w:type="dxa"/>
        </w:trPr>
        <w:tc>
          <w:tcPr>
            <w:tcW w:w="0" w:type="auto"/>
            <w:vAlign w:val="center"/>
            <w:hideMark/>
          </w:tcPr>
          <w:p w14:paraId="3A4CE6F1" w14:textId="77777777" w:rsidR="006710B6" w:rsidRPr="006710B6" w:rsidRDefault="006710B6" w:rsidP="006710B6">
            <w:pPr>
              <w:pStyle w:val="Body"/>
              <w:rPr>
                <w:rFonts w:ascii="Arial" w:hAnsi="Arial" w:cs="Arial"/>
                <w:lang w:val="en-GB"/>
              </w:rPr>
            </w:pPr>
            <w:r w:rsidRPr="006710B6">
              <w:rPr>
                <w:rFonts w:ascii="Arial" w:hAnsi="Arial" w:cs="Arial"/>
                <w:lang w:val="en-GB"/>
              </w:rPr>
              <w:t>α (price sensitivity)</w:t>
            </w:r>
          </w:p>
        </w:tc>
        <w:tc>
          <w:tcPr>
            <w:tcW w:w="0" w:type="auto"/>
            <w:vAlign w:val="center"/>
            <w:hideMark/>
          </w:tcPr>
          <w:p w14:paraId="3344774E" w14:textId="77777777" w:rsidR="006710B6" w:rsidRPr="006710B6" w:rsidRDefault="006710B6" w:rsidP="006710B6">
            <w:pPr>
              <w:pStyle w:val="Body"/>
              <w:rPr>
                <w:rFonts w:ascii="Arial" w:hAnsi="Arial" w:cs="Arial"/>
                <w:lang w:val="en-GB"/>
              </w:rPr>
            </w:pPr>
            <w:r w:rsidRPr="006710B6">
              <w:rPr>
                <w:rFonts w:ascii="Arial" w:hAnsi="Arial" w:cs="Arial"/>
                <w:lang w:val="en-GB"/>
              </w:rPr>
              <w:t>Condition (main)</w:t>
            </w:r>
          </w:p>
        </w:tc>
        <w:tc>
          <w:tcPr>
            <w:tcW w:w="0" w:type="auto"/>
            <w:vAlign w:val="center"/>
            <w:hideMark/>
          </w:tcPr>
          <w:p w14:paraId="64A1B750" w14:textId="77777777" w:rsidR="006710B6" w:rsidRPr="006710B6" w:rsidRDefault="006710B6" w:rsidP="006710B6">
            <w:pPr>
              <w:pStyle w:val="Body"/>
              <w:rPr>
                <w:rFonts w:ascii="Arial" w:hAnsi="Arial" w:cs="Arial"/>
                <w:lang w:val="en-GB"/>
              </w:rPr>
            </w:pPr>
            <w:r w:rsidRPr="006710B6">
              <w:rPr>
                <w:rFonts w:ascii="Arial" w:hAnsi="Arial" w:cs="Arial"/>
                <w:lang w:val="en-GB"/>
              </w:rPr>
              <w:t>21.00</w:t>
            </w:r>
          </w:p>
        </w:tc>
        <w:tc>
          <w:tcPr>
            <w:tcW w:w="0" w:type="auto"/>
            <w:vAlign w:val="center"/>
            <w:hideMark/>
          </w:tcPr>
          <w:p w14:paraId="2B0258F2" w14:textId="77777777" w:rsidR="006710B6" w:rsidRPr="006710B6" w:rsidRDefault="006710B6" w:rsidP="006710B6">
            <w:pPr>
              <w:pStyle w:val="Body"/>
              <w:rPr>
                <w:rFonts w:ascii="Arial" w:hAnsi="Arial" w:cs="Arial"/>
                <w:lang w:val="en-GB"/>
              </w:rPr>
            </w:pPr>
            <w:r w:rsidRPr="006710B6">
              <w:rPr>
                <w:rFonts w:ascii="Arial" w:hAnsi="Arial" w:cs="Arial"/>
                <w:lang w:val="en-GB"/>
              </w:rPr>
              <w:t>.001</w:t>
            </w:r>
          </w:p>
        </w:tc>
        <w:tc>
          <w:tcPr>
            <w:tcW w:w="0" w:type="auto"/>
            <w:vAlign w:val="center"/>
            <w:hideMark/>
          </w:tcPr>
          <w:p w14:paraId="141B1070" w14:textId="77777777" w:rsidR="006710B6" w:rsidRPr="006710B6" w:rsidRDefault="006710B6" w:rsidP="006710B6">
            <w:pPr>
              <w:pStyle w:val="Body"/>
              <w:rPr>
                <w:rFonts w:ascii="Arial" w:hAnsi="Arial" w:cs="Arial"/>
                <w:lang w:val="en-GB"/>
              </w:rPr>
            </w:pPr>
            <w:r w:rsidRPr="006710B6">
              <w:rPr>
                <w:rFonts w:ascii="Arial" w:hAnsi="Arial" w:cs="Arial"/>
                <w:lang w:val="en-GB"/>
              </w:rPr>
              <w:t>.50</w:t>
            </w:r>
          </w:p>
        </w:tc>
        <w:tc>
          <w:tcPr>
            <w:tcW w:w="0" w:type="auto"/>
            <w:vAlign w:val="center"/>
            <w:hideMark/>
          </w:tcPr>
          <w:p w14:paraId="6D5247F7" w14:textId="77777777" w:rsidR="006710B6" w:rsidRPr="006710B6" w:rsidRDefault="006710B6" w:rsidP="006710B6">
            <w:pPr>
              <w:pStyle w:val="Body"/>
              <w:rPr>
                <w:rFonts w:ascii="Arial" w:hAnsi="Arial" w:cs="Arial"/>
                <w:lang w:val="en-GB"/>
              </w:rPr>
            </w:pPr>
            <w:r w:rsidRPr="006710B6">
              <w:rPr>
                <w:rFonts w:ascii="Arial" w:hAnsi="Arial" w:cs="Arial"/>
                <w:lang w:val="en-GB"/>
              </w:rPr>
              <w:t>[–0.0015, –0.0006]</w:t>
            </w:r>
          </w:p>
        </w:tc>
      </w:tr>
      <w:tr w:rsidR="006710B6" w:rsidRPr="006710B6" w14:paraId="3B4FD8FD" w14:textId="77777777" w:rsidTr="006710B6">
        <w:trPr>
          <w:tblCellSpacing w:w="15" w:type="dxa"/>
        </w:trPr>
        <w:tc>
          <w:tcPr>
            <w:tcW w:w="0" w:type="auto"/>
            <w:vAlign w:val="center"/>
            <w:hideMark/>
          </w:tcPr>
          <w:p w14:paraId="739C321F" w14:textId="77777777" w:rsidR="006710B6" w:rsidRPr="006710B6" w:rsidRDefault="006710B6" w:rsidP="006710B6">
            <w:pPr>
              <w:pStyle w:val="Body"/>
              <w:rPr>
                <w:rFonts w:ascii="Arial" w:hAnsi="Arial" w:cs="Arial"/>
                <w:lang w:val="en-GB"/>
              </w:rPr>
            </w:pPr>
            <w:r w:rsidRPr="006710B6">
              <w:rPr>
                <w:rFonts w:ascii="Arial" w:hAnsi="Arial" w:cs="Arial"/>
                <w:lang w:val="en-GB"/>
              </w:rPr>
              <w:t>Observed Q</w:t>
            </w:r>
            <w:r w:rsidRPr="006710B6">
              <w:rPr>
                <w:rFonts w:ascii="Cambria Math" w:hAnsi="Cambria Math" w:cs="Cambria Math"/>
                <w:lang w:val="en-GB"/>
              </w:rPr>
              <w:t>₀</w:t>
            </w:r>
            <w:r w:rsidRPr="006710B6">
              <w:rPr>
                <w:rFonts w:ascii="Arial" w:hAnsi="Arial" w:cs="Arial"/>
                <w:lang w:val="en-GB"/>
              </w:rPr>
              <w:t xml:space="preserve"> / </w:t>
            </w:r>
            <w:proofErr w:type="spellStart"/>
            <w:r w:rsidRPr="006710B6">
              <w:rPr>
                <w:rFonts w:ascii="Arial" w:hAnsi="Arial" w:cs="Arial"/>
                <w:lang w:val="en-GB"/>
              </w:rPr>
              <w:t>Omax</w:t>
            </w:r>
            <w:proofErr w:type="spellEnd"/>
            <w:r w:rsidRPr="006710B6">
              <w:rPr>
                <w:rFonts w:ascii="Arial" w:hAnsi="Arial" w:cs="Arial"/>
                <w:lang w:val="en-GB"/>
              </w:rPr>
              <w:t xml:space="preserve"> (MANOVA)</w:t>
            </w:r>
          </w:p>
        </w:tc>
        <w:tc>
          <w:tcPr>
            <w:tcW w:w="0" w:type="auto"/>
            <w:vAlign w:val="center"/>
            <w:hideMark/>
          </w:tcPr>
          <w:p w14:paraId="4A3BBCCE" w14:textId="77777777" w:rsidR="006710B6" w:rsidRPr="006710B6" w:rsidRDefault="006710B6" w:rsidP="006710B6">
            <w:pPr>
              <w:pStyle w:val="Body"/>
              <w:rPr>
                <w:rFonts w:ascii="Arial" w:hAnsi="Arial" w:cs="Arial"/>
                <w:lang w:val="en-GB"/>
              </w:rPr>
            </w:pPr>
            <w:r w:rsidRPr="006710B6">
              <w:rPr>
                <w:rFonts w:ascii="Arial" w:hAnsi="Arial" w:cs="Arial"/>
                <w:lang w:val="en-GB"/>
              </w:rPr>
              <w:t>Condition × Relationship</w:t>
            </w:r>
          </w:p>
        </w:tc>
        <w:tc>
          <w:tcPr>
            <w:tcW w:w="0" w:type="auto"/>
            <w:vAlign w:val="center"/>
            <w:hideMark/>
          </w:tcPr>
          <w:p w14:paraId="70C71A40" w14:textId="77777777" w:rsidR="006710B6" w:rsidRPr="006710B6" w:rsidRDefault="006710B6" w:rsidP="006710B6">
            <w:pPr>
              <w:pStyle w:val="Body"/>
              <w:rPr>
                <w:rFonts w:ascii="Arial" w:hAnsi="Arial" w:cs="Arial"/>
                <w:lang w:val="en-GB"/>
              </w:rPr>
            </w:pPr>
            <w:r w:rsidRPr="006710B6">
              <w:rPr>
                <w:rFonts w:ascii="Arial" w:hAnsi="Arial" w:cs="Arial"/>
                <w:lang w:val="en-GB"/>
              </w:rPr>
              <w:t>4.19</w:t>
            </w:r>
          </w:p>
        </w:tc>
        <w:tc>
          <w:tcPr>
            <w:tcW w:w="0" w:type="auto"/>
            <w:vAlign w:val="center"/>
            <w:hideMark/>
          </w:tcPr>
          <w:p w14:paraId="21470D47" w14:textId="77777777" w:rsidR="006710B6" w:rsidRPr="006710B6" w:rsidRDefault="006710B6" w:rsidP="006710B6">
            <w:pPr>
              <w:pStyle w:val="Body"/>
              <w:rPr>
                <w:rFonts w:ascii="Arial" w:hAnsi="Arial" w:cs="Arial"/>
                <w:lang w:val="en-GB"/>
              </w:rPr>
            </w:pPr>
            <w:r w:rsidRPr="006710B6">
              <w:rPr>
                <w:rFonts w:ascii="Arial" w:hAnsi="Arial" w:cs="Arial"/>
                <w:lang w:val="en-GB"/>
              </w:rPr>
              <w:t>.02</w:t>
            </w:r>
          </w:p>
        </w:tc>
        <w:tc>
          <w:tcPr>
            <w:tcW w:w="0" w:type="auto"/>
            <w:vAlign w:val="center"/>
            <w:hideMark/>
          </w:tcPr>
          <w:p w14:paraId="3DD5125E" w14:textId="77777777" w:rsidR="006710B6" w:rsidRPr="006710B6" w:rsidRDefault="006710B6" w:rsidP="006710B6">
            <w:pPr>
              <w:pStyle w:val="Body"/>
              <w:rPr>
                <w:rFonts w:ascii="Arial" w:hAnsi="Arial" w:cs="Arial"/>
                <w:lang w:val="en-GB"/>
              </w:rPr>
            </w:pPr>
            <w:r w:rsidRPr="006710B6">
              <w:rPr>
                <w:rFonts w:ascii="Arial" w:hAnsi="Arial" w:cs="Arial"/>
                <w:lang w:val="en-GB"/>
              </w:rPr>
              <w:t>.10</w:t>
            </w:r>
          </w:p>
        </w:tc>
        <w:tc>
          <w:tcPr>
            <w:tcW w:w="0" w:type="auto"/>
            <w:vAlign w:val="center"/>
            <w:hideMark/>
          </w:tcPr>
          <w:p w14:paraId="322E751E" w14:textId="77777777" w:rsidR="006710B6" w:rsidRPr="006710B6" w:rsidRDefault="006710B6" w:rsidP="006710B6">
            <w:pPr>
              <w:pStyle w:val="Body"/>
              <w:rPr>
                <w:rFonts w:ascii="Arial" w:hAnsi="Arial" w:cs="Arial"/>
                <w:lang w:val="en-GB"/>
              </w:rPr>
            </w:pPr>
            <w:r w:rsidRPr="006710B6">
              <w:rPr>
                <w:rFonts w:ascii="Arial" w:hAnsi="Arial" w:cs="Arial"/>
                <w:lang w:val="en-GB"/>
              </w:rPr>
              <w:t>–</w:t>
            </w:r>
          </w:p>
        </w:tc>
      </w:tr>
      <w:tr w:rsidR="006710B6" w:rsidRPr="006710B6" w14:paraId="4AD242DE" w14:textId="77777777" w:rsidTr="00F86E46">
        <w:trPr>
          <w:tblCellSpacing w:w="15" w:type="dxa"/>
        </w:trPr>
        <w:tc>
          <w:tcPr>
            <w:tcW w:w="0" w:type="auto"/>
            <w:tcBorders>
              <w:bottom w:val="single" w:sz="4" w:space="0" w:color="auto"/>
            </w:tcBorders>
            <w:vAlign w:val="center"/>
            <w:hideMark/>
          </w:tcPr>
          <w:p w14:paraId="01443AA1" w14:textId="77777777" w:rsidR="006710B6" w:rsidRPr="006710B6" w:rsidRDefault="006710B6" w:rsidP="006710B6">
            <w:pPr>
              <w:pStyle w:val="Body"/>
              <w:rPr>
                <w:rFonts w:ascii="Arial" w:hAnsi="Arial" w:cs="Arial"/>
                <w:lang w:val="en-GB"/>
              </w:rPr>
            </w:pPr>
          </w:p>
        </w:tc>
        <w:tc>
          <w:tcPr>
            <w:tcW w:w="0" w:type="auto"/>
            <w:tcBorders>
              <w:bottom w:val="single" w:sz="4" w:space="0" w:color="auto"/>
            </w:tcBorders>
            <w:vAlign w:val="center"/>
            <w:hideMark/>
          </w:tcPr>
          <w:p w14:paraId="3189E85D" w14:textId="77777777" w:rsidR="006710B6" w:rsidRPr="006710B6" w:rsidRDefault="006710B6" w:rsidP="006710B6">
            <w:pPr>
              <w:pStyle w:val="Body"/>
              <w:rPr>
                <w:rFonts w:ascii="Arial" w:hAnsi="Arial" w:cs="Arial"/>
                <w:lang w:val="en-GB"/>
              </w:rPr>
            </w:pPr>
            <w:r w:rsidRPr="006710B6">
              <w:rPr>
                <w:rFonts w:ascii="Arial" w:hAnsi="Arial" w:cs="Arial"/>
                <w:lang w:val="en-GB"/>
              </w:rPr>
              <w:t>Condition × Gender × Relationship</w:t>
            </w:r>
          </w:p>
        </w:tc>
        <w:tc>
          <w:tcPr>
            <w:tcW w:w="0" w:type="auto"/>
            <w:tcBorders>
              <w:bottom w:val="single" w:sz="4" w:space="0" w:color="auto"/>
            </w:tcBorders>
            <w:vAlign w:val="center"/>
            <w:hideMark/>
          </w:tcPr>
          <w:p w14:paraId="12A40245" w14:textId="77777777" w:rsidR="006710B6" w:rsidRPr="006710B6" w:rsidRDefault="006710B6" w:rsidP="006710B6">
            <w:pPr>
              <w:pStyle w:val="Body"/>
              <w:rPr>
                <w:rFonts w:ascii="Arial" w:hAnsi="Arial" w:cs="Arial"/>
                <w:lang w:val="en-GB"/>
              </w:rPr>
            </w:pPr>
            <w:r w:rsidRPr="006710B6">
              <w:rPr>
                <w:rFonts w:ascii="Arial" w:hAnsi="Arial" w:cs="Arial"/>
                <w:lang w:val="en-GB"/>
              </w:rPr>
              <w:t>4.42</w:t>
            </w:r>
          </w:p>
        </w:tc>
        <w:tc>
          <w:tcPr>
            <w:tcW w:w="0" w:type="auto"/>
            <w:tcBorders>
              <w:bottom w:val="single" w:sz="4" w:space="0" w:color="auto"/>
            </w:tcBorders>
            <w:vAlign w:val="center"/>
            <w:hideMark/>
          </w:tcPr>
          <w:p w14:paraId="38F7BED0" w14:textId="77777777" w:rsidR="006710B6" w:rsidRPr="006710B6" w:rsidRDefault="006710B6" w:rsidP="006710B6">
            <w:pPr>
              <w:pStyle w:val="Body"/>
              <w:rPr>
                <w:rFonts w:ascii="Arial" w:hAnsi="Arial" w:cs="Arial"/>
                <w:lang w:val="en-GB"/>
              </w:rPr>
            </w:pPr>
            <w:r w:rsidRPr="006710B6">
              <w:rPr>
                <w:rFonts w:ascii="Arial" w:hAnsi="Arial" w:cs="Arial"/>
                <w:lang w:val="en-GB"/>
              </w:rPr>
              <w:t>.02</w:t>
            </w:r>
          </w:p>
        </w:tc>
        <w:tc>
          <w:tcPr>
            <w:tcW w:w="0" w:type="auto"/>
            <w:tcBorders>
              <w:bottom w:val="single" w:sz="4" w:space="0" w:color="auto"/>
            </w:tcBorders>
            <w:vAlign w:val="center"/>
            <w:hideMark/>
          </w:tcPr>
          <w:p w14:paraId="135FF410" w14:textId="77777777" w:rsidR="006710B6" w:rsidRPr="006710B6" w:rsidRDefault="006710B6" w:rsidP="006710B6">
            <w:pPr>
              <w:pStyle w:val="Body"/>
              <w:rPr>
                <w:rFonts w:ascii="Arial" w:hAnsi="Arial" w:cs="Arial"/>
                <w:lang w:val="en-GB"/>
              </w:rPr>
            </w:pPr>
            <w:r w:rsidRPr="006710B6">
              <w:rPr>
                <w:rFonts w:ascii="Arial" w:hAnsi="Arial" w:cs="Arial"/>
                <w:lang w:val="en-GB"/>
              </w:rPr>
              <w:t>.10</w:t>
            </w:r>
          </w:p>
        </w:tc>
        <w:tc>
          <w:tcPr>
            <w:tcW w:w="0" w:type="auto"/>
            <w:tcBorders>
              <w:bottom w:val="single" w:sz="4" w:space="0" w:color="auto"/>
            </w:tcBorders>
            <w:vAlign w:val="center"/>
            <w:hideMark/>
          </w:tcPr>
          <w:p w14:paraId="6322D856" w14:textId="77777777" w:rsidR="006710B6" w:rsidRPr="006710B6" w:rsidRDefault="006710B6" w:rsidP="006710B6">
            <w:pPr>
              <w:pStyle w:val="Body"/>
              <w:rPr>
                <w:rFonts w:ascii="Arial" w:hAnsi="Arial" w:cs="Arial"/>
                <w:lang w:val="en-GB"/>
              </w:rPr>
            </w:pPr>
            <w:r w:rsidRPr="006710B6">
              <w:rPr>
                <w:rFonts w:ascii="Arial" w:hAnsi="Arial" w:cs="Arial"/>
                <w:lang w:val="en-GB"/>
              </w:rPr>
              <w:t>–</w:t>
            </w:r>
          </w:p>
        </w:tc>
      </w:tr>
    </w:tbl>
    <w:p w14:paraId="48346703" w14:textId="77777777" w:rsidR="006710B6" w:rsidRDefault="006710B6" w:rsidP="006B17FE">
      <w:pPr>
        <w:pStyle w:val="Body"/>
        <w:spacing w:after="0"/>
        <w:rPr>
          <w:rFonts w:ascii="Arial" w:hAnsi="Arial" w:cs="Arial"/>
          <w:lang w:val="en-GB"/>
        </w:rPr>
      </w:pPr>
    </w:p>
    <w:p w14:paraId="4164320C" w14:textId="1A1547CC" w:rsidR="00A02487" w:rsidRDefault="00082A5D" w:rsidP="00082A5D">
      <w:pPr>
        <w:pStyle w:val="Body"/>
        <w:spacing w:after="0"/>
        <w:rPr>
          <w:rFonts w:ascii="Arial" w:hAnsi="Arial" w:cs="Arial"/>
          <w:b/>
          <w:bCs/>
          <w:sz w:val="22"/>
          <w:szCs w:val="22"/>
          <w:lang w:val="en-GB"/>
        </w:rPr>
      </w:pPr>
      <w:r>
        <w:rPr>
          <w:rFonts w:ascii="Arial" w:hAnsi="Arial" w:cs="Arial"/>
          <w:b/>
          <w:bCs/>
          <w:sz w:val="22"/>
          <w:szCs w:val="22"/>
          <w:lang w:val="en-GB"/>
        </w:rPr>
        <w:t xml:space="preserve">4. </w:t>
      </w:r>
      <w:r w:rsidR="00A02487" w:rsidRPr="00A02487">
        <w:rPr>
          <w:rFonts w:ascii="Arial" w:hAnsi="Arial" w:cs="Arial"/>
          <w:b/>
          <w:bCs/>
          <w:sz w:val="22"/>
          <w:szCs w:val="22"/>
          <w:lang w:val="en-GB"/>
        </w:rPr>
        <w:t>Discussion</w:t>
      </w:r>
    </w:p>
    <w:p w14:paraId="5AB03B63" w14:textId="77777777" w:rsidR="00A02487" w:rsidRPr="00A02487" w:rsidRDefault="00A02487" w:rsidP="00A02487">
      <w:pPr>
        <w:pStyle w:val="Body"/>
        <w:spacing w:after="0"/>
        <w:rPr>
          <w:rFonts w:ascii="Arial" w:hAnsi="Arial" w:cs="Arial"/>
          <w:b/>
          <w:bCs/>
          <w:sz w:val="22"/>
          <w:szCs w:val="22"/>
          <w:lang w:val="en-GB"/>
        </w:rPr>
      </w:pPr>
    </w:p>
    <w:p w14:paraId="47508471" w14:textId="61E6B93F" w:rsidR="00061BCF" w:rsidRPr="00061BCF" w:rsidRDefault="00061BCF" w:rsidP="00061BCF">
      <w:pPr>
        <w:pStyle w:val="Body"/>
        <w:rPr>
          <w:rFonts w:ascii="Arial" w:hAnsi="Arial" w:cs="Arial"/>
          <w:lang w:val="en-GB"/>
        </w:rPr>
      </w:pPr>
      <w:r w:rsidRPr="00061BCF">
        <w:rPr>
          <w:rFonts w:ascii="Arial" w:hAnsi="Arial" w:cs="Arial"/>
          <w:lang w:val="en-GB"/>
        </w:rPr>
        <w:t>This study investigated whether perceived mate availability influences intrasexual competitiveness and hypothetical alcohol consumption, and whether these effects are moderated by gender and relationship status. The findings offer partial support for the proposed hypotheses. While the predicted increase in intrasexual competitiveness under mate scarcity was not observed at the main effect level, significant interaction effects emerged, particularly in relation to participants' relationship status. In contrast, mate scarcity did influence hypothetical alcohol consumption patterns, as predicted.</w:t>
      </w:r>
    </w:p>
    <w:p w14:paraId="4F16D6B6" w14:textId="6B5D81F9" w:rsidR="00061BCF" w:rsidRPr="00061BCF" w:rsidRDefault="00061BCF" w:rsidP="00061BCF">
      <w:pPr>
        <w:pStyle w:val="Body"/>
        <w:rPr>
          <w:rFonts w:ascii="Arial" w:hAnsi="Arial" w:cs="Arial"/>
          <w:lang w:val="en-GB"/>
        </w:rPr>
      </w:pPr>
      <w:r w:rsidRPr="00061BCF">
        <w:rPr>
          <w:rFonts w:ascii="Arial" w:hAnsi="Arial" w:cs="Arial"/>
          <w:lang w:val="en-GB"/>
        </w:rPr>
        <w:t xml:space="preserve">The absence of a main effect of mate availability on intrasexual competitiveness is inconsistent with prior research by </w:t>
      </w:r>
      <w:proofErr w:type="spellStart"/>
      <w:r w:rsidRPr="00061BCF">
        <w:rPr>
          <w:rFonts w:ascii="Arial" w:hAnsi="Arial" w:cs="Arial"/>
          <w:lang w:val="en-GB"/>
        </w:rPr>
        <w:t>Arnocky</w:t>
      </w:r>
      <w:proofErr w:type="spellEnd"/>
      <w:r w:rsidRPr="00061BCF">
        <w:rPr>
          <w:rFonts w:ascii="Arial" w:hAnsi="Arial" w:cs="Arial"/>
          <w:lang w:val="en-GB"/>
        </w:rPr>
        <w:t xml:space="preserve"> et al. (2014), who found that perceived mate scarcity increased competitiveness across both men and women. One possible explanation lies in methodological differences. For example, the present study used an online format and included a more demographically diverse sample, whereas earlier work often relied on young, homogenous student populations in laboratory settings. Additionally, the Intrasexual Competition Scale (</w:t>
      </w:r>
      <w:proofErr w:type="spellStart"/>
      <w:r w:rsidRPr="00061BCF">
        <w:rPr>
          <w:rFonts w:ascii="Arial" w:hAnsi="Arial" w:cs="Arial"/>
          <w:lang w:val="en-GB"/>
        </w:rPr>
        <w:t>Buunk</w:t>
      </w:r>
      <w:proofErr w:type="spellEnd"/>
      <w:r w:rsidRPr="00061BCF">
        <w:rPr>
          <w:rFonts w:ascii="Arial" w:hAnsi="Arial" w:cs="Arial"/>
          <w:lang w:val="en-GB"/>
        </w:rPr>
        <w:t xml:space="preserve"> &amp; Fisher, 2009), while reliable in trait-level measurement, may lack sensitivity to detect situational fluctuations in competitiveness. As recent research suggests, context-sensitive measures and immediate post-manipulation checks may yield more accurate state-level assessments (</w:t>
      </w:r>
      <w:proofErr w:type="spellStart"/>
      <w:r w:rsidRPr="00061BCF">
        <w:rPr>
          <w:rFonts w:ascii="Arial" w:hAnsi="Arial" w:cs="Arial"/>
          <w:lang w:val="en-GB"/>
        </w:rPr>
        <w:t>Vincke</w:t>
      </w:r>
      <w:proofErr w:type="spellEnd"/>
      <w:r w:rsidRPr="00061BCF">
        <w:rPr>
          <w:rFonts w:ascii="Arial" w:hAnsi="Arial" w:cs="Arial"/>
          <w:lang w:val="en-GB"/>
        </w:rPr>
        <w:t xml:space="preserve"> &amp; </w:t>
      </w:r>
      <w:proofErr w:type="spellStart"/>
      <w:r w:rsidRPr="00061BCF">
        <w:rPr>
          <w:rFonts w:ascii="Arial" w:hAnsi="Arial" w:cs="Arial"/>
          <w:lang w:val="en-GB"/>
        </w:rPr>
        <w:t>Vyncke</w:t>
      </w:r>
      <w:proofErr w:type="spellEnd"/>
      <w:r w:rsidRPr="00061BCF">
        <w:rPr>
          <w:rFonts w:ascii="Arial" w:hAnsi="Arial" w:cs="Arial"/>
          <w:lang w:val="en-GB"/>
        </w:rPr>
        <w:t>, 2022).</w:t>
      </w:r>
    </w:p>
    <w:p w14:paraId="0BFA554D" w14:textId="7D50105C" w:rsidR="00061BCF" w:rsidRPr="00061BCF" w:rsidRDefault="00061BCF" w:rsidP="00061BCF">
      <w:pPr>
        <w:pStyle w:val="Body"/>
        <w:rPr>
          <w:rFonts w:ascii="Arial" w:hAnsi="Arial" w:cs="Arial"/>
          <w:lang w:val="en-GB"/>
        </w:rPr>
      </w:pPr>
      <w:r w:rsidRPr="00061BCF">
        <w:rPr>
          <w:rFonts w:ascii="Arial" w:hAnsi="Arial" w:cs="Arial"/>
          <w:lang w:val="en-GB"/>
        </w:rPr>
        <w:t>Despite the lack of a direct effect on competitiveness, interaction analyses revealed that partnered females reported higher intrasexual competitiveness under mate scarcity, aligning with evolutionary theories that propose relationship status modulates mate-guarding tendencies (</w:t>
      </w:r>
      <w:proofErr w:type="spellStart"/>
      <w:r w:rsidRPr="00061BCF">
        <w:rPr>
          <w:rFonts w:ascii="Arial" w:hAnsi="Arial" w:cs="Arial"/>
          <w:lang w:val="en-GB"/>
        </w:rPr>
        <w:t>Arnocky</w:t>
      </w:r>
      <w:proofErr w:type="spellEnd"/>
      <w:r w:rsidRPr="00061BCF">
        <w:rPr>
          <w:rFonts w:ascii="Arial" w:hAnsi="Arial" w:cs="Arial"/>
          <w:lang w:val="en-GB"/>
        </w:rPr>
        <w:t xml:space="preserve"> et al., 2018). Women in relationships may be more attuned to cues of increased mating competition, responding with heightened competitiveness to protect their current mate. This supports prior findings indicating that relationship status influences emotional and behavioural sensitivity to mating threats (Fisher &amp; Cox, 2016; Gervais et al., 2020).</w:t>
      </w:r>
    </w:p>
    <w:p w14:paraId="2F4233B6" w14:textId="56D6A322" w:rsidR="00061BCF" w:rsidRPr="00061BCF" w:rsidRDefault="00061BCF" w:rsidP="00061BCF">
      <w:pPr>
        <w:pStyle w:val="Body"/>
        <w:rPr>
          <w:rFonts w:ascii="Arial" w:hAnsi="Arial" w:cs="Arial"/>
          <w:lang w:val="en-GB"/>
        </w:rPr>
      </w:pPr>
      <w:r w:rsidRPr="00061BCF">
        <w:rPr>
          <w:rFonts w:ascii="Arial" w:hAnsi="Arial" w:cs="Arial"/>
          <w:lang w:val="en-GB"/>
        </w:rPr>
        <w:t>By contrast, the alcohol-related outcomes provide clearer support for the hypothesis that mating cues affect consumption behaviour. Participants exposed to mate scarcity showed greater hypothetical alcohol demand and lower price sensitivity, especially among partnered males. This aligns with costly signalling theory, which posits that risk-taking behaviours</w:t>
      </w:r>
      <w:r>
        <w:rPr>
          <w:rFonts w:ascii="Arial" w:hAnsi="Arial" w:cs="Arial"/>
          <w:lang w:val="en-GB"/>
        </w:rPr>
        <w:t xml:space="preserve">, </w:t>
      </w:r>
      <w:r w:rsidRPr="00061BCF">
        <w:rPr>
          <w:rFonts w:ascii="Arial" w:hAnsi="Arial" w:cs="Arial"/>
          <w:lang w:val="en-GB"/>
        </w:rPr>
        <w:lastRenderedPageBreak/>
        <w:t>including excessive drinking</w:t>
      </w:r>
      <w:r>
        <w:rPr>
          <w:rFonts w:ascii="Arial" w:hAnsi="Arial" w:cs="Arial"/>
          <w:lang w:val="en-GB"/>
        </w:rPr>
        <w:t xml:space="preserve">, </w:t>
      </w:r>
      <w:r w:rsidRPr="00061BCF">
        <w:rPr>
          <w:rFonts w:ascii="Arial" w:hAnsi="Arial" w:cs="Arial"/>
          <w:lang w:val="en-GB"/>
        </w:rPr>
        <w:t>may serve as a display of social dominance, fearlessness, or resource availability, all of which may increase short-term mating appeal (</w:t>
      </w:r>
      <w:proofErr w:type="spellStart"/>
      <w:r w:rsidRPr="00061BCF">
        <w:rPr>
          <w:rFonts w:ascii="Arial" w:hAnsi="Arial" w:cs="Arial"/>
          <w:lang w:val="en-GB"/>
        </w:rPr>
        <w:t>Vincke</w:t>
      </w:r>
      <w:proofErr w:type="spellEnd"/>
      <w:r w:rsidRPr="00061BCF">
        <w:rPr>
          <w:rFonts w:ascii="Arial" w:hAnsi="Arial" w:cs="Arial"/>
          <w:lang w:val="en-GB"/>
        </w:rPr>
        <w:t xml:space="preserve">, 2016; </w:t>
      </w:r>
      <w:proofErr w:type="spellStart"/>
      <w:r w:rsidRPr="00061BCF">
        <w:rPr>
          <w:rFonts w:ascii="Arial" w:hAnsi="Arial" w:cs="Arial"/>
          <w:lang w:val="en-GB"/>
        </w:rPr>
        <w:t>Otterbring</w:t>
      </w:r>
      <w:proofErr w:type="spellEnd"/>
      <w:r w:rsidRPr="00061BCF">
        <w:rPr>
          <w:rFonts w:ascii="Arial" w:hAnsi="Arial" w:cs="Arial"/>
          <w:lang w:val="en-GB"/>
        </w:rPr>
        <w:t xml:space="preserve"> et al., 2018). Drinking in competitive or public settings may thus function as a mating-relevant signal, especially among individuals already in relationships who may feel pressure to maintain mate value or deter rivals.</w:t>
      </w:r>
    </w:p>
    <w:p w14:paraId="706B0B70" w14:textId="1542CC06" w:rsidR="00061BCF" w:rsidRPr="00061BCF" w:rsidRDefault="00061BCF" w:rsidP="00061BCF">
      <w:pPr>
        <w:pStyle w:val="Body"/>
        <w:rPr>
          <w:rFonts w:ascii="Arial" w:hAnsi="Arial" w:cs="Arial"/>
          <w:lang w:val="en-GB"/>
        </w:rPr>
      </w:pPr>
      <w:r w:rsidRPr="00061BCF">
        <w:rPr>
          <w:rFonts w:ascii="Arial" w:hAnsi="Arial" w:cs="Arial"/>
          <w:lang w:val="en-GB"/>
        </w:rPr>
        <w:t>Notably, single males in the mate abundance condition also demonstrated elevated alcohol expenditure, suggesting that increased mating opportunity</w:t>
      </w:r>
      <w:r>
        <w:rPr>
          <w:rFonts w:ascii="Arial" w:hAnsi="Arial" w:cs="Arial"/>
          <w:lang w:val="en-GB"/>
        </w:rPr>
        <w:t xml:space="preserve">, </w:t>
      </w:r>
      <w:r w:rsidRPr="00061BCF">
        <w:rPr>
          <w:rFonts w:ascii="Arial" w:hAnsi="Arial" w:cs="Arial"/>
          <w:lang w:val="en-GB"/>
        </w:rPr>
        <w:t>not just scarcity</w:t>
      </w:r>
      <w:r>
        <w:rPr>
          <w:rFonts w:ascii="Arial" w:hAnsi="Arial" w:cs="Arial"/>
          <w:lang w:val="en-GB"/>
        </w:rPr>
        <w:t xml:space="preserve">, </w:t>
      </w:r>
      <w:r w:rsidRPr="00061BCF">
        <w:rPr>
          <w:rFonts w:ascii="Arial" w:hAnsi="Arial" w:cs="Arial"/>
          <w:lang w:val="en-GB"/>
        </w:rPr>
        <w:t>may stimulate display-oriented behaviour. This supports recent research showing that perceived mate abundance may activate mating effort, leading individuals to invest more in appearance, performance, or consumption (Zhuang et al., 2021). Such behaviours may reflect both short-term strategic pursuit and underlying reproductive psychology.</w:t>
      </w:r>
    </w:p>
    <w:p w14:paraId="5FCD13BB" w14:textId="3E99C7A3" w:rsidR="00061BCF" w:rsidRPr="00061BCF" w:rsidRDefault="00061BCF" w:rsidP="00061BCF">
      <w:pPr>
        <w:pStyle w:val="Body"/>
        <w:rPr>
          <w:rFonts w:ascii="Arial" w:hAnsi="Arial" w:cs="Arial"/>
          <w:lang w:val="en-GB"/>
        </w:rPr>
      </w:pPr>
      <w:r w:rsidRPr="00061BCF">
        <w:rPr>
          <w:rFonts w:ascii="Arial" w:hAnsi="Arial" w:cs="Arial"/>
          <w:lang w:val="en-GB"/>
        </w:rPr>
        <w:t xml:space="preserve">While the alcohol findings are consistent with studies linking alcohol use to mating motives (Hone &amp; McCullough, 2015; </w:t>
      </w:r>
      <w:proofErr w:type="spellStart"/>
      <w:r w:rsidRPr="00061BCF">
        <w:rPr>
          <w:rFonts w:ascii="Arial" w:hAnsi="Arial" w:cs="Arial"/>
          <w:lang w:val="en-GB"/>
        </w:rPr>
        <w:t>Vincke</w:t>
      </w:r>
      <w:proofErr w:type="spellEnd"/>
      <w:r w:rsidRPr="00061BCF">
        <w:rPr>
          <w:rFonts w:ascii="Arial" w:hAnsi="Arial" w:cs="Arial"/>
          <w:lang w:val="en-GB"/>
        </w:rPr>
        <w:t>, 2016), they diverge from others that have found limited or inconsistent associations (Diulio et al., 2014). This variability may reflect methodological differences or unmeasured moderators such as hormonal status, cultural norms, or trait impulsivity. Including physiological measures such as testosterone or cortisol in future work may help clarify the biological underpinnings of these behaviours (</w:t>
      </w:r>
      <w:proofErr w:type="spellStart"/>
      <w:r w:rsidRPr="00061BCF">
        <w:rPr>
          <w:rFonts w:ascii="Arial" w:hAnsi="Arial" w:cs="Arial"/>
          <w:lang w:val="en-GB"/>
        </w:rPr>
        <w:t>Arnocky</w:t>
      </w:r>
      <w:proofErr w:type="spellEnd"/>
      <w:r w:rsidRPr="00061BCF">
        <w:rPr>
          <w:rFonts w:ascii="Arial" w:hAnsi="Arial" w:cs="Arial"/>
          <w:lang w:val="en-GB"/>
        </w:rPr>
        <w:t xml:space="preserve"> et al., 2018; Nepomuceno &amp; Stenstrom, 2021).</w:t>
      </w:r>
    </w:p>
    <w:p w14:paraId="1E7FF46F" w14:textId="502A6AB9" w:rsidR="0050584D" w:rsidRPr="00061BCF" w:rsidRDefault="00061BCF" w:rsidP="00061BCF">
      <w:pPr>
        <w:pStyle w:val="Body"/>
        <w:spacing w:after="0"/>
        <w:rPr>
          <w:rFonts w:ascii="Arial" w:hAnsi="Arial" w:cs="Arial"/>
          <w:lang w:val="en-GB"/>
        </w:rPr>
      </w:pPr>
      <w:r w:rsidRPr="00061BCF">
        <w:rPr>
          <w:rFonts w:ascii="Arial" w:hAnsi="Arial" w:cs="Arial"/>
          <w:lang w:val="en-GB"/>
        </w:rPr>
        <w:t>The present findings carry broader implications for public health and consumer psychology. They suggest that even subtle mating-relevant cues in the environment</w:t>
      </w:r>
      <w:r>
        <w:rPr>
          <w:rFonts w:ascii="Arial" w:hAnsi="Arial" w:cs="Arial"/>
          <w:lang w:val="en-GB"/>
        </w:rPr>
        <w:t xml:space="preserve">, </w:t>
      </w:r>
      <w:r w:rsidRPr="00061BCF">
        <w:rPr>
          <w:rFonts w:ascii="Arial" w:hAnsi="Arial" w:cs="Arial"/>
          <w:lang w:val="en-GB"/>
        </w:rPr>
        <w:t>such as media portrayals of mate competition or scarcity</w:t>
      </w:r>
      <w:r>
        <w:rPr>
          <w:rFonts w:ascii="Arial" w:hAnsi="Arial" w:cs="Arial"/>
          <w:lang w:val="en-GB"/>
        </w:rPr>
        <w:t xml:space="preserve">, </w:t>
      </w:r>
      <w:r w:rsidRPr="00061BCF">
        <w:rPr>
          <w:rFonts w:ascii="Arial" w:hAnsi="Arial" w:cs="Arial"/>
          <w:lang w:val="en-GB"/>
        </w:rPr>
        <w:t>may unconsciously influence health-risk behaviours like alcohol consumption. This highlights the value of integrating evolutionary models with public health frameworks to better understand and predict risk behaviour, especially in young adults and relationship contexts.</w:t>
      </w:r>
    </w:p>
    <w:p w14:paraId="6B63775A" w14:textId="77777777" w:rsidR="00061BCF" w:rsidRDefault="00061BCF" w:rsidP="00061BCF">
      <w:pPr>
        <w:pStyle w:val="Body"/>
        <w:spacing w:after="0"/>
        <w:rPr>
          <w:rFonts w:ascii="Arial" w:hAnsi="Arial" w:cs="Arial"/>
          <w:b/>
          <w:bCs/>
          <w:u w:val="single"/>
          <w:lang w:val="en-GB"/>
        </w:rPr>
      </w:pPr>
    </w:p>
    <w:p w14:paraId="12DB6CE2" w14:textId="23416301" w:rsidR="00A02487" w:rsidRPr="00A02487" w:rsidRDefault="00A02487" w:rsidP="00A02487">
      <w:pPr>
        <w:pStyle w:val="Body"/>
        <w:spacing w:after="0"/>
        <w:rPr>
          <w:rFonts w:ascii="Arial" w:hAnsi="Arial" w:cs="Arial"/>
          <w:b/>
          <w:bCs/>
          <w:u w:val="single"/>
          <w:lang w:val="en-GB"/>
        </w:rPr>
      </w:pPr>
      <w:r w:rsidRPr="00A02487">
        <w:rPr>
          <w:rFonts w:ascii="Arial" w:hAnsi="Arial" w:cs="Arial"/>
          <w:b/>
          <w:bCs/>
          <w:u w:val="single"/>
          <w:lang w:val="en-GB"/>
        </w:rPr>
        <w:t>4.</w:t>
      </w:r>
      <w:r w:rsidR="00082A5D">
        <w:rPr>
          <w:rFonts w:ascii="Arial" w:hAnsi="Arial" w:cs="Arial"/>
          <w:b/>
          <w:bCs/>
          <w:u w:val="single"/>
          <w:lang w:val="en-GB"/>
        </w:rPr>
        <w:t>1</w:t>
      </w:r>
      <w:r w:rsidRPr="00A02487">
        <w:rPr>
          <w:rFonts w:ascii="Arial" w:hAnsi="Arial" w:cs="Arial"/>
          <w:b/>
          <w:bCs/>
          <w:u w:val="single"/>
          <w:lang w:val="en-GB"/>
        </w:rPr>
        <w:t xml:space="preserve"> </w:t>
      </w:r>
      <w:r>
        <w:rPr>
          <w:rFonts w:ascii="Arial" w:hAnsi="Arial" w:cs="Arial"/>
          <w:b/>
          <w:bCs/>
          <w:u w:val="single"/>
          <w:lang w:val="en-GB"/>
        </w:rPr>
        <w:t>Limitations and Future Directions</w:t>
      </w:r>
    </w:p>
    <w:p w14:paraId="4EA5577C" w14:textId="77777777" w:rsidR="006B17FE" w:rsidRPr="006B17FE" w:rsidRDefault="006B17FE" w:rsidP="006B17FE">
      <w:pPr>
        <w:pStyle w:val="Body"/>
        <w:spacing w:after="0"/>
        <w:rPr>
          <w:rFonts w:ascii="Arial" w:hAnsi="Arial" w:cs="Arial"/>
          <w:lang w:val="en-GB"/>
        </w:rPr>
      </w:pPr>
    </w:p>
    <w:p w14:paraId="4A4696FD" w14:textId="046651B9" w:rsidR="00890933" w:rsidRPr="00890933" w:rsidRDefault="00890933" w:rsidP="00890933">
      <w:pPr>
        <w:pStyle w:val="Body"/>
        <w:rPr>
          <w:rFonts w:ascii="Arial" w:hAnsi="Arial" w:cs="Arial"/>
          <w:lang w:val="en-GB"/>
        </w:rPr>
      </w:pPr>
      <w:r w:rsidRPr="00890933">
        <w:rPr>
          <w:rFonts w:ascii="Arial" w:hAnsi="Arial" w:cs="Arial"/>
          <w:lang w:val="en-GB"/>
        </w:rPr>
        <w:t>This study has several limitations that should be acknowledged. First, the absence of a manipulation check limits confidence in whether perceived mate availability was successfully altered, particularly given the null findings on intrasexual competitiveness (</w:t>
      </w:r>
      <w:proofErr w:type="spellStart"/>
      <w:r w:rsidRPr="00890933">
        <w:rPr>
          <w:rFonts w:ascii="Arial" w:hAnsi="Arial" w:cs="Arial"/>
          <w:lang w:val="en-GB"/>
        </w:rPr>
        <w:t>Arnocky</w:t>
      </w:r>
      <w:proofErr w:type="spellEnd"/>
      <w:r w:rsidRPr="00890933">
        <w:rPr>
          <w:rFonts w:ascii="Arial" w:hAnsi="Arial" w:cs="Arial"/>
          <w:lang w:val="en-GB"/>
        </w:rPr>
        <w:t xml:space="preserve"> et al., 2014). Future studies should directly assess participants’ perceptions post-priming to validate the efficacy of such manipulations.</w:t>
      </w:r>
    </w:p>
    <w:p w14:paraId="5E7F6B5E" w14:textId="3C78E141" w:rsidR="00890933" w:rsidRPr="00890933" w:rsidRDefault="00890933" w:rsidP="00890933">
      <w:pPr>
        <w:pStyle w:val="Body"/>
        <w:rPr>
          <w:rFonts w:ascii="Arial" w:hAnsi="Arial" w:cs="Arial"/>
          <w:lang w:val="en-GB"/>
        </w:rPr>
      </w:pPr>
      <w:r w:rsidRPr="00890933">
        <w:rPr>
          <w:rFonts w:ascii="Arial" w:hAnsi="Arial" w:cs="Arial"/>
          <w:lang w:val="en-GB"/>
        </w:rPr>
        <w:t>Second, the Intrasexual Competition Scale may not have been sensitive enough to detect subtle, state-level changes in competitiveness. While the ICS has shown strong reliability in student samples (</w:t>
      </w:r>
      <w:proofErr w:type="spellStart"/>
      <w:r w:rsidRPr="00890933">
        <w:rPr>
          <w:rFonts w:ascii="Arial" w:hAnsi="Arial" w:cs="Arial"/>
          <w:lang w:val="en-GB"/>
        </w:rPr>
        <w:t>Buunk</w:t>
      </w:r>
      <w:proofErr w:type="spellEnd"/>
      <w:r w:rsidRPr="00890933">
        <w:rPr>
          <w:rFonts w:ascii="Arial" w:hAnsi="Arial" w:cs="Arial"/>
          <w:lang w:val="en-GB"/>
        </w:rPr>
        <w:t xml:space="preserve"> &amp; Fisher, 2009), its performance in more diverse, non-student populations remains under-evaluated. Future studies could consider using alternative or adapted measures that are more sensitive to situational fluctuations.</w:t>
      </w:r>
    </w:p>
    <w:p w14:paraId="0F31728C" w14:textId="31EF1802" w:rsidR="00890933" w:rsidRPr="00890933" w:rsidRDefault="00890933" w:rsidP="00890933">
      <w:pPr>
        <w:pStyle w:val="Body"/>
        <w:rPr>
          <w:rFonts w:ascii="Arial" w:hAnsi="Arial" w:cs="Arial"/>
          <w:lang w:val="en-GB"/>
        </w:rPr>
      </w:pPr>
      <w:r w:rsidRPr="00890933">
        <w:rPr>
          <w:rFonts w:ascii="Arial" w:hAnsi="Arial" w:cs="Arial"/>
          <w:lang w:val="en-GB"/>
        </w:rPr>
        <w:t>Third, although the sample included participants from the United Kingdom and Lithuania, it was predominantly White and recruited online. This introduces sampling bias, as participants were not representative of broader cultural or ethnic populations. Online recruitment may also select for more educated, internet-literate individuals, limiting generalisability. Future research should strive for more ethnically and culturally diverse samples, and consider cross-cultural comparisons where appropriate.</w:t>
      </w:r>
    </w:p>
    <w:p w14:paraId="74571F34" w14:textId="26714364" w:rsidR="00890933" w:rsidRPr="00890933" w:rsidRDefault="00890933" w:rsidP="00890933">
      <w:pPr>
        <w:pStyle w:val="Body"/>
        <w:rPr>
          <w:rFonts w:ascii="Arial" w:hAnsi="Arial" w:cs="Arial"/>
          <w:lang w:val="en-GB"/>
        </w:rPr>
      </w:pPr>
      <w:r w:rsidRPr="00890933">
        <w:rPr>
          <w:rFonts w:ascii="Arial" w:hAnsi="Arial" w:cs="Arial"/>
          <w:lang w:val="en-GB"/>
        </w:rPr>
        <w:t>Fourth, the sample size within subgroups</w:t>
      </w:r>
      <w:r>
        <w:rPr>
          <w:rFonts w:ascii="Arial" w:hAnsi="Arial" w:cs="Arial"/>
          <w:lang w:val="en-GB"/>
        </w:rPr>
        <w:t xml:space="preserve">, </w:t>
      </w:r>
      <w:r w:rsidRPr="00890933">
        <w:rPr>
          <w:rFonts w:ascii="Arial" w:hAnsi="Arial" w:cs="Arial"/>
          <w:lang w:val="en-GB"/>
        </w:rPr>
        <w:t>particularly when split by condition, gender, and relationship status</w:t>
      </w:r>
      <w:r>
        <w:rPr>
          <w:rFonts w:ascii="Arial" w:hAnsi="Arial" w:cs="Arial"/>
          <w:lang w:val="en-GB"/>
        </w:rPr>
        <w:t xml:space="preserve">, </w:t>
      </w:r>
      <w:r w:rsidRPr="00890933">
        <w:rPr>
          <w:rFonts w:ascii="Arial" w:hAnsi="Arial" w:cs="Arial"/>
          <w:lang w:val="en-GB"/>
        </w:rPr>
        <w:t>was modest, which may have limited the statistical power to detect moderate interaction effects. Future research should aim to recruit larger and more balanced samples to enable more reliable testing of complex interactions</w:t>
      </w:r>
      <w:r>
        <w:rPr>
          <w:rFonts w:ascii="Arial" w:hAnsi="Arial" w:cs="Arial"/>
          <w:lang w:val="en-GB"/>
        </w:rPr>
        <w:t>.</w:t>
      </w:r>
    </w:p>
    <w:p w14:paraId="6CEA078C" w14:textId="77777777" w:rsidR="00890933" w:rsidRDefault="00890933" w:rsidP="00890933">
      <w:pPr>
        <w:pStyle w:val="Body"/>
        <w:rPr>
          <w:rFonts w:ascii="Arial" w:hAnsi="Arial" w:cs="Arial"/>
          <w:lang w:val="en-GB"/>
        </w:rPr>
      </w:pPr>
      <w:r w:rsidRPr="00890933">
        <w:rPr>
          <w:rFonts w:ascii="Arial" w:hAnsi="Arial" w:cs="Arial"/>
          <w:lang w:val="en-GB"/>
        </w:rPr>
        <w:t>Fifth, key socioeconomic indicators such as income and education were not collected. These may influence both alcohol purchasing patterns and sensitivity to mating-related cues. Including such variables in future studies would strengthen the ecological validity and allow for richer interpretation of results.</w:t>
      </w:r>
    </w:p>
    <w:p w14:paraId="72943AAA" w14:textId="4591294B" w:rsidR="00790ADA" w:rsidRPr="00890933" w:rsidRDefault="00890933" w:rsidP="00890933">
      <w:pPr>
        <w:pStyle w:val="Body"/>
        <w:rPr>
          <w:rFonts w:ascii="Arial" w:hAnsi="Arial" w:cs="Arial"/>
          <w:lang w:val="en-GB"/>
        </w:rPr>
      </w:pPr>
      <w:r w:rsidRPr="00890933">
        <w:rPr>
          <w:rFonts w:ascii="Arial" w:hAnsi="Arial" w:cs="Arial"/>
          <w:lang w:val="en-GB"/>
        </w:rPr>
        <w:t>Finally, no attention checks were used in this online study, which raises concerns about participant engagement. Future research should incorporate simple but effective attention checks to ensure that participants read and respond to the priming materials thoughtfully.</w:t>
      </w:r>
    </w:p>
    <w:p w14:paraId="3B9B6D77" w14:textId="2CDA8782" w:rsidR="00B01FCD" w:rsidRDefault="00082A5D"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54C342AC" w14:textId="77777777" w:rsidR="00790ADA" w:rsidRPr="00FB3A86" w:rsidRDefault="00790ADA" w:rsidP="00441B6F">
      <w:pPr>
        <w:pStyle w:val="ConcHead"/>
        <w:spacing w:after="0"/>
        <w:jc w:val="both"/>
        <w:rPr>
          <w:rFonts w:ascii="Arial" w:hAnsi="Arial" w:cs="Arial"/>
        </w:rPr>
      </w:pPr>
    </w:p>
    <w:p w14:paraId="0163A811" w14:textId="223FDADE" w:rsidR="005E6372" w:rsidRDefault="005E6372" w:rsidP="005E6372">
      <w:pPr>
        <w:pStyle w:val="Body"/>
        <w:spacing w:after="0"/>
        <w:rPr>
          <w:rFonts w:ascii="Arial" w:hAnsi="Arial" w:cs="Arial"/>
          <w:lang w:val="en-GB"/>
        </w:rPr>
      </w:pPr>
      <w:r w:rsidRPr="005E6372">
        <w:rPr>
          <w:rFonts w:ascii="Arial" w:hAnsi="Arial" w:cs="Arial"/>
          <w:lang w:val="en-GB"/>
        </w:rPr>
        <w:t xml:space="preserve">This study investigated the effects of perceived mate availability on intrasexual competitiveness and alcohol-related decision-making. While no overall increase in competitiveness was observed, interaction effects suggest that relationship status, especially among females, may moderate responsiveness to mating cues. More robust effects were observed on hypothetical alcohol demand: mate scarcity increased estimated consumption and reduced price sensitivity, particularly among males in relationships. These findings partially support evolutionary models of mating-related behaviour and </w:t>
      </w:r>
      <w:r w:rsidRPr="005E6372">
        <w:rPr>
          <w:rFonts w:ascii="Arial" w:hAnsi="Arial" w:cs="Arial"/>
          <w:lang w:val="en-GB"/>
        </w:rPr>
        <w:lastRenderedPageBreak/>
        <w:t>provide preliminary evidence that mating motives may influence economic decision-making around alcohol. Future research should incorporate manipulation checks, include cultural and socioeconomic variables, and use more sensitive measures to clarify these mechanisms.</w:t>
      </w:r>
    </w:p>
    <w:p w14:paraId="06BC421B" w14:textId="7F40B5E9" w:rsidR="006B1988" w:rsidRDefault="006B1988" w:rsidP="005E6372">
      <w:pPr>
        <w:pStyle w:val="Body"/>
        <w:spacing w:after="0"/>
        <w:rPr>
          <w:rFonts w:ascii="Arial" w:hAnsi="Arial" w:cs="Arial"/>
          <w:lang w:val="en-GB"/>
        </w:rPr>
      </w:pPr>
    </w:p>
    <w:p w14:paraId="623DB601" w14:textId="77777777" w:rsidR="00246F4C" w:rsidRPr="00246F4C" w:rsidRDefault="00246F4C" w:rsidP="00246F4C">
      <w:pPr>
        <w:spacing w:after="200" w:line="276" w:lineRule="auto"/>
        <w:rPr>
          <w:rFonts w:ascii="Calibri" w:eastAsia="Calibri" w:hAnsi="Calibri"/>
          <w:kern w:val="2"/>
          <w:sz w:val="22"/>
          <w:szCs w:val="22"/>
          <w:highlight w:val="yellow"/>
        </w:rPr>
      </w:pPr>
      <w:bookmarkStart w:id="0" w:name="_Hlk180402183"/>
      <w:bookmarkStart w:id="1" w:name="_Hlk183680988"/>
      <w:r w:rsidRPr="00246F4C">
        <w:rPr>
          <w:rFonts w:ascii="Calibri" w:eastAsia="Calibri" w:hAnsi="Calibri"/>
          <w:kern w:val="2"/>
          <w:sz w:val="22"/>
          <w:szCs w:val="22"/>
          <w:highlight w:val="yellow"/>
        </w:rPr>
        <w:t>Disclaimer (Artificial intelligence)</w:t>
      </w:r>
    </w:p>
    <w:p w14:paraId="747C3B92" w14:textId="77777777" w:rsidR="00246F4C" w:rsidRPr="00246F4C" w:rsidRDefault="00246F4C" w:rsidP="00246F4C">
      <w:pPr>
        <w:spacing w:after="200" w:line="276" w:lineRule="auto"/>
        <w:rPr>
          <w:rFonts w:ascii="Calibri" w:eastAsia="Calibri" w:hAnsi="Calibri"/>
          <w:kern w:val="2"/>
          <w:sz w:val="22"/>
          <w:szCs w:val="22"/>
          <w:highlight w:val="yellow"/>
        </w:rPr>
      </w:pPr>
      <w:r w:rsidRPr="00246F4C">
        <w:rPr>
          <w:rFonts w:ascii="Calibri" w:eastAsia="Calibri" w:hAnsi="Calibri"/>
          <w:kern w:val="2"/>
          <w:sz w:val="22"/>
          <w:szCs w:val="22"/>
          <w:highlight w:val="yellow"/>
        </w:rPr>
        <w:t xml:space="preserve">Option 1: </w:t>
      </w:r>
    </w:p>
    <w:p w14:paraId="5D064FDE" w14:textId="77777777" w:rsidR="00246F4C" w:rsidRPr="00246F4C" w:rsidRDefault="00246F4C" w:rsidP="00246F4C">
      <w:pPr>
        <w:spacing w:after="200" w:line="276" w:lineRule="auto"/>
        <w:rPr>
          <w:rFonts w:ascii="Calibri" w:eastAsia="Calibri" w:hAnsi="Calibri"/>
          <w:kern w:val="2"/>
          <w:sz w:val="22"/>
          <w:szCs w:val="22"/>
          <w:highlight w:val="yellow"/>
        </w:rPr>
      </w:pPr>
      <w:r w:rsidRPr="00246F4C">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2AFDA4E1" w14:textId="77777777" w:rsidR="00790ADA" w:rsidRPr="00117BF9" w:rsidRDefault="00790ADA" w:rsidP="00441B6F">
      <w:pPr>
        <w:pStyle w:val="Body"/>
        <w:spacing w:after="0"/>
        <w:rPr>
          <w:rFonts w:ascii="Arial" w:hAnsi="Arial" w:cs="Arial"/>
          <w:lang w:val="en-GB"/>
        </w:rPr>
      </w:pPr>
    </w:p>
    <w:p w14:paraId="0404026C" w14:textId="77777777" w:rsidR="00860000" w:rsidRDefault="00860000" w:rsidP="00441B6F">
      <w:pPr>
        <w:pStyle w:val="ReferHead"/>
        <w:spacing w:after="0"/>
        <w:jc w:val="both"/>
        <w:rPr>
          <w:rFonts w:ascii="Arial" w:hAnsi="Arial" w:cs="Arial"/>
        </w:rPr>
      </w:pPr>
    </w:p>
    <w:p w14:paraId="28DDA24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9A67A38" w14:textId="77777777" w:rsidR="00790ADA" w:rsidRPr="00FB3A86" w:rsidRDefault="00790ADA" w:rsidP="00441B6F">
      <w:pPr>
        <w:pStyle w:val="ReferHead"/>
        <w:spacing w:after="0"/>
        <w:jc w:val="both"/>
        <w:rPr>
          <w:rFonts w:ascii="Arial" w:hAnsi="Arial" w:cs="Arial"/>
        </w:rPr>
      </w:pPr>
    </w:p>
    <w:p w14:paraId="303E71D7" w14:textId="77777777" w:rsidR="006E0066" w:rsidRPr="006E0066" w:rsidRDefault="006E0066" w:rsidP="006E0066">
      <w:pPr>
        <w:pStyle w:val="Body"/>
        <w:spacing w:after="0"/>
        <w:rPr>
          <w:lang w:val="en-GB"/>
        </w:rPr>
      </w:pPr>
      <w:bookmarkStart w:id="2" w:name="Snider"/>
      <w:r w:rsidRPr="006E0066">
        <w:rPr>
          <w:lang w:val="en-GB"/>
        </w:rPr>
        <w:t xml:space="preserve">Amlung, M. T., Acker, J., Stojek, M. K., Murphy, J. G., &amp; Mackillop, J. (2012). Is Talk “Cheap”? An Initial Investigation of the Equivalence of Alcohol Purchase Task Performance for Hypothetical and Actual Rewards. </w:t>
      </w:r>
      <w:r w:rsidRPr="006E0066">
        <w:rPr>
          <w:i/>
          <w:iCs/>
          <w:lang w:val="en-GB"/>
        </w:rPr>
        <w:t>Alcoholism: Clinical and Experimental Research</w:t>
      </w:r>
      <w:r w:rsidRPr="006E0066">
        <w:rPr>
          <w:lang w:val="en-GB"/>
        </w:rPr>
        <w:t xml:space="preserve">, </w:t>
      </w:r>
      <w:r w:rsidRPr="006E0066">
        <w:rPr>
          <w:i/>
          <w:iCs/>
          <w:lang w:val="en-GB"/>
        </w:rPr>
        <w:t>36</w:t>
      </w:r>
      <w:r w:rsidRPr="006E0066">
        <w:rPr>
          <w:lang w:val="en-GB"/>
        </w:rPr>
        <w:t xml:space="preserve">(4), 716–724. </w:t>
      </w:r>
      <w:hyperlink r:id="rId18" w:history="1">
        <w:r w:rsidRPr="006E0066">
          <w:rPr>
            <w:rStyle w:val="Hyperlink"/>
            <w:lang w:val="en-GB"/>
          </w:rPr>
          <w:t>https://doi.org/10.1111/j.1530-0277.2011.01656.x</w:t>
        </w:r>
      </w:hyperlink>
    </w:p>
    <w:p w14:paraId="08B58E2A" w14:textId="77777777" w:rsidR="006E0066" w:rsidRDefault="006E0066" w:rsidP="006E0066">
      <w:pPr>
        <w:pStyle w:val="Body"/>
        <w:spacing w:after="0"/>
        <w:rPr>
          <w:lang w:val="en-GB"/>
        </w:rPr>
      </w:pPr>
    </w:p>
    <w:p w14:paraId="66A21520" w14:textId="2C59B65B" w:rsidR="006E0066" w:rsidRPr="006E0066" w:rsidRDefault="006E0066" w:rsidP="006E0066">
      <w:pPr>
        <w:pStyle w:val="Body"/>
        <w:spacing w:after="0"/>
        <w:rPr>
          <w:lang w:val="en-GB"/>
        </w:rPr>
      </w:pPr>
      <w:proofErr w:type="spellStart"/>
      <w:r w:rsidRPr="006E0066">
        <w:rPr>
          <w:lang w:val="en-GB"/>
        </w:rPr>
        <w:t>Arnocky</w:t>
      </w:r>
      <w:proofErr w:type="spellEnd"/>
      <w:r w:rsidRPr="006E0066">
        <w:rPr>
          <w:lang w:val="en-GB"/>
        </w:rPr>
        <w:t xml:space="preserve">, S., </w:t>
      </w:r>
      <w:proofErr w:type="spellStart"/>
      <w:r w:rsidRPr="006E0066">
        <w:rPr>
          <w:lang w:val="en-GB"/>
        </w:rPr>
        <w:t>Ribout</w:t>
      </w:r>
      <w:proofErr w:type="spellEnd"/>
      <w:r w:rsidRPr="006E0066">
        <w:rPr>
          <w:lang w:val="en-GB"/>
        </w:rPr>
        <w:t xml:space="preserve">, A., Mirza, R. S., &amp; Knack, J. M. (2014). Perceived mate availability influences intrasexual competition, jealousy and mate-guarding </w:t>
      </w:r>
      <w:proofErr w:type="spellStart"/>
      <w:r w:rsidRPr="006E0066">
        <w:rPr>
          <w:lang w:val="en-GB"/>
        </w:rPr>
        <w:t>behavior</w:t>
      </w:r>
      <w:proofErr w:type="spellEnd"/>
      <w:r w:rsidRPr="006E0066">
        <w:rPr>
          <w:lang w:val="en-GB"/>
        </w:rPr>
        <w:t xml:space="preserve">. </w:t>
      </w:r>
      <w:r w:rsidRPr="006E0066">
        <w:rPr>
          <w:i/>
          <w:iCs/>
          <w:lang w:val="en-GB"/>
        </w:rPr>
        <w:t>Journal of Evolutionary Psychology</w:t>
      </w:r>
      <w:r w:rsidRPr="006E0066">
        <w:rPr>
          <w:lang w:val="en-GB"/>
        </w:rPr>
        <w:t xml:space="preserve">, </w:t>
      </w:r>
      <w:r w:rsidRPr="006E0066">
        <w:rPr>
          <w:i/>
          <w:iCs/>
          <w:lang w:val="en-GB"/>
        </w:rPr>
        <w:t>12</w:t>
      </w:r>
      <w:r w:rsidRPr="006E0066">
        <w:rPr>
          <w:lang w:val="en-GB"/>
        </w:rPr>
        <w:t xml:space="preserve">(1), 45–64. </w:t>
      </w:r>
      <w:hyperlink r:id="rId19" w:history="1">
        <w:r w:rsidRPr="006E0066">
          <w:rPr>
            <w:rStyle w:val="Hyperlink"/>
            <w:lang w:val="en-GB"/>
          </w:rPr>
          <w:t>https://doi.org/10.1556/JEP.12.2014.1.3</w:t>
        </w:r>
      </w:hyperlink>
    </w:p>
    <w:p w14:paraId="382D8A77" w14:textId="77777777" w:rsidR="006E0066" w:rsidRDefault="006E0066" w:rsidP="006E0066">
      <w:pPr>
        <w:pStyle w:val="Body"/>
        <w:spacing w:after="0"/>
        <w:rPr>
          <w:lang w:val="en-GB"/>
        </w:rPr>
      </w:pPr>
    </w:p>
    <w:p w14:paraId="454B8E08" w14:textId="043630E7" w:rsidR="0050584D" w:rsidRDefault="006E0066" w:rsidP="006E0066">
      <w:pPr>
        <w:pStyle w:val="Body"/>
        <w:spacing w:after="0"/>
        <w:rPr>
          <w:lang w:val="en-GB"/>
        </w:rPr>
      </w:pPr>
      <w:proofErr w:type="spellStart"/>
      <w:r w:rsidRPr="006E0066">
        <w:rPr>
          <w:lang w:val="en-GB"/>
        </w:rPr>
        <w:t>Arnocky</w:t>
      </w:r>
      <w:proofErr w:type="spellEnd"/>
      <w:r w:rsidRPr="006E0066">
        <w:rPr>
          <w:lang w:val="en-GB"/>
        </w:rPr>
        <w:t xml:space="preserve">, S., Albert, G., Carré, J. M., &amp; Ortiz, T. L. (2018). Intrasexual competition mediates the relationship between men’s testosterone and mate retention </w:t>
      </w:r>
      <w:proofErr w:type="spellStart"/>
      <w:r w:rsidRPr="006E0066">
        <w:rPr>
          <w:lang w:val="en-GB"/>
        </w:rPr>
        <w:t>behavior</w:t>
      </w:r>
      <w:proofErr w:type="spellEnd"/>
      <w:r w:rsidRPr="006E0066">
        <w:rPr>
          <w:lang w:val="en-GB"/>
        </w:rPr>
        <w:t xml:space="preserve">. </w:t>
      </w:r>
      <w:r w:rsidRPr="006E0066">
        <w:rPr>
          <w:i/>
          <w:iCs/>
          <w:lang w:val="en-GB"/>
        </w:rPr>
        <w:t xml:space="preserve">Physiology and </w:t>
      </w:r>
      <w:proofErr w:type="spellStart"/>
      <w:r w:rsidRPr="006E0066">
        <w:rPr>
          <w:i/>
          <w:iCs/>
          <w:lang w:val="en-GB"/>
        </w:rPr>
        <w:t>Behavior</w:t>
      </w:r>
      <w:proofErr w:type="spellEnd"/>
      <w:r w:rsidRPr="006E0066">
        <w:rPr>
          <w:lang w:val="en-GB"/>
        </w:rPr>
        <w:t xml:space="preserve">, </w:t>
      </w:r>
      <w:r w:rsidRPr="006E0066">
        <w:rPr>
          <w:i/>
          <w:iCs/>
          <w:lang w:val="en-GB"/>
        </w:rPr>
        <w:t>186</w:t>
      </w:r>
      <w:r w:rsidRPr="006E0066">
        <w:rPr>
          <w:lang w:val="en-GB"/>
        </w:rPr>
        <w:t xml:space="preserve">(July 2017), 73–78. </w:t>
      </w:r>
      <w:hyperlink r:id="rId20" w:history="1">
        <w:r w:rsidR="0050584D" w:rsidRPr="00F7288C">
          <w:rPr>
            <w:rStyle w:val="Hyperlink"/>
            <w:lang w:val="en-GB"/>
          </w:rPr>
          <w:t>https://doi.org/10.1016/j.physbeh.2018.01.007</w:t>
        </w:r>
      </w:hyperlink>
    </w:p>
    <w:p w14:paraId="64DE774E" w14:textId="77777777" w:rsidR="0050584D" w:rsidRDefault="0050584D" w:rsidP="006E0066">
      <w:pPr>
        <w:pStyle w:val="Body"/>
        <w:spacing w:after="0"/>
        <w:rPr>
          <w:lang w:val="en-GB"/>
        </w:rPr>
      </w:pPr>
    </w:p>
    <w:p w14:paraId="7E7D5334" w14:textId="1D61A033" w:rsidR="006E0066" w:rsidRPr="006E0066" w:rsidRDefault="006E0066" w:rsidP="006E0066">
      <w:pPr>
        <w:pStyle w:val="Body"/>
        <w:spacing w:after="0"/>
        <w:rPr>
          <w:lang w:val="en-GB"/>
        </w:rPr>
      </w:pPr>
      <w:r w:rsidRPr="006E0066">
        <w:rPr>
          <w:lang w:val="en-GB"/>
        </w:rPr>
        <w:t xml:space="preserve">Baker, M. D., &amp; Maner, J. K. (2009). Male risk-taking as a context-sensitive </w:t>
      </w:r>
      <w:proofErr w:type="spellStart"/>
      <w:r w:rsidRPr="006E0066">
        <w:rPr>
          <w:lang w:val="en-GB"/>
        </w:rPr>
        <w:t>signaling</w:t>
      </w:r>
      <w:proofErr w:type="spellEnd"/>
      <w:r w:rsidRPr="006E0066">
        <w:rPr>
          <w:lang w:val="en-GB"/>
        </w:rPr>
        <w:t xml:space="preserve"> device. </w:t>
      </w:r>
      <w:r w:rsidRPr="006E0066">
        <w:rPr>
          <w:i/>
          <w:iCs/>
          <w:lang w:val="en-GB"/>
        </w:rPr>
        <w:t>Journal of Experimental Social Psychology</w:t>
      </w:r>
      <w:r w:rsidRPr="006E0066">
        <w:rPr>
          <w:lang w:val="en-GB"/>
        </w:rPr>
        <w:t xml:space="preserve">, </w:t>
      </w:r>
      <w:r w:rsidRPr="006E0066">
        <w:rPr>
          <w:i/>
          <w:iCs/>
          <w:lang w:val="en-GB"/>
        </w:rPr>
        <w:t>45</w:t>
      </w:r>
      <w:r w:rsidRPr="006E0066">
        <w:rPr>
          <w:lang w:val="en-GB"/>
        </w:rPr>
        <w:t xml:space="preserve">(5), 1136–1139. </w:t>
      </w:r>
      <w:hyperlink r:id="rId21" w:history="1">
        <w:r w:rsidRPr="006E0066">
          <w:rPr>
            <w:rStyle w:val="Hyperlink"/>
            <w:lang w:val="en-GB"/>
          </w:rPr>
          <w:t>https://doi.org/10.1016/j.jesp.2009.06.006</w:t>
        </w:r>
      </w:hyperlink>
    </w:p>
    <w:p w14:paraId="4ED1448F" w14:textId="77777777" w:rsidR="006E0066" w:rsidRDefault="006E0066" w:rsidP="006E0066">
      <w:pPr>
        <w:pStyle w:val="Body"/>
        <w:spacing w:after="0"/>
        <w:rPr>
          <w:lang w:val="en-GB"/>
        </w:rPr>
      </w:pPr>
    </w:p>
    <w:p w14:paraId="3AE3C9F4" w14:textId="46DE0777" w:rsidR="006E0066" w:rsidRPr="006E0066" w:rsidRDefault="006E0066" w:rsidP="006E0066">
      <w:pPr>
        <w:pStyle w:val="Body"/>
        <w:spacing w:after="0"/>
        <w:rPr>
          <w:lang w:val="en-GB"/>
        </w:rPr>
      </w:pPr>
      <w:r w:rsidRPr="006E0066">
        <w:rPr>
          <w:lang w:val="en-GB"/>
        </w:rPr>
        <w:t xml:space="preserve">Bertholet, N., Murphy, J. G., </w:t>
      </w:r>
      <w:proofErr w:type="spellStart"/>
      <w:r w:rsidRPr="006E0066">
        <w:rPr>
          <w:lang w:val="en-GB"/>
        </w:rPr>
        <w:t>Daeppen</w:t>
      </w:r>
      <w:proofErr w:type="spellEnd"/>
      <w:r w:rsidRPr="006E0066">
        <w:rPr>
          <w:lang w:val="en-GB"/>
        </w:rPr>
        <w:t xml:space="preserve">, J. B., </w:t>
      </w:r>
      <w:proofErr w:type="spellStart"/>
      <w:r w:rsidRPr="006E0066">
        <w:rPr>
          <w:lang w:val="en-GB"/>
        </w:rPr>
        <w:t>Gmel</w:t>
      </w:r>
      <w:proofErr w:type="spellEnd"/>
      <w:r w:rsidRPr="006E0066">
        <w:rPr>
          <w:lang w:val="en-GB"/>
        </w:rPr>
        <w:t xml:space="preserve">, G., &amp; Gaume, J. (2015). The alcohol purchase task in young men from the general population. </w:t>
      </w:r>
      <w:r w:rsidRPr="006E0066">
        <w:rPr>
          <w:i/>
          <w:iCs/>
          <w:lang w:val="en-GB"/>
        </w:rPr>
        <w:t>Drug and Alcohol Dependence</w:t>
      </w:r>
      <w:r w:rsidRPr="006E0066">
        <w:rPr>
          <w:lang w:val="en-GB"/>
        </w:rPr>
        <w:t xml:space="preserve">, </w:t>
      </w:r>
      <w:r w:rsidRPr="006E0066">
        <w:rPr>
          <w:i/>
          <w:iCs/>
          <w:lang w:val="en-GB"/>
        </w:rPr>
        <w:t>146</w:t>
      </w:r>
      <w:r w:rsidRPr="006E0066">
        <w:rPr>
          <w:lang w:val="en-GB"/>
        </w:rPr>
        <w:t xml:space="preserve">(1), 39–44. </w:t>
      </w:r>
      <w:hyperlink r:id="rId22" w:history="1">
        <w:r w:rsidRPr="006E0066">
          <w:rPr>
            <w:rStyle w:val="Hyperlink"/>
            <w:lang w:val="en-GB"/>
          </w:rPr>
          <w:t>https://doi.org/10.1016/j.drugalcdep.2014.10.024</w:t>
        </w:r>
      </w:hyperlink>
    </w:p>
    <w:p w14:paraId="539D8692" w14:textId="77777777" w:rsidR="0050584D" w:rsidRDefault="0050584D" w:rsidP="006E0066">
      <w:pPr>
        <w:pStyle w:val="Body"/>
        <w:spacing w:after="0"/>
        <w:rPr>
          <w:lang w:val="en-GB"/>
        </w:rPr>
      </w:pPr>
    </w:p>
    <w:p w14:paraId="2F51E746" w14:textId="69328ECF" w:rsidR="006E0066" w:rsidRPr="006E0066" w:rsidRDefault="006E0066" w:rsidP="006E0066">
      <w:pPr>
        <w:pStyle w:val="Body"/>
        <w:spacing w:after="0"/>
        <w:rPr>
          <w:lang w:val="en-GB"/>
        </w:rPr>
      </w:pPr>
      <w:r w:rsidRPr="006E0066">
        <w:rPr>
          <w:lang w:val="en-GB"/>
        </w:rPr>
        <w:t xml:space="preserve">Brady, J. (2006). The association between alcohol misuse and suicidal behaviour. </w:t>
      </w:r>
      <w:r w:rsidRPr="006E0066">
        <w:rPr>
          <w:i/>
          <w:iCs/>
          <w:lang w:val="en-GB"/>
        </w:rPr>
        <w:t>Alcohol and Alcoholism</w:t>
      </w:r>
      <w:r w:rsidRPr="006E0066">
        <w:rPr>
          <w:lang w:val="en-GB"/>
        </w:rPr>
        <w:t xml:space="preserve">, </w:t>
      </w:r>
      <w:r w:rsidRPr="006E0066">
        <w:rPr>
          <w:i/>
          <w:iCs/>
          <w:lang w:val="en-GB"/>
        </w:rPr>
        <w:t>41</w:t>
      </w:r>
      <w:r w:rsidRPr="006E0066">
        <w:rPr>
          <w:lang w:val="en-GB"/>
        </w:rPr>
        <w:t xml:space="preserve">(5), 473–478. </w:t>
      </w:r>
      <w:hyperlink r:id="rId23" w:history="1">
        <w:r w:rsidRPr="006E0066">
          <w:rPr>
            <w:rStyle w:val="Hyperlink"/>
            <w:lang w:val="en-GB"/>
          </w:rPr>
          <w:t>https://doi.org/10.1093/alcalc/agl060</w:t>
        </w:r>
      </w:hyperlink>
    </w:p>
    <w:p w14:paraId="5E7547C4" w14:textId="77777777" w:rsidR="006E0066" w:rsidRDefault="006E0066" w:rsidP="006E0066">
      <w:pPr>
        <w:pStyle w:val="Body"/>
        <w:spacing w:after="0"/>
        <w:rPr>
          <w:lang w:val="en-GB"/>
        </w:rPr>
      </w:pPr>
    </w:p>
    <w:p w14:paraId="74223048" w14:textId="16E80785" w:rsidR="006E0066" w:rsidRPr="006E0066" w:rsidRDefault="006E0066" w:rsidP="006E0066">
      <w:pPr>
        <w:pStyle w:val="Body"/>
        <w:spacing w:after="0"/>
        <w:rPr>
          <w:lang w:val="en-GB"/>
        </w:rPr>
      </w:pPr>
      <w:proofErr w:type="spellStart"/>
      <w:r w:rsidRPr="006E0066">
        <w:rPr>
          <w:lang w:val="en-GB"/>
        </w:rPr>
        <w:t>Buunk</w:t>
      </w:r>
      <w:proofErr w:type="spellEnd"/>
      <w:r w:rsidRPr="006E0066">
        <w:rPr>
          <w:lang w:val="en-GB"/>
        </w:rPr>
        <w:t xml:space="preserve">, A. P., &amp; Fisher, M. (2009). Individual differences in intrasexual competition. </w:t>
      </w:r>
      <w:r w:rsidRPr="006E0066">
        <w:rPr>
          <w:i/>
          <w:iCs/>
          <w:lang w:val="en-GB"/>
        </w:rPr>
        <w:t>Journal of Evolutionary Psychology</w:t>
      </w:r>
      <w:r w:rsidRPr="006E0066">
        <w:rPr>
          <w:lang w:val="en-GB"/>
        </w:rPr>
        <w:t xml:space="preserve">, </w:t>
      </w:r>
      <w:r w:rsidRPr="006E0066">
        <w:rPr>
          <w:i/>
          <w:iCs/>
          <w:lang w:val="en-GB"/>
        </w:rPr>
        <w:t>7</w:t>
      </w:r>
      <w:r w:rsidRPr="006E0066">
        <w:rPr>
          <w:lang w:val="en-GB"/>
        </w:rPr>
        <w:t xml:space="preserve">(1), 37–48. </w:t>
      </w:r>
      <w:hyperlink r:id="rId24" w:history="1">
        <w:r w:rsidRPr="006E0066">
          <w:rPr>
            <w:rStyle w:val="Hyperlink"/>
            <w:lang w:val="en-GB"/>
          </w:rPr>
          <w:t>https://doi.org/10.1556/JEP.7.2009.1.5</w:t>
        </w:r>
      </w:hyperlink>
    </w:p>
    <w:p w14:paraId="45EE8958" w14:textId="77777777" w:rsidR="006E0066" w:rsidRDefault="006E0066" w:rsidP="006E0066">
      <w:pPr>
        <w:pStyle w:val="Body"/>
        <w:spacing w:after="0"/>
        <w:rPr>
          <w:lang w:val="en-GB"/>
        </w:rPr>
      </w:pPr>
    </w:p>
    <w:p w14:paraId="381F4071" w14:textId="39607ED5" w:rsidR="006E0066" w:rsidRPr="006E0066" w:rsidRDefault="006E0066" w:rsidP="006E0066">
      <w:pPr>
        <w:pStyle w:val="Body"/>
        <w:spacing w:after="0"/>
        <w:rPr>
          <w:lang w:val="en-GB"/>
        </w:rPr>
      </w:pPr>
      <w:r w:rsidRPr="006E0066">
        <w:rPr>
          <w:lang w:val="en-GB"/>
        </w:rPr>
        <w:t xml:space="preserve">Buss, D. M. (1988). The Evolution of Human Intrasexual Competition: Tactics of Mate Attraction. </w:t>
      </w:r>
      <w:r w:rsidRPr="006E0066">
        <w:rPr>
          <w:i/>
          <w:iCs/>
          <w:lang w:val="en-GB"/>
        </w:rPr>
        <w:t>Journal of Personality and Social Psychology</w:t>
      </w:r>
      <w:r w:rsidRPr="006E0066">
        <w:rPr>
          <w:lang w:val="en-GB"/>
        </w:rPr>
        <w:t xml:space="preserve">, </w:t>
      </w:r>
      <w:r w:rsidRPr="006E0066">
        <w:rPr>
          <w:i/>
          <w:iCs/>
          <w:lang w:val="en-GB"/>
        </w:rPr>
        <w:t>54</w:t>
      </w:r>
      <w:r w:rsidRPr="006E0066">
        <w:rPr>
          <w:lang w:val="en-GB"/>
        </w:rPr>
        <w:t xml:space="preserve">(4), 616–628. </w:t>
      </w:r>
      <w:hyperlink r:id="rId25" w:history="1">
        <w:r w:rsidRPr="006E0066">
          <w:rPr>
            <w:rStyle w:val="Hyperlink"/>
            <w:lang w:val="en-GB"/>
          </w:rPr>
          <w:t>https://doi.org/10.1037/0022-3514.54.4.616</w:t>
        </w:r>
      </w:hyperlink>
    </w:p>
    <w:p w14:paraId="6CF7E3A5" w14:textId="77777777" w:rsidR="006E0066" w:rsidRDefault="006E0066" w:rsidP="006E0066">
      <w:pPr>
        <w:pStyle w:val="Body"/>
        <w:spacing w:after="0"/>
        <w:rPr>
          <w:lang w:val="en-GB"/>
        </w:rPr>
      </w:pPr>
    </w:p>
    <w:p w14:paraId="21F7FE07" w14:textId="2829F710" w:rsidR="006E0066" w:rsidRPr="006E0066" w:rsidRDefault="006E0066" w:rsidP="006E0066">
      <w:pPr>
        <w:pStyle w:val="Body"/>
        <w:spacing w:after="0"/>
        <w:rPr>
          <w:lang w:val="en-GB"/>
        </w:rPr>
      </w:pPr>
      <w:r w:rsidRPr="006E0066">
        <w:rPr>
          <w:lang w:val="en-GB"/>
        </w:rPr>
        <w:t xml:space="preserve">Buss, D. M., &amp; Barnes, M. (1986). Preferences in Human Mate Selection. </w:t>
      </w:r>
      <w:r w:rsidRPr="006E0066">
        <w:rPr>
          <w:i/>
          <w:iCs/>
          <w:lang w:val="en-GB"/>
        </w:rPr>
        <w:t>Journal of Personality and Social Psychology</w:t>
      </w:r>
      <w:r w:rsidRPr="006E0066">
        <w:rPr>
          <w:lang w:val="en-GB"/>
        </w:rPr>
        <w:t xml:space="preserve">, </w:t>
      </w:r>
      <w:r w:rsidRPr="006E0066">
        <w:rPr>
          <w:i/>
          <w:iCs/>
          <w:lang w:val="en-GB"/>
        </w:rPr>
        <w:t>50</w:t>
      </w:r>
      <w:r w:rsidRPr="006E0066">
        <w:rPr>
          <w:lang w:val="en-GB"/>
        </w:rPr>
        <w:t xml:space="preserve">(3), 559–570. </w:t>
      </w:r>
      <w:hyperlink r:id="rId26" w:history="1">
        <w:r w:rsidRPr="006E0066">
          <w:rPr>
            <w:rStyle w:val="Hyperlink"/>
            <w:lang w:val="en-GB"/>
          </w:rPr>
          <w:t>https://doi.org/10.1037/0022-3514.50.3.559</w:t>
        </w:r>
      </w:hyperlink>
    </w:p>
    <w:p w14:paraId="4731D397" w14:textId="77777777" w:rsidR="006E0066" w:rsidRDefault="006E0066" w:rsidP="006E0066">
      <w:pPr>
        <w:pStyle w:val="Body"/>
        <w:spacing w:after="0"/>
        <w:rPr>
          <w:lang w:val="en-GB"/>
        </w:rPr>
      </w:pPr>
    </w:p>
    <w:p w14:paraId="41D91741" w14:textId="37515B8C" w:rsidR="006E0066" w:rsidRPr="006E0066" w:rsidRDefault="006E0066" w:rsidP="006E0066">
      <w:pPr>
        <w:pStyle w:val="Body"/>
        <w:spacing w:after="0"/>
        <w:rPr>
          <w:lang w:val="en-GB"/>
        </w:rPr>
      </w:pPr>
      <w:r w:rsidRPr="006E0066">
        <w:rPr>
          <w:lang w:val="en-GB"/>
        </w:rPr>
        <w:t xml:space="preserve">Buss, D. M., &amp; Greiling, H. (1999). Adaptive Individual Differences. </w:t>
      </w:r>
      <w:r w:rsidRPr="006E0066">
        <w:rPr>
          <w:i/>
          <w:iCs/>
          <w:lang w:val="en-GB"/>
        </w:rPr>
        <w:t>Journal of Personality</w:t>
      </w:r>
      <w:r w:rsidRPr="006E0066">
        <w:rPr>
          <w:lang w:val="en-GB"/>
        </w:rPr>
        <w:t xml:space="preserve">, </w:t>
      </w:r>
      <w:r w:rsidRPr="006E0066">
        <w:rPr>
          <w:i/>
          <w:iCs/>
          <w:lang w:val="en-GB"/>
        </w:rPr>
        <w:t>67</w:t>
      </w:r>
      <w:r w:rsidRPr="006E0066">
        <w:rPr>
          <w:lang w:val="en-GB"/>
        </w:rPr>
        <w:t xml:space="preserve">(2). </w:t>
      </w:r>
      <w:hyperlink r:id="rId27" w:history="1">
        <w:r w:rsidRPr="006E0066">
          <w:rPr>
            <w:rStyle w:val="Hyperlink"/>
            <w:lang w:val="en-GB"/>
          </w:rPr>
          <w:t>https://doi.org/10.1111/1467-6494.00053</w:t>
        </w:r>
      </w:hyperlink>
    </w:p>
    <w:p w14:paraId="660F2B09" w14:textId="77777777" w:rsidR="006E0066" w:rsidRDefault="006E0066" w:rsidP="006E0066">
      <w:pPr>
        <w:pStyle w:val="Body"/>
        <w:spacing w:after="0"/>
        <w:rPr>
          <w:lang w:val="en-GB"/>
        </w:rPr>
      </w:pPr>
    </w:p>
    <w:p w14:paraId="405DE1BE" w14:textId="1C578ED4" w:rsidR="006E0066" w:rsidRPr="006E0066" w:rsidRDefault="006E0066" w:rsidP="006E0066">
      <w:pPr>
        <w:pStyle w:val="Body"/>
        <w:spacing w:after="0"/>
        <w:rPr>
          <w:lang w:val="en-GB"/>
        </w:rPr>
      </w:pPr>
      <w:r w:rsidRPr="006E0066">
        <w:rPr>
          <w:lang w:val="en-GB"/>
        </w:rPr>
        <w:t xml:space="preserve">Cooper, M. L. (1994). Motivations for alcohol use among adolescents: Development and validation of a four-factor model. </w:t>
      </w:r>
      <w:r w:rsidRPr="006E0066">
        <w:rPr>
          <w:i/>
          <w:iCs/>
          <w:lang w:val="en-GB"/>
        </w:rPr>
        <w:t>Psychological Assessment</w:t>
      </w:r>
      <w:r w:rsidRPr="006E0066">
        <w:rPr>
          <w:lang w:val="en-GB"/>
        </w:rPr>
        <w:t xml:space="preserve">, </w:t>
      </w:r>
      <w:r w:rsidRPr="006E0066">
        <w:rPr>
          <w:i/>
          <w:iCs/>
          <w:lang w:val="en-GB"/>
        </w:rPr>
        <w:t>6</w:t>
      </w:r>
      <w:r w:rsidRPr="006E0066">
        <w:rPr>
          <w:lang w:val="en-GB"/>
        </w:rPr>
        <w:t xml:space="preserve">(2), 117–128. </w:t>
      </w:r>
      <w:hyperlink r:id="rId28" w:history="1">
        <w:r w:rsidRPr="006E0066">
          <w:rPr>
            <w:rStyle w:val="Hyperlink"/>
            <w:lang w:val="en-GB"/>
          </w:rPr>
          <w:t>https://doi.org/10.1037/1040-3590.6.2.117</w:t>
        </w:r>
      </w:hyperlink>
    </w:p>
    <w:p w14:paraId="76DA2971" w14:textId="77777777" w:rsidR="006E0066" w:rsidRDefault="006E0066" w:rsidP="006E0066">
      <w:pPr>
        <w:pStyle w:val="Body"/>
        <w:spacing w:after="0"/>
        <w:rPr>
          <w:lang w:val="en-GB"/>
        </w:rPr>
      </w:pPr>
    </w:p>
    <w:p w14:paraId="6CAA1AA6" w14:textId="433F84E5" w:rsidR="006E0066" w:rsidRPr="006E0066" w:rsidRDefault="006E0066" w:rsidP="006E0066">
      <w:pPr>
        <w:pStyle w:val="Body"/>
        <w:spacing w:after="0"/>
        <w:rPr>
          <w:lang w:val="en-GB"/>
        </w:rPr>
      </w:pPr>
      <w:r w:rsidRPr="006E0066">
        <w:rPr>
          <w:lang w:val="en-GB"/>
        </w:rPr>
        <w:t xml:space="preserve">Cox, W. M., &amp; Klinger, E. (1988). A Motivational Model of Alcohol Use. </w:t>
      </w:r>
      <w:r w:rsidRPr="006E0066">
        <w:rPr>
          <w:i/>
          <w:iCs/>
          <w:lang w:val="en-GB"/>
        </w:rPr>
        <w:t>Journal of Abnormal Psychology</w:t>
      </w:r>
      <w:r w:rsidRPr="006E0066">
        <w:rPr>
          <w:lang w:val="en-GB"/>
        </w:rPr>
        <w:t xml:space="preserve">, </w:t>
      </w:r>
      <w:r w:rsidRPr="006E0066">
        <w:rPr>
          <w:i/>
          <w:iCs/>
          <w:lang w:val="en-GB"/>
        </w:rPr>
        <w:t>97</w:t>
      </w:r>
      <w:r w:rsidRPr="006E0066">
        <w:rPr>
          <w:lang w:val="en-GB"/>
        </w:rPr>
        <w:t xml:space="preserve">(2), 168–180. </w:t>
      </w:r>
      <w:hyperlink r:id="rId29" w:history="1">
        <w:r w:rsidRPr="006E0066">
          <w:rPr>
            <w:rStyle w:val="Hyperlink"/>
            <w:lang w:val="en-GB"/>
          </w:rPr>
          <w:t>https://doi.org/10.1037/0021-843X.97.2.168</w:t>
        </w:r>
      </w:hyperlink>
    </w:p>
    <w:p w14:paraId="7E674785" w14:textId="77777777" w:rsidR="006E0066" w:rsidRDefault="006E0066" w:rsidP="006E0066">
      <w:pPr>
        <w:pStyle w:val="Body"/>
        <w:spacing w:after="0"/>
        <w:rPr>
          <w:lang w:val="en-GB"/>
        </w:rPr>
      </w:pPr>
    </w:p>
    <w:p w14:paraId="54CD5055" w14:textId="6074DDA1" w:rsidR="006E0066" w:rsidRPr="006E0066" w:rsidRDefault="006E0066" w:rsidP="006E0066">
      <w:pPr>
        <w:pStyle w:val="Body"/>
        <w:spacing w:after="0"/>
        <w:rPr>
          <w:lang w:val="en-GB"/>
        </w:rPr>
      </w:pPr>
      <w:r w:rsidRPr="006E0066">
        <w:rPr>
          <w:lang w:val="en-GB"/>
        </w:rPr>
        <w:t>Cox, W. M., &amp; Klinger, E. (1990). Incentive motivation, affective change, and alcohol use: A model. In W. M. Cox (Ed.), </w:t>
      </w:r>
      <w:r w:rsidRPr="006E0066">
        <w:rPr>
          <w:i/>
          <w:iCs/>
          <w:lang w:val="en-GB"/>
        </w:rPr>
        <w:t>Why people drink: Parameters of alcohol as a reinforcer. </w:t>
      </w:r>
      <w:r w:rsidRPr="006E0066">
        <w:rPr>
          <w:lang w:val="en-GB"/>
        </w:rPr>
        <w:t>Psychology Press.</w:t>
      </w:r>
    </w:p>
    <w:p w14:paraId="65A08DC3" w14:textId="77777777" w:rsidR="006E0066" w:rsidRDefault="006E0066" w:rsidP="006E0066">
      <w:pPr>
        <w:pStyle w:val="Body"/>
        <w:spacing w:after="0"/>
        <w:rPr>
          <w:lang w:val="en-GB"/>
        </w:rPr>
      </w:pPr>
    </w:p>
    <w:p w14:paraId="638FBACC" w14:textId="0BB62470" w:rsidR="006E0066" w:rsidRPr="006E0066" w:rsidRDefault="006E0066" w:rsidP="006E0066">
      <w:pPr>
        <w:pStyle w:val="Body"/>
        <w:spacing w:after="0"/>
        <w:rPr>
          <w:lang w:val="en-GB"/>
        </w:rPr>
      </w:pPr>
      <w:r w:rsidRPr="006E0066">
        <w:rPr>
          <w:lang w:val="en-GB"/>
        </w:rPr>
        <w:lastRenderedPageBreak/>
        <w:t xml:space="preserve">Cox, W. M., &amp; Klinger, E. (2003). A Motivational Model of Alcohol Use: Determinants of Use and Change. </w:t>
      </w:r>
      <w:r w:rsidRPr="006E0066">
        <w:rPr>
          <w:i/>
          <w:iCs/>
          <w:lang w:val="en-GB"/>
        </w:rPr>
        <w:t xml:space="preserve">Handbook of Motivational </w:t>
      </w:r>
      <w:proofErr w:type="spellStart"/>
      <w:r w:rsidRPr="006E0066">
        <w:rPr>
          <w:i/>
          <w:iCs/>
          <w:lang w:val="en-GB"/>
        </w:rPr>
        <w:t>Counseling</w:t>
      </w:r>
      <w:proofErr w:type="spellEnd"/>
      <w:r w:rsidRPr="006E0066">
        <w:rPr>
          <w:i/>
          <w:iCs/>
          <w:lang w:val="en-GB"/>
        </w:rPr>
        <w:t xml:space="preserve"> Concepts, Approaches, and Assessment </w:t>
      </w:r>
      <w:r w:rsidRPr="006E0066">
        <w:rPr>
          <w:lang w:val="en-GB"/>
        </w:rPr>
        <w:t xml:space="preserve">(pp. 121–138). John Wiley &amp; Sons, LTD. </w:t>
      </w:r>
      <w:hyperlink r:id="rId30" w:history="1">
        <w:r w:rsidRPr="006E0066">
          <w:rPr>
            <w:rStyle w:val="Hyperlink"/>
            <w:lang w:val="en-GB"/>
          </w:rPr>
          <w:t>https://doi.org/10.1002/9780470713129.CH6</w:t>
        </w:r>
      </w:hyperlink>
    </w:p>
    <w:p w14:paraId="4B673D55" w14:textId="77777777" w:rsidR="006E0066" w:rsidRDefault="006E0066" w:rsidP="006E0066">
      <w:pPr>
        <w:pStyle w:val="Body"/>
        <w:spacing w:after="0"/>
        <w:rPr>
          <w:lang w:val="en-GB"/>
        </w:rPr>
      </w:pPr>
    </w:p>
    <w:p w14:paraId="1BFE0FDC" w14:textId="0610BE75" w:rsidR="006E0066" w:rsidRPr="006E0066" w:rsidRDefault="006E0066" w:rsidP="006E0066">
      <w:pPr>
        <w:pStyle w:val="Body"/>
        <w:spacing w:after="0"/>
        <w:rPr>
          <w:lang w:val="en-GB"/>
        </w:rPr>
      </w:pPr>
      <w:r w:rsidRPr="006E0066">
        <w:rPr>
          <w:lang w:val="en-GB"/>
        </w:rPr>
        <w:t xml:space="preserve">Darwin, C. (1871). </w:t>
      </w:r>
      <w:r w:rsidRPr="006E0066">
        <w:rPr>
          <w:i/>
          <w:iCs/>
          <w:lang w:val="en-GB"/>
        </w:rPr>
        <w:t>The Descent of Man and Selection in Relation to Sex</w:t>
      </w:r>
      <w:r w:rsidRPr="006E0066">
        <w:rPr>
          <w:lang w:val="en-GB"/>
        </w:rPr>
        <w:t>. John Murray Press.</w:t>
      </w:r>
    </w:p>
    <w:p w14:paraId="0CB09E25" w14:textId="77777777" w:rsidR="0050584D" w:rsidRDefault="0050584D" w:rsidP="006E0066">
      <w:pPr>
        <w:pStyle w:val="Body"/>
        <w:spacing w:after="0"/>
        <w:rPr>
          <w:lang w:val="en-GB"/>
        </w:rPr>
      </w:pPr>
    </w:p>
    <w:p w14:paraId="7CB32609" w14:textId="5D40740A" w:rsidR="006E0066" w:rsidRPr="006E0066" w:rsidRDefault="006E0066" w:rsidP="006E0066">
      <w:pPr>
        <w:pStyle w:val="Body"/>
        <w:spacing w:after="0"/>
        <w:rPr>
          <w:lang w:val="en-GB"/>
        </w:rPr>
      </w:pPr>
      <w:r w:rsidRPr="006E0066">
        <w:rPr>
          <w:lang w:val="en-GB"/>
        </w:rPr>
        <w:t xml:space="preserve">Diulio, A. R., Silvestri, M. M., &amp; Correia, C. J. (2014). The role of personality variables in drinking game participation. </w:t>
      </w:r>
      <w:r w:rsidRPr="006E0066">
        <w:rPr>
          <w:i/>
          <w:iCs/>
          <w:lang w:val="en-GB"/>
        </w:rPr>
        <w:t xml:space="preserve">Addictive </w:t>
      </w:r>
      <w:proofErr w:type="spellStart"/>
      <w:r w:rsidRPr="006E0066">
        <w:rPr>
          <w:i/>
          <w:iCs/>
          <w:lang w:val="en-GB"/>
        </w:rPr>
        <w:t>Behaviors</w:t>
      </w:r>
      <w:proofErr w:type="spellEnd"/>
      <w:r w:rsidRPr="006E0066">
        <w:rPr>
          <w:lang w:val="en-GB"/>
        </w:rPr>
        <w:t xml:space="preserve">, </w:t>
      </w:r>
      <w:r w:rsidRPr="006E0066">
        <w:rPr>
          <w:i/>
          <w:iCs/>
          <w:lang w:val="en-GB"/>
        </w:rPr>
        <w:t>39</w:t>
      </w:r>
      <w:r w:rsidRPr="006E0066">
        <w:rPr>
          <w:lang w:val="en-GB"/>
        </w:rPr>
        <w:t xml:space="preserve">(7), 1159–1162. </w:t>
      </w:r>
      <w:hyperlink r:id="rId31" w:history="1">
        <w:r w:rsidRPr="006E0066">
          <w:rPr>
            <w:rStyle w:val="Hyperlink"/>
            <w:lang w:val="en-GB"/>
          </w:rPr>
          <w:t>https://doi.org/10.1016/j.addbeh.2014.02.005</w:t>
        </w:r>
      </w:hyperlink>
    </w:p>
    <w:p w14:paraId="15DAD0D5" w14:textId="77777777" w:rsidR="006E0066" w:rsidRDefault="006E0066" w:rsidP="006E0066">
      <w:pPr>
        <w:pStyle w:val="Body"/>
        <w:spacing w:after="0"/>
        <w:rPr>
          <w:lang w:val="en-GB"/>
        </w:rPr>
      </w:pPr>
    </w:p>
    <w:p w14:paraId="7FC73388" w14:textId="7D147BB5" w:rsidR="006E0066" w:rsidRPr="006E0066" w:rsidRDefault="006E0066" w:rsidP="006E0066">
      <w:pPr>
        <w:pStyle w:val="Body"/>
        <w:spacing w:after="0"/>
        <w:rPr>
          <w:lang w:val="en-GB"/>
        </w:rPr>
      </w:pPr>
      <w:r w:rsidRPr="006E0066">
        <w:rPr>
          <w:lang w:val="en-GB"/>
        </w:rPr>
        <w:t xml:space="preserve">Emlen, S. T., &amp; Oring, L. W. (1977). Ecology, sexual selection, and the evolution of mating systems. </w:t>
      </w:r>
      <w:r w:rsidRPr="006E0066">
        <w:rPr>
          <w:i/>
          <w:iCs/>
          <w:lang w:val="en-GB"/>
        </w:rPr>
        <w:t>Science</w:t>
      </w:r>
      <w:r w:rsidRPr="006E0066">
        <w:rPr>
          <w:lang w:val="en-GB"/>
        </w:rPr>
        <w:t xml:space="preserve">, </w:t>
      </w:r>
      <w:r w:rsidRPr="006E0066">
        <w:rPr>
          <w:i/>
          <w:iCs/>
          <w:lang w:val="en-GB"/>
        </w:rPr>
        <w:t>197</w:t>
      </w:r>
      <w:r w:rsidRPr="006E0066">
        <w:rPr>
          <w:lang w:val="en-GB"/>
        </w:rPr>
        <w:t xml:space="preserve">(4300), 215–223. </w:t>
      </w:r>
      <w:hyperlink r:id="rId32" w:history="1">
        <w:r w:rsidRPr="006E0066">
          <w:rPr>
            <w:rStyle w:val="Hyperlink"/>
            <w:lang w:val="en-GB"/>
          </w:rPr>
          <w:t>https://doi.org/10.1126/science.327542</w:t>
        </w:r>
      </w:hyperlink>
    </w:p>
    <w:p w14:paraId="633CBE34" w14:textId="77777777" w:rsidR="0050584D" w:rsidRDefault="0050584D" w:rsidP="006E0066">
      <w:pPr>
        <w:pStyle w:val="Body"/>
        <w:spacing w:after="0"/>
        <w:rPr>
          <w:lang w:val="en-GB"/>
        </w:rPr>
      </w:pPr>
    </w:p>
    <w:p w14:paraId="1810E9CF" w14:textId="6EAFA43E" w:rsidR="006E0066" w:rsidRPr="006E0066" w:rsidRDefault="006E0066" w:rsidP="006E0066">
      <w:pPr>
        <w:pStyle w:val="Body"/>
        <w:spacing w:after="0"/>
        <w:rPr>
          <w:lang w:val="en-GB"/>
        </w:rPr>
      </w:pPr>
      <w:r w:rsidRPr="006E0066">
        <w:rPr>
          <w:lang w:val="en-GB"/>
        </w:rPr>
        <w:t xml:space="preserve">Ferguson, C. J., Winegard, B., &amp; Winegard, B. M. (2011). Who Is the Fairest One of All? How Evolution Guides Peer and Media Influences on Female Body Dissatisfaction. </w:t>
      </w:r>
      <w:r w:rsidRPr="006E0066">
        <w:rPr>
          <w:i/>
          <w:iCs/>
          <w:lang w:val="en-GB"/>
        </w:rPr>
        <w:t>Review of General Psychology</w:t>
      </w:r>
      <w:r w:rsidRPr="006E0066">
        <w:rPr>
          <w:lang w:val="en-GB"/>
        </w:rPr>
        <w:t xml:space="preserve">, </w:t>
      </w:r>
      <w:r w:rsidRPr="006E0066">
        <w:rPr>
          <w:i/>
          <w:iCs/>
          <w:lang w:val="en-GB"/>
        </w:rPr>
        <w:t>15</w:t>
      </w:r>
      <w:r w:rsidRPr="006E0066">
        <w:rPr>
          <w:lang w:val="en-GB"/>
        </w:rPr>
        <w:t xml:space="preserve">(1), 11–28. </w:t>
      </w:r>
      <w:hyperlink r:id="rId33" w:history="1">
        <w:r w:rsidRPr="006E0066">
          <w:rPr>
            <w:rStyle w:val="Hyperlink"/>
            <w:lang w:val="en-GB"/>
          </w:rPr>
          <w:t>https://doi.org/10.1037/a0022607</w:t>
        </w:r>
      </w:hyperlink>
    </w:p>
    <w:p w14:paraId="4ADCF9E2" w14:textId="77777777" w:rsidR="006E0066" w:rsidRDefault="006E0066" w:rsidP="006E0066">
      <w:pPr>
        <w:pStyle w:val="Body"/>
        <w:spacing w:after="0"/>
        <w:rPr>
          <w:lang w:val="en-GB"/>
        </w:rPr>
      </w:pPr>
    </w:p>
    <w:p w14:paraId="5BE67859" w14:textId="53CF181D" w:rsidR="006E0066" w:rsidRPr="006E0066" w:rsidRDefault="006E0066" w:rsidP="006E0066">
      <w:pPr>
        <w:pStyle w:val="Body"/>
        <w:spacing w:after="0"/>
        <w:rPr>
          <w:lang w:val="en-GB"/>
        </w:rPr>
      </w:pPr>
      <w:r w:rsidRPr="006E0066">
        <w:rPr>
          <w:lang w:val="en-GB"/>
        </w:rPr>
        <w:t xml:space="preserve">Fernandez, A. M., Muñoz-Reyes, J. A., &amp; </w:t>
      </w:r>
      <w:proofErr w:type="spellStart"/>
      <w:r w:rsidRPr="006E0066">
        <w:rPr>
          <w:lang w:val="en-GB"/>
        </w:rPr>
        <w:t>Dufey</w:t>
      </w:r>
      <w:proofErr w:type="spellEnd"/>
      <w:r w:rsidRPr="006E0066">
        <w:rPr>
          <w:lang w:val="en-GB"/>
        </w:rPr>
        <w:t xml:space="preserve">, M. (2014). BMI, age, Mate Value, and Intrasexual Competition in Chilean Women. </w:t>
      </w:r>
      <w:r w:rsidRPr="006E0066">
        <w:rPr>
          <w:i/>
          <w:iCs/>
          <w:lang w:val="en-GB"/>
        </w:rPr>
        <w:t>Current Psychology</w:t>
      </w:r>
      <w:r w:rsidRPr="006E0066">
        <w:rPr>
          <w:lang w:val="en-GB"/>
        </w:rPr>
        <w:t xml:space="preserve">, </w:t>
      </w:r>
      <w:r w:rsidRPr="006E0066">
        <w:rPr>
          <w:i/>
          <w:iCs/>
          <w:lang w:val="en-GB"/>
        </w:rPr>
        <w:t>33</w:t>
      </w:r>
      <w:r w:rsidRPr="006E0066">
        <w:rPr>
          <w:lang w:val="en-GB"/>
        </w:rPr>
        <w:t xml:space="preserve">(4), 435–450. </w:t>
      </w:r>
      <w:hyperlink r:id="rId34" w:history="1">
        <w:r w:rsidRPr="006E0066">
          <w:rPr>
            <w:rStyle w:val="Hyperlink"/>
            <w:lang w:val="en-GB"/>
          </w:rPr>
          <w:t>https://doi.org/10.1007/s12144-014-9221-x</w:t>
        </w:r>
      </w:hyperlink>
    </w:p>
    <w:p w14:paraId="3232E140" w14:textId="77777777" w:rsidR="006E0066" w:rsidRDefault="006E0066" w:rsidP="006E0066">
      <w:pPr>
        <w:pStyle w:val="Body"/>
        <w:spacing w:after="0"/>
        <w:rPr>
          <w:lang w:val="en-GB"/>
        </w:rPr>
      </w:pPr>
    </w:p>
    <w:p w14:paraId="33A3D97B" w14:textId="207E8EA4" w:rsidR="006E0066" w:rsidRPr="006E0066" w:rsidRDefault="006E0066" w:rsidP="006E0066">
      <w:pPr>
        <w:pStyle w:val="Body"/>
        <w:spacing w:after="0"/>
        <w:rPr>
          <w:lang w:val="en-GB"/>
        </w:rPr>
      </w:pPr>
      <w:proofErr w:type="spellStart"/>
      <w:r w:rsidRPr="006E0066">
        <w:rPr>
          <w:lang w:val="en-GB"/>
        </w:rPr>
        <w:t>Fernie</w:t>
      </w:r>
      <w:proofErr w:type="spellEnd"/>
      <w:r w:rsidRPr="006E0066">
        <w:rPr>
          <w:lang w:val="en-GB"/>
        </w:rPr>
        <w:t xml:space="preserve">, G., Cole, J. C., Goudie, A. J., &amp; Field, M. (2010). Risk-taking but not response inhibition or delay discounting predict alcohol consumption in social drinkers. </w:t>
      </w:r>
      <w:r w:rsidRPr="006E0066">
        <w:rPr>
          <w:i/>
          <w:iCs/>
          <w:lang w:val="en-GB"/>
        </w:rPr>
        <w:t>Drug and Alcohol Dependence</w:t>
      </w:r>
      <w:r w:rsidRPr="006E0066">
        <w:rPr>
          <w:lang w:val="en-GB"/>
        </w:rPr>
        <w:t xml:space="preserve">, </w:t>
      </w:r>
      <w:r w:rsidRPr="006E0066">
        <w:rPr>
          <w:i/>
          <w:iCs/>
          <w:lang w:val="en-GB"/>
        </w:rPr>
        <w:t>112</w:t>
      </w:r>
      <w:r w:rsidRPr="006E0066">
        <w:rPr>
          <w:lang w:val="en-GB"/>
        </w:rPr>
        <w:t xml:space="preserve">(1–2), 54–61. </w:t>
      </w:r>
      <w:hyperlink r:id="rId35" w:history="1">
        <w:r w:rsidRPr="006E0066">
          <w:rPr>
            <w:rStyle w:val="Hyperlink"/>
            <w:lang w:val="en-GB"/>
          </w:rPr>
          <w:t>https://doi.org/10.1016/j.drugalcdep.2010.05.011</w:t>
        </w:r>
      </w:hyperlink>
    </w:p>
    <w:p w14:paraId="5FDF9D35" w14:textId="77777777" w:rsidR="006E0066" w:rsidRDefault="006E0066" w:rsidP="006E0066">
      <w:pPr>
        <w:pStyle w:val="Body"/>
        <w:spacing w:after="0"/>
        <w:rPr>
          <w:lang w:val="en-GB"/>
        </w:rPr>
      </w:pPr>
    </w:p>
    <w:p w14:paraId="2FDB13C9" w14:textId="13813BCB" w:rsidR="006E0066" w:rsidRPr="006E0066" w:rsidRDefault="006E0066" w:rsidP="006E0066">
      <w:pPr>
        <w:pStyle w:val="Body"/>
        <w:spacing w:after="0"/>
        <w:rPr>
          <w:lang w:val="en-GB"/>
        </w:rPr>
      </w:pPr>
      <w:proofErr w:type="spellStart"/>
      <w:r w:rsidRPr="006E0066">
        <w:rPr>
          <w:lang w:val="en-GB"/>
        </w:rPr>
        <w:t>Griskevicius</w:t>
      </w:r>
      <w:proofErr w:type="spellEnd"/>
      <w:r w:rsidRPr="006E0066">
        <w:rPr>
          <w:lang w:val="en-GB"/>
        </w:rPr>
        <w:t xml:space="preserve">, V., </w:t>
      </w:r>
      <w:proofErr w:type="spellStart"/>
      <w:r w:rsidRPr="006E0066">
        <w:rPr>
          <w:lang w:val="en-GB"/>
        </w:rPr>
        <w:t>Tybur</w:t>
      </w:r>
      <w:proofErr w:type="spellEnd"/>
      <w:r w:rsidRPr="006E0066">
        <w:rPr>
          <w:lang w:val="en-GB"/>
        </w:rPr>
        <w:t>, J. M., Sundie, J. M., Cialdini, R. B., Miller, G. F., &amp; Kenrick, D. T. (2007). Blatant benevolence and conspicuous consumption: When romantic motives elicit strategic costly signals. </w:t>
      </w:r>
      <w:r w:rsidRPr="006E0066">
        <w:rPr>
          <w:i/>
          <w:iCs/>
          <w:lang w:val="en-GB"/>
        </w:rPr>
        <w:t>Journal of Personality and Social Psychology, 93</w:t>
      </w:r>
      <w:r w:rsidRPr="006E0066">
        <w:rPr>
          <w:lang w:val="en-GB"/>
        </w:rPr>
        <w:t>(1), 85–102. </w:t>
      </w:r>
      <w:hyperlink r:id="rId36" w:tgtFrame="_blank" w:history="1">
        <w:r w:rsidRPr="006E0066">
          <w:rPr>
            <w:rStyle w:val="Hyperlink"/>
            <w:lang w:val="en-GB"/>
          </w:rPr>
          <w:t>https://doi.org/10.1037/0022-3514.93.1.85</w:t>
        </w:r>
      </w:hyperlink>
    </w:p>
    <w:p w14:paraId="2E57E9FC" w14:textId="77777777" w:rsidR="006E0066" w:rsidRDefault="006E0066" w:rsidP="006E0066">
      <w:pPr>
        <w:pStyle w:val="Body"/>
        <w:spacing w:after="0"/>
        <w:rPr>
          <w:lang w:val="en-GB"/>
        </w:rPr>
      </w:pPr>
    </w:p>
    <w:p w14:paraId="0292C02B" w14:textId="041B8207" w:rsidR="006E0066" w:rsidRPr="006E0066" w:rsidRDefault="006E0066" w:rsidP="006E0066">
      <w:pPr>
        <w:pStyle w:val="Body"/>
        <w:spacing w:after="0"/>
        <w:rPr>
          <w:lang w:val="en-GB"/>
        </w:rPr>
      </w:pPr>
      <w:r w:rsidRPr="006E0066">
        <w:rPr>
          <w:lang w:val="en-GB"/>
        </w:rPr>
        <w:t xml:space="preserve">Grønbæk, M. (2009). The positive and negative health effects of alcohol- and the public health implications. </w:t>
      </w:r>
      <w:r w:rsidRPr="006E0066">
        <w:rPr>
          <w:i/>
          <w:iCs/>
          <w:lang w:val="en-GB"/>
        </w:rPr>
        <w:t>Journal of Internal Medicine</w:t>
      </w:r>
      <w:r w:rsidRPr="006E0066">
        <w:rPr>
          <w:lang w:val="en-GB"/>
        </w:rPr>
        <w:t xml:space="preserve">, </w:t>
      </w:r>
      <w:r w:rsidRPr="006E0066">
        <w:rPr>
          <w:i/>
          <w:iCs/>
          <w:lang w:val="en-GB"/>
        </w:rPr>
        <w:t>265</w:t>
      </w:r>
      <w:r w:rsidRPr="006E0066">
        <w:rPr>
          <w:lang w:val="en-GB"/>
        </w:rPr>
        <w:t xml:space="preserve">(4), 407–420. </w:t>
      </w:r>
      <w:hyperlink r:id="rId37" w:history="1">
        <w:r w:rsidRPr="006E0066">
          <w:rPr>
            <w:rStyle w:val="Hyperlink"/>
            <w:lang w:val="en-GB"/>
          </w:rPr>
          <w:t>https://doi.org/10.1111/j.1365-2796.2009.02082.x</w:t>
        </w:r>
      </w:hyperlink>
    </w:p>
    <w:p w14:paraId="743FF3F2" w14:textId="77777777" w:rsidR="006E0066" w:rsidRDefault="006E0066" w:rsidP="006E0066">
      <w:pPr>
        <w:pStyle w:val="Body"/>
        <w:spacing w:after="0"/>
        <w:rPr>
          <w:lang w:val="en-GB"/>
        </w:rPr>
      </w:pPr>
    </w:p>
    <w:p w14:paraId="52E2E34C" w14:textId="674C46AB" w:rsidR="006E0066" w:rsidRPr="006E0066" w:rsidRDefault="006E0066" w:rsidP="006E0066">
      <w:pPr>
        <w:pStyle w:val="Body"/>
        <w:spacing w:after="0"/>
        <w:rPr>
          <w:lang w:val="en-GB"/>
        </w:rPr>
      </w:pPr>
      <w:r w:rsidRPr="006E0066">
        <w:rPr>
          <w:lang w:val="en-GB"/>
        </w:rPr>
        <w:t xml:space="preserve">Harris, M. A., Jones, C. R., &amp; Brown, D. (2019). Survival of the drunkest: The relationship between intrasexual competition and excessive alcohol consumption by university students. </w:t>
      </w:r>
      <w:r w:rsidRPr="006E0066">
        <w:rPr>
          <w:i/>
          <w:iCs/>
          <w:lang w:val="en-GB"/>
        </w:rPr>
        <w:t xml:space="preserve">Evolutionary </w:t>
      </w:r>
      <w:proofErr w:type="spellStart"/>
      <w:r w:rsidRPr="006E0066">
        <w:rPr>
          <w:i/>
          <w:iCs/>
          <w:lang w:val="en-GB"/>
        </w:rPr>
        <w:t>Behavioral</w:t>
      </w:r>
      <w:proofErr w:type="spellEnd"/>
      <w:r w:rsidRPr="006E0066">
        <w:rPr>
          <w:i/>
          <w:iCs/>
          <w:lang w:val="en-GB"/>
        </w:rPr>
        <w:t xml:space="preserve"> Sciences</w:t>
      </w:r>
      <w:r w:rsidRPr="006E0066">
        <w:rPr>
          <w:lang w:val="en-GB"/>
        </w:rPr>
        <w:t xml:space="preserve">, </w:t>
      </w:r>
      <w:r w:rsidRPr="006E0066">
        <w:rPr>
          <w:i/>
          <w:iCs/>
          <w:lang w:val="en-GB"/>
        </w:rPr>
        <w:t>13</w:t>
      </w:r>
      <w:r w:rsidRPr="006E0066">
        <w:rPr>
          <w:lang w:val="en-GB"/>
        </w:rPr>
        <w:t xml:space="preserve">(4), 394–401. </w:t>
      </w:r>
      <w:hyperlink r:id="rId38" w:history="1">
        <w:r w:rsidRPr="006E0066">
          <w:rPr>
            <w:rStyle w:val="Hyperlink"/>
            <w:lang w:val="en-GB"/>
          </w:rPr>
          <w:t>https://doi.org/10.1037/ebs0000153</w:t>
        </w:r>
      </w:hyperlink>
    </w:p>
    <w:p w14:paraId="469B63B0" w14:textId="77777777" w:rsidR="006E0066" w:rsidRDefault="006E0066" w:rsidP="006E0066">
      <w:pPr>
        <w:pStyle w:val="Body"/>
        <w:spacing w:after="0"/>
        <w:rPr>
          <w:lang w:val="en-GB"/>
        </w:rPr>
      </w:pPr>
    </w:p>
    <w:p w14:paraId="6536C4DC" w14:textId="44BDF637" w:rsidR="006E0066" w:rsidRPr="006E0066" w:rsidRDefault="006E0066" w:rsidP="006E0066">
      <w:pPr>
        <w:pStyle w:val="Body"/>
        <w:spacing w:after="0"/>
        <w:rPr>
          <w:lang w:val="en-GB"/>
        </w:rPr>
      </w:pPr>
      <w:r w:rsidRPr="006E0066">
        <w:rPr>
          <w:lang w:val="en-GB"/>
        </w:rPr>
        <w:t xml:space="preserve">Harris, M., Dunn, M., &amp; Alwyn, T. (2019). Intrasexual competition as a potential influence on anabolic-androgenic steroid use initiation. </w:t>
      </w:r>
      <w:r w:rsidRPr="006E0066">
        <w:rPr>
          <w:i/>
          <w:iCs/>
          <w:lang w:val="en-GB"/>
        </w:rPr>
        <w:t>Journal of Health Psychology</w:t>
      </w:r>
      <w:r w:rsidRPr="006E0066">
        <w:rPr>
          <w:lang w:val="en-GB"/>
        </w:rPr>
        <w:t xml:space="preserve">, </w:t>
      </w:r>
      <w:r w:rsidRPr="006E0066">
        <w:rPr>
          <w:i/>
          <w:iCs/>
          <w:lang w:val="en-GB"/>
        </w:rPr>
        <w:t>24</w:t>
      </w:r>
      <w:r w:rsidRPr="006E0066">
        <w:rPr>
          <w:lang w:val="en-GB"/>
        </w:rPr>
        <w:t xml:space="preserve">(9), 1210–1220. </w:t>
      </w:r>
      <w:hyperlink r:id="rId39" w:history="1">
        <w:r w:rsidRPr="006E0066">
          <w:rPr>
            <w:rStyle w:val="Hyperlink"/>
            <w:lang w:val="en-GB"/>
          </w:rPr>
          <w:t>https://doi.org/10.1177/1359105317692145</w:t>
        </w:r>
      </w:hyperlink>
    </w:p>
    <w:p w14:paraId="1F134BF7" w14:textId="77777777" w:rsidR="006E0066" w:rsidRDefault="006E0066" w:rsidP="006E0066">
      <w:pPr>
        <w:pStyle w:val="Body"/>
        <w:spacing w:after="0"/>
        <w:rPr>
          <w:lang w:val="en-GB"/>
        </w:rPr>
      </w:pPr>
    </w:p>
    <w:p w14:paraId="012B0C22" w14:textId="09A1CBC7" w:rsidR="006E0066" w:rsidRPr="006E0066" w:rsidRDefault="006E0066" w:rsidP="006E0066">
      <w:pPr>
        <w:pStyle w:val="Body"/>
        <w:spacing w:after="0"/>
        <w:rPr>
          <w:lang w:val="en-GB"/>
        </w:rPr>
      </w:pPr>
      <w:r w:rsidRPr="006E0066">
        <w:rPr>
          <w:lang w:val="en-GB"/>
        </w:rPr>
        <w:t xml:space="preserve">Herman, A. M., &amp; Duka, T. (2019). Facets of impulsivity and alcohol use: What role do emotions play? </w:t>
      </w:r>
      <w:r w:rsidRPr="006E0066">
        <w:rPr>
          <w:i/>
          <w:iCs/>
          <w:lang w:val="en-GB"/>
        </w:rPr>
        <w:t xml:space="preserve">Neuroscience and </w:t>
      </w:r>
      <w:proofErr w:type="spellStart"/>
      <w:r w:rsidRPr="006E0066">
        <w:rPr>
          <w:i/>
          <w:iCs/>
          <w:lang w:val="en-GB"/>
        </w:rPr>
        <w:t>Biobehavioral</w:t>
      </w:r>
      <w:proofErr w:type="spellEnd"/>
      <w:r w:rsidRPr="006E0066">
        <w:rPr>
          <w:i/>
          <w:iCs/>
          <w:lang w:val="en-GB"/>
        </w:rPr>
        <w:t xml:space="preserve"> Reviews</w:t>
      </w:r>
      <w:r w:rsidRPr="006E0066">
        <w:rPr>
          <w:lang w:val="en-GB"/>
        </w:rPr>
        <w:t xml:space="preserve">, </w:t>
      </w:r>
      <w:r w:rsidRPr="006E0066">
        <w:rPr>
          <w:i/>
          <w:iCs/>
          <w:lang w:val="en-GB"/>
        </w:rPr>
        <w:t>106</w:t>
      </w:r>
      <w:r w:rsidRPr="006E0066">
        <w:rPr>
          <w:lang w:val="en-GB"/>
        </w:rPr>
        <w:t xml:space="preserve">(August 2018), 202–216. </w:t>
      </w:r>
      <w:hyperlink r:id="rId40" w:history="1">
        <w:r w:rsidRPr="006E0066">
          <w:rPr>
            <w:rStyle w:val="Hyperlink"/>
            <w:lang w:val="en-GB"/>
          </w:rPr>
          <w:t>https://doi.org/10.1016/j.neubiorev.2018.08.011</w:t>
        </w:r>
      </w:hyperlink>
    </w:p>
    <w:p w14:paraId="4B8AF02B" w14:textId="77777777" w:rsidR="006E0066" w:rsidRDefault="006E0066" w:rsidP="006E0066">
      <w:pPr>
        <w:pStyle w:val="Body"/>
        <w:spacing w:after="0"/>
        <w:rPr>
          <w:lang w:val="en-GB"/>
        </w:rPr>
      </w:pPr>
    </w:p>
    <w:p w14:paraId="6B7D3084" w14:textId="2788F0CF" w:rsidR="006E0066" w:rsidRPr="006E0066" w:rsidRDefault="006E0066" w:rsidP="006E0066">
      <w:pPr>
        <w:pStyle w:val="Body"/>
        <w:spacing w:after="0"/>
        <w:rPr>
          <w:lang w:val="en-GB"/>
        </w:rPr>
      </w:pPr>
      <w:r w:rsidRPr="006E0066">
        <w:rPr>
          <w:lang w:val="en-GB"/>
        </w:rPr>
        <w:t xml:space="preserve">Hone, L. S. E., Carter, E. C., &amp; McCullough, M. E. (2013). Drinking games as a venue for sexual competition. </w:t>
      </w:r>
      <w:r w:rsidRPr="006E0066">
        <w:rPr>
          <w:i/>
          <w:iCs/>
          <w:lang w:val="en-GB"/>
        </w:rPr>
        <w:t>Evolutionary Psychology</w:t>
      </w:r>
      <w:r w:rsidRPr="006E0066">
        <w:rPr>
          <w:lang w:val="en-GB"/>
        </w:rPr>
        <w:t xml:space="preserve">, </w:t>
      </w:r>
      <w:r w:rsidRPr="006E0066">
        <w:rPr>
          <w:i/>
          <w:iCs/>
          <w:lang w:val="en-GB"/>
        </w:rPr>
        <w:t>11</w:t>
      </w:r>
      <w:r w:rsidRPr="006E0066">
        <w:rPr>
          <w:lang w:val="en-GB"/>
        </w:rPr>
        <w:t xml:space="preserve">(4), 889–906. </w:t>
      </w:r>
      <w:hyperlink r:id="rId41" w:history="1">
        <w:r w:rsidRPr="006E0066">
          <w:rPr>
            <w:rStyle w:val="Hyperlink"/>
            <w:lang w:val="en-GB"/>
          </w:rPr>
          <w:t>https://doi.org/10.1177/147470491301100413</w:t>
        </w:r>
      </w:hyperlink>
    </w:p>
    <w:p w14:paraId="402F381B" w14:textId="77777777" w:rsidR="006E0066" w:rsidRDefault="006E0066" w:rsidP="006E0066">
      <w:pPr>
        <w:pStyle w:val="Body"/>
        <w:spacing w:after="0"/>
        <w:rPr>
          <w:lang w:val="en-GB"/>
        </w:rPr>
      </w:pPr>
    </w:p>
    <w:p w14:paraId="3CBB32B0" w14:textId="05E1BD7E" w:rsidR="006E0066" w:rsidRPr="006E0066" w:rsidRDefault="006E0066" w:rsidP="006E0066">
      <w:pPr>
        <w:pStyle w:val="Body"/>
        <w:spacing w:after="0"/>
        <w:rPr>
          <w:lang w:val="en-GB"/>
        </w:rPr>
      </w:pPr>
      <w:r w:rsidRPr="006E0066">
        <w:rPr>
          <w:lang w:val="en-GB"/>
        </w:rPr>
        <w:t xml:space="preserve">Hone, L. S. E., &amp; McCullough, M. (2015). Sexually selected sex differences in competitiveness explain sex differences in changes in drinking game participation. </w:t>
      </w:r>
      <w:r w:rsidRPr="006E0066">
        <w:rPr>
          <w:i/>
          <w:iCs/>
          <w:lang w:val="en-GB"/>
        </w:rPr>
        <w:t xml:space="preserve">Evolutionary Psychology : An International Journal of Evolutionary Approaches to Psychology and </w:t>
      </w:r>
      <w:proofErr w:type="spellStart"/>
      <w:r w:rsidRPr="006E0066">
        <w:rPr>
          <w:i/>
          <w:iCs/>
          <w:lang w:val="en-GB"/>
        </w:rPr>
        <w:t>Behavior</w:t>
      </w:r>
      <w:proofErr w:type="spellEnd"/>
      <w:r w:rsidRPr="006E0066">
        <w:rPr>
          <w:lang w:val="en-GB"/>
        </w:rPr>
        <w:t xml:space="preserve">, </w:t>
      </w:r>
      <w:r w:rsidRPr="006E0066">
        <w:rPr>
          <w:i/>
          <w:iCs/>
          <w:lang w:val="en-GB"/>
        </w:rPr>
        <w:t>13</w:t>
      </w:r>
      <w:r w:rsidRPr="006E0066">
        <w:rPr>
          <w:lang w:val="en-GB"/>
        </w:rPr>
        <w:t xml:space="preserve">(2), 397–410. </w:t>
      </w:r>
      <w:hyperlink r:id="rId42" w:history="1">
        <w:r w:rsidRPr="006E0066">
          <w:rPr>
            <w:rStyle w:val="Hyperlink"/>
            <w:lang w:val="en-GB"/>
          </w:rPr>
          <w:t>https://doi.org/10.1177/147470491501300206</w:t>
        </w:r>
      </w:hyperlink>
    </w:p>
    <w:p w14:paraId="0CCC018F" w14:textId="77777777" w:rsidR="006E0066" w:rsidRDefault="006E0066" w:rsidP="006E0066">
      <w:pPr>
        <w:pStyle w:val="Body"/>
        <w:spacing w:after="0"/>
        <w:rPr>
          <w:lang w:val="en-GB"/>
        </w:rPr>
      </w:pPr>
    </w:p>
    <w:p w14:paraId="74945D2E" w14:textId="27D40B8E" w:rsidR="006E0066" w:rsidRPr="006E0066" w:rsidRDefault="006E0066" w:rsidP="006E0066">
      <w:pPr>
        <w:pStyle w:val="Body"/>
        <w:spacing w:after="0"/>
        <w:rPr>
          <w:lang w:val="en-GB"/>
        </w:rPr>
      </w:pPr>
      <w:r w:rsidRPr="006E0066">
        <w:rPr>
          <w:lang w:val="en-GB"/>
        </w:rPr>
        <w:t xml:space="preserve">Hursh, S. R., &amp; Silberberg, A. (2008). Economic Demand and Essential Value. </w:t>
      </w:r>
      <w:r w:rsidRPr="006E0066">
        <w:rPr>
          <w:i/>
          <w:iCs/>
          <w:lang w:val="en-GB"/>
        </w:rPr>
        <w:t>Psychological Review</w:t>
      </w:r>
      <w:r w:rsidRPr="006E0066">
        <w:rPr>
          <w:lang w:val="en-GB"/>
        </w:rPr>
        <w:t xml:space="preserve">, </w:t>
      </w:r>
      <w:r w:rsidRPr="006E0066">
        <w:rPr>
          <w:i/>
          <w:iCs/>
          <w:lang w:val="en-GB"/>
        </w:rPr>
        <w:t>115</w:t>
      </w:r>
      <w:r w:rsidRPr="006E0066">
        <w:rPr>
          <w:lang w:val="en-GB"/>
        </w:rPr>
        <w:t xml:space="preserve">(1), 186–198. </w:t>
      </w:r>
      <w:hyperlink r:id="rId43" w:history="1">
        <w:r w:rsidRPr="006E0066">
          <w:rPr>
            <w:rStyle w:val="Hyperlink"/>
            <w:lang w:val="en-GB"/>
          </w:rPr>
          <w:t>https://doi.org/10.1037/0033-295X.115.1.186</w:t>
        </w:r>
      </w:hyperlink>
    </w:p>
    <w:p w14:paraId="77DCBDA9" w14:textId="77777777" w:rsidR="006E0066" w:rsidRDefault="006E0066" w:rsidP="006E0066">
      <w:pPr>
        <w:pStyle w:val="Body"/>
        <w:spacing w:after="0"/>
        <w:rPr>
          <w:lang w:val="en-GB"/>
        </w:rPr>
      </w:pPr>
    </w:p>
    <w:p w14:paraId="7AC7A658" w14:textId="1A4C3011" w:rsidR="006E0066" w:rsidRPr="006E0066" w:rsidRDefault="006E0066" w:rsidP="006E0066">
      <w:pPr>
        <w:pStyle w:val="Body"/>
        <w:spacing w:after="0"/>
        <w:rPr>
          <w:lang w:val="en-GB"/>
        </w:rPr>
      </w:pPr>
      <w:r w:rsidRPr="006E0066">
        <w:rPr>
          <w:lang w:val="en-GB"/>
        </w:rPr>
        <w:t xml:space="preserve">Jacobs, E. A., &amp; Bickel, W. K. (1999). </w:t>
      </w:r>
      <w:proofErr w:type="spellStart"/>
      <w:r w:rsidRPr="006E0066">
        <w:rPr>
          <w:lang w:val="en-GB"/>
        </w:rPr>
        <w:t>Modeling</w:t>
      </w:r>
      <w:proofErr w:type="spellEnd"/>
      <w:r w:rsidRPr="006E0066">
        <w:rPr>
          <w:lang w:val="en-GB"/>
        </w:rPr>
        <w:t xml:space="preserve"> drug consumption in the clinic using simulation procedures: Demand for heroin and cigarettes in opioid-dependent outpatients. </w:t>
      </w:r>
      <w:r w:rsidRPr="006E0066">
        <w:rPr>
          <w:i/>
          <w:iCs/>
          <w:lang w:val="en-GB"/>
        </w:rPr>
        <w:t>Experimental and Clinical Psychopharmacology</w:t>
      </w:r>
      <w:r w:rsidRPr="006E0066">
        <w:rPr>
          <w:lang w:val="en-GB"/>
        </w:rPr>
        <w:t xml:space="preserve">, </w:t>
      </w:r>
      <w:r w:rsidRPr="006E0066">
        <w:rPr>
          <w:i/>
          <w:iCs/>
          <w:lang w:val="en-GB"/>
        </w:rPr>
        <w:t>7</w:t>
      </w:r>
      <w:r w:rsidRPr="006E0066">
        <w:rPr>
          <w:lang w:val="en-GB"/>
        </w:rPr>
        <w:t xml:space="preserve">(4), 412–426. </w:t>
      </w:r>
      <w:hyperlink r:id="rId44" w:history="1">
        <w:r w:rsidRPr="006E0066">
          <w:rPr>
            <w:rStyle w:val="Hyperlink"/>
            <w:lang w:val="en-GB"/>
          </w:rPr>
          <w:t>https://doi.org/10.1037/1064-1297.7.4.412</w:t>
        </w:r>
      </w:hyperlink>
    </w:p>
    <w:p w14:paraId="78A1206C" w14:textId="77777777" w:rsidR="006E0066" w:rsidRDefault="006E0066" w:rsidP="006E0066">
      <w:pPr>
        <w:pStyle w:val="Body"/>
        <w:spacing w:after="0"/>
        <w:rPr>
          <w:lang w:val="en-GB"/>
        </w:rPr>
      </w:pPr>
    </w:p>
    <w:p w14:paraId="584568E4" w14:textId="5D9357EE" w:rsidR="006E0066" w:rsidRPr="006E0066" w:rsidRDefault="006E0066" w:rsidP="006E0066">
      <w:pPr>
        <w:pStyle w:val="Body"/>
        <w:spacing w:after="0"/>
        <w:rPr>
          <w:lang w:val="en-GB"/>
        </w:rPr>
      </w:pPr>
      <w:r w:rsidRPr="006E0066">
        <w:rPr>
          <w:lang w:val="en-GB"/>
        </w:rPr>
        <w:t xml:space="preserve">Jones, B. T., Corbin, W., &amp; Fromme, K. (2001). A review of expectancy theory and alcohol consumption. </w:t>
      </w:r>
      <w:r w:rsidRPr="006E0066">
        <w:rPr>
          <w:i/>
          <w:iCs/>
          <w:lang w:val="en-GB"/>
        </w:rPr>
        <w:t>Addiction</w:t>
      </w:r>
      <w:r w:rsidRPr="006E0066">
        <w:rPr>
          <w:lang w:val="en-GB"/>
        </w:rPr>
        <w:t xml:space="preserve">, </w:t>
      </w:r>
      <w:r w:rsidRPr="006E0066">
        <w:rPr>
          <w:i/>
          <w:iCs/>
          <w:lang w:val="en-GB"/>
        </w:rPr>
        <w:t>96</w:t>
      </w:r>
      <w:r w:rsidRPr="006E0066">
        <w:rPr>
          <w:lang w:val="en-GB"/>
        </w:rPr>
        <w:t xml:space="preserve">(1), 57–72. </w:t>
      </w:r>
      <w:hyperlink r:id="rId45" w:history="1">
        <w:r w:rsidRPr="006E0066">
          <w:rPr>
            <w:rStyle w:val="Hyperlink"/>
            <w:lang w:val="en-GB"/>
          </w:rPr>
          <w:t>https://doi.org/10.1046/j.1360-0443.2001.961575.x</w:t>
        </w:r>
      </w:hyperlink>
    </w:p>
    <w:p w14:paraId="0C781A3D" w14:textId="77777777" w:rsidR="0050584D" w:rsidRDefault="0050584D" w:rsidP="006E0066">
      <w:pPr>
        <w:pStyle w:val="Body"/>
        <w:spacing w:after="0"/>
        <w:rPr>
          <w:lang w:val="en-GB"/>
        </w:rPr>
      </w:pPr>
    </w:p>
    <w:p w14:paraId="79D5D475" w14:textId="2C59CF72" w:rsidR="006E0066" w:rsidRDefault="006E0066" w:rsidP="006E0066">
      <w:pPr>
        <w:pStyle w:val="Body"/>
        <w:spacing w:after="0"/>
      </w:pPr>
      <w:r w:rsidRPr="006E0066">
        <w:rPr>
          <w:lang w:val="en-GB"/>
        </w:rPr>
        <w:t xml:space="preserve">Klingemann, H., &amp; </w:t>
      </w:r>
      <w:proofErr w:type="spellStart"/>
      <w:r w:rsidRPr="006E0066">
        <w:rPr>
          <w:lang w:val="en-GB"/>
        </w:rPr>
        <w:t>Gmel</w:t>
      </w:r>
      <w:proofErr w:type="spellEnd"/>
      <w:r w:rsidRPr="006E0066">
        <w:rPr>
          <w:lang w:val="en-GB"/>
        </w:rPr>
        <w:t xml:space="preserve">, G. (2001). Introduction: Social consequences of alcohol — the forgotten dimension? </w:t>
      </w:r>
      <w:r w:rsidRPr="006E0066">
        <w:rPr>
          <w:i/>
          <w:iCs/>
          <w:lang w:val="en-GB"/>
        </w:rPr>
        <w:t>Mapping the Social Consequences of Alcohol Consumption</w:t>
      </w:r>
      <w:r w:rsidRPr="006E0066">
        <w:rPr>
          <w:lang w:val="en-GB"/>
        </w:rPr>
        <w:t xml:space="preserve">, 1–9. </w:t>
      </w:r>
      <w:hyperlink r:id="rId46" w:history="1">
        <w:r w:rsidRPr="006E0066">
          <w:rPr>
            <w:rStyle w:val="Hyperlink"/>
            <w:lang w:val="en-GB"/>
          </w:rPr>
          <w:t>https://doi.org/10.1007/978-94-015-9725-8_1</w:t>
        </w:r>
      </w:hyperlink>
    </w:p>
    <w:p w14:paraId="39A5FC5B" w14:textId="77777777" w:rsidR="00351312" w:rsidRPr="006E0066" w:rsidRDefault="00351312" w:rsidP="006E0066">
      <w:pPr>
        <w:pStyle w:val="Body"/>
        <w:spacing w:after="0"/>
        <w:rPr>
          <w:lang w:val="en-GB"/>
        </w:rPr>
      </w:pPr>
    </w:p>
    <w:p w14:paraId="57B43325" w14:textId="5EC8EBC1" w:rsidR="006E0066" w:rsidRDefault="00351312" w:rsidP="006E0066">
      <w:pPr>
        <w:pStyle w:val="Body"/>
        <w:spacing w:after="0"/>
      </w:pPr>
      <w:r w:rsidRPr="00351312">
        <w:lastRenderedPageBreak/>
        <w:t xml:space="preserve">Manthey, J., Probst, C., &amp; Rehm, J. (2022). The global burden of disease due to alcohol use in 204 countries and territories, 1990–2019. </w:t>
      </w:r>
      <w:r w:rsidRPr="00351312">
        <w:rPr>
          <w:i/>
          <w:iCs/>
        </w:rPr>
        <w:t>The Lancet Public Health, 7</w:t>
      </w:r>
      <w:r w:rsidRPr="00351312">
        <w:t xml:space="preserve">(5), e342–e351. </w:t>
      </w:r>
      <w:hyperlink r:id="rId47" w:history="1">
        <w:r w:rsidRPr="00F7288C">
          <w:rPr>
            <w:rStyle w:val="Hyperlink"/>
          </w:rPr>
          <w:t>https://doi.org/10.1016/S2468-2667(22)00045-0</w:t>
        </w:r>
      </w:hyperlink>
    </w:p>
    <w:p w14:paraId="16525EFE" w14:textId="77777777" w:rsidR="00351312" w:rsidRDefault="00351312" w:rsidP="006E0066">
      <w:pPr>
        <w:pStyle w:val="Body"/>
        <w:spacing w:after="0"/>
        <w:rPr>
          <w:lang w:val="en-GB"/>
        </w:rPr>
      </w:pPr>
    </w:p>
    <w:p w14:paraId="1B448058" w14:textId="00C66F9B" w:rsidR="006E0066" w:rsidRPr="006E0066" w:rsidRDefault="006E0066" w:rsidP="006E0066">
      <w:pPr>
        <w:pStyle w:val="Body"/>
        <w:spacing w:after="0"/>
        <w:rPr>
          <w:lang w:val="en-GB"/>
        </w:rPr>
      </w:pPr>
      <w:r w:rsidRPr="006E0066">
        <w:rPr>
          <w:lang w:val="en-GB"/>
        </w:rPr>
        <w:t xml:space="preserve">Meda, S. A., Stevens, M. C., Potenza, M. N., Pittman, B., Gueorguieva, R., Andrews, M. M., Thomas, A. D., Muska, C., Hylton, J. L., &amp; </w:t>
      </w:r>
      <w:proofErr w:type="spellStart"/>
      <w:r w:rsidRPr="006E0066">
        <w:rPr>
          <w:lang w:val="en-GB"/>
        </w:rPr>
        <w:t>Pearlson</w:t>
      </w:r>
      <w:proofErr w:type="spellEnd"/>
      <w:r w:rsidRPr="006E0066">
        <w:rPr>
          <w:lang w:val="en-GB"/>
        </w:rPr>
        <w:t xml:space="preserve">, G. D. (2009). Investigating the </w:t>
      </w:r>
      <w:proofErr w:type="spellStart"/>
      <w:r w:rsidRPr="006E0066">
        <w:rPr>
          <w:lang w:val="en-GB"/>
        </w:rPr>
        <w:t>behavioral</w:t>
      </w:r>
      <w:proofErr w:type="spellEnd"/>
      <w:r w:rsidRPr="006E0066">
        <w:rPr>
          <w:lang w:val="en-GB"/>
        </w:rPr>
        <w:t xml:space="preserve"> and self-report constructs of impulsivity domains using principal component analysis. </w:t>
      </w:r>
      <w:r w:rsidRPr="006E0066">
        <w:rPr>
          <w:i/>
          <w:iCs/>
          <w:lang w:val="en-GB"/>
        </w:rPr>
        <w:t>Behavioural Pharmacology</w:t>
      </w:r>
      <w:r w:rsidRPr="006E0066">
        <w:rPr>
          <w:lang w:val="en-GB"/>
        </w:rPr>
        <w:t xml:space="preserve">, </w:t>
      </w:r>
      <w:r w:rsidRPr="006E0066">
        <w:rPr>
          <w:i/>
          <w:iCs/>
          <w:lang w:val="en-GB"/>
        </w:rPr>
        <w:t>20</w:t>
      </w:r>
      <w:r w:rsidRPr="006E0066">
        <w:rPr>
          <w:lang w:val="en-GB"/>
        </w:rPr>
        <w:t xml:space="preserve">(5–6), 390–399. </w:t>
      </w:r>
      <w:hyperlink r:id="rId48" w:history="1">
        <w:r w:rsidRPr="006E0066">
          <w:rPr>
            <w:rStyle w:val="Hyperlink"/>
            <w:lang w:val="en-GB"/>
          </w:rPr>
          <w:t>https://doi.org/10.1097/FBP.0b013e32833113a3</w:t>
        </w:r>
      </w:hyperlink>
    </w:p>
    <w:p w14:paraId="1785E18A" w14:textId="77777777" w:rsidR="006E0066" w:rsidRDefault="006E0066" w:rsidP="006E0066">
      <w:pPr>
        <w:pStyle w:val="Body"/>
        <w:spacing w:after="0"/>
        <w:rPr>
          <w:lang w:val="en-GB"/>
        </w:rPr>
      </w:pPr>
    </w:p>
    <w:p w14:paraId="2DFC82EA" w14:textId="67CF51E6" w:rsidR="006E0066" w:rsidRPr="006E0066" w:rsidRDefault="006E0066" w:rsidP="006E0066">
      <w:pPr>
        <w:pStyle w:val="Body"/>
        <w:spacing w:after="0"/>
        <w:rPr>
          <w:lang w:val="en-GB"/>
        </w:rPr>
      </w:pPr>
      <w:r w:rsidRPr="00CA7E79">
        <w:rPr>
          <w:lang w:val="en-GB"/>
        </w:rPr>
        <w:t xml:space="preserve">Meloni, J. N., &amp; Laranjeira, R. (2004). </w:t>
      </w:r>
      <w:r w:rsidRPr="006E0066">
        <w:rPr>
          <w:lang w:val="en-GB"/>
        </w:rPr>
        <w:t xml:space="preserve">The social and health burden of alcohol abuse. </w:t>
      </w:r>
      <w:proofErr w:type="spellStart"/>
      <w:r w:rsidRPr="006E0066">
        <w:rPr>
          <w:i/>
          <w:iCs/>
          <w:lang w:val="en-GB"/>
        </w:rPr>
        <w:t>Revista</w:t>
      </w:r>
      <w:proofErr w:type="spellEnd"/>
      <w:r w:rsidRPr="006E0066">
        <w:rPr>
          <w:i/>
          <w:iCs/>
          <w:lang w:val="en-GB"/>
        </w:rPr>
        <w:t xml:space="preserve"> Brasileira de </w:t>
      </w:r>
      <w:proofErr w:type="spellStart"/>
      <w:r w:rsidRPr="006E0066">
        <w:rPr>
          <w:i/>
          <w:iCs/>
          <w:lang w:val="en-GB"/>
        </w:rPr>
        <w:t>Psiquiatria</w:t>
      </w:r>
      <w:proofErr w:type="spellEnd"/>
      <w:r w:rsidRPr="006E0066">
        <w:rPr>
          <w:lang w:val="en-GB"/>
        </w:rPr>
        <w:t xml:space="preserve">, </w:t>
      </w:r>
      <w:r w:rsidRPr="006E0066">
        <w:rPr>
          <w:i/>
          <w:iCs/>
          <w:lang w:val="en-GB"/>
        </w:rPr>
        <w:t>26</w:t>
      </w:r>
      <w:r w:rsidRPr="006E0066">
        <w:rPr>
          <w:lang w:val="en-GB"/>
        </w:rPr>
        <w:t xml:space="preserve">(SUPPL.), 7–10. </w:t>
      </w:r>
      <w:hyperlink r:id="rId49" w:history="1">
        <w:r w:rsidRPr="006E0066">
          <w:rPr>
            <w:rStyle w:val="Hyperlink"/>
            <w:lang w:val="en-GB"/>
          </w:rPr>
          <w:t>https://doi.org/10.1590/s1516-44462004000500003</w:t>
        </w:r>
      </w:hyperlink>
    </w:p>
    <w:p w14:paraId="14386753" w14:textId="77777777" w:rsidR="006E0066" w:rsidRDefault="006E0066" w:rsidP="006E0066">
      <w:pPr>
        <w:pStyle w:val="Body"/>
        <w:spacing w:after="0"/>
        <w:rPr>
          <w:lang w:val="en-GB"/>
        </w:rPr>
      </w:pPr>
    </w:p>
    <w:p w14:paraId="4B3727C5" w14:textId="0369FDC0" w:rsidR="006E0066" w:rsidRPr="006E0066" w:rsidRDefault="006E0066" w:rsidP="006E0066">
      <w:pPr>
        <w:pStyle w:val="Body"/>
        <w:spacing w:after="0"/>
        <w:rPr>
          <w:lang w:val="en-GB"/>
        </w:rPr>
      </w:pPr>
      <w:r w:rsidRPr="006E0066">
        <w:rPr>
          <w:lang w:val="en-GB"/>
        </w:rPr>
        <w:t xml:space="preserve">Moeller, F. G., Barratt, E. S., Dougherty, D. M., Schmitz, J. M., &amp; Swann, A. C. (2001). Psychiatric aspects of impulsivity. </w:t>
      </w:r>
      <w:r w:rsidRPr="006E0066">
        <w:rPr>
          <w:i/>
          <w:iCs/>
          <w:lang w:val="en-GB"/>
        </w:rPr>
        <w:t>American Journal of Psychiatry</w:t>
      </w:r>
      <w:r w:rsidRPr="006E0066">
        <w:rPr>
          <w:lang w:val="en-GB"/>
        </w:rPr>
        <w:t xml:space="preserve">, </w:t>
      </w:r>
      <w:r w:rsidRPr="006E0066">
        <w:rPr>
          <w:i/>
          <w:iCs/>
          <w:lang w:val="en-GB"/>
        </w:rPr>
        <w:t>158</w:t>
      </w:r>
      <w:r w:rsidRPr="006E0066">
        <w:rPr>
          <w:lang w:val="en-GB"/>
        </w:rPr>
        <w:t xml:space="preserve">(11), 1783–1793. </w:t>
      </w:r>
      <w:hyperlink r:id="rId50" w:history="1">
        <w:r w:rsidRPr="006E0066">
          <w:rPr>
            <w:rStyle w:val="Hyperlink"/>
            <w:lang w:val="en-GB"/>
          </w:rPr>
          <w:t>https://doi.org/10.1176/appi.ajp.158.11.1783</w:t>
        </w:r>
      </w:hyperlink>
    </w:p>
    <w:p w14:paraId="1DFD8576" w14:textId="77777777" w:rsidR="006E0066" w:rsidRPr="006E0066" w:rsidRDefault="006E0066" w:rsidP="006E0066">
      <w:pPr>
        <w:pStyle w:val="Body"/>
        <w:spacing w:after="0"/>
        <w:rPr>
          <w:lang w:val="en-GB"/>
        </w:rPr>
      </w:pPr>
    </w:p>
    <w:p w14:paraId="21F5D1FE" w14:textId="77777777" w:rsidR="006E0066" w:rsidRPr="006E0066" w:rsidRDefault="006E0066" w:rsidP="006E0066">
      <w:pPr>
        <w:pStyle w:val="Body"/>
        <w:spacing w:after="0"/>
        <w:rPr>
          <w:lang w:val="en-GB"/>
        </w:rPr>
      </w:pPr>
      <w:r w:rsidRPr="006E0066">
        <w:rPr>
          <w:lang w:val="en-GB"/>
        </w:rPr>
        <w:t xml:space="preserve">Morris, E. P., Stewart, S. H., &amp; Ham, L. S. (2005). The relationship between social anxiety disorder and alcohol use disorders: A critical review. </w:t>
      </w:r>
      <w:r w:rsidRPr="006E0066">
        <w:rPr>
          <w:i/>
          <w:iCs/>
          <w:lang w:val="en-GB"/>
        </w:rPr>
        <w:t>Clinical Psychology Review</w:t>
      </w:r>
      <w:r w:rsidRPr="006E0066">
        <w:rPr>
          <w:lang w:val="en-GB"/>
        </w:rPr>
        <w:t xml:space="preserve">, </w:t>
      </w:r>
      <w:r w:rsidRPr="006E0066">
        <w:rPr>
          <w:i/>
          <w:iCs/>
          <w:lang w:val="en-GB"/>
        </w:rPr>
        <w:t>25</w:t>
      </w:r>
      <w:r w:rsidRPr="006E0066">
        <w:rPr>
          <w:lang w:val="en-GB"/>
        </w:rPr>
        <w:t xml:space="preserve">(6), 734–760. </w:t>
      </w:r>
      <w:hyperlink r:id="rId51" w:history="1">
        <w:r w:rsidRPr="006E0066">
          <w:rPr>
            <w:rStyle w:val="Hyperlink"/>
            <w:lang w:val="en-GB"/>
          </w:rPr>
          <w:t>https://doi.org/10.1016/j.cpr.2005.05.004</w:t>
        </w:r>
      </w:hyperlink>
    </w:p>
    <w:p w14:paraId="16122BF5" w14:textId="77777777" w:rsidR="006E0066" w:rsidRDefault="006E0066" w:rsidP="006E0066">
      <w:pPr>
        <w:pStyle w:val="Body"/>
        <w:spacing w:after="0"/>
        <w:rPr>
          <w:lang w:val="en-GB"/>
        </w:rPr>
      </w:pPr>
    </w:p>
    <w:p w14:paraId="6E85B3BE" w14:textId="6A428C6D" w:rsidR="006E0066" w:rsidRPr="006E0066" w:rsidRDefault="006E0066" w:rsidP="006E0066">
      <w:pPr>
        <w:pStyle w:val="Body"/>
        <w:spacing w:after="0"/>
        <w:rPr>
          <w:lang w:val="en-GB"/>
        </w:rPr>
      </w:pPr>
      <w:r w:rsidRPr="006E0066">
        <w:rPr>
          <w:lang w:val="en-GB"/>
        </w:rPr>
        <w:t xml:space="preserve">Murphy, J. G., &amp; MacKillop, J. (2006). Relative reinforcing efficacy of alcohol among college student drinkers. </w:t>
      </w:r>
      <w:r w:rsidRPr="006E0066">
        <w:rPr>
          <w:i/>
          <w:iCs/>
          <w:lang w:val="en-GB"/>
        </w:rPr>
        <w:t>Experimental and Clinical Psychopharmacology</w:t>
      </w:r>
      <w:r w:rsidRPr="006E0066">
        <w:rPr>
          <w:lang w:val="en-GB"/>
        </w:rPr>
        <w:t xml:space="preserve">, </w:t>
      </w:r>
      <w:r w:rsidRPr="006E0066">
        <w:rPr>
          <w:i/>
          <w:iCs/>
          <w:lang w:val="en-GB"/>
        </w:rPr>
        <w:t>14</w:t>
      </w:r>
      <w:r w:rsidRPr="006E0066">
        <w:rPr>
          <w:lang w:val="en-GB"/>
        </w:rPr>
        <w:t xml:space="preserve">(2), 219–227. </w:t>
      </w:r>
      <w:hyperlink r:id="rId52" w:history="1">
        <w:r w:rsidRPr="006E0066">
          <w:rPr>
            <w:rStyle w:val="Hyperlink"/>
            <w:lang w:val="en-GB"/>
          </w:rPr>
          <w:t>https://doi.org/10.1037/1064-1297.14.2.219</w:t>
        </w:r>
      </w:hyperlink>
    </w:p>
    <w:p w14:paraId="28B26A05" w14:textId="77777777" w:rsidR="006E0066" w:rsidRDefault="006E0066" w:rsidP="006E0066">
      <w:pPr>
        <w:pStyle w:val="Body"/>
        <w:spacing w:after="0"/>
        <w:rPr>
          <w:lang w:val="en-GB"/>
        </w:rPr>
      </w:pPr>
    </w:p>
    <w:p w14:paraId="1A4D8240" w14:textId="32F629E8" w:rsidR="006E0066" w:rsidRPr="006E0066" w:rsidRDefault="006E0066" w:rsidP="006E0066">
      <w:pPr>
        <w:pStyle w:val="Body"/>
        <w:spacing w:after="0"/>
        <w:rPr>
          <w:lang w:val="en-GB"/>
        </w:rPr>
      </w:pPr>
      <w:r w:rsidRPr="006E0066">
        <w:rPr>
          <w:lang w:val="en-GB"/>
        </w:rPr>
        <w:t xml:space="preserve">Nepomuceno, M. V., &amp; Stenstrom, E. (2021). Consumption on steroids: The effect of testosterone on preferences for conspicuous consumption and the moderating role of intrasexual competition. </w:t>
      </w:r>
      <w:r w:rsidRPr="006E0066">
        <w:rPr>
          <w:i/>
          <w:iCs/>
          <w:lang w:val="en-GB"/>
        </w:rPr>
        <w:t xml:space="preserve">Journal of </w:t>
      </w:r>
      <w:proofErr w:type="spellStart"/>
      <w:r w:rsidRPr="006E0066">
        <w:rPr>
          <w:i/>
          <w:iCs/>
          <w:lang w:val="en-GB"/>
        </w:rPr>
        <w:t>Behavioral</w:t>
      </w:r>
      <w:proofErr w:type="spellEnd"/>
      <w:r w:rsidRPr="006E0066">
        <w:rPr>
          <w:i/>
          <w:iCs/>
          <w:lang w:val="en-GB"/>
        </w:rPr>
        <w:t xml:space="preserve"> Decision Making</w:t>
      </w:r>
      <w:r w:rsidRPr="006E0066">
        <w:rPr>
          <w:lang w:val="en-GB"/>
        </w:rPr>
        <w:t xml:space="preserve">, </w:t>
      </w:r>
      <w:r w:rsidRPr="006E0066">
        <w:rPr>
          <w:i/>
          <w:iCs/>
          <w:lang w:val="en-GB"/>
        </w:rPr>
        <w:t>34</w:t>
      </w:r>
      <w:r w:rsidRPr="006E0066">
        <w:rPr>
          <w:lang w:val="en-GB"/>
        </w:rPr>
        <w:t xml:space="preserve">(3), 457–475. </w:t>
      </w:r>
      <w:hyperlink r:id="rId53" w:history="1">
        <w:r w:rsidRPr="006E0066">
          <w:rPr>
            <w:rStyle w:val="Hyperlink"/>
            <w:lang w:val="en-GB"/>
          </w:rPr>
          <w:t>https://doi.org/10.1002/bdm.2222</w:t>
        </w:r>
      </w:hyperlink>
    </w:p>
    <w:p w14:paraId="413F16EF" w14:textId="77777777" w:rsidR="006E0066" w:rsidRDefault="006E0066" w:rsidP="006E0066">
      <w:pPr>
        <w:pStyle w:val="Body"/>
        <w:spacing w:after="0"/>
        <w:rPr>
          <w:lang w:val="en-GB"/>
        </w:rPr>
      </w:pPr>
    </w:p>
    <w:p w14:paraId="2A8A9F67" w14:textId="74ECF34F" w:rsidR="006E0066" w:rsidRPr="006E0066" w:rsidRDefault="006E0066" w:rsidP="006E0066">
      <w:pPr>
        <w:pStyle w:val="Body"/>
        <w:spacing w:after="0"/>
        <w:rPr>
          <w:lang w:val="en-GB"/>
        </w:rPr>
      </w:pPr>
      <w:proofErr w:type="spellStart"/>
      <w:r w:rsidRPr="006E0066">
        <w:rPr>
          <w:lang w:val="en-GB"/>
        </w:rPr>
        <w:t>Norström</w:t>
      </w:r>
      <w:proofErr w:type="spellEnd"/>
      <w:r w:rsidRPr="006E0066">
        <w:rPr>
          <w:lang w:val="en-GB"/>
        </w:rPr>
        <w:t xml:space="preserve">, T., &amp; Ramstedt, M. (2005). Mortality and population drinking: A review of the literature. </w:t>
      </w:r>
      <w:r w:rsidRPr="006E0066">
        <w:rPr>
          <w:i/>
          <w:iCs/>
          <w:lang w:val="en-GB"/>
        </w:rPr>
        <w:t>Drug and Alcohol Review</w:t>
      </w:r>
      <w:r w:rsidRPr="006E0066">
        <w:rPr>
          <w:lang w:val="en-GB"/>
        </w:rPr>
        <w:t xml:space="preserve">, </w:t>
      </w:r>
      <w:r w:rsidRPr="006E0066">
        <w:rPr>
          <w:i/>
          <w:iCs/>
          <w:lang w:val="en-GB"/>
        </w:rPr>
        <w:t>24</w:t>
      </w:r>
      <w:r w:rsidRPr="006E0066">
        <w:rPr>
          <w:lang w:val="en-GB"/>
        </w:rPr>
        <w:t xml:space="preserve">(6), 537–547. </w:t>
      </w:r>
      <w:hyperlink r:id="rId54" w:history="1">
        <w:r w:rsidRPr="006E0066">
          <w:rPr>
            <w:rStyle w:val="Hyperlink"/>
            <w:lang w:val="en-GB"/>
          </w:rPr>
          <w:t>https://doi.org/10.1080/09595230500293845</w:t>
        </w:r>
      </w:hyperlink>
    </w:p>
    <w:p w14:paraId="214C0AD0" w14:textId="77777777" w:rsidR="006E0066" w:rsidRDefault="006E0066" w:rsidP="006E0066">
      <w:pPr>
        <w:pStyle w:val="Body"/>
        <w:spacing w:after="0"/>
        <w:rPr>
          <w:lang w:val="en-GB"/>
        </w:rPr>
      </w:pPr>
    </w:p>
    <w:p w14:paraId="2311F734" w14:textId="3BB4C73C" w:rsidR="006E0066" w:rsidRPr="006E0066" w:rsidRDefault="006E0066" w:rsidP="006E0066">
      <w:pPr>
        <w:pStyle w:val="Body"/>
        <w:spacing w:after="0"/>
        <w:rPr>
          <w:lang w:val="en-GB"/>
        </w:rPr>
      </w:pPr>
      <w:proofErr w:type="spellStart"/>
      <w:r w:rsidRPr="006E0066">
        <w:rPr>
          <w:lang w:val="en-GB"/>
        </w:rPr>
        <w:t>Otterbring</w:t>
      </w:r>
      <w:proofErr w:type="spellEnd"/>
      <w:r w:rsidRPr="006E0066">
        <w:rPr>
          <w:lang w:val="en-GB"/>
        </w:rPr>
        <w:t xml:space="preserve">, T., Ringler, C., Sirianni, N. J., &amp; Gustafsson, A. (2018). The </w:t>
      </w:r>
      <w:proofErr w:type="spellStart"/>
      <w:r w:rsidRPr="006E0066">
        <w:rPr>
          <w:lang w:val="en-GB"/>
        </w:rPr>
        <w:t>abercrombie</w:t>
      </w:r>
      <w:proofErr w:type="spellEnd"/>
      <w:r w:rsidRPr="006E0066">
        <w:rPr>
          <w:lang w:val="en-GB"/>
        </w:rPr>
        <w:t xml:space="preserve"> &amp; fitch effect: The impact of physical dominance on male customers’ status-</w:t>
      </w:r>
      <w:proofErr w:type="spellStart"/>
      <w:r w:rsidRPr="006E0066">
        <w:rPr>
          <w:lang w:val="en-GB"/>
        </w:rPr>
        <w:t>signaling</w:t>
      </w:r>
      <w:proofErr w:type="spellEnd"/>
      <w:r w:rsidRPr="006E0066">
        <w:rPr>
          <w:lang w:val="en-GB"/>
        </w:rPr>
        <w:t xml:space="preserve"> consumption. In </w:t>
      </w:r>
      <w:r w:rsidRPr="006E0066">
        <w:rPr>
          <w:i/>
          <w:iCs/>
          <w:lang w:val="en-GB"/>
        </w:rPr>
        <w:t>Journal of Marketing Research</w:t>
      </w:r>
      <w:r w:rsidRPr="006E0066">
        <w:rPr>
          <w:lang w:val="en-GB"/>
        </w:rPr>
        <w:t xml:space="preserve">, 55(1). </w:t>
      </w:r>
      <w:hyperlink r:id="rId55" w:history="1">
        <w:r w:rsidRPr="006E0066">
          <w:rPr>
            <w:rStyle w:val="Hyperlink"/>
            <w:lang w:val="en-GB"/>
          </w:rPr>
          <w:t>https://doi.org/10.1509/jmr.15.0247</w:t>
        </w:r>
      </w:hyperlink>
    </w:p>
    <w:p w14:paraId="6AC1BC61" w14:textId="77777777" w:rsidR="006E0066" w:rsidRDefault="006E0066" w:rsidP="006E0066">
      <w:pPr>
        <w:pStyle w:val="Body"/>
        <w:spacing w:after="0"/>
        <w:rPr>
          <w:lang w:val="en-GB"/>
        </w:rPr>
      </w:pPr>
    </w:p>
    <w:p w14:paraId="034555FE" w14:textId="715F2956" w:rsidR="006E0066" w:rsidRPr="006E0066" w:rsidRDefault="006E0066" w:rsidP="006E0066">
      <w:pPr>
        <w:pStyle w:val="Body"/>
        <w:spacing w:after="0"/>
        <w:rPr>
          <w:lang w:val="en-GB"/>
        </w:rPr>
      </w:pPr>
      <w:r w:rsidRPr="006E0066">
        <w:rPr>
          <w:lang w:val="en-GB"/>
        </w:rPr>
        <w:t xml:space="preserve">Pedersen, E. R., Lee, C. M., Larimer, M. E., &amp; </w:t>
      </w:r>
      <w:proofErr w:type="spellStart"/>
      <w:r w:rsidRPr="006E0066">
        <w:rPr>
          <w:lang w:val="en-GB"/>
        </w:rPr>
        <w:t>Neighbors</w:t>
      </w:r>
      <w:proofErr w:type="spellEnd"/>
      <w:r w:rsidRPr="006E0066">
        <w:rPr>
          <w:lang w:val="en-GB"/>
        </w:rPr>
        <w:t xml:space="preserve">, C. (2009). Gender and dating relationship status moderate the association between alcohol use and sex-related alcohol expectancies. </w:t>
      </w:r>
      <w:r w:rsidRPr="006E0066">
        <w:rPr>
          <w:i/>
          <w:iCs/>
          <w:lang w:val="en-GB"/>
        </w:rPr>
        <w:t xml:space="preserve">Addictive </w:t>
      </w:r>
      <w:proofErr w:type="spellStart"/>
      <w:r w:rsidRPr="006E0066">
        <w:rPr>
          <w:i/>
          <w:iCs/>
          <w:lang w:val="en-GB"/>
        </w:rPr>
        <w:t>Behaviors</w:t>
      </w:r>
      <w:proofErr w:type="spellEnd"/>
      <w:r w:rsidRPr="006E0066">
        <w:rPr>
          <w:lang w:val="en-GB"/>
        </w:rPr>
        <w:t xml:space="preserve">, </w:t>
      </w:r>
      <w:r w:rsidRPr="006E0066">
        <w:rPr>
          <w:i/>
          <w:iCs/>
          <w:lang w:val="en-GB"/>
        </w:rPr>
        <w:t>34</w:t>
      </w:r>
      <w:r w:rsidRPr="006E0066">
        <w:rPr>
          <w:lang w:val="en-GB"/>
        </w:rPr>
        <w:t xml:space="preserve">(9), 786–789. </w:t>
      </w:r>
      <w:hyperlink r:id="rId56" w:history="1">
        <w:r w:rsidRPr="006E0066">
          <w:rPr>
            <w:rStyle w:val="Hyperlink"/>
            <w:lang w:val="en-GB"/>
          </w:rPr>
          <w:t>https://doi.org/10.1016/j.addbeh.2009.04.015</w:t>
        </w:r>
      </w:hyperlink>
    </w:p>
    <w:p w14:paraId="3C4510B0" w14:textId="77777777" w:rsidR="006E0066" w:rsidRDefault="006E0066" w:rsidP="006E0066">
      <w:pPr>
        <w:pStyle w:val="Body"/>
        <w:spacing w:after="0"/>
        <w:rPr>
          <w:lang w:val="en-GB"/>
        </w:rPr>
      </w:pPr>
    </w:p>
    <w:p w14:paraId="1600AB6C" w14:textId="3606C1C9" w:rsidR="006E0066" w:rsidRPr="006E0066" w:rsidRDefault="006E0066" w:rsidP="006E0066">
      <w:pPr>
        <w:pStyle w:val="Body"/>
        <w:spacing w:after="0"/>
        <w:rPr>
          <w:lang w:val="en-GB"/>
        </w:rPr>
      </w:pPr>
      <w:proofErr w:type="spellStart"/>
      <w:r w:rsidRPr="006E0066">
        <w:rPr>
          <w:lang w:val="en-GB"/>
        </w:rPr>
        <w:t>Rajendram</w:t>
      </w:r>
      <w:proofErr w:type="spellEnd"/>
      <w:r w:rsidRPr="006E0066">
        <w:rPr>
          <w:lang w:val="en-GB"/>
        </w:rPr>
        <w:t xml:space="preserve">, R., Lewison, G., &amp; </w:t>
      </w:r>
      <w:proofErr w:type="spellStart"/>
      <w:r w:rsidRPr="006E0066">
        <w:rPr>
          <w:lang w:val="en-GB"/>
        </w:rPr>
        <w:t>Preedy</w:t>
      </w:r>
      <w:proofErr w:type="spellEnd"/>
      <w:r w:rsidRPr="006E0066">
        <w:rPr>
          <w:lang w:val="en-GB"/>
        </w:rPr>
        <w:t xml:space="preserve">, V. (2006). Worldwide Alcohol-related research and the disease burden. </w:t>
      </w:r>
      <w:r w:rsidRPr="006E0066">
        <w:rPr>
          <w:i/>
          <w:iCs/>
          <w:lang w:val="en-GB"/>
        </w:rPr>
        <w:t>Alcohol and Alcoholism</w:t>
      </w:r>
      <w:r w:rsidRPr="006E0066">
        <w:rPr>
          <w:lang w:val="en-GB"/>
        </w:rPr>
        <w:t xml:space="preserve">, </w:t>
      </w:r>
      <w:r w:rsidRPr="006E0066">
        <w:rPr>
          <w:i/>
          <w:iCs/>
          <w:lang w:val="en-GB"/>
        </w:rPr>
        <w:t>41</w:t>
      </w:r>
      <w:r w:rsidRPr="006E0066">
        <w:rPr>
          <w:lang w:val="en-GB"/>
        </w:rPr>
        <w:t xml:space="preserve">(1), 99–106. </w:t>
      </w:r>
      <w:hyperlink r:id="rId57" w:history="1">
        <w:r w:rsidRPr="006E0066">
          <w:rPr>
            <w:rStyle w:val="Hyperlink"/>
            <w:lang w:val="en-GB"/>
          </w:rPr>
          <w:t>https://doi.org/10.1093/alcalc/agh238</w:t>
        </w:r>
      </w:hyperlink>
    </w:p>
    <w:p w14:paraId="7A38A8CB" w14:textId="77777777" w:rsidR="006E0066" w:rsidRDefault="006E0066" w:rsidP="006E0066">
      <w:pPr>
        <w:pStyle w:val="Body"/>
        <w:spacing w:after="0"/>
        <w:rPr>
          <w:lang w:val="en-GB"/>
        </w:rPr>
      </w:pPr>
    </w:p>
    <w:p w14:paraId="0D822C9D" w14:textId="51B2A3F1" w:rsidR="0050584D" w:rsidRDefault="006E0066" w:rsidP="006E0066">
      <w:pPr>
        <w:pStyle w:val="Body"/>
        <w:spacing w:after="0"/>
        <w:rPr>
          <w:lang w:val="en-GB"/>
        </w:rPr>
      </w:pPr>
      <w:r w:rsidRPr="006E0066">
        <w:rPr>
          <w:lang w:val="en-GB"/>
        </w:rPr>
        <w:t xml:space="preserve">Rehm, J., Mathers, C., Popova, S., </w:t>
      </w:r>
      <w:proofErr w:type="spellStart"/>
      <w:r w:rsidRPr="006E0066">
        <w:rPr>
          <w:lang w:val="en-GB"/>
        </w:rPr>
        <w:t>Thavorncharoensap</w:t>
      </w:r>
      <w:proofErr w:type="spellEnd"/>
      <w:r w:rsidRPr="006E0066">
        <w:rPr>
          <w:lang w:val="en-GB"/>
        </w:rPr>
        <w:t xml:space="preserve">, M., </w:t>
      </w:r>
      <w:proofErr w:type="spellStart"/>
      <w:r w:rsidRPr="006E0066">
        <w:rPr>
          <w:lang w:val="en-GB"/>
        </w:rPr>
        <w:t>Teerawattananon</w:t>
      </w:r>
      <w:proofErr w:type="spellEnd"/>
      <w:r w:rsidRPr="006E0066">
        <w:rPr>
          <w:lang w:val="en-GB"/>
        </w:rPr>
        <w:t xml:space="preserve">, Y., &amp; Patra, J. (2009). Global burden of disease and injury and economic cost attributable to alcohol use and alcohol-use disorders. </w:t>
      </w:r>
      <w:r w:rsidRPr="006E0066">
        <w:rPr>
          <w:i/>
          <w:iCs/>
          <w:lang w:val="en-GB"/>
        </w:rPr>
        <w:t>The Lancet</w:t>
      </w:r>
      <w:r w:rsidRPr="006E0066">
        <w:rPr>
          <w:lang w:val="en-GB"/>
        </w:rPr>
        <w:t xml:space="preserve">, </w:t>
      </w:r>
      <w:r w:rsidRPr="006E0066">
        <w:rPr>
          <w:i/>
          <w:iCs/>
          <w:lang w:val="en-GB"/>
        </w:rPr>
        <w:t>373</w:t>
      </w:r>
      <w:r w:rsidRPr="006E0066">
        <w:rPr>
          <w:lang w:val="en-GB"/>
        </w:rPr>
        <w:t xml:space="preserve">(9682), 2223–2233. </w:t>
      </w:r>
      <w:hyperlink r:id="rId58" w:history="1">
        <w:r w:rsidR="0050584D" w:rsidRPr="00F7288C">
          <w:rPr>
            <w:rStyle w:val="Hyperlink"/>
            <w:lang w:val="en-GB"/>
          </w:rPr>
          <w:t>https://doi.org/10.1016/S0140-6736(09)60746-7</w:t>
        </w:r>
      </w:hyperlink>
    </w:p>
    <w:p w14:paraId="04B843FA" w14:textId="77777777" w:rsidR="0050584D" w:rsidRDefault="0050584D" w:rsidP="006E0066">
      <w:pPr>
        <w:pStyle w:val="Body"/>
        <w:spacing w:after="0"/>
        <w:rPr>
          <w:lang w:val="en-GB"/>
        </w:rPr>
      </w:pPr>
    </w:p>
    <w:p w14:paraId="17B28EE6" w14:textId="7693571F" w:rsidR="006E0066" w:rsidRPr="006E0066" w:rsidRDefault="006E0066" w:rsidP="006E0066">
      <w:pPr>
        <w:pStyle w:val="Body"/>
        <w:spacing w:after="0"/>
        <w:rPr>
          <w:lang w:val="en-GB"/>
        </w:rPr>
      </w:pPr>
      <w:r w:rsidRPr="006E0066">
        <w:rPr>
          <w:lang w:val="en-GB"/>
        </w:rPr>
        <w:t xml:space="preserve">Rehm, J., Room, R., Graham, K., Monteiro, M., </w:t>
      </w:r>
      <w:proofErr w:type="spellStart"/>
      <w:r w:rsidRPr="006E0066">
        <w:rPr>
          <w:lang w:val="en-GB"/>
        </w:rPr>
        <w:t>Gmel</w:t>
      </w:r>
      <w:proofErr w:type="spellEnd"/>
      <w:r w:rsidRPr="006E0066">
        <w:rPr>
          <w:lang w:val="en-GB"/>
        </w:rPr>
        <w:t xml:space="preserve">, G., &amp; </w:t>
      </w:r>
      <w:proofErr w:type="spellStart"/>
      <w:r w:rsidRPr="006E0066">
        <w:rPr>
          <w:lang w:val="en-GB"/>
        </w:rPr>
        <w:t>Sempos</w:t>
      </w:r>
      <w:proofErr w:type="spellEnd"/>
      <w:r w:rsidRPr="006E0066">
        <w:rPr>
          <w:lang w:val="en-GB"/>
        </w:rPr>
        <w:t xml:space="preserve">, C. T. (2003). The relationship of average volume of alcohol consumption and patterns of drinking to burden of disease: An overview. </w:t>
      </w:r>
      <w:r w:rsidRPr="006E0066">
        <w:rPr>
          <w:i/>
          <w:iCs/>
          <w:lang w:val="en-GB"/>
        </w:rPr>
        <w:t>Addiction</w:t>
      </w:r>
      <w:r w:rsidRPr="006E0066">
        <w:rPr>
          <w:lang w:val="en-GB"/>
        </w:rPr>
        <w:t xml:space="preserve">, </w:t>
      </w:r>
      <w:r w:rsidRPr="006E0066">
        <w:rPr>
          <w:i/>
          <w:iCs/>
          <w:lang w:val="en-GB"/>
        </w:rPr>
        <w:t>98</w:t>
      </w:r>
      <w:r w:rsidRPr="006E0066">
        <w:rPr>
          <w:lang w:val="en-GB"/>
        </w:rPr>
        <w:t xml:space="preserve">(9), 1209–1228. </w:t>
      </w:r>
      <w:hyperlink r:id="rId59" w:history="1">
        <w:r w:rsidRPr="006E0066">
          <w:rPr>
            <w:rStyle w:val="Hyperlink"/>
            <w:lang w:val="en-GB"/>
          </w:rPr>
          <w:t>https://doi.org/10.1046/j.1360-0443.2003.00467.x</w:t>
        </w:r>
      </w:hyperlink>
    </w:p>
    <w:p w14:paraId="23E0AFC7" w14:textId="77777777" w:rsidR="006E0066" w:rsidRDefault="006E0066" w:rsidP="006E0066">
      <w:pPr>
        <w:pStyle w:val="Body"/>
        <w:spacing w:after="0"/>
        <w:rPr>
          <w:lang w:val="en-GB"/>
        </w:rPr>
      </w:pPr>
    </w:p>
    <w:p w14:paraId="6583B07C" w14:textId="6A2422B9" w:rsidR="006E0066" w:rsidRDefault="006E0066" w:rsidP="006E0066">
      <w:pPr>
        <w:pStyle w:val="Body"/>
        <w:spacing w:after="0"/>
        <w:rPr>
          <w:lang w:val="en-GB"/>
        </w:rPr>
      </w:pPr>
      <w:r w:rsidRPr="006E0066">
        <w:rPr>
          <w:lang w:val="en-GB"/>
        </w:rPr>
        <w:t xml:space="preserve">Rosvall, K. A. (2011). Intrasexual competition in females: Evidence for sexual selection? </w:t>
      </w:r>
      <w:proofErr w:type="spellStart"/>
      <w:r w:rsidRPr="006E0066">
        <w:rPr>
          <w:i/>
          <w:iCs/>
          <w:lang w:val="en-GB"/>
        </w:rPr>
        <w:t>Behavioral</w:t>
      </w:r>
      <w:proofErr w:type="spellEnd"/>
      <w:r w:rsidRPr="006E0066">
        <w:rPr>
          <w:i/>
          <w:iCs/>
          <w:lang w:val="en-GB"/>
        </w:rPr>
        <w:t xml:space="preserve"> Ecology</w:t>
      </w:r>
      <w:r w:rsidRPr="006E0066">
        <w:rPr>
          <w:lang w:val="en-GB"/>
        </w:rPr>
        <w:t xml:space="preserve">, </w:t>
      </w:r>
      <w:r w:rsidRPr="006E0066">
        <w:rPr>
          <w:i/>
          <w:iCs/>
          <w:lang w:val="en-GB"/>
        </w:rPr>
        <w:t>22</w:t>
      </w:r>
      <w:r w:rsidRPr="006E0066">
        <w:rPr>
          <w:lang w:val="en-GB"/>
        </w:rPr>
        <w:t>(6), 1131–1140.</w:t>
      </w:r>
      <w:r>
        <w:rPr>
          <w:lang w:val="en-GB"/>
        </w:rPr>
        <w:t xml:space="preserve"> </w:t>
      </w:r>
      <w:hyperlink r:id="rId60" w:history="1">
        <w:r w:rsidRPr="006E0066">
          <w:rPr>
            <w:rStyle w:val="Hyperlink"/>
            <w:lang w:val="en-GB"/>
          </w:rPr>
          <w:t>https://doi.org/10.1093/beheco/arr106</w:t>
        </w:r>
      </w:hyperlink>
    </w:p>
    <w:p w14:paraId="1F18BA9D" w14:textId="77777777" w:rsidR="00351312" w:rsidRDefault="00351312" w:rsidP="006E0066">
      <w:pPr>
        <w:pStyle w:val="Body"/>
        <w:spacing w:after="0"/>
        <w:rPr>
          <w:lang w:val="en-GB"/>
        </w:rPr>
      </w:pPr>
    </w:p>
    <w:p w14:paraId="27661E37" w14:textId="2B5D1357" w:rsidR="006E0066" w:rsidRDefault="00351312" w:rsidP="006E0066">
      <w:pPr>
        <w:pStyle w:val="Body"/>
        <w:spacing w:after="0"/>
        <w:rPr>
          <w:lang w:val="en-GB"/>
        </w:rPr>
      </w:pPr>
      <w:r w:rsidRPr="00351312">
        <w:rPr>
          <w:lang w:val="en-GB"/>
        </w:rPr>
        <w:t xml:space="preserve">Shield, K. D., Manthey, J., &amp; Rehm, J. (2023). Alcohol use and the global burden of disease. Current Opinion in Psychiatry, 36(5), 319–325. </w:t>
      </w:r>
      <w:hyperlink r:id="rId61" w:history="1">
        <w:r w:rsidRPr="00F7288C">
          <w:rPr>
            <w:rStyle w:val="Hyperlink"/>
            <w:lang w:val="en-GB"/>
          </w:rPr>
          <w:t>https://doi.org/10.1097/YCO.0000000000000850</w:t>
        </w:r>
      </w:hyperlink>
    </w:p>
    <w:p w14:paraId="7EEB74EC" w14:textId="77777777" w:rsidR="00351312" w:rsidRDefault="00351312" w:rsidP="006E0066">
      <w:pPr>
        <w:pStyle w:val="Body"/>
        <w:spacing w:after="0"/>
        <w:rPr>
          <w:lang w:val="en-GB"/>
        </w:rPr>
      </w:pPr>
    </w:p>
    <w:p w14:paraId="0F82EBAE" w14:textId="26DA7FD0" w:rsidR="006E0066" w:rsidRPr="006E0066" w:rsidRDefault="006E0066" w:rsidP="006E0066">
      <w:pPr>
        <w:pStyle w:val="Body"/>
        <w:spacing w:after="0"/>
        <w:rPr>
          <w:u w:val="single"/>
          <w:lang w:val="en-GB"/>
        </w:rPr>
      </w:pPr>
      <w:r w:rsidRPr="006E0066">
        <w:rPr>
          <w:lang w:val="en-GB"/>
        </w:rPr>
        <w:t xml:space="preserve">Snider, S. E., LaConte, S. M., &amp; Bickel, W. K. (2016). Episodic Future Thinking: Expansion of the Temporal Window in Individuals with Alcohol Dependence. </w:t>
      </w:r>
      <w:r w:rsidRPr="006E0066">
        <w:rPr>
          <w:i/>
          <w:iCs/>
          <w:lang w:val="en-GB"/>
        </w:rPr>
        <w:t>Alcoholism: Clinical and Experimental Research</w:t>
      </w:r>
      <w:r w:rsidRPr="006E0066">
        <w:rPr>
          <w:lang w:val="en-GB"/>
        </w:rPr>
        <w:t xml:space="preserve">, </w:t>
      </w:r>
      <w:r w:rsidRPr="006E0066">
        <w:rPr>
          <w:i/>
          <w:iCs/>
          <w:lang w:val="en-GB"/>
        </w:rPr>
        <w:t>40</w:t>
      </w:r>
      <w:r w:rsidRPr="006E0066">
        <w:rPr>
          <w:lang w:val="en-GB"/>
        </w:rPr>
        <w:t xml:space="preserve">(7), 1558–1566. </w:t>
      </w:r>
      <w:hyperlink r:id="rId62" w:history="1">
        <w:r w:rsidRPr="006E0066">
          <w:rPr>
            <w:rStyle w:val="Hyperlink"/>
            <w:lang w:val="en-GB"/>
          </w:rPr>
          <w:t>https://doi.org/10.1111/acer.13112</w:t>
        </w:r>
      </w:hyperlink>
    </w:p>
    <w:p w14:paraId="3B166568" w14:textId="77777777" w:rsidR="006E0066" w:rsidRDefault="006E0066" w:rsidP="006E0066">
      <w:pPr>
        <w:pStyle w:val="Body"/>
        <w:spacing w:after="0"/>
        <w:rPr>
          <w:lang w:val="en-GB"/>
        </w:rPr>
      </w:pPr>
    </w:p>
    <w:p w14:paraId="2C983307" w14:textId="291F9150" w:rsidR="006E0066" w:rsidRPr="006E0066" w:rsidRDefault="006E0066" w:rsidP="006E0066">
      <w:pPr>
        <w:pStyle w:val="Body"/>
        <w:spacing w:after="0"/>
        <w:rPr>
          <w:lang w:val="en-GB"/>
        </w:rPr>
      </w:pPr>
      <w:r w:rsidRPr="006E0066">
        <w:rPr>
          <w:lang w:val="en-GB"/>
        </w:rPr>
        <w:t xml:space="preserve">Spielmann, S. S., MacDonald, G., &amp; Wilson, A. E. (2009). On the rebound: Focusing on someone new helps anxiously attached individuals let go of ex-partners. </w:t>
      </w:r>
      <w:r w:rsidRPr="006E0066">
        <w:rPr>
          <w:i/>
          <w:iCs/>
          <w:lang w:val="en-GB"/>
        </w:rPr>
        <w:t>Personality and Social Psychology Bulletin</w:t>
      </w:r>
      <w:r w:rsidRPr="006E0066">
        <w:rPr>
          <w:lang w:val="en-GB"/>
        </w:rPr>
        <w:t xml:space="preserve">, </w:t>
      </w:r>
      <w:r w:rsidRPr="006E0066">
        <w:rPr>
          <w:i/>
          <w:iCs/>
          <w:lang w:val="en-GB"/>
        </w:rPr>
        <w:t>35</w:t>
      </w:r>
      <w:r w:rsidRPr="006E0066">
        <w:rPr>
          <w:lang w:val="en-GB"/>
        </w:rPr>
        <w:t xml:space="preserve">(10), 1382–1394. </w:t>
      </w:r>
      <w:hyperlink r:id="rId63" w:history="1">
        <w:r w:rsidRPr="006E0066">
          <w:rPr>
            <w:rStyle w:val="Hyperlink"/>
            <w:lang w:val="en-GB"/>
          </w:rPr>
          <w:t>https://doi.org/10.1177/0146167209341580</w:t>
        </w:r>
      </w:hyperlink>
    </w:p>
    <w:p w14:paraId="5CBDA53C" w14:textId="77777777" w:rsidR="006E0066" w:rsidRDefault="006E0066" w:rsidP="006E0066">
      <w:pPr>
        <w:pStyle w:val="Body"/>
        <w:spacing w:after="0"/>
        <w:rPr>
          <w:lang w:val="en-GB"/>
        </w:rPr>
      </w:pPr>
    </w:p>
    <w:p w14:paraId="65EA4B96" w14:textId="3441D60E" w:rsidR="006E0066" w:rsidRPr="006E0066" w:rsidRDefault="006E0066" w:rsidP="006E0066">
      <w:pPr>
        <w:pStyle w:val="Body"/>
        <w:spacing w:after="0"/>
        <w:rPr>
          <w:lang w:val="en-GB"/>
        </w:rPr>
      </w:pPr>
      <w:r w:rsidRPr="00CA7E79">
        <w:rPr>
          <w:lang w:val="en-GB"/>
        </w:rPr>
        <w:lastRenderedPageBreak/>
        <w:t xml:space="preserve">Stacy, A. W., Widaman, K. F., &amp; Marlatt, G. A. (1990). </w:t>
      </w:r>
      <w:r w:rsidRPr="006E0066">
        <w:rPr>
          <w:lang w:val="en-GB"/>
        </w:rPr>
        <w:t xml:space="preserve">Expectancy Models of Alcohol Use. </w:t>
      </w:r>
      <w:r w:rsidRPr="006E0066">
        <w:rPr>
          <w:i/>
          <w:iCs/>
          <w:lang w:val="en-GB"/>
        </w:rPr>
        <w:t>Journal of Personality and Social Psychology</w:t>
      </w:r>
      <w:r w:rsidRPr="006E0066">
        <w:rPr>
          <w:lang w:val="en-GB"/>
        </w:rPr>
        <w:t xml:space="preserve">, </w:t>
      </w:r>
      <w:r w:rsidRPr="006E0066">
        <w:rPr>
          <w:i/>
          <w:iCs/>
          <w:lang w:val="en-GB"/>
        </w:rPr>
        <w:t>58</w:t>
      </w:r>
      <w:r w:rsidRPr="006E0066">
        <w:rPr>
          <w:lang w:val="en-GB"/>
        </w:rPr>
        <w:t xml:space="preserve">(5), 918–928. </w:t>
      </w:r>
      <w:hyperlink r:id="rId64" w:history="1">
        <w:r w:rsidRPr="006E0066">
          <w:rPr>
            <w:rStyle w:val="Hyperlink"/>
            <w:lang w:val="en-GB"/>
          </w:rPr>
          <w:t>https://doi.org/10.1037/0022-3514.58.5.918</w:t>
        </w:r>
      </w:hyperlink>
    </w:p>
    <w:p w14:paraId="1A22FCDB" w14:textId="77777777" w:rsidR="006E0066" w:rsidRDefault="006E0066" w:rsidP="006E0066">
      <w:pPr>
        <w:pStyle w:val="Body"/>
        <w:spacing w:after="0"/>
        <w:rPr>
          <w:lang w:val="en-GB"/>
        </w:rPr>
      </w:pPr>
    </w:p>
    <w:p w14:paraId="6862B499" w14:textId="7C386260" w:rsidR="006E0066" w:rsidRPr="006E0066" w:rsidRDefault="006E0066" w:rsidP="006E0066">
      <w:pPr>
        <w:pStyle w:val="Body"/>
        <w:spacing w:after="0"/>
        <w:rPr>
          <w:lang w:val="en-GB"/>
        </w:rPr>
      </w:pPr>
      <w:r w:rsidRPr="006E0066">
        <w:rPr>
          <w:lang w:val="en-GB"/>
        </w:rPr>
        <w:t xml:space="preserve">Stahre, M., Roeber, J., </w:t>
      </w:r>
      <w:proofErr w:type="spellStart"/>
      <w:r w:rsidRPr="006E0066">
        <w:rPr>
          <w:lang w:val="en-GB"/>
        </w:rPr>
        <w:t>Kanny</w:t>
      </w:r>
      <w:proofErr w:type="spellEnd"/>
      <w:r w:rsidRPr="006E0066">
        <w:rPr>
          <w:lang w:val="en-GB"/>
        </w:rPr>
        <w:t xml:space="preserve">, D., Brewer, R. D., &amp; Zhang, X. (2014). Contribution of excessive alcohol consumption to deaths and years of potential life lost in the United States. </w:t>
      </w:r>
      <w:r w:rsidRPr="006E0066">
        <w:rPr>
          <w:i/>
          <w:iCs/>
          <w:lang w:val="en-GB"/>
        </w:rPr>
        <w:t>Preventing Chronic Disease</w:t>
      </w:r>
      <w:r w:rsidRPr="006E0066">
        <w:rPr>
          <w:lang w:val="en-GB"/>
        </w:rPr>
        <w:t xml:space="preserve">, </w:t>
      </w:r>
      <w:r w:rsidRPr="006E0066">
        <w:rPr>
          <w:i/>
          <w:iCs/>
          <w:lang w:val="en-GB"/>
        </w:rPr>
        <w:t>11</w:t>
      </w:r>
      <w:r w:rsidRPr="006E0066">
        <w:rPr>
          <w:lang w:val="en-GB"/>
        </w:rPr>
        <w:t xml:space="preserve">, 1–12. </w:t>
      </w:r>
      <w:hyperlink r:id="rId65" w:history="1">
        <w:r w:rsidRPr="006E0066">
          <w:rPr>
            <w:rStyle w:val="Hyperlink"/>
            <w:lang w:val="en-GB"/>
          </w:rPr>
          <w:t>https://doi.org/10.5888/pcd11.130293</w:t>
        </w:r>
      </w:hyperlink>
    </w:p>
    <w:p w14:paraId="6FE8E033" w14:textId="77777777" w:rsidR="006E0066" w:rsidRDefault="006E0066" w:rsidP="006E0066">
      <w:pPr>
        <w:pStyle w:val="Body"/>
        <w:spacing w:after="0"/>
        <w:rPr>
          <w:lang w:val="en-GB"/>
        </w:rPr>
      </w:pPr>
    </w:p>
    <w:p w14:paraId="2DB73C22" w14:textId="40BEB9C0" w:rsidR="006E0066" w:rsidRPr="006E0066" w:rsidRDefault="006E0066" w:rsidP="006E0066">
      <w:pPr>
        <w:pStyle w:val="Body"/>
        <w:spacing w:after="0"/>
        <w:rPr>
          <w:lang w:val="en-GB"/>
        </w:rPr>
      </w:pPr>
      <w:r w:rsidRPr="006E0066">
        <w:rPr>
          <w:lang w:val="en-GB"/>
        </w:rPr>
        <w:t xml:space="preserve">Stein, J. S., Koffarnus, M. N., Snider, S. E., Quisenberry, A. J., &amp; Bickel, W. K. (2015). Identification and management of </w:t>
      </w:r>
      <w:proofErr w:type="spellStart"/>
      <w:r w:rsidRPr="006E0066">
        <w:rPr>
          <w:lang w:val="en-GB"/>
        </w:rPr>
        <w:t>nonsystematic</w:t>
      </w:r>
      <w:proofErr w:type="spellEnd"/>
      <w:r w:rsidRPr="006E0066">
        <w:rPr>
          <w:lang w:val="en-GB"/>
        </w:rPr>
        <w:t xml:space="preserve"> purchase task data: Toward best practice. </w:t>
      </w:r>
      <w:r w:rsidRPr="006E0066">
        <w:rPr>
          <w:i/>
          <w:iCs/>
          <w:lang w:val="en-GB"/>
        </w:rPr>
        <w:t>Experimental and Clinical Psychopharmacology</w:t>
      </w:r>
      <w:r w:rsidRPr="006E0066">
        <w:rPr>
          <w:lang w:val="en-GB"/>
        </w:rPr>
        <w:t xml:space="preserve">, </w:t>
      </w:r>
      <w:r w:rsidRPr="006E0066">
        <w:rPr>
          <w:i/>
          <w:iCs/>
          <w:lang w:val="en-GB"/>
        </w:rPr>
        <w:t>23</w:t>
      </w:r>
      <w:r w:rsidRPr="006E0066">
        <w:rPr>
          <w:lang w:val="en-GB"/>
        </w:rPr>
        <w:t xml:space="preserve">(5), 377–386. </w:t>
      </w:r>
      <w:hyperlink r:id="rId66" w:history="1">
        <w:r w:rsidRPr="006E0066">
          <w:rPr>
            <w:rStyle w:val="Hyperlink"/>
            <w:lang w:val="en-GB"/>
          </w:rPr>
          <w:t>https://doi.org/10.1037/pha0000020</w:t>
        </w:r>
      </w:hyperlink>
    </w:p>
    <w:p w14:paraId="7FE4F128" w14:textId="77777777" w:rsidR="006E0066" w:rsidRDefault="006E0066" w:rsidP="006E0066">
      <w:pPr>
        <w:pStyle w:val="Body"/>
        <w:spacing w:after="0"/>
        <w:rPr>
          <w:lang w:val="en-GB"/>
        </w:rPr>
      </w:pPr>
    </w:p>
    <w:p w14:paraId="698AA310" w14:textId="1475A26D" w:rsidR="006E0066" w:rsidRPr="006E0066" w:rsidRDefault="006E0066" w:rsidP="006E0066">
      <w:pPr>
        <w:pStyle w:val="Body"/>
        <w:spacing w:after="0"/>
        <w:rPr>
          <w:lang w:val="en-GB"/>
        </w:rPr>
      </w:pPr>
      <w:r w:rsidRPr="006E0066">
        <w:rPr>
          <w:lang w:val="en-GB"/>
        </w:rPr>
        <w:t xml:space="preserve">Trivers, R. L. (1972). Parental investment and sexual selection. In B. Campbell (Ed.), </w:t>
      </w:r>
      <w:r w:rsidRPr="006E0066">
        <w:rPr>
          <w:i/>
          <w:iCs/>
          <w:lang w:val="en-GB"/>
        </w:rPr>
        <w:t>Sexual selection and the descent of man</w:t>
      </w:r>
      <w:r w:rsidRPr="006E0066">
        <w:rPr>
          <w:lang w:val="en-GB"/>
        </w:rPr>
        <w:t xml:space="preserve"> (pp. 136-179). Aldine Publishing Company.</w:t>
      </w:r>
    </w:p>
    <w:bookmarkEnd w:id="2"/>
    <w:p w14:paraId="3FCC51FC" w14:textId="77777777" w:rsidR="006E0066" w:rsidRDefault="006E0066" w:rsidP="006E0066">
      <w:pPr>
        <w:pStyle w:val="Body"/>
        <w:spacing w:after="0"/>
        <w:rPr>
          <w:lang w:val="en-GB"/>
        </w:rPr>
      </w:pPr>
    </w:p>
    <w:p w14:paraId="069E9E4B" w14:textId="25581938" w:rsidR="006E0066" w:rsidRDefault="006E0066" w:rsidP="006E0066">
      <w:pPr>
        <w:pStyle w:val="Body"/>
        <w:spacing w:after="0"/>
      </w:pPr>
      <w:proofErr w:type="spellStart"/>
      <w:r w:rsidRPr="006E0066">
        <w:rPr>
          <w:lang w:val="en-GB"/>
        </w:rPr>
        <w:t>Tybur</w:t>
      </w:r>
      <w:proofErr w:type="spellEnd"/>
      <w:r w:rsidRPr="006E0066">
        <w:rPr>
          <w:lang w:val="en-GB"/>
        </w:rPr>
        <w:t xml:space="preserve">, J. M., Bryan, A. D., &amp; Caldwell Hooper, A. E. (2012). An evolutionary perspective on health psychology: New approaches and applications. </w:t>
      </w:r>
      <w:r w:rsidRPr="006E0066">
        <w:rPr>
          <w:i/>
          <w:iCs/>
          <w:lang w:val="en-GB"/>
        </w:rPr>
        <w:t>Evolutionary Psychology</w:t>
      </w:r>
      <w:r w:rsidRPr="006E0066">
        <w:rPr>
          <w:lang w:val="en-GB"/>
        </w:rPr>
        <w:t xml:space="preserve">, </w:t>
      </w:r>
      <w:r w:rsidRPr="006E0066">
        <w:rPr>
          <w:i/>
          <w:iCs/>
          <w:lang w:val="en-GB"/>
        </w:rPr>
        <w:t>10</w:t>
      </w:r>
      <w:r w:rsidRPr="006E0066">
        <w:rPr>
          <w:lang w:val="en-GB"/>
        </w:rPr>
        <w:t xml:space="preserve">(5), 855–867. </w:t>
      </w:r>
      <w:hyperlink r:id="rId67" w:history="1">
        <w:r w:rsidRPr="006E0066">
          <w:rPr>
            <w:rStyle w:val="Hyperlink"/>
            <w:lang w:val="en-GB"/>
          </w:rPr>
          <w:t>https://doi.org/10.1177/147470491201000508</w:t>
        </w:r>
      </w:hyperlink>
    </w:p>
    <w:p w14:paraId="47BDDE0E" w14:textId="77777777" w:rsidR="00351312" w:rsidRDefault="00351312" w:rsidP="006E0066">
      <w:pPr>
        <w:pStyle w:val="Body"/>
        <w:spacing w:after="0"/>
      </w:pPr>
    </w:p>
    <w:p w14:paraId="4C01DC92" w14:textId="50DA2937" w:rsidR="00351312" w:rsidRDefault="00351312" w:rsidP="006E0066">
      <w:pPr>
        <w:pStyle w:val="Body"/>
        <w:spacing w:after="0"/>
      </w:pPr>
      <w:proofErr w:type="spellStart"/>
      <w:r w:rsidRPr="00351312">
        <w:t>Vincke</w:t>
      </w:r>
      <w:proofErr w:type="spellEnd"/>
      <w:r w:rsidRPr="00351312">
        <w:t xml:space="preserve">, E., &amp; </w:t>
      </w:r>
      <w:proofErr w:type="spellStart"/>
      <w:r w:rsidRPr="00351312">
        <w:t>Vyncke</w:t>
      </w:r>
      <w:proofErr w:type="spellEnd"/>
      <w:r w:rsidRPr="00351312">
        <w:t xml:space="preserve">, P. (2022). Affective context and sexual signaling: How arousal shapes mating displays. </w:t>
      </w:r>
      <w:r w:rsidRPr="00351312">
        <w:rPr>
          <w:i/>
          <w:iCs/>
        </w:rPr>
        <w:t>Evolutionary Psychology, 20</w:t>
      </w:r>
      <w:r w:rsidRPr="00351312">
        <w:t xml:space="preserve">(1), 1–12. </w:t>
      </w:r>
      <w:hyperlink r:id="rId68" w:history="1">
        <w:r w:rsidRPr="00F7288C">
          <w:rPr>
            <w:rStyle w:val="Hyperlink"/>
          </w:rPr>
          <w:t>https://doi.org/10.1177/14747049221079286</w:t>
        </w:r>
      </w:hyperlink>
    </w:p>
    <w:p w14:paraId="7F758CF8" w14:textId="77777777" w:rsidR="006E0066" w:rsidRDefault="006E0066" w:rsidP="006E0066">
      <w:pPr>
        <w:pStyle w:val="Body"/>
        <w:spacing w:after="0"/>
        <w:rPr>
          <w:lang w:val="en-GB"/>
        </w:rPr>
      </w:pPr>
    </w:p>
    <w:p w14:paraId="0E2B51EE" w14:textId="75F97E77" w:rsidR="006E0066" w:rsidRPr="006E0066" w:rsidRDefault="006E0066" w:rsidP="006E0066">
      <w:pPr>
        <w:pStyle w:val="Body"/>
        <w:spacing w:after="0"/>
        <w:rPr>
          <w:lang w:val="en-GB"/>
        </w:rPr>
      </w:pPr>
      <w:r w:rsidRPr="006E0066">
        <w:rPr>
          <w:lang w:val="en-GB"/>
        </w:rPr>
        <w:t xml:space="preserve">Wade, T. D., </w:t>
      </w:r>
      <w:proofErr w:type="spellStart"/>
      <w:r w:rsidRPr="006E0066">
        <w:rPr>
          <w:lang w:val="en-GB"/>
        </w:rPr>
        <w:t>Keski</w:t>
      </w:r>
      <w:proofErr w:type="spellEnd"/>
      <w:r w:rsidRPr="006E0066">
        <w:rPr>
          <w:rFonts w:ascii="Cambria Math" w:hAnsi="Cambria Math" w:cs="Cambria Math"/>
          <w:lang w:val="en-GB"/>
        </w:rPr>
        <w:t>‐</w:t>
      </w:r>
      <w:r w:rsidRPr="006E0066">
        <w:rPr>
          <w:lang w:val="en-GB"/>
        </w:rPr>
        <w:t>Rahkonen, A., &amp; Hudson, J. I. (2011). Epidemiology of eating disorders.</w:t>
      </w:r>
      <w:r w:rsidRPr="006E0066">
        <w:rPr>
          <w:rFonts w:cs="Helvetica"/>
          <w:lang w:val="en-GB"/>
        </w:rPr>
        <w:t> </w:t>
      </w:r>
      <w:r w:rsidRPr="006E0066">
        <w:rPr>
          <w:i/>
          <w:iCs/>
          <w:lang w:val="en-GB"/>
        </w:rPr>
        <w:t>Textbook of psychiatric epidemiology</w:t>
      </w:r>
      <w:r w:rsidRPr="006E0066">
        <w:rPr>
          <w:lang w:val="en-GB"/>
        </w:rPr>
        <w:t xml:space="preserve">, 343-360. </w:t>
      </w:r>
      <w:hyperlink r:id="rId69" w:history="1">
        <w:r w:rsidRPr="006E0066">
          <w:rPr>
            <w:rStyle w:val="Hyperlink"/>
            <w:lang w:val="en-GB"/>
          </w:rPr>
          <w:t>https://doi.org/10.1002/9780470976739.ch20</w:t>
        </w:r>
      </w:hyperlink>
    </w:p>
    <w:p w14:paraId="625FCE75" w14:textId="77777777" w:rsidR="006E0066" w:rsidRDefault="006E0066" w:rsidP="006E0066">
      <w:pPr>
        <w:pStyle w:val="Body"/>
        <w:spacing w:after="0"/>
        <w:rPr>
          <w:lang w:val="en-GB"/>
        </w:rPr>
      </w:pPr>
    </w:p>
    <w:p w14:paraId="2EF2D128" w14:textId="1400162F" w:rsidR="006E0066" w:rsidRPr="006E0066" w:rsidRDefault="006E0066" w:rsidP="006E0066">
      <w:pPr>
        <w:pStyle w:val="Body"/>
        <w:spacing w:after="0"/>
        <w:rPr>
          <w:lang w:val="en-GB"/>
        </w:rPr>
      </w:pPr>
      <w:r w:rsidRPr="006E0066">
        <w:rPr>
          <w:lang w:val="en-GB"/>
        </w:rPr>
        <w:t>Wallace, A. R. (1891). </w:t>
      </w:r>
      <w:r w:rsidRPr="006E0066">
        <w:rPr>
          <w:i/>
          <w:iCs/>
          <w:lang w:val="en-GB"/>
        </w:rPr>
        <w:t>Natural selection and tropical nature: Essays on descriptive and theoretical biology</w:t>
      </w:r>
      <w:r w:rsidRPr="006E0066">
        <w:rPr>
          <w:lang w:val="en-GB"/>
        </w:rPr>
        <w:t>. Macmillan and Company.</w:t>
      </w:r>
    </w:p>
    <w:p w14:paraId="3FF40A41" w14:textId="77777777" w:rsidR="006E0066" w:rsidRDefault="006E0066" w:rsidP="006E0066">
      <w:pPr>
        <w:pStyle w:val="Body"/>
        <w:spacing w:after="0"/>
        <w:rPr>
          <w:lang w:val="en-GB"/>
        </w:rPr>
      </w:pPr>
    </w:p>
    <w:p w14:paraId="585B3D65" w14:textId="0363738E" w:rsidR="006E0066" w:rsidRDefault="00351312" w:rsidP="006E0066">
      <w:pPr>
        <w:pStyle w:val="Body"/>
        <w:spacing w:after="0"/>
        <w:rPr>
          <w:lang w:val="en-GB"/>
        </w:rPr>
      </w:pPr>
      <w:r w:rsidRPr="00351312">
        <w:t xml:space="preserve">World Health Organization. (2022). </w:t>
      </w:r>
      <w:r w:rsidRPr="00351312">
        <w:rPr>
          <w:i/>
          <w:iCs/>
        </w:rPr>
        <w:t>Global status report on alcohol and health 2022</w:t>
      </w:r>
      <w:r w:rsidRPr="00351312">
        <w:t xml:space="preserve">. Geneva: WHO. </w:t>
      </w:r>
      <w:hyperlink r:id="rId70" w:tgtFrame="_new" w:history="1">
        <w:r w:rsidRPr="00351312">
          <w:rPr>
            <w:rStyle w:val="Hyperlink"/>
          </w:rPr>
          <w:t>https://www.who.int/publications/i/item/9789240058731</w:t>
        </w:r>
      </w:hyperlink>
    </w:p>
    <w:p w14:paraId="74ECEE6C" w14:textId="77777777" w:rsidR="00351312" w:rsidRDefault="00351312" w:rsidP="006E0066">
      <w:pPr>
        <w:pStyle w:val="Body"/>
        <w:spacing w:after="0"/>
        <w:rPr>
          <w:lang w:val="en-GB"/>
        </w:rPr>
      </w:pPr>
    </w:p>
    <w:p w14:paraId="1956AD7E" w14:textId="4D4828D8" w:rsidR="00B01FCD" w:rsidRPr="0050584D" w:rsidRDefault="006E0066" w:rsidP="0050584D">
      <w:pPr>
        <w:pStyle w:val="Body"/>
        <w:spacing w:after="0"/>
        <w:rPr>
          <w:lang w:val="en-GB"/>
        </w:rPr>
      </w:pPr>
      <w:proofErr w:type="spellStart"/>
      <w:r w:rsidRPr="006E0066">
        <w:rPr>
          <w:lang w:val="en-GB"/>
        </w:rPr>
        <w:t>Yuresak</w:t>
      </w:r>
      <w:proofErr w:type="spellEnd"/>
      <w:r w:rsidRPr="006E0066">
        <w:rPr>
          <w:lang w:val="en-GB"/>
        </w:rPr>
        <w:t xml:space="preserve">, A. M., Murphy, J. G., Clawson, A. H., Dennhardt, A. A., &amp; MacKillop, J. (2013). Smokers report greater demand for alcohol on a </w:t>
      </w:r>
      <w:proofErr w:type="spellStart"/>
      <w:r w:rsidRPr="006E0066">
        <w:rPr>
          <w:lang w:val="en-GB"/>
        </w:rPr>
        <w:t>behavioral</w:t>
      </w:r>
      <w:proofErr w:type="spellEnd"/>
      <w:r w:rsidRPr="006E0066">
        <w:rPr>
          <w:lang w:val="en-GB"/>
        </w:rPr>
        <w:t xml:space="preserve"> economic purchase task. </w:t>
      </w:r>
      <w:r w:rsidRPr="006E0066">
        <w:rPr>
          <w:i/>
          <w:iCs/>
          <w:lang w:val="en-GB"/>
        </w:rPr>
        <w:t>Journal of Studies on Alcohol and Drugs</w:t>
      </w:r>
      <w:r w:rsidRPr="006E0066">
        <w:rPr>
          <w:lang w:val="en-GB"/>
        </w:rPr>
        <w:t xml:space="preserve">, </w:t>
      </w:r>
      <w:r w:rsidRPr="006E0066">
        <w:rPr>
          <w:i/>
          <w:iCs/>
          <w:lang w:val="en-GB"/>
        </w:rPr>
        <w:t>74</w:t>
      </w:r>
      <w:r w:rsidRPr="006E0066">
        <w:rPr>
          <w:lang w:val="en-GB"/>
        </w:rPr>
        <w:t xml:space="preserve">(4), 626–634. </w:t>
      </w:r>
      <w:hyperlink r:id="rId71" w:history="1">
        <w:r w:rsidRPr="006E0066">
          <w:rPr>
            <w:rStyle w:val="Hyperlink"/>
            <w:lang w:val="en-GB"/>
          </w:rPr>
          <w:t>https://doi.org/10.15288/jsad.2013.74.626</w:t>
        </w:r>
      </w:hyperlink>
    </w:p>
    <w:sectPr w:rsidR="00B01FCD" w:rsidRPr="0050584D" w:rsidSect="006431FE">
      <w:headerReference w:type="even" r:id="rId72"/>
      <w:headerReference w:type="default" r:id="rId73"/>
      <w:footerReference w:type="default" r:id="rId74"/>
      <w:headerReference w:type="first" r:id="rId7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46CA" w14:textId="77777777" w:rsidR="006C0B6B" w:rsidRDefault="006C0B6B" w:rsidP="00C37E61">
      <w:r>
        <w:separator/>
      </w:r>
    </w:p>
  </w:endnote>
  <w:endnote w:type="continuationSeparator" w:id="0">
    <w:p w14:paraId="24E82F1A" w14:textId="77777777" w:rsidR="006C0B6B" w:rsidRDefault="006C0B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889D" w14:textId="77777777" w:rsidR="006431FE" w:rsidRDefault="00643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A686" w14:textId="77777777" w:rsidR="006431FE" w:rsidRDefault="00643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A292" w14:textId="0A711219" w:rsidR="00754C9A" w:rsidRPr="006431FE" w:rsidRDefault="00754C9A" w:rsidP="006431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8D9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46EBD" w14:textId="77777777" w:rsidR="006C0B6B" w:rsidRDefault="006C0B6B" w:rsidP="00C37E61">
      <w:r>
        <w:separator/>
      </w:r>
    </w:p>
  </w:footnote>
  <w:footnote w:type="continuationSeparator" w:id="0">
    <w:p w14:paraId="30ECAE08" w14:textId="77777777" w:rsidR="006C0B6B" w:rsidRDefault="006C0B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8CAE" w14:textId="3DDCE21F" w:rsidR="006431FE" w:rsidRDefault="00000000">
    <w:pPr>
      <w:pStyle w:val="Header"/>
    </w:pPr>
    <w:r>
      <w:rPr>
        <w:noProof/>
      </w:rPr>
      <w:pict w14:anchorId="0E932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02789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3616" w14:textId="4D298542" w:rsidR="006431FE" w:rsidRDefault="00000000">
    <w:pPr>
      <w:pStyle w:val="Header"/>
    </w:pPr>
    <w:r>
      <w:rPr>
        <w:noProof/>
      </w:rPr>
      <w:pict w14:anchorId="75E0D3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02789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C6F4" w14:textId="4467391E" w:rsidR="00296529" w:rsidRPr="00296529" w:rsidRDefault="00000000" w:rsidP="00296529">
    <w:pPr>
      <w:ind w:left="2160"/>
      <w:jc w:val="center"/>
      <w:rPr>
        <w:rFonts w:ascii="Times New Roman" w:eastAsia="Calibri" w:hAnsi="Times New Roman"/>
        <w:i/>
        <w:sz w:val="18"/>
        <w:szCs w:val="22"/>
      </w:rPr>
    </w:pPr>
    <w:r>
      <w:rPr>
        <w:noProof/>
      </w:rPr>
      <w:pict w14:anchorId="1982A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02789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BBC663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A940B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23867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E9631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8BFC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6806C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D609" w14:textId="2EE4AE06" w:rsidR="006431FE" w:rsidRDefault="00000000">
    <w:pPr>
      <w:pStyle w:val="Header"/>
    </w:pPr>
    <w:r>
      <w:rPr>
        <w:noProof/>
      </w:rPr>
      <w:pict w14:anchorId="0FEA6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02789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1E0B" w14:textId="614F53CE" w:rsidR="006431FE" w:rsidRDefault="00000000">
    <w:pPr>
      <w:pStyle w:val="Header"/>
    </w:pPr>
    <w:r>
      <w:rPr>
        <w:noProof/>
      </w:rPr>
      <w:pict w14:anchorId="1EC75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02789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A56C" w14:textId="5E77E34C" w:rsidR="006431FE" w:rsidRDefault="00000000">
    <w:pPr>
      <w:pStyle w:val="Header"/>
    </w:pPr>
    <w:r>
      <w:rPr>
        <w:noProof/>
      </w:rPr>
      <w:pict w14:anchorId="74904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02789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F8055F"/>
    <w:multiLevelType w:val="multilevel"/>
    <w:tmpl w:val="9C1E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A7FD4"/>
    <w:multiLevelType w:val="multilevel"/>
    <w:tmpl w:val="76B8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447F77"/>
    <w:multiLevelType w:val="multilevel"/>
    <w:tmpl w:val="91AA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62722F0"/>
    <w:multiLevelType w:val="hybridMultilevel"/>
    <w:tmpl w:val="034A7042"/>
    <w:lvl w:ilvl="0" w:tplc="FA96EAC4">
      <w:start w:val="1"/>
      <w:numFmt w:val="decimal"/>
      <w:lvlText w:val="%1."/>
      <w:lvlJc w:val="left"/>
      <w:pPr>
        <w:ind w:left="358" w:hanging="243"/>
      </w:pPr>
      <w:rPr>
        <w:rFonts w:ascii="Times New Roman" w:eastAsia="Times New Roman" w:hAnsi="Times New Roman" w:cs="Times New Roman" w:hint="default"/>
        <w:w w:val="99"/>
        <w:sz w:val="24"/>
        <w:szCs w:val="24"/>
        <w:lang w:val="en-US" w:eastAsia="en-US" w:bidi="ar-SA"/>
      </w:rPr>
    </w:lvl>
    <w:lvl w:ilvl="1" w:tplc="EC669D24">
      <w:numFmt w:val="bullet"/>
      <w:lvlText w:val="•"/>
      <w:lvlJc w:val="left"/>
      <w:pPr>
        <w:ind w:left="1250" w:hanging="243"/>
      </w:pPr>
      <w:rPr>
        <w:lang w:val="en-US" w:eastAsia="en-US" w:bidi="ar-SA"/>
      </w:rPr>
    </w:lvl>
    <w:lvl w:ilvl="2" w:tplc="0D1EACD8">
      <w:numFmt w:val="bullet"/>
      <w:lvlText w:val="•"/>
      <w:lvlJc w:val="left"/>
      <w:pPr>
        <w:ind w:left="2140" w:hanging="243"/>
      </w:pPr>
      <w:rPr>
        <w:lang w:val="en-US" w:eastAsia="en-US" w:bidi="ar-SA"/>
      </w:rPr>
    </w:lvl>
    <w:lvl w:ilvl="3" w:tplc="6742C8B0">
      <w:numFmt w:val="bullet"/>
      <w:lvlText w:val="•"/>
      <w:lvlJc w:val="left"/>
      <w:pPr>
        <w:ind w:left="3030" w:hanging="243"/>
      </w:pPr>
      <w:rPr>
        <w:lang w:val="en-US" w:eastAsia="en-US" w:bidi="ar-SA"/>
      </w:rPr>
    </w:lvl>
    <w:lvl w:ilvl="4" w:tplc="C04A49EC">
      <w:numFmt w:val="bullet"/>
      <w:lvlText w:val="•"/>
      <w:lvlJc w:val="left"/>
      <w:pPr>
        <w:ind w:left="3920" w:hanging="243"/>
      </w:pPr>
      <w:rPr>
        <w:lang w:val="en-US" w:eastAsia="en-US" w:bidi="ar-SA"/>
      </w:rPr>
    </w:lvl>
    <w:lvl w:ilvl="5" w:tplc="3B36F27E">
      <w:numFmt w:val="bullet"/>
      <w:lvlText w:val="•"/>
      <w:lvlJc w:val="left"/>
      <w:pPr>
        <w:ind w:left="4810" w:hanging="243"/>
      </w:pPr>
      <w:rPr>
        <w:lang w:val="en-US" w:eastAsia="en-US" w:bidi="ar-SA"/>
      </w:rPr>
    </w:lvl>
    <w:lvl w:ilvl="6" w:tplc="89F28424">
      <w:numFmt w:val="bullet"/>
      <w:lvlText w:val="•"/>
      <w:lvlJc w:val="left"/>
      <w:pPr>
        <w:ind w:left="5700" w:hanging="243"/>
      </w:pPr>
      <w:rPr>
        <w:lang w:val="en-US" w:eastAsia="en-US" w:bidi="ar-SA"/>
      </w:rPr>
    </w:lvl>
    <w:lvl w:ilvl="7" w:tplc="D40A2986">
      <w:numFmt w:val="bullet"/>
      <w:lvlText w:val="•"/>
      <w:lvlJc w:val="left"/>
      <w:pPr>
        <w:ind w:left="6590" w:hanging="243"/>
      </w:pPr>
      <w:rPr>
        <w:lang w:val="en-US" w:eastAsia="en-US" w:bidi="ar-SA"/>
      </w:rPr>
    </w:lvl>
    <w:lvl w:ilvl="8" w:tplc="6D2EEAA2">
      <w:numFmt w:val="bullet"/>
      <w:lvlText w:val="•"/>
      <w:lvlJc w:val="left"/>
      <w:pPr>
        <w:ind w:left="7480" w:hanging="243"/>
      </w:pPr>
      <w:rPr>
        <w:lang w:val="en-US" w:eastAsia="en-US" w:bidi="ar-SA"/>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24D9B"/>
    <w:multiLevelType w:val="hybridMultilevel"/>
    <w:tmpl w:val="EBA6D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30A30F3"/>
    <w:multiLevelType w:val="hybridMultilevel"/>
    <w:tmpl w:val="356CD1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E1619"/>
    <w:multiLevelType w:val="multilevel"/>
    <w:tmpl w:val="D0A270E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BDE03FE"/>
    <w:multiLevelType w:val="hybridMultilevel"/>
    <w:tmpl w:val="A41A20AC"/>
    <w:lvl w:ilvl="0" w:tplc="D31EB04C">
      <w:start w:val="1"/>
      <w:numFmt w:val="decimal"/>
      <w:lvlText w:val="%1."/>
      <w:lvlJc w:val="left"/>
      <w:pPr>
        <w:ind w:left="358" w:hanging="243"/>
      </w:pPr>
      <w:rPr>
        <w:rFonts w:ascii="Times New Roman" w:eastAsia="Times New Roman" w:hAnsi="Times New Roman" w:cs="Times New Roman" w:hint="default"/>
        <w:w w:val="99"/>
        <w:sz w:val="24"/>
        <w:szCs w:val="24"/>
        <w:lang w:val="en-US" w:eastAsia="en-US" w:bidi="ar-SA"/>
      </w:rPr>
    </w:lvl>
    <w:lvl w:ilvl="1" w:tplc="FE407CF8">
      <w:numFmt w:val="bullet"/>
      <w:lvlText w:val="•"/>
      <w:lvlJc w:val="left"/>
      <w:pPr>
        <w:ind w:left="1250" w:hanging="243"/>
      </w:pPr>
      <w:rPr>
        <w:lang w:val="en-US" w:eastAsia="en-US" w:bidi="ar-SA"/>
      </w:rPr>
    </w:lvl>
    <w:lvl w:ilvl="2" w:tplc="97844EAC">
      <w:numFmt w:val="bullet"/>
      <w:lvlText w:val="•"/>
      <w:lvlJc w:val="left"/>
      <w:pPr>
        <w:ind w:left="2140" w:hanging="243"/>
      </w:pPr>
      <w:rPr>
        <w:lang w:val="en-US" w:eastAsia="en-US" w:bidi="ar-SA"/>
      </w:rPr>
    </w:lvl>
    <w:lvl w:ilvl="3" w:tplc="91B69916">
      <w:numFmt w:val="bullet"/>
      <w:lvlText w:val="•"/>
      <w:lvlJc w:val="left"/>
      <w:pPr>
        <w:ind w:left="3030" w:hanging="243"/>
      </w:pPr>
      <w:rPr>
        <w:lang w:val="en-US" w:eastAsia="en-US" w:bidi="ar-SA"/>
      </w:rPr>
    </w:lvl>
    <w:lvl w:ilvl="4" w:tplc="7B2480AA">
      <w:numFmt w:val="bullet"/>
      <w:lvlText w:val="•"/>
      <w:lvlJc w:val="left"/>
      <w:pPr>
        <w:ind w:left="3920" w:hanging="243"/>
      </w:pPr>
      <w:rPr>
        <w:lang w:val="en-US" w:eastAsia="en-US" w:bidi="ar-SA"/>
      </w:rPr>
    </w:lvl>
    <w:lvl w:ilvl="5" w:tplc="92E84AD6">
      <w:numFmt w:val="bullet"/>
      <w:lvlText w:val="•"/>
      <w:lvlJc w:val="left"/>
      <w:pPr>
        <w:ind w:left="4810" w:hanging="243"/>
      </w:pPr>
      <w:rPr>
        <w:lang w:val="en-US" w:eastAsia="en-US" w:bidi="ar-SA"/>
      </w:rPr>
    </w:lvl>
    <w:lvl w:ilvl="6" w:tplc="5896EE70">
      <w:numFmt w:val="bullet"/>
      <w:lvlText w:val="•"/>
      <w:lvlJc w:val="left"/>
      <w:pPr>
        <w:ind w:left="5700" w:hanging="243"/>
      </w:pPr>
      <w:rPr>
        <w:lang w:val="en-US" w:eastAsia="en-US" w:bidi="ar-SA"/>
      </w:rPr>
    </w:lvl>
    <w:lvl w:ilvl="7" w:tplc="0772D9A0">
      <w:numFmt w:val="bullet"/>
      <w:lvlText w:val="•"/>
      <w:lvlJc w:val="left"/>
      <w:pPr>
        <w:ind w:left="6590" w:hanging="243"/>
      </w:pPr>
      <w:rPr>
        <w:lang w:val="en-US" w:eastAsia="en-US" w:bidi="ar-SA"/>
      </w:rPr>
    </w:lvl>
    <w:lvl w:ilvl="8" w:tplc="7152D874">
      <w:numFmt w:val="bullet"/>
      <w:lvlText w:val="•"/>
      <w:lvlJc w:val="left"/>
      <w:pPr>
        <w:ind w:left="7480" w:hanging="243"/>
      </w:pPr>
      <w:rPr>
        <w:lang w:val="en-US" w:eastAsia="en-US" w:bidi="ar-SA"/>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734757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35332713">
    <w:abstractNumId w:val="19"/>
  </w:num>
  <w:num w:numId="3" w16cid:durableId="868689526">
    <w:abstractNumId w:val="31"/>
  </w:num>
  <w:num w:numId="4" w16cid:durableId="18215764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88229301">
    <w:abstractNumId w:val="9"/>
  </w:num>
  <w:num w:numId="6" w16cid:durableId="1317609323">
    <w:abstractNumId w:val="6"/>
  </w:num>
  <w:num w:numId="7" w16cid:durableId="1921595131">
    <w:abstractNumId w:val="1"/>
  </w:num>
  <w:num w:numId="8" w16cid:durableId="246118714">
    <w:abstractNumId w:val="15"/>
  </w:num>
  <w:num w:numId="9" w16cid:durableId="794493207">
    <w:abstractNumId w:val="33"/>
  </w:num>
  <w:num w:numId="10" w16cid:durableId="2065256013">
    <w:abstractNumId w:val="2"/>
  </w:num>
  <w:num w:numId="11" w16cid:durableId="1132136603">
    <w:abstractNumId w:val="25"/>
  </w:num>
  <w:num w:numId="12" w16cid:durableId="1339187279">
    <w:abstractNumId w:val="3"/>
  </w:num>
  <w:num w:numId="13" w16cid:durableId="1400447584">
    <w:abstractNumId w:val="22"/>
  </w:num>
  <w:num w:numId="14" w16cid:durableId="1772118226">
    <w:abstractNumId w:val="11"/>
  </w:num>
  <w:num w:numId="15" w16cid:durableId="846092170">
    <w:abstractNumId w:val="29"/>
  </w:num>
  <w:num w:numId="16" w16cid:durableId="228270424">
    <w:abstractNumId w:val="5"/>
  </w:num>
  <w:num w:numId="17" w16cid:durableId="1611745434">
    <w:abstractNumId w:val="30"/>
  </w:num>
  <w:num w:numId="18" w16cid:durableId="1446315063">
    <w:abstractNumId w:val="17"/>
  </w:num>
  <w:num w:numId="19" w16cid:durableId="1256015516">
    <w:abstractNumId w:val="36"/>
  </w:num>
  <w:num w:numId="20" w16cid:durableId="681707073">
    <w:abstractNumId w:val="14"/>
  </w:num>
  <w:num w:numId="21" w16cid:durableId="1954510971">
    <w:abstractNumId w:val="12"/>
  </w:num>
  <w:num w:numId="22" w16cid:durableId="822048019">
    <w:abstractNumId w:val="16"/>
  </w:num>
  <w:num w:numId="23" w16cid:durableId="169369727">
    <w:abstractNumId w:val="27"/>
  </w:num>
  <w:num w:numId="24" w16cid:durableId="1522283878">
    <w:abstractNumId w:val="34"/>
  </w:num>
  <w:num w:numId="25" w16cid:durableId="274294664">
    <w:abstractNumId w:val="4"/>
  </w:num>
  <w:num w:numId="26" w16cid:durableId="1676607831">
    <w:abstractNumId w:val="20"/>
  </w:num>
  <w:num w:numId="27" w16cid:durableId="650796713">
    <w:abstractNumId w:val="28"/>
  </w:num>
  <w:num w:numId="28" w16cid:durableId="2013870751">
    <w:abstractNumId w:val="35"/>
  </w:num>
  <w:num w:numId="29" w16cid:durableId="1762020755">
    <w:abstractNumId w:val="32"/>
  </w:num>
  <w:num w:numId="30" w16cid:durableId="1433823897">
    <w:abstractNumId w:val="13"/>
  </w:num>
  <w:num w:numId="31" w16cid:durableId="947739843">
    <w:abstractNumId w:val="23"/>
  </w:num>
  <w:num w:numId="32" w16cid:durableId="390613217">
    <w:abstractNumId w:val="21"/>
  </w:num>
  <w:num w:numId="33" w16cid:durableId="790326143">
    <w:abstractNumId w:val="8"/>
  </w:num>
  <w:num w:numId="34" w16cid:durableId="1891576590">
    <w:abstractNumId w:val="7"/>
  </w:num>
  <w:num w:numId="35" w16cid:durableId="1948467609">
    <w:abstractNumId w:val="10"/>
  </w:num>
  <w:num w:numId="36" w16cid:durableId="1083531470">
    <w:abstractNumId w:val="26"/>
    <w:lvlOverride w:ilvl="0">
      <w:startOverride w:val="1"/>
    </w:lvlOverride>
    <w:lvlOverride w:ilvl="1"/>
    <w:lvlOverride w:ilvl="2"/>
    <w:lvlOverride w:ilvl="3"/>
    <w:lvlOverride w:ilvl="4"/>
    <w:lvlOverride w:ilvl="5"/>
    <w:lvlOverride w:ilvl="6"/>
    <w:lvlOverride w:ilvl="7"/>
    <w:lvlOverride w:ilvl="8"/>
  </w:num>
  <w:num w:numId="37" w16cid:durableId="2047441071">
    <w:abstractNumId w:val="18"/>
    <w:lvlOverride w:ilvl="0">
      <w:startOverride w:val="1"/>
    </w:lvlOverride>
    <w:lvlOverride w:ilvl="1"/>
    <w:lvlOverride w:ilvl="2"/>
    <w:lvlOverride w:ilvl="3"/>
    <w:lvlOverride w:ilvl="4"/>
    <w:lvlOverride w:ilvl="5"/>
    <w:lvlOverride w:ilvl="6"/>
    <w:lvlOverride w:ilvl="7"/>
    <w:lvlOverride w:ilvl="8"/>
  </w:num>
  <w:num w:numId="38" w16cid:durableId="6393824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61BCF"/>
    <w:rsid w:val="00082A5D"/>
    <w:rsid w:val="000A47FA"/>
    <w:rsid w:val="000A65D3"/>
    <w:rsid w:val="000B1E33"/>
    <w:rsid w:val="000D689F"/>
    <w:rsid w:val="000E020B"/>
    <w:rsid w:val="000E7B7B"/>
    <w:rsid w:val="000E7D62"/>
    <w:rsid w:val="00103357"/>
    <w:rsid w:val="00117BF9"/>
    <w:rsid w:val="00123C9F"/>
    <w:rsid w:val="00126190"/>
    <w:rsid w:val="00130F17"/>
    <w:rsid w:val="001320BF"/>
    <w:rsid w:val="00142389"/>
    <w:rsid w:val="00163BC4"/>
    <w:rsid w:val="00175F69"/>
    <w:rsid w:val="00191062"/>
    <w:rsid w:val="00192B72"/>
    <w:rsid w:val="001A29D8"/>
    <w:rsid w:val="001A5CAA"/>
    <w:rsid w:val="001B0427"/>
    <w:rsid w:val="001C2191"/>
    <w:rsid w:val="001D3A51"/>
    <w:rsid w:val="001E10D2"/>
    <w:rsid w:val="001E25B4"/>
    <w:rsid w:val="001E44FE"/>
    <w:rsid w:val="00200595"/>
    <w:rsid w:val="00204835"/>
    <w:rsid w:val="00231920"/>
    <w:rsid w:val="0023195C"/>
    <w:rsid w:val="00237DF4"/>
    <w:rsid w:val="0024282C"/>
    <w:rsid w:val="002460DC"/>
    <w:rsid w:val="00246F4C"/>
    <w:rsid w:val="00250985"/>
    <w:rsid w:val="00253E1A"/>
    <w:rsid w:val="002556F6"/>
    <w:rsid w:val="00283105"/>
    <w:rsid w:val="00284C4C"/>
    <w:rsid w:val="00287E68"/>
    <w:rsid w:val="00296529"/>
    <w:rsid w:val="002B27FB"/>
    <w:rsid w:val="002B685A"/>
    <w:rsid w:val="002C57D2"/>
    <w:rsid w:val="002E0D56"/>
    <w:rsid w:val="00315186"/>
    <w:rsid w:val="00322C45"/>
    <w:rsid w:val="0033343E"/>
    <w:rsid w:val="003512C2"/>
    <w:rsid w:val="00351312"/>
    <w:rsid w:val="00362EB0"/>
    <w:rsid w:val="00371FB6"/>
    <w:rsid w:val="003763C1"/>
    <w:rsid w:val="00376BBE"/>
    <w:rsid w:val="0039224F"/>
    <w:rsid w:val="0039615A"/>
    <w:rsid w:val="003A43A4"/>
    <w:rsid w:val="003A7E18"/>
    <w:rsid w:val="003C2313"/>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4F6E"/>
    <w:rsid w:val="004E34C7"/>
    <w:rsid w:val="00502516"/>
    <w:rsid w:val="0050584D"/>
    <w:rsid w:val="00505F06"/>
    <w:rsid w:val="00506828"/>
    <w:rsid w:val="00515897"/>
    <w:rsid w:val="00527073"/>
    <w:rsid w:val="0053056E"/>
    <w:rsid w:val="00542210"/>
    <w:rsid w:val="005443AF"/>
    <w:rsid w:val="00554FDA"/>
    <w:rsid w:val="005C784C"/>
    <w:rsid w:val="005D17F6"/>
    <w:rsid w:val="005E5539"/>
    <w:rsid w:val="005E6372"/>
    <w:rsid w:val="005F3203"/>
    <w:rsid w:val="00602BF5"/>
    <w:rsid w:val="00610835"/>
    <w:rsid w:val="00617FDD"/>
    <w:rsid w:val="00633614"/>
    <w:rsid w:val="00633F68"/>
    <w:rsid w:val="00636EB2"/>
    <w:rsid w:val="006375B8"/>
    <w:rsid w:val="006431FE"/>
    <w:rsid w:val="00650992"/>
    <w:rsid w:val="0066510A"/>
    <w:rsid w:val="006710B6"/>
    <w:rsid w:val="00671C94"/>
    <w:rsid w:val="00673F9F"/>
    <w:rsid w:val="00686953"/>
    <w:rsid w:val="00687DEA"/>
    <w:rsid w:val="00687E67"/>
    <w:rsid w:val="006967F7"/>
    <w:rsid w:val="00696C1C"/>
    <w:rsid w:val="006A250C"/>
    <w:rsid w:val="006B17FE"/>
    <w:rsid w:val="006B1988"/>
    <w:rsid w:val="006B21D3"/>
    <w:rsid w:val="006B57D0"/>
    <w:rsid w:val="006C0B6B"/>
    <w:rsid w:val="006D30FF"/>
    <w:rsid w:val="006D6940"/>
    <w:rsid w:val="006E0066"/>
    <w:rsid w:val="006F11EC"/>
    <w:rsid w:val="0070082C"/>
    <w:rsid w:val="007369E6"/>
    <w:rsid w:val="00746E59"/>
    <w:rsid w:val="007478DA"/>
    <w:rsid w:val="00754C9A"/>
    <w:rsid w:val="0075599A"/>
    <w:rsid w:val="00757D97"/>
    <w:rsid w:val="00761D52"/>
    <w:rsid w:val="0077749E"/>
    <w:rsid w:val="00790ADA"/>
    <w:rsid w:val="007D1B33"/>
    <w:rsid w:val="007D2288"/>
    <w:rsid w:val="007E088F"/>
    <w:rsid w:val="007F7B32"/>
    <w:rsid w:val="00804BC2"/>
    <w:rsid w:val="0081431A"/>
    <w:rsid w:val="0083216F"/>
    <w:rsid w:val="00860000"/>
    <w:rsid w:val="00863BD3"/>
    <w:rsid w:val="008641ED"/>
    <w:rsid w:val="00866D66"/>
    <w:rsid w:val="008671C6"/>
    <w:rsid w:val="00875803"/>
    <w:rsid w:val="00890933"/>
    <w:rsid w:val="008B459E"/>
    <w:rsid w:val="008C5BE5"/>
    <w:rsid w:val="008E13AE"/>
    <w:rsid w:val="008E1506"/>
    <w:rsid w:val="008E710C"/>
    <w:rsid w:val="008F69D6"/>
    <w:rsid w:val="00902823"/>
    <w:rsid w:val="00915CA6"/>
    <w:rsid w:val="00927834"/>
    <w:rsid w:val="009500A6"/>
    <w:rsid w:val="00957C18"/>
    <w:rsid w:val="009609E0"/>
    <w:rsid w:val="009659BA"/>
    <w:rsid w:val="00973147"/>
    <w:rsid w:val="00983040"/>
    <w:rsid w:val="009838FB"/>
    <w:rsid w:val="00994530"/>
    <w:rsid w:val="009B3FB9"/>
    <w:rsid w:val="009C2465"/>
    <w:rsid w:val="009D35A0"/>
    <w:rsid w:val="009D7EB7"/>
    <w:rsid w:val="009E048A"/>
    <w:rsid w:val="009E08E9"/>
    <w:rsid w:val="009E3DB9"/>
    <w:rsid w:val="009E6E35"/>
    <w:rsid w:val="009F0EDA"/>
    <w:rsid w:val="00A02487"/>
    <w:rsid w:val="00A03B96"/>
    <w:rsid w:val="00A05B19"/>
    <w:rsid w:val="00A1134E"/>
    <w:rsid w:val="00A24E7E"/>
    <w:rsid w:val="00A258C3"/>
    <w:rsid w:val="00A347C0"/>
    <w:rsid w:val="00A51431"/>
    <w:rsid w:val="00A539AD"/>
    <w:rsid w:val="00A53CD3"/>
    <w:rsid w:val="00A6579F"/>
    <w:rsid w:val="00A94063"/>
    <w:rsid w:val="00AA6219"/>
    <w:rsid w:val="00AA74E0"/>
    <w:rsid w:val="00AB703F"/>
    <w:rsid w:val="00AC2DF2"/>
    <w:rsid w:val="00AC6BB8"/>
    <w:rsid w:val="00AE008F"/>
    <w:rsid w:val="00AF022E"/>
    <w:rsid w:val="00B01FCD"/>
    <w:rsid w:val="00B1027D"/>
    <w:rsid w:val="00B16587"/>
    <w:rsid w:val="00B1776C"/>
    <w:rsid w:val="00B24354"/>
    <w:rsid w:val="00B36DCF"/>
    <w:rsid w:val="00B511A9"/>
    <w:rsid w:val="00B52583"/>
    <w:rsid w:val="00B52896"/>
    <w:rsid w:val="00B95236"/>
    <w:rsid w:val="00B96BD9"/>
    <w:rsid w:val="00BA1B01"/>
    <w:rsid w:val="00BA2641"/>
    <w:rsid w:val="00BB1114"/>
    <w:rsid w:val="00BB37AA"/>
    <w:rsid w:val="00BC53A0"/>
    <w:rsid w:val="00BD51AF"/>
    <w:rsid w:val="00BE5DC4"/>
    <w:rsid w:val="00BE62AD"/>
    <w:rsid w:val="00BF121F"/>
    <w:rsid w:val="00BF1F80"/>
    <w:rsid w:val="00C077E3"/>
    <w:rsid w:val="00C166EF"/>
    <w:rsid w:val="00C17EB0"/>
    <w:rsid w:val="00C27F5F"/>
    <w:rsid w:val="00C30A0F"/>
    <w:rsid w:val="00C35062"/>
    <w:rsid w:val="00C37E61"/>
    <w:rsid w:val="00C70F1B"/>
    <w:rsid w:val="00C71A47"/>
    <w:rsid w:val="00C7464C"/>
    <w:rsid w:val="00C85588"/>
    <w:rsid w:val="00CA7E79"/>
    <w:rsid w:val="00CD6755"/>
    <w:rsid w:val="00CD6856"/>
    <w:rsid w:val="00CE0089"/>
    <w:rsid w:val="00CE793C"/>
    <w:rsid w:val="00CF193C"/>
    <w:rsid w:val="00CF315E"/>
    <w:rsid w:val="00D173F1"/>
    <w:rsid w:val="00D74CB0"/>
    <w:rsid w:val="00D8295D"/>
    <w:rsid w:val="00DC2A65"/>
    <w:rsid w:val="00DE15F0"/>
    <w:rsid w:val="00DE5663"/>
    <w:rsid w:val="00DE78AA"/>
    <w:rsid w:val="00E053D0"/>
    <w:rsid w:val="00E15994"/>
    <w:rsid w:val="00E3114E"/>
    <w:rsid w:val="00E31A70"/>
    <w:rsid w:val="00E35B02"/>
    <w:rsid w:val="00E35DF0"/>
    <w:rsid w:val="00E66496"/>
    <w:rsid w:val="00E66B35"/>
    <w:rsid w:val="00E66E10"/>
    <w:rsid w:val="00E769F6"/>
    <w:rsid w:val="00E8407C"/>
    <w:rsid w:val="00E84F3C"/>
    <w:rsid w:val="00EA012C"/>
    <w:rsid w:val="00EB527C"/>
    <w:rsid w:val="00EC6A55"/>
    <w:rsid w:val="00EC7EA3"/>
    <w:rsid w:val="00ED0288"/>
    <w:rsid w:val="00EE52CB"/>
    <w:rsid w:val="00EF581D"/>
    <w:rsid w:val="00EF7FD8"/>
    <w:rsid w:val="00F06F59"/>
    <w:rsid w:val="00F17988"/>
    <w:rsid w:val="00F469F0"/>
    <w:rsid w:val="00F53273"/>
    <w:rsid w:val="00F755E4"/>
    <w:rsid w:val="00F77D02"/>
    <w:rsid w:val="00F86E4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5FD10"/>
  <w15:docId w15:val="{6426B9E4-BF9D-4370-A322-677AC6BB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024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B1658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BE5DC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B1658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BE5DC4"/>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semiHidden/>
    <w:rsid w:val="00A02487"/>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unhideWhenUsed/>
    <w:rsid w:val="006E0066"/>
    <w:pPr>
      <w:spacing w:after="120"/>
    </w:pPr>
  </w:style>
  <w:style w:type="character" w:customStyle="1" w:styleId="BodyTextChar">
    <w:name w:val="Body Text Char"/>
    <w:basedOn w:val="DefaultParagraphFont"/>
    <w:link w:val="BodyText"/>
    <w:semiHidden/>
    <w:rsid w:val="006E0066"/>
    <w:rPr>
      <w:rFonts w:ascii="Helvetica" w:hAnsi="Helvetica"/>
    </w:rPr>
  </w:style>
  <w:style w:type="paragraph" w:styleId="ListParagraph">
    <w:name w:val="List Paragraph"/>
    <w:basedOn w:val="Normal"/>
    <w:uiPriority w:val="1"/>
    <w:qFormat/>
    <w:rsid w:val="006E0066"/>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6E0066"/>
    <w:rPr>
      <w:rFonts w:ascii="Helvetica" w:hAnsi="Helvetica"/>
    </w:rPr>
  </w:style>
  <w:style w:type="character" w:styleId="UnresolvedMention">
    <w:name w:val="Unresolved Mention"/>
    <w:basedOn w:val="DefaultParagraphFont"/>
    <w:uiPriority w:val="99"/>
    <w:semiHidden/>
    <w:unhideWhenUsed/>
    <w:rsid w:val="00396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713619">
      <w:bodyDiv w:val="1"/>
      <w:marLeft w:val="0"/>
      <w:marRight w:val="0"/>
      <w:marTop w:val="0"/>
      <w:marBottom w:val="0"/>
      <w:divBdr>
        <w:top w:val="none" w:sz="0" w:space="0" w:color="auto"/>
        <w:left w:val="none" w:sz="0" w:space="0" w:color="auto"/>
        <w:bottom w:val="none" w:sz="0" w:space="0" w:color="auto"/>
        <w:right w:val="none" w:sz="0" w:space="0" w:color="auto"/>
      </w:divBdr>
    </w:div>
    <w:div w:id="42951008">
      <w:bodyDiv w:val="1"/>
      <w:marLeft w:val="0"/>
      <w:marRight w:val="0"/>
      <w:marTop w:val="0"/>
      <w:marBottom w:val="0"/>
      <w:divBdr>
        <w:top w:val="none" w:sz="0" w:space="0" w:color="auto"/>
        <w:left w:val="none" w:sz="0" w:space="0" w:color="auto"/>
        <w:bottom w:val="none" w:sz="0" w:space="0" w:color="auto"/>
        <w:right w:val="none" w:sz="0" w:space="0" w:color="auto"/>
      </w:divBdr>
    </w:div>
    <w:div w:id="49427935">
      <w:bodyDiv w:val="1"/>
      <w:marLeft w:val="0"/>
      <w:marRight w:val="0"/>
      <w:marTop w:val="0"/>
      <w:marBottom w:val="0"/>
      <w:divBdr>
        <w:top w:val="none" w:sz="0" w:space="0" w:color="auto"/>
        <w:left w:val="none" w:sz="0" w:space="0" w:color="auto"/>
        <w:bottom w:val="none" w:sz="0" w:space="0" w:color="auto"/>
        <w:right w:val="none" w:sz="0" w:space="0" w:color="auto"/>
      </w:divBdr>
    </w:div>
    <w:div w:id="60950348">
      <w:bodyDiv w:val="1"/>
      <w:marLeft w:val="0"/>
      <w:marRight w:val="0"/>
      <w:marTop w:val="0"/>
      <w:marBottom w:val="0"/>
      <w:divBdr>
        <w:top w:val="none" w:sz="0" w:space="0" w:color="auto"/>
        <w:left w:val="none" w:sz="0" w:space="0" w:color="auto"/>
        <w:bottom w:val="none" w:sz="0" w:space="0" w:color="auto"/>
        <w:right w:val="none" w:sz="0" w:space="0" w:color="auto"/>
      </w:divBdr>
    </w:div>
    <w:div w:id="89543116">
      <w:bodyDiv w:val="1"/>
      <w:marLeft w:val="0"/>
      <w:marRight w:val="0"/>
      <w:marTop w:val="0"/>
      <w:marBottom w:val="0"/>
      <w:divBdr>
        <w:top w:val="none" w:sz="0" w:space="0" w:color="auto"/>
        <w:left w:val="none" w:sz="0" w:space="0" w:color="auto"/>
        <w:bottom w:val="none" w:sz="0" w:space="0" w:color="auto"/>
        <w:right w:val="none" w:sz="0" w:space="0" w:color="auto"/>
      </w:divBdr>
    </w:div>
    <w:div w:id="126707428">
      <w:bodyDiv w:val="1"/>
      <w:marLeft w:val="0"/>
      <w:marRight w:val="0"/>
      <w:marTop w:val="0"/>
      <w:marBottom w:val="0"/>
      <w:divBdr>
        <w:top w:val="none" w:sz="0" w:space="0" w:color="auto"/>
        <w:left w:val="none" w:sz="0" w:space="0" w:color="auto"/>
        <w:bottom w:val="none" w:sz="0" w:space="0" w:color="auto"/>
        <w:right w:val="none" w:sz="0" w:space="0" w:color="auto"/>
      </w:divBdr>
    </w:div>
    <w:div w:id="136186354">
      <w:bodyDiv w:val="1"/>
      <w:marLeft w:val="0"/>
      <w:marRight w:val="0"/>
      <w:marTop w:val="0"/>
      <w:marBottom w:val="0"/>
      <w:divBdr>
        <w:top w:val="none" w:sz="0" w:space="0" w:color="auto"/>
        <w:left w:val="none" w:sz="0" w:space="0" w:color="auto"/>
        <w:bottom w:val="none" w:sz="0" w:space="0" w:color="auto"/>
        <w:right w:val="none" w:sz="0" w:space="0" w:color="auto"/>
      </w:divBdr>
    </w:div>
    <w:div w:id="15604546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0387363">
      <w:bodyDiv w:val="1"/>
      <w:marLeft w:val="0"/>
      <w:marRight w:val="0"/>
      <w:marTop w:val="0"/>
      <w:marBottom w:val="0"/>
      <w:divBdr>
        <w:top w:val="none" w:sz="0" w:space="0" w:color="auto"/>
        <w:left w:val="none" w:sz="0" w:space="0" w:color="auto"/>
        <w:bottom w:val="none" w:sz="0" w:space="0" w:color="auto"/>
        <w:right w:val="none" w:sz="0" w:space="0" w:color="auto"/>
      </w:divBdr>
    </w:div>
    <w:div w:id="21577659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1114947">
      <w:bodyDiv w:val="1"/>
      <w:marLeft w:val="0"/>
      <w:marRight w:val="0"/>
      <w:marTop w:val="0"/>
      <w:marBottom w:val="0"/>
      <w:divBdr>
        <w:top w:val="none" w:sz="0" w:space="0" w:color="auto"/>
        <w:left w:val="none" w:sz="0" w:space="0" w:color="auto"/>
        <w:bottom w:val="none" w:sz="0" w:space="0" w:color="auto"/>
        <w:right w:val="none" w:sz="0" w:space="0" w:color="auto"/>
      </w:divBdr>
    </w:div>
    <w:div w:id="282226488">
      <w:bodyDiv w:val="1"/>
      <w:marLeft w:val="0"/>
      <w:marRight w:val="0"/>
      <w:marTop w:val="0"/>
      <w:marBottom w:val="0"/>
      <w:divBdr>
        <w:top w:val="none" w:sz="0" w:space="0" w:color="auto"/>
        <w:left w:val="none" w:sz="0" w:space="0" w:color="auto"/>
        <w:bottom w:val="none" w:sz="0" w:space="0" w:color="auto"/>
        <w:right w:val="none" w:sz="0" w:space="0" w:color="auto"/>
      </w:divBdr>
    </w:div>
    <w:div w:id="390229329">
      <w:bodyDiv w:val="1"/>
      <w:marLeft w:val="0"/>
      <w:marRight w:val="0"/>
      <w:marTop w:val="0"/>
      <w:marBottom w:val="0"/>
      <w:divBdr>
        <w:top w:val="none" w:sz="0" w:space="0" w:color="auto"/>
        <w:left w:val="none" w:sz="0" w:space="0" w:color="auto"/>
        <w:bottom w:val="none" w:sz="0" w:space="0" w:color="auto"/>
        <w:right w:val="none" w:sz="0" w:space="0" w:color="auto"/>
      </w:divBdr>
    </w:div>
    <w:div w:id="406421236">
      <w:bodyDiv w:val="1"/>
      <w:marLeft w:val="0"/>
      <w:marRight w:val="0"/>
      <w:marTop w:val="0"/>
      <w:marBottom w:val="0"/>
      <w:divBdr>
        <w:top w:val="none" w:sz="0" w:space="0" w:color="auto"/>
        <w:left w:val="none" w:sz="0" w:space="0" w:color="auto"/>
        <w:bottom w:val="none" w:sz="0" w:space="0" w:color="auto"/>
        <w:right w:val="none" w:sz="0" w:space="0" w:color="auto"/>
      </w:divBdr>
    </w:div>
    <w:div w:id="433862030">
      <w:bodyDiv w:val="1"/>
      <w:marLeft w:val="0"/>
      <w:marRight w:val="0"/>
      <w:marTop w:val="0"/>
      <w:marBottom w:val="0"/>
      <w:divBdr>
        <w:top w:val="none" w:sz="0" w:space="0" w:color="auto"/>
        <w:left w:val="none" w:sz="0" w:space="0" w:color="auto"/>
        <w:bottom w:val="none" w:sz="0" w:space="0" w:color="auto"/>
        <w:right w:val="none" w:sz="0" w:space="0" w:color="auto"/>
      </w:divBdr>
    </w:div>
    <w:div w:id="501431065">
      <w:bodyDiv w:val="1"/>
      <w:marLeft w:val="0"/>
      <w:marRight w:val="0"/>
      <w:marTop w:val="0"/>
      <w:marBottom w:val="0"/>
      <w:divBdr>
        <w:top w:val="none" w:sz="0" w:space="0" w:color="auto"/>
        <w:left w:val="none" w:sz="0" w:space="0" w:color="auto"/>
        <w:bottom w:val="none" w:sz="0" w:space="0" w:color="auto"/>
        <w:right w:val="none" w:sz="0" w:space="0" w:color="auto"/>
      </w:divBdr>
    </w:div>
    <w:div w:id="513762068">
      <w:bodyDiv w:val="1"/>
      <w:marLeft w:val="0"/>
      <w:marRight w:val="0"/>
      <w:marTop w:val="0"/>
      <w:marBottom w:val="0"/>
      <w:divBdr>
        <w:top w:val="none" w:sz="0" w:space="0" w:color="auto"/>
        <w:left w:val="none" w:sz="0" w:space="0" w:color="auto"/>
        <w:bottom w:val="none" w:sz="0" w:space="0" w:color="auto"/>
        <w:right w:val="none" w:sz="0" w:space="0" w:color="auto"/>
      </w:divBdr>
    </w:div>
    <w:div w:id="517356370">
      <w:bodyDiv w:val="1"/>
      <w:marLeft w:val="0"/>
      <w:marRight w:val="0"/>
      <w:marTop w:val="0"/>
      <w:marBottom w:val="0"/>
      <w:divBdr>
        <w:top w:val="none" w:sz="0" w:space="0" w:color="auto"/>
        <w:left w:val="none" w:sz="0" w:space="0" w:color="auto"/>
        <w:bottom w:val="none" w:sz="0" w:space="0" w:color="auto"/>
        <w:right w:val="none" w:sz="0" w:space="0" w:color="auto"/>
      </w:divBdr>
    </w:div>
    <w:div w:id="522324710">
      <w:bodyDiv w:val="1"/>
      <w:marLeft w:val="0"/>
      <w:marRight w:val="0"/>
      <w:marTop w:val="0"/>
      <w:marBottom w:val="0"/>
      <w:divBdr>
        <w:top w:val="none" w:sz="0" w:space="0" w:color="auto"/>
        <w:left w:val="none" w:sz="0" w:space="0" w:color="auto"/>
        <w:bottom w:val="none" w:sz="0" w:space="0" w:color="auto"/>
        <w:right w:val="none" w:sz="0" w:space="0" w:color="auto"/>
      </w:divBdr>
    </w:div>
    <w:div w:id="547644401">
      <w:bodyDiv w:val="1"/>
      <w:marLeft w:val="0"/>
      <w:marRight w:val="0"/>
      <w:marTop w:val="0"/>
      <w:marBottom w:val="0"/>
      <w:divBdr>
        <w:top w:val="none" w:sz="0" w:space="0" w:color="auto"/>
        <w:left w:val="none" w:sz="0" w:space="0" w:color="auto"/>
        <w:bottom w:val="none" w:sz="0" w:space="0" w:color="auto"/>
        <w:right w:val="none" w:sz="0" w:space="0" w:color="auto"/>
      </w:divBdr>
    </w:div>
    <w:div w:id="588587443">
      <w:bodyDiv w:val="1"/>
      <w:marLeft w:val="0"/>
      <w:marRight w:val="0"/>
      <w:marTop w:val="0"/>
      <w:marBottom w:val="0"/>
      <w:divBdr>
        <w:top w:val="none" w:sz="0" w:space="0" w:color="auto"/>
        <w:left w:val="none" w:sz="0" w:space="0" w:color="auto"/>
        <w:bottom w:val="none" w:sz="0" w:space="0" w:color="auto"/>
        <w:right w:val="none" w:sz="0" w:space="0" w:color="auto"/>
      </w:divBdr>
    </w:div>
    <w:div w:id="591547371">
      <w:bodyDiv w:val="1"/>
      <w:marLeft w:val="0"/>
      <w:marRight w:val="0"/>
      <w:marTop w:val="0"/>
      <w:marBottom w:val="0"/>
      <w:divBdr>
        <w:top w:val="none" w:sz="0" w:space="0" w:color="auto"/>
        <w:left w:val="none" w:sz="0" w:space="0" w:color="auto"/>
        <w:bottom w:val="none" w:sz="0" w:space="0" w:color="auto"/>
        <w:right w:val="none" w:sz="0" w:space="0" w:color="auto"/>
      </w:divBdr>
    </w:div>
    <w:div w:id="600333075">
      <w:bodyDiv w:val="1"/>
      <w:marLeft w:val="0"/>
      <w:marRight w:val="0"/>
      <w:marTop w:val="0"/>
      <w:marBottom w:val="0"/>
      <w:divBdr>
        <w:top w:val="none" w:sz="0" w:space="0" w:color="auto"/>
        <w:left w:val="none" w:sz="0" w:space="0" w:color="auto"/>
        <w:bottom w:val="none" w:sz="0" w:space="0" w:color="auto"/>
        <w:right w:val="none" w:sz="0" w:space="0" w:color="auto"/>
      </w:divBdr>
    </w:div>
    <w:div w:id="60558060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
    <w:div w:id="61217803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6245250">
      <w:bodyDiv w:val="1"/>
      <w:marLeft w:val="0"/>
      <w:marRight w:val="0"/>
      <w:marTop w:val="0"/>
      <w:marBottom w:val="0"/>
      <w:divBdr>
        <w:top w:val="none" w:sz="0" w:space="0" w:color="auto"/>
        <w:left w:val="none" w:sz="0" w:space="0" w:color="auto"/>
        <w:bottom w:val="none" w:sz="0" w:space="0" w:color="auto"/>
        <w:right w:val="none" w:sz="0" w:space="0" w:color="auto"/>
      </w:divBdr>
    </w:div>
    <w:div w:id="672103024">
      <w:bodyDiv w:val="1"/>
      <w:marLeft w:val="0"/>
      <w:marRight w:val="0"/>
      <w:marTop w:val="0"/>
      <w:marBottom w:val="0"/>
      <w:divBdr>
        <w:top w:val="none" w:sz="0" w:space="0" w:color="auto"/>
        <w:left w:val="none" w:sz="0" w:space="0" w:color="auto"/>
        <w:bottom w:val="none" w:sz="0" w:space="0" w:color="auto"/>
        <w:right w:val="none" w:sz="0" w:space="0" w:color="auto"/>
      </w:divBdr>
    </w:div>
    <w:div w:id="717700510">
      <w:bodyDiv w:val="1"/>
      <w:marLeft w:val="0"/>
      <w:marRight w:val="0"/>
      <w:marTop w:val="0"/>
      <w:marBottom w:val="0"/>
      <w:divBdr>
        <w:top w:val="none" w:sz="0" w:space="0" w:color="auto"/>
        <w:left w:val="none" w:sz="0" w:space="0" w:color="auto"/>
        <w:bottom w:val="none" w:sz="0" w:space="0" w:color="auto"/>
        <w:right w:val="none" w:sz="0" w:space="0" w:color="auto"/>
      </w:divBdr>
    </w:div>
    <w:div w:id="765804129">
      <w:bodyDiv w:val="1"/>
      <w:marLeft w:val="0"/>
      <w:marRight w:val="0"/>
      <w:marTop w:val="0"/>
      <w:marBottom w:val="0"/>
      <w:divBdr>
        <w:top w:val="none" w:sz="0" w:space="0" w:color="auto"/>
        <w:left w:val="none" w:sz="0" w:space="0" w:color="auto"/>
        <w:bottom w:val="none" w:sz="0" w:space="0" w:color="auto"/>
        <w:right w:val="none" w:sz="0" w:space="0" w:color="auto"/>
      </w:divBdr>
    </w:div>
    <w:div w:id="766118546">
      <w:bodyDiv w:val="1"/>
      <w:marLeft w:val="0"/>
      <w:marRight w:val="0"/>
      <w:marTop w:val="0"/>
      <w:marBottom w:val="0"/>
      <w:divBdr>
        <w:top w:val="none" w:sz="0" w:space="0" w:color="auto"/>
        <w:left w:val="none" w:sz="0" w:space="0" w:color="auto"/>
        <w:bottom w:val="none" w:sz="0" w:space="0" w:color="auto"/>
        <w:right w:val="none" w:sz="0" w:space="0" w:color="auto"/>
      </w:divBdr>
    </w:div>
    <w:div w:id="773521518">
      <w:bodyDiv w:val="1"/>
      <w:marLeft w:val="0"/>
      <w:marRight w:val="0"/>
      <w:marTop w:val="0"/>
      <w:marBottom w:val="0"/>
      <w:divBdr>
        <w:top w:val="none" w:sz="0" w:space="0" w:color="auto"/>
        <w:left w:val="none" w:sz="0" w:space="0" w:color="auto"/>
        <w:bottom w:val="none" w:sz="0" w:space="0" w:color="auto"/>
        <w:right w:val="none" w:sz="0" w:space="0" w:color="auto"/>
      </w:divBdr>
    </w:div>
    <w:div w:id="775103847">
      <w:bodyDiv w:val="1"/>
      <w:marLeft w:val="0"/>
      <w:marRight w:val="0"/>
      <w:marTop w:val="0"/>
      <w:marBottom w:val="0"/>
      <w:divBdr>
        <w:top w:val="none" w:sz="0" w:space="0" w:color="auto"/>
        <w:left w:val="none" w:sz="0" w:space="0" w:color="auto"/>
        <w:bottom w:val="none" w:sz="0" w:space="0" w:color="auto"/>
        <w:right w:val="none" w:sz="0" w:space="0" w:color="auto"/>
      </w:divBdr>
    </w:div>
    <w:div w:id="789710162">
      <w:bodyDiv w:val="1"/>
      <w:marLeft w:val="0"/>
      <w:marRight w:val="0"/>
      <w:marTop w:val="0"/>
      <w:marBottom w:val="0"/>
      <w:divBdr>
        <w:top w:val="none" w:sz="0" w:space="0" w:color="auto"/>
        <w:left w:val="none" w:sz="0" w:space="0" w:color="auto"/>
        <w:bottom w:val="none" w:sz="0" w:space="0" w:color="auto"/>
        <w:right w:val="none" w:sz="0" w:space="0" w:color="auto"/>
      </w:divBdr>
    </w:div>
    <w:div w:id="795877837">
      <w:bodyDiv w:val="1"/>
      <w:marLeft w:val="0"/>
      <w:marRight w:val="0"/>
      <w:marTop w:val="0"/>
      <w:marBottom w:val="0"/>
      <w:divBdr>
        <w:top w:val="none" w:sz="0" w:space="0" w:color="auto"/>
        <w:left w:val="none" w:sz="0" w:space="0" w:color="auto"/>
        <w:bottom w:val="none" w:sz="0" w:space="0" w:color="auto"/>
        <w:right w:val="none" w:sz="0" w:space="0" w:color="auto"/>
      </w:divBdr>
    </w:div>
    <w:div w:id="824710009">
      <w:bodyDiv w:val="1"/>
      <w:marLeft w:val="0"/>
      <w:marRight w:val="0"/>
      <w:marTop w:val="0"/>
      <w:marBottom w:val="0"/>
      <w:divBdr>
        <w:top w:val="none" w:sz="0" w:space="0" w:color="auto"/>
        <w:left w:val="none" w:sz="0" w:space="0" w:color="auto"/>
        <w:bottom w:val="none" w:sz="0" w:space="0" w:color="auto"/>
        <w:right w:val="none" w:sz="0" w:space="0" w:color="auto"/>
      </w:divBdr>
    </w:div>
    <w:div w:id="829713055">
      <w:bodyDiv w:val="1"/>
      <w:marLeft w:val="0"/>
      <w:marRight w:val="0"/>
      <w:marTop w:val="0"/>
      <w:marBottom w:val="0"/>
      <w:divBdr>
        <w:top w:val="none" w:sz="0" w:space="0" w:color="auto"/>
        <w:left w:val="none" w:sz="0" w:space="0" w:color="auto"/>
        <w:bottom w:val="none" w:sz="0" w:space="0" w:color="auto"/>
        <w:right w:val="none" w:sz="0" w:space="0" w:color="auto"/>
      </w:divBdr>
    </w:div>
    <w:div w:id="863323831">
      <w:bodyDiv w:val="1"/>
      <w:marLeft w:val="0"/>
      <w:marRight w:val="0"/>
      <w:marTop w:val="0"/>
      <w:marBottom w:val="0"/>
      <w:divBdr>
        <w:top w:val="none" w:sz="0" w:space="0" w:color="auto"/>
        <w:left w:val="none" w:sz="0" w:space="0" w:color="auto"/>
        <w:bottom w:val="none" w:sz="0" w:space="0" w:color="auto"/>
        <w:right w:val="none" w:sz="0" w:space="0" w:color="auto"/>
      </w:divBdr>
    </w:div>
    <w:div w:id="864098435">
      <w:bodyDiv w:val="1"/>
      <w:marLeft w:val="0"/>
      <w:marRight w:val="0"/>
      <w:marTop w:val="0"/>
      <w:marBottom w:val="0"/>
      <w:divBdr>
        <w:top w:val="none" w:sz="0" w:space="0" w:color="auto"/>
        <w:left w:val="none" w:sz="0" w:space="0" w:color="auto"/>
        <w:bottom w:val="none" w:sz="0" w:space="0" w:color="auto"/>
        <w:right w:val="none" w:sz="0" w:space="0" w:color="auto"/>
      </w:divBdr>
    </w:div>
    <w:div w:id="872575555">
      <w:bodyDiv w:val="1"/>
      <w:marLeft w:val="0"/>
      <w:marRight w:val="0"/>
      <w:marTop w:val="0"/>
      <w:marBottom w:val="0"/>
      <w:divBdr>
        <w:top w:val="none" w:sz="0" w:space="0" w:color="auto"/>
        <w:left w:val="none" w:sz="0" w:space="0" w:color="auto"/>
        <w:bottom w:val="none" w:sz="0" w:space="0" w:color="auto"/>
        <w:right w:val="none" w:sz="0" w:space="0" w:color="auto"/>
      </w:divBdr>
    </w:div>
    <w:div w:id="875236939">
      <w:bodyDiv w:val="1"/>
      <w:marLeft w:val="0"/>
      <w:marRight w:val="0"/>
      <w:marTop w:val="0"/>
      <w:marBottom w:val="0"/>
      <w:divBdr>
        <w:top w:val="none" w:sz="0" w:space="0" w:color="auto"/>
        <w:left w:val="none" w:sz="0" w:space="0" w:color="auto"/>
        <w:bottom w:val="none" w:sz="0" w:space="0" w:color="auto"/>
        <w:right w:val="none" w:sz="0" w:space="0" w:color="auto"/>
      </w:divBdr>
    </w:div>
    <w:div w:id="880749376">
      <w:bodyDiv w:val="1"/>
      <w:marLeft w:val="0"/>
      <w:marRight w:val="0"/>
      <w:marTop w:val="0"/>
      <w:marBottom w:val="0"/>
      <w:divBdr>
        <w:top w:val="none" w:sz="0" w:space="0" w:color="auto"/>
        <w:left w:val="none" w:sz="0" w:space="0" w:color="auto"/>
        <w:bottom w:val="none" w:sz="0" w:space="0" w:color="auto"/>
        <w:right w:val="none" w:sz="0" w:space="0" w:color="auto"/>
      </w:divBdr>
    </w:div>
    <w:div w:id="885991221">
      <w:bodyDiv w:val="1"/>
      <w:marLeft w:val="0"/>
      <w:marRight w:val="0"/>
      <w:marTop w:val="0"/>
      <w:marBottom w:val="0"/>
      <w:divBdr>
        <w:top w:val="none" w:sz="0" w:space="0" w:color="auto"/>
        <w:left w:val="none" w:sz="0" w:space="0" w:color="auto"/>
        <w:bottom w:val="none" w:sz="0" w:space="0" w:color="auto"/>
        <w:right w:val="none" w:sz="0" w:space="0" w:color="auto"/>
      </w:divBdr>
    </w:div>
    <w:div w:id="890387824">
      <w:bodyDiv w:val="1"/>
      <w:marLeft w:val="0"/>
      <w:marRight w:val="0"/>
      <w:marTop w:val="0"/>
      <w:marBottom w:val="0"/>
      <w:divBdr>
        <w:top w:val="none" w:sz="0" w:space="0" w:color="auto"/>
        <w:left w:val="none" w:sz="0" w:space="0" w:color="auto"/>
        <w:bottom w:val="none" w:sz="0" w:space="0" w:color="auto"/>
        <w:right w:val="none" w:sz="0" w:space="0" w:color="auto"/>
      </w:divBdr>
    </w:div>
    <w:div w:id="932200738">
      <w:bodyDiv w:val="1"/>
      <w:marLeft w:val="0"/>
      <w:marRight w:val="0"/>
      <w:marTop w:val="0"/>
      <w:marBottom w:val="0"/>
      <w:divBdr>
        <w:top w:val="none" w:sz="0" w:space="0" w:color="auto"/>
        <w:left w:val="none" w:sz="0" w:space="0" w:color="auto"/>
        <w:bottom w:val="none" w:sz="0" w:space="0" w:color="auto"/>
        <w:right w:val="none" w:sz="0" w:space="0" w:color="auto"/>
      </w:divBdr>
    </w:div>
    <w:div w:id="944266491">
      <w:bodyDiv w:val="1"/>
      <w:marLeft w:val="0"/>
      <w:marRight w:val="0"/>
      <w:marTop w:val="0"/>
      <w:marBottom w:val="0"/>
      <w:divBdr>
        <w:top w:val="none" w:sz="0" w:space="0" w:color="auto"/>
        <w:left w:val="none" w:sz="0" w:space="0" w:color="auto"/>
        <w:bottom w:val="none" w:sz="0" w:space="0" w:color="auto"/>
        <w:right w:val="none" w:sz="0" w:space="0" w:color="auto"/>
      </w:divBdr>
    </w:div>
    <w:div w:id="957948935">
      <w:bodyDiv w:val="1"/>
      <w:marLeft w:val="0"/>
      <w:marRight w:val="0"/>
      <w:marTop w:val="0"/>
      <w:marBottom w:val="0"/>
      <w:divBdr>
        <w:top w:val="none" w:sz="0" w:space="0" w:color="auto"/>
        <w:left w:val="none" w:sz="0" w:space="0" w:color="auto"/>
        <w:bottom w:val="none" w:sz="0" w:space="0" w:color="auto"/>
        <w:right w:val="none" w:sz="0" w:space="0" w:color="auto"/>
      </w:divBdr>
    </w:div>
    <w:div w:id="960039706">
      <w:bodyDiv w:val="1"/>
      <w:marLeft w:val="0"/>
      <w:marRight w:val="0"/>
      <w:marTop w:val="0"/>
      <w:marBottom w:val="0"/>
      <w:divBdr>
        <w:top w:val="none" w:sz="0" w:space="0" w:color="auto"/>
        <w:left w:val="none" w:sz="0" w:space="0" w:color="auto"/>
        <w:bottom w:val="none" w:sz="0" w:space="0" w:color="auto"/>
        <w:right w:val="none" w:sz="0" w:space="0" w:color="auto"/>
      </w:divBdr>
    </w:div>
    <w:div w:id="96778610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0409180">
      <w:bodyDiv w:val="1"/>
      <w:marLeft w:val="0"/>
      <w:marRight w:val="0"/>
      <w:marTop w:val="0"/>
      <w:marBottom w:val="0"/>
      <w:divBdr>
        <w:top w:val="none" w:sz="0" w:space="0" w:color="auto"/>
        <w:left w:val="none" w:sz="0" w:space="0" w:color="auto"/>
        <w:bottom w:val="none" w:sz="0" w:space="0" w:color="auto"/>
        <w:right w:val="none" w:sz="0" w:space="0" w:color="auto"/>
      </w:divBdr>
    </w:div>
    <w:div w:id="998776135">
      <w:bodyDiv w:val="1"/>
      <w:marLeft w:val="0"/>
      <w:marRight w:val="0"/>
      <w:marTop w:val="0"/>
      <w:marBottom w:val="0"/>
      <w:divBdr>
        <w:top w:val="none" w:sz="0" w:space="0" w:color="auto"/>
        <w:left w:val="none" w:sz="0" w:space="0" w:color="auto"/>
        <w:bottom w:val="none" w:sz="0" w:space="0" w:color="auto"/>
        <w:right w:val="none" w:sz="0" w:space="0" w:color="auto"/>
      </w:divBdr>
    </w:div>
    <w:div w:id="100270710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7023827">
      <w:bodyDiv w:val="1"/>
      <w:marLeft w:val="0"/>
      <w:marRight w:val="0"/>
      <w:marTop w:val="0"/>
      <w:marBottom w:val="0"/>
      <w:divBdr>
        <w:top w:val="none" w:sz="0" w:space="0" w:color="auto"/>
        <w:left w:val="none" w:sz="0" w:space="0" w:color="auto"/>
        <w:bottom w:val="none" w:sz="0" w:space="0" w:color="auto"/>
        <w:right w:val="none" w:sz="0" w:space="0" w:color="auto"/>
      </w:divBdr>
    </w:div>
    <w:div w:id="103712556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4863920">
      <w:bodyDiv w:val="1"/>
      <w:marLeft w:val="0"/>
      <w:marRight w:val="0"/>
      <w:marTop w:val="0"/>
      <w:marBottom w:val="0"/>
      <w:divBdr>
        <w:top w:val="none" w:sz="0" w:space="0" w:color="auto"/>
        <w:left w:val="none" w:sz="0" w:space="0" w:color="auto"/>
        <w:bottom w:val="none" w:sz="0" w:space="0" w:color="auto"/>
        <w:right w:val="none" w:sz="0" w:space="0" w:color="auto"/>
      </w:divBdr>
    </w:div>
    <w:div w:id="1078092732">
      <w:bodyDiv w:val="1"/>
      <w:marLeft w:val="0"/>
      <w:marRight w:val="0"/>
      <w:marTop w:val="0"/>
      <w:marBottom w:val="0"/>
      <w:divBdr>
        <w:top w:val="none" w:sz="0" w:space="0" w:color="auto"/>
        <w:left w:val="none" w:sz="0" w:space="0" w:color="auto"/>
        <w:bottom w:val="none" w:sz="0" w:space="0" w:color="auto"/>
        <w:right w:val="none" w:sz="0" w:space="0" w:color="auto"/>
      </w:divBdr>
    </w:div>
    <w:div w:id="108726816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2156388">
      <w:bodyDiv w:val="1"/>
      <w:marLeft w:val="0"/>
      <w:marRight w:val="0"/>
      <w:marTop w:val="0"/>
      <w:marBottom w:val="0"/>
      <w:divBdr>
        <w:top w:val="none" w:sz="0" w:space="0" w:color="auto"/>
        <w:left w:val="none" w:sz="0" w:space="0" w:color="auto"/>
        <w:bottom w:val="none" w:sz="0" w:space="0" w:color="auto"/>
        <w:right w:val="none" w:sz="0" w:space="0" w:color="auto"/>
      </w:divBdr>
    </w:div>
    <w:div w:id="1176919034">
      <w:bodyDiv w:val="1"/>
      <w:marLeft w:val="0"/>
      <w:marRight w:val="0"/>
      <w:marTop w:val="0"/>
      <w:marBottom w:val="0"/>
      <w:divBdr>
        <w:top w:val="none" w:sz="0" w:space="0" w:color="auto"/>
        <w:left w:val="none" w:sz="0" w:space="0" w:color="auto"/>
        <w:bottom w:val="none" w:sz="0" w:space="0" w:color="auto"/>
        <w:right w:val="none" w:sz="0" w:space="0" w:color="auto"/>
      </w:divBdr>
    </w:div>
    <w:div w:id="1221596783">
      <w:bodyDiv w:val="1"/>
      <w:marLeft w:val="0"/>
      <w:marRight w:val="0"/>
      <w:marTop w:val="0"/>
      <w:marBottom w:val="0"/>
      <w:divBdr>
        <w:top w:val="none" w:sz="0" w:space="0" w:color="auto"/>
        <w:left w:val="none" w:sz="0" w:space="0" w:color="auto"/>
        <w:bottom w:val="none" w:sz="0" w:space="0" w:color="auto"/>
        <w:right w:val="none" w:sz="0" w:space="0" w:color="auto"/>
      </w:divBdr>
    </w:div>
    <w:div w:id="1237937720">
      <w:bodyDiv w:val="1"/>
      <w:marLeft w:val="0"/>
      <w:marRight w:val="0"/>
      <w:marTop w:val="0"/>
      <w:marBottom w:val="0"/>
      <w:divBdr>
        <w:top w:val="none" w:sz="0" w:space="0" w:color="auto"/>
        <w:left w:val="none" w:sz="0" w:space="0" w:color="auto"/>
        <w:bottom w:val="none" w:sz="0" w:space="0" w:color="auto"/>
        <w:right w:val="none" w:sz="0" w:space="0" w:color="auto"/>
      </w:divBdr>
    </w:div>
    <w:div w:id="1250193694">
      <w:bodyDiv w:val="1"/>
      <w:marLeft w:val="0"/>
      <w:marRight w:val="0"/>
      <w:marTop w:val="0"/>
      <w:marBottom w:val="0"/>
      <w:divBdr>
        <w:top w:val="none" w:sz="0" w:space="0" w:color="auto"/>
        <w:left w:val="none" w:sz="0" w:space="0" w:color="auto"/>
        <w:bottom w:val="none" w:sz="0" w:space="0" w:color="auto"/>
        <w:right w:val="none" w:sz="0" w:space="0" w:color="auto"/>
      </w:divBdr>
    </w:div>
    <w:div w:id="1261061058">
      <w:bodyDiv w:val="1"/>
      <w:marLeft w:val="0"/>
      <w:marRight w:val="0"/>
      <w:marTop w:val="0"/>
      <w:marBottom w:val="0"/>
      <w:divBdr>
        <w:top w:val="none" w:sz="0" w:space="0" w:color="auto"/>
        <w:left w:val="none" w:sz="0" w:space="0" w:color="auto"/>
        <w:bottom w:val="none" w:sz="0" w:space="0" w:color="auto"/>
        <w:right w:val="none" w:sz="0" w:space="0" w:color="auto"/>
      </w:divBdr>
    </w:div>
    <w:div w:id="1279021476">
      <w:bodyDiv w:val="1"/>
      <w:marLeft w:val="0"/>
      <w:marRight w:val="0"/>
      <w:marTop w:val="0"/>
      <w:marBottom w:val="0"/>
      <w:divBdr>
        <w:top w:val="none" w:sz="0" w:space="0" w:color="auto"/>
        <w:left w:val="none" w:sz="0" w:space="0" w:color="auto"/>
        <w:bottom w:val="none" w:sz="0" w:space="0" w:color="auto"/>
        <w:right w:val="none" w:sz="0" w:space="0" w:color="auto"/>
      </w:divBdr>
    </w:div>
    <w:div w:id="1306009605">
      <w:bodyDiv w:val="1"/>
      <w:marLeft w:val="0"/>
      <w:marRight w:val="0"/>
      <w:marTop w:val="0"/>
      <w:marBottom w:val="0"/>
      <w:divBdr>
        <w:top w:val="none" w:sz="0" w:space="0" w:color="auto"/>
        <w:left w:val="none" w:sz="0" w:space="0" w:color="auto"/>
        <w:bottom w:val="none" w:sz="0" w:space="0" w:color="auto"/>
        <w:right w:val="none" w:sz="0" w:space="0" w:color="auto"/>
      </w:divBdr>
    </w:div>
    <w:div w:id="1344016973">
      <w:bodyDiv w:val="1"/>
      <w:marLeft w:val="0"/>
      <w:marRight w:val="0"/>
      <w:marTop w:val="0"/>
      <w:marBottom w:val="0"/>
      <w:divBdr>
        <w:top w:val="none" w:sz="0" w:space="0" w:color="auto"/>
        <w:left w:val="none" w:sz="0" w:space="0" w:color="auto"/>
        <w:bottom w:val="none" w:sz="0" w:space="0" w:color="auto"/>
        <w:right w:val="none" w:sz="0" w:space="0" w:color="auto"/>
      </w:divBdr>
    </w:div>
    <w:div w:id="1365598665">
      <w:bodyDiv w:val="1"/>
      <w:marLeft w:val="0"/>
      <w:marRight w:val="0"/>
      <w:marTop w:val="0"/>
      <w:marBottom w:val="0"/>
      <w:divBdr>
        <w:top w:val="none" w:sz="0" w:space="0" w:color="auto"/>
        <w:left w:val="none" w:sz="0" w:space="0" w:color="auto"/>
        <w:bottom w:val="none" w:sz="0" w:space="0" w:color="auto"/>
        <w:right w:val="none" w:sz="0" w:space="0" w:color="auto"/>
      </w:divBdr>
    </w:div>
    <w:div w:id="1371807519">
      <w:bodyDiv w:val="1"/>
      <w:marLeft w:val="0"/>
      <w:marRight w:val="0"/>
      <w:marTop w:val="0"/>
      <w:marBottom w:val="0"/>
      <w:divBdr>
        <w:top w:val="none" w:sz="0" w:space="0" w:color="auto"/>
        <w:left w:val="none" w:sz="0" w:space="0" w:color="auto"/>
        <w:bottom w:val="none" w:sz="0" w:space="0" w:color="auto"/>
        <w:right w:val="none" w:sz="0" w:space="0" w:color="auto"/>
      </w:divBdr>
    </w:div>
    <w:div w:id="1372194876">
      <w:bodyDiv w:val="1"/>
      <w:marLeft w:val="0"/>
      <w:marRight w:val="0"/>
      <w:marTop w:val="0"/>
      <w:marBottom w:val="0"/>
      <w:divBdr>
        <w:top w:val="none" w:sz="0" w:space="0" w:color="auto"/>
        <w:left w:val="none" w:sz="0" w:space="0" w:color="auto"/>
        <w:bottom w:val="none" w:sz="0" w:space="0" w:color="auto"/>
        <w:right w:val="none" w:sz="0" w:space="0" w:color="auto"/>
      </w:divBdr>
    </w:div>
    <w:div w:id="1377705409">
      <w:bodyDiv w:val="1"/>
      <w:marLeft w:val="0"/>
      <w:marRight w:val="0"/>
      <w:marTop w:val="0"/>
      <w:marBottom w:val="0"/>
      <w:divBdr>
        <w:top w:val="none" w:sz="0" w:space="0" w:color="auto"/>
        <w:left w:val="none" w:sz="0" w:space="0" w:color="auto"/>
        <w:bottom w:val="none" w:sz="0" w:space="0" w:color="auto"/>
        <w:right w:val="none" w:sz="0" w:space="0" w:color="auto"/>
      </w:divBdr>
    </w:div>
    <w:div w:id="1385569122">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3314927">
      <w:bodyDiv w:val="1"/>
      <w:marLeft w:val="0"/>
      <w:marRight w:val="0"/>
      <w:marTop w:val="0"/>
      <w:marBottom w:val="0"/>
      <w:divBdr>
        <w:top w:val="none" w:sz="0" w:space="0" w:color="auto"/>
        <w:left w:val="none" w:sz="0" w:space="0" w:color="auto"/>
        <w:bottom w:val="none" w:sz="0" w:space="0" w:color="auto"/>
        <w:right w:val="none" w:sz="0" w:space="0" w:color="auto"/>
      </w:divBdr>
    </w:div>
    <w:div w:id="1419864811">
      <w:bodyDiv w:val="1"/>
      <w:marLeft w:val="0"/>
      <w:marRight w:val="0"/>
      <w:marTop w:val="0"/>
      <w:marBottom w:val="0"/>
      <w:divBdr>
        <w:top w:val="none" w:sz="0" w:space="0" w:color="auto"/>
        <w:left w:val="none" w:sz="0" w:space="0" w:color="auto"/>
        <w:bottom w:val="none" w:sz="0" w:space="0" w:color="auto"/>
        <w:right w:val="none" w:sz="0" w:space="0" w:color="auto"/>
      </w:divBdr>
    </w:div>
    <w:div w:id="1419909312">
      <w:bodyDiv w:val="1"/>
      <w:marLeft w:val="0"/>
      <w:marRight w:val="0"/>
      <w:marTop w:val="0"/>
      <w:marBottom w:val="0"/>
      <w:divBdr>
        <w:top w:val="none" w:sz="0" w:space="0" w:color="auto"/>
        <w:left w:val="none" w:sz="0" w:space="0" w:color="auto"/>
        <w:bottom w:val="none" w:sz="0" w:space="0" w:color="auto"/>
        <w:right w:val="none" w:sz="0" w:space="0" w:color="auto"/>
      </w:divBdr>
    </w:div>
    <w:div w:id="1438135488">
      <w:bodyDiv w:val="1"/>
      <w:marLeft w:val="0"/>
      <w:marRight w:val="0"/>
      <w:marTop w:val="0"/>
      <w:marBottom w:val="0"/>
      <w:divBdr>
        <w:top w:val="none" w:sz="0" w:space="0" w:color="auto"/>
        <w:left w:val="none" w:sz="0" w:space="0" w:color="auto"/>
        <w:bottom w:val="none" w:sz="0" w:space="0" w:color="auto"/>
        <w:right w:val="none" w:sz="0" w:space="0" w:color="auto"/>
      </w:divBdr>
    </w:div>
    <w:div w:id="1448083601">
      <w:bodyDiv w:val="1"/>
      <w:marLeft w:val="0"/>
      <w:marRight w:val="0"/>
      <w:marTop w:val="0"/>
      <w:marBottom w:val="0"/>
      <w:divBdr>
        <w:top w:val="none" w:sz="0" w:space="0" w:color="auto"/>
        <w:left w:val="none" w:sz="0" w:space="0" w:color="auto"/>
        <w:bottom w:val="none" w:sz="0" w:space="0" w:color="auto"/>
        <w:right w:val="none" w:sz="0" w:space="0" w:color="auto"/>
      </w:divBdr>
    </w:div>
    <w:div w:id="1463109955">
      <w:bodyDiv w:val="1"/>
      <w:marLeft w:val="0"/>
      <w:marRight w:val="0"/>
      <w:marTop w:val="0"/>
      <w:marBottom w:val="0"/>
      <w:divBdr>
        <w:top w:val="none" w:sz="0" w:space="0" w:color="auto"/>
        <w:left w:val="none" w:sz="0" w:space="0" w:color="auto"/>
        <w:bottom w:val="none" w:sz="0" w:space="0" w:color="auto"/>
        <w:right w:val="none" w:sz="0" w:space="0" w:color="auto"/>
      </w:divBdr>
    </w:div>
    <w:div w:id="1485200992">
      <w:bodyDiv w:val="1"/>
      <w:marLeft w:val="0"/>
      <w:marRight w:val="0"/>
      <w:marTop w:val="0"/>
      <w:marBottom w:val="0"/>
      <w:divBdr>
        <w:top w:val="none" w:sz="0" w:space="0" w:color="auto"/>
        <w:left w:val="none" w:sz="0" w:space="0" w:color="auto"/>
        <w:bottom w:val="none" w:sz="0" w:space="0" w:color="auto"/>
        <w:right w:val="none" w:sz="0" w:space="0" w:color="auto"/>
      </w:divBdr>
    </w:div>
    <w:div w:id="1516724228">
      <w:bodyDiv w:val="1"/>
      <w:marLeft w:val="0"/>
      <w:marRight w:val="0"/>
      <w:marTop w:val="0"/>
      <w:marBottom w:val="0"/>
      <w:divBdr>
        <w:top w:val="none" w:sz="0" w:space="0" w:color="auto"/>
        <w:left w:val="none" w:sz="0" w:space="0" w:color="auto"/>
        <w:bottom w:val="none" w:sz="0" w:space="0" w:color="auto"/>
        <w:right w:val="none" w:sz="0" w:space="0" w:color="auto"/>
      </w:divBdr>
    </w:div>
    <w:div w:id="1543981601">
      <w:bodyDiv w:val="1"/>
      <w:marLeft w:val="0"/>
      <w:marRight w:val="0"/>
      <w:marTop w:val="0"/>
      <w:marBottom w:val="0"/>
      <w:divBdr>
        <w:top w:val="none" w:sz="0" w:space="0" w:color="auto"/>
        <w:left w:val="none" w:sz="0" w:space="0" w:color="auto"/>
        <w:bottom w:val="none" w:sz="0" w:space="0" w:color="auto"/>
        <w:right w:val="none" w:sz="0" w:space="0" w:color="auto"/>
      </w:divBdr>
    </w:div>
    <w:div w:id="1546525779">
      <w:bodyDiv w:val="1"/>
      <w:marLeft w:val="0"/>
      <w:marRight w:val="0"/>
      <w:marTop w:val="0"/>
      <w:marBottom w:val="0"/>
      <w:divBdr>
        <w:top w:val="none" w:sz="0" w:space="0" w:color="auto"/>
        <w:left w:val="none" w:sz="0" w:space="0" w:color="auto"/>
        <w:bottom w:val="none" w:sz="0" w:space="0" w:color="auto"/>
        <w:right w:val="none" w:sz="0" w:space="0" w:color="auto"/>
      </w:divBdr>
    </w:div>
    <w:div w:id="1556356752">
      <w:bodyDiv w:val="1"/>
      <w:marLeft w:val="0"/>
      <w:marRight w:val="0"/>
      <w:marTop w:val="0"/>
      <w:marBottom w:val="0"/>
      <w:divBdr>
        <w:top w:val="none" w:sz="0" w:space="0" w:color="auto"/>
        <w:left w:val="none" w:sz="0" w:space="0" w:color="auto"/>
        <w:bottom w:val="none" w:sz="0" w:space="0" w:color="auto"/>
        <w:right w:val="none" w:sz="0" w:space="0" w:color="auto"/>
      </w:divBdr>
    </w:div>
    <w:div w:id="1593195860">
      <w:bodyDiv w:val="1"/>
      <w:marLeft w:val="0"/>
      <w:marRight w:val="0"/>
      <w:marTop w:val="0"/>
      <w:marBottom w:val="0"/>
      <w:divBdr>
        <w:top w:val="none" w:sz="0" w:space="0" w:color="auto"/>
        <w:left w:val="none" w:sz="0" w:space="0" w:color="auto"/>
        <w:bottom w:val="none" w:sz="0" w:space="0" w:color="auto"/>
        <w:right w:val="none" w:sz="0" w:space="0" w:color="auto"/>
      </w:divBdr>
    </w:div>
    <w:div w:id="1611204288">
      <w:bodyDiv w:val="1"/>
      <w:marLeft w:val="0"/>
      <w:marRight w:val="0"/>
      <w:marTop w:val="0"/>
      <w:marBottom w:val="0"/>
      <w:divBdr>
        <w:top w:val="none" w:sz="0" w:space="0" w:color="auto"/>
        <w:left w:val="none" w:sz="0" w:space="0" w:color="auto"/>
        <w:bottom w:val="none" w:sz="0" w:space="0" w:color="auto"/>
        <w:right w:val="none" w:sz="0" w:space="0" w:color="auto"/>
      </w:divBdr>
    </w:div>
    <w:div w:id="1627470000">
      <w:bodyDiv w:val="1"/>
      <w:marLeft w:val="0"/>
      <w:marRight w:val="0"/>
      <w:marTop w:val="0"/>
      <w:marBottom w:val="0"/>
      <w:divBdr>
        <w:top w:val="none" w:sz="0" w:space="0" w:color="auto"/>
        <w:left w:val="none" w:sz="0" w:space="0" w:color="auto"/>
        <w:bottom w:val="none" w:sz="0" w:space="0" w:color="auto"/>
        <w:right w:val="none" w:sz="0" w:space="0" w:color="auto"/>
      </w:divBdr>
    </w:div>
    <w:div w:id="1686401730">
      <w:bodyDiv w:val="1"/>
      <w:marLeft w:val="0"/>
      <w:marRight w:val="0"/>
      <w:marTop w:val="0"/>
      <w:marBottom w:val="0"/>
      <w:divBdr>
        <w:top w:val="none" w:sz="0" w:space="0" w:color="auto"/>
        <w:left w:val="none" w:sz="0" w:space="0" w:color="auto"/>
        <w:bottom w:val="none" w:sz="0" w:space="0" w:color="auto"/>
        <w:right w:val="none" w:sz="0" w:space="0" w:color="auto"/>
      </w:divBdr>
    </w:div>
    <w:div w:id="173408331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6225015">
      <w:bodyDiv w:val="1"/>
      <w:marLeft w:val="0"/>
      <w:marRight w:val="0"/>
      <w:marTop w:val="0"/>
      <w:marBottom w:val="0"/>
      <w:divBdr>
        <w:top w:val="none" w:sz="0" w:space="0" w:color="auto"/>
        <w:left w:val="none" w:sz="0" w:space="0" w:color="auto"/>
        <w:bottom w:val="none" w:sz="0" w:space="0" w:color="auto"/>
        <w:right w:val="none" w:sz="0" w:space="0" w:color="auto"/>
      </w:divBdr>
    </w:div>
    <w:div w:id="1777213349">
      <w:bodyDiv w:val="1"/>
      <w:marLeft w:val="0"/>
      <w:marRight w:val="0"/>
      <w:marTop w:val="0"/>
      <w:marBottom w:val="0"/>
      <w:divBdr>
        <w:top w:val="none" w:sz="0" w:space="0" w:color="auto"/>
        <w:left w:val="none" w:sz="0" w:space="0" w:color="auto"/>
        <w:bottom w:val="none" w:sz="0" w:space="0" w:color="auto"/>
        <w:right w:val="none" w:sz="0" w:space="0" w:color="auto"/>
      </w:divBdr>
    </w:div>
    <w:div w:id="1779254028">
      <w:bodyDiv w:val="1"/>
      <w:marLeft w:val="0"/>
      <w:marRight w:val="0"/>
      <w:marTop w:val="0"/>
      <w:marBottom w:val="0"/>
      <w:divBdr>
        <w:top w:val="none" w:sz="0" w:space="0" w:color="auto"/>
        <w:left w:val="none" w:sz="0" w:space="0" w:color="auto"/>
        <w:bottom w:val="none" w:sz="0" w:space="0" w:color="auto"/>
        <w:right w:val="none" w:sz="0" w:space="0" w:color="auto"/>
      </w:divBdr>
    </w:div>
    <w:div w:id="1781997822">
      <w:bodyDiv w:val="1"/>
      <w:marLeft w:val="0"/>
      <w:marRight w:val="0"/>
      <w:marTop w:val="0"/>
      <w:marBottom w:val="0"/>
      <w:divBdr>
        <w:top w:val="none" w:sz="0" w:space="0" w:color="auto"/>
        <w:left w:val="none" w:sz="0" w:space="0" w:color="auto"/>
        <w:bottom w:val="none" w:sz="0" w:space="0" w:color="auto"/>
        <w:right w:val="none" w:sz="0" w:space="0" w:color="auto"/>
      </w:divBdr>
    </w:div>
    <w:div w:id="1782987899">
      <w:bodyDiv w:val="1"/>
      <w:marLeft w:val="0"/>
      <w:marRight w:val="0"/>
      <w:marTop w:val="0"/>
      <w:marBottom w:val="0"/>
      <w:divBdr>
        <w:top w:val="none" w:sz="0" w:space="0" w:color="auto"/>
        <w:left w:val="none" w:sz="0" w:space="0" w:color="auto"/>
        <w:bottom w:val="none" w:sz="0" w:space="0" w:color="auto"/>
        <w:right w:val="none" w:sz="0" w:space="0" w:color="auto"/>
      </w:divBdr>
    </w:div>
    <w:div w:id="1893039064">
      <w:bodyDiv w:val="1"/>
      <w:marLeft w:val="0"/>
      <w:marRight w:val="0"/>
      <w:marTop w:val="0"/>
      <w:marBottom w:val="0"/>
      <w:divBdr>
        <w:top w:val="none" w:sz="0" w:space="0" w:color="auto"/>
        <w:left w:val="none" w:sz="0" w:space="0" w:color="auto"/>
        <w:bottom w:val="none" w:sz="0" w:space="0" w:color="auto"/>
        <w:right w:val="none" w:sz="0" w:space="0" w:color="auto"/>
      </w:divBdr>
    </w:div>
    <w:div w:id="196341499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753785">
      <w:bodyDiv w:val="1"/>
      <w:marLeft w:val="0"/>
      <w:marRight w:val="0"/>
      <w:marTop w:val="0"/>
      <w:marBottom w:val="0"/>
      <w:divBdr>
        <w:top w:val="none" w:sz="0" w:space="0" w:color="auto"/>
        <w:left w:val="none" w:sz="0" w:space="0" w:color="auto"/>
        <w:bottom w:val="none" w:sz="0" w:space="0" w:color="auto"/>
        <w:right w:val="none" w:sz="0" w:space="0" w:color="auto"/>
      </w:divBdr>
    </w:div>
    <w:div w:id="2084640883">
      <w:bodyDiv w:val="1"/>
      <w:marLeft w:val="0"/>
      <w:marRight w:val="0"/>
      <w:marTop w:val="0"/>
      <w:marBottom w:val="0"/>
      <w:divBdr>
        <w:top w:val="none" w:sz="0" w:space="0" w:color="auto"/>
        <w:left w:val="none" w:sz="0" w:space="0" w:color="auto"/>
        <w:bottom w:val="none" w:sz="0" w:space="0" w:color="auto"/>
        <w:right w:val="none" w:sz="0" w:space="0" w:color="auto"/>
      </w:divBdr>
    </w:div>
    <w:div w:id="208830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7/0022-3514.50.3.559" TargetMode="External"/><Relationship Id="rId21" Type="http://schemas.openxmlformats.org/officeDocument/2006/relationships/hyperlink" Target="https://doi.org/10.1016/j.jesp.2009.06.006" TargetMode="External"/><Relationship Id="rId42" Type="http://schemas.openxmlformats.org/officeDocument/2006/relationships/hyperlink" Target="https://doi.org/10.1177/147470491501300206" TargetMode="External"/><Relationship Id="rId47" Type="http://schemas.openxmlformats.org/officeDocument/2006/relationships/hyperlink" Target="https://doi.org/10.1016/S2468-2667(22)00045-0" TargetMode="External"/><Relationship Id="rId63" Type="http://schemas.openxmlformats.org/officeDocument/2006/relationships/hyperlink" Target="https://doi.org/10.1177/0146167209341580" TargetMode="External"/><Relationship Id="rId68" Type="http://schemas.openxmlformats.org/officeDocument/2006/relationships/hyperlink" Target="https://doi.org/10.1177/14747049221079286" TargetMode="External"/><Relationship Id="rId16" Type="http://schemas.openxmlformats.org/officeDocument/2006/relationships/image" Target="media/image3.png"/><Relationship Id="rId11" Type="http://schemas.openxmlformats.org/officeDocument/2006/relationships/footer" Target="footer2.xml"/><Relationship Id="rId24" Type="http://schemas.openxmlformats.org/officeDocument/2006/relationships/hyperlink" Target="https://doi.org/10.1556/JEP.7.2009.1.5" TargetMode="External"/><Relationship Id="rId32" Type="http://schemas.openxmlformats.org/officeDocument/2006/relationships/hyperlink" Target="https://doi.org/10.1126/science.327542" TargetMode="External"/><Relationship Id="rId37" Type="http://schemas.openxmlformats.org/officeDocument/2006/relationships/hyperlink" Target="https://doi.org/10.1111/j.1365-2796.2009.02082.x" TargetMode="External"/><Relationship Id="rId40" Type="http://schemas.openxmlformats.org/officeDocument/2006/relationships/hyperlink" Target="https://doi.org/10.1016/j.neubiorev.2018.08.011" TargetMode="External"/><Relationship Id="rId45" Type="http://schemas.openxmlformats.org/officeDocument/2006/relationships/hyperlink" Target="https://doi.org/10.1046/j.1360-0443.2001.961575.x" TargetMode="External"/><Relationship Id="rId53" Type="http://schemas.openxmlformats.org/officeDocument/2006/relationships/hyperlink" Target="https://doi.org/10.1002/bdm.2222" TargetMode="External"/><Relationship Id="rId58" Type="http://schemas.openxmlformats.org/officeDocument/2006/relationships/hyperlink" Target="https://doi.org/10.1016/S0140-6736(09)60746-7" TargetMode="External"/><Relationship Id="rId66" Type="http://schemas.openxmlformats.org/officeDocument/2006/relationships/hyperlink" Target="https://doi.org/10.1037/pha0000020" TargetMode="External"/><Relationship Id="rId74"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doi.org/10.1097/YCO.0000000000000850" TargetMode="External"/><Relationship Id="rId19" Type="http://schemas.openxmlformats.org/officeDocument/2006/relationships/hyperlink" Target="https://doi.org/10.1556/JEP.12.2014.1.3" TargetMode="External"/><Relationship Id="rId14" Type="http://schemas.openxmlformats.org/officeDocument/2006/relationships/image" Target="media/image1.png"/><Relationship Id="rId22" Type="http://schemas.openxmlformats.org/officeDocument/2006/relationships/hyperlink" Target="https://doi.org/10.1016/j.drugalcdep.2014.10.024" TargetMode="External"/><Relationship Id="rId27" Type="http://schemas.openxmlformats.org/officeDocument/2006/relationships/hyperlink" Target="https://doi.org/10.1111/1467-6494.00053" TargetMode="External"/><Relationship Id="rId30" Type="http://schemas.openxmlformats.org/officeDocument/2006/relationships/hyperlink" Target="https://doi.org/10.1002/9780470713129.CH6" TargetMode="External"/><Relationship Id="rId35" Type="http://schemas.openxmlformats.org/officeDocument/2006/relationships/hyperlink" Target="https://doi.org/10.1016/j.drugalcdep.2010.05.011" TargetMode="External"/><Relationship Id="rId43" Type="http://schemas.openxmlformats.org/officeDocument/2006/relationships/hyperlink" Target="https://doi.org/10.1037/0033-295X.115.1.186" TargetMode="External"/><Relationship Id="rId48" Type="http://schemas.openxmlformats.org/officeDocument/2006/relationships/hyperlink" Target="https://doi.org/10.1097/FBP.0b013e32833113a3" TargetMode="External"/><Relationship Id="rId56" Type="http://schemas.openxmlformats.org/officeDocument/2006/relationships/hyperlink" Target="https://doi.org/10.1016/j.addbeh.2009.04.015" TargetMode="External"/><Relationship Id="rId64" Type="http://schemas.openxmlformats.org/officeDocument/2006/relationships/hyperlink" Target="https://doi.org/10.1037/0022-3514.58.5.918" TargetMode="External"/><Relationship Id="rId69" Type="http://schemas.openxmlformats.org/officeDocument/2006/relationships/hyperlink" Target="https://doi.org/10.1002/9780470976739.ch20" TargetMode="Externa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1016/j.cpr.2005.05.004" TargetMode="Externa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37/0022-3514.54.4.616" TargetMode="External"/><Relationship Id="rId33" Type="http://schemas.openxmlformats.org/officeDocument/2006/relationships/hyperlink" Target="https://doi.org/10.1037/a0022607" TargetMode="External"/><Relationship Id="rId38" Type="http://schemas.openxmlformats.org/officeDocument/2006/relationships/hyperlink" Target="https://doi.org/10.1037/ebs0000153" TargetMode="External"/><Relationship Id="rId46" Type="http://schemas.openxmlformats.org/officeDocument/2006/relationships/hyperlink" Target="https://doi.org/10.1007/978-94-015-9725-8_1" TargetMode="External"/><Relationship Id="rId59" Type="http://schemas.openxmlformats.org/officeDocument/2006/relationships/hyperlink" Target="https://doi.org/10.1046/j.1360-0443.2003.00467.x" TargetMode="External"/><Relationship Id="rId67" Type="http://schemas.openxmlformats.org/officeDocument/2006/relationships/hyperlink" Target="https://doi.org/10.1177/147470491201000508" TargetMode="External"/><Relationship Id="rId20" Type="http://schemas.openxmlformats.org/officeDocument/2006/relationships/hyperlink" Target="https://doi.org/10.1016/j.physbeh.2018.01.007" TargetMode="External"/><Relationship Id="rId41" Type="http://schemas.openxmlformats.org/officeDocument/2006/relationships/hyperlink" Target="https://doi.org/10.1177/147470491301100413" TargetMode="External"/><Relationship Id="rId54" Type="http://schemas.openxmlformats.org/officeDocument/2006/relationships/hyperlink" Target="https://doi.org/10.1080/09595230500293845" TargetMode="External"/><Relationship Id="rId62" Type="http://schemas.openxmlformats.org/officeDocument/2006/relationships/hyperlink" Target="https://doi.org/10.1111/acer.13112" TargetMode="External"/><Relationship Id="rId70" Type="http://schemas.openxmlformats.org/officeDocument/2006/relationships/hyperlink" Target="https://www.who.int/publications/i/item/9789240058731" TargetMode="External"/><Relationship Id="rId75"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doi.org/10.1093/alcalc/agl060" TargetMode="External"/><Relationship Id="rId28" Type="http://schemas.openxmlformats.org/officeDocument/2006/relationships/hyperlink" Target="https://doi.org/10.1037/1040-3590.6.2.117" TargetMode="External"/><Relationship Id="rId36" Type="http://schemas.openxmlformats.org/officeDocument/2006/relationships/hyperlink" Target="https://psycnet.apa.org/doi/10.1037/0022-3514.93.1.85" TargetMode="External"/><Relationship Id="rId49" Type="http://schemas.openxmlformats.org/officeDocument/2006/relationships/hyperlink" Target="https://doi.org/10.1590/s1516-44462004000500003" TargetMode="External"/><Relationship Id="rId57" Type="http://schemas.openxmlformats.org/officeDocument/2006/relationships/hyperlink" Target="https://doi.org/10.1093/alcalc/agh238" TargetMode="External"/><Relationship Id="rId10" Type="http://schemas.openxmlformats.org/officeDocument/2006/relationships/footer" Target="footer1.xml"/><Relationship Id="rId31" Type="http://schemas.openxmlformats.org/officeDocument/2006/relationships/hyperlink" Target="https://doi.org/10.1016/j.addbeh.2014.02.005" TargetMode="External"/><Relationship Id="rId44" Type="http://schemas.openxmlformats.org/officeDocument/2006/relationships/hyperlink" Target="https://doi.org/10.1037/1064-1297.7.4.412" TargetMode="External"/><Relationship Id="rId52" Type="http://schemas.openxmlformats.org/officeDocument/2006/relationships/hyperlink" Target="https://doi.org/10.1037/1064-1297.14.2.219" TargetMode="External"/><Relationship Id="rId60" Type="http://schemas.openxmlformats.org/officeDocument/2006/relationships/hyperlink" Target="https://doi.org/10.1093/beheco/arr106" TargetMode="External"/><Relationship Id="rId65" Type="http://schemas.openxmlformats.org/officeDocument/2006/relationships/hyperlink" Target="https://doi.org/10.5888/pcd11.130293" TargetMode="External"/><Relationship Id="rId73"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111/j.1530-0277.2011.01656.x" TargetMode="External"/><Relationship Id="rId39" Type="http://schemas.openxmlformats.org/officeDocument/2006/relationships/hyperlink" Target="https://doi.org/10.1177/1359105317692145" TargetMode="External"/><Relationship Id="rId34" Type="http://schemas.openxmlformats.org/officeDocument/2006/relationships/hyperlink" Target="https://doi.org/10.1007/s12144-014-9221-x" TargetMode="External"/><Relationship Id="rId50" Type="http://schemas.openxmlformats.org/officeDocument/2006/relationships/hyperlink" Target="https://doi.org/10.1176/appi.ajp.158.11.1783" TargetMode="External"/><Relationship Id="rId55" Type="http://schemas.openxmlformats.org/officeDocument/2006/relationships/hyperlink" Target="https://doi.org/10.1509/jmr.15.0247"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5288/jsad.2013.74.626" TargetMode="External"/><Relationship Id="rId2" Type="http://schemas.openxmlformats.org/officeDocument/2006/relationships/numbering" Target="numbering.xml"/><Relationship Id="rId29" Type="http://schemas.openxmlformats.org/officeDocument/2006/relationships/hyperlink" Target="https://doi.org/10.1037/0021-843X.97.2.1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020A0-7169-4F11-8274-E4E15AEC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143</TotalTime>
  <Pages>13</Pages>
  <Words>6649</Words>
  <Characters>37903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44464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Antonas Dembickis</cp:lastModifiedBy>
  <cp:revision>21</cp:revision>
  <cp:lastPrinted>1999-07-06T11:00:00Z</cp:lastPrinted>
  <dcterms:created xsi:type="dcterms:W3CDTF">2025-04-25T19:19:00Z</dcterms:created>
  <dcterms:modified xsi:type="dcterms:W3CDTF">2025-05-08T10:54:00Z</dcterms:modified>
</cp:coreProperties>
</file>