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3CE37" w14:textId="77777777" w:rsidR="004439B0" w:rsidRDefault="004439B0" w:rsidP="002A4072">
      <w:pPr>
        <w:pStyle w:val="Author"/>
        <w:spacing w:line="240" w:lineRule="auto"/>
        <w:rPr>
          <w:rFonts w:ascii="Arial" w:hAnsi="Arial" w:cs="Arial"/>
          <w:bCs/>
          <w:iCs/>
          <w:kern w:val="28"/>
          <w:sz w:val="32"/>
          <w:szCs w:val="32"/>
        </w:rPr>
      </w:pPr>
      <w:r w:rsidRPr="004439B0">
        <w:rPr>
          <w:rFonts w:ascii="Arial" w:hAnsi="Arial" w:cs="Arial"/>
          <w:bCs/>
          <w:iCs/>
          <w:kern w:val="28"/>
          <w:sz w:val="32"/>
          <w:szCs w:val="32"/>
        </w:rPr>
        <w:t>Original Research Article</w:t>
      </w:r>
    </w:p>
    <w:p w14:paraId="0623C274" w14:textId="77777777" w:rsidR="004439B0" w:rsidRDefault="004439B0" w:rsidP="002A4072">
      <w:pPr>
        <w:pStyle w:val="Author"/>
        <w:spacing w:line="240" w:lineRule="auto"/>
        <w:rPr>
          <w:rFonts w:ascii="Arial" w:hAnsi="Arial" w:cs="Arial"/>
          <w:bCs/>
          <w:iCs/>
          <w:kern w:val="28"/>
          <w:sz w:val="32"/>
          <w:szCs w:val="32"/>
        </w:rPr>
      </w:pPr>
    </w:p>
    <w:p w14:paraId="2DA02EB2" w14:textId="79B0905E" w:rsidR="00163BC4" w:rsidRPr="002A4072" w:rsidRDefault="00926683" w:rsidP="002A4072">
      <w:pPr>
        <w:pStyle w:val="Author"/>
        <w:spacing w:line="240" w:lineRule="auto"/>
        <w:rPr>
          <w:rFonts w:ascii="Arial" w:hAnsi="Arial" w:cs="Arial"/>
          <w:bCs/>
          <w:iCs/>
          <w:kern w:val="28"/>
          <w:sz w:val="32"/>
          <w:szCs w:val="32"/>
        </w:rPr>
      </w:pPr>
      <w:r w:rsidRPr="00926683">
        <w:rPr>
          <w:rFonts w:ascii="Arial" w:hAnsi="Arial" w:cs="Arial"/>
          <w:bCs/>
          <w:iCs/>
          <w:kern w:val="28"/>
          <w:sz w:val="32"/>
          <w:szCs w:val="32"/>
          <w:highlight w:val="yellow"/>
        </w:rPr>
        <w:t xml:space="preserve">Antibiotic Sensitivity Profile of </w:t>
      </w:r>
      <w:r w:rsidRPr="00926683">
        <w:rPr>
          <w:rFonts w:ascii="Arial" w:hAnsi="Arial" w:cs="Arial"/>
          <w:bCs/>
          <w:iCs/>
          <w:kern w:val="28"/>
          <w:sz w:val="32"/>
          <w:szCs w:val="32"/>
          <w:highlight w:val="yellow"/>
        </w:rPr>
        <w:t>Catheter-Associated</w:t>
      </w:r>
      <w:r w:rsidRPr="00926683">
        <w:rPr>
          <w:rFonts w:ascii="Arial" w:hAnsi="Arial" w:cs="Arial"/>
          <w:bCs/>
          <w:iCs/>
          <w:kern w:val="28"/>
          <w:sz w:val="32"/>
          <w:szCs w:val="32"/>
          <w:highlight w:val="yellow"/>
        </w:rPr>
        <w:t xml:space="preserve"> Urinary Tract Infection</w:t>
      </w:r>
      <w:r w:rsidRPr="00926683">
        <w:rPr>
          <w:rFonts w:ascii="Arial" w:hAnsi="Arial" w:cs="Arial"/>
          <w:bCs/>
          <w:iCs/>
          <w:kern w:val="28"/>
          <w:sz w:val="32"/>
          <w:szCs w:val="32"/>
          <w:highlight w:val="yellow"/>
        </w:rPr>
        <w:t xml:space="preserve"> </w:t>
      </w:r>
      <w:r w:rsidRPr="00926683">
        <w:rPr>
          <w:rFonts w:ascii="Arial" w:hAnsi="Arial" w:cs="Arial"/>
          <w:bCs/>
          <w:iCs/>
          <w:kern w:val="28"/>
          <w:sz w:val="32"/>
          <w:szCs w:val="32"/>
          <w:highlight w:val="yellow"/>
        </w:rPr>
        <w:t xml:space="preserve">at Hasan </w:t>
      </w:r>
      <w:proofErr w:type="spellStart"/>
      <w:r w:rsidRPr="00926683">
        <w:rPr>
          <w:rFonts w:ascii="Arial" w:hAnsi="Arial" w:cs="Arial"/>
          <w:bCs/>
          <w:iCs/>
          <w:kern w:val="28"/>
          <w:sz w:val="32"/>
          <w:szCs w:val="32"/>
          <w:highlight w:val="yellow"/>
        </w:rPr>
        <w:t>Sadikin</w:t>
      </w:r>
      <w:proofErr w:type="spellEnd"/>
      <w:r w:rsidRPr="00926683">
        <w:rPr>
          <w:rFonts w:ascii="Arial" w:hAnsi="Arial" w:cs="Arial"/>
          <w:bCs/>
          <w:iCs/>
          <w:kern w:val="28"/>
          <w:sz w:val="32"/>
          <w:szCs w:val="32"/>
          <w:highlight w:val="yellow"/>
        </w:rPr>
        <w:t xml:space="preserve"> Hospital, Bandung, Indonesia</w:t>
      </w:r>
    </w:p>
    <w:p w14:paraId="752C3468" w14:textId="77777777" w:rsidR="00A258C3" w:rsidRPr="002A4072" w:rsidRDefault="00A258C3" w:rsidP="00441B6F">
      <w:pPr>
        <w:pStyle w:val="Author"/>
        <w:spacing w:line="240" w:lineRule="auto"/>
        <w:jc w:val="both"/>
        <w:rPr>
          <w:rFonts w:ascii="Arial" w:hAnsi="Arial" w:cs="Arial"/>
          <w:sz w:val="20"/>
        </w:rPr>
      </w:pPr>
    </w:p>
    <w:p w14:paraId="33E1AD8D" w14:textId="566993FE"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B5F681E" w14:textId="77777777" w:rsidR="008016CD" w:rsidRPr="00FB3A86" w:rsidRDefault="008016C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173F787" w14:textId="77777777" w:rsidTr="001E44FE">
        <w:tc>
          <w:tcPr>
            <w:tcW w:w="9576" w:type="dxa"/>
            <w:shd w:val="clear" w:color="auto" w:fill="F2F2F2"/>
          </w:tcPr>
          <w:p w14:paraId="6551E2BA" w14:textId="000466AA" w:rsidR="00505F06" w:rsidRPr="00E84ACD" w:rsidRDefault="008016CD" w:rsidP="00EC2624">
            <w:pPr>
              <w:pStyle w:val="Body"/>
              <w:rPr>
                <w:rFonts w:ascii="Arial" w:eastAsia="Calibri" w:hAnsi="Arial" w:cs="Arial"/>
                <w:szCs w:val="22"/>
                <w:lang w:val="en-ID"/>
              </w:rPr>
            </w:pPr>
            <w:r w:rsidRPr="008016CD">
              <w:rPr>
                <w:rFonts w:ascii="Arial" w:eastAsia="Calibri" w:hAnsi="Arial" w:cs="Arial"/>
                <w:b/>
                <w:bCs/>
                <w:szCs w:val="22"/>
              </w:rPr>
              <w:t>Background</w:t>
            </w:r>
            <w:r w:rsidRPr="008016CD">
              <w:rPr>
                <w:rFonts w:ascii="Arial" w:eastAsia="Calibri" w:hAnsi="Arial" w:cs="Arial"/>
                <w:szCs w:val="22"/>
              </w:rPr>
              <w:t>:</w:t>
            </w:r>
            <w:r>
              <w:rPr>
                <w:rFonts w:ascii="Arial" w:eastAsia="Calibri" w:hAnsi="Arial" w:cs="Arial"/>
                <w:szCs w:val="22"/>
              </w:rPr>
              <w:t xml:space="preserve"> </w:t>
            </w:r>
            <w:r w:rsidRPr="008016CD">
              <w:rPr>
                <w:rFonts w:ascii="Arial" w:eastAsia="Calibri" w:hAnsi="Arial" w:cs="Arial"/>
                <w:szCs w:val="22"/>
              </w:rPr>
              <w:t xml:space="preserve">Urinary tract infections are the most common type of healthcare-associated infection, accounting for </w:t>
            </w:r>
            <w:r w:rsidRPr="00926683">
              <w:rPr>
                <w:rFonts w:ascii="Arial" w:eastAsia="Calibri" w:hAnsi="Arial" w:cs="Arial"/>
                <w:szCs w:val="22"/>
                <w:highlight w:val="yellow"/>
              </w:rPr>
              <w:t>more than 30%</w:t>
            </w:r>
            <w:r w:rsidR="00926683" w:rsidRPr="00926683">
              <w:rPr>
                <w:rFonts w:ascii="Arial" w:eastAsia="Calibri" w:hAnsi="Arial" w:cs="Arial"/>
                <w:szCs w:val="22"/>
                <w:highlight w:val="yellow"/>
              </w:rPr>
              <w:t xml:space="preserve"> </w:t>
            </w:r>
            <w:r w:rsidRPr="00926683">
              <w:rPr>
                <w:rFonts w:ascii="Arial" w:eastAsia="Calibri" w:hAnsi="Arial" w:cs="Arial"/>
                <w:szCs w:val="22"/>
                <w:highlight w:val="yellow"/>
              </w:rPr>
              <w:t>reported by acute</w:t>
            </w:r>
            <w:r w:rsidRPr="008016CD">
              <w:rPr>
                <w:rFonts w:ascii="Arial" w:eastAsia="Calibri" w:hAnsi="Arial" w:cs="Arial"/>
                <w:szCs w:val="22"/>
              </w:rPr>
              <w:t xml:space="preserve"> care hospitals. Virtually all healthcare-associated UTIs are caused by instrumentation of the urinary tract. Catheter-associated urinary tract infection (CAUTI) has been associated with increased morbidity, mortality, hospital </w:t>
            </w:r>
            <w:r>
              <w:rPr>
                <w:rFonts w:ascii="Arial" w:eastAsia="Calibri" w:hAnsi="Arial" w:cs="Arial"/>
                <w:szCs w:val="22"/>
              </w:rPr>
              <w:t>costs</w:t>
            </w:r>
            <w:r w:rsidRPr="008016CD">
              <w:rPr>
                <w:rFonts w:ascii="Arial" w:eastAsia="Calibri" w:hAnsi="Arial" w:cs="Arial"/>
                <w:szCs w:val="22"/>
              </w:rPr>
              <w:t xml:space="preserve">, and length of stay. In addition, bacteriuria commonly leads to unnecessary antimicrobial use. </w:t>
            </w:r>
            <w:r w:rsidRPr="00926683">
              <w:rPr>
                <w:rFonts w:ascii="Arial" w:eastAsia="Calibri" w:hAnsi="Arial" w:cs="Arial"/>
                <w:szCs w:val="22"/>
                <w:highlight w:val="yellow"/>
              </w:rPr>
              <w:t xml:space="preserve">Understanding the patient profile is initial data that is important in case </w:t>
            </w:r>
            <w:r w:rsidR="00926683" w:rsidRPr="00926683">
              <w:rPr>
                <w:rFonts w:ascii="Arial" w:eastAsia="Calibri" w:hAnsi="Arial" w:cs="Arial"/>
                <w:szCs w:val="22"/>
                <w:highlight w:val="yellow"/>
              </w:rPr>
              <w:t xml:space="preserve">of </w:t>
            </w:r>
            <w:r w:rsidRPr="00926683">
              <w:rPr>
                <w:rFonts w:ascii="Arial" w:eastAsia="Calibri" w:hAnsi="Arial" w:cs="Arial"/>
                <w:szCs w:val="22"/>
                <w:highlight w:val="yellow"/>
              </w:rPr>
              <w:t xml:space="preserve">CAUTI for future research. </w:t>
            </w:r>
            <w:r w:rsidRPr="00926683">
              <w:rPr>
                <w:rFonts w:ascii="Arial" w:eastAsia="Calibri" w:hAnsi="Arial" w:cs="Arial"/>
                <w:b/>
                <w:bCs/>
                <w:szCs w:val="22"/>
                <w:highlight w:val="yellow"/>
              </w:rPr>
              <w:t>Aim</w:t>
            </w:r>
            <w:r w:rsidRPr="00926683">
              <w:rPr>
                <w:rFonts w:ascii="Arial" w:eastAsia="Calibri" w:hAnsi="Arial" w:cs="Arial"/>
                <w:szCs w:val="22"/>
                <w:highlight w:val="yellow"/>
              </w:rPr>
              <w:t>: To find the antibiotic resistance pattern of bacterial infection of urinary</w:t>
            </w:r>
            <w:r w:rsidRPr="008016CD">
              <w:rPr>
                <w:rFonts w:ascii="Arial" w:eastAsia="Calibri" w:hAnsi="Arial" w:cs="Arial"/>
                <w:szCs w:val="22"/>
              </w:rPr>
              <w:t xml:space="preserve"> Tract Infection associated with catheterization in Hasan </w:t>
            </w:r>
            <w:proofErr w:type="spellStart"/>
            <w:r w:rsidRPr="008016CD">
              <w:rPr>
                <w:rFonts w:ascii="Arial" w:eastAsia="Calibri" w:hAnsi="Arial" w:cs="Arial"/>
                <w:szCs w:val="22"/>
              </w:rPr>
              <w:t>Sadikin</w:t>
            </w:r>
            <w:proofErr w:type="spellEnd"/>
            <w:r w:rsidRPr="008016CD">
              <w:rPr>
                <w:rFonts w:ascii="Arial" w:eastAsia="Calibri" w:hAnsi="Arial" w:cs="Arial"/>
                <w:szCs w:val="22"/>
              </w:rPr>
              <w:t xml:space="preserve"> Hospital</w:t>
            </w:r>
            <w:r>
              <w:rPr>
                <w:rFonts w:ascii="Arial" w:eastAsia="Calibri" w:hAnsi="Arial" w:cs="Arial"/>
                <w:szCs w:val="22"/>
              </w:rPr>
              <w:t>,</w:t>
            </w:r>
            <w:r w:rsidRPr="008016CD">
              <w:rPr>
                <w:rFonts w:ascii="Arial" w:eastAsia="Calibri" w:hAnsi="Arial" w:cs="Arial"/>
                <w:szCs w:val="22"/>
              </w:rPr>
              <w:t xml:space="preserve"> Bandung.</w:t>
            </w:r>
            <w:r>
              <w:rPr>
                <w:rFonts w:ascii="Arial" w:eastAsia="Calibri" w:hAnsi="Arial" w:cs="Arial"/>
                <w:szCs w:val="22"/>
              </w:rPr>
              <w:t xml:space="preserve"> </w:t>
            </w:r>
            <w:r w:rsidRPr="008016CD">
              <w:rPr>
                <w:rFonts w:ascii="Arial" w:eastAsia="Calibri" w:hAnsi="Arial" w:cs="Arial"/>
                <w:b/>
                <w:bCs/>
                <w:szCs w:val="22"/>
              </w:rPr>
              <w:t>Methods</w:t>
            </w:r>
            <w:r>
              <w:rPr>
                <w:rFonts w:ascii="Arial" w:eastAsia="Calibri" w:hAnsi="Arial" w:cs="Arial"/>
                <w:b/>
                <w:bCs/>
                <w:szCs w:val="22"/>
              </w:rPr>
              <w:t xml:space="preserve">: </w:t>
            </w:r>
            <w:r w:rsidRPr="00E84ACD">
              <w:rPr>
                <w:rFonts w:ascii="Arial" w:eastAsia="Calibri" w:hAnsi="Arial" w:cs="Arial"/>
                <w:b/>
                <w:bCs/>
                <w:szCs w:val="22"/>
                <w:highlight w:val="yellow"/>
              </w:rPr>
              <w:t xml:space="preserve">The </w:t>
            </w:r>
            <w:r w:rsidRPr="00E84ACD">
              <w:rPr>
                <w:rFonts w:ascii="Arial" w:eastAsia="Calibri" w:hAnsi="Arial" w:cs="Arial"/>
                <w:szCs w:val="22"/>
                <w:highlight w:val="yellow"/>
              </w:rPr>
              <w:t xml:space="preserve">Subject is a patient indicated for catheterization in Hasan </w:t>
            </w:r>
            <w:proofErr w:type="spellStart"/>
            <w:r w:rsidRPr="00E84ACD">
              <w:rPr>
                <w:rFonts w:ascii="Arial" w:eastAsia="Calibri" w:hAnsi="Arial" w:cs="Arial"/>
                <w:szCs w:val="22"/>
                <w:highlight w:val="yellow"/>
              </w:rPr>
              <w:t>Sadikin</w:t>
            </w:r>
            <w:proofErr w:type="spellEnd"/>
            <w:r w:rsidRPr="00E84ACD">
              <w:rPr>
                <w:rFonts w:ascii="Arial" w:eastAsia="Calibri" w:hAnsi="Arial" w:cs="Arial"/>
                <w:szCs w:val="22"/>
                <w:highlight w:val="yellow"/>
              </w:rPr>
              <w:t xml:space="preserve"> Hospita</w:t>
            </w:r>
            <w:r w:rsidR="00E84ACD" w:rsidRPr="00E84ACD">
              <w:rPr>
                <w:rFonts w:ascii="Arial" w:eastAsia="Calibri" w:hAnsi="Arial" w:cs="Arial"/>
                <w:szCs w:val="22"/>
                <w:highlight w:val="yellow"/>
              </w:rPr>
              <w:t xml:space="preserve">l, </w:t>
            </w:r>
            <w:r w:rsidR="00E84ACD">
              <w:rPr>
                <w:rFonts w:ascii="Arial" w:eastAsia="Calibri" w:hAnsi="Arial" w:cs="Arial"/>
                <w:szCs w:val="22"/>
                <w:highlight w:val="yellow"/>
              </w:rPr>
              <w:t xml:space="preserve">Bandung, </w:t>
            </w:r>
            <w:r w:rsidR="00E84ACD" w:rsidRPr="00E84ACD">
              <w:rPr>
                <w:rFonts w:ascii="Arial" w:eastAsia="Calibri" w:hAnsi="Arial" w:cs="Arial"/>
                <w:szCs w:val="22"/>
                <w:highlight w:val="yellow"/>
              </w:rPr>
              <w:t xml:space="preserve">with </w:t>
            </w:r>
            <w:r w:rsidR="00E84ACD" w:rsidRPr="00E84ACD">
              <w:rPr>
                <w:rFonts w:ascii="Arial" w:eastAsia="Calibri" w:hAnsi="Arial" w:cs="Arial"/>
                <w:szCs w:val="22"/>
                <w:highlight w:val="yellow"/>
                <w:lang w:val="en"/>
              </w:rPr>
              <w:t>the</w:t>
            </w:r>
            <w:r w:rsidR="00E84ACD" w:rsidRPr="00E84ACD">
              <w:rPr>
                <w:rFonts w:ascii="Arial" w:eastAsia="Calibri" w:hAnsi="Arial" w:cs="Arial"/>
                <w:szCs w:val="22"/>
                <w:highlight w:val="yellow"/>
                <w:lang w:val="en"/>
              </w:rPr>
              <w:t xml:space="preserve"> number of samples is 21 </w:t>
            </w:r>
            <w:r w:rsidR="00E84ACD" w:rsidRPr="00E84ACD">
              <w:rPr>
                <w:rFonts w:ascii="Arial" w:eastAsia="Calibri" w:hAnsi="Arial" w:cs="Arial"/>
                <w:szCs w:val="22"/>
                <w:highlight w:val="yellow"/>
                <w:lang w:val="en"/>
              </w:rPr>
              <w:t>participants</w:t>
            </w:r>
            <w:r w:rsidRPr="008016CD">
              <w:rPr>
                <w:rFonts w:ascii="Arial" w:eastAsia="Calibri" w:hAnsi="Arial" w:cs="Arial"/>
                <w:szCs w:val="22"/>
              </w:rPr>
              <w:t>. The initial data are patient identity, blood, urine bacterial culture</w:t>
            </w:r>
            <w:r>
              <w:rPr>
                <w:rFonts w:ascii="Arial" w:eastAsia="Calibri" w:hAnsi="Arial" w:cs="Arial"/>
                <w:szCs w:val="22"/>
              </w:rPr>
              <w:t>,</w:t>
            </w:r>
            <w:r w:rsidRPr="008016CD">
              <w:rPr>
                <w:rFonts w:ascii="Arial" w:eastAsia="Calibri" w:hAnsi="Arial" w:cs="Arial"/>
                <w:szCs w:val="22"/>
              </w:rPr>
              <w:t xml:space="preserve"> and resistance examination </w:t>
            </w:r>
            <w:r>
              <w:rPr>
                <w:rFonts w:ascii="Arial" w:eastAsia="Calibri" w:hAnsi="Arial" w:cs="Arial"/>
                <w:szCs w:val="22"/>
              </w:rPr>
              <w:t>results</w:t>
            </w:r>
            <w:r w:rsidRPr="008016CD">
              <w:rPr>
                <w:rFonts w:ascii="Arial" w:eastAsia="Calibri" w:hAnsi="Arial" w:cs="Arial"/>
                <w:szCs w:val="22"/>
              </w:rPr>
              <w:t xml:space="preserve">. Catheterization insertion is </w:t>
            </w:r>
            <w:r>
              <w:rPr>
                <w:rFonts w:ascii="Arial" w:eastAsia="Calibri" w:hAnsi="Arial" w:cs="Arial"/>
                <w:szCs w:val="22"/>
              </w:rPr>
              <w:t>performed</w:t>
            </w:r>
            <w:r w:rsidRPr="008016CD">
              <w:rPr>
                <w:rFonts w:ascii="Arial" w:eastAsia="Calibri" w:hAnsi="Arial" w:cs="Arial"/>
                <w:szCs w:val="22"/>
              </w:rPr>
              <w:t xml:space="preserve"> for 1 week, and the catheter tip is then </w:t>
            </w:r>
            <w:r>
              <w:rPr>
                <w:rFonts w:ascii="Arial" w:eastAsia="Calibri" w:hAnsi="Arial" w:cs="Arial"/>
                <w:szCs w:val="22"/>
              </w:rPr>
              <w:t>prepared</w:t>
            </w:r>
            <w:r w:rsidRPr="008016CD">
              <w:rPr>
                <w:rFonts w:ascii="Arial" w:eastAsia="Calibri" w:hAnsi="Arial" w:cs="Arial"/>
                <w:szCs w:val="22"/>
              </w:rPr>
              <w:t xml:space="preserve"> again for bacterial culture and resistance examination. CAUTI diagnosis is based on </w:t>
            </w:r>
            <w:r w:rsidR="00926683">
              <w:rPr>
                <w:rFonts w:ascii="Arial" w:eastAsia="Calibri" w:hAnsi="Arial" w:cs="Arial"/>
                <w:szCs w:val="22"/>
              </w:rPr>
              <w:t>the recommendation of the CDC (Centers for Disease Control and Prevention)</w:t>
            </w:r>
            <w:r w:rsidRPr="008016CD">
              <w:rPr>
                <w:rFonts w:ascii="Arial" w:eastAsia="Calibri" w:hAnsi="Arial" w:cs="Arial"/>
                <w:szCs w:val="22"/>
              </w:rPr>
              <w:t xml:space="preserve">. The data is processed and analyzed by </w:t>
            </w:r>
            <w:r>
              <w:rPr>
                <w:rFonts w:ascii="Arial" w:eastAsia="Calibri" w:hAnsi="Arial" w:cs="Arial"/>
                <w:szCs w:val="22"/>
              </w:rPr>
              <w:t xml:space="preserve">a </w:t>
            </w:r>
            <w:r w:rsidRPr="008016CD">
              <w:rPr>
                <w:rFonts w:ascii="Arial" w:eastAsia="Calibri" w:hAnsi="Arial" w:cs="Arial"/>
                <w:szCs w:val="22"/>
              </w:rPr>
              <w:t>chi-square test</w:t>
            </w:r>
            <w:r>
              <w:rPr>
                <w:rFonts w:ascii="Arial" w:eastAsia="Calibri" w:hAnsi="Arial" w:cs="Arial"/>
                <w:szCs w:val="22"/>
              </w:rPr>
              <w:t>,</w:t>
            </w:r>
            <w:r w:rsidRPr="008016CD">
              <w:rPr>
                <w:rFonts w:ascii="Arial" w:eastAsia="Calibri" w:hAnsi="Arial" w:cs="Arial"/>
                <w:szCs w:val="22"/>
              </w:rPr>
              <w:t xml:space="preserve"> then presented in </w:t>
            </w:r>
            <w:r w:rsidR="00EC2624">
              <w:rPr>
                <w:rFonts w:ascii="Arial" w:eastAsia="Calibri" w:hAnsi="Arial" w:cs="Arial"/>
                <w:szCs w:val="22"/>
              </w:rPr>
              <w:t xml:space="preserve">the </w:t>
            </w:r>
            <w:r w:rsidRPr="008016CD">
              <w:rPr>
                <w:rFonts w:ascii="Arial" w:eastAsia="Calibri" w:hAnsi="Arial" w:cs="Arial"/>
                <w:szCs w:val="22"/>
              </w:rPr>
              <w:t>table.</w:t>
            </w:r>
            <w:r>
              <w:rPr>
                <w:rFonts w:ascii="Arial" w:eastAsia="Calibri" w:hAnsi="Arial" w:cs="Arial"/>
                <w:szCs w:val="22"/>
              </w:rPr>
              <w:t xml:space="preserve"> </w:t>
            </w:r>
            <w:r w:rsidRPr="00E84ACD">
              <w:rPr>
                <w:rFonts w:ascii="Arial" w:eastAsia="Calibri" w:hAnsi="Arial" w:cs="Arial"/>
                <w:b/>
                <w:bCs/>
                <w:szCs w:val="22"/>
                <w:highlight w:val="yellow"/>
              </w:rPr>
              <w:t>Result</w:t>
            </w:r>
            <w:r w:rsidRPr="00E84ACD">
              <w:rPr>
                <w:rFonts w:ascii="Arial" w:eastAsia="Calibri" w:hAnsi="Arial" w:cs="Arial"/>
                <w:szCs w:val="22"/>
                <w:highlight w:val="yellow"/>
              </w:rPr>
              <w:t xml:space="preserve">: Twenty-one sample of 40 (52.5%) catheterized </w:t>
            </w:r>
            <w:r w:rsidR="00EC2624" w:rsidRPr="00E84ACD">
              <w:rPr>
                <w:rFonts w:ascii="Arial" w:eastAsia="Calibri" w:hAnsi="Arial" w:cs="Arial"/>
                <w:szCs w:val="22"/>
                <w:highlight w:val="yellow"/>
              </w:rPr>
              <w:t>patients</w:t>
            </w:r>
            <w:r w:rsidRPr="00E84ACD">
              <w:rPr>
                <w:rFonts w:ascii="Arial" w:eastAsia="Calibri" w:hAnsi="Arial" w:cs="Arial"/>
                <w:szCs w:val="22"/>
                <w:highlight w:val="yellow"/>
              </w:rPr>
              <w:t xml:space="preserve"> shows positive culture </w:t>
            </w:r>
            <w:r w:rsidR="00EC2624" w:rsidRPr="00E84ACD">
              <w:rPr>
                <w:rFonts w:ascii="Arial" w:eastAsia="Calibri" w:hAnsi="Arial" w:cs="Arial"/>
                <w:szCs w:val="22"/>
                <w:highlight w:val="yellow"/>
              </w:rPr>
              <w:t>results</w:t>
            </w:r>
            <w:r w:rsidRPr="00E84ACD">
              <w:rPr>
                <w:rFonts w:ascii="Arial" w:eastAsia="Calibri" w:hAnsi="Arial" w:cs="Arial"/>
                <w:szCs w:val="22"/>
                <w:highlight w:val="yellow"/>
              </w:rPr>
              <w:t xml:space="preserve">. All Subjects </w:t>
            </w:r>
            <w:r w:rsidR="00EC2624" w:rsidRPr="00E84ACD">
              <w:rPr>
                <w:rFonts w:ascii="Arial" w:eastAsia="Calibri" w:hAnsi="Arial" w:cs="Arial"/>
                <w:szCs w:val="22"/>
                <w:highlight w:val="yellow"/>
              </w:rPr>
              <w:t>are</w:t>
            </w:r>
            <w:r w:rsidRPr="00E84ACD">
              <w:rPr>
                <w:rFonts w:ascii="Arial" w:eastAsia="Calibri" w:hAnsi="Arial" w:cs="Arial"/>
                <w:szCs w:val="22"/>
                <w:highlight w:val="yellow"/>
              </w:rPr>
              <w:t xml:space="preserve"> male,</w:t>
            </w:r>
            <w:r w:rsidR="00E84ACD" w:rsidRPr="00E84ACD">
              <w:rPr>
                <w:rFonts w:ascii="Arial" w:eastAsia="Calibri" w:hAnsi="Arial" w:cs="Arial"/>
                <w:szCs w:val="22"/>
                <w:highlight w:val="yellow"/>
              </w:rPr>
              <w:t xml:space="preserve"> with an</w:t>
            </w:r>
            <w:r w:rsidRPr="00E84ACD">
              <w:rPr>
                <w:rFonts w:ascii="Arial" w:eastAsia="Calibri" w:hAnsi="Arial" w:cs="Arial"/>
                <w:szCs w:val="22"/>
                <w:highlight w:val="yellow"/>
              </w:rPr>
              <w:t xml:space="preserve"> </w:t>
            </w:r>
            <w:r w:rsidR="00E84ACD" w:rsidRPr="00E84ACD">
              <w:rPr>
                <w:rFonts w:ascii="Arial" w:eastAsia="Calibri" w:hAnsi="Arial" w:cs="Arial"/>
                <w:szCs w:val="22"/>
                <w:highlight w:val="yellow"/>
              </w:rPr>
              <w:t xml:space="preserve">age </w:t>
            </w:r>
            <w:r w:rsidRPr="00E84ACD">
              <w:rPr>
                <w:rFonts w:ascii="Arial" w:eastAsia="Calibri" w:hAnsi="Arial" w:cs="Arial"/>
                <w:szCs w:val="22"/>
                <w:highlight w:val="yellow"/>
              </w:rPr>
              <w:t xml:space="preserve">range is between 18-73 years old. </w:t>
            </w:r>
            <w:r w:rsidR="00EC2624" w:rsidRPr="00E84ACD">
              <w:rPr>
                <w:rFonts w:ascii="Arial" w:eastAsia="Calibri" w:hAnsi="Arial" w:cs="Arial"/>
                <w:szCs w:val="22"/>
                <w:highlight w:val="yellow"/>
              </w:rPr>
              <w:t xml:space="preserve">The </w:t>
            </w:r>
            <w:r w:rsidRPr="00E84ACD">
              <w:rPr>
                <w:rFonts w:ascii="Arial" w:eastAsia="Calibri" w:hAnsi="Arial" w:cs="Arial"/>
                <w:szCs w:val="22"/>
                <w:highlight w:val="yellow"/>
              </w:rPr>
              <w:t xml:space="preserve">5th decade is the most often group </w:t>
            </w:r>
            <w:r w:rsidR="00EC2624" w:rsidRPr="00E84ACD">
              <w:rPr>
                <w:rFonts w:ascii="Arial" w:eastAsia="Calibri" w:hAnsi="Arial" w:cs="Arial"/>
                <w:szCs w:val="22"/>
                <w:highlight w:val="yellow"/>
              </w:rPr>
              <w:t xml:space="preserve">of </w:t>
            </w:r>
            <w:r w:rsidRPr="00E84ACD">
              <w:rPr>
                <w:rFonts w:ascii="Arial" w:eastAsia="Calibri" w:hAnsi="Arial" w:cs="Arial"/>
                <w:szCs w:val="22"/>
                <w:highlight w:val="yellow"/>
              </w:rPr>
              <w:t>9 patients (22.5%)</w:t>
            </w:r>
            <w:r w:rsidR="00E84ACD" w:rsidRPr="00E84ACD">
              <w:rPr>
                <w:rFonts w:ascii="Arial" w:eastAsia="Calibri" w:hAnsi="Arial" w:cs="Arial"/>
                <w:szCs w:val="22"/>
                <w:highlight w:val="yellow"/>
              </w:rPr>
              <w:t xml:space="preserve">, </w:t>
            </w:r>
            <w:r w:rsidRPr="00E84ACD">
              <w:rPr>
                <w:rFonts w:ascii="Arial" w:eastAsia="Calibri" w:hAnsi="Arial" w:cs="Arial"/>
                <w:szCs w:val="22"/>
                <w:highlight w:val="yellow"/>
              </w:rPr>
              <w:t xml:space="preserve">13 patients (61.9%) </w:t>
            </w:r>
            <w:r w:rsidR="00EC2624" w:rsidRPr="00E84ACD">
              <w:rPr>
                <w:rFonts w:ascii="Arial" w:eastAsia="Calibri" w:hAnsi="Arial" w:cs="Arial"/>
                <w:szCs w:val="22"/>
                <w:highlight w:val="yellow"/>
              </w:rPr>
              <w:t xml:space="preserve">had </w:t>
            </w:r>
            <w:r w:rsidRPr="00E84ACD">
              <w:rPr>
                <w:rFonts w:ascii="Arial" w:eastAsia="Calibri" w:hAnsi="Arial" w:cs="Arial"/>
                <w:szCs w:val="22"/>
                <w:highlight w:val="yellow"/>
              </w:rPr>
              <w:t xml:space="preserve">urine culture findings </w:t>
            </w:r>
            <w:r w:rsidR="00EC2624" w:rsidRPr="00E84ACD">
              <w:rPr>
                <w:rFonts w:ascii="Arial" w:eastAsia="Calibri" w:hAnsi="Arial" w:cs="Arial"/>
                <w:szCs w:val="22"/>
                <w:highlight w:val="yellow"/>
              </w:rPr>
              <w:t xml:space="preserve">showing </w:t>
            </w:r>
            <w:r w:rsidR="009D00EC" w:rsidRPr="009D00EC">
              <w:rPr>
                <w:rFonts w:ascii="Arial" w:eastAsia="Calibri" w:hAnsi="Arial" w:cs="Arial"/>
                <w:i/>
                <w:iCs/>
                <w:szCs w:val="22"/>
                <w:highlight w:val="yellow"/>
              </w:rPr>
              <w:t>E. coli</w:t>
            </w:r>
            <w:r w:rsidRPr="00E84ACD">
              <w:rPr>
                <w:rFonts w:ascii="Arial" w:eastAsia="Calibri" w:hAnsi="Arial" w:cs="Arial"/>
                <w:szCs w:val="22"/>
                <w:highlight w:val="yellow"/>
              </w:rPr>
              <w:t xml:space="preserve"> </w:t>
            </w:r>
            <w:r w:rsidR="00EC2624" w:rsidRPr="00E84ACD">
              <w:rPr>
                <w:rFonts w:ascii="Arial" w:eastAsia="Calibri" w:hAnsi="Arial" w:cs="Arial"/>
                <w:szCs w:val="22"/>
                <w:highlight w:val="yellow"/>
              </w:rPr>
              <w:t>bacteria</w:t>
            </w:r>
            <w:r w:rsidRPr="00E84ACD">
              <w:rPr>
                <w:rFonts w:ascii="Arial" w:eastAsia="Calibri" w:hAnsi="Arial" w:cs="Arial"/>
                <w:szCs w:val="22"/>
                <w:highlight w:val="yellow"/>
              </w:rPr>
              <w:t xml:space="preserve"> in their </w:t>
            </w:r>
            <w:r w:rsidR="00EC2624" w:rsidRPr="00E84ACD">
              <w:rPr>
                <w:rFonts w:ascii="Arial" w:eastAsia="Calibri" w:hAnsi="Arial" w:cs="Arial"/>
                <w:szCs w:val="22"/>
                <w:highlight w:val="yellow"/>
              </w:rPr>
              <w:t>results</w:t>
            </w:r>
            <w:r w:rsidR="007A6D8E">
              <w:rPr>
                <w:rFonts w:ascii="Arial" w:eastAsia="Calibri" w:hAnsi="Arial" w:cs="Arial"/>
                <w:szCs w:val="22"/>
                <w:highlight w:val="yellow"/>
              </w:rPr>
              <w:t xml:space="preserve">, </w:t>
            </w:r>
            <w:r w:rsidR="009D00EC" w:rsidRPr="007A6D8E">
              <w:rPr>
                <w:rFonts w:ascii="Arial" w:eastAsia="Calibri" w:hAnsi="Arial" w:cs="Arial"/>
                <w:szCs w:val="22"/>
                <w:highlight w:val="yellow"/>
              </w:rPr>
              <w:t xml:space="preserve">5 patients (23.8%) had urine culture findings showing </w:t>
            </w:r>
            <w:r w:rsidR="009D00EC" w:rsidRPr="007A6D8E">
              <w:rPr>
                <w:rFonts w:ascii="Arial" w:eastAsia="Calibri" w:hAnsi="Arial" w:cs="Arial"/>
                <w:i/>
                <w:iCs/>
                <w:szCs w:val="22"/>
                <w:highlight w:val="yellow"/>
              </w:rPr>
              <w:t xml:space="preserve">Staphylococcus </w:t>
            </w:r>
            <w:proofErr w:type="spellStart"/>
            <w:r w:rsidR="009D00EC" w:rsidRPr="007A6D8E">
              <w:rPr>
                <w:rFonts w:ascii="Arial" w:eastAsia="Calibri" w:hAnsi="Arial" w:cs="Arial"/>
                <w:i/>
                <w:iCs/>
                <w:szCs w:val="22"/>
                <w:highlight w:val="yellow"/>
              </w:rPr>
              <w:t>haemolyticus</w:t>
            </w:r>
            <w:proofErr w:type="spellEnd"/>
            <w:r w:rsidR="009D00EC" w:rsidRPr="007A6D8E">
              <w:rPr>
                <w:rFonts w:ascii="Arial" w:eastAsia="Calibri" w:hAnsi="Arial" w:cs="Arial"/>
                <w:szCs w:val="22"/>
                <w:highlight w:val="yellow"/>
              </w:rPr>
              <w:t xml:space="preserve">, one patient (4.8%) had findings showing </w:t>
            </w:r>
            <w:r w:rsidR="009D00EC" w:rsidRPr="007A6D8E">
              <w:rPr>
                <w:rFonts w:ascii="Arial" w:eastAsia="Calibri" w:hAnsi="Arial" w:cs="Arial"/>
                <w:i/>
                <w:iCs/>
                <w:szCs w:val="22"/>
                <w:highlight w:val="yellow"/>
              </w:rPr>
              <w:t>Micrococcus</w:t>
            </w:r>
            <w:r w:rsidR="009D00EC" w:rsidRPr="007A6D8E">
              <w:rPr>
                <w:rFonts w:ascii="Arial" w:eastAsia="Calibri" w:hAnsi="Arial" w:cs="Arial"/>
                <w:i/>
                <w:iCs/>
                <w:szCs w:val="22"/>
                <w:highlight w:val="yellow"/>
              </w:rPr>
              <w:t xml:space="preserve">, </w:t>
            </w:r>
            <w:r w:rsidR="009D00EC" w:rsidRPr="007A6D8E">
              <w:rPr>
                <w:rFonts w:ascii="Arial" w:eastAsia="Calibri" w:hAnsi="Arial" w:cs="Arial"/>
                <w:szCs w:val="22"/>
                <w:highlight w:val="yellow"/>
              </w:rPr>
              <w:t xml:space="preserve">one patient (4.8%) had finding </w:t>
            </w:r>
            <w:r w:rsidR="009D00EC" w:rsidRPr="007A6D8E">
              <w:rPr>
                <w:rFonts w:ascii="Arial" w:eastAsia="Calibri" w:hAnsi="Arial" w:cs="Arial"/>
                <w:i/>
                <w:iCs/>
                <w:szCs w:val="22"/>
                <w:highlight w:val="yellow"/>
              </w:rPr>
              <w:t xml:space="preserve">Acinetobacter </w:t>
            </w:r>
            <w:proofErr w:type="spellStart"/>
            <w:r w:rsidR="009D00EC" w:rsidRPr="007A6D8E">
              <w:rPr>
                <w:rFonts w:ascii="Arial" w:eastAsia="Calibri" w:hAnsi="Arial" w:cs="Arial"/>
                <w:i/>
                <w:iCs/>
                <w:szCs w:val="22"/>
                <w:highlight w:val="yellow"/>
              </w:rPr>
              <w:t>baumanii</w:t>
            </w:r>
            <w:proofErr w:type="spellEnd"/>
            <w:r w:rsidR="009D00EC" w:rsidRPr="007A6D8E">
              <w:rPr>
                <w:rFonts w:ascii="Arial" w:eastAsia="Calibri" w:hAnsi="Arial" w:cs="Arial"/>
                <w:szCs w:val="22"/>
                <w:highlight w:val="yellow"/>
              </w:rPr>
              <w:t xml:space="preserve"> and one patient (4.8%) had findings </w:t>
            </w:r>
            <w:r w:rsidR="009D00EC" w:rsidRPr="007A6D8E">
              <w:rPr>
                <w:rFonts w:ascii="Arial" w:eastAsia="Calibri" w:hAnsi="Arial" w:cs="Arial"/>
                <w:i/>
                <w:iCs/>
                <w:szCs w:val="22"/>
                <w:highlight w:val="yellow"/>
              </w:rPr>
              <w:t>Pseudomonas aeruginosa</w:t>
            </w:r>
            <w:r w:rsidRPr="008016CD">
              <w:rPr>
                <w:rFonts w:ascii="Arial" w:eastAsia="Calibri" w:hAnsi="Arial" w:cs="Arial"/>
                <w:szCs w:val="22"/>
              </w:rPr>
              <w:t>. Netilmicin antibiotic is most sensitive, 6 of 12 patients (50%)</w:t>
            </w:r>
            <w:r w:rsidR="00EC2624">
              <w:rPr>
                <w:rFonts w:ascii="Arial" w:eastAsia="Calibri" w:hAnsi="Arial" w:cs="Arial"/>
                <w:szCs w:val="22"/>
              </w:rPr>
              <w:t>,</w:t>
            </w:r>
            <w:r w:rsidRPr="008016CD">
              <w:rPr>
                <w:rFonts w:ascii="Arial" w:eastAsia="Calibri" w:hAnsi="Arial" w:cs="Arial"/>
                <w:szCs w:val="22"/>
              </w:rPr>
              <w:t xml:space="preserve"> and </w:t>
            </w:r>
            <w:proofErr w:type="spellStart"/>
            <w:r w:rsidRPr="008016CD">
              <w:rPr>
                <w:rFonts w:ascii="Arial" w:eastAsia="Calibri" w:hAnsi="Arial" w:cs="Arial"/>
                <w:szCs w:val="22"/>
              </w:rPr>
              <w:t>cefoperazone</w:t>
            </w:r>
            <w:proofErr w:type="spellEnd"/>
            <w:r w:rsidRPr="008016CD">
              <w:rPr>
                <w:rFonts w:ascii="Arial" w:eastAsia="Calibri" w:hAnsi="Arial" w:cs="Arial"/>
                <w:szCs w:val="22"/>
              </w:rPr>
              <w:t xml:space="preserve"> is found resistant </w:t>
            </w:r>
            <w:r w:rsidR="00EC2624">
              <w:rPr>
                <w:rFonts w:ascii="Arial" w:eastAsia="Calibri" w:hAnsi="Arial" w:cs="Arial"/>
                <w:szCs w:val="22"/>
              </w:rPr>
              <w:t>in</w:t>
            </w:r>
            <w:r w:rsidRPr="008016CD">
              <w:rPr>
                <w:rFonts w:ascii="Arial" w:eastAsia="Calibri" w:hAnsi="Arial" w:cs="Arial"/>
                <w:szCs w:val="22"/>
              </w:rPr>
              <w:t xml:space="preserve"> 10 of 10 </w:t>
            </w:r>
            <w:r w:rsidR="00EC2624">
              <w:rPr>
                <w:rFonts w:ascii="Arial" w:eastAsia="Calibri" w:hAnsi="Arial" w:cs="Arial"/>
                <w:szCs w:val="22"/>
              </w:rPr>
              <w:t>patients</w:t>
            </w:r>
            <w:r w:rsidRPr="008016CD">
              <w:rPr>
                <w:rFonts w:ascii="Arial" w:eastAsia="Calibri" w:hAnsi="Arial" w:cs="Arial"/>
                <w:szCs w:val="22"/>
              </w:rPr>
              <w:t xml:space="preserve"> (100%)</w:t>
            </w:r>
            <w:r w:rsidR="00EC2624">
              <w:rPr>
                <w:rFonts w:ascii="Arial" w:eastAsia="Calibri" w:hAnsi="Arial" w:cs="Arial"/>
                <w:szCs w:val="22"/>
              </w:rPr>
              <w:t xml:space="preserve">. </w:t>
            </w:r>
            <w:r w:rsidRPr="00EC2624">
              <w:rPr>
                <w:rFonts w:ascii="Arial" w:eastAsia="Calibri" w:hAnsi="Arial" w:cs="Arial"/>
                <w:b/>
                <w:bCs/>
                <w:szCs w:val="22"/>
              </w:rPr>
              <w:t>Conclusion</w:t>
            </w:r>
            <w:r w:rsidR="00EC2624">
              <w:rPr>
                <w:rFonts w:ascii="Arial" w:eastAsia="Calibri" w:hAnsi="Arial" w:cs="Arial"/>
                <w:szCs w:val="22"/>
              </w:rPr>
              <w:t xml:space="preserve">: </w:t>
            </w:r>
            <w:r w:rsidRPr="008016CD">
              <w:rPr>
                <w:rFonts w:ascii="Arial" w:eastAsia="Calibri" w:hAnsi="Arial" w:cs="Arial"/>
                <w:szCs w:val="22"/>
              </w:rPr>
              <w:t xml:space="preserve">Urinary tract infection associated catheterization is more common </w:t>
            </w:r>
            <w:r w:rsidR="00EC2624">
              <w:rPr>
                <w:rFonts w:ascii="Arial" w:eastAsia="Calibri" w:hAnsi="Arial" w:cs="Arial"/>
                <w:szCs w:val="22"/>
              </w:rPr>
              <w:t>in</w:t>
            </w:r>
            <w:r w:rsidRPr="008016CD">
              <w:rPr>
                <w:rFonts w:ascii="Arial" w:eastAsia="Calibri" w:hAnsi="Arial" w:cs="Arial"/>
                <w:szCs w:val="22"/>
              </w:rPr>
              <w:t xml:space="preserve"> </w:t>
            </w:r>
            <w:r w:rsidR="00EC2624">
              <w:rPr>
                <w:rFonts w:ascii="Arial" w:eastAsia="Calibri" w:hAnsi="Arial" w:cs="Arial"/>
                <w:szCs w:val="22"/>
              </w:rPr>
              <w:t xml:space="preserve">the </w:t>
            </w:r>
            <w:r w:rsidRPr="008016CD">
              <w:rPr>
                <w:rFonts w:ascii="Arial" w:eastAsia="Calibri" w:hAnsi="Arial" w:cs="Arial"/>
                <w:szCs w:val="22"/>
              </w:rPr>
              <w:t xml:space="preserve">fifth decade of age and also </w:t>
            </w:r>
            <w:r w:rsidR="00EC2624">
              <w:rPr>
                <w:rFonts w:ascii="Arial" w:eastAsia="Calibri" w:hAnsi="Arial" w:cs="Arial"/>
                <w:szCs w:val="22"/>
              </w:rPr>
              <w:t>in</w:t>
            </w:r>
            <w:r w:rsidRPr="008016CD">
              <w:rPr>
                <w:rFonts w:ascii="Arial" w:eastAsia="Calibri" w:hAnsi="Arial" w:cs="Arial"/>
                <w:szCs w:val="22"/>
              </w:rPr>
              <w:t xml:space="preserve"> </w:t>
            </w:r>
            <w:r w:rsidR="00EC2624">
              <w:rPr>
                <w:rFonts w:ascii="Arial" w:eastAsia="Calibri" w:hAnsi="Arial" w:cs="Arial"/>
                <w:szCs w:val="22"/>
              </w:rPr>
              <w:t>patients</w:t>
            </w:r>
            <w:r w:rsidRPr="008016CD">
              <w:rPr>
                <w:rFonts w:ascii="Arial" w:eastAsia="Calibri" w:hAnsi="Arial" w:cs="Arial"/>
                <w:szCs w:val="22"/>
              </w:rPr>
              <w:t xml:space="preserve"> whose glucose level </w:t>
            </w:r>
            <w:r w:rsidR="00EC2624">
              <w:rPr>
                <w:rFonts w:ascii="Arial" w:eastAsia="Calibri" w:hAnsi="Arial" w:cs="Arial"/>
                <w:szCs w:val="22"/>
              </w:rPr>
              <w:t xml:space="preserve">is </w:t>
            </w:r>
            <w:r w:rsidRPr="008016CD">
              <w:rPr>
                <w:rFonts w:ascii="Arial" w:eastAsia="Calibri" w:hAnsi="Arial" w:cs="Arial"/>
                <w:szCs w:val="22"/>
              </w:rPr>
              <w:t xml:space="preserve">above </w:t>
            </w:r>
            <w:r w:rsidR="00EC2624">
              <w:rPr>
                <w:rFonts w:ascii="Arial" w:eastAsia="Calibri" w:hAnsi="Arial" w:cs="Arial"/>
                <w:szCs w:val="22"/>
              </w:rPr>
              <w:t xml:space="preserve">the </w:t>
            </w:r>
            <w:r w:rsidRPr="008016CD">
              <w:rPr>
                <w:rFonts w:ascii="Arial" w:eastAsia="Calibri" w:hAnsi="Arial" w:cs="Arial"/>
                <w:szCs w:val="22"/>
              </w:rPr>
              <w:t xml:space="preserve">normal value. The most common </w:t>
            </w:r>
            <w:r w:rsidR="00EC2624">
              <w:rPr>
                <w:rFonts w:ascii="Arial" w:eastAsia="Calibri" w:hAnsi="Arial" w:cs="Arial"/>
                <w:szCs w:val="22"/>
              </w:rPr>
              <w:t>bacteria</w:t>
            </w:r>
            <w:r w:rsidRPr="008016CD">
              <w:rPr>
                <w:rFonts w:ascii="Arial" w:eastAsia="Calibri" w:hAnsi="Arial" w:cs="Arial"/>
                <w:szCs w:val="22"/>
              </w:rPr>
              <w:t xml:space="preserve"> found is E coli, and the most sensitive antibiotic for the urinary tract is netilmicin, while the most resistant is </w:t>
            </w:r>
            <w:proofErr w:type="spellStart"/>
            <w:r w:rsidRPr="008016CD">
              <w:rPr>
                <w:rFonts w:ascii="Arial" w:eastAsia="Calibri" w:hAnsi="Arial" w:cs="Arial"/>
                <w:szCs w:val="22"/>
              </w:rPr>
              <w:t>cefoperazone</w:t>
            </w:r>
            <w:proofErr w:type="spellEnd"/>
          </w:p>
        </w:tc>
      </w:tr>
    </w:tbl>
    <w:p w14:paraId="28EBB67C" w14:textId="77777777" w:rsidR="00636EB2" w:rsidRDefault="00636EB2" w:rsidP="00441B6F">
      <w:pPr>
        <w:pStyle w:val="Body"/>
        <w:spacing w:after="0"/>
        <w:rPr>
          <w:rFonts w:ascii="Arial" w:hAnsi="Arial" w:cs="Arial"/>
          <w:i/>
        </w:rPr>
      </w:pPr>
    </w:p>
    <w:p w14:paraId="0BD46663" w14:textId="10797325" w:rsidR="00790ADA" w:rsidRDefault="00A24E7E" w:rsidP="00441B6F">
      <w:pPr>
        <w:pStyle w:val="Body"/>
        <w:spacing w:after="0"/>
        <w:rPr>
          <w:rFonts w:ascii="Arial" w:hAnsi="Arial" w:cs="Arial"/>
          <w:i/>
        </w:rPr>
      </w:pPr>
      <w:r>
        <w:rPr>
          <w:rFonts w:ascii="Arial" w:hAnsi="Arial" w:cs="Arial"/>
          <w:i/>
        </w:rPr>
        <w:t xml:space="preserve">Keywords: </w:t>
      </w:r>
      <w:r w:rsidR="00EC2624">
        <w:rPr>
          <w:rFonts w:ascii="Arial" w:hAnsi="Arial" w:cs="Arial"/>
          <w:i/>
        </w:rPr>
        <w:t>urinary trac</w:t>
      </w:r>
      <w:r w:rsidR="003A2E3E">
        <w:rPr>
          <w:rFonts w:ascii="Arial" w:hAnsi="Arial" w:cs="Arial"/>
          <w:i/>
        </w:rPr>
        <w:t>t</w:t>
      </w:r>
      <w:r w:rsidR="00EC2624">
        <w:rPr>
          <w:rFonts w:ascii="Arial" w:hAnsi="Arial" w:cs="Arial"/>
          <w:i/>
        </w:rPr>
        <w:t xml:space="preserve"> infection</w:t>
      </w:r>
      <w:r w:rsidR="00EC2624" w:rsidRPr="007A6D8E">
        <w:rPr>
          <w:rFonts w:ascii="Arial" w:hAnsi="Arial" w:cs="Arial"/>
          <w:i/>
          <w:highlight w:val="yellow"/>
        </w:rPr>
        <w:t>, antibiotic</w:t>
      </w:r>
      <w:r w:rsidR="007A6D8E" w:rsidRPr="007A6D8E">
        <w:rPr>
          <w:rFonts w:ascii="Arial" w:hAnsi="Arial" w:cs="Arial"/>
          <w:i/>
          <w:highlight w:val="yellow"/>
        </w:rPr>
        <w:t xml:space="preserve"> </w:t>
      </w:r>
      <w:r w:rsidR="003A2E3E" w:rsidRPr="007A6D8E">
        <w:rPr>
          <w:rFonts w:ascii="Arial" w:hAnsi="Arial" w:cs="Arial"/>
          <w:i/>
          <w:highlight w:val="yellow"/>
        </w:rPr>
        <w:t>resistance</w:t>
      </w:r>
      <w:r w:rsidR="00EC2624">
        <w:rPr>
          <w:rFonts w:ascii="Arial" w:hAnsi="Arial" w:cs="Arial"/>
          <w:i/>
        </w:rPr>
        <w:t xml:space="preserve">, </w:t>
      </w:r>
      <w:r w:rsidR="003A2E3E" w:rsidRPr="003A2E3E">
        <w:rPr>
          <w:rFonts w:ascii="Arial" w:hAnsi="Arial" w:cs="Arial"/>
          <w:i/>
        </w:rPr>
        <w:t>catheterization</w:t>
      </w:r>
      <w:r w:rsidR="003A2E3E">
        <w:rPr>
          <w:rFonts w:ascii="Arial" w:hAnsi="Arial" w:cs="Arial"/>
          <w:i/>
        </w:rPr>
        <w:t xml:space="preserve"> </w:t>
      </w:r>
    </w:p>
    <w:p w14:paraId="19B20A50" w14:textId="37B787B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426FE9" w14:textId="77777777" w:rsidR="00790ADA" w:rsidRPr="00FB3A86" w:rsidRDefault="00790ADA" w:rsidP="00441B6F">
      <w:pPr>
        <w:pStyle w:val="AbstHead"/>
        <w:spacing w:after="0"/>
        <w:jc w:val="both"/>
        <w:rPr>
          <w:rFonts w:ascii="Arial" w:hAnsi="Arial" w:cs="Arial"/>
        </w:rPr>
      </w:pPr>
    </w:p>
    <w:p w14:paraId="56C2B1F1" w14:textId="7B8077D1" w:rsidR="004F4F3E" w:rsidRPr="00445A6A" w:rsidRDefault="003A2E3E" w:rsidP="00445A6A">
      <w:pPr>
        <w:pStyle w:val="Body"/>
        <w:rPr>
          <w:rFonts w:ascii="Arial" w:hAnsi="Arial" w:cs="Arial"/>
          <w:lang w:val="en-ID"/>
        </w:rPr>
      </w:pPr>
      <w:r w:rsidRPr="00445A6A">
        <w:rPr>
          <w:rFonts w:ascii="Arial" w:hAnsi="Arial" w:cs="Arial"/>
          <w:highlight w:val="yellow"/>
        </w:rPr>
        <w:t>Urinary tract infection (UTI) is the most common infection associated with medical personnel, where 30% of hospital-acquired infections are UTIs</w:t>
      </w:r>
      <w:r w:rsidR="00BB7D2A" w:rsidRPr="00445A6A">
        <w:rPr>
          <w:rFonts w:ascii="Arial" w:hAnsi="Arial" w:cs="Arial"/>
          <w:highlight w:val="yellow"/>
        </w:rPr>
        <w:t xml:space="preserve"> </w:t>
      </w:r>
      <w:r w:rsidR="00BB7D2A" w:rsidRPr="00445A6A">
        <w:rPr>
          <w:rFonts w:ascii="Arial" w:hAnsi="Arial" w:cs="Arial"/>
          <w:highlight w:val="yellow"/>
        </w:rPr>
        <w:fldChar w:fldCharType="begin" w:fldLock="1"/>
      </w:r>
      <w:r w:rsidR="00BB7D2A" w:rsidRPr="00445A6A">
        <w:rPr>
          <w:rFonts w:ascii="Arial" w:hAnsi="Arial" w:cs="Arial"/>
          <w:highlight w:val="yellow"/>
        </w:rPr>
        <w:instrText>ADDIN CSL_CITATION {"citationItems":[{"id":"ITEM-1","itemData":{"DOI":"10.1177/003335490712200205","ISSN":"0033-3549, 1468-2877","abstract":"Objective. The purpose of this study was to provide a national estimate of the number of healthcare-associated infections (HAI) and deaths in United States hospitals.   Methods. No single source of nationally representative data on HAIs is currently available. The authors used a multi-step approach and three data sources. The main source of data was the National Nosocomial Infections Surveillance (NNIS) system, data from 1990–2002, conducted by the Centers for Disease Control and Prevention. Data from the National Hospital Discharge Survey (for 2002) and the American Hospital Association Survey (for 2000) were used to supplement NNIS data. The percentage of patients with an HAI whose death was determined to be caused or associated with the HAI from NNIS data was used to estimate the number of deaths.   Results. In 2002, the estimated number of HAIs in U.S. hospitals, adjusted to include federal facilities, was approximately 1.7 million: 33,269 HAIs among newborns in high-risk nurseries, 19,059 among newborns in well-baby nurseries, 417,946 among adults and children in ICUs, and 1,266,851 among adults and children outside of ICUs. The estimated deaths associated with HAIs in U.S. hospitals were 98,987: of these, 35,967 were for pneumonia, 30,665 for bloodstream infections, 13,088 for urinary tract infections, 8,205 for surgical site infections, and 11,062 for infections of other sites.   Conclusion. HAIs in hospitals are a significant cause of morbidity and mortality in the United States. The method described for estimating the number of HAIs makes the best use of existing data at the national level.","author":[{"dropping-particle":"","family":"Klevens","given":"R Monina","non-dropping-particle":"","parse-names":false,"suffix":""},{"dropping-particle":"","family":"Edwards","given":"Jonathan R","non-dropping-particle":"","parse-names":false,"suffix":""},{"dropping-particle":"","family":"Richards","given":"Chesley L","non-dropping-particle":"","parse-names":false,"suffix":""},{"dropping-particle":"","family":"Horan","given":"Teresa C","non-dropping-particle":"","parse-names":false,"suffix":""},{"dropping-particle":"","family":"Gaynes","given":"Robert P","non-dropping-particle":"","parse-names":false,"suffix":""},{"dropping-particle":"","family":"Pollock","given":"Daniel A","non-dropping-particle":"","parse-names":false,"suffix":""},{"dropping-particle":"","family":"Cardo","given":"Denise M","non-dropping-particle":"","parse-names":false,"suffix":""}],"container-title":"Public Health Reports®","id":"ITEM-1","issue":"2","issued":{"date-parts":[["2007","4","21"]]},"language":"en","page":"160-166","title":"Estimating Health Care-Associated Infections and Deaths in U.S. Hospitals, 2002","type":"article-journal","volume":"122"},"uris":["http://www.mendeley.com/documents/?uuid=2554262e-e660-4fc7-b9cf-52532b4164de"]}],"mendeley":{"formattedCitation":"(Klevens et al. 2007)","plainTextFormattedCitation":"(Klevens et al. 2007)","previouslyFormattedCitation":"(Klevens et al. 2007)"},"properties":{"noteIndex":0},"schema":"https://github.com/citation-style-language/schema/raw/master/csl-citation.json"}</w:instrText>
      </w:r>
      <w:r w:rsidR="00BB7D2A" w:rsidRPr="00445A6A">
        <w:rPr>
          <w:rFonts w:ascii="Arial" w:hAnsi="Arial" w:cs="Arial"/>
          <w:highlight w:val="yellow"/>
        </w:rPr>
        <w:fldChar w:fldCharType="separate"/>
      </w:r>
      <w:r w:rsidR="00BB7D2A" w:rsidRPr="00445A6A">
        <w:rPr>
          <w:rFonts w:ascii="Arial" w:hAnsi="Arial" w:cs="Arial"/>
          <w:noProof/>
          <w:highlight w:val="yellow"/>
        </w:rPr>
        <w:t>(Klevens et al. 2007)</w:t>
      </w:r>
      <w:r w:rsidR="00BB7D2A" w:rsidRPr="00445A6A">
        <w:rPr>
          <w:rFonts w:ascii="Arial" w:hAnsi="Arial" w:cs="Arial"/>
          <w:highlight w:val="yellow"/>
        </w:rPr>
        <w:fldChar w:fldCharType="end"/>
      </w:r>
      <w:r w:rsidR="00BB7D2A" w:rsidRPr="00445A6A">
        <w:rPr>
          <w:rFonts w:ascii="Arial" w:hAnsi="Arial" w:cs="Arial"/>
          <w:highlight w:val="yellow"/>
        </w:rPr>
        <w:t>.</w:t>
      </w:r>
      <w:r w:rsidR="008E3218" w:rsidRPr="00445A6A">
        <w:rPr>
          <w:rFonts w:ascii="Arial" w:hAnsi="Arial" w:cs="Arial"/>
          <w:highlight w:val="yellow"/>
        </w:rPr>
        <w:t xml:space="preserve"> </w:t>
      </w:r>
      <w:r w:rsidR="00445A6A" w:rsidRPr="00445A6A">
        <w:rPr>
          <w:rFonts w:ascii="Arial" w:hAnsi="Arial" w:cs="Arial"/>
          <w:highlight w:val="yellow"/>
          <w:lang w:val="en"/>
        </w:rPr>
        <w:t>In 2019, more than 404.6 million people worldwide experienced a UTI, an increase of approximately 60% compared to 1990</w:t>
      </w:r>
      <w:r w:rsidR="00445A6A" w:rsidRPr="00445A6A">
        <w:rPr>
          <w:rFonts w:ascii="Arial" w:hAnsi="Arial" w:cs="Arial"/>
          <w:highlight w:val="yellow"/>
          <w:lang w:val="en"/>
        </w:rPr>
        <w:t xml:space="preserve"> (</w:t>
      </w:r>
      <w:hyperlink r:id="rId8" w:history="1">
        <w:r w:rsidR="00445A6A" w:rsidRPr="00445A6A">
          <w:rPr>
            <w:rStyle w:val="Hyperlink"/>
            <w:rFonts w:ascii="Arial" w:hAnsi="Arial" w:cs="Arial"/>
            <w:color w:val="auto"/>
            <w:highlight w:val="yellow"/>
            <w:u w:val="none"/>
          </w:rPr>
          <w:t>Zeng</w:t>
        </w:r>
      </w:hyperlink>
      <w:r w:rsidR="00445A6A">
        <w:rPr>
          <w:rFonts w:ascii="Arial" w:hAnsi="Arial" w:cs="Arial"/>
          <w:highlight w:val="yellow"/>
          <w:lang w:val="en"/>
        </w:rPr>
        <w:t xml:space="preserve"> Z.</w:t>
      </w:r>
      <w:r w:rsidR="00445A6A" w:rsidRPr="00445A6A">
        <w:rPr>
          <w:rFonts w:ascii="Arial" w:hAnsi="Arial" w:cs="Arial"/>
          <w:highlight w:val="yellow"/>
          <w:lang w:val="en"/>
        </w:rPr>
        <w:t>, et al, 2022).</w:t>
      </w:r>
      <w:r w:rsidR="00445A6A" w:rsidRPr="00445A6A">
        <w:rPr>
          <w:rFonts w:ascii="Arial" w:hAnsi="Arial" w:cs="Arial"/>
          <w:highlight w:val="yellow"/>
          <w:vertAlign w:val="superscript"/>
        </w:rPr>
        <w:t> </w:t>
      </w:r>
      <w:r w:rsidR="00445A6A" w:rsidRPr="00445A6A">
        <w:rPr>
          <w:rFonts w:ascii="Arial" w:hAnsi="Arial" w:cs="Arial"/>
          <w:highlight w:val="yellow"/>
          <w:lang w:val="en"/>
        </w:rPr>
        <w:t>In Indonesia, data estimates that there are 180,000 new cases of UTI each year</w:t>
      </w:r>
      <w:r w:rsidR="00445A6A" w:rsidRPr="00445A6A">
        <w:rPr>
          <w:rFonts w:ascii="Arial" w:hAnsi="Arial" w:cs="Arial"/>
          <w:highlight w:val="yellow"/>
          <w:lang w:val="en"/>
        </w:rPr>
        <w:t>,</w:t>
      </w:r>
      <w:r w:rsidR="00445A6A" w:rsidRPr="00445A6A">
        <w:rPr>
          <w:rFonts w:ascii="Arial" w:hAnsi="Arial" w:cs="Arial"/>
          <w:highlight w:val="yellow"/>
          <w:lang w:val="en"/>
        </w:rPr>
        <w:t xml:space="preserve"> or around 90–100 cases per 100,000 population</w:t>
      </w:r>
      <w:r w:rsidR="00445A6A" w:rsidRPr="00445A6A">
        <w:rPr>
          <w:rFonts w:ascii="Arial" w:hAnsi="Arial" w:cs="Arial"/>
          <w:highlight w:val="yellow"/>
          <w:lang w:val="en"/>
        </w:rPr>
        <w:t xml:space="preserve"> (Kusuma I.Y, 2023).</w:t>
      </w:r>
      <w:r w:rsidR="00445A6A" w:rsidRPr="00445A6A">
        <w:rPr>
          <w:rFonts w:ascii="Arial" w:hAnsi="Arial" w:cs="Arial"/>
          <w:highlight w:val="yellow"/>
          <w:lang w:val="en-ID"/>
        </w:rPr>
        <w:t xml:space="preserve"> </w:t>
      </w:r>
      <w:r w:rsidRPr="00445A6A">
        <w:rPr>
          <w:rFonts w:ascii="Arial" w:hAnsi="Arial" w:cs="Arial"/>
          <w:highlight w:val="yellow"/>
        </w:rPr>
        <w:t>Almost all catheter placements in the urinary tract will cause infection, where data varies between 60</w:t>
      </w:r>
      <w:r w:rsidR="00445A6A" w:rsidRPr="00445A6A">
        <w:rPr>
          <w:rFonts w:ascii="Arial" w:hAnsi="Arial" w:cs="Arial"/>
          <w:highlight w:val="yellow"/>
        </w:rPr>
        <w:t>-</w:t>
      </w:r>
      <w:r w:rsidRPr="00445A6A">
        <w:rPr>
          <w:rFonts w:ascii="Arial" w:hAnsi="Arial" w:cs="Arial"/>
          <w:highlight w:val="yellow"/>
        </w:rPr>
        <w:t xml:space="preserve">90%. Catheter-associated urinary tract infection (CAUTI) causes increased morbidity, mortality, treatment costs, and length of stay in hospital </w:t>
      </w:r>
      <w:r w:rsidR="00BB7D2A" w:rsidRPr="00445A6A">
        <w:rPr>
          <w:rFonts w:ascii="Arial" w:hAnsi="Arial" w:cs="Arial"/>
          <w:highlight w:val="yellow"/>
        </w:rPr>
        <w:fldChar w:fldCharType="begin" w:fldLock="1"/>
      </w:r>
      <w:r w:rsidR="003E0F66" w:rsidRPr="00445A6A">
        <w:rPr>
          <w:rFonts w:ascii="Arial" w:hAnsi="Arial" w:cs="Arial"/>
          <w:highlight w:val="yellow"/>
        </w:rPr>
        <w:instrText>ADDIN CSL_CITATION {"citationItems":[{"id":"ITEM-1","itemData":{"author":[{"dropping-particle":"","family":"Ivanova","given":"D D","non-dropping-particle":"","parse-names":false,"suffix":""},{"dropping-particle":"","family":"Sychev","given":"I N","non-dropping-particle":"","parse-names":false,"suffix":""},{"dropping-particle":"","family":"Lazareva","given":"N B","non-dropping-particle":"","parse-names":false,"suffix":""}],"container-title":"FARMAKOEKONOMIKA. Modern Pharmacoeconomics and Pharmacoepidemiology","id":"ITEM-1","issued":{"date-parts":[["2025","4","21"]]},"title":"Clinical and economic assessment of nosocomial pneumonia antibacterial therapy in Moscow hospital","type":"article-journal"},"uris":["http://www.mendeley.com/documents/?uuid=9c068ce9-accc-4e20-9abd-6987594b4547"]},{"id":"ITEM-2","itemData":{"DOI":"10.5301/uro.5000092","ISSN":"0391-5603, 1724-6075","abstract":"Nosocomial urinary tract infections are a common complication in healthcare systems worldwide. A review of the literature was performed in June 2014 using the Medical Literature Analysis and Retrieval System Online (MEDLINE) database, through either PubMed or Ovid as a search engine, to identify publications regarding nosocomial urinary tract infections (NUTIs) definition, epidemiology, etiology and treatment. According to current definitions, more than 30% of nosocomial infections are urinary tract infections (UTIs). A UTI is defined ‘nosocomial’ (NUTI) when it is acquired in any healthcare institution or, more generally, when it is related to patient management. The origin of nosocomial bacteria is endogenous (the patient's flora) in two thirds of the cases. Patients with indwelling urinary catheters, those undergoing urological surgery and manipulations, long-stay elderly male patients and patients with debilitating diseases are at high risk of developing NUTIs. All bacterial NUTIs should be treated, whether the patient is harboring a urinary catheter or not. The length of treatment depends on the infection site. There is abundance of important guidance which should be considered to reduce the risk of NUTIs (hand disinfection with instant hand sanitizer, wearing non-sterile gloves permanently, isolation of infected or colonized catheterized patients). Patients with asymptomatic bacteriuria can generally be treated initially with catheter removal or catheter exchange, and do not necessarily need antimicrobial therapy. Symptomatic patients should receive antibiotic therapy. Resistance of urinary pathogens to common antibiotics is currently a topic of concern.","author":[{"dropping-particle":"","family":"Iacovelli","given":"Valerio","non-dropping-particle":"","parse-names":false,"suffix":""},{"dropping-particle":"","family":"Gaziev","given":"Gabriele","non-dropping-particle":"","parse-names":false,"suffix":""},{"dropping-particle":"","family":"Topazio","given":"Luca","non-dropping-particle":"","parse-names":false,"suffix":""},{"dropping-particle":"","family":"Bove","given":"Pierluigi","non-dropping-particle":"","parse-names":false,"suffix":""},{"dropping-particle":"","family":"Vespasiani","given":"Giuseppe","non-dropping-particle":"","parse-names":false,"suffix":""},{"dropping-particle":"","family":"Agrò","given":"Enrico Finazzi","non-dropping-particle":"","parse-names":false,"suffix":""}],"container-title":"Urologia Journal","id":"ITEM-2","issue":"4","issued":{"date-parts":[["2014","4","21"]]},"language":"en","page":"222-227","title":"Nosocomial Urinary Tract Infections: A Review","type":"article-journal","volume":"81"},"uris":["http://www.mendeley.com/documents/?uuid=21932628-be52-4040-b28f-2a9f21a91867"]}],"mendeley":{"formattedCitation":"(Iacovelli et al. 2014; Ivanova, Sychev, and Lazareva 2025)","plainTextFormattedCitation":"(Iacovelli et al. 2014; Ivanova, Sychev, and Lazareva 2025)","previouslyFormattedCitation":"(Iacovelli et al. 2014; Ivanova, Sychev, and Lazareva 2025)"},"properties":{"noteIndex":0},"schema":"https://github.com/citation-style-language/schema/raw/master/csl-citation.json"}</w:instrText>
      </w:r>
      <w:r w:rsidR="00BB7D2A" w:rsidRPr="00445A6A">
        <w:rPr>
          <w:rFonts w:ascii="Arial" w:hAnsi="Arial" w:cs="Arial"/>
          <w:highlight w:val="yellow"/>
        </w:rPr>
        <w:fldChar w:fldCharType="separate"/>
      </w:r>
      <w:r w:rsidR="00BB7D2A" w:rsidRPr="00445A6A">
        <w:rPr>
          <w:rFonts w:ascii="Arial" w:hAnsi="Arial" w:cs="Arial"/>
          <w:noProof/>
          <w:highlight w:val="yellow"/>
        </w:rPr>
        <w:t>(Iacovelli et al. 2014; Ivanova, Sychev, and Lazareva 2025)</w:t>
      </w:r>
      <w:r w:rsidR="00BB7D2A" w:rsidRPr="00445A6A">
        <w:rPr>
          <w:rFonts w:ascii="Arial" w:hAnsi="Arial" w:cs="Arial"/>
          <w:highlight w:val="yellow"/>
        </w:rPr>
        <w:fldChar w:fldCharType="end"/>
      </w:r>
      <w:r w:rsidRPr="00445A6A">
        <w:rPr>
          <w:rFonts w:ascii="Arial" w:hAnsi="Arial" w:cs="Arial"/>
          <w:highlight w:val="yellow"/>
        </w:rPr>
        <w:t xml:space="preserve">. In addition, bacteriuria is often the reason for giving </w:t>
      </w:r>
      <w:r w:rsidR="00445A6A" w:rsidRPr="00445A6A">
        <w:rPr>
          <w:rFonts w:ascii="Arial" w:hAnsi="Arial" w:cs="Arial"/>
          <w:highlight w:val="yellow"/>
        </w:rPr>
        <w:t>unnecessary antibiotics</w:t>
      </w:r>
      <w:r w:rsidR="003E0F66" w:rsidRPr="00445A6A">
        <w:rPr>
          <w:rFonts w:ascii="Arial" w:hAnsi="Arial" w:cs="Arial"/>
          <w:highlight w:val="yellow"/>
        </w:rPr>
        <w:t>.</w:t>
      </w:r>
      <w:r w:rsidR="003E0F66" w:rsidRPr="00445A6A">
        <w:rPr>
          <w:rFonts w:ascii="Arial" w:hAnsi="Arial" w:cs="Arial"/>
          <w:highlight w:val="yellow"/>
        </w:rPr>
        <w:fldChar w:fldCharType="begin" w:fldLock="1"/>
      </w:r>
      <w:r w:rsidR="003E0F66" w:rsidRPr="00445A6A">
        <w:rPr>
          <w:rFonts w:ascii="Arial" w:hAnsi="Arial" w:cs="Arial"/>
          <w:highlight w:val="yellow"/>
        </w:rPr>
        <w:instrText>ADDIN CSL_CITATION {"citationItems":[{"id":"ITEM-1","itemData":{"author":[{"dropping-particle":"","family":"Amiri","given":"Sohrab","non-dropping-particle":"","parse-names":false,"suffix":""},{"dropping-particle":"","family":"Mahmood","given":"Nailah","non-dropping-particle":"","parse-names":false,"suffix":""},{"dropping-particle":"","family":"Mustafa","given":"Halla","non-dropping-particle":"","parse-names":false,"suffix":""},{"dropping-particle":"","family":"Javaid","given":"Syed Fahad","non-dropping-particle":"","parse-names":false,"suffix":""},{"dropping-particle":"","family":"Khan","given":"Moien A B","non-dropping-particle":"","parse-names":false,"suffix":""}],"container-title":"International Journal of Environmental Research and Public Health","id":"ITEM-1","issue":"12","issued":{"date-parts":[["2024","3","5"]]},"page":"1583","title":"Occupational Risk Factors for Burnout Syndrome Among Healthcare Professionals: A Global Systematic Review and Meta-Analysis","type":"article-journal","volume":"21"},"uris":["http://www.mendeley.com/documents/?uuid=e9479594-e091-4384-9c41-b89f21abd551"]},{"id":"ITEM-2","itemData":{"author":[{"dropping-particle":"","family":"Rahul","given":"T","non-dropping-particle":"","parse-names":false,"suffix":""},{"dropping-particle":"","family":"Jayasenan","given":"Jayannan","non-dropping-particle":"","parse-names":false,"suffix":""},{"dropping-particle":"","family":"Duraisamy","given":"Anbarasu","non-dropping-particle":"","parse-names":false,"suffix":""}],"container-title":"Advances in Sports Science and Technology","id":"ITEM-2","issued":{"date-parts":[["2025","4","21"]]},"page":"363-365","title":"A Rare Case of UTI by Nosocomial Pathogen Serratia Marcescens—A Detailed Review","type":"article-journal"},"uris":["http://www.mendeley.com/documents/?uuid=ca9adc15-0bf9-43c5-982c-81d3a3360ab6"]}],"mendeley":{"formattedCitation":"(Amiri et al. 2024; Rahul, Jayasenan, and Duraisamy 2025)","plainTextFormattedCitation":"(Amiri et al. 2024; Rahul, Jayasenan, and Duraisamy 2025)","previouslyFormattedCitation":"(Amiri et al. 2024; Rahul, Jayasenan, and Duraisamy 2025)"},"properties":{"noteIndex":0},"schema":"https://github.com/citation-style-language/schema/raw/master/csl-citation.json"}</w:instrText>
      </w:r>
      <w:r w:rsidR="003E0F66" w:rsidRPr="00445A6A">
        <w:rPr>
          <w:rFonts w:ascii="Arial" w:hAnsi="Arial" w:cs="Arial"/>
          <w:highlight w:val="yellow"/>
        </w:rPr>
        <w:fldChar w:fldCharType="separate"/>
      </w:r>
      <w:r w:rsidR="003E0F66" w:rsidRPr="00445A6A">
        <w:rPr>
          <w:rFonts w:ascii="Arial" w:hAnsi="Arial" w:cs="Arial"/>
          <w:noProof/>
          <w:highlight w:val="yellow"/>
        </w:rPr>
        <w:t>(Amiri et al. 2024; Rahul, Jayasenan, and Duraisamy 2025)</w:t>
      </w:r>
      <w:r w:rsidR="003E0F66" w:rsidRPr="00445A6A">
        <w:rPr>
          <w:rFonts w:ascii="Arial" w:hAnsi="Arial" w:cs="Arial"/>
          <w:highlight w:val="yellow"/>
        </w:rPr>
        <w:fldChar w:fldCharType="end"/>
      </w:r>
      <w:r w:rsidR="003E0F66">
        <w:rPr>
          <w:rFonts w:ascii="Arial" w:hAnsi="Arial" w:cs="Arial"/>
        </w:rPr>
        <w:t>.</w:t>
      </w:r>
      <w:r w:rsidRPr="003A2E3E">
        <w:rPr>
          <w:rFonts w:ascii="Arial" w:hAnsi="Arial" w:cs="Arial"/>
        </w:rPr>
        <w:t xml:space="preserve"> </w:t>
      </w:r>
      <w:r w:rsidR="004F4F3E" w:rsidRPr="004F4F3E">
        <w:rPr>
          <w:rFonts w:ascii="Arial" w:hAnsi="Arial" w:cs="Arial"/>
        </w:rPr>
        <w:t xml:space="preserve">Urinary </w:t>
      </w:r>
      <w:r w:rsidR="004F4F3E" w:rsidRPr="004F4F3E">
        <w:rPr>
          <w:rFonts w:ascii="Arial" w:hAnsi="Arial" w:cs="Arial"/>
        </w:rPr>
        <w:lastRenderedPageBreak/>
        <w:t>tract infections (UTIs) due to catheter use not only prolong hospitalization but also increase treatment costs and mortality risk. One of the main problems in the management of CAUTI is the increasing pattern of antibiotic resistance in pathogens that cause infection. Over time, inappropriate or excessive use of antibiotics has caused microorganisms to develop resistance to available treatments.</w:t>
      </w:r>
      <w:r w:rsidR="004F4F3E">
        <w:rPr>
          <w:rFonts w:ascii="Arial" w:hAnsi="Arial" w:cs="Arial"/>
        </w:rPr>
        <w:t xml:space="preserve"> </w:t>
      </w:r>
      <w:r w:rsidR="004F4F3E" w:rsidRPr="004F4F3E">
        <w:rPr>
          <w:rFonts w:ascii="Arial" w:hAnsi="Arial" w:cs="Arial"/>
        </w:rPr>
        <w:t>Understanding the profile of patients with CAUTI and the antibiotic resistance patterns of the causative microorganisms is essential to determine an effective therapeutic approach</w:t>
      </w:r>
      <w:r w:rsidR="003E0F66">
        <w:rPr>
          <w:rFonts w:ascii="Arial" w:hAnsi="Arial" w:cs="Arial"/>
        </w:rPr>
        <w:t xml:space="preserve"> </w:t>
      </w:r>
      <w:r w:rsidR="003E0F66">
        <w:rPr>
          <w:rFonts w:ascii="Arial" w:hAnsi="Arial" w:cs="Arial"/>
        </w:rPr>
        <w:fldChar w:fldCharType="begin" w:fldLock="1"/>
      </w:r>
      <w:r w:rsidR="003E0F66">
        <w:rPr>
          <w:rFonts w:ascii="Arial" w:hAnsi="Arial" w:cs="Arial"/>
        </w:rPr>
        <w:instrText>ADDIN CSL_CITATION {"citationItems":[{"id":"ITEM-1","itemData":{"author":[{"dropping-particle":"","family":"Kranz","given":"Jennifer","non-dropping-particle":"","parse-names":false,"suffix":""},{"dropping-particle":"","family":"Schmidt","given":"Stefanie","non-dropping-particle":"","parse-names":false,"suffix":""},{"dropping-particle":"","family":"Wagenlehner","given":"Florian","non-dropping-particle":"","parse-names":false,"suffix":""},{"dropping-particle":"","family":"Schneidewind","given":"Laila","non-dropping-particle":"","parse-names":false,"suffix":""}],"container-title":"Deutsches Ärzteblatt International","id":"ITEM-1","issue":"6","issued":{"date-parts":[["2020","4","21"]]},"page":"83","title":"Catheter-associated urinary tract infections in adult patients: Preventive strategies and treatment options","type":"article-journal","volume":"117"},"uris":["http://www.mendeley.com/documents/?uuid=f1d0afc1-4f9e-40b3-8f7b-0c4348acfc27"]},{"id":"ITEM-2","itemData":{"author":[{"dropping-particle":"","family":"Hollenbeak","given":"Christopher S","non-dropping-particle":"","parse-names":false,"suffix":""},{"dropping-particle":"","family":"Schilling","given":"Amber L","non-dropping-particle":"","parse-names":false,"suffix":""}],"container-title":"American journal of infection control","id":"ITEM-2","issue":"7","issued":{"date-parts":[["2018","4","21"]]},"page":"751-757","title":"The attributable cost of catheter-associated urinary tract infections in the United States: A systematic review","type":"article-journal","volume":"46"},"uris":["http://www.mendeley.com/documents/?uuid=98dc6961-e907-41da-961b-ee8face0bbe2"]}],"mendeley":{"formattedCitation":"(Hollenbeak and Schilling 2018; Kranz et al. 2020)","plainTextFormattedCitation":"(Hollenbeak and Schilling 2018; Kranz et al. 2020)","previouslyFormattedCitation":"(Hollenbeak and Schilling 2018; Kranz et al. 2020)"},"properties":{"noteIndex":0},"schema":"https://github.com/citation-style-language/schema/raw/master/csl-citation.json"}</w:instrText>
      </w:r>
      <w:r w:rsidR="003E0F66">
        <w:rPr>
          <w:rFonts w:ascii="Arial" w:hAnsi="Arial" w:cs="Arial"/>
        </w:rPr>
        <w:fldChar w:fldCharType="separate"/>
      </w:r>
      <w:r w:rsidR="003E0F66" w:rsidRPr="003E0F66">
        <w:rPr>
          <w:rFonts w:ascii="Arial" w:hAnsi="Arial" w:cs="Arial"/>
          <w:noProof/>
        </w:rPr>
        <w:t>(Hollenbeak and Schilling 2018; Kranz et al. 2020)</w:t>
      </w:r>
      <w:r w:rsidR="003E0F66">
        <w:rPr>
          <w:rFonts w:ascii="Arial" w:hAnsi="Arial" w:cs="Arial"/>
        </w:rPr>
        <w:fldChar w:fldCharType="end"/>
      </w:r>
      <w:r w:rsidR="004F4F3E" w:rsidRPr="004F4F3E">
        <w:rPr>
          <w:rFonts w:ascii="Arial" w:hAnsi="Arial" w:cs="Arial"/>
        </w:rPr>
        <w:t>. This study aims to evaluate the characteristics of patients with CAUTI, including age, gender, duration of catheter use, and comorbidities. In addition, this study will also identify the types of microorganisms most frequently found in CAUTI cases and evaluate their sensitivity and resistance patterns to various antibiotics.</w:t>
      </w:r>
      <w:r w:rsidR="004F4F3E">
        <w:rPr>
          <w:rFonts w:ascii="Arial" w:hAnsi="Arial" w:cs="Arial"/>
        </w:rPr>
        <w:t xml:space="preserve"> </w:t>
      </w:r>
      <w:r w:rsidRPr="009A20BB">
        <w:rPr>
          <w:rFonts w:ascii="Arial" w:hAnsi="Arial" w:cs="Arial"/>
          <w:highlight w:val="yellow"/>
        </w:rPr>
        <w:t>Several risk factors associated with CAUTI have been studied in Europe and America</w:t>
      </w:r>
      <w:r w:rsidR="009A20BB" w:rsidRPr="009A20BB">
        <w:rPr>
          <w:rFonts w:ascii="Arial" w:hAnsi="Arial" w:cs="Arial"/>
          <w:highlight w:val="yellow"/>
        </w:rPr>
        <w:t xml:space="preserve"> (ICE, 2019)</w:t>
      </w:r>
      <w:r w:rsidRPr="009A20BB">
        <w:rPr>
          <w:rFonts w:ascii="Arial" w:hAnsi="Arial" w:cs="Arial"/>
          <w:highlight w:val="yellow"/>
        </w:rPr>
        <w:t>. It is estimated that mortality due to CAUTI increases if these risk factors are found. CAUTI</w:t>
      </w:r>
      <w:r w:rsidRPr="003A2E3E">
        <w:rPr>
          <w:rFonts w:ascii="Arial" w:hAnsi="Arial" w:cs="Arial"/>
        </w:rPr>
        <w:t xml:space="preserve"> can cause complications such as cystitis, pyelonephritis, bacteremia, prostatitis, epididymitis, orchitis, endocarditis, osteomyelitis of the vertebrae, arthritis, endophthalmitis</w:t>
      </w:r>
      <w:r>
        <w:rPr>
          <w:rFonts w:ascii="Arial" w:hAnsi="Arial" w:cs="Arial"/>
        </w:rPr>
        <w:t>,</w:t>
      </w:r>
      <w:r w:rsidRPr="003A2E3E">
        <w:rPr>
          <w:rFonts w:ascii="Arial" w:hAnsi="Arial" w:cs="Arial"/>
        </w:rPr>
        <w:t xml:space="preserve"> and meningitis</w:t>
      </w:r>
      <w:r w:rsidR="003E0F66">
        <w:rPr>
          <w:rFonts w:ascii="Arial" w:hAnsi="Arial" w:cs="Arial"/>
        </w:rPr>
        <w:t xml:space="preserve"> </w:t>
      </w:r>
      <w:r w:rsidR="003E0F66">
        <w:rPr>
          <w:rFonts w:ascii="Arial" w:hAnsi="Arial" w:cs="Arial"/>
        </w:rPr>
        <w:fldChar w:fldCharType="begin" w:fldLock="1"/>
      </w:r>
      <w:r w:rsidR="003E0F66">
        <w:rPr>
          <w:rFonts w:ascii="Arial" w:hAnsi="Arial" w:cs="Arial"/>
        </w:rPr>
        <w:instrText>ADDIN CSL_CITATION {"citationItems":[{"id":"ITEM-1","itemData":{"DOI":"10.1007/s12028-020-01020-3","ISSN":"1541-6933, 1556-0961","author":[{"dropping-particle":"","family":"Perrin","given":"Karen","non-dropping-particle":"","parse-names":false,"suffix":""},{"dropping-particle":"","family":"Vats","given":"Anu","non-dropping-particle":"","parse-names":false,"suffix":""},{"dropping-particle":"","family":"Qureshi","given":"Aater","non-dropping-particle":"","parse-names":false,"suffix":""},{"dropping-particle":"","family":"Hester","given":"Jeannette","non-dropping-particle":"","parse-names":false,"suffix":""},{"dropping-particle":"","family":"Larson","given":"Angela","non-dropping-particle":"","parse-names":false,"suffix":""},{"dropping-particle":"","family":"Felipe","given":"Alfeil","non-dropping-particle":"","parse-names":false,"suffix":""},{"dropping-particle":"","family":"Sleiman","given":"Andressa","non-dropping-particle":"","parse-names":false,"suffix":""},{"dropping-particle":"","family":"Baron-Lee","given":"Jacqueline","non-dropping-particle":"","parse-names":false,"suffix":""},{"dropping-particle":"","family":"Busl","given":"Katharina","non-dropping-particle":"","parse-names":false,"suffix":""}],"container-title":"Neurocritical Care","id":"ITEM-1","issue":"1","issued":{"date-parts":[["2021","4","21"]]},"language":"en","page":"271-278","title":"Catheter-Associated Urinary Tract Infection (CAUTI) in the NeuroICU: Identification of Risk Factors and Time-to-CAUTI Using a Case–Control Design","type":"article-journal","volume":"34"},"uris":["http://www.mendeley.com/documents/?uuid=5e3b737d-d580-446b-8f9d-60672ab2b7be"]}],"mendeley":{"formattedCitation":"(Perrin et al. 2021)","plainTextFormattedCitation":"(Perrin et al. 2021)","previouslyFormattedCitation":"(Perrin et al. 2021)"},"properties":{"noteIndex":0},"schema":"https://github.com/citation-style-language/schema/raw/master/csl-citation.json"}</w:instrText>
      </w:r>
      <w:r w:rsidR="003E0F66">
        <w:rPr>
          <w:rFonts w:ascii="Arial" w:hAnsi="Arial" w:cs="Arial"/>
        </w:rPr>
        <w:fldChar w:fldCharType="separate"/>
      </w:r>
      <w:r w:rsidR="003E0F66" w:rsidRPr="003E0F66">
        <w:rPr>
          <w:rFonts w:ascii="Arial" w:hAnsi="Arial" w:cs="Arial"/>
          <w:noProof/>
        </w:rPr>
        <w:t>(Perrin et al. 2021)</w:t>
      </w:r>
      <w:r w:rsidR="003E0F66">
        <w:rPr>
          <w:rFonts w:ascii="Arial" w:hAnsi="Arial" w:cs="Arial"/>
        </w:rPr>
        <w:fldChar w:fldCharType="end"/>
      </w:r>
      <w:r w:rsidR="003E0F66">
        <w:rPr>
          <w:rFonts w:ascii="Arial" w:hAnsi="Arial" w:cs="Arial"/>
        </w:rPr>
        <w:t>.</w:t>
      </w:r>
      <w:r w:rsidRPr="003A2E3E">
        <w:rPr>
          <w:rFonts w:ascii="Arial" w:hAnsi="Arial" w:cs="Arial"/>
        </w:rPr>
        <w:t>.</w:t>
      </w:r>
      <w:r>
        <w:rPr>
          <w:rFonts w:ascii="Arial" w:hAnsi="Arial" w:cs="Arial"/>
        </w:rPr>
        <w:t xml:space="preserve"> </w:t>
      </w:r>
      <w:r w:rsidRPr="003A2E3E">
        <w:rPr>
          <w:rFonts w:ascii="Arial" w:hAnsi="Arial" w:cs="Arial"/>
        </w:rPr>
        <w:t>Empirical antibiotic administration must be adjusted to the pattern of germs in the area</w:t>
      </w:r>
      <w:r>
        <w:rPr>
          <w:rFonts w:ascii="Arial" w:hAnsi="Arial" w:cs="Arial"/>
        </w:rPr>
        <w:t>,</w:t>
      </w:r>
      <w:r w:rsidRPr="003A2E3E">
        <w:rPr>
          <w:rFonts w:ascii="Arial" w:hAnsi="Arial" w:cs="Arial"/>
        </w:rPr>
        <w:t xml:space="preserve"> and the pattern of resistance of these germs can change over time because the nature of germs that can adapt themselves so that they become resistant to type </w:t>
      </w:r>
      <w:r>
        <w:rPr>
          <w:rFonts w:ascii="Arial" w:hAnsi="Arial" w:cs="Arial"/>
        </w:rPr>
        <w:t>certain class of</w:t>
      </w:r>
      <w:r w:rsidR="004F4F3E">
        <w:rPr>
          <w:rFonts w:ascii="Arial" w:hAnsi="Arial" w:cs="Arial"/>
        </w:rPr>
        <w:t xml:space="preserve"> antibiotics</w:t>
      </w:r>
      <w:r w:rsidRPr="003A2E3E">
        <w:rPr>
          <w:rFonts w:ascii="Arial" w:hAnsi="Arial" w:cs="Arial"/>
        </w:rPr>
        <w:t xml:space="preserve">. Therefore, researchers want to know the pattern of germ resistance in Hasan </w:t>
      </w:r>
      <w:proofErr w:type="spellStart"/>
      <w:r w:rsidRPr="003A2E3E">
        <w:rPr>
          <w:rFonts w:ascii="Arial" w:hAnsi="Arial" w:cs="Arial"/>
        </w:rPr>
        <w:t>Sadikin</w:t>
      </w:r>
      <w:proofErr w:type="spellEnd"/>
      <w:r w:rsidRPr="003A2E3E">
        <w:rPr>
          <w:rFonts w:ascii="Arial" w:hAnsi="Arial" w:cs="Arial"/>
        </w:rPr>
        <w:t xml:space="preserve"> Hospital along with the profile of CAUTI patients</w:t>
      </w:r>
      <w:r w:rsidR="003E0F66">
        <w:rPr>
          <w:rFonts w:ascii="Arial" w:hAnsi="Arial" w:cs="Arial"/>
        </w:rPr>
        <w:t xml:space="preserve"> </w:t>
      </w:r>
      <w:r w:rsidR="003E0F66">
        <w:rPr>
          <w:rFonts w:ascii="Arial" w:hAnsi="Arial" w:cs="Arial"/>
        </w:rPr>
        <w:fldChar w:fldCharType="begin" w:fldLock="1"/>
      </w:r>
      <w:r w:rsidR="003E0F66">
        <w:rPr>
          <w:rFonts w:ascii="Arial" w:hAnsi="Arial" w:cs="Arial"/>
        </w:rPr>
        <w:instrText>ADDIN CSL_CITATION {"citationItems":[{"id":"ITEM-1","itemData":{"DOI":"10.1111/jan.13863","ISSN":"0309-2402, 1365-2648","abstract":"Abstract  Aims The study aimed to identify the risk factors for catheter</w:instrText>
      </w:r>
      <w:r w:rsidR="003E0F66">
        <w:rPr>
          <w:rFonts w:ascii="Cambria Math" w:hAnsi="Cambria Math" w:cs="Cambria Math"/>
        </w:rPr>
        <w:instrText>‐</w:instrText>
      </w:r>
      <w:r w:rsidR="003E0F66">
        <w:rPr>
          <w:rFonts w:ascii="Arial" w:hAnsi="Arial" w:cs="Arial"/>
        </w:rPr>
        <w:instrText>associated urinary tract infection among hospitalized patients. We also tried to explore its potential effect on patient outcomes if possible.   Background Catheter</w:instrText>
      </w:r>
      <w:r w:rsidR="003E0F66">
        <w:rPr>
          <w:rFonts w:ascii="Cambria Math" w:hAnsi="Cambria Math" w:cs="Cambria Math"/>
        </w:rPr>
        <w:instrText>‐</w:instrText>
      </w:r>
      <w:r w:rsidR="003E0F66">
        <w:rPr>
          <w:rFonts w:ascii="Arial" w:hAnsi="Arial" w:cs="Arial"/>
        </w:rPr>
        <w:instrText>associated urinary tract infection accounts for a large proportion of healthcare</w:instrText>
      </w:r>
      <w:r w:rsidR="003E0F66">
        <w:rPr>
          <w:rFonts w:ascii="Cambria Math" w:hAnsi="Cambria Math" w:cs="Cambria Math"/>
        </w:rPr>
        <w:instrText>‐</w:instrText>
      </w:r>
      <w:r w:rsidR="003E0F66">
        <w:rPr>
          <w:rFonts w:ascii="Arial" w:hAnsi="Arial" w:cs="Arial"/>
        </w:rPr>
        <w:instrText>associated infections and remains a considerable threat to patient safety worldwide.   Design A systematic review and meta</w:instrText>
      </w:r>
      <w:r w:rsidR="003E0F66">
        <w:rPr>
          <w:rFonts w:ascii="Cambria Math" w:hAnsi="Cambria Math" w:cs="Cambria Math"/>
        </w:rPr>
        <w:instrText>‐</w:instrText>
      </w:r>
      <w:r w:rsidR="003E0F66">
        <w:rPr>
          <w:rFonts w:ascii="Arial" w:hAnsi="Arial" w:cs="Arial"/>
        </w:rPr>
        <w:instrText>analysis of observational studies.   Data sources  We conducted an electronic search in PubMed, EMBASE , Web of Science, and the Cochrane Database of Systematic Reviews for studies published between January 2008–January 2018.    Review methods Two reviewers searched the articles and extracted the data independently. The quality of the studies was assessed with the Newcastle</w:instrText>
      </w:r>
      <w:r w:rsidR="003E0F66">
        <w:rPr>
          <w:rFonts w:ascii="Cambria Math" w:hAnsi="Cambria Math" w:cs="Cambria Math"/>
        </w:rPr>
        <w:instrText>‐</w:instrText>
      </w:r>
      <w:r w:rsidR="003E0F66">
        <w:rPr>
          <w:rFonts w:ascii="Arial" w:hAnsi="Arial" w:cs="Arial"/>
        </w:rPr>
        <w:instrText>Ottawa Scale. RevMan 5.3 was used to perform the meta</w:instrText>
      </w:r>
      <w:r w:rsidR="003E0F66">
        <w:rPr>
          <w:rFonts w:ascii="Cambria Math" w:hAnsi="Cambria Math" w:cs="Cambria Math"/>
        </w:rPr>
        <w:instrText>‐</w:instrText>
      </w:r>
      <w:r w:rsidR="003E0F66">
        <w:rPr>
          <w:rFonts w:ascii="Arial" w:hAnsi="Arial" w:cs="Arial"/>
        </w:rPr>
        <w:instrText>analysis.   Results  Ten studies involving a total of 8785 participants with or without catheter</w:instrText>
      </w:r>
      <w:r w:rsidR="003E0F66">
        <w:rPr>
          <w:rFonts w:ascii="Cambria Math" w:hAnsi="Cambria Math" w:cs="Cambria Math"/>
        </w:rPr>
        <w:instrText>‐</w:instrText>
      </w:r>
      <w:r w:rsidR="003E0F66">
        <w:rPr>
          <w:rFonts w:ascii="Arial" w:hAnsi="Arial" w:cs="Arial"/>
        </w:rPr>
        <w:instrText>associated urinary tract infection were included. The average incidence of catheter</w:instrText>
      </w:r>
      <w:r w:rsidR="003E0F66">
        <w:rPr>
          <w:rFonts w:ascii="Cambria Math" w:hAnsi="Cambria Math" w:cs="Cambria Math"/>
        </w:rPr>
        <w:instrText>‐</w:instrText>
      </w:r>
      <w:r w:rsidR="003E0F66">
        <w:rPr>
          <w:rFonts w:ascii="Arial" w:hAnsi="Arial" w:cs="Arial"/>
        </w:rPr>
        <w:instrText>associated urinary tract infection was 13.79 per 1000 catheter days, with a prevalence rate of 9.33%. The meta</w:instrText>
      </w:r>
      <w:r w:rsidR="003E0F66">
        <w:rPr>
          <w:rFonts w:ascii="Cambria Math" w:hAnsi="Cambria Math" w:cs="Cambria Math"/>
        </w:rPr>
        <w:instrText>‐</w:instrText>
      </w:r>
      <w:r w:rsidR="003E0F66">
        <w:rPr>
          <w:rFonts w:ascii="Arial" w:hAnsi="Arial" w:cs="Arial"/>
        </w:rPr>
        <w:instrText>analysis demonstrated that patients at high risk for catheter</w:instrText>
      </w:r>
      <w:r w:rsidR="003E0F66">
        <w:rPr>
          <w:rFonts w:ascii="Cambria Math" w:hAnsi="Cambria Math" w:cs="Cambria Math"/>
        </w:rPr>
        <w:instrText>‐</w:instrText>
      </w:r>
      <w:r w:rsidR="003E0F66">
        <w:rPr>
          <w:rFonts w:ascii="Arial" w:hAnsi="Arial" w:cs="Arial"/>
        </w:rPr>
        <w:instrText>associated urinary tract infection were female, had a prolonged duration of catheterization, had diabetes, had previous catheterization, and had longer hospital and ICU stays. Additionally, catheter</w:instrText>
      </w:r>
      <w:r w:rsidR="003E0F66">
        <w:rPr>
          <w:rFonts w:ascii="Cambria Math" w:hAnsi="Cambria Math" w:cs="Cambria Math"/>
        </w:rPr>
        <w:instrText>‐</w:instrText>
      </w:r>
      <w:r w:rsidR="003E0F66">
        <w:rPr>
          <w:rFonts w:ascii="Arial" w:hAnsi="Arial" w:cs="Arial"/>
        </w:rPr>
        <w:instrText>associated urinary tract infection was also accompanied by an increase in mortality.    Conclusions Healthcare staff should focus on the identified risk factors for catheter</w:instrText>
      </w:r>
      <w:r w:rsidR="003E0F66">
        <w:rPr>
          <w:rFonts w:ascii="Cambria Math" w:hAnsi="Cambria Math" w:cs="Cambria Math"/>
        </w:rPr>
        <w:instrText>‐</w:instrText>
      </w:r>
      <w:r w:rsidR="003E0F66">
        <w:rPr>
          <w:rFonts w:ascii="Arial" w:hAnsi="Arial" w:cs="Arial"/>
        </w:rPr>
        <w:instrText>associated urinary tract infection. Further research is needed to investigate the microbial isolates and focus on the intervention strategies of catheter</w:instrText>
      </w:r>
      <w:r w:rsidR="003E0F66">
        <w:rPr>
          <w:rFonts w:ascii="Cambria Math" w:hAnsi="Cambria Math" w:cs="Cambria Math"/>
        </w:rPr>
        <w:instrText>‐</w:instrText>
      </w:r>
      <w:r w:rsidR="003E0F66">
        <w:rPr>
          <w:rFonts w:ascii="Arial" w:hAnsi="Arial" w:cs="Arial"/>
        </w:rPr>
        <w:instrText xml:space="preserve">associated urinary tract infection, so as to reduce its incidence and related mortality.  ,  </w:instrText>
      </w:r>
      <w:r w:rsidR="003E0F66">
        <w:rPr>
          <w:rFonts w:ascii="MS Gothic" w:eastAsia="MS Gothic" w:hAnsi="MS Gothic" w:cs="MS Gothic" w:hint="eastAsia"/>
        </w:rPr>
        <w:instrText>目的</w:instrText>
      </w:r>
      <w:r w:rsidR="003E0F66">
        <w:rPr>
          <w:rFonts w:ascii="Arial" w:hAnsi="Arial" w:cs="Arial"/>
        </w:rPr>
        <w:instrText xml:space="preserve"> </w:instrText>
      </w:r>
      <w:r w:rsidR="003E0F66">
        <w:rPr>
          <w:rFonts w:ascii="MS Gothic" w:eastAsia="MS Gothic" w:hAnsi="MS Gothic" w:cs="MS Gothic" w:hint="eastAsia"/>
        </w:rPr>
        <w:instrText>本研究旨在确定住院患者尿</w:instrText>
      </w:r>
      <w:r w:rsidR="003E0F66">
        <w:rPr>
          <w:rFonts w:ascii="Microsoft JhengHei" w:eastAsia="Microsoft JhengHei" w:hAnsi="Microsoft JhengHei" w:cs="Microsoft JhengHei" w:hint="eastAsia"/>
        </w:rPr>
        <w:instrText>导管相关性尿路感染的风险因素。如可能</w:instrText>
      </w:r>
      <w:r w:rsidR="003E0F66">
        <w:rPr>
          <w:rFonts w:ascii="Arial" w:hAnsi="Arial" w:cs="Arial"/>
        </w:rPr>
        <w:instrText>,</w:instrText>
      </w:r>
      <w:r w:rsidR="003E0F66">
        <w:rPr>
          <w:rFonts w:ascii="MS Gothic" w:eastAsia="MS Gothic" w:hAnsi="MS Gothic" w:cs="MS Gothic" w:hint="eastAsia"/>
        </w:rPr>
        <w:instrText>我</w:instrText>
      </w:r>
      <w:r w:rsidR="003E0F66">
        <w:rPr>
          <w:rFonts w:ascii="Microsoft JhengHei" w:eastAsia="Microsoft JhengHei" w:hAnsi="Microsoft JhengHei" w:cs="Microsoft JhengHei" w:hint="eastAsia"/>
        </w:rPr>
        <w:instrText>们还会尝试探索其对患者预后的潜在影响。</w:instrText>
      </w:r>
      <w:r w:rsidR="003E0F66">
        <w:rPr>
          <w:rFonts w:ascii="Arial" w:hAnsi="Arial" w:cs="Arial"/>
        </w:rPr>
        <w:instrText xml:space="preserve">   </w:instrText>
      </w:r>
      <w:r w:rsidR="003E0F66">
        <w:rPr>
          <w:rFonts w:ascii="MS Gothic" w:eastAsia="MS Gothic" w:hAnsi="MS Gothic" w:cs="MS Gothic" w:hint="eastAsia"/>
        </w:rPr>
        <w:instrText>背景</w:instrText>
      </w:r>
      <w:r w:rsidR="003E0F66">
        <w:rPr>
          <w:rFonts w:ascii="Arial" w:hAnsi="Arial" w:cs="Arial"/>
        </w:rPr>
        <w:instrText xml:space="preserve"> </w:instrText>
      </w:r>
      <w:r w:rsidR="003E0F66">
        <w:rPr>
          <w:rFonts w:ascii="MS Gothic" w:eastAsia="MS Gothic" w:hAnsi="MS Gothic" w:cs="MS Gothic" w:hint="eastAsia"/>
        </w:rPr>
        <w:instrText>尿</w:instrText>
      </w:r>
      <w:r w:rsidR="003E0F66">
        <w:rPr>
          <w:rFonts w:ascii="Microsoft JhengHei" w:eastAsia="Microsoft JhengHei" w:hAnsi="Microsoft JhengHei" w:cs="Microsoft JhengHei" w:hint="eastAsia"/>
        </w:rPr>
        <w:instrText>导管相关性尿路感染占医疗相关感</w:instrText>
      </w:r>
      <w:r w:rsidR="003E0F66">
        <w:rPr>
          <w:rFonts w:ascii="MS Gothic" w:eastAsia="MS Gothic" w:hAnsi="MS Gothic" w:cs="MS Gothic" w:hint="eastAsia"/>
        </w:rPr>
        <w:instrText>染的很大一部分</w:instrText>
      </w:r>
      <w:r w:rsidR="003E0F66">
        <w:rPr>
          <w:rFonts w:ascii="Arial" w:hAnsi="Arial" w:cs="Arial"/>
        </w:rPr>
        <w:instrText>,</w:instrText>
      </w:r>
      <w:r w:rsidR="003E0F66">
        <w:rPr>
          <w:rFonts w:ascii="MS Gothic" w:eastAsia="MS Gothic" w:hAnsi="MS Gothic" w:cs="MS Gothic" w:hint="eastAsia"/>
        </w:rPr>
        <w:instrText>且</w:instrText>
      </w:r>
      <w:r w:rsidR="003E0F66">
        <w:rPr>
          <w:rFonts w:ascii="Microsoft JhengHei" w:eastAsia="Microsoft JhengHei" w:hAnsi="Microsoft JhengHei" w:cs="Microsoft JhengHei" w:hint="eastAsia"/>
        </w:rPr>
        <w:instrText>对全球患者安全仍是很大的威胁。</w:instrText>
      </w:r>
      <w:r w:rsidR="003E0F66">
        <w:rPr>
          <w:rFonts w:ascii="Arial" w:hAnsi="Arial" w:cs="Arial"/>
        </w:rPr>
        <w:instrText xml:space="preserve">   </w:instrText>
      </w:r>
      <w:r w:rsidR="003E0F66">
        <w:rPr>
          <w:rFonts w:ascii="Microsoft JhengHei" w:eastAsia="Microsoft JhengHei" w:hAnsi="Microsoft JhengHei" w:cs="Microsoft JhengHei" w:hint="eastAsia"/>
        </w:rPr>
        <w:instrText>设计</w:instrText>
      </w:r>
      <w:r w:rsidR="003E0F66">
        <w:rPr>
          <w:rFonts w:ascii="Arial" w:hAnsi="Arial" w:cs="Arial"/>
        </w:rPr>
        <w:instrText xml:space="preserve"> </w:instrText>
      </w:r>
      <w:r w:rsidR="003E0F66">
        <w:rPr>
          <w:rFonts w:ascii="Microsoft JhengHei" w:eastAsia="Microsoft JhengHei" w:hAnsi="Microsoft JhengHei" w:cs="Microsoft JhengHei" w:hint="eastAsia"/>
        </w:rPr>
        <w:instrText>观测研究的系统回顾和荟萃分析</w:instrText>
      </w:r>
      <w:r w:rsidR="003E0F66">
        <w:rPr>
          <w:rFonts w:ascii="Arial" w:hAnsi="Arial" w:cs="Arial"/>
        </w:rPr>
        <w:instrText xml:space="preserve">   </w:instrText>
      </w:r>
      <w:r w:rsidR="003E0F66">
        <w:rPr>
          <w:rFonts w:ascii="MS Gothic" w:eastAsia="MS Gothic" w:hAnsi="MS Gothic" w:cs="MS Gothic" w:hint="eastAsia"/>
        </w:rPr>
        <w:instrText>数据来源</w:instrText>
      </w:r>
      <w:r w:rsidR="003E0F66">
        <w:rPr>
          <w:rFonts w:ascii="Arial" w:hAnsi="Arial" w:cs="Arial"/>
        </w:rPr>
        <w:instrText xml:space="preserve"> </w:instrText>
      </w:r>
      <w:r w:rsidR="003E0F66">
        <w:rPr>
          <w:rFonts w:ascii="MS Gothic" w:eastAsia="MS Gothic" w:hAnsi="MS Gothic" w:cs="MS Gothic" w:hint="eastAsia"/>
        </w:rPr>
        <w:instrText>我</w:instrText>
      </w:r>
      <w:r w:rsidR="003E0F66">
        <w:rPr>
          <w:rFonts w:ascii="Microsoft JhengHei" w:eastAsia="Microsoft JhengHei" w:hAnsi="Microsoft JhengHei" w:cs="Microsoft JhengHei" w:hint="eastAsia"/>
        </w:rPr>
        <w:instrText>们在</w:instrText>
      </w:r>
      <w:r w:rsidR="003E0F66">
        <w:rPr>
          <w:rFonts w:ascii="Arial" w:hAnsi="Arial" w:cs="Arial"/>
        </w:rPr>
        <w:instrText>PubMed</w:instrText>
      </w:r>
      <w:r w:rsidR="003E0F66">
        <w:rPr>
          <w:rFonts w:ascii="MS Gothic" w:eastAsia="MS Gothic" w:hAnsi="MS Gothic" w:cs="MS Gothic" w:hint="eastAsia"/>
        </w:rPr>
        <w:instrText>、</w:instrText>
      </w:r>
      <w:r w:rsidR="003E0F66">
        <w:rPr>
          <w:rFonts w:ascii="Arial" w:hAnsi="Arial" w:cs="Arial"/>
        </w:rPr>
        <w:instrText>EMBASE</w:instrText>
      </w:r>
      <w:r w:rsidR="003E0F66">
        <w:rPr>
          <w:rFonts w:ascii="MS Gothic" w:eastAsia="MS Gothic" w:hAnsi="MS Gothic" w:cs="MS Gothic" w:hint="eastAsia"/>
        </w:rPr>
        <w:instrText>、</w:instrText>
      </w:r>
      <w:r w:rsidR="003E0F66">
        <w:rPr>
          <w:rFonts w:ascii="Arial" w:hAnsi="Arial" w:cs="Arial"/>
        </w:rPr>
        <w:instrText>Web of Science</w:instrText>
      </w:r>
      <w:r w:rsidR="003E0F66">
        <w:rPr>
          <w:rFonts w:ascii="MS Gothic" w:eastAsia="MS Gothic" w:hAnsi="MS Gothic" w:cs="MS Gothic" w:hint="eastAsia"/>
        </w:rPr>
        <w:instrText>及</w:instrText>
      </w:r>
      <w:r w:rsidR="003E0F66">
        <w:rPr>
          <w:rFonts w:ascii="Arial" w:hAnsi="Arial" w:cs="Arial"/>
        </w:rPr>
        <w:instrText xml:space="preserve">Cochrane </w:instrText>
      </w:r>
      <w:r w:rsidR="003E0F66">
        <w:rPr>
          <w:rFonts w:ascii="MS Gothic" w:eastAsia="MS Gothic" w:hAnsi="MS Gothic" w:cs="MS Gothic" w:hint="eastAsia"/>
        </w:rPr>
        <w:instrText>系</w:instrText>
      </w:r>
      <w:r w:rsidR="003E0F66">
        <w:rPr>
          <w:rFonts w:ascii="Microsoft JhengHei" w:eastAsia="Microsoft JhengHei" w:hAnsi="Microsoft JhengHei" w:cs="Microsoft JhengHei" w:hint="eastAsia"/>
        </w:rPr>
        <w:instrText>统回顾数据库内对于</w:instrText>
      </w:r>
      <w:r w:rsidR="003E0F66">
        <w:rPr>
          <w:rFonts w:ascii="Arial" w:hAnsi="Arial" w:cs="Arial"/>
        </w:rPr>
        <w:instrText>2008</w:instrText>
      </w:r>
      <w:r w:rsidR="003E0F66">
        <w:rPr>
          <w:rFonts w:ascii="MS Gothic" w:eastAsia="MS Gothic" w:hAnsi="MS Gothic" w:cs="MS Gothic" w:hint="eastAsia"/>
        </w:rPr>
        <w:instrText>年</w:instrText>
      </w:r>
      <w:r w:rsidR="003E0F66">
        <w:rPr>
          <w:rFonts w:ascii="Arial" w:hAnsi="Arial" w:cs="Arial"/>
        </w:rPr>
        <w:instrText>1</w:instrText>
      </w:r>
      <w:r w:rsidR="003E0F66">
        <w:rPr>
          <w:rFonts w:ascii="MS Gothic" w:eastAsia="MS Gothic" w:hAnsi="MS Gothic" w:cs="MS Gothic" w:hint="eastAsia"/>
        </w:rPr>
        <w:instrText>月</w:instrText>
      </w:r>
      <w:r w:rsidR="003E0F66">
        <w:rPr>
          <w:rFonts w:ascii="Arial" w:hAnsi="Arial" w:cs="Arial"/>
        </w:rPr>
        <w:instrText>—2018</w:instrText>
      </w:r>
      <w:r w:rsidR="003E0F66">
        <w:rPr>
          <w:rFonts w:ascii="MS Gothic" w:eastAsia="MS Gothic" w:hAnsi="MS Gothic" w:cs="MS Gothic" w:hint="eastAsia"/>
        </w:rPr>
        <w:instrText>年</w:instrText>
      </w:r>
      <w:r w:rsidR="003E0F66">
        <w:rPr>
          <w:rFonts w:ascii="Arial" w:hAnsi="Arial" w:cs="Arial"/>
        </w:rPr>
        <w:instrText>1</w:instrText>
      </w:r>
      <w:r w:rsidR="003E0F66">
        <w:rPr>
          <w:rFonts w:ascii="MS Gothic" w:eastAsia="MS Gothic" w:hAnsi="MS Gothic" w:cs="MS Gothic" w:hint="eastAsia"/>
        </w:rPr>
        <w:instrText>月</w:instrText>
      </w:r>
      <w:r w:rsidR="003E0F66">
        <w:rPr>
          <w:rFonts w:ascii="Microsoft JhengHei" w:eastAsia="Microsoft JhengHei" w:hAnsi="Microsoft JhengHei" w:cs="Microsoft JhengHei" w:hint="eastAsia"/>
        </w:rPr>
        <w:instrText>间发布的研究进行了电子搜索。</w:instrText>
      </w:r>
      <w:r w:rsidR="003E0F66">
        <w:rPr>
          <w:rFonts w:ascii="Arial" w:hAnsi="Arial" w:cs="Arial"/>
        </w:rPr>
        <w:instrText xml:space="preserve">   </w:instrText>
      </w:r>
      <w:r w:rsidR="003E0F66">
        <w:rPr>
          <w:rFonts w:ascii="Microsoft JhengHei" w:eastAsia="Microsoft JhengHei" w:hAnsi="Microsoft JhengHei" w:cs="Microsoft JhengHei" w:hint="eastAsia"/>
        </w:rPr>
        <w:instrText>综述方法</w:instrText>
      </w:r>
      <w:r w:rsidR="003E0F66">
        <w:rPr>
          <w:rFonts w:ascii="Arial" w:hAnsi="Arial" w:cs="Arial"/>
        </w:rPr>
        <w:instrText xml:space="preserve"> </w:instrText>
      </w:r>
      <w:r w:rsidR="003E0F66">
        <w:rPr>
          <w:rFonts w:ascii="MS Gothic" w:eastAsia="MS Gothic" w:hAnsi="MS Gothic" w:cs="MS Gothic" w:hint="eastAsia"/>
        </w:rPr>
        <w:instrText>两名</w:instrText>
      </w:r>
      <w:r w:rsidR="003E0F66">
        <w:rPr>
          <w:rFonts w:ascii="Microsoft JhengHei" w:eastAsia="Microsoft JhengHei" w:hAnsi="Microsoft JhengHei" w:cs="Microsoft JhengHei" w:hint="eastAsia"/>
        </w:rPr>
        <w:instrText>审核员独立搜索文章、提取数据。采用</w:instrText>
      </w:r>
      <w:r w:rsidR="003E0F66">
        <w:rPr>
          <w:rFonts w:ascii="Arial" w:hAnsi="Arial" w:cs="Arial"/>
        </w:rPr>
        <w:instrText>Newcastle</w:instrText>
      </w:r>
      <w:r w:rsidR="003E0F66">
        <w:rPr>
          <w:rFonts w:ascii="Cambria Math" w:hAnsi="Cambria Math" w:cs="Cambria Math"/>
        </w:rPr>
        <w:instrText>‐</w:instrText>
      </w:r>
      <w:r w:rsidR="003E0F66">
        <w:rPr>
          <w:rFonts w:ascii="Arial" w:hAnsi="Arial" w:cs="Arial"/>
        </w:rPr>
        <w:instrText xml:space="preserve">Ottawa </w:instrText>
      </w:r>
      <w:r w:rsidR="003E0F66">
        <w:rPr>
          <w:rFonts w:ascii="MS Gothic" w:eastAsia="MS Gothic" w:hAnsi="MS Gothic" w:cs="MS Gothic" w:hint="eastAsia"/>
        </w:rPr>
        <w:instrText>量表</w:instrText>
      </w:r>
      <w:r w:rsidR="003E0F66">
        <w:rPr>
          <w:rFonts w:ascii="Microsoft JhengHei" w:eastAsia="Microsoft JhengHei" w:hAnsi="Microsoft JhengHei" w:cs="Microsoft JhengHei" w:hint="eastAsia"/>
        </w:rPr>
        <w:instrText>对研究质量进行评估</w:instrText>
      </w:r>
      <w:r w:rsidR="003E0F66">
        <w:rPr>
          <w:rFonts w:ascii="Arial" w:hAnsi="Arial" w:cs="Arial"/>
        </w:rPr>
        <w:instrText>,RevMan 5.3</w:instrText>
      </w:r>
      <w:r w:rsidR="003E0F66">
        <w:rPr>
          <w:rFonts w:ascii="Microsoft JhengHei" w:eastAsia="Microsoft JhengHei" w:hAnsi="Microsoft JhengHei" w:cs="Microsoft JhengHei" w:hint="eastAsia"/>
        </w:rPr>
        <w:instrText>进行荟萃分析。</w:instrText>
      </w:r>
      <w:r w:rsidR="003E0F66">
        <w:rPr>
          <w:rFonts w:ascii="Arial" w:hAnsi="Arial" w:cs="Arial"/>
        </w:rPr>
        <w:instrText xml:space="preserve">   </w:instrText>
      </w:r>
      <w:r w:rsidR="003E0F66">
        <w:rPr>
          <w:rFonts w:ascii="Microsoft JhengHei" w:eastAsia="Microsoft JhengHei" w:hAnsi="Microsoft JhengHei" w:cs="Microsoft JhengHei" w:hint="eastAsia"/>
        </w:rPr>
        <w:instrText>结果</w:instrText>
      </w:r>
      <w:r w:rsidR="003E0F66">
        <w:rPr>
          <w:rFonts w:ascii="Arial" w:hAnsi="Arial" w:cs="Arial"/>
        </w:rPr>
        <w:instrText xml:space="preserve"> </w:instrText>
      </w:r>
      <w:r w:rsidR="003E0F66">
        <w:rPr>
          <w:rFonts w:ascii="MS Gothic" w:eastAsia="MS Gothic" w:hAnsi="MS Gothic" w:cs="MS Gothic" w:hint="eastAsia"/>
        </w:rPr>
        <w:instrText>共</w:instrText>
      </w:r>
      <w:r w:rsidR="003E0F66">
        <w:rPr>
          <w:rFonts w:ascii="Arial" w:hAnsi="Arial" w:cs="Arial"/>
        </w:rPr>
        <w:instrText>10</w:instrText>
      </w:r>
      <w:r w:rsidR="003E0F66">
        <w:rPr>
          <w:rFonts w:ascii="Microsoft JhengHei" w:eastAsia="Microsoft JhengHei" w:hAnsi="Microsoft JhengHei" w:cs="Microsoft JhengHei" w:hint="eastAsia"/>
        </w:rPr>
        <w:instrText>项研究</w:instrText>
      </w:r>
      <w:r w:rsidR="003E0F66">
        <w:rPr>
          <w:rFonts w:ascii="Arial" w:hAnsi="Arial" w:cs="Arial"/>
        </w:rPr>
        <w:instrText>,</w:instrText>
      </w:r>
      <w:r w:rsidR="003E0F66">
        <w:rPr>
          <w:rFonts w:ascii="Microsoft JhengHei" w:eastAsia="Microsoft JhengHei" w:hAnsi="Microsoft JhengHei" w:cs="Microsoft JhengHei" w:hint="eastAsia"/>
        </w:rPr>
        <w:instrText>总共涉及</w:instrText>
      </w:r>
      <w:r w:rsidR="003E0F66">
        <w:rPr>
          <w:rFonts w:ascii="Arial" w:hAnsi="Arial" w:cs="Arial"/>
        </w:rPr>
        <w:instrText>8785</w:instrText>
      </w:r>
      <w:r w:rsidR="003E0F66">
        <w:rPr>
          <w:rFonts w:ascii="MS Gothic" w:eastAsia="MS Gothic" w:hAnsi="MS Gothic" w:cs="MS Gothic" w:hint="eastAsia"/>
        </w:rPr>
        <w:instrText>名有或没有尿</w:instrText>
      </w:r>
      <w:r w:rsidR="003E0F66">
        <w:rPr>
          <w:rFonts w:ascii="Microsoft JhengHei" w:eastAsia="Microsoft JhengHei" w:hAnsi="Microsoft JhengHei" w:cs="Microsoft JhengHei" w:hint="eastAsia"/>
        </w:rPr>
        <w:instrText>导管相关性尿路感</w:instrText>
      </w:r>
      <w:r w:rsidR="003E0F66">
        <w:rPr>
          <w:rFonts w:ascii="MS Gothic" w:eastAsia="MS Gothic" w:hAnsi="MS Gothic" w:cs="MS Gothic" w:hint="eastAsia"/>
        </w:rPr>
        <w:instrText>染的参与者。尿</w:instrText>
      </w:r>
      <w:r w:rsidR="003E0F66">
        <w:rPr>
          <w:rFonts w:ascii="Microsoft JhengHei" w:eastAsia="Microsoft JhengHei" w:hAnsi="Microsoft JhengHei" w:cs="Microsoft JhengHei" w:hint="eastAsia"/>
        </w:rPr>
        <w:instrText>导管相关性尿路感染的平均发生率为</w:instrText>
      </w:r>
      <w:r w:rsidR="003E0F66">
        <w:rPr>
          <w:rFonts w:ascii="Arial" w:hAnsi="Arial" w:cs="Arial"/>
        </w:rPr>
        <w:instrText>13.79/1000</w:instrText>
      </w:r>
      <w:r w:rsidR="003E0F66">
        <w:rPr>
          <w:rFonts w:ascii="Microsoft JhengHei" w:eastAsia="Microsoft JhengHei" w:hAnsi="Microsoft JhengHei" w:cs="Microsoft JhengHei" w:hint="eastAsia"/>
        </w:rPr>
        <w:instrText>导管日</w:instrText>
      </w:r>
      <w:r w:rsidR="003E0F66">
        <w:rPr>
          <w:rFonts w:ascii="Arial" w:hAnsi="Arial" w:cs="Arial"/>
        </w:rPr>
        <w:instrText>,</w:instrText>
      </w:r>
      <w:r w:rsidR="003E0F66">
        <w:rPr>
          <w:rFonts w:ascii="MS Gothic" w:eastAsia="MS Gothic" w:hAnsi="MS Gothic" w:cs="MS Gothic" w:hint="eastAsia"/>
        </w:rPr>
        <w:instrText>患病率</w:instrText>
      </w:r>
      <w:r w:rsidR="003E0F66">
        <w:rPr>
          <w:rFonts w:ascii="Microsoft JhengHei" w:eastAsia="Microsoft JhengHei" w:hAnsi="Microsoft JhengHei" w:cs="Microsoft JhengHei" w:hint="eastAsia"/>
        </w:rPr>
        <w:instrText>为</w:instrText>
      </w:r>
      <w:r w:rsidR="003E0F66">
        <w:rPr>
          <w:rFonts w:ascii="Arial" w:hAnsi="Arial" w:cs="Arial"/>
        </w:rPr>
        <w:instrText>9.33%</w:instrText>
      </w:r>
      <w:r w:rsidR="003E0F66">
        <w:rPr>
          <w:rFonts w:ascii="MS Gothic" w:eastAsia="MS Gothic" w:hAnsi="MS Gothic" w:cs="MS Gothic" w:hint="eastAsia"/>
        </w:rPr>
        <w:instrText>。</w:instrText>
      </w:r>
      <w:r w:rsidR="003E0F66">
        <w:rPr>
          <w:rFonts w:ascii="Microsoft JhengHei" w:eastAsia="Microsoft JhengHei" w:hAnsi="Microsoft JhengHei" w:cs="Microsoft JhengHei" w:hint="eastAsia"/>
        </w:rPr>
        <w:instrText>荟萃分析表明</w:instrText>
      </w:r>
      <w:r w:rsidR="003E0F66">
        <w:rPr>
          <w:rFonts w:ascii="Arial" w:hAnsi="Arial" w:cs="Arial"/>
        </w:rPr>
        <w:instrText>,</w:instrText>
      </w:r>
      <w:r w:rsidR="003E0F66">
        <w:rPr>
          <w:rFonts w:ascii="MS Gothic" w:eastAsia="MS Gothic" w:hAnsi="MS Gothic" w:cs="MS Gothic" w:hint="eastAsia"/>
        </w:rPr>
        <w:instrText>尿</w:instrText>
      </w:r>
      <w:r w:rsidR="003E0F66">
        <w:rPr>
          <w:rFonts w:ascii="Microsoft JhengHei" w:eastAsia="Microsoft JhengHei" w:hAnsi="Microsoft JhengHei" w:cs="Microsoft JhengHei" w:hint="eastAsia"/>
        </w:rPr>
        <w:instrText>导管相关性尿路感染高危患者为女性</w:instrText>
      </w:r>
      <w:r w:rsidR="003E0F66">
        <w:rPr>
          <w:rFonts w:ascii="Arial" w:hAnsi="Arial" w:cs="Arial"/>
        </w:rPr>
        <w:instrText>,</w:instrText>
      </w:r>
      <w:r w:rsidR="003E0F66">
        <w:rPr>
          <w:rFonts w:ascii="Microsoft JhengHei" w:eastAsia="Microsoft JhengHei" w:hAnsi="Microsoft JhengHei" w:cs="Microsoft JhengHei" w:hint="eastAsia"/>
        </w:rPr>
        <w:instrText>导管留置时间长、患有糖尿病、有导管插入史、且长时间住院并待在</w:instrText>
      </w:r>
      <w:r w:rsidR="003E0F66">
        <w:rPr>
          <w:rFonts w:ascii="Arial" w:hAnsi="Arial" w:cs="Arial"/>
        </w:rPr>
        <w:instrText>ICU</w:instrText>
      </w:r>
      <w:r w:rsidR="003E0F66">
        <w:rPr>
          <w:rFonts w:ascii="MS Gothic" w:eastAsia="MS Gothic" w:hAnsi="MS Gothic" w:cs="MS Gothic" w:hint="eastAsia"/>
        </w:rPr>
        <w:instrText>。此外</w:instrText>
      </w:r>
      <w:r w:rsidR="003E0F66">
        <w:rPr>
          <w:rFonts w:ascii="Arial" w:hAnsi="Arial" w:cs="Arial"/>
        </w:rPr>
        <w:instrText>,</w:instrText>
      </w:r>
      <w:r w:rsidR="003E0F66">
        <w:rPr>
          <w:rFonts w:ascii="MS Gothic" w:eastAsia="MS Gothic" w:hAnsi="MS Gothic" w:cs="MS Gothic" w:hint="eastAsia"/>
        </w:rPr>
        <w:instrText>尿</w:instrText>
      </w:r>
      <w:r w:rsidR="003E0F66">
        <w:rPr>
          <w:rFonts w:ascii="Microsoft JhengHei" w:eastAsia="Microsoft JhengHei" w:hAnsi="Microsoft JhengHei" w:cs="Microsoft JhengHei" w:hint="eastAsia"/>
        </w:rPr>
        <w:instrText>导管相关性尿路感染也伴随着死亡率的增加。</w:instrText>
      </w:r>
      <w:r w:rsidR="003E0F66">
        <w:rPr>
          <w:rFonts w:ascii="Arial" w:hAnsi="Arial" w:cs="Arial"/>
        </w:rPr>
        <w:instrText xml:space="preserve">   </w:instrText>
      </w:r>
      <w:r w:rsidR="003E0F66">
        <w:rPr>
          <w:rFonts w:ascii="Microsoft JhengHei" w:eastAsia="Microsoft JhengHei" w:hAnsi="Microsoft JhengHei" w:cs="Microsoft JhengHei" w:hint="eastAsia"/>
        </w:rPr>
        <w:instrText>结论</w:instrText>
      </w:r>
      <w:r w:rsidR="003E0F66">
        <w:rPr>
          <w:rFonts w:ascii="Arial" w:hAnsi="Arial" w:cs="Arial"/>
        </w:rPr>
        <w:instrText xml:space="preserve"> </w:instrText>
      </w:r>
      <w:r w:rsidR="003E0F66">
        <w:rPr>
          <w:rFonts w:ascii="MS Gothic" w:eastAsia="MS Gothic" w:hAnsi="MS Gothic" w:cs="MS Gothic" w:hint="eastAsia"/>
        </w:rPr>
        <w:instrText>医</w:instrText>
      </w:r>
      <w:r w:rsidR="003E0F66">
        <w:rPr>
          <w:rFonts w:ascii="Microsoft JhengHei" w:eastAsia="Microsoft JhengHei" w:hAnsi="Microsoft JhengHei" w:cs="Microsoft JhengHei" w:hint="eastAsia"/>
        </w:rPr>
        <w:instrText>疗人员应重点关注已确定的尿导管相关性尿路感染风险因素。需要进行进一步的研究以调查微生物隔离</w:instrText>
      </w:r>
      <w:r w:rsidR="003E0F66">
        <w:rPr>
          <w:rFonts w:ascii="Arial" w:hAnsi="Arial" w:cs="Arial"/>
        </w:rPr>
        <w:instrText>,</w:instrText>
      </w:r>
      <w:r w:rsidR="003E0F66">
        <w:rPr>
          <w:rFonts w:ascii="MS Gothic" w:eastAsia="MS Gothic" w:hAnsi="MS Gothic" w:cs="MS Gothic" w:hint="eastAsia"/>
        </w:rPr>
        <w:instrText>并关注尿</w:instrText>
      </w:r>
      <w:r w:rsidR="003E0F66">
        <w:rPr>
          <w:rFonts w:ascii="Microsoft JhengHei" w:eastAsia="Microsoft JhengHei" w:hAnsi="Microsoft JhengHei" w:cs="Microsoft JhengHei" w:hint="eastAsia"/>
        </w:rPr>
        <w:instrText>导管相关性尿路感染的干预策略</w:instrText>
      </w:r>
      <w:r w:rsidR="003E0F66">
        <w:rPr>
          <w:rFonts w:ascii="Arial" w:hAnsi="Arial" w:cs="Arial"/>
        </w:rPr>
        <w:instrText>,</w:instrText>
      </w:r>
      <w:r w:rsidR="003E0F66">
        <w:rPr>
          <w:rFonts w:ascii="MS Gothic" w:eastAsia="MS Gothic" w:hAnsi="MS Gothic" w:cs="MS Gothic" w:hint="eastAsia"/>
        </w:rPr>
        <w:instrText>从而减少</w:instrText>
      </w:r>
      <w:r w:rsidR="003E0F66">
        <w:rPr>
          <w:rFonts w:ascii="Microsoft JhengHei" w:eastAsia="Microsoft JhengHei" w:hAnsi="Microsoft JhengHei" w:cs="Microsoft JhengHei" w:hint="eastAsia"/>
        </w:rPr>
        <w:instrText>发病率及相关死亡率。</w:instrText>
      </w:r>
      <w:r w:rsidR="003E0F66">
        <w:rPr>
          <w:rFonts w:ascii="Arial" w:hAnsi="Arial" w:cs="Arial"/>
        </w:rPr>
        <w:instrText>","author":[{"dropping-particle":"","family":"Li","given":"Fei","non-dropping-particle":"","parse-names":false,"suffix":""},{"dropping-particle":"","family":"Song","given":"Meixuan","non-dropping-particle":"","parse-names":false,"suffix":""},{"dropping-particle":"","family":"Xu","given":"Linxia","non-dropping-particle":"","parse-names":false,"suffix":""},{"dropping-particle":"","family":"Deng","given":"Bo","non-dropping-particle":"","parse-names":false,"suffix":""},{"dropping-particle":"","family":"Zhu","given":"Shiqin","non-dropping-particle":"","parse-names":false,"suffix":""},{"dropping-particle":"","family":"Li","given":"Xianrong","non-dropping-particle":"","parse-names":false,"suffix":""}],"container-title":"Journal of Advanced Nursing","id":"ITEM-1","issue":"3","issued":{"date-parts":[["2019","4","21"]]},"language":"en","page":"517-527","title":"Risk factors for catheter</w:instrText>
      </w:r>
      <w:r w:rsidR="003E0F66">
        <w:rPr>
          <w:rFonts w:ascii="Cambria Math" w:hAnsi="Cambria Math" w:cs="Cambria Math"/>
        </w:rPr>
        <w:instrText>‐</w:instrText>
      </w:r>
      <w:r w:rsidR="003E0F66">
        <w:rPr>
          <w:rFonts w:ascii="Arial" w:hAnsi="Arial" w:cs="Arial"/>
        </w:rPr>
        <w:instrText>associated urinary tract infection among hospitalized patients: A systematic review and meta</w:instrText>
      </w:r>
      <w:r w:rsidR="003E0F66">
        <w:rPr>
          <w:rFonts w:ascii="Cambria Math" w:hAnsi="Cambria Math" w:cs="Cambria Math"/>
        </w:rPr>
        <w:instrText>‐</w:instrText>
      </w:r>
      <w:r w:rsidR="003E0F66">
        <w:rPr>
          <w:rFonts w:ascii="Arial" w:hAnsi="Arial" w:cs="Arial"/>
        </w:rPr>
        <w:instrText>analysis of observational studies","type":"article-journal","volume":"75"},"uris":["http://www.mendeley.com/documents/?uuid=5bf281e9-8167-4cb7-a7be-14a95fd356c7"]}],"mendeley":{"formattedCitation":"(Li et al. 2019)","plainTextFormattedCitation":"(Li et al. 2019)","previouslyFormattedCitation":"(Li et al. 2019)"},"properties":{"noteIndex":0},"schema":"https://github.com/citation-style-language/schema/raw/master/csl-citation.json"}</w:instrText>
      </w:r>
      <w:r w:rsidR="003E0F66">
        <w:rPr>
          <w:rFonts w:ascii="Arial" w:hAnsi="Arial" w:cs="Arial"/>
        </w:rPr>
        <w:fldChar w:fldCharType="separate"/>
      </w:r>
      <w:r w:rsidR="003E0F66" w:rsidRPr="003E0F66">
        <w:rPr>
          <w:rFonts w:ascii="Arial" w:hAnsi="Arial" w:cs="Arial"/>
          <w:noProof/>
        </w:rPr>
        <w:t>(Li et al. 2019)</w:t>
      </w:r>
      <w:r w:rsidR="003E0F66">
        <w:rPr>
          <w:rFonts w:ascii="Arial" w:hAnsi="Arial" w:cs="Arial"/>
        </w:rPr>
        <w:fldChar w:fldCharType="end"/>
      </w:r>
      <w:r w:rsidRPr="003A2E3E">
        <w:rPr>
          <w:rFonts w:ascii="Arial" w:hAnsi="Arial" w:cs="Arial"/>
        </w:rPr>
        <w:t>.</w:t>
      </w:r>
      <w:r w:rsidR="004F4F3E">
        <w:rPr>
          <w:rFonts w:ascii="Arial" w:hAnsi="Arial" w:cs="Arial"/>
        </w:rPr>
        <w:t xml:space="preserve"> </w:t>
      </w:r>
      <w:r w:rsidR="004F4F3E" w:rsidRPr="004F4F3E">
        <w:rPr>
          <w:rFonts w:ascii="Arial" w:hAnsi="Arial" w:cs="Arial"/>
        </w:rPr>
        <w:t>By understanding the risk factors and characteristics of the pathogens involved, healthcare institutions can develop better prevention and treatment strategies. These strategies include the</w:t>
      </w:r>
      <w:r w:rsidR="004F4F3E">
        <w:rPr>
          <w:rFonts w:ascii="Arial" w:hAnsi="Arial" w:cs="Arial"/>
        </w:rPr>
        <w:t xml:space="preserve"> </w:t>
      </w:r>
      <w:r w:rsidR="004F4F3E" w:rsidRPr="004F4F3E">
        <w:rPr>
          <w:rFonts w:ascii="Arial" w:hAnsi="Arial" w:cs="Arial"/>
        </w:rPr>
        <w:t>use of appropriate antibiotics based on culture and sensitivity results, as well as preventive measures such as catheter restriction, increased hygiene, and training of medical personnel in catheter insertion and care procedures.</w:t>
      </w:r>
      <w:r w:rsidR="004F4F3E">
        <w:rPr>
          <w:rFonts w:ascii="Arial" w:hAnsi="Arial" w:cs="Arial"/>
        </w:rPr>
        <w:t xml:space="preserve"> </w:t>
      </w:r>
      <w:r w:rsidR="004F4F3E" w:rsidRPr="004F4F3E">
        <w:rPr>
          <w:rFonts w:ascii="Arial" w:hAnsi="Arial" w:cs="Arial"/>
        </w:rPr>
        <w:t>The problem of antibiotic resistance is a global challenge, and CAUTI cases are an important part of this problem</w:t>
      </w:r>
      <w:r w:rsidR="003E0F66">
        <w:rPr>
          <w:rFonts w:ascii="Arial" w:hAnsi="Arial" w:cs="Arial"/>
        </w:rPr>
        <w:t xml:space="preserve"> </w:t>
      </w:r>
      <w:r w:rsidR="003E0F66">
        <w:rPr>
          <w:rFonts w:ascii="Arial" w:hAnsi="Arial" w:cs="Arial"/>
        </w:rPr>
        <w:fldChar w:fldCharType="begin" w:fldLock="1"/>
      </w:r>
      <w:r w:rsidR="003E0F66">
        <w:rPr>
          <w:rFonts w:ascii="Arial" w:hAnsi="Arial" w:cs="Arial"/>
        </w:rPr>
        <w:instrText>ADDIN CSL_CITATION {"citationItems":[{"id":"ITEM-1","itemData":{"DOI":"10.2147/RRU.S273663","ISSN":"2253-2447","author":[{"dropping-particle":"","family":"Werneburg","given":"Glenn T","non-dropping-particle":"","parse-names":false,"suffix":""}],"container-title":"Research and Reports in Urology","id":"ITEM-1","issued":{"date-parts":[["2022","4","21"]]},"language":"en","page":"109-133","title":"Catheter-Associated Urinary Tract Infections: Current Challenges and Future Prospects","type":"article-journal","volume":"Volume 14"},"uris":["http://www.mendeley.com/documents/?uuid=1b20fbbf-2fc0-4328-8b6d-4debda4a81d0"]}],"mendeley":{"formattedCitation":"(Werneburg 2022)","plainTextFormattedCitation":"(Werneburg 2022)","previouslyFormattedCitation":"(Werneburg 2022)"},"properties":{"noteIndex":0},"schema":"https://github.com/citation-style-language/schema/raw/master/csl-citation.json"}</w:instrText>
      </w:r>
      <w:r w:rsidR="003E0F66">
        <w:rPr>
          <w:rFonts w:ascii="Arial" w:hAnsi="Arial" w:cs="Arial"/>
        </w:rPr>
        <w:fldChar w:fldCharType="separate"/>
      </w:r>
      <w:r w:rsidR="003E0F66" w:rsidRPr="003E0F66">
        <w:rPr>
          <w:rFonts w:ascii="Arial" w:hAnsi="Arial" w:cs="Arial"/>
          <w:noProof/>
        </w:rPr>
        <w:t>(Werneburg 2022)</w:t>
      </w:r>
      <w:r w:rsidR="003E0F66">
        <w:rPr>
          <w:rFonts w:ascii="Arial" w:hAnsi="Arial" w:cs="Arial"/>
        </w:rPr>
        <w:fldChar w:fldCharType="end"/>
      </w:r>
      <w:r w:rsidR="004F4F3E" w:rsidRPr="004F4F3E">
        <w:rPr>
          <w:rFonts w:ascii="Arial" w:hAnsi="Arial" w:cs="Arial"/>
        </w:rPr>
        <w:t>. Therefore, local data on resistance patterns are needed to adjust empirical therapy guidelines. In this context, this study is expected to provide an important contribution to the development of hospital policies related to antibiotic use and infection control.</w:t>
      </w:r>
      <w:r w:rsidR="004F4F3E">
        <w:rPr>
          <w:rFonts w:ascii="Arial" w:hAnsi="Arial" w:cs="Arial"/>
        </w:rPr>
        <w:t xml:space="preserve"> </w:t>
      </w:r>
      <w:r w:rsidR="004F4F3E" w:rsidRPr="004F4F3E">
        <w:rPr>
          <w:rFonts w:ascii="Arial" w:hAnsi="Arial" w:cs="Arial"/>
        </w:rPr>
        <w:t>This study was conducted in one of the main referral hospitals with a fairly high number of patients and relatively frequent use of urinary catheters. Thus, the data obtained from this study are expected to have good external validity and can be a reference for other healthcare facilities.</w:t>
      </w:r>
    </w:p>
    <w:p w14:paraId="036AA140" w14:textId="77777777" w:rsidR="003A2E3E" w:rsidRPr="00FB3A86" w:rsidRDefault="003A2E3E" w:rsidP="00441B6F">
      <w:pPr>
        <w:pStyle w:val="Body"/>
        <w:spacing w:after="0"/>
        <w:rPr>
          <w:rFonts w:ascii="Arial" w:hAnsi="Arial" w:cs="Arial"/>
        </w:rPr>
      </w:pPr>
    </w:p>
    <w:p w14:paraId="14D5746C" w14:textId="7A03952B"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3E02C6" w14:textId="0764CD29" w:rsidR="008C1575" w:rsidRPr="008C1575" w:rsidRDefault="008C1575" w:rsidP="008C1575">
      <w:pPr>
        <w:pStyle w:val="Body"/>
        <w:spacing w:after="0"/>
        <w:rPr>
          <w:rFonts w:ascii="Arial" w:hAnsi="Arial" w:cs="Arial"/>
          <w:b/>
          <w:bCs/>
        </w:rPr>
      </w:pPr>
      <w:r w:rsidRPr="008C1575">
        <w:rPr>
          <w:rFonts w:ascii="Arial" w:hAnsi="Arial" w:cs="Arial"/>
          <w:b/>
          <w:bCs/>
        </w:rPr>
        <w:t>2.1. Research Design</w:t>
      </w:r>
    </w:p>
    <w:p w14:paraId="4ABFA364" w14:textId="2084BEC1" w:rsidR="008C1575" w:rsidRDefault="008C1575" w:rsidP="008C1575">
      <w:pPr>
        <w:pStyle w:val="Body"/>
        <w:spacing w:after="0"/>
        <w:rPr>
          <w:rFonts w:ascii="Arial" w:hAnsi="Arial" w:cs="Arial"/>
        </w:rPr>
      </w:pPr>
      <w:r w:rsidRPr="008C1575">
        <w:rPr>
          <w:rFonts w:ascii="Arial" w:hAnsi="Arial" w:cs="Arial"/>
        </w:rPr>
        <w:t>This study used a quantitative descriptive design with a retrospective approach. Data were collected from patient medical records and urine culture results obtained during the study period.</w:t>
      </w:r>
    </w:p>
    <w:p w14:paraId="6B42C2F2" w14:textId="5B78F79A" w:rsidR="008C1575" w:rsidRPr="008C1575" w:rsidRDefault="008C1575" w:rsidP="008C1575">
      <w:pPr>
        <w:pStyle w:val="Body"/>
        <w:spacing w:after="0"/>
        <w:rPr>
          <w:rFonts w:ascii="Arial" w:hAnsi="Arial" w:cs="Arial"/>
          <w:b/>
          <w:bCs/>
        </w:rPr>
      </w:pPr>
      <w:r w:rsidRPr="008C1575">
        <w:rPr>
          <w:rFonts w:ascii="Arial" w:hAnsi="Arial" w:cs="Arial"/>
          <w:b/>
          <w:bCs/>
        </w:rPr>
        <w:t>Place and Time of Research</w:t>
      </w:r>
    </w:p>
    <w:p w14:paraId="35C8E5C5" w14:textId="4B8BA41F" w:rsidR="000513C2" w:rsidRDefault="008C1575" w:rsidP="008C1575">
      <w:pPr>
        <w:pStyle w:val="Body"/>
        <w:spacing w:after="0"/>
        <w:rPr>
          <w:rFonts w:ascii="Arial" w:hAnsi="Arial" w:cs="Arial"/>
        </w:rPr>
      </w:pPr>
      <w:r w:rsidRPr="008C1575">
        <w:rPr>
          <w:rFonts w:ascii="Arial" w:hAnsi="Arial" w:cs="Arial"/>
        </w:rPr>
        <w:t>The study was conducted at</w:t>
      </w:r>
      <w:r>
        <w:rPr>
          <w:rFonts w:ascii="Arial" w:hAnsi="Arial" w:cs="Arial"/>
        </w:rPr>
        <w:t xml:space="preserve"> Hasan </w:t>
      </w:r>
      <w:proofErr w:type="spellStart"/>
      <w:r>
        <w:rPr>
          <w:rFonts w:ascii="Arial" w:hAnsi="Arial" w:cs="Arial"/>
        </w:rPr>
        <w:t>Sadikin</w:t>
      </w:r>
      <w:proofErr w:type="spellEnd"/>
      <w:r w:rsidRPr="008C1575">
        <w:rPr>
          <w:rFonts w:ascii="Arial" w:hAnsi="Arial" w:cs="Arial"/>
        </w:rPr>
        <w:t xml:space="preserve"> Hospital</w:t>
      </w:r>
      <w:r>
        <w:rPr>
          <w:rFonts w:ascii="Arial" w:hAnsi="Arial" w:cs="Arial"/>
        </w:rPr>
        <w:t>, Bandung</w:t>
      </w:r>
      <w:r w:rsidRPr="008C1575">
        <w:rPr>
          <w:rFonts w:ascii="Arial" w:hAnsi="Arial" w:cs="Arial"/>
        </w:rPr>
        <w:t xml:space="preserve"> during the period </w:t>
      </w:r>
      <w:r>
        <w:rPr>
          <w:rFonts w:ascii="Arial" w:hAnsi="Arial" w:cs="Arial"/>
        </w:rPr>
        <w:t>May to October</w:t>
      </w:r>
      <w:r w:rsidRPr="008C1575">
        <w:rPr>
          <w:rFonts w:ascii="Arial" w:hAnsi="Arial" w:cs="Arial"/>
        </w:rPr>
        <w:t xml:space="preserve"> 20</w:t>
      </w:r>
      <w:r>
        <w:rPr>
          <w:rFonts w:ascii="Arial" w:hAnsi="Arial" w:cs="Arial"/>
        </w:rPr>
        <w:t>1</w:t>
      </w:r>
      <w:r w:rsidRPr="008C1575">
        <w:rPr>
          <w:rFonts w:ascii="Arial" w:hAnsi="Arial" w:cs="Arial"/>
        </w:rPr>
        <w:t>3</w:t>
      </w:r>
      <w:r>
        <w:rPr>
          <w:rFonts w:ascii="Arial" w:hAnsi="Arial" w:cs="Arial"/>
        </w:rPr>
        <w:t>.</w:t>
      </w:r>
    </w:p>
    <w:p w14:paraId="04DE5DE6" w14:textId="0F4C3A1C" w:rsidR="000513C2" w:rsidRPr="000513C2" w:rsidRDefault="000513C2" w:rsidP="000513C2">
      <w:pPr>
        <w:pStyle w:val="Body"/>
        <w:spacing w:after="0"/>
        <w:rPr>
          <w:rFonts w:ascii="Arial" w:hAnsi="Arial" w:cs="Arial"/>
          <w:b/>
          <w:bCs/>
        </w:rPr>
      </w:pPr>
      <w:r w:rsidRPr="000513C2">
        <w:rPr>
          <w:rFonts w:ascii="Arial" w:hAnsi="Arial" w:cs="Arial"/>
          <w:b/>
          <w:bCs/>
        </w:rPr>
        <w:t xml:space="preserve">Population and </w:t>
      </w:r>
      <w:r>
        <w:rPr>
          <w:rFonts w:ascii="Arial" w:hAnsi="Arial" w:cs="Arial"/>
          <w:b/>
          <w:bCs/>
        </w:rPr>
        <w:t>S</w:t>
      </w:r>
      <w:r w:rsidRPr="000513C2">
        <w:rPr>
          <w:rFonts w:ascii="Arial" w:hAnsi="Arial" w:cs="Arial"/>
          <w:b/>
          <w:bCs/>
        </w:rPr>
        <w:t>ubjects</w:t>
      </w:r>
    </w:p>
    <w:p w14:paraId="201880E7" w14:textId="65A02292" w:rsidR="008C1575" w:rsidRDefault="000513C2" w:rsidP="000513C2">
      <w:pPr>
        <w:pStyle w:val="Body"/>
        <w:spacing w:after="0"/>
        <w:rPr>
          <w:rFonts w:ascii="Arial" w:hAnsi="Arial" w:cs="Arial"/>
        </w:rPr>
      </w:pPr>
      <w:r w:rsidRPr="001C2692">
        <w:rPr>
          <w:rFonts w:ascii="Arial" w:hAnsi="Arial" w:cs="Arial"/>
          <w:highlight w:val="yellow"/>
        </w:rPr>
        <w:t>The target population of the study was patients indicated for urinary catheterization</w:t>
      </w:r>
      <w:r w:rsidR="00944454" w:rsidRPr="001C2692">
        <w:rPr>
          <w:rFonts w:ascii="Arial" w:hAnsi="Arial" w:cs="Arial"/>
          <w:highlight w:val="yellow"/>
        </w:rPr>
        <w:t xml:space="preserve"> </w:t>
      </w:r>
      <w:r w:rsidRPr="001C2692">
        <w:rPr>
          <w:rFonts w:ascii="Arial" w:hAnsi="Arial" w:cs="Arial"/>
          <w:highlight w:val="yellow"/>
        </w:rPr>
        <w:t xml:space="preserve">at Hasan </w:t>
      </w:r>
      <w:proofErr w:type="spellStart"/>
      <w:r w:rsidRPr="001C2692">
        <w:rPr>
          <w:rFonts w:ascii="Arial" w:hAnsi="Arial" w:cs="Arial"/>
          <w:highlight w:val="yellow"/>
        </w:rPr>
        <w:t>Sadikin</w:t>
      </w:r>
      <w:proofErr w:type="spellEnd"/>
      <w:r w:rsidRPr="001C2692">
        <w:rPr>
          <w:rFonts w:ascii="Arial" w:hAnsi="Arial" w:cs="Arial"/>
          <w:highlight w:val="yellow"/>
        </w:rPr>
        <w:t xml:space="preserve"> Hospital between May and October 2013. The subjects of the study were patients indicated for catheterization at Hasan </w:t>
      </w:r>
      <w:proofErr w:type="spellStart"/>
      <w:r w:rsidRPr="001C2692">
        <w:rPr>
          <w:rFonts w:ascii="Arial" w:hAnsi="Arial" w:cs="Arial"/>
          <w:highlight w:val="yellow"/>
        </w:rPr>
        <w:t>Sadikin</w:t>
      </w:r>
      <w:proofErr w:type="spellEnd"/>
      <w:r w:rsidRPr="001C2692">
        <w:rPr>
          <w:rFonts w:ascii="Arial" w:hAnsi="Arial" w:cs="Arial"/>
          <w:highlight w:val="yellow"/>
        </w:rPr>
        <w:t xml:space="preserve"> Hospital who met the inclusion criteria</w:t>
      </w:r>
      <w:r w:rsidR="00F82CC8" w:rsidRPr="001C2692">
        <w:rPr>
          <w:rFonts w:ascii="Arial" w:hAnsi="Arial" w:cs="Arial"/>
          <w:highlight w:val="yellow"/>
        </w:rPr>
        <w:t xml:space="preserve">, which were </w:t>
      </w:r>
      <w:r w:rsidR="001C2692">
        <w:rPr>
          <w:rFonts w:ascii="Arial" w:hAnsi="Arial" w:cs="Arial"/>
          <w:highlight w:val="yellow"/>
        </w:rPr>
        <w:t>21</w:t>
      </w:r>
      <w:r w:rsidR="009B14AB" w:rsidRPr="001C2692">
        <w:rPr>
          <w:rFonts w:ascii="Arial" w:hAnsi="Arial" w:cs="Arial"/>
          <w:highlight w:val="yellow"/>
        </w:rPr>
        <w:t xml:space="preserve"> </w:t>
      </w:r>
      <w:r w:rsidR="004A4597" w:rsidRPr="001C2692">
        <w:rPr>
          <w:rFonts w:ascii="Arial" w:hAnsi="Arial" w:cs="Arial"/>
          <w:highlight w:val="yellow"/>
        </w:rPr>
        <w:t>people</w:t>
      </w:r>
      <w:r w:rsidR="00F82CC8">
        <w:rPr>
          <w:rFonts w:ascii="Arial" w:hAnsi="Arial" w:cs="Arial"/>
        </w:rPr>
        <w:t>.</w:t>
      </w:r>
    </w:p>
    <w:p w14:paraId="0F5B0887" w14:textId="77777777" w:rsidR="00591C71" w:rsidRDefault="00591C71" w:rsidP="00591C71">
      <w:pPr>
        <w:pStyle w:val="Body"/>
        <w:spacing w:after="0"/>
        <w:rPr>
          <w:rFonts w:ascii="Arial" w:hAnsi="Arial" w:cs="Arial"/>
          <w:b/>
          <w:bCs/>
        </w:rPr>
      </w:pPr>
      <w:r w:rsidRPr="00591C71">
        <w:rPr>
          <w:rFonts w:ascii="Arial" w:hAnsi="Arial" w:cs="Arial"/>
          <w:b/>
          <w:bCs/>
        </w:rPr>
        <w:t>Inclusion criteria:</w:t>
      </w:r>
    </w:p>
    <w:p w14:paraId="5F542A76" w14:textId="77777777" w:rsidR="00591C71" w:rsidRDefault="00591C71" w:rsidP="00591C71">
      <w:pPr>
        <w:pStyle w:val="Body"/>
        <w:numPr>
          <w:ilvl w:val="0"/>
          <w:numId w:val="31"/>
        </w:numPr>
        <w:spacing w:after="0"/>
        <w:rPr>
          <w:rFonts w:ascii="Arial" w:hAnsi="Arial" w:cs="Arial"/>
          <w:b/>
          <w:bCs/>
        </w:rPr>
      </w:pPr>
      <w:r w:rsidRPr="00591C71">
        <w:rPr>
          <w:rFonts w:ascii="Arial" w:hAnsi="Arial" w:cs="Arial"/>
        </w:rPr>
        <w:t>Patients who have used a urinary catheter for at least 48 hours.</w:t>
      </w:r>
    </w:p>
    <w:p w14:paraId="4E1FDCD7" w14:textId="77777777" w:rsidR="00591C71" w:rsidRDefault="00591C71" w:rsidP="00591C71">
      <w:pPr>
        <w:pStyle w:val="Body"/>
        <w:numPr>
          <w:ilvl w:val="0"/>
          <w:numId w:val="31"/>
        </w:numPr>
        <w:spacing w:after="0"/>
        <w:rPr>
          <w:rFonts w:ascii="Arial" w:hAnsi="Arial" w:cs="Arial"/>
          <w:b/>
          <w:bCs/>
        </w:rPr>
      </w:pPr>
      <w:r w:rsidRPr="00591C71">
        <w:rPr>
          <w:rFonts w:ascii="Arial" w:hAnsi="Arial" w:cs="Arial"/>
        </w:rPr>
        <w:t>Patients with positive urine culture results.</w:t>
      </w:r>
    </w:p>
    <w:p w14:paraId="0366EEF5" w14:textId="095BFE25" w:rsidR="00591C71" w:rsidRPr="00F82CC8" w:rsidRDefault="00591C71" w:rsidP="00591C71">
      <w:pPr>
        <w:pStyle w:val="Body"/>
        <w:numPr>
          <w:ilvl w:val="0"/>
          <w:numId w:val="31"/>
        </w:numPr>
        <w:spacing w:after="0"/>
        <w:rPr>
          <w:rFonts w:ascii="Arial" w:hAnsi="Arial" w:cs="Arial"/>
          <w:b/>
          <w:bCs/>
        </w:rPr>
      </w:pPr>
      <w:r w:rsidRPr="00591C71">
        <w:rPr>
          <w:rFonts w:ascii="Arial" w:hAnsi="Arial" w:cs="Arial"/>
        </w:rPr>
        <w:t>Complete data on patient identity, duration of catheter insertion, and antibiotic sensitivity test results are available.</w:t>
      </w:r>
    </w:p>
    <w:p w14:paraId="0DDF9A27" w14:textId="6C56774D" w:rsidR="00591C71" w:rsidRPr="00591C71" w:rsidRDefault="00591C71" w:rsidP="00591C71">
      <w:pPr>
        <w:pStyle w:val="Body"/>
        <w:spacing w:after="0"/>
        <w:rPr>
          <w:rFonts w:ascii="Arial" w:hAnsi="Arial" w:cs="Arial"/>
          <w:b/>
          <w:bCs/>
        </w:rPr>
      </w:pPr>
      <w:r w:rsidRPr="00591C71">
        <w:rPr>
          <w:rFonts w:ascii="Arial" w:hAnsi="Arial" w:cs="Arial"/>
          <w:b/>
          <w:bCs/>
        </w:rPr>
        <w:t>Exclusion criteria:</w:t>
      </w:r>
    </w:p>
    <w:p w14:paraId="08A94F08" w14:textId="35B39EB5" w:rsidR="00591C71" w:rsidRDefault="00591C71" w:rsidP="00591C71">
      <w:pPr>
        <w:pStyle w:val="Body"/>
        <w:numPr>
          <w:ilvl w:val="0"/>
          <w:numId w:val="32"/>
        </w:numPr>
        <w:spacing w:after="0"/>
        <w:rPr>
          <w:rFonts w:ascii="Arial" w:hAnsi="Arial" w:cs="Arial"/>
        </w:rPr>
      </w:pPr>
      <w:r w:rsidRPr="00591C71">
        <w:rPr>
          <w:rFonts w:ascii="Arial" w:hAnsi="Arial" w:cs="Arial"/>
        </w:rPr>
        <w:lastRenderedPageBreak/>
        <w:t xml:space="preserve">Patients with urinary tract infections </w:t>
      </w:r>
      <w:r w:rsidR="004A4597">
        <w:rPr>
          <w:rFonts w:ascii="Arial" w:hAnsi="Arial" w:cs="Arial"/>
        </w:rPr>
        <w:t>before</w:t>
      </w:r>
      <w:r w:rsidRPr="00591C71">
        <w:rPr>
          <w:rFonts w:ascii="Arial" w:hAnsi="Arial" w:cs="Arial"/>
        </w:rPr>
        <w:t xml:space="preserve"> catheter insertion.</w:t>
      </w:r>
    </w:p>
    <w:p w14:paraId="08F71521" w14:textId="6291A665" w:rsidR="008C1575" w:rsidRPr="00591C71" w:rsidRDefault="00591C71" w:rsidP="00591C71">
      <w:pPr>
        <w:pStyle w:val="Body"/>
        <w:numPr>
          <w:ilvl w:val="0"/>
          <w:numId w:val="32"/>
        </w:numPr>
        <w:spacing w:after="0"/>
        <w:rPr>
          <w:rFonts w:ascii="Arial" w:hAnsi="Arial" w:cs="Arial"/>
        </w:rPr>
      </w:pPr>
      <w:r w:rsidRPr="00591C71">
        <w:rPr>
          <w:rFonts w:ascii="Arial" w:hAnsi="Arial" w:cs="Arial"/>
        </w:rPr>
        <w:t>Patients with incomplete medical record data</w:t>
      </w:r>
    </w:p>
    <w:p w14:paraId="7DE3EB67" w14:textId="77777777" w:rsidR="008C1575" w:rsidRDefault="008C1575" w:rsidP="00591C71">
      <w:pPr>
        <w:pStyle w:val="Body"/>
        <w:spacing w:after="0"/>
        <w:rPr>
          <w:rFonts w:ascii="Arial" w:hAnsi="Arial" w:cs="Arial"/>
        </w:rPr>
      </w:pPr>
    </w:p>
    <w:p w14:paraId="42EB6C61" w14:textId="154B121A" w:rsidR="000103D9" w:rsidRPr="000103D9" w:rsidRDefault="000103D9" w:rsidP="000103D9">
      <w:pPr>
        <w:pStyle w:val="Body"/>
        <w:spacing w:after="0"/>
        <w:rPr>
          <w:rFonts w:ascii="Arial" w:hAnsi="Arial" w:cs="Arial"/>
          <w:b/>
          <w:bCs/>
        </w:rPr>
      </w:pPr>
      <w:r w:rsidRPr="000103D9">
        <w:rPr>
          <w:rFonts w:ascii="Arial" w:hAnsi="Arial" w:cs="Arial"/>
          <w:b/>
          <w:bCs/>
        </w:rPr>
        <w:t xml:space="preserve">Data Collection </w:t>
      </w:r>
    </w:p>
    <w:p w14:paraId="223D2233" w14:textId="339EF42B" w:rsidR="008C1575" w:rsidRDefault="000103D9" w:rsidP="003E0F66">
      <w:pPr>
        <w:pStyle w:val="Body"/>
        <w:spacing w:after="0"/>
        <w:rPr>
          <w:rFonts w:ascii="Arial" w:hAnsi="Arial" w:cs="Arial"/>
        </w:rPr>
      </w:pPr>
      <w:r w:rsidRPr="000103D9">
        <w:rPr>
          <w:rFonts w:ascii="Arial" w:hAnsi="Arial" w:cs="Arial"/>
        </w:rPr>
        <w:t>Data were collected from the hospital's medical record department and microbiology laboratory. Data on urine culture results and antibiotic sensitivity tests were obtained from laboratory reports. Data were coded and entered into a worksheet using Microsoft Excel</w:t>
      </w:r>
    </w:p>
    <w:p w14:paraId="7B1203DE" w14:textId="77777777" w:rsidR="004A4597" w:rsidRPr="003E0F66" w:rsidRDefault="004A4597" w:rsidP="004A4597">
      <w:pPr>
        <w:pStyle w:val="Body"/>
        <w:spacing w:after="0"/>
        <w:rPr>
          <w:rFonts w:ascii="Arial" w:hAnsi="Arial" w:cs="Arial"/>
          <w:b/>
          <w:bCs/>
        </w:rPr>
      </w:pPr>
      <w:r w:rsidRPr="003E0F66">
        <w:rPr>
          <w:rFonts w:ascii="Arial" w:hAnsi="Arial" w:cs="Arial"/>
          <w:b/>
          <w:bCs/>
        </w:rPr>
        <w:t>Data Analysis</w:t>
      </w:r>
    </w:p>
    <w:p w14:paraId="164BFDA5" w14:textId="1FA78CA5" w:rsidR="008C1575" w:rsidRDefault="004A4597" w:rsidP="004A4597">
      <w:pPr>
        <w:pStyle w:val="Body"/>
        <w:spacing w:after="0"/>
        <w:rPr>
          <w:rFonts w:ascii="Arial" w:hAnsi="Arial" w:cs="Arial"/>
        </w:rPr>
      </w:pPr>
      <w:r w:rsidRPr="004A4597">
        <w:rPr>
          <w:rFonts w:ascii="Arial" w:hAnsi="Arial" w:cs="Arial"/>
        </w:rPr>
        <w:t xml:space="preserve">Data tabulation was done descriptively, </w:t>
      </w:r>
      <w:r>
        <w:rPr>
          <w:rFonts w:ascii="Arial" w:hAnsi="Arial" w:cs="Arial"/>
        </w:rPr>
        <w:t xml:space="preserve">and </w:t>
      </w:r>
      <w:r w:rsidRPr="004A4597">
        <w:rPr>
          <w:rFonts w:ascii="Arial" w:hAnsi="Arial" w:cs="Arial"/>
        </w:rPr>
        <w:t xml:space="preserve">data analysis </w:t>
      </w:r>
      <w:r>
        <w:rPr>
          <w:rFonts w:ascii="Arial" w:hAnsi="Arial" w:cs="Arial"/>
        </w:rPr>
        <w:t xml:space="preserve">was conducted </w:t>
      </w:r>
      <w:r w:rsidRPr="004A4597">
        <w:rPr>
          <w:rFonts w:ascii="Arial" w:hAnsi="Arial" w:cs="Arial"/>
        </w:rPr>
        <w:t>using the chi-square test using SPSS</w:t>
      </w:r>
      <w:r>
        <w:rPr>
          <w:rFonts w:ascii="Arial" w:hAnsi="Arial" w:cs="Arial"/>
        </w:rPr>
        <w:t>.</w:t>
      </w:r>
    </w:p>
    <w:p w14:paraId="79CB569A" w14:textId="77777777" w:rsidR="004A4597" w:rsidRDefault="004A4597" w:rsidP="004A4597">
      <w:pPr>
        <w:pStyle w:val="Body"/>
        <w:spacing w:after="0"/>
        <w:rPr>
          <w:rFonts w:ascii="Arial" w:hAnsi="Arial" w:cs="Arial"/>
        </w:rPr>
      </w:pPr>
    </w:p>
    <w:p w14:paraId="24D05C24" w14:textId="62AB8E8C"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FFD43A" w14:textId="63ED5F86" w:rsidR="00D2120B" w:rsidRPr="00D2120B" w:rsidRDefault="00D2120B" w:rsidP="00D2120B">
      <w:pPr>
        <w:pStyle w:val="Body"/>
        <w:spacing w:after="0"/>
        <w:rPr>
          <w:rFonts w:ascii="Arial" w:hAnsi="Arial" w:cs="Arial"/>
          <w:b/>
          <w:bCs/>
        </w:rPr>
      </w:pPr>
      <w:r>
        <w:rPr>
          <w:rFonts w:ascii="Arial" w:hAnsi="Arial" w:cs="Arial"/>
          <w:b/>
          <w:bCs/>
        </w:rPr>
        <w:t xml:space="preserve">3.1. </w:t>
      </w:r>
      <w:r w:rsidRPr="00D2120B">
        <w:rPr>
          <w:rFonts w:ascii="Arial" w:hAnsi="Arial" w:cs="Arial"/>
          <w:b/>
          <w:bCs/>
        </w:rPr>
        <w:t>Research Results</w:t>
      </w:r>
    </w:p>
    <w:p w14:paraId="3448EFD0" w14:textId="79C3795B" w:rsidR="00D2120B" w:rsidRDefault="00D2120B" w:rsidP="00D2120B">
      <w:pPr>
        <w:pStyle w:val="Body"/>
        <w:spacing w:after="0"/>
        <w:rPr>
          <w:rFonts w:ascii="Arial" w:hAnsi="Arial" w:cs="Arial"/>
        </w:rPr>
      </w:pPr>
      <w:r w:rsidRPr="001C2692">
        <w:rPr>
          <w:rFonts w:ascii="Arial" w:hAnsi="Arial" w:cs="Arial"/>
          <w:highlight w:val="yellow"/>
        </w:rPr>
        <w:t>Forty catheterized patients participated between May and October 2013. All subjects were male, with an</w:t>
      </w:r>
      <w:r w:rsidR="001C2692" w:rsidRPr="001C2692">
        <w:rPr>
          <w:rFonts w:ascii="Arial" w:hAnsi="Arial" w:cs="Arial"/>
          <w:highlight w:val="yellow"/>
        </w:rPr>
        <w:t xml:space="preserve"> age range</w:t>
      </w:r>
      <w:r w:rsidRPr="001C2692">
        <w:rPr>
          <w:rFonts w:ascii="Arial" w:hAnsi="Arial" w:cs="Arial"/>
          <w:highlight w:val="yellow"/>
        </w:rPr>
        <w:t xml:space="preserve"> from 18 to 73 years. A total of 21</w:t>
      </w:r>
      <w:r w:rsidR="001C2692">
        <w:rPr>
          <w:rFonts w:ascii="Arial" w:hAnsi="Arial" w:cs="Arial"/>
          <w:highlight w:val="yellow"/>
        </w:rPr>
        <w:t xml:space="preserve"> patients </w:t>
      </w:r>
      <w:r w:rsidRPr="001C2692">
        <w:rPr>
          <w:rFonts w:ascii="Arial" w:hAnsi="Arial" w:cs="Arial"/>
          <w:highlight w:val="yellow"/>
        </w:rPr>
        <w:t xml:space="preserve">who used catheters showed positive culture results. The age of the 5th decade is the largest group suffering </w:t>
      </w:r>
      <w:r w:rsidR="00171078">
        <w:rPr>
          <w:rFonts w:ascii="Arial" w:hAnsi="Arial" w:cs="Arial"/>
          <w:highlight w:val="yellow"/>
        </w:rPr>
        <w:t>with</w:t>
      </w:r>
      <w:r w:rsidRPr="001C2692">
        <w:rPr>
          <w:rFonts w:ascii="Arial" w:hAnsi="Arial" w:cs="Arial"/>
          <w:highlight w:val="yellow"/>
        </w:rPr>
        <w:t xml:space="preserve"> 9 patients (22.5%).</w:t>
      </w:r>
    </w:p>
    <w:p w14:paraId="4CDBD533" w14:textId="128C033F" w:rsidR="00D2120B" w:rsidRPr="00A93694" w:rsidRDefault="00D2120B" w:rsidP="00A93694">
      <w:pPr>
        <w:pStyle w:val="Body"/>
        <w:spacing w:after="0"/>
        <w:jc w:val="center"/>
        <w:rPr>
          <w:rFonts w:ascii="Arial" w:hAnsi="Arial" w:cs="Arial"/>
          <w:b/>
          <w:bCs/>
        </w:rPr>
      </w:pPr>
      <w:r w:rsidRPr="00D2120B">
        <w:rPr>
          <w:rFonts w:ascii="Arial" w:hAnsi="Arial" w:cs="Arial"/>
          <w:b/>
          <w:bCs/>
        </w:rPr>
        <w:t>Table 1. Distribution of culture results based on patient age</w:t>
      </w:r>
    </w:p>
    <w:tbl>
      <w:tblPr>
        <w:tblW w:w="0" w:type="auto"/>
        <w:jc w:val="center"/>
        <w:tblLayout w:type="fixed"/>
        <w:tblLook w:val="0000" w:firstRow="0" w:lastRow="0" w:firstColumn="0" w:lastColumn="0" w:noHBand="0" w:noVBand="0"/>
      </w:tblPr>
      <w:tblGrid>
        <w:gridCol w:w="1418"/>
        <w:gridCol w:w="675"/>
        <w:gridCol w:w="992"/>
        <w:gridCol w:w="567"/>
        <w:gridCol w:w="981"/>
        <w:gridCol w:w="578"/>
        <w:gridCol w:w="944"/>
      </w:tblGrid>
      <w:tr w:rsidR="00DB7AC2" w:rsidRPr="00DB7AC2" w14:paraId="7E03265E" w14:textId="77777777" w:rsidTr="00A93694">
        <w:trPr>
          <w:trHeight w:val="260"/>
          <w:jc w:val="center"/>
        </w:trPr>
        <w:tc>
          <w:tcPr>
            <w:tcW w:w="1418" w:type="dxa"/>
            <w:vMerge w:val="restart"/>
            <w:tcBorders>
              <w:top w:val="single" w:sz="12" w:space="0" w:color="auto"/>
            </w:tcBorders>
            <w:shd w:val="clear" w:color="auto" w:fill="auto"/>
          </w:tcPr>
          <w:p w14:paraId="55E6CF2B" w14:textId="2ECA2413" w:rsidR="00DB7AC2" w:rsidRPr="00DB7AC2" w:rsidRDefault="00DB7AC2" w:rsidP="00DB7AC2">
            <w:pPr>
              <w:widowControl w:val="0"/>
              <w:autoSpaceDE w:val="0"/>
              <w:autoSpaceDN w:val="0"/>
              <w:adjustRightInd w:val="0"/>
              <w:jc w:val="center"/>
              <w:rPr>
                <w:rFonts w:ascii="Arial" w:eastAsiaTheme="minorHAnsi" w:hAnsi="Arial" w:cs="Arial"/>
                <w:b/>
                <w:color w:val="000000"/>
              </w:rPr>
            </w:pPr>
            <w:r w:rsidRPr="00E35F7F">
              <w:rPr>
                <w:rFonts w:ascii="Arial" w:eastAsiaTheme="minorHAnsi" w:hAnsi="Arial" w:cs="Arial"/>
                <w:b/>
                <w:color w:val="000000"/>
              </w:rPr>
              <w:t>Year (Decade)</w:t>
            </w:r>
          </w:p>
        </w:tc>
        <w:tc>
          <w:tcPr>
            <w:tcW w:w="3215" w:type="dxa"/>
            <w:gridSpan w:val="4"/>
            <w:tcBorders>
              <w:top w:val="single" w:sz="12" w:space="0" w:color="auto"/>
            </w:tcBorders>
            <w:shd w:val="clear" w:color="auto" w:fill="auto"/>
          </w:tcPr>
          <w:p w14:paraId="12A6861B" w14:textId="1A5820D9" w:rsidR="00DB7AC2" w:rsidRPr="00DB7AC2" w:rsidRDefault="00DB7AC2" w:rsidP="00DB7AC2">
            <w:pPr>
              <w:widowControl w:val="0"/>
              <w:autoSpaceDE w:val="0"/>
              <w:autoSpaceDN w:val="0"/>
              <w:adjustRightInd w:val="0"/>
              <w:jc w:val="center"/>
              <w:rPr>
                <w:rFonts w:ascii="Arial" w:eastAsiaTheme="minorHAnsi" w:hAnsi="Arial" w:cs="Arial"/>
                <w:b/>
                <w:color w:val="000000"/>
              </w:rPr>
            </w:pPr>
            <w:r w:rsidRPr="00E35F7F">
              <w:rPr>
                <w:rFonts w:ascii="Arial" w:eastAsiaTheme="minorHAnsi" w:hAnsi="Arial" w:cs="Arial"/>
                <w:b/>
                <w:color w:val="000000"/>
              </w:rPr>
              <w:t>Culture</w:t>
            </w:r>
          </w:p>
        </w:tc>
        <w:tc>
          <w:tcPr>
            <w:tcW w:w="1522" w:type="dxa"/>
            <w:gridSpan w:val="2"/>
            <w:vMerge w:val="restart"/>
            <w:tcBorders>
              <w:top w:val="single" w:sz="12" w:space="0" w:color="auto"/>
              <w:left w:val="nil"/>
            </w:tcBorders>
            <w:shd w:val="clear" w:color="auto" w:fill="auto"/>
            <w:vAlign w:val="center"/>
          </w:tcPr>
          <w:p w14:paraId="1973795A" w14:textId="77777777" w:rsidR="00DB7AC2" w:rsidRPr="00DB7AC2" w:rsidRDefault="00DB7AC2" w:rsidP="00DB7AC2">
            <w:pPr>
              <w:widowControl w:val="0"/>
              <w:autoSpaceDE w:val="0"/>
              <w:autoSpaceDN w:val="0"/>
              <w:adjustRightInd w:val="0"/>
              <w:jc w:val="center"/>
              <w:rPr>
                <w:rFonts w:ascii="Arial" w:eastAsiaTheme="minorHAnsi" w:hAnsi="Arial" w:cs="Arial"/>
                <w:b/>
                <w:color w:val="000000"/>
              </w:rPr>
            </w:pPr>
            <w:r w:rsidRPr="00DB7AC2">
              <w:rPr>
                <w:rFonts w:ascii="Arial" w:eastAsiaTheme="minorHAnsi" w:hAnsi="Arial" w:cs="Arial"/>
                <w:b/>
                <w:color w:val="000000"/>
              </w:rPr>
              <w:t>Total</w:t>
            </w:r>
          </w:p>
        </w:tc>
      </w:tr>
      <w:tr w:rsidR="00DB7AC2" w:rsidRPr="00DB7AC2" w14:paraId="52767DA6" w14:textId="77777777" w:rsidTr="00A93694">
        <w:trPr>
          <w:trHeight w:val="260"/>
          <w:jc w:val="center"/>
        </w:trPr>
        <w:tc>
          <w:tcPr>
            <w:tcW w:w="1418" w:type="dxa"/>
            <w:vMerge/>
            <w:tcBorders>
              <w:bottom w:val="single" w:sz="12" w:space="0" w:color="auto"/>
            </w:tcBorders>
            <w:shd w:val="clear" w:color="auto" w:fill="auto"/>
          </w:tcPr>
          <w:p w14:paraId="59E3D896" w14:textId="77777777" w:rsidR="00DB7AC2" w:rsidRPr="00DB7AC2" w:rsidRDefault="00DB7AC2" w:rsidP="00DB7AC2">
            <w:pPr>
              <w:widowControl w:val="0"/>
              <w:autoSpaceDE w:val="0"/>
              <w:autoSpaceDN w:val="0"/>
              <w:adjustRightInd w:val="0"/>
              <w:jc w:val="center"/>
              <w:rPr>
                <w:rFonts w:ascii="Arial" w:eastAsiaTheme="minorHAnsi" w:hAnsi="Arial" w:cs="Arial"/>
                <w:b/>
                <w:color w:val="000000"/>
              </w:rPr>
            </w:pPr>
          </w:p>
        </w:tc>
        <w:tc>
          <w:tcPr>
            <w:tcW w:w="1667" w:type="dxa"/>
            <w:gridSpan w:val="2"/>
            <w:tcBorders>
              <w:left w:val="nil"/>
              <w:bottom w:val="single" w:sz="12" w:space="0" w:color="auto"/>
            </w:tcBorders>
            <w:shd w:val="clear" w:color="auto" w:fill="auto"/>
          </w:tcPr>
          <w:p w14:paraId="14F8D6D3" w14:textId="77777777" w:rsidR="00DB7AC2" w:rsidRPr="00DB7AC2" w:rsidRDefault="00DB7AC2" w:rsidP="00DB7AC2">
            <w:pPr>
              <w:widowControl w:val="0"/>
              <w:autoSpaceDE w:val="0"/>
              <w:autoSpaceDN w:val="0"/>
              <w:adjustRightInd w:val="0"/>
              <w:jc w:val="center"/>
              <w:rPr>
                <w:rFonts w:ascii="Arial" w:eastAsiaTheme="minorHAnsi" w:hAnsi="Arial" w:cs="Arial"/>
                <w:b/>
                <w:color w:val="000000"/>
              </w:rPr>
            </w:pPr>
            <w:r w:rsidRPr="00DB7AC2">
              <w:rPr>
                <w:rFonts w:ascii="Arial" w:eastAsiaTheme="minorHAnsi" w:hAnsi="Arial" w:cs="Arial"/>
                <w:b/>
                <w:color w:val="000000"/>
              </w:rPr>
              <w:t>(+)</w:t>
            </w:r>
          </w:p>
        </w:tc>
        <w:tc>
          <w:tcPr>
            <w:tcW w:w="1548" w:type="dxa"/>
            <w:gridSpan w:val="2"/>
            <w:tcBorders>
              <w:bottom w:val="single" w:sz="12" w:space="0" w:color="auto"/>
            </w:tcBorders>
            <w:shd w:val="clear" w:color="auto" w:fill="auto"/>
          </w:tcPr>
          <w:p w14:paraId="29561872" w14:textId="77777777" w:rsidR="00DB7AC2" w:rsidRPr="00DB7AC2" w:rsidRDefault="00DB7AC2" w:rsidP="00DB7AC2">
            <w:pPr>
              <w:widowControl w:val="0"/>
              <w:autoSpaceDE w:val="0"/>
              <w:autoSpaceDN w:val="0"/>
              <w:adjustRightInd w:val="0"/>
              <w:jc w:val="center"/>
              <w:rPr>
                <w:rFonts w:ascii="Arial" w:eastAsiaTheme="minorHAnsi" w:hAnsi="Arial" w:cs="Arial"/>
                <w:b/>
                <w:color w:val="000000"/>
              </w:rPr>
            </w:pPr>
            <w:r w:rsidRPr="00DB7AC2">
              <w:rPr>
                <w:rFonts w:ascii="Arial" w:eastAsiaTheme="minorHAnsi" w:hAnsi="Arial" w:cs="Arial"/>
                <w:b/>
                <w:color w:val="000000"/>
              </w:rPr>
              <w:t>(-)</w:t>
            </w:r>
          </w:p>
        </w:tc>
        <w:tc>
          <w:tcPr>
            <w:tcW w:w="1522" w:type="dxa"/>
            <w:gridSpan w:val="2"/>
            <w:vMerge/>
            <w:tcBorders>
              <w:left w:val="nil"/>
              <w:bottom w:val="single" w:sz="12" w:space="0" w:color="auto"/>
            </w:tcBorders>
            <w:shd w:val="clear" w:color="auto" w:fill="auto"/>
          </w:tcPr>
          <w:p w14:paraId="66F4A54E"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p>
        </w:tc>
      </w:tr>
      <w:tr w:rsidR="00A93694" w:rsidRPr="00E35F7F" w14:paraId="2C1AD30E" w14:textId="77777777" w:rsidTr="00A93694">
        <w:trPr>
          <w:trHeight w:val="260"/>
          <w:jc w:val="center"/>
        </w:trPr>
        <w:tc>
          <w:tcPr>
            <w:tcW w:w="1418" w:type="dxa"/>
            <w:tcBorders>
              <w:top w:val="single" w:sz="12" w:space="0" w:color="auto"/>
            </w:tcBorders>
            <w:shd w:val="clear" w:color="auto" w:fill="auto"/>
            <w:vAlign w:val="center"/>
          </w:tcPr>
          <w:p w14:paraId="26BF1AC1"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2</w:t>
            </w:r>
          </w:p>
        </w:tc>
        <w:tc>
          <w:tcPr>
            <w:tcW w:w="675" w:type="dxa"/>
            <w:tcBorders>
              <w:top w:val="single" w:sz="12" w:space="0" w:color="auto"/>
            </w:tcBorders>
            <w:shd w:val="clear" w:color="auto" w:fill="auto"/>
            <w:vAlign w:val="center"/>
          </w:tcPr>
          <w:p w14:paraId="0C72229A"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4</w:t>
            </w:r>
          </w:p>
        </w:tc>
        <w:tc>
          <w:tcPr>
            <w:tcW w:w="992" w:type="dxa"/>
            <w:tcBorders>
              <w:top w:val="single" w:sz="12" w:space="0" w:color="auto"/>
            </w:tcBorders>
            <w:shd w:val="clear" w:color="auto" w:fill="auto"/>
          </w:tcPr>
          <w:p w14:paraId="11A6222C"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10%</w:t>
            </w:r>
          </w:p>
        </w:tc>
        <w:tc>
          <w:tcPr>
            <w:tcW w:w="567" w:type="dxa"/>
            <w:tcBorders>
              <w:top w:val="single" w:sz="12" w:space="0" w:color="auto"/>
            </w:tcBorders>
            <w:shd w:val="clear" w:color="auto" w:fill="auto"/>
            <w:vAlign w:val="center"/>
          </w:tcPr>
          <w:p w14:paraId="2D79BC9D"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w:t>
            </w:r>
          </w:p>
        </w:tc>
        <w:tc>
          <w:tcPr>
            <w:tcW w:w="981" w:type="dxa"/>
            <w:tcBorders>
              <w:top w:val="single" w:sz="12" w:space="0" w:color="auto"/>
            </w:tcBorders>
            <w:shd w:val="clear" w:color="auto" w:fill="auto"/>
            <w:vAlign w:val="center"/>
          </w:tcPr>
          <w:p w14:paraId="3245A994" w14:textId="6CA52D2E"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r w:rsidRPr="00E35F7F">
              <w:rPr>
                <w:rFonts w:ascii="Arial" w:eastAsiaTheme="minorHAnsi" w:hAnsi="Arial" w:cs="Arial"/>
                <w:color w:val="000000"/>
              </w:rPr>
              <w:t>.</w:t>
            </w:r>
            <w:r w:rsidRPr="00DB7AC2">
              <w:rPr>
                <w:rFonts w:ascii="Arial" w:eastAsiaTheme="minorHAnsi" w:hAnsi="Arial" w:cs="Arial"/>
                <w:color w:val="000000"/>
              </w:rPr>
              <w:t>5%</w:t>
            </w:r>
          </w:p>
        </w:tc>
        <w:tc>
          <w:tcPr>
            <w:tcW w:w="578" w:type="dxa"/>
            <w:tcBorders>
              <w:top w:val="single" w:sz="12" w:space="0" w:color="auto"/>
            </w:tcBorders>
            <w:shd w:val="clear" w:color="auto" w:fill="auto"/>
          </w:tcPr>
          <w:p w14:paraId="358764BD"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c>
          <w:tcPr>
            <w:tcW w:w="944" w:type="dxa"/>
            <w:tcBorders>
              <w:top w:val="single" w:sz="12" w:space="0" w:color="auto"/>
            </w:tcBorders>
            <w:shd w:val="clear" w:color="auto" w:fill="auto"/>
          </w:tcPr>
          <w:p w14:paraId="26307590" w14:textId="1F6872F3"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12</w:t>
            </w:r>
            <w:r w:rsidRPr="00E35F7F">
              <w:rPr>
                <w:rFonts w:ascii="Arial" w:eastAsiaTheme="minorHAnsi" w:hAnsi="Arial" w:cs="Arial"/>
                <w:color w:val="000000"/>
              </w:rPr>
              <w:t>.</w:t>
            </w:r>
            <w:r w:rsidRPr="00DB7AC2">
              <w:rPr>
                <w:rFonts w:ascii="Arial" w:eastAsiaTheme="minorHAnsi" w:hAnsi="Arial" w:cs="Arial"/>
                <w:color w:val="000000"/>
              </w:rPr>
              <w:t>5%</w:t>
            </w:r>
          </w:p>
        </w:tc>
      </w:tr>
      <w:tr w:rsidR="00A93694" w:rsidRPr="00E35F7F" w14:paraId="0ADA64CB" w14:textId="77777777" w:rsidTr="00E35F7F">
        <w:trPr>
          <w:trHeight w:val="312"/>
          <w:jc w:val="center"/>
        </w:trPr>
        <w:tc>
          <w:tcPr>
            <w:tcW w:w="1418" w:type="dxa"/>
            <w:shd w:val="clear" w:color="auto" w:fill="auto"/>
            <w:vAlign w:val="center"/>
          </w:tcPr>
          <w:p w14:paraId="1C1F8D57"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3</w:t>
            </w:r>
          </w:p>
        </w:tc>
        <w:tc>
          <w:tcPr>
            <w:tcW w:w="675" w:type="dxa"/>
            <w:shd w:val="clear" w:color="auto" w:fill="auto"/>
            <w:vAlign w:val="center"/>
          </w:tcPr>
          <w:p w14:paraId="017E0080"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p>
        </w:tc>
        <w:tc>
          <w:tcPr>
            <w:tcW w:w="992" w:type="dxa"/>
            <w:shd w:val="clear" w:color="auto" w:fill="auto"/>
          </w:tcPr>
          <w:p w14:paraId="59E5E353"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c>
          <w:tcPr>
            <w:tcW w:w="567" w:type="dxa"/>
            <w:shd w:val="clear" w:color="auto" w:fill="auto"/>
            <w:vAlign w:val="center"/>
          </w:tcPr>
          <w:p w14:paraId="634EC32A"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w:t>
            </w:r>
          </w:p>
        </w:tc>
        <w:tc>
          <w:tcPr>
            <w:tcW w:w="981" w:type="dxa"/>
            <w:shd w:val="clear" w:color="auto" w:fill="auto"/>
            <w:vAlign w:val="center"/>
          </w:tcPr>
          <w:p w14:paraId="5FA209A8" w14:textId="37593545"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r w:rsidRPr="00E35F7F">
              <w:rPr>
                <w:rFonts w:ascii="Arial" w:eastAsiaTheme="minorHAnsi" w:hAnsi="Arial" w:cs="Arial"/>
                <w:color w:val="000000"/>
              </w:rPr>
              <w:t>.</w:t>
            </w:r>
            <w:r w:rsidRPr="00DB7AC2">
              <w:rPr>
                <w:rFonts w:ascii="Arial" w:eastAsiaTheme="minorHAnsi" w:hAnsi="Arial" w:cs="Arial"/>
                <w:color w:val="000000"/>
              </w:rPr>
              <w:t>5%</w:t>
            </w:r>
          </w:p>
        </w:tc>
        <w:tc>
          <w:tcPr>
            <w:tcW w:w="578" w:type="dxa"/>
            <w:shd w:val="clear" w:color="auto" w:fill="auto"/>
          </w:tcPr>
          <w:p w14:paraId="66596558"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3</w:t>
            </w:r>
          </w:p>
        </w:tc>
        <w:tc>
          <w:tcPr>
            <w:tcW w:w="944" w:type="dxa"/>
            <w:shd w:val="clear" w:color="auto" w:fill="auto"/>
          </w:tcPr>
          <w:p w14:paraId="0E91CFB7" w14:textId="1A2D00C5"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7</w:t>
            </w:r>
            <w:r w:rsidRPr="00E35F7F">
              <w:rPr>
                <w:rFonts w:ascii="Arial" w:eastAsiaTheme="minorHAnsi" w:hAnsi="Arial" w:cs="Arial"/>
                <w:color w:val="000000"/>
              </w:rPr>
              <w:t>.</w:t>
            </w:r>
            <w:r w:rsidRPr="00DB7AC2">
              <w:rPr>
                <w:rFonts w:ascii="Arial" w:eastAsiaTheme="minorHAnsi" w:hAnsi="Arial" w:cs="Arial"/>
                <w:color w:val="000000"/>
              </w:rPr>
              <w:t>5%</w:t>
            </w:r>
          </w:p>
        </w:tc>
      </w:tr>
      <w:tr w:rsidR="00A93694" w:rsidRPr="00E35F7F" w14:paraId="68488F4B" w14:textId="77777777" w:rsidTr="00A93694">
        <w:trPr>
          <w:trHeight w:val="260"/>
          <w:jc w:val="center"/>
        </w:trPr>
        <w:tc>
          <w:tcPr>
            <w:tcW w:w="1418" w:type="dxa"/>
            <w:shd w:val="clear" w:color="auto" w:fill="auto"/>
            <w:vAlign w:val="center"/>
          </w:tcPr>
          <w:p w14:paraId="775973E5"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4</w:t>
            </w:r>
          </w:p>
        </w:tc>
        <w:tc>
          <w:tcPr>
            <w:tcW w:w="675" w:type="dxa"/>
            <w:shd w:val="clear" w:color="auto" w:fill="auto"/>
            <w:vAlign w:val="center"/>
          </w:tcPr>
          <w:p w14:paraId="3DC00237"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3</w:t>
            </w:r>
          </w:p>
        </w:tc>
        <w:tc>
          <w:tcPr>
            <w:tcW w:w="992" w:type="dxa"/>
            <w:shd w:val="clear" w:color="auto" w:fill="auto"/>
          </w:tcPr>
          <w:p w14:paraId="0A21D2B9" w14:textId="5741BE43"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7</w:t>
            </w:r>
            <w:r w:rsidRPr="00E35F7F">
              <w:rPr>
                <w:rFonts w:ascii="Arial" w:eastAsiaTheme="minorHAnsi" w:hAnsi="Arial" w:cs="Arial"/>
                <w:color w:val="000000"/>
              </w:rPr>
              <w:t>.</w:t>
            </w:r>
            <w:r w:rsidRPr="00DB7AC2">
              <w:rPr>
                <w:rFonts w:ascii="Arial" w:eastAsiaTheme="minorHAnsi" w:hAnsi="Arial" w:cs="Arial"/>
                <w:color w:val="000000"/>
              </w:rPr>
              <w:t>5%</w:t>
            </w:r>
          </w:p>
        </w:tc>
        <w:tc>
          <w:tcPr>
            <w:tcW w:w="567" w:type="dxa"/>
            <w:shd w:val="clear" w:color="auto" w:fill="auto"/>
            <w:vAlign w:val="center"/>
          </w:tcPr>
          <w:p w14:paraId="4E9DB569"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6</w:t>
            </w:r>
          </w:p>
        </w:tc>
        <w:tc>
          <w:tcPr>
            <w:tcW w:w="981" w:type="dxa"/>
            <w:shd w:val="clear" w:color="auto" w:fill="auto"/>
            <w:vAlign w:val="center"/>
          </w:tcPr>
          <w:p w14:paraId="13454B73"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15%</w:t>
            </w:r>
          </w:p>
        </w:tc>
        <w:tc>
          <w:tcPr>
            <w:tcW w:w="578" w:type="dxa"/>
            <w:shd w:val="clear" w:color="auto" w:fill="auto"/>
          </w:tcPr>
          <w:p w14:paraId="646C2722"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9</w:t>
            </w:r>
          </w:p>
        </w:tc>
        <w:tc>
          <w:tcPr>
            <w:tcW w:w="944" w:type="dxa"/>
            <w:shd w:val="clear" w:color="auto" w:fill="auto"/>
          </w:tcPr>
          <w:p w14:paraId="24263193"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22,5%</w:t>
            </w:r>
          </w:p>
        </w:tc>
      </w:tr>
      <w:tr w:rsidR="00A93694" w:rsidRPr="00E35F7F" w14:paraId="1E73EEEA" w14:textId="77777777" w:rsidTr="00A93694">
        <w:trPr>
          <w:trHeight w:val="260"/>
          <w:jc w:val="center"/>
        </w:trPr>
        <w:tc>
          <w:tcPr>
            <w:tcW w:w="1418" w:type="dxa"/>
            <w:shd w:val="clear" w:color="auto" w:fill="auto"/>
            <w:vAlign w:val="center"/>
          </w:tcPr>
          <w:p w14:paraId="42AE279B"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5</w:t>
            </w:r>
          </w:p>
        </w:tc>
        <w:tc>
          <w:tcPr>
            <w:tcW w:w="675" w:type="dxa"/>
            <w:shd w:val="clear" w:color="auto" w:fill="auto"/>
            <w:vAlign w:val="center"/>
          </w:tcPr>
          <w:p w14:paraId="2E324CB6"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9</w:t>
            </w:r>
          </w:p>
        </w:tc>
        <w:tc>
          <w:tcPr>
            <w:tcW w:w="992" w:type="dxa"/>
            <w:shd w:val="clear" w:color="auto" w:fill="auto"/>
          </w:tcPr>
          <w:p w14:paraId="5AB5AF11" w14:textId="27BBC5E4"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22</w:t>
            </w:r>
            <w:r w:rsidRPr="00E35F7F">
              <w:rPr>
                <w:rFonts w:ascii="Arial" w:eastAsiaTheme="minorHAnsi" w:hAnsi="Arial" w:cs="Arial"/>
                <w:color w:val="000000"/>
              </w:rPr>
              <w:t>.</w:t>
            </w:r>
            <w:r w:rsidRPr="00DB7AC2">
              <w:rPr>
                <w:rFonts w:ascii="Arial" w:eastAsiaTheme="minorHAnsi" w:hAnsi="Arial" w:cs="Arial"/>
                <w:color w:val="000000"/>
              </w:rPr>
              <w:t>5%</w:t>
            </w:r>
          </w:p>
        </w:tc>
        <w:tc>
          <w:tcPr>
            <w:tcW w:w="567" w:type="dxa"/>
            <w:shd w:val="clear" w:color="auto" w:fill="auto"/>
            <w:vAlign w:val="center"/>
          </w:tcPr>
          <w:p w14:paraId="070A0DEC"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7</w:t>
            </w:r>
          </w:p>
        </w:tc>
        <w:tc>
          <w:tcPr>
            <w:tcW w:w="981" w:type="dxa"/>
            <w:shd w:val="clear" w:color="auto" w:fill="auto"/>
            <w:vAlign w:val="center"/>
          </w:tcPr>
          <w:p w14:paraId="27C4DC0B" w14:textId="41043626"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17</w:t>
            </w:r>
            <w:r w:rsidRPr="00E35F7F">
              <w:rPr>
                <w:rFonts w:ascii="Arial" w:eastAsiaTheme="minorHAnsi" w:hAnsi="Arial" w:cs="Arial"/>
                <w:color w:val="000000"/>
              </w:rPr>
              <w:t>.</w:t>
            </w:r>
            <w:r w:rsidRPr="00DB7AC2">
              <w:rPr>
                <w:rFonts w:ascii="Arial" w:eastAsiaTheme="minorHAnsi" w:hAnsi="Arial" w:cs="Arial"/>
                <w:color w:val="000000"/>
              </w:rPr>
              <w:t>5%</w:t>
            </w:r>
          </w:p>
        </w:tc>
        <w:tc>
          <w:tcPr>
            <w:tcW w:w="578" w:type="dxa"/>
            <w:shd w:val="clear" w:color="auto" w:fill="auto"/>
          </w:tcPr>
          <w:p w14:paraId="463A6C82"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16</w:t>
            </w:r>
          </w:p>
        </w:tc>
        <w:tc>
          <w:tcPr>
            <w:tcW w:w="944" w:type="dxa"/>
            <w:shd w:val="clear" w:color="auto" w:fill="auto"/>
          </w:tcPr>
          <w:p w14:paraId="4A61A140"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40%</w:t>
            </w:r>
          </w:p>
        </w:tc>
      </w:tr>
      <w:tr w:rsidR="00A93694" w:rsidRPr="00E35F7F" w14:paraId="077228D1" w14:textId="77777777" w:rsidTr="00A93694">
        <w:trPr>
          <w:trHeight w:val="260"/>
          <w:jc w:val="center"/>
        </w:trPr>
        <w:tc>
          <w:tcPr>
            <w:tcW w:w="1418" w:type="dxa"/>
            <w:shd w:val="clear" w:color="auto" w:fill="auto"/>
            <w:vAlign w:val="center"/>
          </w:tcPr>
          <w:p w14:paraId="60A1589A"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6</w:t>
            </w:r>
          </w:p>
        </w:tc>
        <w:tc>
          <w:tcPr>
            <w:tcW w:w="675" w:type="dxa"/>
            <w:shd w:val="clear" w:color="auto" w:fill="auto"/>
            <w:vAlign w:val="center"/>
          </w:tcPr>
          <w:p w14:paraId="28D104BB"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p>
        </w:tc>
        <w:tc>
          <w:tcPr>
            <w:tcW w:w="992" w:type="dxa"/>
            <w:shd w:val="clear" w:color="auto" w:fill="auto"/>
          </w:tcPr>
          <w:p w14:paraId="75AF4C47"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c>
          <w:tcPr>
            <w:tcW w:w="567" w:type="dxa"/>
            <w:shd w:val="clear" w:color="auto" w:fill="auto"/>
            <w:vAlign w:val="center"/>
          </w:tcPr>
          <w:p w14:paraId="610E3188"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w:t>
            </w:r>
          </w:p>
        </w:tc>
        <w:tc>
          <w:tcPr>
            <w:tcW w:w="981" w:type="dxa"/>
            <w:shd w:val="clear" w:color="auto" w:fill="auto"/>
            <w:vAlign w:val="center"/>
          </w:tcPr>
          <w:p w14:paraId="788F246A" w14:textId="25BB9914"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r w:rsidRPr="00E35F7F">
              <w:rPr>
                <w:rFonts w:ascii="Arial" w:eastAsiaTheme="minorHAnsi" w:hAnsi="Arial" w:cs="Arial"/>
                <w:color w:val="000000"/>
              </w:rPr>
              <w:t>.</w:t>
            </w:r>
            <w:r w:rsidRPr="00DB7AC2">
              <w:rPr>
                <w:rFonts w:ascii="Arial" w:eastAsiaTheme="minorHAnsi" w:hAnsi="Arial" w:cs="Arial"/>
                <w:color w:val="000000"/>
              </w:rPr>
              <w:t>5%</w:t>
            </w:r>
          </w:p>
        </w:tc>
        <w:tc>
          <w:tcPr>
            <w:tcW w:w="578" w:type="dxa"/>
            <w:shd w:val="clear" w:color="auto" w:fill="auto"/>
          </w:tcPr>
          <w:p w14:paraId="2674F9EF"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3</w:t>
            </w:r>
          </w:p>
        </w:tc>
        <w:tc>
          <w:tcPr>
            <w:tcW w:w="944" w:type="dxa"/>
            <w:shd w:val="clear" w:color="auto" w:fill="auto"/>
          </w:tcPr>
          <w:p w14:paraId="70A51060" w14:textId="061316F2"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7</w:t>
            </w:r>
            <w:r w:rsidRPr="00E35F7F">
              <w:rPr>
                <w:rFonts w:ascii="Arial" w:eastAsiaTheme="minorHAnsi" w:hAnsi="Arial" w:cs="Arial"/>
                <w:color w:val="000000"/>
              </w:rPr>
              <w:t>.</w:t>
            </w:r>
            <w:r w:rsidRPr="00DB7AC2">
              <w:rPr>
                <w:rFonts w:ascii="Arial" w:eastAsiaTheme="minorHAnsi" w:hAnsi="Arial" w:cs="Arial"/>
                <w:color w:val="000000"/>
              </w:rPr>
              <w:t>5%</w:t>
            </w:r>
          </w:p>
        </w:tc>
      </w:tr>
      <w:tr w:rsidR="00A93694" w:rsidRPr="00E35F7F" w14:paraId="38F2FAEA" w14:textId="77777777" w:rsidTr="00A93694">
        <w:trPr>
          <w:trHeight w:val="260"/>
          <w:jc w:val="center"/>
        </w:trPr>
        <w:tc>
          <w:tcPr>
            <w:tcW w:w="1418" w:type="dxa"/>
            <w:shd w:val="clear" w:color="auto" w:fill="auto"/>
            <w:vAlign w:val="center"/>
          </w:tcPr>
          <w:p w14:paraId="419489CE"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7</w:t>
            </w:r>
          </w:p>
        </w:tc>
        <w:tc>
          <w:tcPr>
            <w:tcW w:w="675" w:type="dxa"/>
            <w:shd w:val="clear" w:color="auto" w:fill="auto"/>
            <w:vAlign w:val="center"/>
          </w:tcPr>
          <w:p w14:paraId="7A77804B"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0</w:t>
            </w:r>
          </w:p>
        </w:tc>
        <w:tc>
          <w:tcPr>
            <w:tcW w:w="992" w:type="dxa"/>
            <w:shd w:val="clear" w:color="auto" w:fill="auto"/>
          </w:tcPr>
          <w:p w14:paraId="5581C2FE"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w:t>
            </w:r>
          </w:p>
        </w:tc>
        <w:tc>
          <w:tcPr>
            <w:tcW w:w="567" w:type="dxa"/>
            <w:shd w:val="clear" w:color="auto" w:fill="auto"/>
            <w:vAlign w:val="center"/>
          </w:tcPr>
          <w:p w14:paraId="6E226CF4"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p>
        </w:tc>
        <w:tc>
          <w:tcPr>
            <w:tcW w:w="981" w:type="dxa"/>
            <w:shd w:val="clear" w:color="auto" w:fill="auto"/>
            <w:vAlign w:val="center"/>
          </w:tcPr>
          <w:p w14:paraId="39BAAEF2"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c>
          <w:tcPr>
            <w:tcW w:w="578" w:type="dxa"/>
            <w:shd w:val="clear" w:color="auto" w:fill="auto"/>
          </w:tcPr>
          <w:p w14:paraId="49D65FBE"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p>
        </w:tc>
        <w:tc>
          <w:tcPr>
            <w:tcW w:w="944" w:type="dxa"/>
            <w:shd w:val="clear" w:color="auto" w:fill="auto"/>
          </w:tcPr>
          <w:p w14:paraId="4023D018"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r>
      <w:tr w:rsidR="00A93694" w:rsidRPr="00E35F7F" w14:paraId="48BB7921" w14:textId="77777777" w:rsidTr="00A93694">
        <w:trPr>
          <w:trHeight w:val="260"/>
          <w:jc w:val="center"/>
        </w:trPr>
        <w:tc>
          <w:tcPr>
            <w:tcW w:w="1418" w:type="dxa"/>
            <w:shd w:val="clear" w:color="auto" w:fill="auto"/>
            <w:vAlign w:val="center"/>
          </w:tcPr>
          <w:p w14:paraId="5C90C6D0"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8</w:t>
            </w:r>
          </w:p>
        </w:tc>
        <w:tc>
          <w:tcPr>
            <w:tcW w:w="675" w:type="dxa"/>
            <w:shd w:val="clear" w:color="auto" w:fill="auto"/>
            <w:vAlign w:val="center"/>
          </w:tcPr>
          <w:p w14:paraId="3927F14E"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w:t>
            </w:r>
          </w:p>
        </w:tc>
        <w:tc>
          <w:tcPr>
            <w:tcW w:w="992" w:type="dxa"/>
            <w:shd w:val="clear" w:color="auto" w:fill="auto"/>
          </w:tcPr>
          <w:p w14:paraId="4C610BB6" w14:textId="418C8B7F"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r w:rsidRPr="00E35F7F">
              <w:rPr>
                <w:rFonts w:ascii="Arial" w:eastAsiaTheme="minorHAnsi" w:hAnsi="Arial" w:cs="Arial"/>
                <w:color w:val="000000"/>
              </w:rPr>
              <w:t>.</w:t>
            </w:r>
            <w:r w:rsidRPr="00DB7AC2">
              <w:rPr>
                <w:rFonts w:ascii="Arial" w:eastAsiaTheme="minorHAnsi" w:hAnsi="Arial" w:cs="Arial"/>
                <w:color w:val="000000"/>
              </w:rPr>
              <w:t>5%</w:t>
            </w:r>
          </w:p>
        </w:tc>
        <w:tc>
          <w:tcPr>
            <w:tcW w:w="567" w:type="dxa"/>
            <w:shd w:val="clear" w:color="auto" w:fill="auto"/>
            <w:vAlign w:val="center"/>
          </w:tcPr>
          <w:p w14:paraId="420B1ECE"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w:t>
            </w:r>
          </w:p>
        </w:tc>
        <w:tc>
          <w:tcPr>
            <w:tcW w:w="981" w:type="dxa"/>
            <w:shd w:val="clear" w:color="auto" w:fill="auto"/>
            <w:vAlign w:val="center"/>
          </w:tcPr>
          <w:p w14:paraId="3FA9AEEF" w14:textId="0E0CF8BB"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r w:rsidRPr="00E35F7F">
              <w:rPr>
                <w:rFonts w:ascii="Arial" w:eastAsiaTheme="minorHAnsi" w:hAnsi="Arial" w:cs="Arial"/>
                <w:color w:val="000000"/>
              </w:rPr>
              <w:t>.</w:t>
            </w:r>
            <w:r w:rsidRPr="00DB7AC2">
              <w:rPr>
                <w:rFonts w:ascii="Arial" w:eastAsiaTheme="minorHAnsi" w:hAnsi="Arial" w:cs="Arial"/>
                <w:color w:val="000000"/>
              </w:rPr>
              <w:t>5%</w:t>
            </w:r>
          </w:p>
        </w:tc>
        <w:tc>
          <w:tcPr>
            <w:tcW w:w="578" w:type="dxa"/>
            <w:shd w:val="clear" w:color="auto" w:fill="auto"/>
          </w:tcPr>
          <w:p w14:paraId="6BA8E874"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p>
        </w:tc>
        <w:tc>
          <w:tcPr>
            <w:tcW w:w="944" w:type="dxa"/>
            <w:shd w:val="clear" w:color="auto" w:fill="auto"/>
          </w:tcPr>
          <w:p w14:paraId="49EA9DFB"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r>
      <w:tr w:rsidR="00A93694" w:rsidRPr="00E35F7F" w14:paraId="5AAEC2CC" w14:textId="77777777" w:rsidTr="00A93694">
        <w:trPr>
          <w:trHeight w:val="279"/>
          <w:jc w:val="center"/>
        </w:trPr>
        <w:tc>
          <w:tcPr>
            <w:tcW w:w="1418" w:type="dxa"/>
            <w:tcBorders>
              <w:bottom w:val="single" w:sz="12" w:space="0" w:color="auto"/>
            </w:tcBorders>
            <w:shd w:val="clear" w:color="auto" w:fill="auto"/>
            <w:vAlign w:val="center"/>
          </w:tcPr>
          <w:p w14:paraId="5B22C3C0" w14:textId="77777777" w:rsidR="00DB7AC2" w:rsidRPr="00DB7AC2" w:rsidRDefault="00DB7AC2" w:rsidP="00DB7AC2">
            <w:pPr>
              <w:widowControl w:val="0"/>
              <w:autoSpaceDE w:val="0"/>
              <w:autoSpaceDN w:val="0"/>
              <w:adjustRightInd w:val="0"/>
              <w:rPr>
                <w:rFonts w:ascii="Arial" w:eastAsiaTheme="minorHAnsi" w:hAnsi="Arial" w:cs="Arial"/>
                <w:b/>
                <w:bCs/>
                <w:color w:val="000000"/>
              </w:rPr>
            </w:pPr>
            <w:r w:rsidRPr="00DB7AC2">
              <w:rPr>
                <w:rFonts w:ascii="Arial" w:eastAsiaTheme="minorHAnsi" w:hAnsi="Arial" w:cs="Arial"/>
                <w:b/>
                <w:bCs/>
                <w:color w:val="000000"/>
              </w:rPr>
              <w:t xml:space="preserve">    Total</w:t>
            </w:r>
          </w:p>
        </w:tc>
        <w:tc>
          <w:tcPr>
            <w:tcW w:w="675" w:type="dxa"/>
            <w:tcBorders>
              <w:bottom w:val="single" w:sz="12" w:space="0" w:color="auto"/>
            </w:tcBorders>
            <w:shd w:val="clear" w:color="auto" w:fill="auto"/>
            <w:vAlign w:val="center"/>
          </w:tcPr>
          <w:p w14:paraId="5FBC71A4" w14:textId="77777777"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21</w:t>
            </w:r>
          </w:p>
        </w:tc>
        <w:tc>
          <w:tcPr>
            <w:tcW w:w="992" w:type="dxa"/>
            <w:tcBorders>
              <w:bottom w:val="single" w:sz="12" w:space="0" w:color="auto"/>
            </w:tcBorders>
            <w:shd w:val="clear" w:color="auto" w:fill="auto"/>
          </w:tcPr>
          <w:p w14:paraId="5B609910" w14:textId="067392E2"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52</w:t>
            </w:r>
            <w:r w:rsidRPr="00E35F7F">
              <w:rPr>
                <w:rFonts w:ascii="Arial" w:eastAsiaTheme="minorHAnsi" w:hAnsi="Arial" w:cs="Arial"/>
                <w:b/>
                <w:bCs/>
                <w:color w:val="000000"/>
              </w:rPr>
              <w:t>.</w:t>
            </w:r>
            <w:r w:rsidRPr="00DB7AC2">
              <w:rPr>
                <w:rFonts w:ascii="Arial" w:eastAsiaTheme="minorHAnsi" w:hAnsi="Arial" w:cs="Arial"/>
                <w:b/>
                <w:bCs/>
                <w:color w:val="000000"/>
              </w:rPr>
              <w:t>5%</w:t>
            </w:r>
          </w:p>
        </w:tc>
        <w:tc>
          <w:tcPr>
            <w:tcW w:w="567" w:type="dxa"/>
            <w:tcBorders>
              <w:bottom w:val="single" w:sz="12" w:space="0" w:color="auto"/>
            </w:tcBorders>
            <w:shd w:val="clear" w:color="auto" w:fill="auto"/>
            <w:vAlign w:val="center"/>
          </w:tcPr>
          <w:p w14:paraId="23DCD7A7" w14:textId="77777777"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19</w:t>
            </w:r>
          </w:p>
        </w:tc>
        <w:tc>
          <w:tcPr>
            <w:tcW w:w="981" w:type="dxa"/>
            <w:tcBorders>
              <w:bottom w:val="single" w:sz="12" w:space="0" w:color="auto"/>
            </w:tcBorders>
            <w:shd w:val="clear" w:color="auto" w:fill="auto"/>
            <w:vAlign w:val="center"/>
          </w:tcPr>
          <w:p w14:paraId="6A49D72A" w14:textId="3751C079"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47</w:t>
            </w:r>
            <w:r w:rsidRPr="00E35F7F">
              <w:rPr>
                <w:rFonts w:ascii="Arial" w:eastAsiaTheme="minorHAnsi" w:hAnsi="Arial" w:cs="Arial"/>
                <w:b/>
                <w:bCs/>
                <w:color w:val="000000"/>
              </w:rPr>
              <w:t>.</w:t>
            </w:r>
            <w:r w:rsidRPr="00DB7AC2">
              <w:rPr>
                <w:rFonts w:ascii="Arial" w:eastAsiaTheme="minorHAnsi" w:hAnsi="Arial" w:cs="Arial"/>
                <w:b/>
                <w:bCs/>
                <w:color w:val="000000"/>
              </w:rPr>
              <w:t>5%</w:t>
            </w:r>
          </w:p>
        </w:tc>
        <w:tc>
          <w:tcPr>
            <w:tcW w:w="578" w:type="dxa"/>
            <w:tcBorders>
              <w:bottom w:val="single" w:sz="12" w:space="0" w:color="auto"/>
            </w:tcBorders>
            <w:shd w:val="clear" w:color="auto" w:fill="auto"/>
          </w:tcPr>
          <w:p w14:paraId="2DD05A9F" w14:textId="77777777"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40</w:t>
            </w:r>
          </w:p>
        </w:tc>
        <w:tc>
          <w:tcPr>
            <w:tcW w:w="944" w:type="dxa"/>
            <w:tcBorders>
              <w:bottom w:val="single" w:sz="12" w:space="0" w:color="auto"/>
            </w:tcBorders>
            <w:shd w:val="clear" w:color="auto" w:fill="auto"/>
          </w:tcPr>
          <w:p w14:paraId="2D3162F9" w14:textId="77777777"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100%</w:t>
            </w:r>
          </w:p>
        </w:tc>
      </w:tr>
    </w:tbl>
    <w:p w14:paraId="34C08749" w14:textId="77777777" w:rsidR="00E35F7F" w:rsidRDefault="00E35F7F" w:rsidP="00E35F7F">
      <w:pPr>
        <w:pStyle w:val="Body"/>
        <w:rPr>
          <w:rFonts w:ascii="Arial" w:hAnsi="Arial" w:cs="Arial"/>
        </w:rPr>
      </w:pPr>
    </w:p>
    <w:p w14:paraId="23BAC92C" w14:textId="62A212AE" w:rsidR="00E35F7F" w:rsidRPr="00E35F7F" w:rsidRDefault="00E35F7F" w:rsidP="00E35F7F">
      <w:pPr>
        <w:pStyle w:val="Body"/>
        <w:spacing w:after="0"/>
        <w:rPr>
          <w:rFonts w:ascii="Arial" w:hAnsi="Arial" w:cs="Arial"/>
        </w:rPr>
      </w:pPr>
      <w:r w:rsidRPr="00E35F7F">
        <w:rPr>
          <w:rFonts w:ascii="Arial" w:hAnsi="Arial" w:cs="Arial"/>
        </w:rPr>
        <w:t xml:space="preserve">In </w:t>
      </w:r>
      <w:r w:rsidR="00926683">
        <w:rPr>
          <w:rFonts w:ascii="Arial" w:hAnsi="Arial" w:cs="Arial"/>
        </w:rPr>
        <w:t>Tables</w:t>
      </w:r>
      <w:r w:rsidRPr="00E35F7F">
        <w:rPr>
          <w:rFonts w:ascii="Arial" w:hAnsi="Arial" w:cs="Arial"/>
        </w:rPr>
        <w:t xml:space="preserve"> 2</w:t>
      </w:r>
      <w:r w:rsidR="00110DD2">
        <w:rPr>
          <w:rFonts w:ascii="Arial" w:hAnsi="Arial" w:cs="Arial"/>
        </w:rPr>
        <w:t>, 3</w:t>
      </w:r>
      <w:r w:rsidR="001E72C6">
        <w:rPr>
          <w:rFonts w:ascii="Arial" w:hAnsi="Arial" w:cs="Arial"/>
        </w:rPr>
        <w:t>,</w:t>
      </w:r>
      <w:r w:rsidR="00110DD2">
        <w:rPr>
          <w:rFonts w:ascii="Arial" w:hAnsi="Arial" w:cs="Arial"/>
        </w:rPr>
        <w:t xml:space="preserve"> and 4</w:t>
      </w:r>
      <w:r>
        <w:rPr>
          <w:rFonts w:ascii="Arial" w:hAnsi="Arial" w:cs="Arial"/>
        </w:rPr>
        <w:t>,</w:t>
      </w:r>
      <w:r w:rsidRPr="00E35F7F">
        <w:rPr>
          <w:rFonts w:ascii="Arial" w:hAnsi="Arial" w:cs="Arial"/>
        </w:rPr>
        <w:t xml:space="preserve"> it can be seen that as many as 15 patients (71.4%, p=0.0043) with positive culture had random glucose levels above normal limits</w:t>
      </w:r>
      <w:r>
        <w:rPr>
          <w:rFonts w:ascii="Arial" w:hAnsi="Arial" w:cs="Arial"/>
        </w:rPr>
        <w:t>,</w:t>
      </w:r>
      <w:r w:rsidRPr="00E35F7F">
        <w:rPr>
          <w:rFonts w:ascii="Arial" w:hAnsi="Arial" w:cs="Arial"/>
        </w:rPr>
        <w:t xml:space="preserve"> and as many as 18 patients had blood creatinine levels (45%, p=0.7195) within normal limits. As many as 16 patients (40%, p=0.0318) had serum albumin levels within the normal range. </w:t>
      </w:r>
    </w:p>
    <w:p w14:paraId="7D087657" w14:textId="2833AB97" w:rsidR="00D2120B" w:rsidRDefault="00E35F7F" w:rsidP="00E35F7F">
      <w:pPr>
        <w:pStyle w:val="Body"/>
        <w:spacing w:after="0"/>
        <w:jc w:val="center"/>
        <w:rPr>
          <w:rFonts w:ascii="Arial" w:hAnsi="Arial" w:cs="Arial"/>
          <w:b/>
          <w:bCs/>
        </w:rPr>
      </w:pPr>
      <w:r w:rsidRPr="00E35F7F">
        <w:rPr>
          <w:rFonts w:ascii="Arial" w:hAnsi="Arial" w:cs="Arial"/>
          <w:b/>
          <w:bCs/>
        </w:rPr>
        <w:t>Table 2. Distribution of culture results based on random blood sugar levels (GDS) of patients</w:t>
      </w:r>
    </w:p>
    <w:tbl>
      <w:tblPr>
        <w:tblpPr w:leftFromText="180" w:rightFromText="180" w:vertAnchor="text" w:tblpXSpec="center" w:tblpY="1"/>
        <w:tblOverlap w:val="never"/>
        <w:tblW w:w="0" w:type="auto"/>
        <w:tblBorders>
          <w:top w:val="single" w:sz="2" w:space="0" w:color="000000"/>
          <w:bottom w:val="single" w:sz="12" w:space="0" w:color="auto"/>
        </w:tblBorders>
        <w:tblLayout w:type="fixed"/>
        <w:tblCellMar>
          <w:left w:w="30" w:type="dxa"/>
          <w:right w:w="30" w:type="dxa"/>
        </w:tblCellMar>
        <w:tblLook w:val="0000" w:firstRow="0" w:lastRow="0" w:firstColumn="0" w:lastColumn="0" w:noHBand="0" w:noVBand="0"/>
      </w:tblPr>
      <w:tblGrid>
        <w:gridCol w:w="794"/>
        <w:gridCol w:w="316"/>
        <w:gridCol w:w="251"/>
        <w:gridCol w:w="559"/>
        <w:gridCol w:w="450"/>
        <w:gridCol w:w="810"/>
        <w:gridCol w:w="360"/>
        <w:gridCol w:w="720"/>
      </w:tblGrid>
      <w:tr w:rsidR="00E35F7F" w:rsidRPr="00E35F7F" w14:paraId="76E611C2" w14:textId="77777777" w:rsidTr="00E35F7F">
        <w:trPr>
          <w:trHeight w:val="259"/>
        </w:trPr>
        <w:tc>
          <w:tcPr>
            <w:tcW w:w="794" w:type="dxa"/>
            <w:vMerge w:val="restart"/>
            <w:tcBorders>
              <w:top w:val="single" w:sz="12" w:space="0" w:color="000000"/>
              <w:bottom w:val="nil"/>
            </w:tcBorders>
            <w:shd w:val="clear" w:color="auto" w:fill="auto"/>
            <w:vAlign w:val="center"/>
          </w:tcPr>
          <w:p w14:paraId="291B2C47" w14:textId="77777777" w:rsidR="00E35F7F" w:rsidRPr="00E35F7F" w:rsidRDefault="00E35F7F" w:rsidP="00E35F7F">
            <w:pPr>
              <w:widowControl w:val="0"/>
              <w:autoSpaceDE w:val="0"/>
              <w:autoSpaceDN w:val="0"/>
              <w:adjustRightInd w:val="0"/>
              <w:jc w:val="center"/>
              <w:rPr>
                <w:rFonts w:ascii="Arial" w:eastAsiaTheme="minorHAnsi" w:hAnsi="Arial" w:cs="Arial"/>
                <w:bCs/>
                <w:color w:val="000000"/>
              </w:rPr>
            </w:pPr>
            <w:r w:rsidRPr="00E35F7F">
              <w:rPr>
                <w:rFonts w:ascii="Arial" w:eastAsiaTheme="minorHAnsi" w:hAnsi="Arial" w:cs="Arial"/>
                <w:bCs/>
                <w:color w:val="000000"/>
              </w:rPr>
              <w:t>GDS</w:t>
            </w:r>
          </w:p>
        </w:tc>
        <w:tc>
          <w:tcPr>
            <w:tcW w:w="567" w:type="dxa"/>
            <w:gridSpan w:val="2"/>
            <w:tcBorders>
              <w:top w:val="single" w:sz="12" w:space="0" w:color="000000"/>
              <w:bottom w:val="nil"/>
            </w:tcBorders>
            <w:shd w:val="clear" w:color="auto" w:fill="auto"/>
          </w:tcPr>
          <w:p w14:paraId="127E6002" w14:textId="77777777" w:rsidR="00E35F7F" w:rsidRPr="00E35F7F" w:rsidRDefault="00E35F7F" w:rsidP="00E35F7F">
            <w:pPr>
              <w:widowControl w:val="0"/>
              <w:autoSpaceDE w:val="0"/>
              <w:autoSpaceDN w:val="0"/>
              <w:adjustRightInd w:val="0"/>
              <w:jc w:val="center"/>
              <w:rPr>
                <w:rFonts w:ascii="Arial" w:eastAsiaTheme="minorHAnsi" w:hAnsi="Arial" w:cs="Arial"/>
                <w:bCs/>
                <w:color w:val="000000"/>
              </w:rPr>
            </w:pPr>
          </w:p>
        </w:tc>
        <w:tc>
          <w:tcPr>
            <w:tcW w:w="1009" w:type="dxa"/>
            <w:gridSpan w:val="2"/>
            <w:tcBorders>
              <w:top w:val="single" w:sz="12" w:space="0" w:color="000000"/>
              <w:bottom w:val="nil"/>
            </w:tcBorders>
            <w:shd w:val="clear" w:color="auto" w:fill="auto"/>
          </w:tcPr>
          <w:p w14:paraId="1535F9C1" w14:textId="1E52A38C" w:rsidR="00E35F7F" w:rsidRPr="00E35F7F" w:rsidRDefault="00E35F7F" w:rsidP="00E35F7F">
            <w:pPr>
              <w:widowControl w:val="0"/>
              <w:autoSpaceDE w:val="0"/>
              <w:autoSpaceDN w:val="0"/>
              <w:adjustRightInd w:val="0"/>
              <w:jc w:val="center"/>
              <w:rPr>
                <w:rFonts w:ascii="Arial" w:eastAsiaTheme="minorHAnsi" w:hAnsi="Arial" w:cs="Arial"/>
                <w:bCs/>
                <w:color w:val="000000"/>
              </w:rPr>
            </w:pPr>
            <w:r>
              <w:rPr>
                <w:rFonts w:ascii="Arial" w:eastAsiaTheme="minorHAnsi" w:hAnsi="Arial" w:cs="Arial"/>
                <w:bCs/>
                <w:color w:val="000000"/>
              </w:rPr>
              <w:t>Culture</w:t>
            </w:r>
          </w:p>
        </w:tc>
        <w:tc>
          <w:tcPr>
            <w:tcW w:w="810" w:type="dxa"/>
            <w:tcBorders>
              <w:top w:val="single" w:sz="12" w:space="0" w:color="000000"/>
              <w:bottom w:val="nil"/>
            </w:tcBorders>
            <w:shd w:val="clear" w:color="auto" w:fill="auto"/>
          </w:tcPr>
          <w:p w14:paraId="52BB3076" w14:textId="77777777" w:rsidR="00E35F7F" w:rsidRPr="00E35F7F" w:rsidRDefault="00E35F7F" w:rsidP="00E35F7F">
            <w:pPr>
              <w:widowControl w:val="0"/>
              <w:autoSpaceDE w:val="0"/>
              <w:autoSpaceDN w:val="0"/>
              <w:adjustRightInd w:val="0"/>
              <w:jc w:val="center"/>
              <w:rPr>
                <w:rFonts w:ascii="Arial" w:eastAsiaTheme="minorHAnsi" w:hAnsi="Arial" w:cs="Arial"/>
                <w:bCs/>
                <w:color w:val="000000"/>
              </w:rPr>
            </w:pPr>
          </w:p>
        </w:tc>
        <w:tc>
          <w:tcPr>
            <w:tcW w:w="1080" w:type="dxa"/>
            <w:gridSpan w:val="2"/>
            <w:vMerge w:val="restart"/>
            <w:tcBorders>
              <w:top w:val="single" w:sz="12" w:space="0" w:color="000000"/>
            </w:tcBorders>
            <w:shd w:val="clear" w:color="auto" w:fill="auto"/>
            <w:vAlign w:val="center"/>
          </w:tcPr>
          <w:p w14:paraId="723F066A" w14:textId="77777777" w:rsidR="00E35F7F" w:rsidRPr="00E35F7F" w:rsidRDefault="00E35F7F" w:rsidP="00E35F7F">
            <w:pPr>
              <w:widowControl w:val="0"/>
              <w:autoSpaceDE w:val="0"/>
              <w:autoSpaceDN w:val="0"/>
              <w:adjustRightInd w:val="0"/>
              <w:jc w:val="center"/>
              <w:rPr>
                <w:rFonts w:ascii="Arial" w:eastAsiaTheme="minorHAnsi" w:hAnsi="Arial" w:cs="Arial"/>
                <w:bCs/>
                <w:color w:val="000000"/>
              </w:rPr>
            </w:pPr>
            <w:r w:rsidRPr="00E35F7F">
              <w:rPr>
                <w:rFonts w:ascii="Arial" w:eastAsiaTheme="minorHAnsi" w:hAnsi="Arial" w:cs="Arial"/>
                <w:bCs/>
                <w:color w:val="000000"/>
              </w:rPr>
              <w:t>Total</w:t>
            </w:r>
          </w:p>
        </w:tc>
      </w:tr>
      <w:tr w:rsidR="00E35F7F" w:rsidRPr="00E35F7F" w14:paraId="641E4FA6" w14:textId="77777777" w:rsidTr="00E35F7F">
        <w:trPr>
          <w:trHeight w:val="259"/>
        </w:trPr>
        <w:tc>
          <w:tcPr>
            <w:tcW w:w="794" w:type="dxa"/>
            <w:vMerge/>
            <w:tcBorders>
              <w:top w:val="nil"/>
              <w:bottom w:val="single" w:sz="4" w:space="0" w:color="000000"/>
            </w:tcBorders>
            <w:shd w:val="clear" w:color="auto" w:fill="auto"/>
          </w:tcPr>
          <w:p w14:paraId="7344260D" w14:textId="77777777" w:rsidR="00E35F7F" w:rsidRPr="00E35F7F" w:rsidRDefault="00E35F7F" w:rsidP="00E35F7F">
            <w:pPr>
              <w:widowControl w:val="0"/>
              <w:autoSpaceDE w:val="0"/>
              <w:autoSpaceDN w:val="0"/>
              <w:adjustRightInd w:val="0"/>
              <w:jc w:val="center"/>
              <w:rPr>
                <w:rFonts w:ascii="Arial" w:eastAsiaTheme="minorHAnsi" w:hAnsi="Arial" w:cs="Arial"/>
                <w:bCs/>
                <w:color w:val="000000"/>
              </w:rPr>
            </w:pPr>
          </w:p>
        </w:tc>
        <w:tc>
          <w:tcPr>
            <w:tcW w:w="1126" w:type="dxa"/>
            <w:gridSpan w:val="3"/>
            <w:tcBorders>
              <w:top w:val="nil"/>
              <w:bottom w:val="single" w:sz="4" w:space="0" w:color="000000"/>
            </w:tcBorders>
            <w:shd w:val="clear" w:color="auto" w:fill="auto"/>
          </w:tcPr>
          <w:p w14:paraId="1874B431" w14:textId="77777777" w:rsidR="00E35F7F" w:rsidRPr="00E35F7F" w:rsidRDefault="00E35F7F" w:rsidP="00E35F7F">
            <w:pPr>
              <w:widowControl w:val="0"/>
              <w:autoSpaceDE w:val="0"/>
              <w:autoSpaceDN w:val="0"/>
              <w:adjustRightInd w:val="0"/>
              <w:jc w:val="center"/>
              <w:rPr>
                <w:rFonts w:ascii="Arial" w:eastAsiaTheme="minorHAnsi" w:hAnsi="Arial" w:cs="Arial"/>
                <w:bCs/>
                <w:color w:val="000000"/>
              </w:rPr>
            </w:pPr>
            <w:r w:rsidRPr="00E35F7F">
              <w:rPr>
                <w:rFonts w:ascii="Arial" w:eastAsiaTheme="minorHAnsi" w:hAnsi="Arial" w:cs="Arial"/>
                <w:bCs/>
                <w:color w:val="000000"/>
              </w:rPr>
              <w:t>(+)</w:t>
            </w:r>
          </w:p>
        </w:tc>
        <w:tc>
          <w:tcPr>
            <w:tcW w:w="1260" w:type="dxa"/>
            <w:gridSpan w:val="2"/>
            <w:tcBorders>
              <w:top w:val="nil"/>
              <w:bottom w:val="single" w:sz="4" w:space="0" w:color="000000"/>
            </w:tcBorders>
            <w:shd w:val="clear" w:color="auto" w:fill="auto"/>
          </w:tcPr>
          <w:p w14:paraId="50316BD4" w14:textId="77777777" w:rsidR="00E35F7F" w:rsidRPr="00E35F7F" w:rsidRDefault="00E35F7F" w:rsidP="00E35F7F">
            <w:pPr>
              <w:widowControl w:val="0"/>
              <w:autoSpaceDE w:val="0"/>
              <w:autoSpaceDN w:val="0"/>
              <w:adjustRightInd w:val="0"/>
              <w:jc w:val="center"/>
              <w:rPr>
                <w:rFonts w:ascii="Arial" w:eastAsiaTheme="minorHAnsi" w:hAnsi="Arial" w:cs="Arial"/>
                <w:color w:val="000000"/>
              </w:rPr>
            </w:pPr>
            <w:r w:rsidRPr="00E35F7F">
              <w:rPr>
                <w:rFonts w:ascii="Arial" w:eastAsiaTheme="minorHAnsi" w:hAnsi="Arial" w:cs="Arial"/>
                <w:bCs/>
                <w:color w:val="000000"/>
              </w:rPr>
              <w:t>(-)</w:t>
            </w:r>
          </w:p>
        </w:tc>
        <w:tc>
          <w:tcPr>
            <w:tcW w:w="1080" w:type="dxa"/>
            <w:gridSpan w:val="2"/>
            <w:vMerge/>
            <w:tcBorders>
              <w:bottom w:val="single" w:sz="4" w:space="0" w:color="000000"/>
            </w:tcBorders>
            <w:shd w:val="clear" w:color="auto" w:fill="auto"/>
          </w:tcPr>
          <w:p w14:paraId="13028E6B" w14:textId="77777777" w:rsidR="00E35F7F" w:rsidRPr="00E35F7F" w:rsidRDefault="00E35F7F" w:rsidP="00E35F7F">
            <w:pPr>
              <w:widowControl w:val="0"/>
              <w:autoSpaceDE w:val="0"/>
              <w:autoSpaceDN w:val="0"/>
              <w:adjustRightInd w:val="0"/>
              <w:jc w:val="center"/>
              <w:rPr>
                <w:rFonts w:ascii="Arial" w:eastAsiaTheme="minorHAnsi" w:hAnsi="Arial" w:cs="Arial"/>
                <w:color w:val="000000"/>
              </w:rPr>
            </w:pPr>
          </w:p>
        </w:tc>
      </w:tr>
      <w:tr w:rsidR="00E35F7F" w:rsidRPr="00E35F7F" w14:paraId="447F701A" w14:textId="77777777" w:rsidTr="00E35F7F">
        <w:trPr>
          <w:trHeight w:val="259"/>
        </w:trPr>
        <w:tc>
          <w:tcPr>
            <w:tcW w:w="794" w:type="dxa"/>
            <w:tcBorders>
              <w:top w:val="single" w:sz="4" w:space="0" w:color="000000"/>
              <w:bottom w:val="nil"/>
            </w:tcBorders>
            <w:shd w:val="clear" w:color="auto" w:fill="auto"/>
            <w:vAlign w:val="center"/>
          </w:tcPr>
          <w:p w14:paraId="79E276A8" w14:textId="77777777" w:rsidR="00E35F7F" w:rsidRPr="00E35F7F" w:rsidRDefault="00E35F7F" w:rsidP="00E35F7F">
            <w:pPr>
              <w:widowControl w:val="0"/>
              <w:autoSpaceDE w:val="0"/>
              <w:autoSpaceDN w:val="0"/>
              <w:adjustRightInd w:val="0"/>
              <w:jc w:val="center"/>
              <w:rPr>
                <w:rFonts w:ascii="Arial" w:eastAsiaTheme="minorHAnsi" w:hAnsi="Arial" w:cs="Arial"/>
                <w:color w:val="000000"/>
              </w:rPr>
            </w:pPr>
            <w:r w:rsidRPr="00E35F7F">
              <w:rPr>
                <w:rFonts w:ascii="Arial" w:eastAsiaTheme="minorHAnsi" w:hAnsi="Arial" w:cs="Arial"/>
                <w:color w:val="000000"/>
              </w:rPr>
              <w:t>Normal</w:t>
            </w:r>
          </w:p>
        </w:tc>
        <w:tc>
          <w:tcPr>
            <w:tcW w:w="316" w:type="dxa"/>
            <w:tcBorders>
              <w:top w:val="single" w:sz="4" w:space="0" w:color="000000"/>
              <w:bottom w:val="nil"/>
            </w:tcBorders>
            <w:shd w:val="clear" w:color="auto" w:fill="auto"/>
            <w:vAlign w:val="center"/>
          </w:tcPr>
          <w:p w14:paraId="7FEF05AF"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6</w:t>
            </w:r>
          </w:p>
        </w:tc>
        <w:tc>
          <w:tcPr>
            <w:tcW w:w="810" w:type="dxa"/>
            <w:gridSpan w:val="2"/>
            <w:tcBorders>
              <w:top w:val="single" w:sz="4" w:space="0" w:color="000000"/>
              <w:bottom w:val="nil"/>
            </w:tcBorders>
            <w:shd w:val="clear" w:color="auto" w:fill="auto"/>
          </w:tcPr>
          <w:p w14:paraId="0FBA181E"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15%</w:t>
            </w:r>
          </w:p>
        </w:tc>
        <w:tc>
          <w:tcPr>
            <w:tcW w:w="450" w:type="dxa"/>
            <w:tcBorders>
              <w:top w:val="single" w:sz="4" w:space="0" w:color="000000"/>
              <w:bottom w:val="nil"/>
            </w:tcBorders>
            <w:shd w:val="clear" w:color="auto" w:fill="auto"/>
            <w:vAlign w:val="center"/>
          </w:tcPr>
          <w:p w14:paraId="713BEF04"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14</w:t>
            </w:r>
          </w:p>
        </w:tc>
        <w:tc>
          <w:tcPr>
            <w:tcW w:w="810" w:type="dxa"/>
            <w:tcBorders>
              <w:top w:val="single" w:sz="4" w:space="0" w:color="000000"/>
              <w:bottom w:val="nil"/>
            </w:tcBorders>
            <w:shd w:val="clear" w:color="auto" w:fill="auto"/>
          </w:tcPr>
          <w:p w14:paraId="234D6E88"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35%</w:t>
            </w:r>
          </w:p>
        </w:tc>
        <w:tc>
          <w:tcPr>
            <w:tcW w:w="360" w:type="dxa"/>
            <w:tcBorders>
              <w:top w:val="single" w:sz="4" w:space="0" w:color="000000"/>
              <w:bottom w:val="nil"/>
            </w:tcBorders>
            <w:shd w:val="clear" w:color="auto" w:fill="auto"/>
          </w:tcPr>
          <w:p w14:paraId="6C961778"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20</w:t>
            </w:r>
          </w:p>
        </w:tc>
        <w:tc>
          <w:tcPr>
            <w:tcW w:w="720" w:type="dxa"/>
            <w:tcBorders>
              <w:top w:val="single" w:sz="4" w:space="0" w:color="000000"/>
              <w:bottom w:val="nil"/>
            </w:tcBorders>
            <w:shd w:val="clear" w:color="auto" w:fill="auto"/>
          </w:tcPr>
          <w:p w14:paraId="550F3C0C"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50%</w:t>
            </w:r>
          </w:p>
        </w:tc>
      </w:tr>
      <w:tr w:rsidR="00E35F7F" w:rsidRPr="00E35F7F" w14:paraId="411E7C29" w14:textId="77777777" w:rsidTr="00E35F7F">
        <w:trPr>
          <w:trHeight w:val="259"/>
        </w:trPr>
        <w:tc>
          <w:tcPr>
            <w:tcW w:w="794" w:type="dxa"/>
            <w:tcBorders>
              <w:top w:val="nil"/>
            </w:tcBorders>
            <w:shd w:val="clear" w:color="auto" w:fill="auto"/>
            <w:vAlign w:val="center"/>
          </w:tcPr>
          <w:p w14:paraId="67FC63D1" w14:textId="38A8C33A" w:rsidR="00E35F7F" w:rsidRPr="00E35F7F" w:rsidRDefault="00E35F7F" w:rsidP="00E35F7F">
            <w:pPr>
              <w:widowControl w:val="0"/>
              <w:autoSpaceDE w:val="0"/>
              <w:autoSpaceDN w:val="0"/>
              <w:adjustRightInd w:val="0"/>
              <w:jc w:val="center"/>
              <w:rPr>
                <w:rFonts w:ascii="Arial" w:eastAsiaTheme="minorHAnsi" w:hAnsi="Arial" w:cs="Arial"/>
                <w:color w:val="000000"/>
              </w:rPr>
            </w:pPr>
            <w:r>
              <w:rPr>
                <w:rFonts w:ascii="Arial" w:eastAsiaTheme="minorHAnsi" w:hAnsi="Arial" w:cs="Arial"/>
                <w:color w:val="000000"/>
              </w:rPr>
              <w:t>High</w:t>
            </w:r>
          </w:p>
        </w:tc>
        <w:tc>
          <w:tcPr>
            <w:tcW w:w="316" w:type="dxa"/>
            <w:tcBorders>
              <w:top w:val="nil"/>
              <w:bottom w:val="nil"/>
            </w:tcBorders>
            <w:shd w:val="clear" w:color="auto" w:fill="auto"/>
            <w:vAlign w:val="center"/>
          </w:tcPr>
          <w:p w14:paraId="588E48FA"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15</w:t>
            </w:r>
          </w:p>
        </w:tc>
        <w:tc>
          <w:tcPr>
            <w:tcW w:w="810" w:type="dxa"/>
            <w:gridSpan w:val="2"/>
            <w:tcBorders>
              <w:top w:val="nil"/>
              <w:bottom w:val="nil"/>
            </w:tcBorders>
            <w:shd w:val="clear" w:color="auto" w:fill="auto"/>
          </w:tcPr>
          <w:p w14:paraId="659288EB" w14:textId="7BBCCA6D"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37</w:t>
            </w:r>
            <w:r w:rsidR="002D2A6F">
              <w:rPr>
                <w:rFonts w:ascii="Arial" w:eastAsiaTheme="minorHAnsi" w:hAnsi="Arial" w:cs="Arial"/>
                <w:color w:val="000000"/>
              </w:rPr>
              <w:t>.</w:t>
            </w:r>
            <w:r w:rsidRPr="00E35F7F">
              <w:rPr>
                <w:rFonts w:ascii="Arial" w:eastAsiaTheme="minorHAnsi" w:hAnsi="Arial" w:cs="Arial"/>
                <w:color w:val="000000"/>
              </w:rPr>
              <w:t>5%</w:t>
            </w:r>
          </w:p>
        </w:tc>
        <w:tc>
          <w:tcPr>
            <w:tcW w:w="450" w:type="dxa"/>
            <w:tcBorders>
              <w:top w:val="nil"/>
            </w:tcBorders>
            <w:shd w:val="clear" w:color="auto" w:fill="auto"/>
            <w:vAlign w:val="center"/>
          </w:tcPr>
          <w:p w14:paraId="419B8101"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5</w:t>
            </w:r>
          </w:p>
        </w:tc>
        <w:tc>
          <w:tcPr>
            <w:tcW w:w="810" w:type="dxa"/>
            <w:tcBorders>
              <w:top w:val="nil"/>
            </w:tcBorders>
            <w:shd w:val="clear" w:color="auto" w:fill="auto"/>
          </w:tcPr>
          <w:p w14:paraId="05B0D0D8" w14:textId="4FB01C93" w:rsidR="00E35F7F" w:rsidRPr="00E35F7F" w:rsidRDefault="002D2A6F" w:rsidP="00E35F7F">
            <w:pPr>
              <w:widowControl w:val="0"/>
              <w:autoSpaceDE w:val="0"/>
              <w:autoSpaceDN w:val="0"/>
              <w:adjustRightInd w:val="0"/>
              <w:jc w:val="right"/>
              <w:rPr>
                <w:rFonts w:ascii="Arial" w:eastAsiaTheme="minorHAnsi" w:hAnsi="Arial" w:cs="Arial"/>
                <w:color w:val="000000"/>
              </w:rPr>
            </w:pPr>
            <w:r>
              <w:rPr>
                <w:rFonts w:ascii="Arial" w:eastAsiaTheme="minorHAnsi" w:hAnsi="Arial" w:cs="Arial"/>
                <w:color w:val="000000"/>
              </w:rPr>
              <w:t>1</w:t>
            </w:r>
            <w:r w:rsidR="00E35F7F" w:rsidRPr="00E35F7F">
              <w:rPr>
                <w:rFonts w:ascii="Arial" w:eastAsiaTheme="minorHAnsi" w:hAnsi="Arial" w:cs="Arial"/>
                <w:color w:val="000000"/>
              </w:rPr>
              <w:t>2</w:t>
            </w:r>
            <w:r>
              <w:rPr>
                <w:rFonts w:ascii="Arial" w:eastAsiaTheme="minorHAnsi" w:hAnsi="Arial" w:cs="Arial"/>
                <w:color w:val="000000"/>
              </w:rPr>
              <w:t>.</w:t>
            </w:r>
            <w:r w:rsidR="00E35F7F" w:rsidRPr="00E35F7F">
              <w:rPr>
                <w:rFonts w:ascii="Arial" w:eastAsiaTheme="minorHAnsi" w:hAnsi="Arial" w:cs="Arial"/>
                <w:color w:val="000000"/>
              </w:rPr>
              <w:t>5%</w:t>
            </w:r>
          </w:p>
        </w:tc>
        <w:tc>
          <w:tcPr>
            <w:tcW w:w="360" w:type="dxa"/>
            <w:tcBorders>
              <w:top w:val="nil"/>
              <w:bottom w:val="nil"/>
            </w:tcBorders>
            <w:shd w:val="clear" w:color="auto" w:fill="auto"/>
          </w:tcPr>
          <w:p w14:paraId="6B489AE6"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20</w:t>
            </w:r>
          </w:p>
        </w:tc>
        <w:tc>
          <w:tcPr>
            <w:tcW w:w="720" w:type="dxa"/>
            <w:tcBorders>
              <w:top w:val="nil"/>
              <w:bottom w:val="nil"/>
            </w:tcBorders>
            <w:shd w:val="clear" w:color="auto" w:fill="auto"/>
          </w:tcPr>
          <w:p w14:paraId="5B6B5EBE"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50%</w:t>
            </w:r>
          </w:p>
        </w:tc>
      </w:tr>
      <w:tr w:rsidR="00E35F7F" w:rsidRPr="00E35F7F" w14:paraId="018E789D" w14:textId="77777777" w:rsidTr="00E35F7F">
        <w:trPr>
          <w:trHeight w:val="278"/>
        </w:trPr>
        <w:tc>
          <w:tcPr>
            <w:tcW w:w="794" w:type="dxa"/>
            <w:shd w:val="clear" w:color="auto" w:fill="auto"/>
            <w:vAlign w:val="center"/>
          </w:tcPr>
          <w:p w14:paraId="498E0244" w14:textId="77777777" w:rsidR="00E35F7F" w:rsidRPr="00E35F7F" w:rsidRDefault="00E35F7F" w:rsidP="00E35F7F">
            <w:pPr>
              <w:widowControl w:val="0"/>
              <w:autoSpaceDE w:val="0"/>
              <w:autoSpaceDN w:val="0"/>
              <w:adjustRightInd w:val="0"/>
              <w:jc w:val="center"/>
              <w:rPr>
                <w:rFonts w:ascii="Arial" w:eastAsiaTheme="minorHAnsi" w:hAnsi="Arial" w:cs="Arial"/>
                <w:b/>
                <w:bCs/>
                <w:color w:val="000000"/>
              </w:rPr>
            </w:pPr>
            <w:r w:rsidRPr="00E35F7F">
              <w:rPr>
                <w:rFonts w:ascii="Arial" w:eastAsiaTheme="minorHAnsi" w:hAnsi="Arial" w:cs="Arial"/>
                <w:b/>
                <w:bCs/>
                <w:color w:val="000000"/>
              </w:rPr>
              <w:t xml:space="preserve">Total   </w:t>
            </w:r>
          </w:p>
        </w:tc>
        <w:tc>
          <w:tcPr>
            <w:tcW w:w="316" w:type="dxa"/>
            <w:tcBorders>
              <w:top w:val="nil"/>
              <w:bottom w:val="single" w:sz="12" w:space="0" w:color="auto"/>
            </w:tcBorders>
            <w:shd w:val="clear" w:color="auto" w:fill="auto"/>
            <w:vAlign w:val="center"/>
          </w:tcPr>
          <w:p w14:paraId="67F9CE95" w14:textId="77777777"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21</w:t>
            </w:r>
          </w:p>
        </w:tc>
        <w:tc>
          <w:tcPr>
            <w:tcW w:w="810" w:type="dxa"/>
            <w:gridSpan w:val="2"/>
            <w:tcBorders>
              <w:top w:val="nil"/>
              <w:bottom w:val="single" w:sz="12" w:space="0" w:color="auto"/>
            </w:tcBorders>
            <w:shd w:val="clear" w:color="auto" w:fill="auto"/>
          </w:tcPr>
          <w:p w14:paraId="757708D6" w14:textId="0A7862A3"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52</w:t>
            </w:r>
            <w:r w:rsidR="002D2A6F" w:rsidRPr="001E72C6">
              <w:rPr>
                <w:rFonts w:ascii="Arial" w:eastAsiaTheme="minorHAnsi" w:hAnsi="Arial" w:cs="Arial"/>
                <w:b/>
                <w:bCs/>
                <w:color w:val="000000"/>
              </w:rPr>
              <w:t>.</w:t>
            </w:r>
            <w:r w:rsidRPr="00E35F7F">
              <w:rPr>
                <w:rFonts w:ascii="Arial" w:eastAsiaTheme="minorHAnsi" w:hAnsi="Arial" w:cs="Arial"/>
                <w:b/>
                <w:bCs/>
                <w:color w:val="000000"/>
              </w:rPr>
              <w:t>5%</w:t>
            </w:r>
          </w:p>
        </w:tc>
        <w:tc>
          <w:tcPr>
            <w:tcW w:w="450" w:type="dxa"/>
            <w:shd w:val="clear" w:color="auto" w:fill="auto"/>
            <w:vAlign w:val="center"/>
          </w:tcPr>
          <w:p w14:paraId="729AEA5B" w14:textId="77777777"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19</w:t>
            </w:r>
          </w:p>
        </w:tc>
        <w:tc>
          <w:tcPr>
            <w:tcW w:w="810" w:type="dxa"/>
            <w:shd w:val="clear" w:color="auto" w:fill="auto"/>
          </w:tcPr>
          <w:p w14:paraId="3C1DA590" w14:textId="324515A2"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47</w:t>
            </w:r>
            <w:r w:rsidR="002D2A6F" w:rsidRPr="001E72C6">
              <w:rPr>
                <w:rFonts w:ascii="Arial" w:eastAsiaTheme="minorHAnsi" w:hAnsi="Arial" w:cs="Arial"/>
                <w:b/>
                <w:bCs/>
                <w:color w:val="000000"/>
              </w:rPr>
              <w:t>.</w:t>
            </w:r>
            <w:r w:rsidRPr="00E35F7F">
              <w:rPr>
                <w:rFonts w:ascii="Arial" w:eastAsiaTheme="minorHAnsi" w:hAnsi="Arial" w:cs="Arial"/>
                <w:b/>
                <w:bCs/>
                <w:color w:val="000000"/>
              </w:rPr>
              <w:t>5%</w:t>
            </w:r>
          </w:p>
        </w:tc>
        <w:tc>
          <w:tcPr>
            <w:tcW w:w="360" w:type="dxa"/>
            <w:tcBorders>
              <w:top w:val="nil"/>
              <w:bottom w:val="single" w:sz="12" w:space="0" w:color="auto"/>
            </w:tcBorders>
            <w:shd w:val="clear" w:color="auto" w:fill="auto"/>
          </w:tcPr>
          <w:p w14:paraId="58654C91" w14:textId="77777777"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40</w:t>
            </w:r>
          </w:p>
        </w:tc>
        <w:tc>
          <w:tcPr>
            <w:tcW w:w="720" w:type="dxa"/>
            <w:tcBorders>
              <w:top w:val="nil"/>
              <w:bottom w:val="single" w:sz="12" w:space="0" w:color="auto"/>
            </w:tcBorders>
            <w:shd w:val="clear" w:color="auto" w:fill="auto"/>
          </w:tcPr>
          <w:p w14:paraId="41374CEA" w14:textId="77777777"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100%</w:t>
            </w:r>
          </w:p>
        </w:tc>
      </w:tr>
    </w:tbl>
    <w:p w14:paraId="614A79B3" w14:textId="77777777" w:rsidR="00E35F7F" w:rsidRPr="00E35F7F" w:rsidRDefault="00E35F7F" w:rsidP="00E35F7F">
      <w:pPr>
        <w:pStyle w:val="Body"/>
        <w:spacing w:after="0"/>
        <w:jc w:val="center"/>
        <w:rPr>
          <w:rFonts w:ascii="Arial" w:hAnsi="Arial" w:cs="Arial"/>
          <w:b/>
          <w:bCs/>
        </w:rPr>
      </w:pPr>
    </w:p>
    <w:p w14:paraId="2BB3AF39" w14:textId="77B741D9" w:rsidR="00D2120B" w:rsidRDefault="00D2120B" w:rsidP="00D2120B">
      <w:pPr>
        <w:pStyle w:val="Body"/>
        <w:spacing w:after="0"/>
        <w:rPr>
          <w:rFonts w:ascii="Arial" w:hAnsi="Arial" w:cs="Arial"/>
        </w:rPr>
      </w:pPr>
    </w:p>
    <w:p w14:paraId="4C66216F" w14:textId="2DE5FFA5" w:rsidR="00E35F7F" w:rsidRDefault="00E35F7F" w:rsidP="00D2120B">
      <w:pPr>
        <w:pStyle w:val="Body"/>
        <w:spacing w:after="0"/>
        <w:rPr>
          <w:rFonts w:ascii="Arial" w:hAnsi="Arial" w:cs="Arial"/>
        </w:rPr>
      </w:pPr>
    </w:p>
    <w:p w14:paraId="6B8D1FED" w14:textId="1E6B1B02" w:rsidR="00E35F7F" w:rsidRDefault="00E35F7F" w:rsidP="00D2120B">
      <w:pPr>
        <w:pStyle w:val="Body"/>
        <w:spacing w:after="0"/>
        <w:rPr>
          <w:rFonts w:ascii="Arial" w:hAnsi="Arial" w:cs="Arial"/>
        </w:rPr>
      </w:pPr>
    </w:p>
    <w:p w14:paraId="0DF7E10A" w14:textId="77777777" w:rsidR="00926683" w:rsidRDefault="00926683" w:rsidP="00D2120B">
      <w:pPr>
        <w:pStyle w:val="Body"/>
        <w:spacing w:after="0"/>
        <w:rPr>
          <w:rFonts w:ascii="Arial" w:hAnsi="Arial" w:cs="Arial"/>
        </w:rPr>
      </w:pPr>
    </w:p>
    <w:p w14:paraId="66EA3F07" w14:textId="7E107812" w:rsidR="00E35F7F" w:rsidRDefault="00E35F7F" w:rsidP="00D2120B">
      <w:pPr>
        <w:pStyle w:val="Body"/>
        <w:spacing w:after="0"/>
        <w:rPr>
          <w:rFonts w:ascii="Arial" w:hAnsi="Arial" w:cs="Arial"/>
        </w:rPr>
      </w:pPr>
    </w:p>
    <w:p w14:paraId="58DB5109" w14:textId="2A5A44F3" w:rsidR="00E35F7F" w:rsidRDefault="00E35F7F" w:rsidP="00D2120B">
      <w:pPr>
        <w:pStyle w:val="Body"/>
        <w:spacing w:after="0"/>
        <w:rPr>
          <w:rFonts w:ascii="Arial" w:hAnsi="Arial" w:cs="Arial"/>
        </w:rPr>
      </w:pPr>
    </w:p>
    <w:p w14:paraId="4BD6CEE1" w14:textId="51945192" w:rsidR="00E35F7F" w:rsidRPr="00110DD2" w:rsidRDefault="00110DD2" w:rsidP="000C7597">
      <w:pPr>
        <w:pStyle w:val="Body"/>
        <w:spacing w:after="0"/>
        <w:jc w:val="center"/>
        <w:rPr>
          <w:rFonts w:ascii="Arial" w:hAnsi="Arial" w:cs="Arial"/>
          <w:b/>
          <w:bCs/>
        </w:rPr>
      </w:pPr>
      <w:r w:rsidRPr="00110DD2">
        <w:rPr>
          <w:rFonts w:ascii="Arial" w:hAnsi="Arial" w:cs="Arial"/>
          <w:b/>
          <w:bCs/>
        </w:rPr>
        <w:t>Table 3. Distribution of culture results based on patient creatinine levels</w:t>
      </w:r>
    </w:p>
    <w:tbl>
      <w:tblPr>
        <w:tblpPr w:leftFromText="180" w:rightFromText="180" w:vertAnchor="text" w:tblpXSpec="center" w:tblpY="1"/>
        <w:tblOverlap w:val="never"/>
        <w:tblW w:w="0" w:type="auto"/>
        <w:tblBorders>
          <w:top w:val="single" w:sz="12" w:space="0" w:color="auto"/>
          <w:bottom w:val="single" w:sz="12" w:space="0" w:color="auto"/>
        </w:tblBorders>
        <w:tblLayout w:type="fixed"/>
        <w:tblCellMar>
          <w:left w:w="30" w:type="dxa"/>
          <w:right w:w="30" w:type="dxa"/>
        </w:tblCellMar>
        <w:tblLook w:val="0000" w:firstRow="0" w:lastRow="0" w:firstColumn="0" w:lastColumn="0" w:noHBand="0" w:noVBand="0"/>
      </w:tblPr>
      <w:tblGrid>
        <w:gridCol w:w="1274"/>
        <w:gridCol w:w="360"/>
        <w:gridCol w:w="301"/>
        <w:gridCol w:w="509"/>
        <w:gridCol w:w="450"/>
        <w:gridCol w:w="810"/>
        <w:gridCol w:w="360"/>
        <w:gridCol w:w="810"/>
      </w:tblGrid>
      <w:tr w:rsidR="00110DD2" w:rsidRPr="00110DD2" w14:paraId="5D945C57" w14:textId="77777777" w:rsidTr="00223BD4">
        <w:trPr>
          <w:trHeight w:val="259"/>
        </w:trPr>
        <w:tc>
          <w:tcPr>
            <w:tcW w:w="1274" w:type="dxa"/>
            <w:vMerge w:val="restart"/>
            <w:shd w:val="clear" w:color="auto" w:fill="auto"/>
            <w:vAlign w:val="center"/>
          </w:tcPr>
          <w:p w14:paraId="2D009375" w14:textId="251C9D08" w:rsidR="00110DD2" w:rsidRPr="00110DD2" w:rsidRDefault="007D250F" w:rsidP="00110DD2">
            <w:pPr>
              <w:widowControl w:val="0"/>
              <w:autoSpaceDE w:val="0"/>
              <w:autoSpaceDN w:val="0"/>
              <w:adjustRightInd w:val="0"/>
              <w:rPr>
                <w:rFonts w:ascii="Arial" w:eastAsiaTheme="minorHAnsi" w:hAnsi="Arial" w:cs="Arial"/>
                <w:b/>
                <w:color w:val="000000"/>
              </w:rPr>
            </w:pPr>
            <w:r w:rsidRPr="00223BD4">
              <w:rPr>
                <w:rFonts w:ascii="Arial" w:eastAsiaTheme="minorHAnsi" w:hAnsi="Arial" w:cs="Arial"/>
                <w:b/>
                <w:color w:val="000000"/>
              </w:rPr>
              <w:t>Creatinine</w:t>
            </w:r>
          </w:p>
        </w:tc>
        <w:tc>
          <w:tcPr>
            <w:tcW w:w="661" w:type="dxa"/>
            <w:gridSpan w:val="2"/>
            <w:shd w:val="clear" w:color="auto" w:fill="auto"/>
          </w:tcPr>
          <w:p w14:paraId="0A25C407" w14:textId="77777777" w:rsidR="00110DD2" w:rsidRPr="00110DD2" w:rsidRDefault="00110DD2" w:rsidP="00110DD2">
            <w:pPr>
              <w:widowControl w:val="0"/>
              <w:autoSpaceDE w:val="0"/>
              <w:autoSpaceDN w:val="0"/>
              <w:adjustRightInd w:val="0"/>
              <w:jc w:val="center"/>
              <w:rPr>
                <w:rFonts w:ascii="Arial" w:eastAsiaTheme="minorHAnsi" w:hAnsi="Arial" w:cs="Arial"/>
                <w:b/>
                <w:color w:val="000000"/>
              </w:rPr>
            </w:pPr>
          </w:p>
        </w:tc>
        <w:tc>
          <w:tcPr>
            <w:tcW w:w="959" w:type="dxa"/>
            <w:gridSpan w:val="2"/>
            <w:shd w:val="clear" w:color="auto" w:fill="auto"/>
          </w:tcPr>
          <w:p w14:paraId="65DDEFD2" w14:textId="15A07071" w:rsidR="00110DD2" w:rsidRPr="00110DD2" w:rsidRDefault="007D250F" w:rsidP="00110DD2">
            <w:pPr>
              <w:widowControl w:val="0"/>
              <w:autoSpaceDE w:val="0"/>
              <w:autoSpaceDN w:val="0"/>
              <w:adjustRightInd w:val="0"/>
              <w:jc w:val="center"/>
              <w:rPr>
                <w:rFonts w:ascii="Arial" w:eastAsiaTheme="minorHAnsi" w:hAnsi="Arial" w:cs="Arial"/>
                <w:b/>
                <w:color w:val="000000"/>
              </w:rPr>
            </w:pPr>
            <w:r w:rsidRPr="00223BD4">
              <w:rPr>
                <w:rFonts w:ascii="Arial" w:eastAsiaTheme="minorHAnsi" w:hAnsi="Arial" w:cs="Arial"/>
                <w:b/>
                <w:color w:val="000000"/>
              </w:rPr>
              <w:t>Culture</w:t>
            </w:r>
          </w:p>
        </w:tc>
        <w:tc>
          <w:tcPr>
            <w:tcW w:w="810" w:type="dxa"/>
            <w:shd w:val="clear" w:color="auto" w:fill="auto"/>
          </w:tcPr>
          <w:p w14:paraId="0E463CBC" w14:textId="77777777" w:rsidR="00110DD2" w:rsidRPr="00110DD2" w:rsidRDefault="00110DD2" w:rsidP="00110DD2">
            <w:pPr>
              <w:widowControl w:val="0"/>
              <w:autoSpaceDE w:val="0"/>
              <w:autoSpaceDN w:val="0"/>
              <w:adjustRightInd w:val="0"/>
              <w:jc w:val="center"/>
              <w:rPr>
                <w:rFonts w:ascii="Arial" w:eastAsiaTheme="minorHAnsi" w:hAnsi="Arial" w:cs="Arial"/>
                <w:b/>
                <w:color w:val="000000"/>
              </w:rPr>
            </w:pPr>
          </w:p>
        </w:tc>
        <w:tc>
          <w:tcPr>
            <w:tcW w:w="1170" w:type="dxa"/>
            <w:gridSpan w:val="2"/>
            <w:vMerge w:val="restart"/>
            <w:shd w:val="clear" w:color="auto" w:fill="auto"/>
            <w:vAlign w:val="center"/>
          </w:tcPr>
          <w:p w14:paraId="3794ABEC" w14:textId="77777777" w:rsidR="00110DD2" w:rsidRPr="00110DD2" w:rsidRDefault="00110DD2" w:rsidP="00110DD2">
            <w:pPr>
              <w:widowControl w:val="0"/>
              <w:autoSpaceDE w:val="0"/>
              <w:autoSpaceDN w:val="0"/>
              <w:adjustRightInd w:val="0"/>
              <w:jc w:val="center"/>
              <w:rPr>
                <w:rFonts w:ascii="Arial" w:eastAsiaTheme="minorHAnsi" w:hAnsi="Arial" w:cs="Arial"/>
                <w:b/>
                <w:color w:val="000000"/>
              </w:rPr>
            </w:pPr>
            <w:r w:rsidRPr="00110DD2">
              <w:rPr>
                <w:rFonts w:ascii="Arial" w:eastAsiaTheme="minorHAnsi" w:hAnsi="Arial" w:cs="Arial"/>
                <w:b/>
                <w:color w:val="000000"/>
              </w:rPr>
              <w:t>Total</w:t>
            </w:r>
          </w:p>
        </w:tc>
      </w:tr>
      <w:tr w:rsidR="00110DD2" w:rsidRPr="00110DD2" w14:paraId="60F30EC2" w14:textId="77777777" w:rsidTr="00223BD4">
        <w:trPr>
          <w:trHeight w:val="259"/>
        </w:trPr>
        <w:tc>
          <w:tcPr>
            <w:tcW w:w="1274" w:type="dxa"/>
            <w:vMerge/>
            <w:tcBorders>
              <w:bottom w:val="single" w:sz="4" w:space="0" w:color="auto"/>
            </w:tcBorders>
            <w:shd w:val="clear" w:color="auto" w:fill="auto"/>
          </w:tcPr>
          <w:p w14:paraId="1FA76D1E" w14:textId="77777777" w:rsidR="00110DD2" w:rsidRPr="00110DD2" w:rsidRDefault="00110DD2" w:rsidP="00110DD2">
            <w:pPr>
              <w:widowControl w:val="0"/>
              <w:autoSpaceDE w:val="0"/>
              <w:autoSpaceDN w:val="0"/>
              <w:adjustRightInd w:val="0"/>
              <w:rPr>
                <w:rFonts w:ascii="Arial" w:eastAsiaTheme="minorHAnsi" w:hAnsi="Arial" w:cs="Arial"/>
                <w:b/>
                <w:color w:val="000000"/>
              </w:rPr>
            </w:pPr>
          </w:p>
        </w:tc>
        <w:tc>
          <w:tcPr>
            <w:tcW w:w="1170" w:type="dxa"/>
            <w:gridSpan w:val="3"/>
            <w:tcBorders>
              <w:bottom w:val="single" w:sz="4" w:space="0" w:color="auto"/>
            </w:tcBorders>
            <w:shd w:val="clear" w:color="auto" w:fill="auto"/>
          </w:tcPr>
          <w:p w14:paraId="7511E6DF" w14:textId="77777777" w:rsidR="00110DD2" w:rsidRPr="00110DD2" w:rsidRDefault="00110DD2" w:rsidP="00110DD2">
            <w:pPr>
              <w:widowControl w:val="0"/>
              <w:autoSpaceDE w:val="0"/>
              <w:autoSpaceDN w:val="0"/>
              <w:adjustRightInd w:val="0"/>
              <w:jc w:val="center"/>
              <w:rPr>
                <w:rFonts w:ascii="Arial" w:eastAsiaTheme="minorHAnsi" w:hAnsi="Arial" w:cs="Arial"/>
                <w:b/>
                <w:color w:val="000000"/>
              </w:rPr>
            </w:pPr>
            <w:r w:rsidRPr="00110DD2">
              <w:rPr>
                <w:rFonts w:ascii="Arial" w:eastAsiaTheme="minorHAnsi" w:hAnsi="Arial" w:cs="Arial"/>
                <w:b/>
                <w:color w:val="000000"/>
              </w:rPr>
              <w:t>(+)</w:t>
            </w:r>
          </w:p>
        </w:tc>
        <w:tc>
          <w:tcPr>
            <w:tcW w:w="1260" w:type="dxa"/>
            <w:gridSpan w:val="2"/>
            <w:tcBorders>
              <w:bottom w:val="single" w:sz="4" w:space="0" w:color="auto"/>
            </w:tcBorders>
            <w:shd w:val="clear" w:color="auto" w:fill="auto"/>
          </w:tcPr>
          <w:p w14:paraId="4AD2E415" w14:textId="77777777" w:rsidR="00110DD2" w:rsidRPr="00110DD2" w:rsidRDefault="00110DD2" w:rsidP="00110DD2">
            <w:pPr>
              <w:widowControl w:val="0"/>
              <w:autoSpaceDE w:val="0"/>
              <w:autoSpaceDN w:val="0"/>
              <w:adjustRightInd w:val="0"/>
              <w:jc w:val="center"/>
              <w:rPr>
                <w:rFonts w:ascii="Arial" w:eastAsiaTheme="minorHAnsi" w:hAnsi="Arial" w:cs="Arial"/>
                <w:b/>
                <w:color w:val="000000"/>
              </w:rPr>
            </w:pPr>
            <w:r w:rsidRPr="00110DD2">
              <w:rPr>
                <w:rFonts w:ascii="Arial" w:eastAsiaTheme="minorHAnsi" w:hAnsi="Arial" w:cs="Arial"/>
                <w:b/>
                <w:color w:val="000000"/>
              </w:rPr>
              <w:t>(-)</w:t>
            </w:r>
          </w:p>
        </w:tc>
        <w:tc>
          <w:tcPr>
            <w:tcW w:w="1170" w:type="dxa"/>
            <w:gridSpan w:val="2"/>
            <w:vMerge/>
            <w:tcBorders>
              <w:bottom w:val="single" w:sz="4" w:space="0" w:color="auto"/>
            </w:tcBorders>
            <w:shd w:val="clear" w:color="auto" w:fill="auto"/>
          </w:tcPr>
          <w:p w14:paraId="1784E933"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p>
        </w:tc>
      </w:tr>
      <w:tr w:rsidR="00110DD2" w:rsidRPr="00110DD2" w14:paraId="0EAE7824" w14:textId="77777777" w:rsidTr="00223BD4">
        <w:trPr>
          <w:trHeight w:val="259"/>
        </w:trPr>
        <w:tc>
          <w:tcPr>
            <w:tcW w:w="1274" w:type="dxa"/>
            <w:tcBorders>
              <w:top w:val="single" w:sz="4" w:space="0" w:color="auto"/>
              <w:bottom w:val="nil"/>
            </w:tcBorders>
            <w:shd w:val="clear" w:color="auto" w:fill="auto"/>
            <w:vAlign w:val="center"/>
          </w:tcPr>
          <w:p w14:paraId="678A2262" w14:textId="77777777" w:rsidR="00110DD2" w:rsidRPr="00110DD2" w:rsidRDefault="00110DD2" w:rsidP="00110DD2">
            <w:pPr>
              <w:widowControl w:val="0"/>
              <w:autoSpaceDE w:val="0"/>
              <w:autoSpaceDN w:val="0"/>
              <w:adjustRightInd w:val="0"/>
              <w:rPr>
                <w:rFonts w:ascii="Arial" w:eastAsiaTheme="minorHAnsi" w:hAnsi="Arial" w:cs="Arial"/>
                <w:color w:val="000000"/>
              </w:rPr>
            </w:pPr>
            <w:r w:rsidRPr="00110DD2">
              <w:rPr>
                <w:rFonts w:ascii="Arial" w:eastAsiaTheme="minorHAnsi" w:hAnsi="Arial" w:cs="Arial"/>
                <w:color w:val="000000"/>
              </w:rPr>
              <w:t>Normal</w:t>
            </w:r>
          </w:p>
        </w:tc>
        <w:tc>
          <w:tcPr>
            <w:tcW w:w="360" w:type="dxa"/>
            <w:tcBorders>
              <w:top w:val="single" w:sz="4" w:space="0" w:color="auto"/>
              <w:bottom w:val="nil"/>
            </w:tcBorders>
            <w:shd w:val="clear" w:color="auto" w:fill="auto"/>
            <w:vAlign w:val="center"/>
          </w:tcPr>
          <w:p w14:paraId="3955F7BF"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18</w:t>
            </w:r>
          </w:p>
        </w:tc>
        <w:tc>
          <w:tcPr>
            <w:tcW w:w="810" w:type="dxa"/>
            <w:gridSpan w:val="2"/>
            <w:tcBorders>
              <w:top w:val="single" w:sz="4" w:space="0" w:color="auto"/>
              <w:bottom w:val="nil"/>
            </w:tcBorders>
            <w:shd w:val="clear" w:color="auto" w:fill="auto"/>
          </w:tcPr>
          <w:p w14:paraId="320E34AD"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45%</w:t>
            </w:r>
          </w:p>
        </w:tc>
        <w:tc>
          <w:tcPr>
            <w:tcW w:w="450" w:type="dxa"/>
            <w:tcBorders>
              <w:top w:val="single" w:sz="4" w:space="0" w:color="auto"/>
              <w:bottom w:val="nil"/>
            </w:tcBorders>
            <w:shd w:val="clear" w:color="auto" w:fill="auto"/>
            <w:vAlign w:val="center"/>
          </w:tcPr>
          <w:p w14:paraId="6607A5F7"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17</w:t>
            </w:r>
          </w:p>
        </w:tc>
        <w:tc>
          <w:tcPr>
            <w:tcW w:w="810" w:type="dxa"/>
            <w:tcBorders>
              <w:top w:val="single" w:sz="4" w:space="0" w:color="auto"/>
              <w:bottom w:val="nil"/>
            </w:tcBorders>
            <w:shd w:val="clear" w:color="auto" w:fill="auto"/>
          </w:tcPr>
          <w:p w14:paraId="4E76DBC2" w14:textId="0C1E78B8"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42</w:t>
            </w:r>
            <w:r w:rsidR="001E72C6">
              <w:rPr>
                <w:rFonts w:ascii="Arial" w:eastAsiaTheme="minorHAnsi" w:hAnsi="Arial" w:cs="Arial"/>
                <w:color w:val="000000"/>
              </w:rPr>
              <w:t>.</w:t>
            </w:r>
            <w:r w:rsidRPr="00110DD2">
              <w:rPr>
                <w:rFonts w:ascii="Arial" w:eastAsiaTheme="minorHAnsi" w:hAnsi="Arial" w:cs="Arial"/>
                <w:color w:val="000000"/>
              </w:rPr>
              <w:t>5%</w:t>
            </w:r>
          </w:p>
        </w:tc>
        <w:tc>
          <w:tcPr>
            <w:tcW w:w="360" w:type="dxa"/>
            <w:tcBorders>
              <w:top w:val="single" w:sz="4" w:space="0" w:color="auto"/>
              <w:bottom w:val="nil"/>
            </w:tcBorders>
            <w:shd w:val="clear" w:color="auto" w:fill="auto"/>
          </w:tcPr>
          <w:p w14:paraId="40D971F3" w14:textId="77777777"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35</w:t>
            </w:r>
          </w:p>
        </w:tc>
        <w:tc>
          <w:tcPr>
            <w:tcW w:w="810" w:type="dxa"/>
            <w:tcBorders>
              <w:top w:val="single" w:sz="4" w:space="0" w:color="auto"/>
              <w:bottom w:val="nil"/>
            </w:tcBorders>
            <w:shd w:val="clear" w:color="auto" w:fill="auto"/>
          </w:tcPr>
          <w:p w14:paraId="70F55443" w14:textId="16A1273D"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87</w:t>
            </w:r>
            <w:r w:rsidR="001E72C6">
              <w:rPr>
                <w:rFonts w:ascii="Arial" w:eastAsiaTheme="minorHAnsi" w:hAnsi="Arial" w:cs="Arial"/>
                <w:color w:val="000000"/>
              </w:rPr>
              <w:t>.</w:t>
            </w:r>
            <w:r w:rsidRPr="00110DD2">
              <w:rPr>
                <w:rFonts w:ascii="Arial" w:eastAsiaTheme="minorHAnsi" w:hAnsi="Arial" w:cs="Arial"/>
                <w:color w:val="000000"/>
              </w:rPr>
              <w:t>5%</w:t>
            </w:r>
          </w:p>
        </w:tc>
      </w:tr>
      <w:tr w:rsidR="00110DD2" w:rsidRPr="00110DD2" w14:paraId="524F985D" w14:textId="77777777" w:rsidTr="00223BD4">
        <w:trPr>
          <w:trHeight w:val="259"/>
        </w:trPr>
        <w:tc>
          <w:tcPr>
            <w:tcW w:w="1274" w:type="dxa"/>
            <w:tcBorders>
              <w:top w:val="nil"/>
            </w:tcBorders>
            <w:shd w:val="clear" w:color="auto" w:fill="auto"/>
            <w:vAlign w:val="center"/>
          </w:tcPr>
          <w:p w14:paraId="5643C2D6" w14:textId="6162E075" w:rsidR="00110DD2" w:rsidRPr="00110DD2" w:rsidRDefault="007D250F" w:rsidP="00110DD2">
            <w:pPr>
              <w:widowControl w:val="0"/>
              <w:autoSpaceDE w:val="0"/>
              <w:autoSpaceDN w:val="0"/>
              <w:adjustRightInd w:val="0"/>
              <w:rPr>
                <w:rFonts w:ascii="Arial" w:eastAsiaTheme="minorHAnsi" w:hAnsi="Arial" w:cs="Arial"/>
                <w:color w:val="000000"/>
              </w:rPr>
            </w:pPr>
            <w:r>
              <w:rPr>
                <w:rFonts w:ascii="Arial" w:eastAsiaTheme="minorHAnsi" w:hAnsi="Arial" w:cs="Arial"/>
                <w:color w:val="000000"/>
              </w:rPr>
              <w:t>High</w:t>
            </w:r>
          </w:p>
        </w:tc>
        <w:tc>
          <w:tcPr>
            <w:tcW w:w="360" w:type="dxa"/>
            <w:tcBorders>
              <w:top w:val="nil"/>
              <w:bottom w:val="nil"/>
            </w:tcBorders>
            <w:shd w:val="clear" w:color="auto" w:fill="auto"/>
            <w:vAlign w:val="center"/>
          </w:tcPr>
          <w:p w14:paraId="009669B5"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3</w:t>
            </w:r>
          </w:p>
        </w:tc>
        <w:tc>
          <w:tcPr>
            <w:tcW w:w="810" w:type="dxa"/>
            <w:gridSpan w:val="2"/>
            <w:tcBorders>
              <w:top w:val="nil"/>
              <w:bottom w:val="nil"/>
            </w:tcBorders>
            <w:shd w:val="clear" w:color="auto" w:fill="auto"/>
          </w:tcPr>
          <w:p w14:paraId="2561EFB1" w14:textId="4DED182E"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7</w:t>
            </w:r>
            <w:r w:rsidR="001E72C6">
              <w:rPr>
                <w:rFonts w:ascii="Arial" w:eastAsiaTheme="minorHAnsi" w:hAnsi="Arial" w:cs="Arial"/>
                <w:color w:val="000000"/>
              </w:rPr>
              <w:t>.</w:t>
            </w:r>
            <w:r w:rsidRPr="00110DD2">
              <w:rPr>
                <w:rFonts w:ascii="Arial" w:eastAsiaTheme="minorHAnsi" w:hAnsi="Arial" w:cs="Arial"/>
                <w:color w:val="000000"/>
              </w:rPr>
              <w:t>5%</w:t>
            </w:r>
          </w:p>
        </w:tc>
        <w:tc>
          <w:tcPr>
            <w:tcW w:w="450" w:type="dxa"/>
            <w:tcBorders>
              <w:top w:val="nil"/>
            </w:tcBorders>
            <w:shd w:val="clear" w:color="auto" w:fill="auto"/>
            <w:vAlign w:val="center"/>
          </w:tcPr>
          <w:p w14:paraId="39350FDA"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2</w:t>
            </w:r>
          </w:p>
        </w:tc>
        <w:tc>
          <w:tcPr>
            <w:tcW w:w="810" w:type="dxa"/>
            <w:tcBorders>
              <w:top w:val="nil"/>
            </w:tcBorders>
            <w:shd w:val="clear" w:color="auto" w:fill="auto"/>
          </w:tcPr>
          <w:p w14:paraId="43ADE62A" w14:textId="77777777"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5%</w:t>
            </w:r>
          </w:p>
        </w:tc>
        <w:tc>
          <w:tcPr>
            <w:tcW w:w="360" w:type="dxa"/>
            <w:tcBorders>
              <w:top w:val="nil"/>
              <w:bottom w:val="nil"/>
            </w:tcBorders>
            <w:shd w:val="clear" w:color="auto" w:fill="auto"/>
          </w:tcPr>
          <w:p w14:paraId="0163B1D4" w14:textId="77777777"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5</w:t>
            </w:r>
          </w:p>
        </w:tc>
        <w:tc>
          <w:tcPr>
            <w:tcW w:w="810" w:type="dxa"/>
            <w:tcBorders>
              <w:top w:val="nil"/>
              <w:bottom w:val="nil"/>
            </w:tcBorders>
            <w:shd w:val="clear" w:color="auto" w:fill="auto"/>
          </w:tcPr>
          <w:p w14:paraId="68A9B9F3" w14:textId="08426E07"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12</w:t>
            </w:r>
            <w:r w:rsidR="001E72C6">
              <w:rPr>
                <w:rFonts w:ascii="Arial" w:eastAsiaTheme="minorHAnsi" w:hAnsi="Arial" w:cs="Arial"/>
                <w:color w:val="000000"/>
              </w:rPr>
              <w:t>.</w:t>
            </w:r>
            <w:r w:rsidRPr="00110DD2">
              <w:rPr>
                <w:rFonts w:ascii="Arial" w:eastAsiaTheme="minorHAnsi" w:hAnsi="Arial" w:cs="Arial"/>
                <w:color w:val="000000"/>
              </w:rPr>
              <w:t>5%</w:t>
            </w:r>
          </w:p>
        </w:tc>
      </w:tr>
      <w:tr w:rsidR="00110DD2" w:rsidRPr="00110DD2" w14:paraId="0955EB39" w14:textId="77777777" w:rsidTr="00223BD4">
        <w:trPr>
          <w:trHeight w:val="278"/>
        </w:trPr>
        <w:tc>
          <w:tcPr>
            <w:tcW w:w="1274" w:type="dxa"/>
            <w:shd w:val="clear" w:color="auto" w:fill="auto"/>
            <w:vAlign w:val="center"/>
          </w:tcPr>
          <w:p w14:paraId="5294FB1B" w14:textId="77777777" w:rsidR="00110DD2" w:rsidRPr="00110DD2" w:rsidRDefault="00110DD2" w:rsidP="00110DD2">
            <w:pPr>
              <w:widowControl w:val="0"/>
              <w:autoSpaceDE w:val="0"/>
              <w:autoSpaceDN w:val="0"/>
              <w:adjustRightInd w:val="0"/>
              <w:rPr>
                <w:rFonts w:ascii="Arial" w:eastAsiaTheme="minorHAnsi" w:hAnsi="Arial" w:cs="Arial"/>
                <w:color w:val="000000"/>
              </w:rPr>
            </w:pPr>
            <w:r w:rsidRPr="00110DD2">
              <w:rPr>
                <w:rFonts w:ascii="Arial" w:eastAsiaTheme="minorHAnsi" w:hAnsi="Arial" w:cs="Arial"/>
                <w:color w:val="000000"/>
              </w:rPr>
              <w:t>Total</w:t>
            </w:r>
          </w:p>
        </w:tc>
        <w:tc>
          <w:tcPr>
            <w:tcW w:w="360" w:type="dxa"/>
            <w:tcBorders>
              <w:top w:val="nil"/>
              <w:bottom w:val="single" w:sz="12" w:space="0" w:color="auto"/>
            </w:tcBorders>
            <w:shd w:val="clear" w:color="auto" w:fill="auto"/>
            <w:vAlign w:val="center"/>
          </w:tcPr>
          <w:p w14:paraId="3872140D"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21</w:t>
            </w:r>
          </w:p>
        </w:tc>
        <w:tc>
          <w:tcPr>
            <w:tcW w:w="810" w:type="dxa"/>
            <w:gridSpan w:val="2"/>
            <w:tcBorders>
              <w:top w:val="nil"/>
              <w:bottom w:val="single" w:sz="12" w:space="0" w:color="auto"/>
            </w:tcBorders>
            <w:shd w:val="clear" w:color="auto" w:fill="auto"/>
          </w:tcPr>
          <w:p w14:paraId="0B77F704" w14:textId="031C7CFB"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52</w:t>
            </w:r>
            <w:r w:rsidR="001E72C6">
              <w:rPr>
                <w:rFonts w:ascii="Arial" w:eastAsiaTheme="minorHAnsi" w:hAnsi="Arial" w:cs="Arial"/>
                <w:color w:val="000000"/>
              </w:rPr>
              <w:t>.</w:t>
            </w:r>
            <w:r w:rsidRPr="00110DD2">
              <w:rPr>
                <w:rFonts w:ascii="Arial" w:eastAsiaTheme="minorHAnsi" w:hAnsi="Arial" w:cs="Arial"/>
                <w:color w:val="000000"/>
              </w:rPr>
              <w:t>5%</w:t>
            </w:r>
          </w:p>
        </w:tc>
        <w:tc>
          <w:tcPr>
            <w:tcW w:w="450" w:type="dxa"/>
            <w:shd w:val="clear" w:color="auto" w:fill="auto"/>
            <w:vAlign w:val="center"/>
          </w:tcPr>
          <w:p w14:paraId="144C0216"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19</w:t>
            </w:r>
          </w:p>
        </w:tc>
        <w:tc>
          <w:tcPr>
            <w:tcW w:w="810" w:type="dxa"/>
            <w:shd w:val="clear" w:color="auto" w:fill="auto"/>
          </w:tcPr>
          <w:p w14:paraId="42F8D138" w14:textId="7CE509FE"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47</w:t>
            </w:r>
            <w:r w:rsidR="001E72C6">
              <w:rPr>
                <w:rFonts w:ascii="Arial" w:eastAsiaTheme="minorHAnsi" w:hAnsi="Arial" w:cs="Arial"/>
                <w:color w:val="000000"/>
              </w:rPr>
              <w:t>.</w:t>
            </w:r>
            <w:r w:rsidRPr="00110DD2">
              <w:rPr>
                <w:rFonts w:ascii="Arial" w:eastAsiaTheme="minorHAnsi" w:hAnsi="Arial" w:cs="Arial"/>
                <w:color w:val="000000"/>
              </w:rPr>
              <w:t>5%</w:t>
            </w:r>
          </w:p>
        </w:tc>
        <w:tc>
          <w:tcPr>
            <w:tcW w:w="360" w:type="dxa"/>
            <w:tcBorders>
              <w:top w:val="nil"/>
              <w:bottom w:val="single" w:sz="12" w:space="0" w:color="auto"/>
            </w:tcBorders>
            <w:shd w:val="clear" w:color="auto" w:fill="auto"/>
          </w:tcPr>
          <w:p w14:paraId="5E7F3945" w14:textId="77777777"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40</w:t>
            </w:r>
          </w:p>
        </w:tc>
        <w:tc>
          <w:tcPr>
            <w:tcW w:w="810" w:type="dxa"/>
            <w:tcBorders>
              <w:top w:val="nil"/>
              <w:bottom w:val="single" w:sz="12" w:space="0" w:color="auto"/>
            </w:tcBorders>
            <w:shd w:val="clear" w:color="auto" w:fill="auto"/>
          </w:tcPr>
          <w:p w14:paraId="51C4E36F" w14:textId="77777777"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100%</w:t>
            </w:r>
          </w:p>
        </w:tc>
      </w:tr>
    </w:tbl>
    <w:p w14:paraId="2A49A756" w14:textId="216B1743" w:rsidR="00D2120B" w:rsidRDefault="00D2120B" w:rsidP="00D2120B">
      <w:pPr>
        <w:pStyle w:val="Body"/>
        <w:spacing w:after="0"/>
        <w:rPr>
          <w:rFonts w:ascii="Arial" w:hAnsi="Arial" w:cs="Arial"/>
        </w:rPr>
      </w:pPr>
    </w:p>
    <w:p w14:paraId="24681778" w14:textId="4C79584F" w:rsidR="00110DD2" w:rsidRDefault="00110DD2" w:rsidP="00D2120B">
      <w:pPr>
        <w:pStyle w:val="Body"/>
        <w:spacing w:after="0"/>
        <w:rPr>
          <w:rFonts w:ascii="Arial" w:hAnsi="Arial" w:cs="Arial"/>
        </w:rPr>
      </w:pPr>
    </w:p>
    <w:p w14:paraId="663DA17E" w14:textId="732C8A17" w:rsidR="00110DD2" w:rsidRDefault="00110DD2" w:rsidP="00D2120B">
      <w:pPr>
        <w:pStyle w:val="Body"/>
        <w:spacing w:after="0"/>
        <w:rPr>
          <w:rFonts w:ascii="Arial" w:hAnsi="Arial" w:cs="Arial"/>
        </w:rPr>
      </w:pPr>
    </w:p>
    <w:p w14:paraId="0EBA8E91" w14:textId="6062C632" w:rsidR="00110DD2" w:rsidRDefault="00110DD2" w:rsidP="00D2120B">
      <w:pPr>
        <w:pStyle w:val="Body"/>
        <w:spacing w:after="0"/>
        <w:rPr>
          <w:rFonts w:ascii="Arial" w:hAnsi="Arial" w:cs="Arial"/>
        </w:rPr>
      </w:pPr>
    </w:p>
    <w:p w14:paraId="485A49D3" w14:textId="43D81EDF" w:rsidR="00110DD2" w:rsidRDefault="00110DD2" w:rsidP="00D2120B">
      <w:pPr>
        <w:pStyle w:val="Body"/>
        <w:spacing w:after="0"/>
        <w:rPr>
          <w:rFonts w:ascii="Arial" w:hAnsi="Arial" w:cs="Arial"/>
        </w:rPr>
      </w:pPr>
    </w:p>
    <w:p w14:paraId="552529CD" w14:textId="1E1BAC06" w:rsidR="00110DD2" w:rsidRDefault="00110DD2" w:rsidP="00D2120B">
      <w:pPr>
        <w:pStyle w:val="Body"/>
        <w:spacing w:after="0"/>
        <w:rPr>
          <w:rFonts w:ascii="Arial" w:hAnsi="Arial" w:cs="Arial"/>
        </w:rPr>
      </w:pPr>
    </w:p>
    <w:p w14:paraId="26A33055" w14:textId="5C185E70" w:rsidR="00110DD2" w:rsidRDefault="00110DD2" w:rsidP="00D2120B">
      <w:pPr>
        <w:pStyle w:val="Body"/>
        <w:spacing w:after="0"/>
        <w:rPr>
          <w:rFonts w:ascii="Arial" w:hAnsi="Arial" w:cs="Arial"/>
        </w:rPr>
      </w:pPr>
    </w:p>
    <w:p w14:paraId="2DEBDBA2" w14:textId="77777777" w:rsidR="000C7597" w:rsidRDefault="000C7597" w:rsidP="00D2120B">
      <w:pPr>
        <w:pStyle w:val="Body"/>
        <w:spacing w:after="0"/>
        <w:rPr>
          <w:rFonts w:ascii="Arial" w:hAnsi="Arial" w:cs="Arial"/>
        </w:rPr>
      </w:pPr>
    </w:p>
    <w:p w14:paraId="4627F284" w14:textId="77777777" w:rsidR="000C7597" w:rsidRPr="000C7597" w:rsidRDefault="000C7597" w:rsidP="000C7597">
      <w:pPr>
        <w:pStyle w:val="Body"/>
        <w:jc w:val="center"/>
        <w:rPr>
          <w:rFonts w:ascii="Arial" w:hAnsi="Arial" w:cs="Arial"/>
          <w:b/>
          <w:bCs/>
          <w:lang w:val="en-ID"/>
        </w:rPr>
      </w:pPr>
      <w:r w:rsidRPr="000C7597">
        <w:rPr>
          <w:rFonts w:ascii="Arial" w:hAnsi="Arial" w:cs="Arial"/>
          <w:b/>
          <w:bCs/>
          <w:lang w:val="en"/>
        </w:rPr>
        <w:t>Table 4. Distribution of culture results based on patient albumin levels</w:t>
      </w:r>
    </w:p>
    <w:tbl>
      <w:tblPr>
        <w:tblW w:w="0" w:type="auto"/>
        <w:jc w:val="center"/>
        <w:tblBorders>
          <w:top w:val="single" w:sz="12" w:space="0" w:color="000000"/>
          <w:bottom w:val="single" w:sz="12" w:space="0" w:color="000000"/>
        </w:tblBorders>
        <w:tblLayout w:type="fixed"/>
        <w:tblCellMar>
          <w:left w:w="30" w:type="dxa"/>
          <w:right w:w="30" w:type="dxa"/>
        </w:tblCellMar>
        <w:tblLook w:val="0000" w:firstRow="0" w:lastRow="0" w:firstColumn="0" w:lastColumn="0" w:noHBand="0" w:noVBand="0"/>
      </w:tblPr>
      <w:tblGrid>
        <w:gridCol w:w="1020"/>
        <w:gridCol w:w="360"/>
        <w:gridCol w:w="810"/>
        <w:gridCol w:w="450"/>
        <w:gridCol w:w="720"/>
        <w:gridCol w:w="360"/>
        <w:gridCol w:w="1038"/>
      </w:tblGrid>
      <w:tr w:rsidR="000C7597" w:rsidRPr="000C7597" w14:paraId="737C8688" w14:textId="77777777" w:rsidTr="00DC6AF7">
        <w:trPr>
          <w:trHeight w:val="259"/>
          <w:jc w:val="center"/>
        </w:trPr>
        <w:tc>
          <w:tcPr>
            <w:tcW w:w="1020" w:type="dxa"/>
            <w:vMerge w:val="restart"/>
            <w:shd w:val="clear" w:color="auto" w:fill="auto"/>
            <w:vAlign w:val="center"/>
          </w:tcPr>
          <w:p w14:paraId="21288305" w14:textId="5D8A0F4A" w:rsidR="000C7597" w:rsidRPr="000C7597" w:rsidRDefault="00223BD4" w:rsidP="00223BD4">
            <w:pPr>
              <w:widowControl w:val="0"/>
              <w:autoSpaceDE w:val="0"/>
              <w:autoSpaceDN w:val="0"/>
              <w:adjustRightInd w:val="0"/>
              <w:rPr>
                <w:rFonts w:ascii="Arial" w:eastAsiaTheme="minorHAnsi" w:hAnsi="Arial" w:cs="Arial"/>
                <w:b/>
                <w:color w:val="000000"/>
              </w:rPr>
            </w:pPr>
            <w:r w:rsidRPr="00DC6AF7">
              <w:rPr>
                <w:rFonts w:ascii="Arial" w:eastAsiaTheme="minorHAnsi" w:hAnsi="Arial" w:cs="Arial"/>
                <w:b/>
                <w:color w:val="000000"/>
              </w:rPr>
              <w:t>Albumin</w:t>
            </w:r>
          </w:p>
        </w:tc>
        <w:tc>
          <w:tcPr>
            <w:tcW w:w="2340" w:type="dxa"/>
            <w:gridSpan w:val="4"/>
            <w:shd w:val="clear" w:color="auto" w:fill="auto"/>
          </w:tcPr>
          <w:p w14:paraId="2A371828" w14:textId="77777777" w:rsidR="000C7597" w:rsidRPr="000C7597" w:rsidRDefault="000C7597" w:rsidP="000C7597">
            <w:pPr>
              <w:widowControl w:val="0"/>
              <w:autoSpaceDE w:val="0"/>
              <w:autoSpaceDN w:val="0"/>
              <w:adjustRightInd w:val="0"/>
              <w:jc w:val="center"/>
              <w:rPr>
                <w:rFonts w:ascii="Arial" w:eastAsiaTheme="minorHAnsi" w:hAnsi="Arial" w:cs="Arial"/>
                <w:b/>
                <w:color w:val="000000"/>
              </w:rPr>
            </w:pPr>
            <w:r w:rsidRPr="000C7597">
              <w:rPr>
                <w:rFonts w:ascii="Arial" w:eastAsiaTheme="minorHAnsi" w:hAnsi="Arial" w:cs="Arial"/>
                <w:b/>
                <w:color w:val="000000"/>
              </w:rPr>
              <w:t>Kultur</w:t>
            </w:r>
          </w:p>
        </w:tc>
        <w:tc>
          <w:tcPr>
            <w:tcW w:w="1398" w:type="dxa"/>
            <w:gridSpan w:val="2"/>
            <w:vMerge w:val="restart"/>
            <w:shd w:val="clear" w:color="auto" w:fill="auto"/>
            <w:vAlign w:val="center"/>
          </w:tcPr>
          <w:p w14:paraId="1EA678FF" w14:textId="77777777" w:rsidR="000C7597" w:rsidRPr="000C7597" w:rsidRDefault="000C7597" w:rsidP="000C7597">
            <w:pPr>
              <w:widowControl w:val="0"/>
              <w:autoSpaceDE w:val="0"/>
              <w:autoSpaceDN w:val="0"/>
              <w:adjustRightInd w:val="0"/>
              <w:jc w:val="center"/>
              <w:rPr>
                <w:rFonts w:ascii="Arial" w:eastAsiaTheme="minorHAnsi" w:hAnsi="Arial" w:cs="Arial"/>
                <w:b/>
                <w:color w:val="000000"/>
              </w:rPr>
            </w:pPr>
            <w:r w:rsidRPr="000C7597">
              <w:rPr>
                <w:rFonts w:ascii="Arial" w:eastAsiaTheme="minorHAnsi" w:hAnsi="Arial" w:cs="Arial"/>
                <w:b/>
                <w:color w:val="000000"/>
              </w:rPr>
              <w:t>Total</w:t>
            </w:r>
          </w:p>
        </w:tc>
      </w:tr>
      <w:tr w:rsidR="000C7597" w:rsidRPr="000C7597" w14:paraId="36C17189" w14:textId="77777777" w:rsidTr="00DC6AF7">
        <w:trPr>
          <w:trHeight w:val="259"/>
          <w:jc w:val="center"/>
        </w:trPr>
        <w:tc>
          <w:tcPr>
            <w:tcW w:w="1020" w:type="dxa"/>
            <w:vMerge/>
            <w:tcBorders>
              <w:bottom w:val="single" w:sz="4" w:space="0" w:color="000000"/>
            </w:tcBorders>
            <w:shd w:val="clear" w:color="auto" w:fill="auto"/>
          </w:tcPr>
          <w:p w14:paraId="0B41FC95" w14:textId="77777777" w:rsidR="000C7597" w:rsidRPr="000C7597" w:rsidRDefault="000C7597" w:rsidP="00223BD4">
            <w:pPr>
              <w:widowControl w:val="0"/>
              <w:autoSpaceDE w:val="0"/>
              <w:autoSpaceDN w:val="0"/>
              <w:adjustRightInd w:val="0"/>
              <w:rPr>
                <w:rFonts w:ascii="Arial" w:eastAsiaTheme="minorHAnsi" w:hAnsi="Arial" w:cs="Arial"/>
                <w:b/>
                <w:color w:val="000000"/>
              </w:rPr>
            </w:pPr>
          </w:p>
        </w:tc>
        <w:tc>
          <w:tcPr>
            <w:tcW w:w="1170" w:type="dxa"/>
            <w:gridSpan w:val="2"/>
            <w:tcBorders>
              <w:bottom w:val="single" w:sz="4" w:space="0" w:color="000000"/>
            </w:tcBorders>
            <w:shd w:val="clear" w:color="auto" w:fill="auto"/>
          </w:tcPr>
          <w:p w14:paraId="7D838644" w14:textId="77777777" w:rsidR="000C7597" w:rsidRPr="000C7597" w:rsidRDefault="000C7597" w:rsidP="000C7597">
            <w:pPr>
              <w:widowControl w:val="0"/>
              <w:autoSpaceDE w:val="0"/>
              <w:autoSpaceDN w:val="0"/>
              <w:adjustRightInd w:val="0"/>
              <w:jc w:val="center"/>
              <w:rPr>
                <w:rFonts w:ascii="Arial" w:eastAsiaTheme="minorHAnsi" w:hAnsi="Arial" w:cs="Arial"/>
                <w:b/>
                <w:color w:val="000000"/>
              </w:rPr>
            </w:pPr>
            <w:r w:rsidRPr="000C7597">
              <w:rPr>
                <w:rFonts w:ascii="Arial" w:eastAsiaTheme="minorHAnsi" w:hAnsi="Arial" w:cs="Arial"/>
                <w:b/>
                <w:color w:val="000000"/>
              </w:rPr>
              <w:t>(+)</w:t>
            </w:r>
          </w:p>
        </w:tc>
        <w:tc>
          <w:tcPr>
            <w:tcW w:w="1170" w:type="dxa"/>
            <w:gridSpan w:val="2"/>
            <w:tcBorders>
              <w:bottom w:val="single" w:sz="4" w:space="0" w:color="000000"/>
            </w:tcBorders>
            <w:shd w:val="clear" w:color="auto" w:fill="auto"/>
          </w:tcPr>
          <w:p w14:paraId="39C2CA00" w14:textId="77777777" w:rsidR="000C7597" w:rsidRPr="000C7597" w:rsidRDefault="000C7597" w:rsidP="000C7597">
            <w:pPr>
              <w:widowControl w:val="0"/>
              <w:autoSpaceDE w:val="0"/>
              <w:autoSpaceDN w:val="0"/>
              <w:adjustRightInd w:val="0"/>
              <w:jc w:val="center"/>
              <w:rPr>
                <w:rFonts w:ascii="Arial" w:eastAsiaTheme="minorHAnsi" w:hAnsi="Arial" w:cs="Arial"/>
                <w:b/>
                <w:color w:val="000000"/>
              </w:rPr>
            </w:pPr>
            <w:r w:rsidRPr="000C7597">
              <w:rPr>
                <w:rFonts w:ascii="Arial" w:eastAsiaTheme="minorHAnsi" w:hAnsi="Arial" w:cs="Arial"/>
                <w:b/>
                <w:color w:val="000000"/>
              </w:rPr>
              <w:t>(-)</w:t>
            </w:r>
          </w:p>
        </w:tc>
        <w:tc>
          <w:tcPr>
            <w:tcW w:w="1398" w:type="dxa"/>
            <w:gridSpan w:val="2"/>
            <w:vMerge/>
            <w:tcBorders>
              <w:bottom w:val="single" w:sz="4" w:space="0" w:color="000000"/>
            </w:tcBorders>
            <w:shd w:val="clear" w:color="auto" w:fill="auto"/>
          </w:tcPr>
          <w:p w14:paraId="00CC400A"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p>
        </w:tc>
      </w:tr>
      <w:tr w:rsidR="000C7597" w:rsidRPr="000C7597" w14:paraId="12A42581" w14:textId="77777777" w:rsidTr="00DC6AF7">
        <w:trPr>
          <w:trHeight w:val="259"/>
          <w:jc w:val="center"/>
        </w:trPr>
        <w:tc>
          <w:tcPr>
            <w:tcW w:w="1020" w:type="dxa"/>
            <w:tcBorders>
              <w:top w:val="single" w:sz="4" w:space="0" w:color="000000"/>
              <w:bottom w:val="nil"/>
            </w:tcBorders>
            <w:shd w:val="clear" w:color="auto" w:fill="auto"/>
            <w:vAlign w:val="center"/>
          </w:tcPr>
          <w:p w14:paraId="362D6D90" w14:textId="77777777" w:rsidR="000C7597" w:rsidRPr="000C7597" w:rsidRDefault="000C7597" w:rsidP="00223BD4">
            <w:pPr>
              <w:widowControl w:val="0"/>
              <w:autoSpaceDE w:val="0"/>
              <w:autoSpaceDN w:val="0"/>
              <w:adjustRightInd w:val="0"/>
              <w:rPr>
                <w:rFonts w:ascii="Arial" w:eastAsiaTheme="minorHAnsi" w:hAnsi="Arial" w:cs="Arial"/>
                <w:color w:val="000000"/>
              </w:rPr>
            </w:pPr>
            <w:r w:rsidRPr="000C7597">
              <w:rPr>
                <w:rFonts w:ascii="Arial" w:eastAsiaTheme="minorHAnsi" w:hAnsi="Arial" w:cs="Arial"/>
                <w:color w:val="000000"/>
              </w:rPr>
              <w:t>Normal</w:t>
            </w:r>
          </w:p>
        </w:tc>
        <w:tc>
          <w:tcPr>
            <w:tcW w:w="360" w:type="dxa"/>
            <w:tcBorders>
              <w:top w:val="single" w:sz="4" w:space="0" w:color="000000"/>
              <w:bottom w:val="nil"/>
            </w:tcBorders>
            <w:shd w:val="clear" w:color="auto" w:fill="auto"/>
            <w:vAlign w:val="center"/>
          </w:tcPr>
          <w:p w14:paraId="07D0F59F"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11</w:t>
            </w:r>
          </w:p>
        </w:tc>
        <w:tc>
          <w:tcPr>
            <w:tcW w:w="810" w:type="dxa"/>
            <w:tcBorders>
              <w:top w:val="single" w:sz="4" w:space="0" w:color="000000"/>
              <w:bottom w:val="nil"/>
            </w:tcBorders>
            <w:shd w:val="clear" w:color="auto" w:fill="auto"/>
          </w:tcPr>
          <w:p w14:paraId="766B9319" w14:textId="6BAE6F4E"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27</w:t>
            </w:r>
            <w:r w:rsidR="00223BD4" w:rsidRPr="00DC6AF7">
              <w:rPr>
                <w:rFonts w:ascii="Arial" w:eastAsiaTheme="minorHAnsi" w:hAnsi="Arial" w:cs="Arial"/>
                <w:color w:val="000000"/>
              </w:rPr>
              <w:t>.</w:t>
            </w:r>
            <w:r w:rsidRPr="000C7597">
              <w:rPr>
                <w:rFonts w:ascii="Arial" w:eastAsiaTheme="minorHAnsi" w:hAnsi="Arial" w:cs="Arial"/>
                <w:color w:val="000000"/>
              </w:rPr>
              <w:t>5%</w:t>
            </w:r>
          </w:p>
        </w:tc>
        <w:tc>
          <w:tcPr>
            <w:tcW w:w="450" w:type="dxa"/>
            <w:tcBorders>
              <w:top w:val="single" w:sz="4" w:space="0" w:color="000000"/>
              <w:bottom w:val="nil"/>
            </w:tcBorders>
            <w:shd w:val="clear" w:color="auto" w:fill="auto"/>
            <w:vAlign w:val="center"/>
          </w:tcPr>
          <w:p w14:paraId="17F72B15"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16</w:t>
            </w:r>
          </w:p>
        </w:tc>
        <w:tc>
          <w:tcPr>
            <w:tcW w:w="720" w:type="dxa"/>
            <w:tcBorders>
              <w:top w:val="single" w:sz="4" w:space="0" w:color="000000"/>
              <w:bottom w:val="nil"/>
            </w:tcBorders>
            <w:shd w:val="clear" w:color="auto" w:fill="auto"/>
          </w:tcPr>
          <w:p w14:paraId="003C87FE" w14:textId="77777777"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40%</w:t>
            </w:r>
          </w:p>
        </w:tc>
        <w:tc>
          <w:tcPr>
            <w:tcW w:w="360" w:type="dxa"/>
            <w:tcBorders>
              <w:top w:val="single" w:sz="4" w:space="0" w:color="000000"/>
              <w:bottom w:val="nil"/>
            </w:tcBorders>
            <w:shd w:val="clear" w:color="auto" w:fill="auto"/>
          </w:tcPr>
          <w:p w14:paraId="2D39DA11" w14:textId="77777777"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27</w:t>
            </w:r>
          </w:p>
        </w:tc>
        <w:tc>
          <w:tcPr>
            <w:tcW w:w="1038" w:type="dxa"/>
            <w:tcBorders>
              <w:top w:val="single" w:sz="4" w:space="0" w:color="000000"/>
              <w:bottom w:val="nil"/>
            </w:tcBorders>
            <w:shd w:val="clear" w:color="auto" w:fill="auto"/>
          </w:tcPr>
          <w:p w14:paraId="1F6F79E6" w14:textId="477AAB32"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67</w:t>
            </w:r>
            <w:r w:rsidR="00223BD4" w:rsidRPr="00DC6AF7">
              <w:rPr>
                <w:rFonts w:ascii="Arial" w:eastAsiaTheme="minorHAnsi" w:hAnsi="Arial" w:cs="Arial"/>
                <w:color w:val="000000"/>
              </w:rPr>
              <w:t>.</w:t>
            </w:r>
            <w:r w:rsidRPr="000C7597">
              <w:rPr>
                <w:rFonts w:ascii="Arial" w:eastAsiaTheme="minorHAnsi" w:hAnsi="Arial" w:cs="Arial"/>
                <w:color w:val="000000"/>
              </w:rPr>
              <w:t>5%</w:t>
            </w:r>
          </w:p>
        </w:tc>
      </w:tr>
      <w:tr w:rsidR="000C7597" w:rsidRPr="000C7597" w14:paraId="2F8F30C6" w14:textId="77777777" w:rsidTr="00DC6AF7">
        <w:trPr>
          <w:trHeight w:val="259"/>
          <w:jc w:val="center"/>
        </w:trPr>
        <w:tc>
          <w:tcPr>
            <w:tcW w:w="1020" w:type="dxa"/>
            <w:tcBorders>
              <w:top w:val="nil"/>
            </w:tcBorders>
            <w:shd w:val="clear" w:color="auto" w:fill="auto"/>
            <w:vAlign w:val="center"/>
          </w:tcPr>
          <w:p w14:paraId="3E3F7B23" w14:textId="5F8AD401" w:rsidR="000C7597" w:rsidRPr="000C7597" w:rsidRDefault="00223BD4" w:rsidP="00223BD4">
            <w:pPr>
              <w:widowControl w:val="0"/>
              <w:autoSpaceDE w:val="0"/>
              <w:autoSpaceDN w:val="0"/>
              <w:adjustRightInd w:val="0"/>
              <w:rPr>
                <w:rFonts w:ascii="Arial" w:eastAsiaTheme="minorHAnsi" w:hAnsi="Arial" w:cs="Arial"/>
                <w:color w:val="000000"/>
              </w:rPr>
            </w:pPr>
            <w:r w:rsidRPr="00DC6AF7">
              <w:rPr>
                <w:rFonts w:ascii="Arial" w:eastAsiaTheme="minorHAnsi" w:hAnsi="Arial" w:cs="Arial"/>
                <w:color w:val="000000"/>
              </w:rPr>
              <w:t>Low</w:t>
            </w:r>
          </w:p>
        </w:tc>
        <w:tc>
          <w:tcPr>
            <w:tcW w:w="360" w:type="dxa"/>
            <w:tcBorders>
              <w:top w:val="nil"/>
              <w:bottom w:val="nil"/>
            </w:tcBorders>
            <w:shd w:val="clear" w:color="auto" w:fill="auto"/>
            <w:vAlign w:val="center"/>
          </w:tcPr>
          <w:p w14:paraId="2463CD2D"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10</w:t>
            </w:r>
          </w:p>
        </w:tc>
        <w:tc>
          <w:tcPr>
            <w:tcW w:w="810" w:type="dxa"/>
            <w:tcBorders>
              <w:top w:val="nil"/>
              <w:bottom w:val="nil"/>
            </w:tcBorders>
            <w:shd w:val="clear" w:color="auto" w:fill="auto"/>
          </w:tcPr>
          <w:p w14:paraId="23C2FA8F"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25%</w:t>
            </w:r>
          </w:p>
        </w:tc>
        <w:tc>
          <w:tcPr>
            <w:tcW w:w="450" w:type="dxa"/>
            <w:tcBorders>
              <w:top w:val="nil"/>
            </w:tcBorders>
            <w:shd w:val="clear" w:color="auto" w:fill="auto"/>
            <w:vAlign w:val="center"/>
          </w:tcPr>
          <w:p w14:paraId="0A13172B"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3</w:t>
            </w:r>
          </w:p>
        </w:tc>
        <w:tc>
          <w:tcPr>
            <w:tcW w:w="720" w:type="dxa"/>
            <w:tcBorders>
              <w:top w:val="nil"/>
            </w:tcBorders>
            <w:shd w:val="clear" w:color="auto" w:fill="auto"/>
          </w:tcPr>
          <w:p w14:paraId="196C9095" w14:textId="10E8FB19"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7</w:t>
            </w:r>
            <w:r w:rsidR="00223BD4" w:rsidRPr="00DC6AF7">
              <w:rPr>
                <w:rFonts w:ascii="Arial" w:eastAsiaTheme="minorHAnsi" w:hAnsi="Arial" w:cs="Arial"/>
                <w:color w:val="000000"/>
              </w:rPr>
              <w:t>.</w:t>
            </w:r>
            <w:r w:rsidRPr="000C7597">
              <w:rPr>
                <w:rFonts w:ascii="Arial" w:eastAsiaTheme="minorHAnsi" w:hAnsi="Arial" w:cs="Arial"/>
                <w:color w:val="000000"/>
              </w:rPr>
              <w:t>5%</w:t>
            </w:r>
          </w:p>
        </w:tc>
        <w:tc>
          <w:tcPr>
            <w:tcW w:w="360" w:type="dxa"/>
            <w:tcBorders>
              <w:top w:val="nil"/>
              <w:bottom w:val="nil"/>
            </w:tcBorders>
            <w:shd w:val="clear" w:color="auto" w:fill="auto"/>
          </w:tcPr>
          <w:p w14:paraId="74F3744D" w14:textId="77777777"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13</w:t>
            </w:r>
          </w:p>
        </w:tc>
        <w:tc>
          <w:tcPr>
            <w:tcW w:w="1038" w:type="dxa"/>
            <w:tcBorders>
              <w:top w:val="nil"/>
              <w:bottom w:val="nil"/>
            </w:tcBorders>
            <w:shd w:val="clear" w:color="auto" w:fill="auto"/>
          </w:tcPr>
          <w:p w14:paraId="3AC19573" w14:textId="3CFE9CCB"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32</w:t>
            </w:r>
            <w:r w:rsidR="00223BD4" w:rsidRPr="00DC6AF7">
              <w:rPr>
                <w:rFonts w:ascii="Arial" w:eastAsiaTheme="minorHAnsi" w:hAnsi="Arial" w:cs="Arial"/>
                <w:color w:val="000000"/>
              </w:rPr>
              <w:t>.</w:t>
            </w:r>
            <w:r w:rsidRPr="000C7597">
              <w:rPr>
                <w:rFonts w:ascii="Arial" w:eastAsiaTheme="minorHAnsi" w:hAnsi="Arial" w:cs="Arial"/>
                <w:color w:val="000000"/>
              </w:rPr>
              <w:t>5%</w:t>
            </w:r>
          </w:p>
        </w:tc>
      </w:tr>
      <w:tr w:rsidR="000C7597" w:rsidRPr="000C7597" w14:paraId="618935D9" w14:textId="77777777" w:rsidTr="00DC6AF7">
        <w:trPr>
          <w:trHeight w:val="278"/>
          <w:jc w:val="center"/>
        </w:trPr>
        <w:tc>
          <w:tcPr>
            <w:tcW w:w="1020" w:type="dxa"/>
            <w:shd w:val="clear" w:color="auto" w:fill="auto"/>
            <w:vAlign w:val="center"/>
          </w:tcPr>
          <w:p w14:paraId="234EE729" w14:textId="77777777" w:rsidR="000C7597" w:rsidRPr="000C7597" w:rsidRDefault="000C7597" w:rsidP="00223BD4">
            <w:pPr>
              <w:widowControl w:val="0"/>
              <w:autoSpaceDE w:val="0"/>
              <w:autoSpaceDN w:val="0"/>
              <w:adjustRightInd w:val="0"/>
              <w:rPr>
                <w:rFonts w:ascii="Arial" w:eastAsiaTheme="minorHAnsi" w:hAnsi="Arial" w:cs="Arial"/>
                <w:color w:val="000000"/>
              </w:rPr>
            </w:pPr>
            <w:r w:rsidRPr="000C7597">
              <w:rPr>
                <w:rFonts w:ascii="Arial" w:eastAsiaTheme="minorHAnsi" w:hAnsi="Arial" w:cs="Arial"/>
                <w:color w:val="000000"/>
              </w:rPr>
              <w:t>Total</w:t>
            </w:r>
          </w:p>
        </w:tc>
        <w:tc>
          <w:tcPr>
            <w:tcW w:w="360" w:type="dxa"/>
            <w:tcBorders>
              <w:top w:val="nil"/>
              <w:bottom w:val="single" w:sz="12" w:space="0" w:color="000000"/>
            </w:tcBorders>
            <w:shd w:val="clear" w:color="auto" w:fill="auto"/>
            <w:vAlign w:val="center"/>
          </w:tcPr>
          <w:p w14:paraId="2506D175"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21</w:t>
            </w:r>
          </w:p>
        </w:tc>
        <w:tc>
          <w:tcPr>
            <w:tcW w:w="810" w:type="dxa"/>
            <w:tcBorders>
              <w:top w:val="nil"/>
              <w:bottom w:val="single" w:sz="12" w:space="0" w:color="000000"/>
            </w:tcBorders>
            <w:shd w:val="clear" w:color="auto" w:fill="auto"/>
          </w:tcPr>
          <w:p w14:paraId="119E4CE0" w14:textId="3EEE5BD0"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52</w:t>
            </w:r>
            <w:r w:rsidR="00223BD4" w:rsidRPr="00DC6AF7">
              <w:rPr>
                <w:rFonts w:ascii="Arial" w:eastAsiaTheme="minorHAnsi" w:hAnsi="Arial" w:cs="Arial"/>
                <w:color w:val="000000"/>
              </w:rPr>
              <w:t>.</w:t>
            </w:r>
            <w:r w:rsidRPr="000C7597">
              <w:rPr>
                <w:rFonts w:ascii="Arial" w:eastAsiaTheme="minorHAnsi" w:hAnsi="Arial" w:cs="Arial"/>
                <w:color w:val="000000"/>
              </w:rPr>
              <w:t>5%</w:t>
            </w:r>
          </w:p>
        </w:tc>
        <w:tc>
          <w:tcPr>
            <w:tcW w:w="450" w:type="dxa"/>
            <w:shd w:val="clear" w:color="auto" w:fill="auto"/>
            <w:vAlign w:val="center"/>
          </w:tcPr>
          <w:p w14:paraId="00F7D8EA"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19</w:t>
            </w:r>
          </w:p>
        </w:tc>
        <w:tc>
          <w:tcPr>
            <w:tcW w:w="720" w:type="dxa"/>
            <w:shd w:val="clear" w:color="auto" w:fill="auto"/>
          </w:tcPr>
          <w:p w14:paraId="3F492A93" w14:textId="794AC629"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47</w:t>
            </w:r>
            <w:r w:rsidR="00223BD4" w:rsidRPr="00DC6AF7">
              <w:rPr>
                <w:rFonts w:ascii="Arial" w:eastAsiaTheme="minorHAnsi" w:hAnsi="Arial" w:cs="Arial"/>
                <w:color w:val="000000"/>
              </w:rPr>
              <w:t>.</w:t>
            </w:r>
            <w:r w:rsidRPr="000C7597">
              <w:rPr>
                <w:rFonts w:ascii="Arial" w:eastAsiaTheme="minorHAnsi" w:hAnsi="Arial" w:cs="Arial"/>
                <w:color w:val="000000"/>
              </w:rPr>
              <w:t>5%</w:t>
            </w:r>
          </w:p>
        </w:tc>
        <w:tc>
          <w:tcPr>
            <w:tcW w:w="360" w:type="dxa"/>
            <w:tcBorders>
              <w:top w:val="nil"/>
              <w:bottom w:val="single" w:sz="12" w:space="0" w:color="000000"/>
            </w:tcBorders>
            <w:shd w:val="clear" w:color="auto" w:fill="auto"/>
          </w:tcPr>
          <w:p w14:paraId="74F331A0" w14:textId="77777777"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40</w:t>
            </w:r>
          </w:p>
        </w:tc>
        <w:tc>
          <w:tcPr>
            <w:tcW w:w="1038" w:type="dxa"/>
            <w:tcBorders>
              <w:top w:val="nil"/>
              <w:bottom w:val="single" w:sz="12" w:space="0" w:color="000000"/>
            </w:tcBorders>
            <w:shd w:val="clear" w:color="auto" w:fill="auto"/>
          </w:tcPr>
          <w:p w14:paraId="30C3C5D4" w14:textId="77777777"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100%</w:t>
            </w:r>
          </w:p>
        </w:tc>
      </w:tr>
    </w:tbl>
    <w:p w14:paraId="22F6BE98" w14:textId="0391FEAE" w:rsidR="00110DD2" w:rsidRDefault="00110DD2" w:rsidP="000C7597">
      <w:pPr>
        <w:pStyle w:val="Body"/>
        <w:spacing w:after="0"/>
        <w:jc w:val="center"/>
        <w:rPr>
          <w:rFonts w:ascii="Arial" w:hAnsi="Arial" w:cs="Arial"/>
        </w:rPr>
      </w:pPr>
    </w:p>
    <w:p w14:paraId="12E41CF4" w14:textId="4178A7BB" w:rsidR="00110DD2" w:rsidRDefault="00DC6AF7" w:rsidP="00D2120B">
      <w:pPr>
        <w:pStyle w:val="Body"/>
        <w:spacing w:after="0"/>
        <w:rPr>
          <w:rFonts w:ascii="Arial" w:hAnsi="Arial" w:cs="Arial"/>
        </w:rPr>
      </w:pPr>
      <w:r w:rsidRPr="00DC6AF7">
        <w:rPr>
          <w:rFonts w:ascii="Arial" w:hAnsi="Arial" w:cs="Arial"/>
        </w:rPr>
        <w:t xml:space="preserve">In tables 5 and 6, as many as 13 patients (61.9%) were found to have E. coli in urine culture results. The most sensitive antibiotic netilmicin was found in 6 of 12 patients (50%) and </w:t>
      </w:r>
      <w:proofErr w:type="spellStart"/>
      <w:r w:rsidRPr="00DC6AF7">
        <w:rPr>
          <w:rFonts w:ascii="Arial" w:hAnsi="Arial" w:cs="Arial"/>
        </w:rPr>
        <w:t>cefoperazone</w:t>
      </w:r>
      <w:proofErr w:type="spellEnd"/>
      <w:r w:rsidRPr="00DC6AF7">
        <w:rPr>
          <w:rFonts w:ascii="Arial" w:hAnsi="Arial" w:cs="Arial"/>
        </w:rPr>
        <w:t xml:space="preserve"> was found to be resistant in 10 of 10 patients (100%).</w:t>
      </w:r>
    </w:p>
    <w:p w14:paraId="4CC79ACF" w14:textId="77777777" w:rsidR="00DC6AF7" w:rsidRDefault="00DC6AF7" w:rsidP="00D2120B">
      <w:pPr>
        <w:pStyle w:val="Body"/>
        <w:spacing w:after="0"/>
        <w:rPr>
          <w:rFonts w:ascii="Arial" w:hAnsi="Arial" w:cs="Arial"/>
        </w:rPr>
      </w:pPr>
    </w:p>
    <w:p w14:paraId="69F2264D" w14:textId="5FE5032E" w:rsidR="00DC6AF7" w:rsidRDefault="00DC6AF7" w:rsidP="00DC6AF7">
      <w:pPr>
        <w:pStyle w:val="Body"/>
        <w:spacing w:after="0"/>
        <w:jc w:val="center"/>
        <w:rPr>
          <w:rFonts w:ascii="Arial" w:hAnsi="Arial" w:cs="Arial"/>
          <w:b/>
          <w:bCs/>
        </w:rPr>
      </w:pPr>
      <w:r w:rsidRPr="00DC6AF7">
        <w:rPr>
          <w:rFonts w:ascii="Arial" w:hAnsi="Arial" w:cs="Arial"/>
          <w:b/>
          <w:bCs/>
        </w:rPr>
        <w:t xml:space="preserve">Table 5. Types of </w:t>
      </w:r>
      <w:proofErr w:type="gramStart"/>
      <w:r w:rsidR="00171078" w:rsidRPr="00171078">
        <w:rPr>
          <w:rFonts w:ascii="Arial" w:hAnsi="Arial" w:cs="Arial"/>
          <w:b/>
          <w:bCs/>
          <w:highlight w:val="yellow"/>
        </w:rPr>
        <w:t>Pathogen</w:t>
      </w:r>
      <w:proofErr w:type="gramEnd"/>
      <w:r w:rsidRPr="00DC6AF7">
        <w:rPr>
          <w:rFonts w:ascii="Arial" w:hAnsi="Arial" w:cs="Arial"/>
          <w:b/>
          <w:bCs/>
        </w:rPr>
        <w:t xml:space="preserve"> found in culture</w:t>
      </w:r>
    </w:p>
    <w:tbl>
      <w:tblPr>
        <w:tblW w:w="0" w:type="auto"/>
        <w:jc w:val="center"/>
        <w:tblLayout w:type="fixed"/>
        <w:tblCellMar>
          <w:left w:w="30" w:type="dxa"/>
          <w:right w:w="30" w:type="dxa"/>
        </w:tblCellMar>
        <w:tblLook w:val="0000" w:firstRow="0" w:lastRow="0" w:firstColumn="0" w:lastColumn="0" w:noHBand="0" w:noVBand="0"/>
      </w:tblPr>
      <w:tblGrid>
        <w:gridCol w:w="3062"/>
        <w:gridCol w:w="1491"/>
      </w:tblGrid>
      <w:tr w:rsidR="00DC6AF7" w:rsidRPr="00DC6AF7" w14:paraId="59F96BC0" w14:textId="77777777" w:rsidTr="00DC6AF7">
        <w:trPr>
          <w:trHeight w:val="259"/>
          <w:jc w:val="center"/>
        </w:trPr>
        <w:tc>
          <w:tcPr>
            <w:tcW w:w="3062" w:type="dxa"/>
            <w:tcBorders>
              <w:top w:val="single" w:sz="12" w:space="0" w:color="auto"/>
              <w:left w:val="nil"/>
              <w:bottom w:val="single" w:sz="12" w:space="0" w:color="auto"/>
              <w:right w:val="nil"/>
            </w:tcBorders>
          </w:tcPr>
          <w:p w14:paraId="3FDB300B" w14:textId="7AB6C4DB" w:rsidR="00DC6AF7" w:rsidRPr="00DC6AF7" w:rsidRDefault="00DC6AF7" w:rsidP="00DC6AF7">
            <w:pPr>
              <w:widowControl w:val="0"/>
              <w:autoSpaceDE w:val="0"/>
              <w:autoSpaceDN w:val="0"/>
              <w:adjustRightInd w:val="0"/>
              <w:rPr>
                <w:rFonts w:ascii="Arial" w:eastAsiaTheme="minorHAnsi" w:hAnsi="Arial" w:cs="Arial"/>
                <w:color w:val="000000"/>
              </w:rPr>
            </w:pPr>
            <w:r w:rsidRPr="00157DCD">
              <w:t>Types of Germs</w:t>
            </w:r>
          </w:p>
        </w:tc>
        <w:tc>
          <w:tcPr>
            <w:tcW w:w="1491" w:type="dxa"/>
            <w:tcBorders>
              <w:top w:val="single" w:sz="12" w:space="0" w:color="auto"/>
              <w:left w:val="nil"/>
              <w:bottom w:val="single" w:sz="12" w:space="0" w:color="auto"/>
              <w:right w:val="nil"/>
            </w:tcBorders>
          </w:tcPr>
          <w:p w14:paraId="56CEE379" w14:textId="58D752B8"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Amount isolated</w:t>
            </w:r>
          </w:p>
        </w:tc>
      </w:tr>
      <w:tr w:rsidR="00DC6AF7" w:rsidRPr="00DC6AF7" w14:paraId="71DA6686" w14:textId="77777777" w:rsidTr="00DC6AF7">
        <w:trPr>
          <w:trHeight w:val="259"/>
          <w:jc w:val="center"/>
        </w:trPr>
        <w:tc>
          <w:tcPr>
            <w:tcW w:w="3062" w:type="dxa"/>
            <w:tcBorders>
              <w:top w:val="single" w:sz="12" w:space="0" w:color="auto"/>
              <w:left w:val="nil"/>
              <w:bottom w:val="nil"/>
              <w:right w:val="nil"/>
            </w:tcBorders>
          </w:tcPr>
          <w:p w14:paraId="50A799F0" w14:textId="4D3C6DD3" w:rsidR="00DC6AF7" w:rsidRPr="00DC6AF7" w:rsidRDefault="00DC6AF7" w:rsidP="00DC6AF7">
            <w:pPr>
              <w:widowControl w:val="0"/>
              <w:autoSpaceDE w:val="0"/>
              <w:autoSpaceDN w:val="0"/>
              <w:adjustRightInd w:val="0"/>
              <w:rPr>
                <w:rFonts w:ascii="Arial" w:eastAsiaTheme="minorHAnsi" w:hAnsi="Arial" w:cs="Arial"/>
                <w:color w:val="000000"/>
              </w:rPr>
            </w:pPr>
            <w:r w:rsidRPr="00157DCD">
              <w:t>Escherichia coli</w:t>
            </w:r>
          </w:p>
        </w:tc>
        <w:tc>
          <w:tcPr>
            <w:tcW w:w="1491" w:type="dxa"/>
            <w:tcBorders>
              <w:top w:val="single" w:sz="12" w:space="0" w:color="auto"/>
              <w:left w:val="nil"/>
              <w:bottom w:val="nil"/>
              <w:right w:val="nil"/>
            </w:tcBorders>
          </w:tcPr>
          <w:p w14:paraId="48C96953" w14:textId="77777777"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13</w:t>
            </w:r>
          </w:p>
        </w:tc>
      </w:tr>
      <w:tr w:rsidR="00DC6AF7" w:rsidRPr="00DC6AF7" w14:paraId="24D54F85" w14:textId="77777777" w:rsidTr="00DC6AF7">
        <w:trPr>
          <w:trHeight w:val="259"/>
          <w:jc w:val="center"/>
        </w:trPr>
        <w:tc>
          <w:tcPr>
            <w:tcW w:w="3062" w:type="dxa"/>
            <w:tcBorders>
              <w:top w:val="nil"/>
              <w:left w:val="nil"/>
              <w:bottom w:val="nil"/>
              <w:right w:val="nil"/>
            </w:tcBorders>
          </w:tcPr>
          <w:p w14:paraId="629C068F" w14:textId="273009E3" w:rsidR="00DC6AF7" w:rsidRPr="00DC6AF7" w:rsidRDefault="00DC6AF7" w:rsidP="00DC6AF7">
            <w:pPr>
              <w:widowControl w:val="0"/>
              <w:autoSpaceDE w:val="0"/>
              <w:autoSpaceDN w:val="0"/>
              <w:adjustRightInd w:val="0"/>
              <w:rPr>
                <w:rFonts w:ascii="Arial" w:eastAsiaTheme="minorHAnsi" w:hAnsi="Arial" w:cs="Arial"/>
                <w:color w:val="000000"/>
              </w:rPr>
            </w:pPr>
            <w:r w:rsidRPr="00157DCD">
              <w:t xml:space="preserve">Staphylococcus </w:t>
            </w:r>
            <w:proofErr w:type="spellStart"/>
            <w:r w:rsidRPr="00157DCD">
              <w:t>haemolyticus</w:t>
            </w:r>
            <w:proofErr w:type="spellEnd"/>
          </w:p>
        </w:tc>
        <w:tc>
          <w:tcPr>
            <w:tcW w:w="1491" w:type="dxa"/>
            <w:tcBorders>
              <w:top w:val="nil"/>
              <w:left w:val="nil"/>
              <w:bottom w:val="nil"/>
              <w:right w:val="nil"/>
            </w:tcBorders>
          </w:tcPr>
          <w:p w14:paraId="16B47ABD" w14:textId="77777777"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5</w:t>
            </w:r>
          </w:p>
        </w:tc>
      </w:tr>
      <w:tr w:rsidR="00DC6AF7" w:rsidRPr="00DC6AF7" w14:paraId="08C444F8" w14:textId="77777777" w:rsidTr="00DC6AF7">
        <w:trPr>
          <w:trHeight w:val="259"/>
          <w:jc w:val="center"/>
        </w:trPr>
        <w:tc>
          <w:tcPr>
            <w:tcW w:w="3062" w:type="dxa"/>
            <w:tcBorders>
              <w:top w:val="nil"/>
              <w:left w:val="nil"/>
              <w:bottom w:val="nil"/>
              <w:right w:val="nil"/>
            </w:tcBorders>
          </w:tcPr>
          <w:p w14:paraId="26587743" w14:textId="61752442" w:rsidR="00DC6AF7" w:rsidRPr="00DC6AF7" w:rsidRDefault="00DC6AF7" w:rsidP="00DC6AF7">
            <w:pPr>
              <w:widowControl w:val="0"/>
              <w:autoSpaceDE w:val="0"/>
              <w:autoSpaceDN w:val="0"/>
              <w:adjustRightInd w:val="0"/>
              <w:rPr>
                <w:rFonts w:ascii="Arial" w:eastAsiaTheme="minorHAnsi" w:hAnsi="Arial" w:cs="Arial"/>
                <w:color w:val="000000"/>
              </w:rPr>
            </w:pPr>
            <w:r w:rsidRPr="00157DCD">
              <w:t>Micrococcus</w:t>
            </w:r>
          </w:p>
        </w:tc>
        <w:tc>
          <w:tcPr>
            <w:tcW w:w="1491" w:type="dxa"/>
            <w:tcBorders>
              <w:top w:val="nil"/>
              <w:left w:val="nil"/>
              <w:bottom w:val="nil"/>
              <w:right w:val="nil"/>
            </w:tcBorders>
          </w:tcPr>
          <w:p w14:paraId="2AE405EE" w14:textId="77777777"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1</w:t>
            </w:r>
          </w:p>
        </w:tc>
      </w:tr>
      <w:tr w:rsidR="00DC6AF7" w:rsidRPr="00DC6AF7" w14:paraId="0021C1FB" w14:textId="77777777" w:rsidTr="00DC6AF7">
        <w:trPr>
          <w:trHeight w:val="259"/>
          <w:jc w:val="center"/>
        </w:trPr>
        <w:tc>
          <w:tcPr>
            <w:tcW w:w="3062" w:type="dxa"/>
            <w:tcBorders>
              <w:top w:val="nil"/>
              <w:left w:val="nil"/>
              <w:bottom w:val="nil"/>
              <w:right w:val="nil"/>
            </w:tcBorders>
          </w:tcPr>
          <w:p w14:paraId="6C9698D6" w14:textId="30F87A5B" w:rsidR="00DC6AF7" w:rsidRPr="00DC6AF7" w:rsidRDefault="00DC6AF7" w:rsidP="00DC6AF7">
            <w:pPr>
              <w:widowControl w:val="0"/>
              <w:autoSpaceDE w:val="0"/>
              <w:autoSpaceDN w:val="0"/>
              <w:adjustRightInd w:val="0"/>
              <w:rPr>
                <w:rFonts w:ascii="Arial" w:eastAsiaTheme="minorHAnsi" w:hAnsi="Arial" w:cs="Arial"/>
                <w:color w:val="000000"/>
              </w:rPr>
            </w:pPr>
            <w:r w:rsidRPr="00157DCD">
              <w:t>Acinetobacter baumannii</w:t>
            </w:r>
          </w:p>
        </w:tc>
        <w:tc>
          <w:tcPr>
            <w:tcW w:w="1491" w:type="dxa"/>
            <w:tcBorders>
              <w:top w:val="nil"/>
              <w:left w:val="nil"/>
              <w:bottom w:val="nil"/>
              <w:right w:val="nil"/>
            </w:tcBorders>
          </w:tcPr>
          <w:p w14:paraId="6872332A" w14:textId="77777777"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1</w:t>
            </w:r>
          </w:p>
        </w:tc>
      </w:tr>
      <w:tr w:rsidR="00DC6AF7" w:rsidRPr="00DC6AF7" w14:paraId="6CEFA9AE" w14:textId="77777777" w:rsidTr="00DC6AF7">
        <w:trPr>
          <w:trHeight w:val="259"/>
          <w:jc w:val="center"/>
        </w:trPr>
        <w:tc>
          <w:tcPr>
            <w:tcW w:w="3062" w:type="dxa"/>
            <w:tcBorders>
              <w:top w:val="nil"/>
              <w:left w:val="nil"/>
              <w:right w:val="nil"/>
            </w:tcBorders>
          </w:tcPr>
          <w:p w14:paraId="2A1B66FE" w14:textId="4A917F8F" w:rsidR="00DC6AF7" w:rsidRPr="00DC6AF7" w:rsidRDefault="00DC6AF7" w:rsidP="00DC6AF7">
            <w:pPr>
              <w:widowControl w:val="0"/>
              <w:autoSpaceDE w:val="0"/>
              <w:autoSpaceDN w:val="0"/>
              <w:adjustRightInd w:val="0"/>
              <w:rPr>
                <w:rFonts w:ascii="Arial" w:eastAsiaTheme="minorHAnsi" w:hAnsi="Arial" w:cs="Arial"/>
                <w:color w:val="000000"/>
              </w:rPr>
            </w:pPr>
            <w:r w:rsidRPr="00157DCD">
              <w:t>Pseudomonas aeruginosa</w:t>
            </w:r>
          </w:p>
        </w:tc>
        <w:tc>
          <w:tcPr>
            <w:tcW w:w="1491" w:type="dxa"/>
            <w:tcBorders>
              <w:top w:val="nil"/>
              <w:left w:val="nil"/>
              <w:right w:val="nil"/>
            </w:tcBorders>
          </w:tcPr>
          <w:p w14:paraId="784AE993" w14:textId="77777777"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1</w:t>
            </w:r>
          </w:p>
        </w:tc>
      </w:tr>
      <w:tr w:rsidR="00DC6AF7" w:rsidRPr="00DC6AF7" w14:paraId="3CD85A97" w14:textId="77777777" w:rsidTr="00DC6AF7">
        <w:trPr>
          <w:trHeight w:val="259"/>
          <w:jc w:val="center"/>
        </w:trPr>
        <w:tc>
          <w:tcPr>
            <w:tcW w:w="3062" w:type="dxa"/>
            <w:tcBorders>
              <w:top w:val="nil"/>
              <w:left w:val="nil"/>
              <w:bottom w:val="single" w:sz="12" w:space="0" w:color="auto"/>
              <w:right w:val="nil"/>
            </w:tcBorders>
          </w:tcPr>
          <w:p w14:paraId="414D6D06" w14:textId="77777777" w:rsidR="00DC6AF7" w:rsidRPr="00DC6AF7" w:rsidRDefault="00DC6AF7" w:rsidP="00DC6AF7">
            <w:pPr>
              <w:widowControl w:val="0"/>
              <w:autoSpaceDE w:val="0"/>
              <w:autoSpaceDN w:val="0"/>
              <w:adjustRightInd w:val="0"/>
              <w:rPr>
                <w:rFonts w:ascii="Arial" w:eastAsiaTheme="minorHAnsi" w:hAnsi="Arial" w:cs="Arial"/>
                <w:b/>
                <w:bCs/>
                <w:color w:val="000000"/>
              </w:rPr>
            </w:pPr>
            <w:r w:rsidRPr="00DC6AF7">
              <w:rPr>
                <w:rFonts w:ascii="Arial" w:eastAsiaTheme="minorHAnsi" w:hAnsi="Arial" w:cs="Arial"/>
                <w:b/>
                <w:bCs/>
                <w:color w:val="000000"/>
              </w:rPr>
              <w:t>Total</w:t>
            </w:r>
          </w:p>
        </w:tc>
        <w:tc>
          <w:tcPr>
            <w:tcW w:w="1491" w:type="dxa"/>
            <w:tcBorders>
              <w:top w:val="nil"/>
              <w:left w:val="nil"/>
              <w:bottom w:val="single" w:sz="12" w:space="0" w:color="auto"/>
              <w:right w:val="nil"/>
            </w:tcBorders>
          </w:tcPr>
          <w:p w14:paraId="525C5FE9" w14:textId="77777777" w:rsidR="00DC6AF7" w:rsidRPr="00DC6AF7" w:rsidRDefault="00DC6AF7" w:rsidP="00DC6AF7">
            <w:pPr>
              <w:widowControl w:val="0"/>
              <w:autoSpaceDE w:val="0"/>
              <w:autoSpaceDN w:val="0"/>
              <w:adjustRightInd w:val="0"/>
              <w:jc w:val="center"/>
              <w:rPr>
                <w:rFonts w:ascii="Arial" w:eastAsiaTheme="minorHAnsi" w:hAnsi="Arial" w:cs="Arial"/>
                <w:b/>
                <w:bCs/>
                <w:color w:val="000000"/>
              </w:rPr>
            </w:pPr>
            <w:r w:rsidRPr="00DC6AF7">
              <w:rPr>
                <w:rFonts w:ascii="Arial" w:eastAsiaTheme="minorHAnsi" w:hAnsi="Arial" w:cs="Arial"/>
                <w:b/>
                <w:bCs/>
                <w:color w:val="000000"/>
              </w:rPr>
              <w:t>21</w:t>
            </w:r>
          </w:p>
        </w:tc>
      </w:tr>
    </w:tbl>
    <w:p w14:paraId="68F82F83" w14:textId="77777777" w:rsidR="00DC6AF7" w:rsidRPr="00DC6AF7" w:rsidRDefault="00DC6AF7" w:rsidP="00DC6AF7">
      <w:pPr>
        <w:pStyle w:val="Body"/>
        <w:spacing w:after="0"/>
        <w:jc w:val="center"/>
        <w:rPr>
          <w:rFonts w:ascii="Arial" w:hAnsi="Arial" w:cs="Arial"/>
          <w:b/>
          <w:bCs/>
        </w:rPr>
      </w:pPr>
    </w:p>
    <w:p w14:paraId="54A4BD7E" w14:textId="0EA201B0" w:rsidR="00DC6AF7" w:rsidRDefault="00501F19" w:rsidP="00501F19">
      <w:pPr>
        <w:pStyle w:val="Body"/>
        <w:spacing w:after="0"/>
        <w:jc w:val="center"/>
        <w:rPr>
          <w:rFonts w:ascii="Arial" w:hAnsi="Arial" w:cs="Arial"/>
          <w:b/>
          <w:bCs/>
        </w:rPr>
      </w:pPr>
      <w:r w:rsidRPr="00501F19">
        <w:rPr>
          <w:rFonts w:ascii="Arial" w:hAnsi="Arial" w:cs="Arial"/>
          <w:b/>
          <w:bCs/>
        </w:rPr>
        <w:t>Table 6. Antibiotic sensitivity to germs</w:t>
      </w:r>
    </w:p>
    <w:p w14:paraId="78276ACA" w14:textId="77777777" w:rsidR="00501F19" w:rsidRPr="00501F19" w:rsidRDefault="00501F19" w:rsidP="00501F19">
      <w:pPr>
        <w:pStyle w:val="Body"/>
        <w:spacing w:after="0"/>
        <w:jc w:val="center"/>
        <w:rPr>
          <w:rFonts w:ascii="Arial" w:hAnsi="Arial" w:cs="Arial"/>
          <w:b/>
          <w:bCs/>
        </w:rPr>
      </w:pPr>
    </w:p>
    <w:tbl>
      <w:tblPr>
        <w:tblStyle w:val="PlainTable4"/>
        <w:tblW w:w="8316" w:type="dxa"/>
        <w:tblInd w:w="108" w:type="dxa"/>
        <w:tblLook w:val="00A0" w:firstRow="1" w:lastRow="0" w:firstColumn="1" w:lastColumn="0" w:noHBand="0" w:noVBand="0"/>
      </w:tblPr>
      <w:tblGrid>
        <w:gridCol w:w="1646"/>
        <w:gridCol w:w="667"/>
        <w:gridCol w:w="667"/>
        <w:gridCol w:w="667"/>
        <w:gridCol w:w="667"/>
        <w:gridCol w:w="667"/>
        <w:gridCol w:w="667"/>
        <w:gridCol w:w="667"/>
        <w:gridCol w:w="667"/>
        <w:gridCol w:w="667"/>
        <w:gridCol w:w="667"/>
      </w:tblGrid>
      <w:tr w:rsidR="00E90C41" w:rsidRPr="00E90C41" w14:paraId="7D314483" w14:textId="77777777" w:rsidTr="00E90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Borders>
              <w:top w:val="single" w:sz="4" w:space="0" w:color="auto"/>
              <w:bottom w:val="single" w:sz="4" w:space="0" w:color="auto"/>
            </w:tcBorders>
          </w:tcPr>
          <w:p w14:paraId="772981D1" w14:textId="3E31FB35" w:rsidR="00501F19" w:rsidRPr="00501F19" w:rsidRDefault="00501F19" w:rsidP="00E90C41">
            <w:pPr>
              <w:spacing w:before="2" w:after="2"/>
              <w:rPr>
                <w:rFonts w:ascii="Arial" w:eastAsiaTheme="minorHAnsi" w:hAnsi="Arial" w:cs="Arial"/>
                <w:b w:val="0"/>
                <w:sz w:val="18"/>
                <w:szCs w:val="18"/>
              </w:rPr>
            </w:pPr>
            <w:r w:rsidRPr="00E90C41">
              <w:rPr>
                <w:rFonts w:ascii="Arial" w:hAnsi="Arial" w:cs="Arial"/>
                <w:sz w:val="18"/>
                <w:szCs w:val="18"/>
              </w:rPr>
              <w:t>Types of Germs</w:t>
            </w:r>
          </w:p>
        </w:tc>
        <w:tc>
          <w:tcPr>
            <w:cnfStyle w:val="000010000000" w:firstRow="0" w:lastRow="0" w:firstColumn="0" w:lastColumn="0" w:oddVBand="1" w:evenVBand="0" w:oddHBand="0" w:evenHBand="0" w:firstRowFirstColumn="0" w:firstRowLastColumn="0" w:lastRowFirstColumn="0" w:lastRowLastColumn="0"/>
            <w:tcW w:w="6580" w:type="dxa"/>
            <w:gridSpan w:val="10"/>
            <w:tcBorders>
              <w:top w:val="single" w:sz="4" w:space="0" w:color="auto"/>
              <w:bottom w:val="single" w:sz="4" w:space="0" w:color="auto"/>
            </w:tcBorders>
          </w:tcPr>
          <w:p w14:paraId="0E66149B" w14:textId="6957C6EF" w:rsidR="00501F19" w:rsidRPr="00501F19" w:rsidRDefault="00501F19" w:rsidP="00E90C41">
            <w:pPr>
              <w:spacing w:before="2" w:after="2"/>
              <w:jc w:val="center"/>
              <w:rPr>
                <w:rFonts w:ascii="Arial" w:eastAsiaTheme="minorHAnsi" w:hAnsi="Arial" w:cs="Arial"/>
                <w:b w:val="0"/>
                <w:sz w:val="18"/>
                <w:szCs w:val="18"/>
              </w:rPr>
            </w:pPr>
            <w:r w:rsidRPr="00E90C41">
              <w:rPr>
                <w:rFonts w:ascii="Arial" w:hAnsi="Arial" w:cs="Arial"/>
                <w:sz w:val="18"/>
                <w:szCs w:val="18"/>
              </w:rPr>
              <w:t>Sensitivity (%)</w:t>
            </w:r>
          </w:p>
        </w:tc>
      </w:tr>
      <w:tr w:rsidR="00532073" w:rsidRPr="00E90C41" w14:paraId="11D532B8" w14:textId="77777777" w:rsidTr="00E90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Borders>
              <w:top w:val="single" w:sz="4" w:space="0" w:color="auto"/>
              <w:bottom w:val="single" w:sz="4" w:space="0" w:color="auto"/>
            </w:tcBorders>
          </w:tcPr>
          <w:p w14:paraId="661E5D5C" w14:textId="77777777"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 </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35F0715B"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AM</w:t>
            </w:r>
          </w:p>
        </w:tc>
        <w:tc>
          <w:tcPr>
            <w:tcW w:w="658" w:type="dxa"/>
            <w:tcBorders>
              <w:top w:val="single" w:sz="4" w:space="0" w:color="auto"/>
              <w:bottom w:val="single" w:sz="4" w:space="0" w:color="auto"/>
            </w:tcBorders>
          </w:tcPr>
          <w:p w14:paraId="64398F37"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AC</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0F38250C"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AS</w:t>
            </w:r>
          </w:p>
        </w:tc>
        <w:tc>
          <w:tcPr>
            <w:tcW w:w="658" w:type="dxa"/>
            <w:tcBorders>
              <w:top w:val="single" w:sz="4" w:space="0" w:color="auto"/>
              <w:bottom w:val="single" w:sz="4" w:space="0" w:color="auto"/>
            </w:tcBorders>
          </w:tcPr>
          <w:p w14:paraId="77F1FEB2"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CD</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19C4DB7E"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CZ</w:t>
            </w:r>
          </w:p>
        </w:tc>
        <w:tc>
          <w:tcPr>
            <w:tcW w:w="658" w:type="dxa"/>
            <w:tcBorders>
              <w:top w:val="single" w:sz="4" w:space="0" w:color="auto"/>
              <w:bottom w:val="single" w:sz="4" w:space="0" w:color="auto"/>
            </w:tcBorders>
          </w:tcPr>
          <w:p w14:paraId="302528BF"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CP</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1C98F52A"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CX</w:t>
            </w:r>
          </w:p>
        </w:tc>
        <w:tc>
          <w:tcPr>
            <w:tcW w:w="658" w:type="dxa"/>
            <w:tcBorders>
              <w:top w:val="single" w:sz="4" w:space="0" w:color="auto"/>
              <w:bottom w:val="single" w:sz="4" w:space="0" w:color="auto"/>
            </w:tcBorders>
          </w:tcPr>
          <w:p w14:paraId="33021491"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CR</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71DBBD03"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CT</w:t>
            </w:r>
          </w:p>
        </w:tc>
        <w:tc>
          <w:tcPr>
            <w:tcW w:w="658" w:type="dxa"/>
            <w:tcBorders>
              <w:top w:val="single" w:sz="4" w:space="0" w:color="auto"/>
              <w:bottom w:val="single" w:sz="4" w:space="0" w:color="auto"/>
            </w:tcBorders>
          </w:tcPr>
          <w:p w14:paraId="15EF2117"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CI</w:t>
            </w:r>
          </w:p>
        </w:tc>
      </w:tr>
      <w:tr w:rsidR="00532073" w:rsidRPr="00E90C41" w14:paraId="2993BC1D" w14:textId="77777777" w:rsidTr="00E90C41">
        <w:tc>
          <w:tcPr>
            <w:cnfStyle w:val="001000000000" w:firstRow="0" w:lastRow="0" w:firstColumn="1" w:lastColumn="0" w:oddVBand="0" w:evenVBand="0" w:oddHBand="0" w:evenHBand="0" w:firstRowFirstColumn="0" w:firstRowLastColumn="0" w:lastRowFirstColumn="0" w:lastRowLastColumn="0"/>
            <w:tcW w:w="1736" w:type="dxa"/>
            <w:tcBorders>
              <w:top w:val="single" w:sz="4" w:space="0" w:color="auto"/>
            </w:tcBorders>
          </w:tcPr>
          <w:p w14:paraId="3B077BA2" w14:textId="77777777"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Escherichia coli</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291ED7EF" w14:textId="4B5C388D"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tcW w:w="658" w:type="dxa"/>
            <w:tcBorders>
              <w:top w:val="single" w:sz="4" w:space="0" w:color="auto"/>
            </w:tcBorders>
          </w:tcPr>
          <w:p w14:paraId="1F4EBCC0" w14:textId="0C9FA503"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2AABCBD2" w14:textId="42B712DC"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30</w:t>
            </w:r>
            <w:r w:rsidR="00532073" w:rsidRPr="00E90C41">
              <w:rPr>
                <w:rFonts w:ascii="Arial" w:eastAsiaTheme="minorHAnsi" w:hAnsi="Arial" w:cs="Arial"/>
                <w:sz w:val="18"/>
                <w:szCs w:val="18"/>
              </w:rPr>
              <w:t>.</w:t>
            </w:r>
            <w:r w:rsidRPr="00501F19">
              <w:rPr>
                <w:rFonts w:ascii="Arial" w:eastAsiaTheme="minorHAnsi" w:hAnsi="Arial" w:cs="Arial"/>
                <w:sz w:val="18"/>
                <w:szCs w:val="18"/>
              </w:rPr>
              <w:t>76</w:t>
            </w:r>
          </w:p>
        </w:tc>
        <w:tc>
          <w:tcPr>
            <w:tcW w:w="658" w:type="dxa"/>
            <w:tcBorders>
              <w:top w:val="single" w:sz="4" w:space="0" w:color="auto"/>
            </w:tcBorders>
          </w:tcPr>
          <w:p w14:paraId="1BB7085D" w14:textId="3D441763"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57C89FCA" w14:textId="0A999D05"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tcW w:w="658" w:type="dxa"/>
            <w:tcBorders>
              <w:top w:val="single" w:sz="4" w:space="0" w:color="auto"/>
            </w:tcBorders>
          </w:tcPr>
          <w:p w14:paraId="46A6F794" w14:textId="28E7ABFB"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30</w:t>
            </w:r>
            <w:r w:rsidR="00532073" w:rsidRPr="00E90C41">
              <w:rPr>
                <w:rFonts w:ascii="Arial" w:eastAsiaTheme="minorHAnsi" w:hAnsi="Arial" w:cs="Arial"/>
                <w:sz w:val="18"/>
                <w:szCs w:val="18"/>
              </w:rPr>
              <w:t>.</w:t>
            </w:r>
            <w:r w:rsidRPr="00501F19">
              <w:rPr>
                <w:rFonts w:ascii="Arial" w:eastAsiaTheme="minorHAnsi" w:hAnsi="Arial" w:cs="Arial"/>
                <w:sz w:val="18"/>
                <w:szCs w:val="18"/>
              </w:rPr>
              <w:t>76</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0E74B186" w14:textId="3ED4448E"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tcW w:w="658" w:type="dxa"/>
            <w:tcBorders>
              <w:top w:val="single" w:sz="4" w:space="0" w:color="auto"/>
            </w:tcBorders>
          </w:tcPr>
          <w:p w14:paraId="2DCB2378" w14:textId="0C834E58"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651C7880"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top w:val="single" w:sz="4" w:space="0" w:color="auto"/>
            </w:tcBorders>
          </w:tcPr>
          <w:p w14:paraId="1047B266" w14:textId="22384A63"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r>
      <w:tr w:rsidR="00532073" w:rsidRPr="00E90C41" w14:paraId="2E2A34C3" w14:textId="77777777" w:rsidTr="00E90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Borders>
              <w:bottom w:val="single" w:sz="4" w:space="0" w:color="auto"/>
            </w:tcBorders>
          </w:tcPr>
          <w:p w14:paraId="23A45BD6" w14:textId="77777777"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 xml:space="preserve">Staphylococcus </w:t>
            </w:r>
            <w:proofErr w:type="spellStart"/>
            <w:r w:rsidRPr="00501F19">
              <w:rPr>
                <w:rFonts w:ascii="Arial" w:eastAsiaTheme="minorHAnsi" w:hAnsi="Arial" w:cs="Arial"/>
                <w:b w:val="0"/>
                <w:sz w:val="18"/>
                <w:szCs w:val="18"/>
              </w:rPr>
              <w:t>haemolyticus</w:t>
            </w:r>
            <w:proofErr w:type="spellEnd"/>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7363D62A"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40</w:t>
            </w:r>
          </w:p>
        </w:tc>
        <w:tc>
          <w:tcPr>
            <w:tcW w:w="658" w:type="dxa"/>
            <w:tcBorders>
              <w:bottom w:val="single" w:sz="4" w:space="0" w:color="auto"/>
            </w:tcBorders>
          </w:tcPr>
          <w:p w14:paraId="581BF6A7"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20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43D24600"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40</w:t>
            </w:r>
          </w:p>
        </w:tc>
        <w:tc>
          <w:tcPr>
            <w:tcW w:w="658" w:type="dxa"/>
            <w:tcBorders>
              <w:bottom w:val="single" w:sz="4" w:space="0" w:color="auto"/>
            </w:tcBorders>
          </w:tcPr>
          <w:p w14:paraId="74D445F7"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20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0E8CF804"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20</w:t>
            </w:r>
          </w:p>
        </w:tc>
        <w:tc>
          <w:tcPr>
            <w:tcW w:w="658" w:type="dxa"/>
            <w:tcBorders>
              <w:bottom w:val="single" w:sz="4" w:space="0" w:color="auto"/>
            </w:tcBorders>
          </w:tcPr>
          <w:p w14:paraId="5113587D"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40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6E36A599"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bottom w:val="single" w:sz="4" w:space="0" w:color="auto"/>
            </w:tcBorders>
          </w:tcPr>
          <w:p w14:paraId="417BD7E4"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471622AA"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bottom w:val="single" w:sz="4" w:space="0" w:color="auto"/>
            </w:tcBorders>
          </w:tcPr>
          <w:p w14:paraId="373CAF9F"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20</w:t>
            </w:r>
          </w:p>
        </w:tc>
      </w:tr>
      <w:tr w:rsidR="00532073" w:rsidRPr="00E90C41" w14:paraId="055F1E48" w14:textId="77777777" w:rsidTr="00E90C41">
        <w:tc>
          <w:tcPr>
            <w:cnfStyle w:val="001000000000" w:firstRow="0" w:lastRow="0" w:firstColumn="1" w:lastColumn="0" w:oddVBand="0" w:evenVBand="0" w:oddHBand="0" w:evenHBand="0" w:firstRowFirstColumn="0" w:firstRowLastColumn="0" w:lastRowFirstColumn="0" w:lastRowLastColumn="0"/>
            <w:tcW w:w="1736" w:type="dxa"/>
            <w:tcBorders>
              <w:top w:val="single" w:sz="4" w:space="0" w:color="auto"/>
              <w:bottom w:val="single" w:sz="4" w:space="0" w:color="auto"/>
            </w:tcBorders>
          </w:tcPr>
          <w:p w14:paraId="2436FA0D" w14:textId="77777777" w:rsidR="00501F19" w:rsidRPr="00501F19" w:rsidRDefault="00501F19" w:rsidP="00E90C41">
            <w:pPr>
              <w:spacing w:before="2" w:after="2"/>
              <w:rPr>
                <w:rFonts w:ascii="Arial" w:eastAsiaTheme="minorHAnsi" w:hAnsi="Arial"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6C239D10"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CF</w:t>
            </w:r>
          </w:p>
        </w:tc>
        <w:tc>
          <w:tcPr>
            <w:tcW w:w="658" w:type="dxa"/>
            <w:tcBorders>
              <w:top w:val="single" w:sz="4" w:space="0" w:color="auto"/>
              <w:bottom w:val="single" w:sz="4" w:space="0" w:color="auto"/>
            </w:tcBorders>
          </w:tcPr>
          <w:p w14:paraId="2D4D4E93" w14:textId="77777777"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CE</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09CC1647"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CU</w:t>
            </w:r>
          </w:p>
        </w:tc>
        <w:tc>
          <w:tcPr>
            <w:tcW w:w="658" w:type="dxa"/>
            <w:tcBorders>
              <w:top w:val="single" w:sz="4" w:space="0" w:color="auto"/>
              <w:bottom w:val="single" w:sz="4" w:space="0" w:color="auto"/>
            </w:tcBorders>
          </w:tcPr>
          <w:p w14:paraId="757F5019" w14:textId="77777777"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CH</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3030B2AA"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CA</w:t>
            </w:r>
          </w:p>
        </w:tc>
        <w:tc>
          <w:tcPr>
            <w:tcW w:w="658" w:type="dxa"/>
            <w:tcBorders>
              <w:top w:val="single" w:sz="4" w:space="0" w:color="auto"/>
              <w:bottom w:val="single" w:sz="4" w:space="0" w:color="auto"/>
            </w:tcBorders>
          </w:tcPr>
          <w:p w14:paraId="5742E6AB" w14:textId="77777777"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CO</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3C980FD4"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ER</w:t>
            </w:r>
          </w:p>
        </w:tc>
        <w:tc>
          <w:tcPr>
            <w:tcW w:w="658" w:type="dxa"/>
            <w:tcBorders>
              <w:top w:val="single" w:sz="4" w:space="0" w:color="auto"/>
              <w:bottom w:val="single" w:sz="4" w:space="0" w:color="auto"/>
            </w:tcBorders>
          </w:tcPr>
          <w:p w14:paraId="30A40C76" w14:textId="77777777"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GE</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207ED98B"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IM</w:t>
            </w:r>
          </w:p>
        </w:tc>
        <w:tc>
          <w:tcPr>
            <w:tcW w:w="658" w:type="dxa"/>
            <w:tcBorders>
              <w:top w:val="single" w:sz="4" w:space="0" w:color="auto"/>
              <w:bottom w:val="single" w:sz="4" w:space="0" w:color="auto"/>
            </w:tcBorders>
          </w:tcPr>
          <w:p w14:paraId="3D6C78B2" w14:textId="77777777"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LE</w:t>
            </w:r>
          </w:p>
        </w:tc>
      </w:tr>
      <w:tr w:rsidR="00532073" w:rsidRPr="00E90C41" w14:paraId="1FFF4F52" w14:textId="77777777" w:rsidTr="00E90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Borders>
              <w:top w:val="single" w:sz="4" w:space="0" w:color="auto"/>
            </w:tcBorders>
          </w:tcPr>
          <w:p w14:paraId="2D196CED" w14:textId="77777777"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Escherichia coli</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43747F7D" w14:textId="2F200A84"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38</w:t>
            </w:r>
            <w:r w:rsidR="00532073" w:rsidRPr="00E90C41">
              <w:rPr>
                <w:rFonts w:ascii="Arial" w:eastAsiaTheme="minorHAnsi" w:hAnsi="Arial" w:cs="Arial"/>
                <w:sz w:val="18"/>
                <w:szCs w:val="18"/>
              </w:rPr>
              <w:t>.</w:t>
            </w:r>
            <w:r w:rsidRPr="00501F19">
              <w:rPr>
                <w:rFonts w:ascii="Arial" w:eastAsiaTheme="minorHAnsi" w:hAnsi="Arial" w:cs="Arial"/>
                <w:sz w:val="18"/>
                <w:szCs w:val="18"/>
              </w:rPr>
              <w:t>46</w:t>
            </w:r>
          </w:p>
        </w:tc>
        <w:tc>
          <w:tcPr>
            <w:tcW w:w="658" w:type="dxa"/>
            <w:tcBorders>
              <w:top w:val="single" w:sz="4" w:space="0" w:color="auto"/>
            </w:tcBorders>
          </w:tcPr>
          <w:p w14:paraId="674BAB82"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0</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5CFF96E8"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top w:val="single" w:sz="4" w:space="0" w:color="auto"/>
            </w:tcBorders>
          </w:tcPr>
          <w:p w14:paraId="544D25B6" w14:textId="67D7FE0F"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30</w:t>
            </w:r>
            <w:r w:rsidR="00532073" w:rsidRPr="00E90C41">
              <w:rPr>
                <w:rFonts w:ascii="Arial" w:eastAsiaTheme="minorHAnsi" w:hAnsi="Arial" w:cs="Arial"/>
                <w:sz w:val="18"/>
                <w:szCs w:val="18"/>
              </w:rPr>
              <w:t>.</w:t>
            </w:r>
            <w:r w:rsidRPr="00501F19">
              <w:rPr>
                <w:rFonts w:ascii="Arial" w:eastAsiaTheme="minorHAnsi" w:hAnsi="Arial" w:cs="Arial"/>
                <w:sz w:val="18"/>
                <w:szCs w:val="18"/>
              </w:rPr>
              <w:t>76</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2EAC9262" w14:textId="31B9454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7</w:t>
            </w:r>
            <w:r w:rsidR="00532073" w:rsidRPr="00E90C41">
              <w:rPr>
                <w:rFonts w:ascii="Arial" w:eastAsiaTheme="minorHAnsi" w:hAnsi="Arial" w:cs="Arial"/>
                <w:sz w:val="18"/>
                <w:szCs w:val="18"/>
              </w:rPr>
              <w:t>.</w:t>
            </w:r>
            <w:r w:rsidRPr="00501F19">
              <w:rPr>
                <w:rFonts w:ascii="Arial" w:eastAsiaTheme="minorHAnsi" w:hAnsi="Arial" w:cs="Arial"/>
                <w:sz w:val="18"/>
                <w:szCs w:val="18"/>
              </w:rPr>
              <w:t>69</w:t>
            </w:r>
          </w:p>
        </w:tc>
        <w:tc>
          <w:tcPr>
            <w:tcW w:w="658" w:type="dxa"/>
            <w:tcBorders>
              <w:top w:val="single" w:sz="4" w:space="0" w:color="auto"/>
            </w:tcBorders>
          </w:tcPr>
          <w:p w14:paraId="2D787638" w14:textId="37FDA411"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30</w:t>
            </w:r>
            <w:r w:rsidR="00532073" w:rsidRPr="00E90C41">
              <w:rPr>
                <w:rFonts w:ascii="Arial" w:eastAsiaTheme="minorHAnsi" w:hAnsi="Arial" w:cs="Arial"/>
                <w:sz w:val="18"/>
                <w:szCs w:val="18"/>
              </w:rPr>
              <w:t>.</w:t>
            </w:r>
            <w:r w:rsidRPr="00501F19">
              <w:rPr>
                <w:rFonts w:ascii="Arial" w:eastAsiaTheme="minorHAnsi" w:hAnsi="Arial" w:cs="Arial"/>
                <w:sz w:val="18"/>
                <w:szCs w:val="18"/>
              </w:rPr>
              <w:t>76</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015C1A2A"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top w:val="single" w:sz="4" w:space="0" w:color="auto"/>
            </w:tcBorders>
          </w:tcPr>
          <w:p w14:paraId="45646C3D" w14:textId="49E9E0D2"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7</w:t>
            </w:r>
            <w:r w:rsidR="00532073" w:rsidRPr="00E90C41">
              <w:rPr>
                <w:rFonts w:ascii="Arial" w:eastAsiaTheme="minorHAnsi" w:hAnsi="Arial" w:cs="Arial"/>
                <w:sz w:val="18"/>
                <w:szCs w:val="18"/>
              </w:rPr>
              <w:t>.</w:t>
            </w:r>
            <w:r w:rsidRPr="00501F19">
              <w:rPr>
                <w:rFonts w:ascii="Arial" w:eastAsiaTheme="minorHAnsi" w:hAnsi="Arial" w:cs="Arial"/>
                <w:sz w:val="18"/>
                <w:szCs w:val="18"/>
              </w:rPr>
              <w:t>69</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389935BB" w14:textId="47053888"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30</w:t>
            </w:r>
            <w:r w:rsidR="00532073" w:rsidRPr="00E90C41">
              <w:rPr>
                <w:rFonts w:ascii="Arial" w:eastAsiaTheme="minorHAnsi" w:hAnsi="Arial" w:cs="Arial"/>
                <w:sz w:val="18"/>
                <w:szCs w:val="18"/>
              </w:rPr>
              <w:t>.</w:t>
            </w:r>
            <w:r w:rsidRPr="00501F19">
              <w:rPr>
                <w:rFonts w:ascii="Arial" w:eastAsiaTheme="minorHAnsi" w:hAnsi="Arial" w:cs="Arial"/>
                <w:sz w:val="18"/>
                <w:szCs w:val="18"/>
              </w:rPr>
              <w:t>76</w:t>
            </w:r>
          </w:p>
        </w:tc>
        <w:tc>
          <w:tcPr>
            <w:tcW w:w="658" w:type="dxa"/>
            <w:tcBorders>
              <w:top w:val="single" w:sz="4" w:space="0" w:color="auto"/>
            </w:tcBorders>
          </w:tcPr>
          <w:p w14:paraId="68AF1681" w14:textId="49B5F5D2"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46</w:t>
            </w:r>
            <w:r w:rsidR="00532073" w:rsidRPr="00E90C41">
              <w:rPr>
                <w:rFonts w:ascii="Arial" w:eastAsiaTheme="minorHAnsi" w:hAnsi="Arial" w:cs="Arial"/>
                <w:sz w:val="18"/>
                <w:szCs w:val="18"/>
              </w:rPr>
              <w:t>.</w:t>
            </w:r>
            <w:r w:rsidRPr="00501F19">
              <w:rPr>
                <w:rFonts w:ascii="Arial" w:eastAsiaTheme="minorHAnsi" w:hAnsi="Arial" w:cs="Arial"/>
                <w:sz w:val="18"/>
                <w:szCs w:val="18"/>
              </w:rPr>
              <w:t>15</w:t>
            </w:r>
          </w:p>
        </w:tc>
      </w:tr>
      <w:tr w:rsidR="00532073" w:rsidRPr="00E90C41" w14:paraId="087904B7" w14:textId="77777777" w:rsidTr="00E90C41">
        <w:tc>
          <w:tcPr>
            <w:cnfStyle w:val="001000000000" w:firstRow="0" w:lastRow="0" w:firstColumn="1" w:lastColumn="0" w:oddVBand="0" w:evenVBand="0" w:oddHBand="0" w:evenHBand="0" w:firstRowFirstColumn="0" w:firstRowLastColumn="0" w:lastRowFirstColumn="0" w:lastRowLastColumn="0"/>
            <w:tcW w:w="1736" w:type="dxa"/>
            <w:tcBorders>
              <w:bottom w:val="single" w:sz="4" w:space="0" w:color="auto"/>
            </w:tcBorders>
          </w:tcPr>
          <w:p w14:paraId="2092CB51" w14:textId="77777777"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 xml:space="preserve">Staphylococcus </w:t>
            </w:r>
            <w:proofErr w:type="spellStart"/>
            <w:r w:rsidRPr="00501F19">
              <w:rPr>
                <w:rFonts w:ascii="Arial" w:eastAsiaTheme="minorHAnsi" w:hAnsi="Arial" w:cs="Arial"/>
                <w:b w:val="0"/>
                <w:sz w:val="18"/>
                <w:szCs w:val="18"/>
              </w:rPr>
              <w:t>haemolyticus</w:t>
            </w:r>
            <w:proofErr w:type="spellEnd"/>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3A8EA3B0"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40</w:t>
            </w:r>
          </w:p>
        </w:tc>
        <w:tc>
          <w:tcPr>
            <w:tcW w:w="658" w:type="dxa"/>
            <w:tcBorders>
              <w:bottom w:val="single" w:sz="4" w:space="0" w:color="auto"/>
            </w:tcBorders>
          </w:tcPr>
          <w:p w14:paraId="0D2A78CC" w14:textId="77777777" w:rsidR="00501F19" w:rsidRPr="00501F19" w:rsidRDefault="00501F19" w:rsidP="00E90C41">
            <w:pPr>
              <w:spacing w:before="2" w:after="2"/>
              <w:jc w:val="righ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3168E621"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bottom w:val="single" w:sz="4" w:space="0" w:color="auto"/>
            </w:tcBorders>
          </w:tcPr>
          <w:p w14:paraId="2051466C" w14:textId="77777777" w:rsidR="00501F19" w:rsidRPr="00501F19" w:rsidRDefault="00501F19" w:rsidP="00E90C41">
            <w:pPr>
              <w:spacing w:before="2" w:after="2"/>
              <w:jc w:val="righ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69076D2E"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20</w:t>
            </w:r>
          </w:p>
        </w:tc>
        <w:tc>
          <w:tcPr>
            <w:tcW w:w="658" w:type="dxa"/>
            <w:tcBorders>
              <w:bottom w:val="single" w:sz="4" w:space="0" w:color="auto"/>
            </w:tcBorders>
          </w:tcPr>
          <w:p w14:paraId="5CF476A5" w14:textId="77777777" w:rsidR="00501F19" w:rsidRPr="00501F19" w:rsidRDefault="00501F19" w:rsidP="00E90C41">
            <w:pPr>
              <w:spacing w:before="2" w:after="2"/>
              <w:jc w:val="righ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60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2978783A"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bottom w:val="single" w:sz="4" w:space="0" w:color="auto"/>
            </w:tcBorders>
          </w:tcPr>
          <w:p w14:paraId="0DA90C36" w14:textId="77777777" w:rsidR="00501F19" w:rsidRPr="00501F19" w:rsidRDefault="00501F19" w:rsidP="00E90C41">
            <w:pPr>
              <w:spacing w:before="2" w:after="2"/>
              <w:jc w:val="righ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29461D81"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bottom w:val="single" w:sz="4" w:space="0" w:color="auto"/>
            </w:tcBorders>
          </w:tcPr>
          <w:p w14:paraId="01E6A5F3" w14:textId="77777777" w:rsidR="00501F19" w:rsidRPr="00501F19" w:rsidRDefault="00501F19" w:rsidP="00E90C41">
            <w:pPr>
              <w:spacing w:before="2" w:after="2"/>
              <w:jc w:val="righ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20</w:t>
            </w:r>
          </w:p>
        </w:tc>
      </w:tr>
      <w:tr w:rsidR="00532073" w:rsidRPr="00E90C41" w14:paraId="54856AE8" w14:textId="77777777" w:rsidTr="00E90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Borders>
              <w:top w:val="single" w:sz="4" w:space="0" w:color="auto"/>
              <w:bottom w:val="single" w:sz="4" w:space="0" w:color="auto"/>
            </w:tcBorders>
          </w:tcPr>
          <w:p w14:paraId="25B6A51E" w14:textId="77777777" w:rsidR="00501F19" w:rsidRPr="00501F19" w:rsidRDefault="00501F19" w:rsidP="00E90C41">
            <w:pPr>
              <w:spacing w:before="2" w:after="2"/>
              <w:rPr>
                <w:rFonts w:ascii="Arial" w:eastAsiaTheme="minorHAnsi" w:hAnsi="Arial"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6AE9490D"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LI</w:t>
            </w:r>
          </w:p>
        </w:tc>
        <w:tc>
          <w:tcPr>
            <w:tcW w:w="658" w:type="dxa"/>
            <w:tcBorders>
              <w:top w:val="single" w:sz="4" w:space="0" w:color="auto"/>
              <w:bottom w:val="single" w:sz="4" w:space="0" w:color="auto"/>
            </w:tcBorders>
          </w:tcPr>
          <w:p w14:paraId="12A46E86"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ME</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4930D10A"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NE</w:t>
            </w:r>
          </w:p>
        </w:tc>
        <w:tc>
          <w:tcPr>
            <w:tcW w:w="658" w:type="dxa"/>
            <w:tcBorders>
              <w:top w:val="single" w:sz="4" w:space="0" w:color="auto"/>
              <w:bottom w:val="single" w:sz="4" w:space="0" w:color="auto"/>
            </w:tcBorders>
          </w:tcPr>
          <w:p w14:paraId="70D0359C"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PT</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7EA59EB9"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TI</w:t>
            </w:r>
          </w:p>
        </w:tc>
        <w:tc>
          <w:tcPr>
            <w:tcW w:w="658" w:type="dxa"/>
            <w:tcBorders>
              <w:top w:val="single" w:sz="4" w:space="0" w:color="auto"/>
              <w:bottom w:val="single" w:sz="4" w:space="0" w:color="auto"/>
            </w:tcBorders>
          </w:tcPr>
          <w:p w14:paraId="32C7258E"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VA</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1CF8864A" w14:textId="77777777" w:rsidR="00501F19" w:rsidRPr="00501F19" w:rsidRDefault="00501F19" w:rsidP="00E90C41">
            <w:pPr>
              <w:spacing w:before="2" w:after="2"/>
              <w:rPr>
                <w:rFonts w:ascii="Arial" w:eastAsiaTheme="minorHAnsi" w:hAnsi="Arial" w:cs="Arial"/>
                <w:sz w:val="18"/>
                <w:szCs w:val="18"/>
              </w:rPr>
            </w:pPr>
          </w:p>
        </w:tc>
        <w:tc>
          <w:tcPr>
            <w:tcW w:w="658" w:type="dxa"/>
            <w:tcBorders>
              <w:top w:val="single" w:sz="4" w:space="0" w:color="auto"/>
              <w:bottom w:val="single" w:sz="4" w:space="0" w:color="auto"/>
            </w:tcBorders>
          </w:tcPr>
          <w:p w14:paraId="05448639"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30DDFB2B" w14:textId="77777777" w:rsidR="00501F19" w:rsidRPr="00501F19" w:rsidRDefault="00501F19" w:rsidP="00E90C41">
            <w:pPr>
              <w:spacing w:before="2" w:after="2"/>
              <w:rPr>
                <w:rFonts w:ascii="Arial" w:eastAsiaTheme="minorHAnsi" w:hAnsi="Arial" w:cs="Arial"/>
                <w:sz w:val="18"/>
                <w:szCs w:val="18"/>
              </w:rPr>
            </w:pPr>
          </w:p>
        </w:tc>
        <w:tc>
          <w:tcPr>
            <w:tcW w:w="658" w:type="dxa"/>
            <w:tcBorders>
              <w:top w:val="single" w:sz="4" w:space="0" w:color="auto"/>
              <w:bottom w:val="single" w:sz="4" w:space="0" w:color="auto"/>
            </w:tcBorders>
          </w:tcPr>
          <w:p w14:paraId="4EF97EE1"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p>
        </w:tc>
      </w:tr>
      <w:tr w:rsidR="00532073" w:rsidRPr="00E90C41" w14:paraId="5605A4C4" w14:textId="77777777" w:rsidTr="00E90C41">
        <w:tc>
          <w:tcPr>
            <w:cnfStyle w:val="001000000000" w:firstRow="0" w:lastRow="0" w:firstColumn="1" w:lastColumn="0" w:oddVBand="0" w:evenVBand="0" w:oddHBand="0" w:evenHBand="0" w:firstRowFirstColumn="0" w:firstRowLastColumn="0" w:lastRowFirstColumn="0" w:lastRowLastColumn="0"/>
            <w:tcW w:w="1736" w:type="dxa"/>
            <w:tcBorders>
              <w:top w:val="single" w:sz="4" w:space="0" w:color="auto"/>
            </w:tcBorders>
          </w:tcPr>
          <w:p w14:paraId="1D633913" w14:textId="77777777"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Escherichia coli</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02914BDF" w14:textId="1057DC2E"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tcW w:w="658" w:type="dxa"/>
            <w:tcBorders>
              <w:top w:val="single" w:sz="4" w:space="0" w:color="auto"/>
            </w:tcBorders>
          </w:tcPr>
          <w:p w14:paraId="1B1865CF" w14:textId="2FEAB9F5"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61</w:t>
            </w:r>
            <w:r w:rsidR="00532073" w:rsidRPr="00E90C41">
              <w:rPr>
                <w:rFonts w:ascii="Arial" w:eastAsiaTheme="minorHAnsi" w:hAnsi="Arial" w:cs="Arial"/>
                <w:sz w:val="18"/>
                <w:szCs w:val="18"/>
              </w:rPr>
              <w:t>.</w:t>
            </w:r>
            <w:r w:rsidRPr="00501F19">
              <w:rPr>
                <w:rFonts w:ascii="Arial" w:eastAsiaTheme="minorHAnsi" w:hAnsi="Arial" w:cs="Arial"/>
                <w:sz w:val="18"/>
                <w:szCs w:val="18"/>
              </w:rPr>
              <w:t>53</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120667BB" w14:textId="44B46C14"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61</w:t>
            </w:r>
            <w:r w:rsidR="00532073" w:rsidRPr="00E90C41">
              <w:rPr>
                <w:rFonts w:ascii="Arial" w:eastAsiaTheme="minorHAnsi" w:hAnsi="Arial" w:cs="Arial"/>
                <w:sz w:val="18"/>
                <w:szCs w:val="18"/>
              </w:rPr>
              <w:t>.</w:t>
            </w:r>
            <w:r w:rsidRPr="00501F19">
              <w:rPr>
                <w:rFonts w:ascii="Arial" w:eastAsiaTheme="minorHAnsi" w:hAnsi="Arial" w:cs="Arial"/>
                <w:sz w:val="18"/>
                <w:szCs w:val="18"/>
              </w:rPr>
              <w:t>53</w:t>
            </w:r>
          </w:p>
        </w:tc>
        <w:tc>
          <w:tcPr>
            <w:tcW w:w="658" w:type="dxa"/>
            <w:tcBorders>
              <w:top w:val="single" w:sz="4" w:space="0" w:color="auto"/>
            </w:tcBorders>
          </w:tcPr>
          <w:p w14:paraId="1AC63DE3" w14:textId="016DD581"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4240F5D9" w14:textId="580AF909"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7</w:t>
            </w:r>
            <w:r w:rsidR="00532073" w:rsidRPr="00E90C41">
              <w:rPr>
                <w:rFonts w:ascii="Arial" w:eastAsiaTheme="minorHAnsi" w:hAnsi="Arial" w:cs="Arial"/>
                <w:sz w:val="18"/>
                <w:szCs w:val="18"/>
              </w:rPr>
              <w:t>.</w:t>
            </w:r>
            <w:r w:rsidRPr="00501F19">
              <w:rPr>
                <w:rFonts w:ascii="Arial" w:eastAsiaTheme="minorHAnsi" w:hAnsi="Arial" w:cs="Arial"/>
                <w:sz w:val="18"/>
                <w:szCs w:val="18"/>
              </w:rPr>
              <w:t>69</w:t>
            </w:r>
          </w:p>
        </w:tc>
        <w:tc>
          <w:tcPr>
            <w:tcW w:w="658" w:type="dxa"/>
            <w:tcBorders>
              <w:top w:val="single" w:sz="4" w:space="0" w:color="auto"/>
            </w:tcBorders>
          </w:tcPr>
          <w:p w14:paraId="51244B24" w14:textId="0DD079BE"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7</w:t>
            </w:r>
            <w:r w:rsidR="00532073" w:rsidRPr="00E90C41">
              <w:rPr>
                <w:rFonts w:ascii="Arial" w:eastAsiaTheme="minorHAnsi" w:hAnsi="Arial" w:cs="Arial"/>
                <w:sz w:val="18"/>
                <w:szCs w:val="18"/>
              </w:rPr>
              <w:t>.</w:t>
            </w:r>
            <w:r w:rsidRPr="00501F19">
              <w:rPr>
                <w:rFonts w:ascii="Arial" w:eastAsiaTheme="minorHAnsi" w:hAnsi="Arial" w:cs="Arial"/>
                <w:sz w:val="18"/>
                <w:szCs w:val="18"/>
              </w:rPr>
              <w:t>69</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78637E97" w14:textId="77777777" w:rsidR="00501F19" w:rsidRPr="00501F19" w:rsidRDefault="00501F19" w:rsidP="00E90C41">
            <w:pPr>
              <w:spacing w:before="2" w:after="2"/>
              <w:rPr>
                <w:rFonts w:ascii="Arial" w:eastAsiaTheme="minorHAnsi" w:hAnsi="Arial" w:cs="Arial"/>
                <w:sz w:val="18"/>
                <w:szCs w:val="18"/>
              </w:rPr>
            </w:pPr>
          </w:p>
        </w:tc>
        <w:tc>
          <w:tcPr>
            <w:tcW w:w="658" w:type="dxa"/>
            <w:tcBorders>
              <w:top w:val="single" w:sz="4" w:space="0" w:color="auto"/>
            </w:tcBorders>
          </w:tcPr>
          <w:p w14:paraId="1BFC50E2" w14:textId="77777777"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39B7A27A" w14:textId="77777777" w:rsidR="00501F19" w:rsidRPr="00501F19" w:rsidRDefault="00501F19" w:rsidP="00E90C41">
            <w:pPr>
              <w:spacing w:before="2" w:after="2"/>
              <w:rPr>
                <w:rFonts w:ascii="Arial" w:eastAsiaTheme="minorHAnsi" w:hAnsi="Arial" w:cs="Arial"/>
                <w:sz w:val="18"/>
                <w:szCs w:val="18"/>
              </w:rPr>
            </w:pPr>
          </w:p>
        </w:tc>
        <w:tc>
          <w:tcPr>
            <w:tcW w:w="658" w:type="dxa"/>
            <w:tcBorders>
              <w:top w:val="single" w:sz="4" w:space="0" w:color="auto"/>
            </w:tcBorders>
          </w:tcPr>
          <w:p w14:paraId="54E0FAE2" w14:textId="77777777"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r>
      <w:tr w:rsidR="00532073" w:rsidRPr="00E90C41" w14:paraId="0C48C09E" w14:textId="77777777" w:rsidTr="00E90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Borders>
              <w:bottom w:val="single" w:sz="4" w:space="0" w:color="auto"/>
            </w:tcBorders>
          </w:tcPr>
          <w:p w14:paraId="318EC5ED" w14:textId="77777777"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 xml:space="preserve">Staphylococcus </w:t>
            </w:r>
            <w:proofErr w:type="spellStart"/>
            <w:r w:rsidRPr="00501F19">
              <w:rPr>
                <w:rFonts w:ascii="Arial" w:eastAsiaTheme="minorHAnsi" w:hAnsi="Arial" w:cs="Arial"/>
                <w:b w:val="0"/>
                <w:sz w:val="18"/>
                <w:szCs w:val="18"/>
              </w:rPr>
              <w:t>haemolyticus</w:t>
            </w:r>
            <w:proofErr w:type="spellEnd"/>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4D4BDCF4"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40</w:t>
            </w:r>
          </w:p>
        </w:tc>
        <w:tc>
          <w:tcPr>
            <w:tcW w:w="658" w:type="dxa"/>
            <w:tcBorders>
              <w:bottom w:val="single" w:sz="4" w:space="0" w:color="auto"/>
            </w:tcBorders>
          </w:tcPr>
          <w:p w14:paraId="72685DE5"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60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28E7118E"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80</w:t>
            </w:r>
          </w:p>
        </w:tc>
        <w:tc>
          <w:tcPr>
            <w:tcW w:w="658" w:type="dxa"/>
            <w:tcBorders>
              <w:bottom w:val="single" w:sz="4" w:space="0" w:color="auto"/>
            </w:tcBorders>
          </w:tcPr>
          <w:p w14:paraId="439935B3"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20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67ADE7F2"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20</w:t>
            </w:r>
          </w:p>
        </w:tc>
        <w:tc>
          <w:tcPr>
            <w:tcW w:w="658" w:type="dxa"/>
            <w:tcBorders>
              <w:bottom w:val="single" w:sz="4" w:space="0" w:color="auto"/>
            </w:tcBorders>
          </w:tcPr>
          <w:p w14:paraId="15A8198A"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20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6CE888D0"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 </w:t>
            </w:r>
          </w:p>
        </w:tc>
        <w:tc>
          <w:tcPr>
            <w:tcW w:w="658" w:type="dxa"/>
            <w:tcBorders>
              <w:bottom w:val="single" w:sz="4" w:space="0" w:color="auto"/>
            </w:tcBorders>
          </w:tcPr>
          <w:p w14:paraId="2FD590EB"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2F255CDE"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 </w:t>
            </w:r>
          </w:p>
        </w:tc>
        <w:tc>
          <w:tcPr>
            <w:tcW w:w="658" w:type="dxa"/>
            <w:tcBorders>
              <w:bottom w:val="single" w:sz="4" w:space="0" w:color="auto"/>
            </w:tcBorders>
          </w:tcPr>
          <w:p w14:paraId="47686DCA"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 </w:t>
            </w:r>
          </w:p>
        </w:tc>
      </w:tr>
      <w:tr w:rsidR="00501F19" w:rsidRPr="00501F19" w14:paraId="79449A61" w14:textId="77777777" w:rsidTr="00E90C41">
        <w:tc>
          <w:tcPr>
            <w:cnfStyle w:val="001000000000" w:firstRow="0" w:lastRow="0" w:firstColumn="1" w:lastColumn="0" w:oddVBand="0" w:evenVBand="0" w:oddHBand="0" w:evenHBand="0" w:firstRowFirstColumn="0" w:firstRowLastColumn="0" w:lastRowFirstColumn="0" w:lastRowLastColumn="0"/>
            <w:tcW w:w="8316" w:type="dxa"/>
            <w:gridSpan w:val="11"/>
            <w:tcBorders>
              <w:top w:val="single" w:sz="4" w:space="0" w:color="auto"/>
              <w:bottom w:val="single" w:sz="4" w:space="0" w:color="auto"/>
            </w:tcBorders>
          </w:tcPr>
          <w:p w14:paraId="5E1225E5" w14:textId="77777777" w:rsidR="00501F19" w:rsidRPr="00501F19" w:rsidRDefault="00501F19" w:rsidP="00E90C41">
            <w:pPr>
              <w:spacing w:before="2" w:after="2"/>
              <w:jc w:val="both"/>
              <w:rPr>
                <w:rFonts w:ascii="Arial" w:eastAsiaTheme="minorHAnsi" w:hAnsi="Arial" w:cs="Arial"/>
                <w:b w:val="0"/>
                <w:sz w:val="18"/>
                <w:szCs w:val="18"/>
              </w:rPr>
            </w:pPr>
            <w:r w:rsidRPr="00501F19">
              <w:rPr>
                <w:rFonts w:ascii="Arial" w:eastAsiaTheme="minorHAnsi" w:hAnsi="Arial" w:cs="Arial"/>
                <w:b w:val="0"/>
                <w:sz w:val="18"/>
                <w:szCs w:val="18"/>
              </w:rPr>
              <w:t xml:space="preserve">AM, Amikacin; AC, </w:t>
            </w:r>
            <w:proofErr w:type="spellStart"/>
            <w:r w:rsidRPr="00501F19">
              <w:rPr>
                <w:rFonts w:ascii="Arial" w:eastAsiaTheme="minorHAnsi" w:hAnsi="Arial" w:cs="Arial"/>
                <w:b w:val="0"/>
                <w:sz w:val="18"/>
                <w:szCs w:val="18"/>
              </w:rPr>
              <w:t>Amoxicilin</w:t>
            </w:r>
            <w:proofErr w:type="spellEnd"/>
            <w:r w:rsidRPr="00501F19">
              <w:rPr>
                <w:rFonts w:ascii="Arial" w:eastAsiaTheme="minorHAnsi" w:hAnsi="Arial" w:cs="Arial"/>
                <w:b w:val="0"/>
                <w:sz w:val="18"/>
                <w:szCs w:val="18"/>
              </w:rPr>
              <w:t xml:space="preserve"> </w:t>
            </w:r>
            <w:proofErr w:type="spellStart"/>
            <w:r w:rsidRPr="00501F19">
              <w:rPr>
                <w:rFonts w:ascii="Arial" w:eastAsiaTheme="minorHAnsi" w:hAnsi="Arial" w:cs="Arial"/>
                <w:b w:val="0"/>
                <w:sz w:val="18"/>
                <w:szCs w:val="18"/>
              </w:rPr>
              <w:t>clavulanamat</w:t>
            </w:r>
            <w:proofErr w:type="spellEnd"/>
            <w:r w:rsidRPr="00501F19">
              <w:rPr>
                <w:rFonts w:ascii="Arial" w:eastAsiaTheme="minorHAnsi" w:hAnsi="Arial" w:cs="Arial"/>
                <w:b w:val="0"/>
                <w:sz w:val="18"/>
                <w:szCs w:val="18"/>
              </w:rPr>
              <w:t xml:space="preserve">; AS, </w:t>
            </w:r>
            <w:proofErr w:type="spellStart"/>
            <w:r w:rsidRPr="00501F19">
              <w:rPr>
                <w:rFonts w:ascii="Arial" w:eastAsiaTheme="minorHAnsi" w:hAnsi="Arial" w:cs="Arial"/>
                <w:b w:val="0"/>
                <w:sz w:val="18"/>
                <w:szCs w:val="18"/>
              </w:rPr>
              <w:t>Ampicilin</w:t>
            </w:r>
            <w:proofErr w:type="spellEnd"/>
            <w:r w:rsidRPr="00501F19">
              <w:rPr>
                <w:rFonts w:ascii="Arial" w:eastAsiaTheme="minorHAnsi" w:hAnsi="Arial" w:cs="Arial"/>
                <w:b w:val="0"/>
                <w:sz w:val="18"/>
                <w:szCs w:val="18"/>
              </w:rPr>
              <w:t xml:space="preserve"> sulbactam; CD, Cefadroxil; CZ, Cefazolin; CP, Cefepime; CX, Cefixime; CR, </w:t>
            </w:r>
            <w:proofErr w:type="spellStart"/>
            <w:r w:rsidRPr="00501F19">
              <w:rPr>
                <w:rFonts w:ascii="Arial" w:eastAsiaTheme="minorHAnsi" w:hAnsi="Arial" w:cs="Arial"/>
                <w:b w:val="0"/>
                <w:sz w:val="18"/>
                <w:szCs w:val="18"/>
              </w:rPr>
              <w:t>Cefoperazone</w:t>
            </w:r>
            <w:proofErr w:type="spellEnd"/>
            <w:r w:rsidRPr="00501F19">
              <w:rPr>
                <w:rFonts w:ascii="Arial" w:eastAsiaTheme="minorHAnsi" w:hAnsi="Arial" w:cs="Arial"/>
                <w:b w:val="0"/>
                <w:sz w:val="18"/>
                <w:szCs w:val="18"/>
              </w:rPr>
              <w:t xml:space="preserve">; CT, Cefotaxime; CI Cefoxitin; CF, Ceftazidime; CE, Ceftriaxone; CU, Cefuroxime; CH, Chloramphenico; CA, Ciprofloxacin; CO, Cotrimoxazole; ER, </w:t>
            </w:r>
            <w:proofErr w:type="spellStart"/>
            <w:r w:rsidRPr="00501F19">
              <w:rPr>
                <w:rFonts w:ascii="Arial" w:eastAsiaTheme="minorHAnsi" w:hAnsi="Arial" w:cs="Arial"/>
                <w:b w:val="0"/>
                <w:sz w:val="18"/>
                <w:szCs w:val="18"/>
              </w:rPr>
              <w:t>Erithromycine</w:t>
            </w:r>
            <w:proofErr w:type="spellEnd"/>
            <w:r w:rsidRPr="00501F19">
              <w:rPr>
                <w:rFonts w:ascii="Arial" w:eastAsiaTheme="minorHAnsi" w:hAnsi="Arial" w:cs="Arial"/>
                <w:b w:val="0"/>
                <w:sz w:val="18"/>
                <w:szCs w:val="18"/>
              </w:rPr>
              <w:t xml:space="preserve">; GE, Gentamycin; IM, Imipenem; LE, Levofloxacin; LI, Linezolid; ME, Meropenem; NE, </w:t>
            </w:r>
            <w:proofErr w:type="spellStart"/>
            <w:r w:rsidRPr="00501F19">
              <w:rPr>
                <w:rFonts w:ascii="Arial" w:eastAsiaTheme="minorHAnsi" w:hAnsi="Arial" w:cs="Arial"/>
                <w:b w:val="0"/>
                <w:sz w:val="18"/>
                <w:szCs w:val="18"/>
              </w:rPr>
              <w:t>Netilmicine</w:t>
            </w:r>
            <w:proofErr w:type="spellEnd"/>
            <w:r w:rsidRPr="00501F19">
              <w:rPr>
                <w:rFonts w:ascii="Arial" w:eastAsiaTheme="minorHAnsi" w:hAnsi="Arial" w:cs="Arial"/>
                <w:b w:val="0"/>
                <w:sz w:val="18"/>
                <w:szCs w:val="18"/>
              </w:rPr>
              <w:t xml:space="preserve">; PT, Piperacillin Tazobactam; TI, </w:t>
            </w:r>
            <w:proofErr w:type="spellStart"/>
            <w:r w:rsidRPr="00501F19">
              <w:rPr>
                <w:rFonts w:ascii="Arial" w:eastAsiaTheme="minorHAnsi" w:hAnsi="Arial" w:cs="Arial"/>
                <w:b w:val="0"/>
                <w:sz w:val="18"/>
                <w:szCs w:val="18"/>
              </w:rPr>
              <w:t>Tigecyclin</w:t>
            </w:r>
            <w:proofErr w:type="spellEnd"/>
            <w:r w:rsidRPr="00501F19">
              <w:rPr>
                <w:rFonts w:ascii="Arial" w:eastAsiaTheme="minorHAnsi" w:hAnsi="Arial" w:cs="Arial"/>
                <w:b w:val="0"/>
                <w:sz w:val="18"/>
                <w:szCs w:val="18"/>
              </w:rPr>
              <w:t>; VA, Vancomycin</w:t>
            </w:r>
          </w:p>
        </w:tc>
      </w:tr>
    </w:tbl>
    <w:p w14:paraId="7239121C" w14:textId="667C20A7" w:rsidR="00DC6AF7" w:rsidRDefault="00DC6AF7" w:rsidP="00D2120B">
      <w:pPr>
        <w:pStyle w:val="Body"/>
        <w:spacing w:after="0"/>
        <w:rPr>
          <w:rFonts w:ascii="Arial" w:hAnsi="Arial" w:cs="Arial"/>
        </w:rPr>
      </w:pPr>
    </w:p>
    <w:p w14:paraId="0AAE2B99" w14:textId="77777777" w:rsidR="008D4544" w:rsidRPr="008D4544" w:rsidRDefault="008D4544" w:rsidP="008D4544">
      <w:pPr>
        <w:pStyle w:val="Body"/>
        <w:spacing w:after="0"/>
        <w:rPr>
          <w:rFonts w:ascii="Arial" w:hAnsi="Arial" w:cs="Arial"/>
          <w:b/>
          <w:bCs/>
        </w:rPr>
      </w:pPr>
      <w:r w:rsidRPr="008D4544">
        <w:rPr>
          <w:rFonts w:ascii="Arial" w:hAnsi="Arial" w:cs="Arial"/>
          <w:b/>
          <w:bCs/>
        </w:rPr>
        <w:t>Discussion</w:t>
      </w:r>
    </w:p>
    <w:p w14:paraId="509510B1" w14:textId="0A9BADB8" w:rsidR="00B95863" w:rsidRPr="00B95863" w:rsidRDefault="00B95863" w:rsidP="00B95863">
      <w:pPr>
        <w:pStyle w:val="Body"/>
        <w:rPr>
          <w:rFonts w:ascii="Arial" w:hAnsi="Arial" w:cs="Arial"/>
          <w:highlight w:val="yellow"/>
          <w:lang w:val="en"/>
        </w:rPr>
      </w:pPr>
      <w:r w:rsidRPr="00B95863">
        <w:rPr>
          <w:rFonts w:ascii="Arial" w:hAnsi="Arial" w:cs="Arial"/>
          <w:highlight w:val="yellow"/>
          <w:lang w:val="en"/>
        </w:rPr>
        <w:t xml:space="preserve">This study identified the prevalence and resistance patterns of bacteria that cause CAUTI in catheterized patients at Hasan </w:t>
      </w:r>
      <w:proofErr w:type="spellStart"/>
      <w:r w:rsidRPr="00B95863">
        <w:rPr>
          <w:rFonts w:ascii="Arial" w:hAnsi="Arial" w:cs="Arial"/>
          <w:highlight w:val="yellow"/>
          <w:lang w:val="en"/>
        </w:rPr>
        <w:t>Sadikin</w:t>
      </w:r>
      <w:proofErr w:type="spellEnd"/>
      <w:r w:rsidRPr="00B95863">
        <w:rPr>
          <w:rFonts w:ascii="Arial" w:hAnsi="Arial" w:cs="Arial"/>
          <w:highlight w:val="yellow"/>
          <w:lang w:val="en"/>
        </w:rPr>
        <w:t xml:space="preserve"> Hospital, Bandung. The high incidence in male patients and in the fifth decade age group indicates that age and gender factors may play a role in susceptibility to this nosocomial infection (Saint et al., 2000).</w:t>
      </w:r>
      <w:r w:rsidRPr="00262CD6">
        <w:rPr>
          <w:rFonts w:ascii="Arial" w:hAnsi="Arial" w:cs="Arial"/>
          <w:highlight w:val="yellow"/>
          <w:lang w:val="en"/>
        </w:rPr>
        <w:t xml:space="preserve"> </w:t>
      </w:r>
      <w:r w:rsidRPr="00B95863">
        <w:rPr>
          <w:rFonts w:ascii="Arial" w:hAnsi="Arial" w:cs="Arial"/>
          <w:highlight w:val="yellow"/>
          <w:lang w:val="en"/>
        </w:rPr>
        <w:t>Escherichia coli as the most dominant bacteria</w:t>
      </w:r>
      <w:r w:rsidRPr="00262CD6">
        <w:rPr>
          <w:rFonts w:ascii="Arial" w:hAnsi="Arial" w:cs="Arial"/>
          <w:highlight w:val="yellow"/>
          <w:lang w:val="en"/>
        </w:rPr>
        <w:t>,</w:t>
      </w:r>
      <w:r w:rsidRPr="00B95863">
        <w:rPr>
          <w:rFonts w:ascii="Arial" w:hAnsi="Arial" w:cs="Arial"/>
          <w:highlight w:val="yellow"/>
          <w:lang w:val="en"/>
        </w:rPr>
        <w:t xml:space="preserve"> is consistent with global literature reports, where E. coli is the main pathogen in urinary tract infections, including those associated with catheterization (Flores-Mireles et al., 2015).</w:t>
      </w:r>
    </w:p>
    <w:p w14:paraId="66665D2A" w14:textId="712C3F14" w:rsidR="00E053D0" w:rsidRPr="00171078" w:rsidRDefault="00B95863" w:rsidP="00171078">
      <w:pPr>
        <w:pStyle w:val="Body"/>
        <w:rPr>
          <w:rFonts w:ascii="Arial" w:hAnsi="Arial" w:cs="Arial"/>
          <w:lang w:val="en"/>
        </w:rPr>
      </w:pPr>
      <w:r w:rsidRPr="00B95863">
        <w:rPr>
          <w:rFonts w:ascii="Arial" w:hAnsi="Arial" w:cs="Arial"/>
          <w:highlight w:val="yellow"/>
          <w:lang w:val="en"/>
        </w:rPr>
        <w:lastRenderedPageBreak/>
        <w:t xml:space="preserve">The results of antibiotic resistance indicate challenges in the management of this infection. Netilmicin still showed relatively good effectiveness against bacterial isolates, but its sensitivity rate (50%) indicated that the selection of empirical therapy needs to be done carefully. In contrast, the high resistance to </w:t>
      </w:r>
      <w:proofErr w:type="spellStart"/>
      <w:r w:rsidRPr="00B95863">
        <w:rPr>
          <w:rFonts w:ascii="Arial" w:hAnsi="Arial" w:cs="Arial"/>
          <w:highlight w:val="yellow"/>
          <w:lang w:val="en"/>
        </w:rPr>
        <w:t>Cefoperazone</w:t>
      </w:r>
      <w:proofErr w:type="spellEnd"/>
      <w:r w:rsidRPr="00B95863">
        <w:rPr>
          <w:rFonts w:ascii="Arial" w:hAnsi="Arial" w:cs="Arial"/>
          <w:highlight w:val="yellow"/>
          <w:lang w:val="en"/>
        </w:rPr>
        <w:t xml:space="preserve"> (100%) made it clear that this antibiotic is not recommended for the treatment of CAUTI in this study setting, in line with the global trend of resistance to third-generation cephalosporins (Magill et al., 2018).</w:t>
      </w:r>
      <w:r w:rsidRPr="00262CD6">
        <w:rPr>
          <w:rFonts w:ascii="Arial" w:hAnsi="Arial" w:cs="Arial"/>
          <w:highlight w:val="yellow"/>
          <w:lang w:val="en"/>
        </w:rPr>
        <w:t xml:space="preserve"> </w:t>
      </w:r>
      <w:r w:rsidRPr="00B95863">
        <w:rPr>
          <w:rFonts w:ascii="Arial" w:hAnsi="Arial" w:cs="Arial"/>
          <w:highlight w:val="yellow"/>
          <w:lang w:val="en"/>
        </w:rPr>
        <w:t>In addition, it was found that patients with blood glucose levels above normal values ​​experienced more infections, supporting the evidence that hyperglycemia is a risk factor for medical device-associated infections, including CAUTI (Turina et al., 2006). These findings emphasize the importance of optimal glycemic control in hospitalized patients to reduce the risk of nosocomial infections.</w:t>
      </w:r>
      <w:r w:rsidRPr="00262CD6">
        <w:rPr>
          <w:rFonts w:ascii="Arial" w:hAnsi="Arial" w:cs="Arial"/>
          <w:highlight w:val="yellow"/>
          <w:lang w:val="en"/>
        </w:rPr>
        <w:t xml:space="preserve"> </w:t>
      </w:r>
      <w:r w:rsidR="008D4544" w:rsidRPr="00262CD6">
        <w:rPr>
          <w:rFonts w:ascii="Arial" w:hAnsi="Arial" w:cs="Arial"/>
          <w:highlight w:val="yellow"/>
        </w:rPr>
        <w:t>The patients who participated in this study were all men, perhaps because the sample was more often found in the emergency unit, where patients who were indicated for catheterization were generally elderly men with symptoms of difficulty or inability to urinate. From table 2, it was found that in the high blood sugar group, more urinary tract infections were found due to catheters. In theory, it is known that hyperglycemia is associated with decreased immune system activity, making someone more susceptible to infection, this may also occur in urinary tract infections due to catheters</w:t>
      </w:r>
      <w:r w:rsidR="003E0F66" w:rsidRPr="00262CD6">
        <w:rPr>
          <w:rFonts w:ascii="Arial" w:hAnsi="Arial" w:cs="Arial"/>
          <w:highlight w:val="yellow"/>
        </w:rPr>
        <w:fldChar w:fldCharType="begin" w:fldLock="1"/>
      </w:r>
      <w:r w:rsidR="003E0F66" w:rsidRPr="00262CD6">
        <w:rPr>
          <w:rFonts w:ascii="Arial" w:hAnsi="Arial" w:cs="Arial"/>
          <w:highlight w:val="yellow"/>
        </w:rPr>
        <w:instrText>ADDIN CSL_CITATION {"citationItems":[{"id":"ITEM-1","itemData":{"author":[{"dropping-particle":"","family":"Kuy","given":"SreyRam","non-dropping-particle":"","parse-names":false,"suffix":""},{"dropping-particle":"","family":"Gupta","given":"Rohit","non-dropping-particle":"","parse-names":false,"suffix":""},{"dropping-particle":"","family":"Roy","given":"Cayla","non-dropping-particle":"","parse-names":false,"suffix":""},{"dropping-particle":"","family":"Awad","given":"Samir","non-dropping-particle":"","parse-names":false,"suffix":""}],"container-title":"JAMA surgery","id":"ITEM-1","issue":"7","issued":{"date-parts":[["2020","4","21"]]},"page":"661-662","title":"Incidence of catheter-associated urinary tract infections with compliance with preventive guidelines","type":"article-journal","volume":"155"},"uris":["http://www.mendeley.com/documents/?uuid=ef47cd2a-790c-4e18-a5ea-2d24421ec478"]},{"id":"ITEM-2","itemData":{"author":[{"dropping-particle":"","family":"Saint","given":"Sanjay","non-dropping-particle":"","parse-names":false,"suffix":""}],"container-title":"American journal of infection control","id":"ITEM-2","issue":"1","issued":{"date-parts":[["2000","4","21"]]},"page":"68-75","title":"Clinical and economic consequences of nosocomial catheter-related bacteriuria","type":"article-journal","volume":"28"},"uris":["http://www.mendeley.com/documents/?uuid=2aadc582-3920-4424-98fd-c1ed932507d4"]},{"id":"ITEM-3","itemData":{"DOI":"10.1056/NEJMoa1504906","ISSN":"0028-4793, 1533-4406","author":[{"dropping-particle":"","family":"Saint","given":"Sanjay","non-dropping-particle":"","parse-names":false,"suffix":""},{"dropping-particle":"","family":"Greene","given":"M Todd","non-dropping-particle":"","parse-names":false,"suffix":""},{"dropping-particle":"","family":"Krein","given":"Sarah L","non-dropping-particle":"","parse-names":false,"suffix":""},{"dropping-particle":"","family":"Rogers","given":"Mary A M","non-dropping-particle":"","parse-names":false,"suffix":""},{"dropping-particle":"","family":"Ratz","given":"David","non-dropping-particle":"","parse-names":false,"suffix":""},{"dropping-particle":"","family":"Fowler","given":"Karen E","non-dropping-particle":"","parse-names":false,"suffix":""},{"dropping-particle":"","family":"Edson","given":"Barbara S","non-dropping-particle":"","parse-names":false,"suffix":""},{"dropping-particle":"","family":"Watson","given":"Sam R","non-dropping-particle":"","parse-names":false,"suffix":""},{"dropping-particle":"","family":"Meyer-Lucas","given":"Barbara","non-dropping-particle":"","parse-names":false,"suffix":""},{"dropping-particle":"","family":"Masuga","given":"Marie","non-dropping-particle":"","parse-names":false,"suffix":""},{"dropping-particle":"","family":"Faulkner","given":"Kelly","non-dropping-particle":"","parse-names":false,"suffix":""},{"dropping-particle":"V","family":"Gould","given":"Carolyn","non-dropping-particle":"","parse-names":false,"suffix":""},{"dropping-particle":"","family":"Battles","given":"James","non-dropping-particle":"","parse-names":false,"suffix":""},{"dropping-particle":"","family":"Fakih","given":"Mohamad G","non-dropping-particle":"","parse-names":false,"suffix":""}],"container-title":"New England Journal of Medicine","id":"ITEM-3","issue":"22","issued":{"date-parts":[["2016","4","21"]]},"language":"en","page":"2111-2119","title":"A Program to Prevent Catheter-Associated Urinary Tract Infection in Acute Care","type":"article-journal","volume":"374"},"uris":["http://www.mendeley.com/documents/?uuid=d3112892-0a40-49b4-a5fa-4d22cd3f1ae6"]}],"mendeley":{"formattedCitation":"(Kuy et al. 2020; Saint 2000; Saint et al. 2016)","plainTextFormattedCitation":"(Kuy et al. 2020; Saint 2000; Saint et al. 2016)","previouslyFormattedCitation":"(Kuy et al. 2020; Saint 2000; Saint et al. 2016)"},"properties":{"noteIndex":0},"schema":"https://github.com/citation-style-language/schema/raw/master/csl-citation.json"}</w:instrText>
      </w:r>
      <w:r w:rsidR="003E0F66" w:rsidRPr="00262CD6">
        <w:rPr>
          <w:rFonts w:ascii="Arial" w:hAnsi="Arial" w:cs="Arial"/>
          <w:highlight w:val="yellow"/>
        </w:rPr>
        <w:fldChar w:fldCharType="separate"/>
      </w:r>
      <w:r w:rsidR="003E0F66" w:rsidRPr="00262CD6">
        <w:rPr>
          <w:rFonts w:ascii="Arial" w:hAnsi="Arial" w:cs="Arial"/>
          <w:noProof/>
          <w:highlight w:val="yellow"/>
        </w:rPr>
        <w:t>(Kuy et al. 2020; Saint 2000; Saint et al. 2016)</w:t>
      </w:r>
      <w:r w:rsidR="003E0F66" w:rsidRPr="00262CD6">
        <w:rPr>
          <w:rFonts w:ascii="Arial" w:hAnsi="Arial" w:cs="Arial"/>
          <w:highlight w:val="yellow"/>
        </w:rPr>
        <w:fldChar w:fldCharType="end"/>
      </w:r>
      <w:r w:rsidR="008D4544" w:rsidRPr="00262CD6">
        <w:rPr>
          <w:rFonts w:ascii="Arial" w:hAnsi="Arial" w:cs="Arial"/>
          <w:highlight w:val="yellow"/>
        </w:rPr>
        <w:t>. Increased serum creatinine levels, which are one indicator of kidney damage, can occur due to the use of urinary catheters to urinary tract infections. Table 3 shows that the difference between serum creatinine levels and the presence of germs in urine cultures was not significant. This may be because this study was conducted using only a catheter for one week, so that the germs that developed were still located in the bladder and had not reached the kidneys</w:t>
      </w:r>
      <w:r w:rsidR="003E0F66" w:rsidRPr="00262CD6">
        <w:rPr>
          <w:rFonts w:ascii="Arial" w:hAnsi="Arial" w:cs="Arial"/>
          <w:highlight w:val="yellow"/>
        </w:rPr>
        <w:t xml:space="preserve"> </w:t>
      </w:r>
      <w:r w:rsidR="003E0F66" w:rsidRPr="00262CD6">
        <w:rPr>
          <w:rFonts w:ascii="Arial" w:hAnsi="Arial" w:cs="Arial"/>
          <w:highlight w:val="yellow"/>
        </w:rPr>
        <w:fldChar w:fldCharType="begin" w:fldLock="1"/>
      </w:r>
      <w:r w:rsidR="00CD567F" w:rsidRPr="00262CD6">
        <w:rPr>
          <w:rFonts w:ascii="Arial" w:hAnsi="Arial" w:cs="Arial"/>
          <w:highlight w:val="yellow"/>
        </w:rPr>
        <w:instrText>ADDIN CSL_CITATION {"citationItems":[{"id":"ITEM-1","itemData":{"DOI":"10.1186/s12879-024-10159-9","ISSN":"1471-2334","author":[{"dropping-particle":"","family":"Hosseininasab","given":"Ali","non-dropping-particle":"","parse-names":false,"suffix":""},{"dropping-particle":"","family":"Barshan","given":"Forouzan","non-dropping-particle":"","parse-names":false,"suffix":""},{"dropping-particle":"","family":"Farsiu","given":"Niloofar","non-dropping-particle":"","parse-names":false,"suffix":""},{"dropping-particle":"","family":"Nakhaie","given":"Mohsen","non-dropping-particle":"","parse-names":false,"suffix":""},{"dropping-particle":"","family":"Soltani","given":"Jafar","non-dropping-particle":"","parse-names":false,"suffix":""},{"dropping-particle":"","family":"Versporten","given":"Ann","non-dropping-particle":"","parse-names":false,"suffix":""},{"dropping-particle":"","family":"Goossens","given":"Herman","non-dropping-particle":"","parse-names":false,"suffix":""},{"dropping-particle":"","family":"Pauwels","given":"Ines","non-dropping-particle":"","parse-names":false,"suffix":""},{"dropping-particle":"","family":"Esfandiarpour","given":"Abolfazl","non-dropping-particle":"","parse-names":false,"suffix":""}],"container-title":"BMC Infectious Diseases","id":"ITEM-1","issue":"1","issued":{"date-parts":[["2024","4","21"]]},"language":"en","page":"1300","title":"A longitudinal point prevalence survey of antimicrobial use and resistance in tertiary care hospitals in Kerman: results from the national Iranian multicenter point prevalence survey of antimicrobials in 2021","type":"article-journal","volume":"24"},"uris":["http://www.mendeley.com/documents/?uuid=99e256ae-e5f4-4a93-85a8-6fd174372ecb"]},{"id":"ITEM-2","itemData":{"author":[{"dropping-particle":"","family":"Kranz","given":"Jennifer","non-dropping-particle":"","parse-names":false,"suffix":""},{"dropping-particle":"","family":"Schmidt","given":"Stefanie","non-dropping-particle":"","parse-names":false,"suffix":""},{"dropping-particle":"","family":"Wagenlehner","given":"Florian","non-dropping-particle":"","parse-names":false,"suffix":""},{"dropping-particle":"","family":"Schneidewind","given":"Laila","non-dropping-particle":"","parse-names":false,"suffix":""}],"container-title":"Deutsches Ärzteblatt International","id":"ITEM-2","issue":"6","issued":{"date-parts":[["2020","4","21"]]},"page":"83","title":"Catheter-associated urinary tract infections in adult patients: Preventive strategies and treatment options","type":"article-journal","volume":"117"},"uris":["http://www.mendeley.com/documents/?uuid=cecbea30-f9c8-42a6-a32b-305b7bf704e4"]},{"id":"ITEM-3","itemData":{"author":[{"dropping-particle":"","family":"Assadi","given":"Farahnak","non-dropping-particle":"","parse-names":false,"suffix":""}],"id":"ITEM-3","issued":{"date-parts":[["2018","4","21"]]},"publisher":"Medknow","title":"Strategies for preventing catheter-associated urinary tract infections","type":"article"},"uris":["http://www.mendeley.com/documents/?uuid=3d88b92c-cedf-4bbe-ad71-c89d9eae5aa5"]}],"mendeley":{"formattedCitation":"(Assadi 2018; Hosseininasab et al. 2024; Kranz et al. 2020)","plainTextFormattedCitation":"(Assadi 2018; Hosseininasab et al. 2024; Kranz et al. 2020)","previouslyFormattedCitation":"(Assadi 2018; Hosseininasab et al. 2024; Kranz et al. 2020)"},"properties":{"noteIndex":0},"schema":"https://github.com/citation-style-language/schema/raw/master/csl-citation.json"}</w:instrText>
      </w:r>
      <w:r w:rsidR="003E0F66" w:rsidRPr="00262CD6">
        <w:rPr>
          <w:rFonts w:ascii="Arial" w:hAnsi="Arial" w:cs="Arial"/>
          <w:highlight w:val="yellow"/>
        </w:rPr>
        <w:fldChar w:fldCharType="separate"/>
      </w:r>
      <w:r w:rsidR="003E0F66" w:rsidRPr="00262CD6">
        <w:rPr>
          <w:rFonts w:ascii="Arial" w:hAnsi="Arial" w:cs="Arial"/>
          <w:noProof/>
          <w:highlight w:val="yellow"/>
        </w:rPr>
        <w:t>(Assadi 2018; Hosseininasab et al. 2024; Kranz et al. 2020)</w:t>
      </w:r>
      <w:r w:rsidR="003E0F66" w:rsidRPr="00262CD6">
        <w:rPr>
          <w:rFonts w:ascii="Arial" w:hAnsi="Arial" w:cs="Arial"/>
          <w:highlight w:val="yellow"/>
        </w:rPr>
        <w:fldChar w:fldCharType="end"/>
      </w:r>
      <w:r w:rsidR="008D4544" w:rsidRPr="00262CD6">
        <w:rPr>
          <w:rFonts w:ascii="Arial" w:hAnsi="Arial" w:cs="Arial"/>
          <w:highlight w:val="yellow"/>
        </w:rPr>
        <w:t>. Hypoalbuminemia is often associated with an increased risk of infection. Table 4 found that patients with normal albumin levels showed more negative culture results. The culture of bacteria from</w:t>
      </w:r>
      <w:r w:rsidR="008D4544" w:rsidRPr="008D4544">
        <w:rPr>
          <w:rFonts w:ascii="Arial" w:hAnsi="Arial" w:cs="Arial"/>
        </w:rPr>
        <w:t xml:space="preserve"> this study showed a similar pattern to similar studies, where Escherichia coli was the most common </w:t>
      </w:r>
      <w:r w:rsidR="00921BF9">
        <w:rPr>
          <w:rFonts w:ascii="Arial" w:hAnsi="Arial" w:cs="Arial"/>
        </w:rPr>
        <w:t>bacterium</w:t>
      </w:r>
      <w:r w:rsidR="008D4544" w:rsidRPr="008D4544">
        <w:rPr>
          <w:rFonts w:ascii="Arial" w:hAnsi="Arial" w:cs="Arial"/>
        </w:rPr>
        <w:t xml:space="preserve"> found. The antibiotic netilmicin was the most sensitive, perhaps because this antibiotic is still rarely used in urinary tract infections at Hasan </w:t>
      </w:r>
      <w:proofErr w:type="spellStart"/>
      <w:r w:rsidR="008D4544" w:rsidRPr="008D4544">
        <w:rPr>
          <w:rFonts w:ascii="Arial" w:hAnsi="Arial" w:cs="Arial"/>
        </w:rPr>
        <w:t>Sadikin</w:t>
      </w:r>
      <w:proofErr w:type="spellEnd"/>
      <w:r w:rsidR="008D4544" w:rsidRPr="008D4544">
        <w:rPr>
          <w:rFonts w:ascii="Arial" w:hAnsi="Arial" w:cs="Arial"/>
        </w:rPr>
        <w:t xml:space="preserve"> Hospital.</w:t>
      </w:r>
    </w:p>
    <w:p w14:paraId="00111178" w14:textId="77777777" w:rsidR="00790ADA" w:rsidRPr="00FB3A86" w:rsidRDefault="00790ADA" w:rsidP="00441B6F">
      <w:pPr>
        <w:pStyle w:val="Body"/>
        <w:spacing w:after="0"/>
        <w:rPr>
          <w:rFonts w:ascii="Arial" w:hAnsi="Arial" w:cs="Arial"/>
        </w:rPr>
      </w:pPr>
    </w:p>
    <w:p w14:paraId="29D7C9B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228987" w14:textId="2388F9AA" w:rsidR="00C128E0" w:rsidRPr="00262CD6" w:rsidRDefault="00262CD6" w:rsidP="00615E3F">
      <w:pPr>
        <w:pStyle w:val="Body"/>
        <w:rPr>
          <w:rFonts w:ascii="Arial" w:hAnsi="Arial" w:cs="Arial"/>
          <w:lang w:val="en-ID"/>
        </w:rPr>
      </w:pPr>
      <w:r w:rsidRPr="00262CD6">
        <w:rPr>
          <w:rFonts w:ascii="Arial" w:hAnsi="Arial" w:cs="Arial"/>
          <w:highlight w:val="yellow"/>
          <w:lang w:val="en"/>
        </w:rPr>
        <w:t xml:space="preserve">CAUTI was more common in male patients in their fifth decade and in patients with high blood glucose levels. The most common bacteria found was Escherichia coli. The most effective antibiotic against the bacterial isolates in this study was Netilmicin, while </w:t>
      </w:r>
      <w:proofErr w:type="spellStart"/>
      <w:r w:rsidRPr="00262CD6">
        <w:rPr>
          <w:rFonts w:ascii="Arial" w:hAnsi="Arial" w:cs="Arial"/>
          <w:highlight w:val="yellow"/>
          <w:lang w:val="en"/>
        </w:rPr>
        <w:t>Cefoperazone</w:t>
      </w:r>
      <w:proofErr w:type="spellEnd"/>
      <w:r w:rsidRPr="00262CD6">
        <w:rPr>
          <w:rFonts w:ascii="Arial" w:hAnsi="Arial" w:cs="Arial"/>
          <w:highlight w:val="yellow"/>
          <w:lang w:val="en"/>
        </w:rPr>
        <w:t xml:space="preserve"> showed the highest resistance and is not recommended for use in the treatment of CAUTI in this population. These findings support the need for close monitoring of nosocomial infections, management of risk factors such as hyperglycemia, and a wise antibiotic use policy based on local resistance data.</w:t>
      </w:r>
    </w:p>
    <w:p w14:paraId="13009E1B" w14:textId="77777777" w:rsidR="00A76525" w:rsidRPr="00A76525" w:rsidRDefault="00A76525" w:rsidP="00A76525">
      <w:pPr>
        <w:spacing w:after="200" w:line="276" w:lineRule="auto"/>
        <w:rPr>
          <w:rFonts w:ascii="Calibri" w:eastAsia="Calibri" w:hAnsi="Calibri"/>
          <w:kern w:val="2"/>
          <w:sz w:val="22"/>
          <w:szCs w:val="22"/>
          <w:highlight w:val="yellow"/>
        </w:rPr>
      </w:pPr>
      <w:bookmarkStart w:id="0" w:name="_Hlk180402183"/>
      <w:bookmarkStart w:id="1" w:name="_Hlk183680988"/>
      <w:r w:rsidRPr="00A76525">
        <w:rPr>
          <w:rFonts w:ascii="Calibri" w:eastAsia="Calibri" w:hAnsi="Calibri"/>
          <w:kern w:val="2"/>
          <w:sz w:val="22"/>
          <w:szCs w:val="22"/>
          <w:highlight w:val="yellow"/>
        </w:rPr>
        <w:t>Disclaimer (Artificial intelligence)</w:t>
      </w:r>
    </w:p>
    <w:p w14:paraId="19BE1BFF" w14:textId="77777777" w:rsidR="00A76525" w:rsidRPr="00A76525" w:rsidRDefault="00A76525" w:rsidP="00A76525">
      <w:pPr>
        <w:spacing w:after="200" w:line="276" w:lineRule="auto"/>
        <w:rPr>
          <w:rFonts w:ascii="Calibri" w:eastAsia="Calibri" w:hAnsi="Calibri"/>
          <w:kern w:val="2"/>
          <w:sz w:val="22"/>
          <w:szCs w:val="22"/>
          <w:highlight w:val="yellow"/>
        </w:rPr>
      </w:pPr>
      <w:r w:rsidRPr="00A76525">
        <w:rPr>
          <w:rFonts w:ascii="Calibri" w:eastAsia="Calibri" w:hAnsi="Calibri"/>
          <w:kern w:val="2"/>
          <w:sz w:val="22"/>
          <w:szCs w:val="22"/>
          <w:highlight w:val="yellow"/>
        </w:rPr>
        <w:t xml:space="preserve">Option 1: </w:t>
      </w:r>
    </w:p>
    <w:p w14:paraId="37C2E77F" w14:textId="58DEC347" w:rsidR="00C128E0" w:rsidRPr="00262CD6" w:rsidRDefault="00A76525" w:rsidP="00262CD6">
      <w:pPr>
        <w:spacing w:after="200" w:line="276" w:lineRule="auto"/>
        <w:rPr>
          <w:rFonts w:ascii="Calibri" w:eastAsia="Calibri" w:hAnsi="Calibri"/>
          <w:kern w:val="2"/>
          <w:sz w:val="22"/>
          <w:szCs w:val="22"/>
          <w:highlight w:val="yellow"/>
        </w:rPr>
      </w:pPr>
      <w:r w:rsidRPr="00A76525">
        <w:rPr>
          <w:rFonts w:ascii="Calibri" w:eastAsia="Calibri" w:hAnsi="Calibri"/>
          <w:kern w:val="2"/>
          <w:sz w:val="22"/>
          <w:szCs w:val="22"/>
          <w:highlight w:val="yellow"/>
        </w:rPr>
        <w:t xml:space="preserve">Author(s) hereby </w:t>
      </w:r>
      <w:proofErr w:type="gramStart"/>
      <w:r w:rsidRPr="00A76525">
        <w:rPr>
          <w:rFonts w:ascii="Calibri" w:eastAsia="Calibri" w:hAnsi="Calibri"/>
          <w:kern w:val="2"/>
          <w:sz w:val="22"/>
          <w:szCs w:val="22"/>
          <w:highlight w:val="yellow"/>
        </w:rPr>
        <w:t>declare</w:t>
      </w:r>
      <w:proofErr w:type="gramEnd"/>
      <w:r w:rsidRPr="00A76525">
        <w:rPr>
          <w:rFonts w:ascii="Calibri" w:eastAsia="Calibri" w:hAnsi="Calibri"/>
          <w:kern w:val="2"/>
          <w:sz w:val="22"/>
          <w:szCs w:val="22"/>
          <w:highlight w:val="yellow"/>
        </w:rPr>
        <w:t xml:space="preserve"> that NO generative AI technologies such as Large Language Models (</w:t>
      </w:r>
      <w:proofErr w:type="spellStart"/>
      <w:r w:rsidRPr="00A76525">
        <w:rPr>
          <w:rFonts w:ascii="Calibri" w:eastAsia="Calibri" w:hAnsi="Calibri"/>
          <w:kern w:val="2"/>
          <w:sz w:val="22"/>
          <w:szCs w:val="22"/>
          <w:highlight w:val="yellow"/>
        </w:rPr>
        <w:t>ChatGPT</w:t>
      </w:r>
      <w:proofErr w:type="spellEnd"/>
      <w:r w:rsidRPr="00A76525">
        <w:rPr>
          <w:rFonts w:ascii="Calibri" w:eastAsia="Calibri" w:hAnsi="Calibri"/>
          <w:kern w:val="2"/>
          <w:sz w:val="22"/>
          <w:szCs w:val="22"/>
          <w:highlight w:val="yellow"/>
        </w:rPr>
        <w:t xml:space="preserve">, COPILOT, etc.) and text-to-image generators have been used during the writing or editing of this manuscript. </w:t>
      </w:r>
      <w:bookmarkEnd w:id="0"/>
      <w:bookmarkEnd w:id="1"/>
    </w:p>
    <w:p w14:paraId="3D97BF97" w14:textId="77777777" w:rsidR="00860000" w:rsidRDefault="00860000" w:rsidP="00441B6F">
      <w:pPr>
        <w:pStyle w:val="ReferHead"/>
        <w:spacing w:after="0"/>
        <w:jc w:val="both"/>
        <w:rPr>
          <w:rFonts w:ascii="Arial" w:hAnsi="Arial" w:cs="Arial"/>
        </w:rPr>
      </w:pPr>
    </w:p>
    <w:p w14:paraId="019DDF3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8844C0" w14:textId="77777777" w:rsidR="00790ADA" w:rsidRPr="00FB3A86" w:rsidRDefault="00790ADA" w:rsidP="00441B6F">
      <w:pPr>
        <w:pStyle w:val="ReferHead"/>
        <w:spacing w:after="0"/>
        <w:jc w:val="both"/>
        <w:rPr>
          <w:rFonts w:ascii="Arial" w:hAnsi="Arial" w:cs="Arial"/>
        </w:rPr>
      </w:pPr>
    </w:p>
    <w:p w14:paraId="27BF80CB" w14:textId="6BA72B4B" w:rsidR="00CD567F" w:rsidRPr="00CD567F" w:rsidRDefault="00CD567F" w:rsidP="00CD567F">
      <w:pPr>
        <w:widowControl w:val="0"/>
        <w:autoSpaceDE w:val="0"/>
        <w:autoSpaceDN w:val="0"/>
        <w:adjustRightInd w:val="0"/>
        <w:ind w:left="480" w:hanging="480"/>
        <w:jc w:val="both"/>
        <w:rPr>
          <w:rFonts w:cs="Helvetica"/>
          <w:noProof/>
          <w:szCs w:val="24"/>
        </w:rPr>
      </w:pPr>
      <w:r>
        <w:fldChar w:fldCharType="begin" w:fldLock="1"/>
      </w:r>
      <w:r>
        <w:instrText xml:space="preserve">ADDIN Mendeley Bibliography CSL_BIBLIOGRAPHY </w:instrText>
      </w:r>
      <w:r>
        <w:fldChar w:fldCharType="separate"/>
      </w:r>
      <w:r w:rsidRPr="00CD567F">
        <w:rPr>
          <w:rFonts w:cs="Helvetica"/>
          <w:noProof/>
          <w:szCs w:val="24"/>
        </w:rPr>
        <w:t xml:space="preserve">Amiri, Sohrab, Nailah Mahmood, Halla Mustafa, Syed Fahad Javaid, and Moien A. B. Khan. 2024. “Occupational Risk Factors for Burnout Syndrome Among Healthcare </w:t>
      </w:r>
      <w:r w:rsidRPr="00CD567F">
        <w:rPr>
          <w:rFonts w:cs="Helvetica"/>
          <w:noProof/>
          <w:szCs w:val="24"/>
        </w:rPr>
        <w:lastRenderedPageBreak/>
        <w:t xml:space="preserve">Professionals: A Global Systematic Review and Meta-Analysis.” </w:t>
      </w:r>
      <w:r w:rsidRPr="00CD567F">
        <w:rPr>
          <w:rFonts w:cs="Helvetica"/>
          <w:i/>
          <w:iCs/>
          <w:noProof/>
          <w:szCs w:val="24"/>
        </w:rPr>
        <w:t>International Journal of Environmental Research and Public Health</w:t>
      </w:r>
      <w:r w:rsidRPr="00CD567F">
        <w:rPr>
          <w:rFonts w:cs="Helvetica"/>
          <w:noProof/>
          <w:szCs w:val="24"/>
        </w:rPr>
        <w:t xml:space="preserve"> 21(12):1583.</w:t>
      </w:r>
    </w:p>
    <w:p w14:paraId="78BCABCF" w14:textId="66B6B4E3" w:rsid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Assadi, Farahnak. 2018. “Strategies for Preventing Catheter-Associated Urinary Tract Infections.”</w:t>
      </w:r>
    </w:p>
    <w:p w14:paraId="0A46532B" w14:textId="0A51C49F" w:rsidR="00262CD6" w:rsidRPr="00CD567F" w:rsidRDefault="00262CD6" w:rsidP="00CD567F">
      <w:pPr>
        <w:widowControl w:val="0"/>
        <w:autoSpaceDE w:val="0"/>
        <w:autoSpaceDN w:val="0"/>
        <w:adjustRightInd w:val="0"/>
        <w:ind w:left="480" w:hanging="480"/>
        <w:jc w:val="both"/>
        <w:rPr>
          <w:rFonts w:cs="Helvetica"/>
          <w:noProof/>
          <w:szCs w:val="24"/>
        </w:rPr>
      </w:pPr>
      <w:r w:rsidRPr="00262CD6">
        <w:rPr>
          <w:rFonts w:cs="Helvetica"/>
          <w:noProof/>
          <w:szCs w:val="24"/>
        </w:rPr>
        <w:t>Flores-Mireles, A. L., Walker, J. N., Caparon, M., &amp; Hultgren, S. J. (2015). Urinary tract infections: epidemiology, mechanisms of infection and treatment options. </w:t>
      </w:r>
      <w:r w:rsidRPr="00262CD6">
        <w:rPr>
          <w:rFonts w:cs="Helvetica"/>
          <w:i/>
          <w:iCs/>
          <w:noProof/>
          <w:szCs w:val="24"/>
        </w:rPr>
        <w:t>Nature reviews microbiology</w:t>
      </w:r>
      <w:r w:rsidRPr="00262CD6">
        <w:rPr>
          <w:rFonts w:cs="Helvetica"/>
          <w:noProof/>
          <w:szCs w:val="24"/>
        </w:rPr>
        <w:t>, </w:t>
      </w:r>
      <w:r w:rsidRPr="00262CD6">
        <w:rPr>
          <w:rFonts w:cs="Helvetica"/>
          <w:i/>
          <w:iCs/>
          <w:noProof/>
          <w:szCs w:val="24"/>
        </w:rPr>
        <w:t>13</w:t>
      </w:r>
      <w:r w:rsidRPr="00262CD6">
        <w:rPr>
          <w:rFonts w:cs="Helvetica"/>
          <w:noProof/>
          <w:szCs w:val="24"/>
        </w:rPr>
        <w:t>(5), 269-284.</w:t>
      </w:r>
    </w:p>
    <w:p w14:paraId="791809A6"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Hollenbeak, Christopher S., and Amber L. Schilling. 2018. “The Attributable Cost of Catheter-Associated Urinary Tract Infections in the United States: A Systematic Review.” </w:t>
      </w:r>
      <w:r w:rsidRPr="00CD567F">
        <w:rPr>
          <w:rFonts w:cs="Helvetica"/>
          <w:i/>
          <w:iCs/>
          <w:noProof/>
          <w:szCs w:val="24"/>
        </w:rPr>
        <w:t>American Journal of Infection Control</w:t>
      </w:r>
      <w:r w:rsidRPr="00CD567F">
        <w:rPr>
          <w:rFonts w:cs="Helvetica"/>
          <w:noProof/>
          <w:szCs w:val="24"/>
        </w:rPr>
        <w:t xml:space="preserve"> 46(7):751–57.</w:t>
      </w:r>
    </w:p>
    <w:p w14:paraId="2A372369"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Hosseininasab, Ali, Forouzan Barshan, Niloofar Farsiu, Mohsen Nakhaie, Jafar Soltani, Ann Versporten, Herman Goossens, Ines Pauwels, and Abolfazl Esfandiarpour. 2024. “A Longitudinal Point Prevalence Survey of Antimicrobial Use and Resistance in Tertiary Care Hospitals in Kerman: Results from the National Iranian Multicenter Point Prevalence Survey of Antimicrobials in 2021.” </w:t>
      </w:r>
      <w:r w:rsidRPr="00CD567F">
        <w:rPr>
          <w:rFonts w:cs="Helvetica"/>
          <w:i/>
          <w:iCs/>
          <w:noProof/>
          <w:szCs w:val="24"/>
        </w:rPr>
        <w:t>BMC Infectious Diseases</w:t>
      </w:r>
      <w:r w:rsidRPr="00CD567F">
        <w:rPr>
          <w:rFonts w:cs="Helvetica"/>
          <w:noProof/>
          <w:szCs w:val="24"/>
        </w:rPr>
        <w:t xml:space="preserve"> 24(1):1300. doi: 10.1186/s12879-024-10159-9.</w:t>
      </w:r>
    </w:p>
    <w:p w14:paraId="20564199" w14:textId="0A818DA8" w:rsid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Iacovelli, Valerio, Gabriele Gaziev, Luca Topazio, Pierluigi Bove, Giuseppe Vespasiani, and Enrico Finazzi Agrò. 2014. “Nosocomial Urinary Tract Infections: A Review.” </w:t>
      </w:r>
      <w:r w:rsidRPr="00CD567F">
        <w:rPr>
          <w:rFonts w:cs="Helvetica"/>
          <w:i/>
          <w:iCs/>
          <w:noProof/>
          <w:szCs w:val="24"/>
        </w:rPr>
        <w:t>Urologia Journal</w:t>
      </w:r>
      <w:r w:rsidRPr="00CD567F">
        <w:rPr>
          <w:rFonts w:cs="Helvetica"/>
          <w:noProof/>
          <w:szCs w:val="24"/>
        </w:rPr>
        <w:t xml:space="preserve"> 81(4):222–27. doi: 10.5301/uro.5000092.</w:t>
      </w:r>
    </w:p>
    <w:p w14:paraId="27241BE8" w14:textId="0E352AE3" w:rsidR="009A20BB" w:rsidRPr="00CD567F" w:rsidRDefault="009A20BB" w:rsidP="00CD567F">
      <w:pPr>
        <w:widowControl w:val="0"/>
        <w:autoSpaceDE w:val="0"/>
        <w:autoSpaceDN w:val="0"/>
        <w:adjustRightInd w:val="0"/>
        <w:ind w:left="480" w:hanging="480"/>
        <w:jc w:val="both"/>
        <w:rPr>
          <w:rFonts w:cs="Helvetica"/>
          <w:noProof/>
          <w:szCs w:val="24"/>
        </w:rPr>
      </w:pPr>
      <w:r w:rsidRPr="009A20BB">
        <w:rPr>
          <w:rFonts w:cs="Helvetica"/>
          <w:noProof/>
          <w:szCs w:val="24"/>
        </w:rPr>
        <w:t>ICE volume 40 issue 5 Cover and Front matter. </w:t>
      </w:r>
      <w:r w:rsidRPr="009A20BB">
        <w:rPr>
          <w:rFonts w:cs="Helvetica"/>
          <w:i/>
          <w:iCs/>
          <w:noProof/>
          <w:szCs w:val="24"/>
        </w:rPr>
        <w:t>Infection Control &amp; Hospital Epidemiology</w:t>
      </w:r>
      <w:r w:rsidRPr="009A20BB">
        <w:rPr>
          <w:rFonts w:cs="Helvetica"/>
          <w:noProof/>
          <w:szCs w:val="24"/>
        </w:rPr>
        <w:t>. 2019;40(5):f1-f8. doi:10.1017/ice.2019.101</w:t>
      </w:r>
    </w:p>
    <w:p w14:paraId="281F44E1"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Ivanova, D. D., I. N. Sychev, and N. B. Lazareva. 2025. “Clinical and Economic Assessment of Nosocomial Pneumonia Antibacterial Therapy in Moscow Hospital.” </w:t>
      </w:r>
      <w:r w:rsidRPr="00CD567F">
        <w:rPr>
          <w:rFonts w:cs="Helvetica"/>
          <w:i/>
          <w:iCs/>
          <w:noProof/>
          <w:szCs w:val="24"/>
        </w:rPr>
        <w:t>FARMAKOEKONOMIKA. Modern Pharmacoeconomics and Pharmacoepidemiology</w:t>
      </w:r>
      <w:r w:rsidRPr="00CD567F">
        <w:rPr>
          <w:rFonts w:cs="Helvetica"/>
          <w:noProof/>
          <w:szCs w:val="24"/>
        </w:rPr>
        <w:t>.</w:t>
      </w:r>
    </w:p>
    <w:p w14:paraId="52A22B5A" w14:textId="54CD1817" w:rsid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Klevens, R. Monina, Jonathan R. Edwards, Chesley L. Richards, Teresa C. Horan, Robert P. Gaynes, Daniel A. Pollock, and Denise M. Cardo. 2007. “Estimating Health Care-Associated Infections and Deaths in U.S. Hospitals, 2002.” </w:t>
      </w:r>
      <w:r w:rsidRPr="00CD567F">
        <w:rPr>
          <w:rFonts w:cs="Helvetica"/>
          <w:i/>
          <w:iCs/>
          <w:noProof/>
          <w:szCs w:val="24"/>
        </w:rPr>
        <w:t>Public Health Reports®</w:t>
      </w:r>
      <w:r w:rsidRPr="00CD567F">
        <w:rPr>
          <w:rFonts w:cs="Helvetica"/>
          <w:noProof/>
          <w:szCs w:val="24"/>
        </w:rPr>
        <w:t xml:space="preserve"> 122(2):160–66. doi: 10.1177/003335490712200205.</w:t>
      </w:r>
    </w:p>
    <w:p w14:paraId="5B220D1D" w14:textId="078B2A9A" w:rsidR="00445A6A" w:rsidRPr="00CD567F" w:rsidRDefault="00445A6A" w:rsidP="00CD567F">
      <w:pPr>
        <w:widowControl w:val="0"/>
        <w:autoSpaceDE w:val="0"/>
        <w:autoSpaceDN w:val="0"/>
        <w:adjustRightInd w:val="0"/>
        <w:ind w:left="480" w:hanging="480"/>
        <w:jc w:val="both"/>
        <w:rPr>
          <w:rFonts w:cs="Helvetica"/>
          <w:noProof/>
          <w:szCs w:val="24"/>
        </w:rPr>
      </w:pPr>
      <w:r w:rsidRPr="00445A6A">
        <w:rPr>
          <w:rFonts w:cs="Helvetica"/>
          <w:noProof/>
          <w:szCs w:val="24"/>
        </w:rPr>
        <w:t>Kusuma, I. Y., Pitaloka, D. A. E., Arbi, N. D., Sunarti, S., Pratiwi, H., Omer, A. A. A., &amp; Bahar, M. A. (2023). Five years of antibiotic consumption for urinary tract infection patients in Indonesia’s Provincial Public Hospital. </w:t>
      </w:r>
      <w:r w:rsidRPr="00445A6A">
        <w:rPr>
          <w:rFonts w:cs="Helvetica"/>
          <w:i/>
          <w:iCs/>
          <w:noProof/>
          <w:szCs w:val="24"/>
        </w:rPr>
        <w:t>Pharmacia</w:t>
      </w:r>
      <w:r w:rsidRPr="00445A6A">
        <w:rPr>
          <w:rFonts w:cs="Helvetica"/>
          <w:noProof/>
          <w:szCs w:val="24"/>
        </w:rPr>
        <w:t>, </w:t>
      </w:r>
      <w:r w:rsidRPr="00445A6A">
        <w:rPr>
          <w:rFonts w:cs="Helvetica"/>
          <w:i/>
          <w:iCs/>
          <w:noProof/>
          <w:szCs w:val="24"/>
        </w:rPr>
        <w:t>70</w:t>
      </w:r>
      <w:r w:rsidRPr="00445A6A">
        <w:rPr>
          <w:rFonts w:cs="Helvetica"/>
          <w:noProof/>
          <w:szCs w:val="24"/>
        </w:rPr>
        <w:t>, 493-498.</w:t>
      </w:r>
    </w:p>
    <w:p w14:paraId="3265FDB4"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Kranz, Jennifer, Stefanie Schmidt, Florian Wagenlehner, and Laila Schneidewind. 2020. “Catheter-Associated Urinary Tract Infections in Adult Patients: Preventive Strategies and Treatment Options.” </w:t>
      </w:r>
      <w:r w:rsidRPr="00CD567F">
        <w:rPr>
          <w:rFonts w:cs="Helvetica"/>
          <w:i/>
          <w:iCs/>
          <w:noProof/>
          <w:szCs w:val="24"/>
        </w:rPr>
        <w:t>Deutsches Ärzteblatt International</w:t>
      </w:r>
      <w:r w:rsidRPr="00CD567F">
        <w:rPr>
          <w:rFonts w:cs="Helvetica"/>
          <w:noProof/>
          <w:szCs w:val="24"/>
        </w:rPr>
        <w:t xml:space="preserve"> 117(6):83.</w:t>
      </w:r>
    </w:p>
    <w:p w14:paraId="0DC2AC59"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Kuy, SreyRam, Rohit Gupta, Cayla Roy, and Samir Awad. 2020. “Incidence of Catheter-Associated Urinary Tract Infections with Compliance with Preventive Guidelines.” </w:t>
      </w:r>
      <w:r w:rsidRPr="00CD567F">
        <w:rPr>
          <w:rFonts w:cs="Helvetica"/>
          <w:i/>
          <w:iCs/>
          <w:noProof/>
          <w:szCs w:val="24"/>
        </w:rPr>
        <w:t>JAMA Surgery</w:t>
      </w:r>
      <w:r w:rsidRPr="00CD567F">
        <w:rPr>
          <w:rFonts w:cs="Helvetica"/>
          <w:noProof/>
          <w:szCs w:val="24"/>
        </w:rPr>
        <w:t xml:space="preserve"> 155(7):661–62.</w:t>
      </w:r>
    </w:p>
    <w:p w14:paraId="005A9087" w14:textId="07B0B3A8" w:rsid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Li, Fei, Meixuan Song, Linxia Xu, Bo Deng, Shiqin Zhu, and Xianrong Li. 2019. “Risk Factors for Catheter</w:t>
      </w:r>
      <w:r w:rsidRPr="00CD567F">
        <w:rPr>
          <w:rFonts w:ascii="Cambria Math" w:hAnsi="Cambria Math" w:cs="Cambria Math"/>
          <w:noProof/>
          <w:szCs w:val="24"/>
        </w:rPr>
        <w:t>‐</w:t>
      </w:r>
      <w:r w:rsidRPr="00CD567F">
        <w:rPr>
          <w:rFonts w:cs="Helvetica"/>
          <w:noProof/>
          <w:szCs w:val="24"/>
        </w:rPr>
        <w:t>associated Urinary Tract Infection among Hospitalized Patients: A Systematic Review and Meta</w:t>
      </w:r>
      <w:r w:rsidRPr="00CD567F">
        <w:rPr>
          <w:rFonts w:ascii="Cambria Math" w:hAnsi="Cambria Math" w:cs="Cambria Math"/>
          <w:noProof/>
          <w:szCs w:val="24"/>
        </w:rPr>
        <w:t>‐</w:t>
      </w:r>
      <w:r w:rsidRPr="00CD567F">
        <w:rPr>
          <w:rFonts w:cs="Helvetica"/>
          <w:noProof/>
          <w:szCs w:val="24"/>
        </w:rPr>
        <w:t xml:space="preserve">analysis of Observational Studies.” </w:t>
      </w:r>
      <w:r w:rsidRPr="00CD567F">
        <w:rPr>
          <w:rFonts w:cs="Helvetica"/>
          <w:i/>
          <w:iCs/>
          <w:noProof/>
          <w:szCs w:val="24"/>
        </w:rPr>
        <w:t>Journal of Advanced Nursing</w:t>
      </w:r>
      <w:r w:rsidRPr="00CD567F">
        <w:rPr>
          <w:rFonts w:cs="Helvetica"/>
          <w:noProof/>
          <w:szCs w:val="24"/>
        </w:rPr>
        <w:t xml:space="preserve"> 75(3):517–27. doi: 10.1111/jan.13863.</w:t>
      </w:r>
    </w:p>
    <w:p w14:paraId="20E8DD05" w14:textId="70BBF468" w:rsidR="00262CD6" w:rsidRPr="00CD567F" w:rsidRDefault="00262CD6" w:rsidP="00CD567F">
      <w:pPr>
        <w:widowControl w:val="0"/>
        <w:autoSpaceDE w:val="0"/>
        <w:autoSpaceDN w:val="0"/>
        <w:adjustRightInd w:val="0"/>
        <w:ind w:left="480" w:hanging="480"/>
        <w:jc w:val="both"/>
        <w:rPr>
          <w:rFonts w:cs="Helvetica"/>
          <w:noProof/>
          <w:szCs w:val="24"/>
        </w:rPr>
      </w:pPr>
      <w:r w:rsidRPr="00262CD6">
        <w:rPr>
          <w:rFonts w:cs="Helvetica"/>
          <w:noProof/>
          <w:szCs w:val="24"/>
        </w:rPr>
        <w:t>Magill, S. S., O’Leary, E., Janelle, S. J., Thompson, D. L., Dumyati, G., Nadle, J., ... &amp; Edwards, J. R. (2018). Changes in prevalence of health care–associated infections in US hospitals. </w:t>
      </w:r>
      <w:r w:rsidRPr="00262CD6">
        <w:rPr>
          <w:rFonts w:cs="Helvetica"/>
          <w:i/>
          <w:iCs/>
          <w:noProof/>
          <w:szCs w:val="24"/>
        </w:rPr>
        <w:t>New England Journal of Medicine</w:t>
      </w:r>
      <w:r w:rsidRPr="00262CD6">
        <w:rPr>
          <w:rFonts w:cs="Helvetica"/>
          <w:noProof/>
          <w:szCs w:val="24"/>
        </w:rPr>
        <w:t>, </w:t>
      </w:r>
      <w:r w:rsidRPr="00262CD6">
        <w:rPr>
          <w:rFonts w:cs="Helvetica"/>
          <w:i/>
          <w:iCs/>
          <w:noProof/>
          <w:szCs w:val="24"/>
        </w:rPr>
        <w:t>379</w:t>
      </w:r>
      <w:r w:rsidRPr="00262CD6">
        <w:rPr>
          <w:rFonts w:cs="Helvetica"/>
          <w:noProof/>
          <w:szCs w:val="24"/>
        </w:rPr>
        <w:t>(18), 1732-1744.</w:t>
      </w:r>
    </w:p>
    <w:p w14:paraId="2D673561"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Perrin, Karen, Anu Vats, Aater Qureshi, Jeannette Hester, Angela Larson, Alfeil Felipe, Andressa Sleiman, Jacqueline Baron-Lee, and Katharina Busl. 2021. “Catheter-Associated Urinary Tract Infection (CAUTI) in the NeuroICU: Identification of Risk Factors and Time-to-CAUTI Using a Case–Control Design.” </w:t>
      </w:r>
      <w:r w:rsidRPr="00CD567F">
        <w:rPr>
          <w:rFonts w:cs="Helvetica"/>
          <w:i/>
          <w:iCs/>
          <w:noProof/>
          <w:szCs w:val="24"/>
        </w:rPr>
        <w:t>Neurocritical Care</w:t>
      </w:r>
      <w:r w:rsidRPr="00CD567F">
        <w:rPr>
          <w:rFonts w:cs="Helvetica"/>
          <w:noProof/>
          <w:szCs w:val="24"/>
        </w:rPr>
        <w:t xml:space="preserve"> 34(1):271–78. doi: 10.1007/s12028-020-01020-3.</w:t>
      </w:r>
    </w:p>
    <w:p w14:paraId="6B7795C4"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Rahul, T., Jayannan Jayasenan, and Anbarasu Duraisamy. 2025. “A Rare Case of UTI by Nosocomial Pathogen Serratia Marcescens—A Detailed Review.” </w:t>
      </w:r>
      <w:r w:rsidRPr="00CD567F">
        <w:rPr>
          <w:rFonts w:cs="Helvetica"/>
          <w:i/>
          <w:iCs/>
          <w:noProof/>
          <w:szCs w:val="24"/>
        </w:rPr>
        <w:t>Advances in Sports Science and Technology</w:t>
      </w:r>
      <w:r w:rsidRPr="00CD567F">
        <w:rPr>
          <w:rFonts w:cs="Helvetica"/>
          <w:noProof/>
          <w:szCs w:val="24"/>
        </w:rPr>
        <w:t xml:space="preserve"> 363–65.</w:t>
      </w:r>
    </w:p>
    <w:p w14:paraId="65B96C06"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Saint, Sanjay. 2000. “Clinical and Economic Consequences of Nosocomial Catheter-Related </w:t>
      </w:r>
      <w:r w:rsidRPr="00CD567F">
        <w:rPr>
          <w:rFonts w:cs="Helvetica"/>
          <w:noProof/>
          <w:szCs w:val="24"/>
        </w:rPr>
        <w:lastRenderedPageBreak/>
        <w:t xml:space="preserve">Bacteriuria.” </w:t>
      </w:r>
      <w:r w:rsidRPr="00CD567F">
        <w:rPr>
          <w:rFonts w:cs="Helvetica"/>
          <w:i/>
          <w:iCs/>
          <w:noProof/>
          <w:szCs w:val="24"/>
        </w:rPr>
        <w:t>American Journal of Infection Control</w:t>
      </w:r>
      <w:r w:rsidRPr="00CD567F">
        <w:rPr>
          <w:rFonts w:cs="Helvetica"/>
          <w:noProof/>
          <w:szCs w:val="24"/>
        </w:rPr>
        <w:t xml:space="preserve"> 28(1):68–75.</w:t>
      </w:r>
    </w:p>
    <w:p w14:paraId="15720AB5" w14:textId="0649CC3F" w:rsid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Saint, Sanjay, M. Todd Greene, Sarah L. Krein, Mary A. M. Rogers, David Ratz, Karen E. Fowler, Barbara S. Edson, Sam R. Watson, Barbara Meyer-Lucas, Marie Masuga, Kelly Faulkner, Carolyn V Gould, James Battles, and Mohamad G. Fakih. 2016. “A Program to Prevent Catheter-Associated Urinary Tract Infection in Acute Care.” </w:t>
      </w:r>
      <w:r w:rsidRPr="00CD567F">
        <w:rPr>
          <w:rFonts w:cs="Helvetica"/>
          <w:i/>
          <w:iCs/>
          <w:noProof/>
          <w:szCs w:val="24"/>
        </w:rPr>
        <w:t>New England Journal of Medicine</w:t>
      </w:r>
      <w:r w:rsidRPr="00CD567F">
        <w:rPr>
          <w:rFonts w:cs="Helvetica"/>
          <w:noProof/>
          <w:szCs w:val="24"/>
        </w:rPr>
        <w:t xml:space="preserve"> 374(22):2111–19. doi: 10.1056/NEJMoa1504906.</w:t>
      </w:r>
    </w:p>
    <w:p w14:paraId="582D521F" w14:textId="0B10C5F0" w:rsidR="00262CD6" w:rsidRPr="00CD567F" w:rsidRDefault="00262CD6" w:rsidP="00CD567F">
      <w:pPr>
        <w:widowControl w:val="0"/>
        <w:autoSpaceDE w:val="0"/>
        <w:autoSpaceDN w:val="0"/>
        <w:adjustRightInd w:val="0"/>
        <w:ind w:left="480" w:hanging="480"/>
        <w:jc w:val="both"/>
        <w:rPr>
          <w:rFonts w:cs="Helvetica"/>
          <w:noProof/>
          <w:szCs w:val="24"/>
        </w:rPr>
      </w:pPr>
      <w:r w:rsidRPr="00262CD6">
        <w:rPr>
          <w:rFonts w:cs="Helvetica"/>
          <w:noProof/>
          <w:szCs w:val="24"/>
        </w:rPr>
        <w:t>Turina, M., Miller, F. N., Tucker, C. F., &amp; Polk, H. C. (2006). Short-term hyperglycemia in surgical patients and a study of related cellular mechanisms. </w:t>
      </w:r>
      <w:r w:rsidRPr="00262CD6">
        <w:rPr>
          <w:rFonts w:cs="Helvetica"/>
          <w:i/>
          <w:iCs/>
          <w:noProof/>
          <w:szCs w:val="24"/>
        </w:rPr>
        <w:t>Annals of surgery</w:t>
      </w:r>
      <w:r w:rsidRPr="00262CD6">
        <w:rPr>
          <w:rFonts w:cs="Helvetica"/>
          <w:noProof/>
          <w:szCs w:val="24"/>
        </w:rPr>
        <w:t>, </w:t>
      </w:r>
      <w:r w:rsidRPr="00262CD6">
        <w:rPr>
          <w:rFonts w:cs="Helvetica"/>
          <w:i/>
          <w:iCs/>
          <w:noProof/>
          <w:szCs w:val="24"/>
        </w:rPr>
        <w:t>243</w:t>
      </w:r>
      <w:r w:rsidRPr="00262CD6">
        <w:rPr>
          <w:rFonts w:cs="Helvetica"/>
          <w:noProof/>
          <w:szCs w:val="24"/>
        </w:rPr>
        <w:t>(6), 845-853.</w:t>
      </w:r>
    </w:p>
    <w:p w14:paraId="53118424" w14:textId="7CB6D7B7" w:rsid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Werneburg, Glenn T. 2022. “Catheter-Associated Urinary Tract Infections: Current Challenges and Future Prospects.” </w:t>
      </w:r>
      <w:r w:rsidRPr="00CD567F">
        <w:rPr>
          <w:rFonts w:cs="Helvetica"/>
          <w:i/>
          <w:iCs/>
          <w:noProof/>
          <w:szCs w:val="24"/>
        </w:rPr>
        <w:t>Research and Reports in Urology</w:t>
      </w:r>
      <w:r w:rsidRPr="00CD567F">
        <w:rPr>
          <w:rFonts w:cs="Helvetica"/>
          <w:noProof/>
          <w:szCs w:val="24"/>
        </w:rPr>
        <w:t xml:space="preserve"> Volume 14:109–33. doi: 10.2147/RRU.S273663.</w:t>
      </w:r>
    </w:p>
    <w:p w14:paraId="0D7E7328" w14:textId="074A4B44" w:rsidR="00445A6A" w:rsidRPr="00CD567F" w:rsidRDefault="00445A6A" w:rsidP="00CD567F">
      <w:pPr>
        <w:widowControl w:val="0"/>
        <w:autoSpaceDE w:val="0"/>
        <w:autoSpaceDN w:val="0"/>
        <w:adjustRightInd w:val="0"/>
        <w:ind w:left="480" w:hanging="480"/>
        <w:jc w:val="both"/>
        <w:rPr>
          <w:rFonts w:cs="Helvetica"/>
          <w:noProof/>
        </w:rPr>
      </w:pPr>
      <w:r w:rsidRPr="00445A6A">
        <w:rPr>
          <w:rFonts w:cs="Helvetica"/>
          <w:noProof/>
        </w:rPr>
        <w:t>Zeng, Z., Zhan, J., Zhang, K., Chen, H., &amp; Cheng, S. (2022). Global, regional, and national burden of urinary tract infections from 1990 to 2019: an analysis of the global burden of disease study 2019. </w:t>
      </w:r>
      <w:r w:rsidRPr="00445A6A">
        <w:rPr>
          <w:rFonts w:cs="Helvetica"/>
          <w:i/>
          <w:iCs/>
          <w:noProof/>
        </w:rPr>
        <w:t>World Journal of Urology</w:t>
      </w:r>
      <w:r w:rsidRPr="00445A6A">
        <w:rPr>
          <w:rFonts w:cs="Helvetica"/>
          <w:noProof/>
        </w:rPr>
        <w:t>, </w:t>
      </w:r>
      <w:r w:rsidRPr="00445A6A">
        <w:rPr>
          <w:rFonts w:cs="Helvetica"/>
          <w:i/>
          <w:iCs/>
          <w:noProof/>
        </w:rPr>
        <w:t>40</w:t>
      </w:r>
      <w:r w:rsidRPr="00445A6A">
        <w:rPr>
          <w:rFonts w:cs="Helvetica"/>
          <w:noProof/>
        </w:rPr>
        <w:t>(3), 755-763.</w:t>
      </w:r>
    </w:p>
    <w:p w14:paraId="5C469CDB" w14:textId="7D934047" w:rsidR="004D4277" w:rsidRPr="00CD567F" w:rsidRDefault="00CD567F" w:rsidP="00CD567F">
      <w:pPr>
        <w:pStyle w:val="Body"/>
        <w:spacing w:after="0"/>
        <w:sectPr w:rsidR="004D4277" w:rsidRPr="00CD567F" w:rsidSect="00587CED">
          <w:footerReference w:type="default" r:id="rId9"/>
          <w:type w:val="continuous"/>
          <w:pgSz w:w="12240" w:h="15840"/>
          <w:pgMar w:top="1440" w:right="2016" w:bottom="2016" w:left="2016" w:header="720" w:footer="1123" w:gutter="0"/>
          <w:cols w:space="720"/>
          <w:docGrid w:linePitch="272"/>
        </w:sectPr>
      </w:pPr>
      <w:r>
        <w:fldChar w:fldCharType="end"/>
      </w:r>
    </w:p>
    <w:p w14:paraId="1BFC6A6F" w14:textId="77777777" w:rsidR="00B01FCD" w:rsidRPr="00FB3A86" w:rsidRDefault="00B01FCD" w:rsidP="00441B6F">
      <w:pPr>
        <w:pStyle w:val="Appendix"/>
        <w:spacing w:after="0"/>
        <w:jc w:val="both"/>
        <w:rPr>
          <w:rFonts w:ascii="Arial" w:hAnsi="Arial" w:cs="Arial"/>
          <w:b w:val="0"/>
        </w:rPr>
      </w:pPr>
    </w:p>
    <w:sectPr w:rsidR="00B01FCD" w:rsidRPr="00FB3A86" w:rsidSect="00587CE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F3DCA" w14:textId="77777777" w:rsidR="00FF2390" w:rsidRDefault="00FF2390" w:rsidP="00C37E61">
      <w:r>
        <w:separator/>
      </w:r>
    </w:p>
  </w:endnote>
  <w:endnote w:type="continuationSeparator" w:id="0">
    <w:p w14:paraId="338C855C" w14:textId="77777777" w:rsidR="00FF2390" w:rsidRDefault="00FF239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D1F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F964E" w14:textId="77777777" w:rsidR="00FF2390" w:rsidRDefault="00FF2390" w:rsidP="00C37E61">
      <w:r>
        <w:separator/>
      </w:r>
    </w:p>
  </w:footnote>
  <w:footnote w:type="continuationSeparator" w:id="0">
    <w:p w14:paraId="51C6146A" w14:textId="77777777" w:rsidR="00FF2390" w:rsidRDefault="00FF2390" w:rsidP="00C37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9B0020"/>
    <w:multiLevelType w:val="hybridMultilevel"/>
    <w:tmpl w:val="D9D0B5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0584A0C"/>
    <w:multiLevelType w:val="hybridMultilevel"/>
    <w:tmpl w:val="C974E4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037546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02402460">
    <w:abstractNumId w:val="16"/>
  </w:num>
  <w:num w:numId="3" w16cid:durableId="1564221926">
    <w:abstractNumId w:val="25"/>
  </w:num>
  <w:num w:numId="4" w16cid:durableId="98324417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13012175">
    <w:abstractNumId w:val="7"/>
  </w:num>
  <w:num w:numId="6" w16cid:durableId="1135487484">
    <w:abstractNumId w:val="6"/>
  </w:num>
  <w:num w:numId="7" w16cid:durableId="160704317">
    <w:abstractNumId w:val="1"/>
  </w:num>
  <w:num w:numId="8" w16cid:durableId="11959290">
    <w:abstractNumId w:val="12"/>
  </w:num>
  <w:num w:numId="9" w16cid:durableId="1722437921">
    <w:abstractNumId w:val="27"/>
  </w:num>
  <w:num w:numId="10" w16cid:durableId="879706542">
    <w:abstractNumId w:val="2"/>
  </w:num>
  <w:num w:numId="11" w16cid:durableId="1562138381">
    <w:abstractNumId w:val="20"/>
  </w:num>
  <w:num w:numId="12" w16cid:durableId="415396779">
    <w:abstractNumId w:val="3"/>
  </w:num>
  <w:num w:numId="13" w16cid:durableId="309866968">
    <w:abstractNumId w:val="18"/>
  </w:num>
  <w:num w:numId="14" w16cid:durableId="812984399">
    <w:abstractNumId w:val="8"/>
  </w:num>
  <w:num w:numId="15" w16cid:durableId="1324429683">
    <w:abstractNumId w:val="23"/>
  </w:num>
  <w:num w:numId="16" w16cid:durableId="2026203015">
    <w:abstractNumId w:val="5"/>
  </w:num>
  <w:num w:numId="17" w16cid:durableId="932321276">
    <w:abstractNumId w:val="24"/>
  </w:num>
  <w:num w:numId="18" w16cid:durableId="423309266">
    <w:abstractNumId w:val="14"/>
  </w:num>
  <w:num w:numId="19" w16cid:durableId="1241211000">
    <w:abstractNumId w:val="30"/>
  </w:num>
  <w:num w:numId="20" w16cid:durableId="1724137775">
    <w:abstractNumId w:val="11"/>
  </w:num>
  <w:num w:numId="21" w16cid:durableId="1608586128">
    <w:abstractNumId w:val="9"/>
  </w:num>
  <w:num w:numId="22" w16cid:durableId="1940336530">
    <w:abstractNumId w:val="13"/>
  </w:num>
  <w:num w:numId="23" w16cid:durableId="1012998067">
    <w:abstractNumId w:val="21"/>
  </w:num>
  <w:num w:numId="24" w16cid:durableId="1756317301">
    <w:abstractNumId w:val="28"/>
  </w:num>
  <w:num w:numId="25" w16cid:durableId="586962694">
    <w:abstractNumId w:val="4"/>
  </w:num>
  <w:num w:numId="26" w16cid:durableId="324433581">
    <w:abstractNumId w:val="17"/>
  </w:num>
  <w:num w:numId="27" w16cid:durableId="1271276139">
    <w:abstractNumId w:val="22"/>
  </w:num>
  <w:num w:numId="28" w16cid:durableId="1602253143">
    <w:abstractNumId w:val="29"/>
  </w:num>
  <w:num w:numId="29" w16cid:durableId="414981002">
    <w:abstractNumId w:val="26"/>
  </w:num>
  <w:num w:numId="30" w16cid:durableId="769551429">
    <w:abstractNumId w:val="10"/>
  </w:num>
  <w:num w:numId="31" w16cid:durableId="137694575">
    <w:abstractNumId w:val="15"/>
  </w:num>
  <w:num w:numId="32" w16cid:durableId="3040899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3D9"/>
    <w:rsid w:val="00030174"/>
    <w:rsid w:val="0004579C"/>
    <w:rsid w:val="000513C2"/>
    <w:rsid w:val="000A0944"/>
    <w:rsid w:val="000A47FA"/>
    <w:rsid w:val="000A65D3"/>
    <w:rsid w:val="000B1E33"/>
    <w:rsid w:val="000C7597"/>
    <w:rsid w:val="000D689F"/>
    <w:rsid w:val="000E7B7B"/>
    <w:rsid w:val="000E7D62"/>
    <w:rsid w:val="00103357"/>
    <w:rsid w:val="001055AB"/>
    <w:rsid w:val="00110DD2"/>
    <w:rsid w:val="00123086"/>
    <w:rsid w:val="00123C9F"/>
    <w:rsid w:val="00126190"/>
    <w:rsid w:val="00130F17"/>
    <w:rsid w:val="001320BF"/>
    <w:rsid w:val="00163BC4"/>
    <w:rsid w:val="00171078"/>
    <w:rsid w:val="00191062"/>
    <w:rsid w:val="00192B72"/>
    <w:rsid w:val="001A29D8"/>
    <w:rsid w:val="001A5CAA"/>
    <w:rsid w:val="001B0427"/>
    <w:rsid w:val="001C2692"/>
    <w:rsid w:val="001D3A51"/>
    <w:rsid w:val="001E10D2"/>
    <w:rsid w:val="001E25B4"/>
    <w:rsid w:val="001E44FE"/>
    <w:rsid w:val="001E72C6"/>
    <w:rsid w:val="00200595"/>
    <w:rsid w:val="00204835"/>
    <w:rsid w:val="00223BD4"/>
    <w:rsid w:val="00231920"/>
    <w:rsid w:val="0023195C"/>
    <w:rsid w:val="0024282C"/>
    <w:rsid w:val="002460DC"/>
    <w:rsid w:val="00250985"/>
    <w:rsid w:val="002539AC"/>
    <w:rsid w:val="002556F6"/>
    <w:rsid w:val="00262CD6"/>
    <w:rsid w:val="0026424A"/>
    <w:rsid w:val="00274A48"/>
    <w:rsid w:val="00283105"/>
    <w:rsid w:val="00284C4C"/>
    <w:rsid w:val="00287E68"/>
    <w:rsid w:val="00296529"/>
    <w:rsid w:val="002A4072"/>
    <w:rsid w:val="002B27FB"/>
    <w:rsid w:val="002B685A"/>
    <w:rsid w:val="002C57D2"/>
    <w:rsid w:val="002D2A6F"/>
    <w:rsid w:val="002E0D56"/>
    <w:rsid w:val="00300B41"/>
    <w:rsid w:val="00315186"/>
    <w:rsid w:val="0033343E"/>
    <w:rsid w:val="003512C2"/>
    <w:rsid w:val="00371FB6"/>
    <w:rsid w:val="003763C1"/>
    <w:rsid w:val="00376BBE"/>
    <w:rsid w:val="003806C5"/>
    <w:rsid w:val="0039224F"/>
    <w:rsid w:val="003A2E3E"/>
    <w:rsid w:val="003A43A4"/>
    <w:rsid w:val="003A7E18"/>
    <w:rsid w:val="003C4C86"/>
    <w:rsid w:val="003C6258"/>
    <w:rsid w:val="003E0F66"/>
    <w:rsid w:val="003E2904"/>
    <w:rsid w:val="00401927"/>
    <w:rsid w:val="0041027F"/>
    <w:rsid w:val="00412475"/>
    <w:rsid w:val="00423789"/>
    <w:rsid w:val="00440F43"/>
    <w:rsid w:val="00441B6F"/>
    <w:rsid w:val="004439B0"/>
    <w:rsid w:val="00445A6A"/>
    <w:rsid w:val="00446221"/>
    <w:rsid w:val="00450E62"/>
    <w:rsid w:val="004539DB"/>
    <w:rsid w:val="00471A80"/>
    <w:rsid w:val="004A4597"/>
    <w:rsid w:val="004D305E"/>
    <w:rsid w:val="004D4277"/>
    <w:rsid w:val="004F4F3E"/>
    <w:rsid w:val="00501F19"/>
    <w:rsid w:val="00502516"/>
    <w:rsid w:val="00505F06"/>
    <w:rsid w:val="00506828"/>
    <w:rsid w:val="00511D74"/>
    <w:rsid w:val="0052391B"/>
    <w:rsid w:val="0053056E"/>
    <w:rsid w:val="00532073"/>
    <w:rsid w:val="00554FDA"/>
    <w:rsid w:val="00587CED"/>
    <w:rsid w:val="00591C71"/>
    <w:rsid w:val="005C784C"/>
    <w:rsid w:val="005D17F6"/>
    <w:rsid w:val="005E5539"/>
    <w:rsid w:val="00602BF5"/>
    <w:rsid w:val="00615E3F"/>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EDD"/>
    <w:rsid w:val="006D30FF"/>
    <w:rsid w:val="006D6940"/>
    <w:rsid w:val="006F11EC"/>
    <w:rsid w:val="0070082C"/>
    <w:rsid w:val="007369E6"/>
    <w:rsid w:val="00746E59"/>
    <w:rsid w:val="00754C9A"/>
    <w:rsid w:val="0075599A"/>
    <w:rsid w:val="00761D52"/>
    <w:rsid w:val="0077749E"/>
    <w:rsid w:val="00790ADA"/>
    <w:rsid w:val="007A6D8E"/>
    <w:rsid w:val="007D2288"/>
    <w:rsid w:val="007D250F"/>
    <w:rsid w:val="007E088F"/>
    <w:rsid w:val="007F7B32"/>
    <w:rsid w:val="008016CD"/>
    <w:rsid w:val="00804BC2"/>
    <w:rsid w:val="0081431A"/>
    <w:rsid w:val="0083216F"/>
    <w:rsid w:val="00860000"/>
    <w:rsid w:val="00863BD3"/>
    <w:rsid w:val="008641ED"/>
    <w:rsid w:val="00866D66"/>
    <w:rsid w:val="008671C6"/>
    <w:rsid w:val="00875803"/>
    <w:rsid w:val="008B459E"/>
    <w:rsid w:val="008C1575"/>
    <w:rsid w:val="008D4544"/>
    <w:rsid w:val="008E13AE"/>
    <w:rsid w:val="008E1506"/>
    <w:rsid w:val="008E3218"/>
    <w:rsid w:val="008E710C"/>
    <w:rsid w:val="008F69D6"/>
    <w:rsid w:val="00902823"/>
    <w:rsid w:val="00915CA6"/>
    <w:rsid w:val="00921BF9"/>
    <w:rsid w:val="00926683"/>
    <w:rsid w:val="00927834"/>
    <w:rsid w:val="00944454"/>
    <w:rsid w:val="009500A6"/>
    <w:rsid w:val="00957C18"/>
    <w:rsid w:val="009659BA"/>
    <w:rsid w:val="00983040"/>
    <w:rsid w:val="009A20BB"/>
    <w:rsid w:val="009B14AB"/>
    <w:rsid w:val="009B3FB9"/>
    <w:rsid w:val="009C2465"/>
    <w:rsid w:val="009D00EC"/>
    <w:rsid w:val="009D35A0"/>
    <w:rsid w:val="009D7EB7"/>
    <w:rsid w:val="009E048A"/>
    <w:rsid w:val="009E08E9"/>
    <w:rsid w:val="009E3452"/>
    <w:rsid w:val="009E3DB9"/>
    <w:rsid w:val="009E6E35"/>
    <w:rsid w:val="009F0EDA"/>
    <w:rsid w:val="00A03B96"/>
    <w:rsid w:val="00A05B19"/>
    <w:rsid w:val="00A1134E"/>
    <w:rsid w:val="00A24E7E"/>
    <w:rsid w:val="00A258C3"/>
    <w:rsid w:val="00A347C0"/>
    <w:rsid w:val="00A51431"/>
    <w:rsid w:val="00A539AD"/>
    <w:rsid w:val="00A56416"/>
    <w:rsid w:val="00A76525"/>
    <w:rsid w:val="00A93694"/>
    <w:rsid w:val="00A94063"/>
    <w:rsid w:val="00AA6219"/>
    <w:rsid w:val="00AA74E0"/>
    <w:rsid w:val="00AB703F"/>
    <w:rsid w:val="00AC6BB8"/>
    <w:rsid w:val="00AE008F"/>
    <w:rsid w:val="00AE5A40"/>
    <w:rsid w:val="00B01FCD"/>
    <w:rsid w:val="00B1776C"/>
    <w:rsid w:val="00B52583"/>
    <w:rsid w:val="00B52896"/>
    <w:rsid w:val="00B95236"/>
    <w:rsid w:val="00B95863"/>
    <w:rsid w:val="00B96BD9"/>
    <w:rsid w:val="00BA1B01"/>
    <w:rsid w:val="00BA2641"/>
    <w:rsid w:val="00BB37AA"/>
    <w:rsid w:val="00BB7D2A"/>
    <w:rsid w:val="00BC53A0"/>
    <w:rsid w:val="00BE62AD"/>
    <w:rsid w:val="00BF121F"/>
    <w:rsid w:val="00BF1F80"/>
    <w:rsid w:val="00C128E0"/>
    <w:rsid w:val="00C166EF"/>
    <w:rsid w:val="00C17EB0"/>
    <w:rsid w:val="00C27F5F"/>
    <w:rsid w:val="00C30A0F"/>
    <w:rsid w:val="00C32336"/>
    <w:rsid w:val="00C37E61"/>
    <w:rsid w:val="00C70F1B"/>
    <w:rsid w:val="00C71A47"/>
    <w:rsid w:val="00C7464C"/>
    <w:rsid w:val="00C85588"/>
    <w:rsid w:val="00CD567F"/>
    <w:rsid w:val="00CD6755"/>
    <w:rsid w:val="00CD6856"/>
    <w:rsid w:val="00CE0089"/>
    <w:rsid w:val="00CE793C"/>
    <w:rsid w:val="00CF193C"/>
    <w:rsid w:val="00D173F1"/>
    <w:rsid w:val="00D2120B"/>
    <w:rsid w:val="00D74CB0"/>
    <w:rsid w:val="00D8295D"/>
    <w:rsid w:val="00DB7AC2"/>
    <w:rsid w:val="00DC2A65"/>
    <w:rsid w:val="00DC6AF7"/>
    <w:rsid w:val="00DE15F0"/>
    <w:rsid w:val="00DE5663"/>
    <w:rsid w:val="00DE78AA"/>
    <w:rsid w:val="00E053D0"/>
    <w:rsid w:val="00E15994"/>
    <w:rsid w:val="00E3114E"/>
    <w:rsid w:val="00E31A70"/>
    <w:rsid w:val="00E35B02"/>
    <w:rsid w:val="00E35F7F"/>
    <w:rsid w:val="00E66496"/>
    <w:rsid w:val="00E66B35"/>
    <w:rsid w:val="00E66E10"/>
    <w:rsid w:val="00E769F6"/>
    <w:rsid w:val="00E8407C"/>
    <w:rsid w:val="00E84ACD"/>
    <w:rsid w:val="00E84F3C"/>
    <w:rsid w:val="00E90C41"/>
    <w:rsid w:val="00EA012C"/>
    <w:rsid w:val="00EC2624"/>
    <w:rsid w:val="00EC6A55"/>
    <w:rsid w:val="00ED0288"/>
    <w:rsid w:val="00EE52CB"/>
    <w:rsid w:val="00EF581D"/>
    <w:rsid w:val="00EF7FD8"/>
    <w:rsid w:val="00F06F59"/>
    <w:rsid w:val="00F17988"/>
    <w:rsid w:val="00F469F0"/>
    <w:rsid w:val="00F53273"/>
    <w:rsid w:val="00F755E4"/>
    <w:rsid w:val="00F77D02"/>
    <w:rsid w:val="00F82CC8"/>
    <w:rsid w:val="00FB3A86"/>
    <w:rsid w:val="00FD36C8"/>
    <w:rsid w:val="00FF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7081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501F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4">
    <w:name w:val="List Table 2 Accent 4"/>
    <w:basedOn w:val="TableNormal"/>
    <w:uiPriority w:val="47"/>
    <w:rsid w:val="0053207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1Light-Accent4">
    <w:name w:val="Grid Table 1 Light Accent 4"/>
    <w:basedOn w:val="TableNormal"/>
    <w:uiPriority w:val="46"/>
    <w:rsid w:val="0053207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PlainTable4">
    <w:name w:val="Plain Table 4"/>
    <w:basedOn w:val="TableNormal"/>
    <w:uiPriority w:val="44"/>
    <w:rsid w:val="0053207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E5A40"/>
    <w:rPr>
      <w:color w:val="605E5C"/>
      <w:shd w:val="clear" w:color="auto" w:fill="E1DFDD"/>
    </w:rPr>
  </w:style>
  <w:style w:type="paragraph" w:styleId="HTMLPreformatted">
    <w:name w:val="HTML Preformatted"/>
    <w:basedOn w:val="Normal"/>
    <w:link w:val="HTMLPreformattedChar"/>
    <w:semiHidden/>
    <w:unhideWhenUsed/>
    <w:rsid w:val="00E84ACD"/>
    <w:rPr>
      <w:rFonts w:ascii="Consolas" w:hAnsi="Consolas"/>
    </w:rPr>
  </w:style>
  <w:style w:type="character" w:customStyle="1" w:styleId="HTMLPreformattedChar">
    <w:name w:val="HTML Preformatted Char"/>
    <w:basedOn w:val="DefaultParagraphFont"/>
    <w:link w:val="HTMLPreformatted"/>
    <w:semiHidden/>
    <w:rsid w:val="00E84ACD"/>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20420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2711501">
      <w:bodyDiv w:val="1"/>
      <w:marLeft w:val="0"/>
      <w:marRight w:val="0"/>
      <w:marTop w:val="0"/>
      <w:marBottom w:val="0"/>
      <w:divBdr>
        <w:top w:val="none" w:sz="0" w:space="0" w:color="auto"/>
        <w:left w:val="none" w:sz="0" w:space="0" w:color="auto"/>
        <w:bottom w:val="none" w:sz="0" w:space="0" w:color="auto"/>
        <w:right w:val="none" w:sz="0" w:space="0" w:color="auto"/>
      </w:divBdr>
    </w:div>
    <w:div w:id="56295629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8749723">
      <w:bodyDiv w:val="1"/>
      <w:marLeft w:val="0"/>
      <w:marRight w:val="0"/>
      <w:marTop w:val="0"/>
      <w:marBottom w:val="0"/>
      <w:divBdr>
        <w:top w:val="none" w:sz="0" w:space="0" w:color="auto"/>
        <w:left w:val="none" w:sz="0" w:space="0" w:color="auto"/>
        <w:bottom w:val="none" w:sz="0" w:space="0" w:color="auto"/>
        <w:right w:val="none" w:sz="0" w:space="0" w:color="auto"/>
      </w:divBdr>
    </w:div>
    <w:div w:id="719138148">
      <w:bodyDiv w:val="1"/>
      <w:marLeft w:val="0"/>
      <w:marRight w:val="0"/>
      <w:marTop w:val="0"/>
      <w:marBottom w:val="0"/>
      <w:divBdr>
        <w:top w:val="none" w:sz="0" w:space="0" w:color="auto"/>
        <w:left w:val="none" w:sz="0" w:space="0" w:color="auto"/>
        <w:bottom w:val="none" w:sz="0" w:space="0" w:color="auto"/>
        <w:right w:val="none" w:sz="0" w:space="0" w:color="auto"/>
      </w:divBdr>
    </w:div>
    <w:div w:id="92487659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3366438">
      <w:bodyDiv w:val="1"/>
      <w:marLeft w:val="0"/>
      <w:marRight w:val="0"/>
      <w:marTop w:val="0"/>
      <w:marBottom w:val="0"/>
      <w:divBdr>
        <w:top w:val="none" w:sz="0" w:space="0" w:color="auto"/>
        <w:left w:val="none" w:sz="0" w:space="0" w:color="auto"/>
        <w:bottom w:val="none" w:sz="0" w:space="0" w:color="auto"/>
        <w:right w:val="none" w:sz="0" w:space="0" w:color="auto"/>
      </w:divBdr>
    </w:div>
    <w:div w:id="134211956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620881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Zeng+Z&amp;cauthor_id=350666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0BC5F-19FB-438E-9BD6-9D2C997A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7</Pages>
  <Words>6892</Words>
  <Characters>39081</Characters>
  <Application>Microsoft Office Word</Application>
  <DocSecurity>0</DocSecurity>
  <Lines>1302</Lines>
  <Paragraphs>820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45153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Elferida Sormin</cp:lastModifiedBy>
  <cp:revision>19</cp:revision>
  <cp:lastPrinted>1999-07-06T11:00:00Z</cp:lastPrinted>
  <dcterms:created xsi:type="dcterms:W3CDTF">2025-04-21T07:49:00Z</dcterms:created>
  <dcterms:modified xsi:type="dcterms:W3CDTF">2025-04-28T13:44:00Z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e591689d01906b315da5e686de574bdc570b95d6dae23c1de479e751a39c0c8c</vt:lpwstr>
  </property>
  <property fmtid="{D5CDD505-2E9C-101B-9397-08002B2CF9AE}" pid="3" name="Mendeley Document_1">
    <vt:lpwstr>True</vt:lpwstr>
  </property>
  <property fmtid="{D5CDD505-2E9C-101B-9397-08002B2CF9AE}" pid="4" name="Mendeley Citation Style_1">
    <vt:lpwstr>http://www.zotero.org/styles/american-sociological-association</vt:lpwstr>
  </property>
  <property fmtid="{D5CDD505-2E9C-101B-9397-08002B2CF9AE}" pid="5" name="Mendeley Unique User Id_1">
    <vt:lpwstr>b3f73fbb-33cc-3626-af68-0c5b77b54f9a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http://www.zotero.org/styles/chicago-note-bibliography</vt:lpwstr>
  </property>
  <property fmtid="{D5CDD505-2E9C-101B-9397-08002B2CF9AE}" pid="15" name="Mendeley Recent Style Name 4_1">
    <vt:lpwstr>Chicago Manual of Style 17th edition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