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754C9A" w:rsidP="00441B6F" w:rsidRDefault="006A27BB" w14:paraId="672A6659" w14:textId="4B92B6BB">
      <w:pPr>
        <w:pStyle w:val="Title"/>
        <w:spacing w:after="0"/>
        <w:jc w:val="both"/>
        <w:rPr>
          <w:rFonts w:ascii="Arial" w:hAnsi="Arial" w:cs="Arial"/>
        </w:rPr>
      </w:pPr>
      <w:r w:rsidRPr="006A27BB">
        <w:rPr>
          <w:rFonts w:ascii="Arial" w:hAnsi="Arial" w:cs="Arial"/>
        </w:rPr>
        <w:t>Original Research Article</w:t>
      </w:r>
    </w:p>
    <w:p w:rsidR="006A27BB" w:rsidP="00441B6F" w:rsidRDefault="006A27BB" w14:paraId="630E2900" w14:textId="77777777">
      <w:pPr>
        <w:pStyle w:val="Title"/>
        <w:spacing w:after="0"/>
        <w:jc w:val="both"/>
        <w:rPr>
          <w:rFonts w:ascii="Arial" w:hAnsi="Arial" w:cs="Arial"/>
        </w:rPr>
      </w:pPr>
    </w:p>
    <w:p w:rsidR="61DEFEC4" w:rsidP="26B44573" w:rsidRDefault="61DEFEC4" w14:paraId="520D0F93" w14:textId="1806A974">
      <w:pPr>
        <w:pStyle w:val="Author"/>
        <w:spacing w:line="240" w:lineRule="auto"/>
        <w:rPr>
          <w:rFonts w:ascii="Arial" w:hAnsi="Arial" w:cs="Arial"/>
          <w:sz w:val="36"/>
          <w:szCs w:val="36"/>
        </w:rPr>
      </w:pPr>
      <w:r w:rsidRPr="26B44573">
        <w:rPr>
          <w:rFonts w:ascii="Arial" w:hAnsi="Arial" w:cs="Arial"/>
          <w:sz w:val="36"/>
          <w:szCs w:val="36"/>
        </w:rPr>
        <w:t>Efficacy of Chitosan in Reducing Tooth Sensitivity Induced by In-Office Bleaching: A Randomized, Double-Blind, Controlled Clinical Trial</w:t>
      </w:r>
    </w:p>
    <w:p w:rsidR="00B01FCD" w:rsidP="00441B6F" w:rsidRDefault="121FA513" w14:paraId="112CC7E8" w14:textId="22F02961">
      <w:pPr>
        <w:pStyle w:val="AbstHead"/>
        <w:spacing w:after="0"/>
        <w:jc w:val="both"/>
        <w:rPr>
          <w:rFonts w:ascii="Arial" w:hAnsi="Arial" w:cs="Arial"/>
        </w:rPr>
      </w:pPr>
      <w:r w:rsidRPr="26B44573">
        <w:rPr>
          <w:rFonts w:ascii="Arial" w:hAnsi="Arial" w:cs="Arial"/>
        </w:rPr>
        <w:t>ABSTRACT</w:t>
      </w:r>
    </w:p>
    <w:p w:rsidRPr="00FB3A86" w:rsidR="00790ADA" w:rsidP="00441B6F" w:rsidRDefault="00790ADA" w14:paraId="5A39BBE3" w14:textId="77777777">
      <w:pPr>
        <w:pStyle w:val="AbstHead"/>
        <w:spacing w:after="0"/>
        <w:jc w:val="both"/>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ook w:val="04A0" w:firstRow="1" w:lastRow="0" w:firstColumn="1" w:lastColumn="0" w:noHBand="0" w:noVBand="1"/>
      </w:tblPr>
      <w:tblGrid>
        <w:gridCol w:w="8424"/>
      </w:tblGrid>
      <w:tr w:rsidRPr="001E44FE" w:rsidR="00296529" w:rsidTr="17D1E7E1" w14:paraId="6AD60C3F" w14:textId="77777777">
        <w:tc>
          <w:tcPr>
            <w:tcW w:w="9576" w:type="dxa"/>
            <w:shd w:val="clear" w:color="auto" w:fill="F2F2F2" w:themeFill="background1" w:themeFillShade="F2"/>
            <w:tcMar/>
          </w:tcPr>
          <w:p w:rsidRPr="00BA1B01" w:rsidR="00BA1B01" w:rsidP="26B44573" w:rsidRDefault="5814ED0F" w14:paraId="50C427B0" w14:textId="39CB9ECD">
            <w:pPr>
              <w:pStyle w:val="Body"/>
              <w:spacing w:after="0"/>
              <w:rPr>
                <w:rFonts w:ascii="Arial" w:hAnsi="Arial" w:eastAsia="Calibri" w:cs="Arial"/>
              </w:rPr>
            </w:pPr>
            <w:r w:rsidRPr="26B44573">
              <w:rPr>
                <w:rFonts w:ascii="Arial" w:hAnsi="Arial" w:eastAsia="Calibri" w:cs="Arial"/>
                <w:b/>
                <w:bCs/>
              </w:rPr>
              <w:t xml:space="preserve">Aims: </w:t>
            </w:r>
            <w:r w:rsidRPr="26B44573" w:rsidR="332C4123">
              <w:rPr>
                <w:rFonts w:ascii="Arial" w:hAnsi="Arial" w:eastAsia="Calibri" w:cs="Arial"/>
              </w:rPr>
              <w:t xml:space="preserve">To evaluate the effect of incorporating chitosan microparticles into a commercial desensitizing agent on tooth sensitivity during and after in-office bleaching procedures. </w:t>
            </w:r>
            <w:r w:rsidRPr="26B44573">
              <w:rPr>
                <w:rFonts w:ascii="Arial" w:hAnsi="Arial" w:eastAsia="Calibri" w:cs="Arial"/>
                <w:b/>
                <w:bCs/>
              </w:rPr>
              <w:t>Study design:</w:t>
            </w:r>
            <w:r w:rsidRPr="26B44573">
              <w:rPr>
                <w:rFonts w:ascii="Arial" w:hAnsi="Arial" w:eastAsia="Calibri" w:cs="Arial"/>
              </w:rPr>
              <w:t xml:space="preserve">  </w:t>
            </w:r>
            <w:r w:rsidRPr="26B44573" w:rsidR="6AA43719">
              <w:rPr>
                <w:rFonts w:ascii="Arial" w:hAnsi="Arial" w:eastAsia="Calibri" w:cs="Arial"/>
              </w:rPr>
              <w:t>Randomized, controlled, double-blind clinical trial</w:t>
            </w:r>
            <w:r w:rsidRPr="26B44573">
              <w:rPr>
                <w:rFonts w:ascii="Arial" w:hAnsi="Arial" w:eastAsia="Calibri" w:cs="Arial"/>
              </w:rPr>
              <w:t>.</w:t>
            </w:r>
          </w:p>
          <w:p w:rsidRPr="00BA1B01" w:rsidR="00BA1B01" w:rsidP="26B44573" w:rsidRDefault="5814ED0F" w14:paraId="534AE6B0" w14:textId="388DE71D">
            <w:pPr>
              <w:pStyle w:val="Body"/>
              <w:spacing w:after="0"/>
              <w:rPr>
                <w:rFonts w:ascii="Arial" w:hAnsi="Arial" w:eastAsia="Calibri" w:cs="Arial"/>
              </w:rPr>
            </w:pPr>
            <w:r w:rsidRPr="26B44573">
              <w:rPr>
                <w:rFonts w:ascii="Arial" w:hAnsi="Arial" w:eastAsia="Calibri" w:cs="Arial"/>
                <w:b/>
                <w:bCs/>
              </w:rPr>
              <w:t>Place and Duration of Study:</w:t>
            </w:r>
            <w:r w:rsidRPr="26B44573">
              <w:rPr>
                <w:rFonts w:ascii="Arial" w:hAnsi="Arial" w:eastAsia="Calibri" w:cs="Arial"/>
              </w:rPr>
              <w:t xml:space="preserve"> </w:t>
            </w:r>
            <w:r w:rsidRPr="26B44573" w:rsidR="60956733">
              <w:rPr>
                <w:rFonts w:ascii="Arial" w:hAnsi="Arial" w:eastAsia="Calibri" w:cs="Arial"/>
              </w:rPr>
              <w:t xml:space="preserve">Department of </w:t>
            </w:r>
            <w:r w:rsidRPr="26B44573" w:rsidR="344CFC7E">
              <w:rPr>
                <w:rFonts w:ascii="Arial" w:hAnsi="Arial" w:eastAsia="Calibri" w:cs="Arial"/>
              </w:rPr>
              <w:t>Restorative Dentistry</w:t>
            </w:r>
            <w:r w:rsidRPr="26B44573" w:rsidR="491D940C">
              <w:rPr>
                <w:rFonts w:ascii="Arial" w:hAnsi="Arial" w:eastAsia="Calibri" w:cs="Arial"/>
              </w:rPr>
              <w:t xml:space="preserve"> of State University of West</w:t>
            </w:r>
            <w:r w:rsidRPr="26B44573" w:rsidR="4E9B26BA">
              <w:rPr>
                <w:rFonts w:ascii="Arial" w:hAnsi="Arial" w:eastAsia="Calibri" w:cs="Arial"/>
              </w:rPr>
              <w:t xml:space="preserve"> Paraná (UNIOESTE)</w:t>
            </w:r>
            <w:r w:rsidRPr="26B44573" w:rsidR="344CFC7E">
              <w:rPr>
                <w:rFonts w:ascii="Arial" w:hAnsi="Arial" w:eastAsia="Calibri" w:cs="Arial"/>
              </w:rPr>
              <w:t>, between June and December 2017.</w:t>
            </w:r>
          </w:p>
          <w:p w:rsidR="5814ED0F" w:rsidP="26B44573" w:rsidRDefault="5814ED0F" w14:paraId="4E12EAF5" w14:textId="19824B5B">
            <w:pPr>
              <w:pStyle w:val="Body"/>
              <w:spacing w:after="0"/>
              <w:rPr>
                <w:rFonts w:ascii="Arial" w:hAnsi="Arial" w:eastAsia="Calibri" w:cs="Arial"/>
              </w:rPr>
            </w:pPr>
            <w:r w:rsidRPr="26B44573">
              <w:rPr>
                <w:rFonts w:ascii="Arial" w:hAnsi="Arial" w:eastAsia="Calibri" w:cs="Arial"/>
                <w:b/>
                <w:bCs/>
              </w:rPr>
              <w:t>Methodology:</w:t>
            </w:r>
            <w:r w:rsidRPr="26B44573">
              <w:rPr>
                <w:rFonts w:ascii="Arial" w:hAnsi="Arial" w:eastAsia="Calibri" w:cs="Arial"/>
              </w:rPr>
              <w:t xml:space="preserve"> </w:t>
            </w:r>
            <w:r w:rsidRPr="26B44573" w:rsidR="0D487152">
              <w:rPr>
                <w:rFonts w:ascii="Arial" w:hAnsi="Arial" w:eastAsia="Calibri" w:cs="Arial"/>
              </w:rPr>
              <w:t>F</w:t>
            </w:r>
            <w:r w:rsidRPr="26B44573" w:rsidR="0815456F">
              <w:rPr>
                <w:rFonts w:ascii="Arial" w:hAnsi="Arial" w:eastAsia="Calibri" w:cs="Arial"/>
              </w:rPr>
              <w:t>orty-two patients were selected and randomly assigned to two groups (n = 21 each). The DKF group received only a commercial desensitizing agent, while the DKF + CHI group received the same agent combined with chitosan microparticles. In both groups, 35% hydrogen peroxide was used for in-office bleaching on the upper arch. The desensitizing gel was applied for 10 minutes prior to bleaching. Tooth sensitivity was self-reported by patients using a visual analog scale at 5-minute intervals during bleaching (up to 45 minutes) and at 1, 24, and 48 hours post-procedure. Color change was evaluated at baseline and after 7 days. The Mann–Whitney U test was used for statistical analysis (</w:t>
            </w:r>
            <w:r w:rsidRPr="26B44573" w:rsidR="0123DA4B">
              <w:rPr>
                <w:rFonts w:ascii="Arial" w:hAnsi="Arial" w:eastAsia="Calibri" w:cs="Arial"/>
                <w:i/>
                <w:iCs/>
              </w:rPr>
              <w:t>P</w:t>
            </w:r>
            <w:r w:rsidRPr="26B44573" w:rsidR="0815456F">
              <w:rPr>
                <w:rFonts w:ascii="Arial" w:hAnsi="Arial" w:eastAsia="Calibri" w:cs="Arial"/>
              </w:rPr>
              <w:t xml:space="preserve"> &lt; 0.05).</w:t>
            </w:r>
          </w:p>
          <w:p w:rsidR="5814ED0F" w:rsidP="26B44573" w:rsidRDefault="5814ED0F" w14:paraId="6D6E58B2" w14:textId="54A97E98">
            <w:pPr>
              <w:pStyle w:val="Body"/>
              <w:spacing w:after="0"/>
              <w:rPr>
                <w:rFonts w:ascii="Arial" w:hAnsi="Arial" w:eastAsia="Calibri" w:cs="Arial"/>
                <w:b w:val="1"/>
                <w:bCs w:val="1"/>
              </w:rPr>
            </w:pPr>
            <w:r w:rsidRPr="17D1E7E1" w:rsidR="313330C3">
              <w:rPr>
                <w:rFonts w:ascii="Arial" w:hAnsi="Arial" w:eastAsia="Calibri" w:cs="Arial"/>
                <w:b w:val="1"/>
                <w:bCs w:val="1"/>
              </w:rPr>
              <w:t>Results:</w:t>
            </w:r>
            <w:r w:rsidRPr="17D1E7E1" w:rsidR="313330C3">
              <w:rPr>
                <w:rFonts w:ascii="Arial" w:hAnsi="Arial" w:eastAsia="Calibri" w:cs="Arial"/>
              </w:rPr>
              <w:t xml:space="preserve"> </w:t>
            </w:r>
            <w:r w:rsidRPr="17D1E7E1" w:rsidR="6E8C76AA">
              <w:rPr>
                <w:rFonts w:ascii="Arial" w:hAnsi="Arial" w:eastAsia="Calibri" w:cs="Arial"/>
              </w:rPr>
              <w:t>The DKF + CHI group rep</w:t>
            </w:r>
            <w:r w:rsidRPr="17D1E7E1" w:rsidR="6E8C76AA">
              <w:rPr>
                <w:rFonts w:ascii="Arial" w:hAnsi="Arial" w:eastAsia="Calibri" w:cs="Arial"/>
              </w:rPr>
              <w:t>orted s</w:t>
            </w:r>
            <w:r w:rsidRPr="17D1E7E1" w:rsidR="6E8C76AA">
              <w:rPr>
                <w:rFonts w:ascii="Arial" w:hAnsi="Arial" w:eastAsia="Calibri" w:cs="Arial"/>
              </w:rPr>
              <w:t>ignificantly lower sensitivity levels than the DKF group at 35, 40,</w:t>
            </w:r>
            <w:r w:rsidRPr="17D1E7E1" w:rsidR="6E8C76AA">
              <w:rPr>
                <w:rFonts w:ascii="Arial" w:hAnsi="Arial" w:eastAsia="Calibri" w:cs="Arial"/>
              </w:rPr>
              <w:t xml:space="preserve"> and 45 minute</w:t>
            </w:r>
            <w:r w:rsidRPr="17D1E7E1" w:rsidR="6E8C76AA">
              <w:rPr>
                <w:rFonts w:ascii="Arial" w:hAnsi="Arial" w:eastAsia="Calibri" w:cs="Arial"/>
              </w:rPr>
              <w:t xml:space="preserve">s during the procedure, and at 60 minutes post-treatment (p &lt; 0.05). </w:t>
            </w:r>
            <w:r w:rsidRPr="17D1E7E1" w:rsidR="736EB04C">
              <w:rPr>
                <w:rFonts w:ascii="Arial" w:hAnsi="Arial" w:eastAsia="Calibri" w:cs="Arial"/>
              </w:rPr>
              <w:t xml:space="preserve">The probability of pain occurrence was markedly reduced in the group treated with chitosan, </w:t>
            </w:r>
            <w:r w:rsidRPr="17D1E7E1" w:rsidR="2EED58A0">
              <w:rPr>
                <w:rFonts w:ascii="Arial" w:hAnsi="Arial" w:eastAsia="Calibri" w:cs="Arial"/>
              </w:rPr>
              <w:t xml:space="preserve">supporting </w:t>
            </w:r>
            <w:r w:rsidRPr="17D1E7E1" w:rsidR="736EB04C">
              <w:rPr>
                <w:rFonts w:ascii="Arial" w:hAnsi="Arial" w:eastAsia="Calibri" w:cs="Arial"/>
              </w:rPr>
              <w:t xml:space="preserve">its potential effectiveness as a desensitizing adjunct in clinical bleaching protocols. </w:t>
            </w:r>
            <w:r w:rsidRPr="17D1E7E1" w:rsidR="6E8C76AA">
              <w:rPr>
                <w:rFonts w:ascii="Arial" w:hAnsi="Arial" w:eastAsia="Calibri" w:cs="Arial"/>
              </w:rPr>
              <w:t xml:space="preserve">No statistically significant differences were </w:t>
            </w:r>
            <w:r w:rsidRPr="17D1E7E1" w:rsidR="6E8C76AA">
              <w:rPr>
                <w:rFonts w:ascii="Arial" w:hAnsi="Arial" w:eastAsia="Calibri" w:cs="Arial"/>
              </w:rPr>
              <w:t>observed</w:t>
            </w:r>
            <w:r w:rsidRPr="17D1E7E1" w:rsidR="6E8C76AA">
              <w:rPr>
                <w:rFonts w:ascii="Arial" w:hAnsi="Arial" w:eastAsia="Calibri" w:cs="Arial"/>
              </w:rPr>
              <w:t xml:space="preserve"> between the groups </w:t>
            </w:r>
            <w:r w:rsidRPr="17D1E7E1" w:rsidR="6E8C76AA">
              <w:rPr>
                <w:rFonts w:ascii="Arial" w:hAnsi="Arial" w:eastAsia="Calibri" w:cs="Arial"/>
              </w:rPr>
              <w:t>regarding</w:t>
            </w:r>
            <w:r w:rsidRPr="17D1E7E1" w:rsidR="6E8C76AA">
              <w:rPr>
                <w:rFonts w:ascii="Arial" w:hAnsi="Arial" w:eastAsia="Calibri" w:cs="Arial"/>
              </w:rPr>
              <w:t xml:space="preserve"> bleaching effectiveness.</w:t>
            </w:r>
          </w:p>
          <w:p w:rsidRPr="00BA1B01" w:rsidR="00505F06" w:rsidP="26B44573" w:rsidRDefault="5814ED0F" w14:paraId="3BC5D997" w14:textId="2A5EC582">
            <w:pPr>
              <w:pStyle w:val="Body"/>
              <w:spacing w:after="0"/>
              <w:rPr>
                <w:rFonts w:ascii="Arial" w:hAnsi="Arial" w:eastAsia="Calibri" w:cs="Arial"/>
              </w:rPr>
            </w:pPr>
            <w:r w:rsidRPr="26B44573">
              <w:rPr>
                <w:rFonts w:ascii="Arial" w:hAnsi="Arial" w:eastAsia="Calibri" w:cs="Arial"/>
                <w:b/>
                <w:bCs/>
              </w:rPr>
              <w:t>Conclusion:</w:t>
            </w:r>
            <w:r w:rsidRPr="26B44573">
              <w:rPr>
                <w:rFonts w:ascii="Arial" w:hAnsi="Arial" w:eastAsia="Calibri" w:cs="Arial"/>
              </w:rPr>
              <w:t xml:space="preserve"> </w:t>
            </w:r>
            <w:r w:rsidRPr="26B44573" w:rsidR="7A559F75">
              <w:rPr>
                <w:rFonts w:ascii="Arial" w:hAnsi="Arial" w:eastAsia="Calibri" w:cs="Arial"/>
              </w:rPr>
              <w:t>The incorporation of chitosan microparticles into the desensitizing agent effectively reduces tooth sensitivity associated with in-office bleaching procedures, without compromising the bleaching outcome.</w:t>
            </w:r>
          </w:p>
        </w:tc>
      </w:tr>
    </w:tbl>
    <w:p w:rsidR="00636EB2" w:rsidP="00441B6F" w:rsidRDefault="00636EB2" w14:paraId="0E27B00A" w14:textId="77777777">
      <w:pPr>
        <w:pStyle w:val="Body"/>
        <w:spacing w:after="0"/>
        <w:rPr>
          <w:rFonts w:ascii="Arial" w:hAnsi="Arial" w:cs="Arial"/>
          <w:i/>
        </w:rPr>
      </w:pPr>
    </w:p>
    <w:p w:rsidR="00790ADA" w:rsidP="26B44573" w:rsidRDefault="54A6E1D0" w14:paraId="60061E4C" w14:textId="33029307">
      <w:pPr>
        <w:pStyle w:val="Body"/>
        <w:spacing w:after="0"/>
        <w:rPr>
          <w:rFonts w:ascii="Arial" w:hAnsi="Arial" w:cs="Arial"/>
          <w:i/>
          <w:iCs/>
        </w:rPr>
      </w:pPr>
      <w:r w:rsidRPr="26B44573">
        <w:rPr>
          <w:rFonts w:ascii="Arial" w:hAnsi="Arial" w:cs="Arial"/>
          <w:i/>
          <w:iCs/>
        </w:rPr>
        <w:t xml:space="preserve">Keywords: </w:t>
      </w:r>
      <w:r w:rsidRPr="26B44573" w:rsidR="308C9DD3">
        <w:rPr>
          <w:rFonts w:ascii="Arial" w:hAnsi="Arial" w:cs="Arial"/>
          <w:i/>
          <w:iCs/>
        </w:rPr>
        <w:t>Bleaching; Chitosan; Dentin Sensitivity; Enamel; Tooth Whitening.</w:t>
      </w:r>
    </w:p>
    <w:p w:rsidR="0024282C" w:rsidP="26B44573" w:rsidRDefault="0024282C" w14:paraId="44EAFD9C" w14:textId="367E6DD2">
      <w:pPr>
        <w:pStyle w:val="Body"/>
        <w:spacing w:after="0"/>
        <w:rPr>
          <w:rFonts w:ascii="Arial" w:hAnsi="Arial" w:cs="Arial"/>
          <w:i/>
          <w:iCs/>
        </w:rPr>
      </w:pPr>
    </w:p>
    <w:p w:rsidRPr="00A24E7E" w:rsidR="00505F06" w:rsidP="00441B6F" w:rsidRDefault="00505F06" w14:paraId="4B94D5A5" w14:textId="77777777">
      <w:pPr>
        <w:pStyle w:val="Body"/>
        <w:spacing w:after="0"/>
        <w:rPr>
          <w:rFonts w:ascii="Arial" w:hAnsi="Arial" w:cs="Arial"/>
          <w:i/>
        </w:rPr>
      </w:pPr>
    </w:p>
    <w:p w:rsidR="007F7B32" w:rsidP="00441B6F" w:rsidRDefault="00902823" w14:paraId="6EABAC78" w14:textId="478E15DB">
      <w:pPr>
        <w:pStyle w:val="AbstHead"/>
        <w:spacing w:after="0"/>
        <w:jc w:val="both"/>
        <w:rPr>
          <w:rFonts w:ascii="Arial" w:hAnsi="Arial" w:cs="Arial"/>
        </w:rPr>
      </w:pPr>
      <w:r>
        <w:rPr>
          <w:rFonts w:ascii="Arial" w:hAnsi="Arial" w:cs="Arial"/>
        </w:rPr>
        <w:t xml:space="preserve">1. </w:t>
      </w:r>
      <w:r w:rsidRPr="00FB3A86" w:rsidR="00B01FCD">
        <w:rPr>
          <w:rFonts w:ascii="Arial" w:hAnsi="Arial" w:cs="Arial"/>
        </w:rPr>
        <w:t>INTRODUCTION</w:t>
      </w:r>
      <w:r w:rsidR="007F7B32">
        <w:rPr>
          <w:rFonts w:ascii="Arial" w:hAnsi="Arial" w:cs="Arial"/>
        </w:rPr>
        <w:t xml:space="preserve"> </w:t>
      </w:r>
    </w:p>
    <w:p w:rsidRPr="00FB3A86" w:rsidR="00790ADA" w:rsidP="00441B6F" w:rsidRDefault="00790ADA" w14:paraId="3DEEC669" w14:textId="77777777">
      <w:pPr>
        <w:pStyle w:val="AbstHead"/>
        <w:spacing w:after="0"/>
        <w:jc w:val="both"/>
        <w:rPr>
          <w:rFonts w:ascii="Arial" w:hAnsi="Arial" w:cs="Arial"/>
        </w:rPr>
      </w:pPr>
    </w:p>
    <w:p w:rsidRPr="00FB3A86" w:rsidR="00790ADA" w:rsidP="26B44573" w:rsidRDefault="7BB4E870" w14:paraId="002242A2" w14:textId="35F94077">
      <w:pPr>
        <w:pStyle w:val="Body"/>
        <w:spacing w:after="0"/>
        <w:rPr>
          <w:rFonts w:ascii="Arial" w:hAnsi="Arial" w:cs="Arial"/>
        </w:rPr>
      </w:pPr>
      <w:r w:rsidRPr="26B44573">
        <w:rPr>
          <w:rFonts w:ascii="Arial" w:hAnsi="Arial" w:cs="Arial"/>
        </w:rPr>
        <w:t>The most frequently observed side effect during and after tooth bleaching is hypersensitivity, present in up to 65% of patients undergoing this treatment [1]. This reaction is most commonly related to the in-office bleaching technique, probably due to the high concentration of hydrogen peroxide and the duration of the application. Usually, it is transitory and disappears one or two days after treatment [2]. However, it is a negative effect that can bother patients and make them disrupt the bleaching treatment.</w:t>
      </w:r>
    </w:p>
    <w:p w:rsidRPr="00FB3A86" w:rsidR="00790ADA" w:rsidP="26B44573" w:rsidRDefault="00790ADA" w14:paraId="3BA02736" w14:textId="707F4CB5">
      <w:pPr>
        <w:pStyle w:val="Body"/>
        <w:spacing w:after="0"/>
        <w:rPr>
          <w:rFonts w:ascii="Arial" w:hAnsi="Arial" w:cs="Arial"/>
        </w:rPr>
      </w:pPr>
    </w:p>
    <w:p w:rsidRPr="00FB3A86" w:rsidR="00790ADA" w:rsidP="26B44573" w:rsidRDefault="7BB4E870" w14:paraId="6F42AE3B" w14:textId="19F0960A">
      <w:pPr>
        <w:pStyle w:val="Body"/>
        <w:spacing w:after="0"/>
        <w:rPr>
          <w:rFonts w:ascii="Arial" w:hAnsi="Arial" w:cs="Arial"/>
        </w:rPr>
      </w:pPr>
      <w:r w:rsidRPr="26B44573">
        <w:rPr>
          <w:rFonts w:ascii="Arial" w:hAnsi="Arial" w:cs="Arial"/>
        </w:rPr>
        <w:t xml:space="preserve">To reduce hypersensitivity, desensitizing agents have been indicated before to apply bleaching gels in the office or during home treatment. Different studies suggest that potassium nitrate and sodium fluoride reduce the hypersensitivity reported by patients and do not affect the treatment results [3-5]. Currently, some compounds called “remineralizers” have been added to the bleaching process to reduce the technique's side effects and, consequently, sensitivity. Remineralizers include casein </w:t>
      </w:r>
      <w:proofErr w:type="spellStart"/>
      <w:r w:rsidRPr="26B44573">
        <w:rPr>
          <w:rFonts w:ascii="Arial" w:hAnsi="Arial" w:cs="Arial"/>
        </w:rPr>
        <w:t>phosphopeptide</w:t>
      </w:r>
      <w:proofErr w:type="spellEnd"/>
      <w:r w:rsidRPr="26B44573">
        <w:rPr>
          <w:rFonts w:ascii="Arial" w:hAnsi="Arial" w:cs="Arial"/>
        </w:rPr>
        <w:t xml:space="preserve">-stabilized </w:t>
      </w:r>
      <w:r w:rsidRPr="26B44573">
        <w:rPr>
          <w:rFonts w:ascii="Arial" w:hAnsi="Arial" w:cs="Arial"/>
        </w:rPr>
        <w:lastRenderedPageBreak/>
        <w:t xml:space="preserve">amorphous calcium phosphate (CPP-ACP) [6] and Chitosan, a </w:t>
      </w:r>
      <w:proofErr w:type="spellStart"/>
      <w:r w:rsidRPr="26B44573">
        <w:rPr>
          <w:rFonts w:ascii="Arial" w:hAnsi="Arial" w:cs="Arial"/>
        </w:rPr>
        <w:t>remineralizing</w:t>
      </w:r>
      <w:proofErr w:type="spellEnd"/>
      <w:r w:rsidRPr="26B44573">
        <w:rPr>
          <w:rFonts w:ascii="Arial" w:hAnsi="Arial" w:cs="Arial"/>
        </w:rPr>
        <w:t xml:space="preserve"> agent with anti-erosion potential described in studies both in vitro [7-10] and in situ [8, 11, 12]. Derived from chitin [13], Chitosan is the second most abundant natural polysaccharide in nature, after cellulose. In the presence of acid attacks, Chitosan helps reduce mineral tissue loss. This molecule’s </w:t>
      </w:r>
      <w:proofErr w:type="spellStart"/>
      <w:r w:rsidRPr="26B44573">
        <w:rPr>
          <w:rFonts w:ascii="Arial" w:hAnsi="Arial" w:cs="Arial"/>
        </w:rPr>
        <w:t>remineralizing</w:t>
      </w:r>
      <w:proofErr w:type="spellEnd"/>
      <w:r w:rsidRPr="26B44573">
        <w:rPr>
          <w:rFonts w:ascii="Arial" w:hAnsi="Arial" w:cs="Arial"/>
        </w:rPr>
        <w:t xml:space="preserve"> effect is attributed to its ability to interact electrostatically with the enamel surface and other important agents in the remineralization process, such as salivary proteins and fluoride [7, 12, 14–17]. In this interaction, Chitosan demonstrates the film-forming capability, leading to the formation of deposits on the enamel surface, stabilizing multilayers that are resistant even to subsequent variations in pH [8, 18].</w:t>
      </w:r>
    </w:p>
    <w:p w:rsidRPr="00FB3A86" w:rsidR="00790ADA" w:rsidP="26B44573" w:rsidRDefault="00790ADA" w14:paraId="21CC29A1" w14:textId="532D8D57">
      <w:pPr>
        <w:pStyle w:val="Body"/>
        <w:spacing w:after="0"/>
        <w:rPr>
          <w:rFonts w:ascii="Arial" w:hAnsi="Arial" w:cs="Arial"/>
        </w:rPr>
      </w:pPr>
    </w:p>
    <w:p w:rsidRPr="00FB3A86" w:rsidR="00790ADA" w:rsidP="00441B6F" w:rsidRDefault="7BB4E870" w14:paraId="45FB0818" w14:textId="2126F853">
      <w:pPr>
        <w:pStyle w:val="Body"/>
        <w:spacing w:after="0"/>
        <w:rPr>
          <w:rFonts w:ascii="Arial" w:hAnsi="Arial" w:cs="Arial"/>
        </w:rPr>
      </w:pPr>
      <w:r w:rsidRPr="26B44573">
        <w:rPr>
          <w:rFonts w:ascii="Arial" w:hAnsi="Arial" w:cs="Arial"/>
        </w:rPr>
        <w:t xml:space="preserve">Thus, this study aimed clinically evaluate the action of Chitosan added in one commercial desensitizing agent with potassium nitrate-based desensitizing on tooth sensitivity and bleaching effectiveness during and after tooth bleaching with 35% hydrogen peroxide. The main hypothesis tested was that the </w:t>
      </w:r>
      <w:proofErr w:type="spellStart"/>
      <w:r w:rsidRPr="26B44573">
        <w:rPr>
          <w:rFonts w:ascii="Arial" w:hAnsi="Arial" w:cs="Arial"/>
        </w:rPr>
        <w:t>remineralizing</w:t>
      </w:r>
      <w:proofErr w:type="spellEnd"/>
      <w:r w:rsidRPr="26B44573">
        <w:rPr>
          <w:rFonts w:ascii="Arial" w:hAnsi="Arial" w:cs="Arial"/>
        </w:rPr>
        <w:t xml:space="preserve"> action of Chitosan decreases sensitivity during and after tooth bleaching without interfering with the degree of whitening.</w:t>
      </w:r>
    </w:p>
    <w:p w:rsidR="26B44573" w:rsidP="26B44573" w:rsidRDefault="26B44573" w14:paraId="5541FD21" w14:textId="7BE5247D">
      <w:pPr>
        <w:pStyle w:val="Body"/>
        <w:spacing w:after="0"/>
        <w:rPr>
          <w:rFonts w:ascii="Arial" w:hAnsi="Arial" w:cs="Arial"/>
        </w:rPr>
      </w:pPr>
    </w:p>
    <w:p w:rsidRPr="00FB3A86" w:rsidR="00790ADA" w:rsidP="26B44573" w:rsidRDefault="2D68CCC3" w14:paraId="3461D779" w14:textId="4BA1BBD9">
      <w:pPr>
        <w:pStyle w:val="AbstHead"/>
        <w:spacing w:after="0"/>
        <w:jc w:val="both"/>
        <w:rPr>
          <w:rFonts w:ascii="Arial" w:hAnsi="Arial" w:cs="Arial"/>
        </w:rPr>
      </w:pPr>
      <w:r w:rsidRPr="26B44573">
        <w:rPr>
          <w:rFonts w:ascii="Arial" w:hAnsi="Arial" w:cs="Arial"/>
        </w:rPr>
        <w:t>2. material and method</w:t>
      </w:r>
      <w:r w:rsidRPr="26B44573" w:rsidR="5E48C869">
        <w:rPr>
          <w:rFonts w:ascii="Arial" w:hAnsi="Arial" w:cs="Arial"/>
        </w:rPr>
        <w:t xml:space="preserve">s </w:t>
      </w:r>
    </w:p>
    <w:p w:rsidR="26B44573" w:rsidP="26B44573" w:rsidRDefault="26B44573" w14:paraId="3CAA54BD" w14:textId="604A7404">
      <w:pPr>
        <w:pStyle w:val="AbstHead"/>
        <w:spacing w:after="0"/>
        <w:jc w:val="both"/>
        <w:rPr>
          <w:rFonts w:ascii="Arial" w:hAnsi="Arial" w:cs="Arial"/>
        </w:rPr>
      </w:pPr>
    </w:p>
    <w:p w:rsidR="00505F06" w:rsidP="26B44573" w:rsidRDefault="246068AE" w14:paraId="3CF2D8B6" w14:textId="0BA857BE">
      <w:pPr>
        <w:pStyle w:val="Body"/>
        <w:spacing w:after="0"/>
        <w:rPr>
          <w:rFonts w:ascii="Arial" w:hAnsi="Arial" w:cs="Arial"/>
        </w:rPr>
      </w:pPr>
      <w:r w:rsidRPr="26B44573">
        <w:rPr>
          <w:rFonts w:ascii="Arial" w:hAnsi="Arial" w:cs="Arial"/>
          <w:b/>
          <w:bCs/>
        </w:rPr>
        <w:t xml:space="preserve">2.1 </w:t>
      </w:r>
      <w:r w:rsidRPr="26B44573" w:rsidR="2F8811F0">
        <w:rPr>
          <w:rFonts w:ascii="Arial" w:hAnsi="Arial" w:cs="Arial"/>
          <w:b/>
          <w:bCs/>
        </w:rPr>
        <w:t>Ethics approval and protocol registration</w:t>
      </w:r>
      <w:r w:rsidRPr="26B44573">
        <w:rPr>
          <w:rFonts w:ascii="Arial" w:hAnsi="Arial" w:cs="Arial"/>
        </w:rPr>
        <w:t xml:space="preserve"> </w:t>
      </w:r>
    </w:p>
    <w:p w:rsidR="00902823" w:rsidP="26B44573" w:rsidRDefault="00902823" w14:paraId="7921C6AA" w14:textId="56A18CCC">
      <w:pPr>
        <w:pStyle w:val="Body"/>
        <w:spacing w:after="0"/>
        <w:rPr>
          <w:rFonts w:ascii="Arial" w:hAnsi="Arial" w:cs="Arial"/>
        </w:rPr>
      </w:pPr>
    </w:p>
    <w:p w:rsidR="00902823" w:rsidP="26B44573" w:rsidRDefault="51F2BC43" w14:paraId="60C74667" w14:textId="6232383C">
      <w:pPr>
        <w:pStyle w:val="Body"/>
        <w:spacing w:after="0"/>
        <w:rPr>
          <w:rFonts w:ascii="Arial" w:hAnsi="Arial" w:cs="Arial"/>
        </w:rPr>
      </w:pPr>
      <w:r w:rsidRPr="26B44573">
        <w:rPr>
          <w:rFonts w:ascii="Arial" w:hAnsi="Arial" w:cs="Arial"/>
        </w:rPr>
        <w:t>The experimental design followed the Consolidated Standards of Reporting Trials (CONSORT) statement (Sarkis) and was registered in the Brazilian Clinical Trials Registry (RBR-3m4gbs). The study protocol was reviewed and accepted by the Local Ethics Committee on Investigations Involving Human Subjects (CAAE 65609217.0.0000.0107) and was registered (Brazilian Clinical Trials Registry (RBR-3m4gbs) on July 27th, 2020. All patients who met the selection criteria were informed of the study's objectives, procedures, risks, and benefits and expressed consent to participate by signing the Terms of Free and Enlightened Consent.</w:t>
      </w:r>
    </w:p>
    <w:p w:rsidR="00902823" w:rsidP="26B44573" w:rsidRDefault="00902823" w14:paraId="7860B614" w14:textId="40F2100F">
      <w:pPr>
        <w:pStyle w:val="Body"/>
        <w:spacing w:after="0"/>
        <w:rPr>
          <w:rFonts w:ascii="Arial" w:hAnsi="Arial" w:cs="Arial"/>
        </w:rPr>
      </w:pPr>
    </w:p>
    <w:p w:rsidR="00902823" w:rsidP="26B44573" w:rsidRDefault="67684C6F" w14:paraId="615CAEB7" w14:textId="1B81748B">
      <w:pPr>
        <w:pStyle w:val="Body"/>
        <w:spacing w:after="0"/>
        <w:rPr>
          <w:rFonts w:ascii="Arial" w:hAnsi="Arial" w:cs="Arial"/>
          <w:b/>
          <w:bCs/>
        </w:rPr>
      </w:pPr>
      <w:r w:rsidRPr="26B44573">
        <w:rPr>
          <w:rFonts w:ascii="Arial" w:hAnsi="Arial" w:cs="Arial"/>
          <w:b/>
          <w:bCs/>
        </w:rPr>
        <w:t>2.2 Trial design, settings and recruitment</w:t>
      </w:r>
    </w:p>
    <w:p w:rsidR="00902823" w:rsidP="26B44573" w:rsidRDefault="00902823" w14:paraId="4856FD30" w14:textId="7E19B5ED">
      <w:pPr>
        <w:pStyle w:val="Body"/>
        <w:spacing w:after="0"/>
        <w:rPr>
          <w:rFonts w:ascii="Arial" w:hAnsi="Arial" w:cs="Arial"/>
          <w:b/>
          <w:bCs/>
        </w:rPr>
      </w:pPr>
    </w:p>
    <w:p w:rsidR="00902823" w:rsidP="26B44573" w:rsidRDefault="67684C6F" w14:paraId="162BAF3D" w14:textId="52B25BF1">
      <w:pPr>
        <w:pStyle w:val="Body"/>
        <w:spacing w:after="0"/>
        <w:rPr>
          <w:rFonts w:ascii="Arial" w:hAnsi="Arial" w:cs="Arial"/>
        </w:rPr>
      </w:pPr>
      <w:r w:rsidRPr="26B44573">
        <w:rPr>
          <w:rFonts w:ascii="Arial" w:hAnsi="Arial" w:cs="Arial"/>
        </w:rPr>
        <w:t>This clinical trial, randomized, double-blinded, and parallel, was conducted between June and December 2017. This randomized clinical trial had the following outcomes evaluated: tooth sensitivity and bleaching effectiveness, and the factors of variations were desensitizing agents and times. The participants were recruited through advertisements published in the local community.</w:t>
      </w:r>
    </w:p>
    <w:p w:rsidR="00902823" w:rsidP="26B44573" w:rsidRDefault="00902823" w14:paraId="3F4A9B82" w14:textId="7211D07D">
      <w:pPr>
        <w:pStyle w:val="Body"/>
        <w:spacing w:after="0"/>
        <w:rPr>
          <w:rFonts w:ascii="Arial" w:hAnsi="Arial" w:cs="Arial"/>
        </w:rPr>
      </w:pPr>
    </w:p>
    <w:p w:rsidR="00902823" w:rsidP="26B44573" w:rsidRDefault="67684C6F" w14:paraId="0A59C71C" w14:textId="4A4C2240">
      <w:pPr>
        <w:pStyle w:val="Body"/>
        <w:spacing w:after="0"/>
        <w:rPr>
          <w:rFonts w:ascii="Arial" w:hAnsi="Arial" w:cs="Arial"/>
          <w:b/>
          <w:bCs/>
        </w:rPr>
      </w:pPr>
      <w:r w:rsidRPr="26B44573">
        <w:rPr>
          <w:rFonts w:ascii="Arial" w:hAnsi="Arial" w:cs="Arial"/>
          <w:b/>
          <w:bCs/>
        </w:rPr>
        <w:t>2.3 Randomization, allocation concealment and blinding</w:t>
      </w:r>
    </w:p>
    <w:p w:rsidR="00902823" w:rsidP="26B44573" w:rsidRDefault="00902823" w14:paraId="6C605BC5" w14:textId="1384B49A">
      <w:pPr>
        <w:pStyle w:val="Body"/>
        <w:spacing w:after="0"/>
        <w:rPr>
          <w:rFonts w:ascii="Arial" w:hAnsi="Arial" w:cs="Arial"/>
          <w:b/>
          <w:bCs/>
        </w:rPr>
      </w:pPr>
    </w:p>
    <w:p w:rsidR="00902823" w:rsidP="26B44573" w:rsidRDefault="67684C6F" w14:paraId="2CA2915A" w14:textId="73DE1F41">
      <w:pPr>
        <w:pStyle w:val="Body"/>
        <w:spacing w:after="0"/>
        <w:rPr>
          <w:rFonts w:ascii="Arial" w:hAnsi="Arial" w:cs="Arial"/>
        </w:rPr>
      </w:pPr>
      <w:r w:rsidRPr="26B44573">
        <w:rPr>
          <w:rFonts w:ascii="Arial" w:hAnsi="Arial" w:cs="Arial"/>
        </w:rPr>
        <w:t>This controlled clinical trial had an equal allocation rate to the groups. Simple randomization was performed using an open access online system (GraphPad.com - https://www.graphpad.com/quickcalcs/randomize1.cfm) by a third person not involved in the implementation and evaluation steps. During the application of the desensitizing gel, the patient and the evaluator did not know to which experimental group each patient belonged, not allowing this to interfere with the patient's perception of sensitivity. According to the CONSORT flow diagram, the distribution and dynamics of the groups are shown in Figure 1.</w:t>
      </w:r>
    </w:p>
    <w:p w:rsidR="00902823" w:rsidP="26B44573" w:rsidRDefault="00902823" w14:paraId="1FEB62FF" w14:textId="079BFB24">
      <w:pPr>
        <w:pStyle w:val="Body"/>
        <w:spacing w:after="0"/>
        <w:rPr>
          <w:rFonts w:ascii="Arial" w:hAnsi="Arial" w:cs="Arial"/>
          <w:b/>
          <w:bCs/>
        </w:rPr>
      </w:pPr>
    </w:p>
    <w:p w:rsidR="00902823" w:rsidP="17D1E7E1" w:rsidRDefault="00902823" w14:paraId="5B11B35D" w14:textId="2DFC4C92">
      <w:pPr>
        <w:spacing w:after="0"/>
        <w:jc w:val="center"/>
        <w:rPr>
          <w:rFonts w:ascii="Arial" w:hAnsi="Arial" w:cs="Arial"/>
        </w:rPr>
      </w:pPr>
      <w:r w:rsidR="658F5377">
        <w:drawing>
          <wp:inline wp14:editId="75CF7480" wp14:anchorId="1016291F">
            <wp:extent cx="4667321" cy="4189949"/>
            <wp:effectExtent l="0" t="0" r="0" b="0"/>
            <wp:docPr id="1747029898" name="" title=""/>
            <wp:cNvGraphicFramePr>
              <a:graphicFrameLocks noChangeAspect="1"/>
            </wp:cNvGraphicFramePr>
            <a:graphic>
              <a:graphicData uri="http://schemas.openxmlformats.org/drawingml/2006/picture">
                <pic:pic>
                  <pic:nvPicPr>
                    <pic:cNvPr id="0" name=""/>
                    <pic:cNvPicPr/>
                  </pic:nvPicPr>
                  <pic:blipFill>
                    <a:blip r:embed="Ra3eea3ad28d442f5">
                      <a:extLst>
                        <a:ext xmlns:a="http://schemas.openxmlformats.org/drawingml/2006/main" uri="{28A0092B-C50C-407E-A947-70E740481C1C}">
                          <a14:useLocalDpi val="0"/>
                        </a:ext>
                      </a:extLst>
                    </a:blip>
                    <a:srcRect l="5167" t="4197" r="3875" b="38138"/>
                    <a:stretch>
                      <a:fillRect/>
                    </a:stretch>
                  </pic:blipFill>
                  <pic:spPr>
                    <a:xfrm>
                      <a:off x="0" y="0"/>
                      <a:ext cx="4667321" cy="4189949"/>
                    </a:xfrm>
                    <a:prstGeom prst="rect">
                      <a:avLst/>
                    </a:prstGeom>
                  </pic:spPr>
                </pic:pic>
              </a:graphicData>
            </a:graphic>
          </wp:inline>
        </w:drawing>
      </w:r>
    </w:p>
    <w:p w:rsidR="658F5377" w:rsidP="17D1E7E1" w:rsidRDefault="658F5377" w14:paraId="405178F8" w14:textId="533EA2AE">
      <w:pPr>
        <w:spacing w:after="0"/>
        <w:jc w:val="center"/>
        <w:rPr>
          <w:rFonts w:ascii="Arial" w:hAnsi="Arial" w:cs="Arial"/>
          <w:b w:val="1"/>
          <w:bCs w:val="1"/>
        </w:rPr>
      </w:pPr>
      <w:r w:rsidRPr="17D1E7E1" w:rsidR="658F5377">
        <w:rPr>
          <w:rFonts w:ascii="Arial" w:hAnsi="Arial" w:cs="Arial"/>
          <w:b w:val="1"/>
          <w:bCs w:val="1"/>
        </w:rPr>
        <w:t xml:space="preserve">Fig. 1. </w:t>
      </w:r>
      <w:r w:rsidRPr="17D1E7E1" w:rsidR="7E2DB6B7">
        <w:rPr>
          <w:rFonts w:ascii="Arial" w:hAnsi="Arial" w:cs="Arial"/>
          <w:b w:val="1"/>
          <w:bCs w:val="1"/>
        </w:rPr>
        <w:t>CONSORT flow diagram illustrating group allocation and study process</w:t>
      </w:r>
    </w:p>
    <w:p w:rsidR="17D1E7E1" w:rsidP="17D1E7E1" w:rsidRDefault="17D1E7E1" w14:paraId="41BBF19B" w14:textId="015E3825">
      <w:pPr>
        <w:pStyle w:val="Body"/>
        <w:spacing w:after="0"/>
        <w:jc w:val="center"/>
        <w:rPr>
          <w:rFonts w:ascii="Arial" w:hAnsi="Arial" w:cs="Arial"/>
        </w:rPr>
      </w:pPr>
    </w:p>
    <w:p w:rsidR="00902823" w:rsidP="26B44573" w:rsidRDefault="7BFD3E5D" w14:paraId="2A903DF8" w14:textId="7329C558">
      <w:pPr>
        <w:pStyle w:val="Body"/>
        <w:spacing w:after="0"/>
        <w:rPr>
          <w:rFonts w:ascii="Arial" w:hAnsi="Arial" w:cs="Arial"/>
          <w:b/>
          <w:bCs/>
        </w:rPr>
      </w:pPr>
      <w:r w:rsidRPr="26B44573">
        <w:rPr>
          <w:rFonts w:ascii="Arial" w:hAnsi="Arial" w:cs="Arial"/>
          <w:b/>
          <w:bCs/>
        </w:rPr>
        <w:t>2.4 Eligibility criteria</w:t>
      </w:r>
    </w:p>
    <w:p w:rsidR="00902823" w:rsidP="26B44573" w:rsidRDefault="00902823" w14:paraId="2C1B4AF8" w14:textId="2C8B989D">
      <w:pPr>
        <w:pStyle w:val="Body"/>
        <w:spacing w:after="0"/>
        <w:rPr>
          <w:rFonts w:ascii="Arial" w:hAnsi="Arial" w:cs="Arial"/>
          <w:b/>
          <w:bCs/>
        </w:rPr>
      </w:pPr>
    </w:p>
    <w:p w:rsidR="00902823" w:rsidP="26B44573" w:rsidRDefault="7BFD3E5D" w14:paraId="3A4AADC2" w14:textId="25ED964B">
      <w:pPr>
        <w:pStyle w:val="Body"/>
        <w:spacing w:after="0"/>
        <w:rPr>
          <w:rFonts w:ascii="Arial" w:hAnsi="Arial" w:cs="Arial"/>
        </w:rPr>
      </w:pPr>
      <w:r w:rsidRPr="26B44573">
        <w:rPr>
          <w:rFonts w:ascii="Arial" w:hAnsi="Arial" w:cs="Arial"/>
        </w:rPr>
        <w:t xml:space="preserve">Patients of both genders, aged between 18 and 40 years, were included. They had good oral and general health status (absence of gingivitis, periodontitis, dental mobility, and diabetes). Additional inclusion criteria were teeth 15 to 25 in the dental arch and free of caries and </w:t>
      </w:r>
      <w:r w:rsidRPr="26B44573">
        <w:rPr>
          <w:rFonts w:ascii="Arial" w:hAnsi="Arial" w:cs="Arial"/>
        </w:rPr>
        <w:lastRenderedPageBreak/>
        <w:t xml:space="preserve">restorations. The central incisors had an initial color saturation rated as A2 or more in the </w:t>
      </w:r>
      <w:proofErr w:type="spellStart"/>
      <w:r w:rsidRPr="26B44573">
        <w:rPr>
          <w:rFonts w:ascii="Arial" w:hAnsi="Arial" w:cs="Arial"/>
        </w:rPr>
        <w:t>Vitapan</w:t>
      </w:r>
      <w:proofErr w:type="spellEnd"/>
      <w:r w:rsidRPr="26B44573">
        <w:rPr>
          <w:rFonts w:ascii="Arial" w:hAnsi="Arial" w:cs="Arial"/>
        </w:rPr>
        <w:t xml:space="preserve"> Classical shade guide (Vita </w:t>
      </w:r>
      <w:proofErr w:type="spellStart"/>
      <w:r w:rsidRPr="26B44573">
        <w:rPr>
          <w:rFonts w:ascii="Arial" w:hAnsi="Arial" w:cs="Arial"/>
        </w:rPr>
        <w:t>Zahnfabrik</w:t>
      </w:r>
      <w:proofErr w:type="spellEnd"/>
      <w:r w:rsidRPr="26B44573">
        <w:rPr>
          <w:rFonts w:ascii="Arial" w:hAnsi="Arial" w:cs="Arial"/>
        </w:rPr>
        <w:t xml:space="preserve">, Bad </w:t>
      </w:r>
      <w:proofErr w:type="spellStart"/>
      <w:r w:rsidRPr="26B44573">
        <w:rPr>
          <w:rFonts w:ascii="Arial" w:hAnsi="Arial" w:cs="Arial"/>
        </w:rPr>
        <w:t>Säckingen</w:t>
      </w:r>
      <w:proofErr w:type="spellEnd"/>
      <w:r w:rsidRPr="26B44573">
        <w:rPr>
          <w:rFonts w:ascii="Arial" w:hAnsi="Arial" w:cs="Arial"/>
        </w:rPr>
        <w:t>, Germany). Patients who had already undergone a previous tooth bleaching procedure or had teeth with severe internal discoloration (resulting from tetracycline staining, fluorosis, or endodontic treatment) were not included in the study. Additional exclusion criteria were: active periodontal disease; dental mobility in any degree; uncontrolled caries activity; concurrent orthodontic treatment; mandibular temporal dysfunction; history of adverse reaction to any of the materials used in this study; pregnancy or lactation and patients with teeth in potential conditions for sensitivity (such as gingival recession, exposed dentin, or enamel malformation) [19].</w:t>
      </w:r>
    </w:p>
    <w:p w:rsidR="00902823" w:rsidP="26B44573" w:rsidRDefault="00902823" w14:paraId="1A44A47E" w14:textId="3EF595D5">
      <w:pPr>
        <w:pStyle w:val="Body"/>
        <w:spacing w:after="0"/>
        <w:rPr>
          <w:rFonts w:ascii="Arial" w:hAnsi="Arial" w:cs="Arial"/>
        </w:rPr>
      </w:pPr>
    </w:p>
    <w:p w:rsidR="00902823" w:rsidP="26B44573" w:rsidRDefault="7BFD3E5D" w14:paraId="2B3671A3" w14:textId="06DD6A1A">
      <w:pPr>
        <w:pStyle w:val="Body"/>
        <w:spacing w:after="0"/>
        <w:rPr>
          <w:rFonts w:ascii="Arial" w:hAnsi="Arial" w:cs="Arial"/>
          <w:b/>
          <w:bCs/>
        </w:rPr>
      </w:pPr>
      <w:r w:rsidRPr="26B44573">
        <w:rPr>
          <w:rFonts w:ascii="Arial" w:hAnsi="Arial" w:cs="Arial"/>
          <w:b/>
          <w:bCs/>
        </w:rPr>
        <w:t>2.5 Study intervention</w:t>
      </w:r>
    </w:p>
    <w:p w:rsidR="00902823" w:rsidP="26B44573" w:rsidRDefault="00902823" w14:paraId="45F88847" w14:textId="48E3CA17">
      <w:pPr>
        <w:pStyle w:val="Body"/>
        <w:spacing w:after="0"/>
        <w:rPr>
          <w:rFonts w:ascii="Arial" w:hAnsi="Arial" w:cs="Arial"/>
          <w:b/>
          <w:bCs/>
        </w:rPr>
      </w:pPr>
    </w:p>
    <w:p w:rsidR="00902823" w:rsidP="26B44573" w:rsidRDefault="7BFD3E5D" w14:paraId="31E8B81A" w14:textId="64732B8A">
      <w:pPr>
        <w:pStyle w:val="Body"/>
        <w:spacing w:after="0"/>
        <w:rPr>
          <w:rFonts w:ascii="Arial" w:hAnsi="Arial" w:cs="Arial"/>
        </w:rPr>
      </w:pPr>
      <w:r w:rsidRPr="26B44573">
        <w:rPr>
          <w:rFonts w:ascii="Arial" w:hAnsi="Arial" w:cs="Arial"/>
        </w:rPr>
        <w:t>A draw randomly assigned the participants to two experimental groups (n = 21) according to the desensitizing agent before the bleaching treatment. Table 1 shows the composition of the agents used. In the control group (DKF), 5% potassium nitrate with 2% sodium fluoride (</w:t>
      </w:r>
      <w:proofErr w:type="spellStart"/>
      <w:r w:rsidRPr="26B44573">
        <w:rPr>
          <w:rFonts w:ascii="Arial" w:hAnsi="Arial" w:cs="Arial"/>
        </w:rPr>
        <w:t>Desensibilize</w:t>
      </w:r>
      <w:proofErr w:type="spellEnd"/>
      <w:r w:rsidRPr="26B44573">
        <w:rPr>
          <w:rFonts w:ascii="Arial" w:hAnsi="Arial" w:cs="Arial"/>
        </w:rPr>
        <w:t xml:space="preserve"> KF, FGM </w:t>
      </w:r>
      <w:proofErr w:type="spellStart"/>
      <w:r w:rsidRPr="26B44573">
        <w:rPr>
          <w:rFonts w:ascii="Arial" w:hAnsi="Arial" w:cs="Arial"/>
        </w:rPr>
        <w:t>Produtos</w:t>
      </w:r>
      <w:proofErr w:type="spellEnd"/>
      <w:r w:rsidRPr="26B44573">
        <w:rPr>
          <w:rFonts w:ascii="Arial" w:hAnsi="Arial" w:cs="Arial"/>
        </w:rPr>
        <w:t xml:space="preserve"> </w:t>
      </w:r>
      <w:proofErr w:type="spellStart"/>
      <w:r w:rsidRPr="26B44573">
        <w:rPr>
          <w:rFonts w:ascii="Arial" w:hAnsi="Arial" w:cs="Arial"/>
        </w:rPr>
        <w:t>Odontológicos</w:t>
      </w:r>
      <w:proofErr w:type="spellEnd"/>
      <w:r w:rsidRPr="26B44573">
        <w:rPr>
          <w:rFonts w:ascii="Arial" w:hAnsi="Arial" w:cs="Arial"/>
        </w:rPr>
        <w:t>, Joinville, Brazil) was used; in the test group (DKF + CHI), the same desensitizer was used with added Chitosan microparticles (Sigma-Aldrich, São Paulo, Brazil), obtained by the spray-drying method. For the elaboration of the DKF + CHI group gel, a total of 0.05 g of Chitosan was dispensed in model J10 polystyrene flasks (</w:t>
      </w:r>
      <w:proofErr w:type="spellStart"/>
      <w:r w:rsidRPr="26B44573">
        <w:rPr>
          <w:rFonts w:ascii="Arial" w:hAnsi="Arial" w:cs="Arial"/>
        </w:rPr>
        <w:t>Injeplast</w:t>
      </w:r>
      <w:proofErr w:type="spellEnd"/>
      <w:r w:rsidRPr="26B44573">
        <w:rPr>
          <w:rFonts w:ascii="Arial" w:hAnsi="Arial" w:cs="Arial"/>
        </w:rPr>
        <w:t xml:space="preserve"> do Brazil, Colombo, Brazil).</w:t>
      </w:r>
    </w:p>
    <w:p w:rsidR="00902823" w:rsidP="26B44573" w:rsidRDefault="00902823" w14:paraId="419F3D41" w14:textId="3784A790">
      <w:pPr>
        <w:pStyle w:val="Body"/>
        <w:spacing w:after="0"/>
        <w:rPr>
          <w:rFonts w:ascii="Arial" w:hAnsi="Arial" w:cs="Arial"/>
          <w:b/>
          <w:bCs/>
        </w:rPr>
      </w:pPr>
    </w:p>
    <w:p w:rsidR="00902823" w:rsidP="26B44573" w:rsidRDefault="7BFD3E5D" w14:paraId="27706C1B" w14:textId="7CCF940E">
      <w:pPr>
        <w:pStyle w:val="Body"/>
        <w:spacing w:after="0"/>
        <w:rPr>
          <w:rFonts w:ascii="Arial" w:hAnsi="Arial" w:cs="Arial"/>
        </w:rPr>
      </w:pPr>
      <w:r w:rsidRPr="26B44573">
        <w:rPr>
          <w:rFonts w:ascii="Arial" w:hAnsi="Arial" w:cs="Arial"/>
          <w:b/>
          <w:bCs/>
        </w:rPr>
        <w:t>Table 1</w:t>
      </w:r>
      <w:r w:rsidRPr="26B44573" w:rsidR="610283B4">
        <w:rPr>
          <w:rFonts w:ascii="Arial" w:hAnsi="Arial" w:cs="Arial"/>
          <w:b/>
          <w:bCs/>
        </w:rPr>
        <w:t>.</w:t>
      </w:r>
      <w:r w:rsidRPr="26B44573">
        <w:rPr>
          <w:rFonts w:ascii="Arial" w:hAnsi="Arial" w:cs="Arial"/>
          <w:b/>
          <w:bCs/>
        </w:rPr>
        <w:t xml:space="preserve"> Composition of the desensitizing agents for control and test groups</w:t>
      </w:r>
    </w:p>
    <w:tbl>
      <w:tblPr>
        <w:tblStyle w:val="TableGrid"/>
        <w:tblW w:w="0" w:type="auto"/>
        <w:tblBorders>
          <w:top w:val="single" w:color="000000" w:themeColor="text1" w:sz="4" w:space="0"/>
          <w:left w:val="none" w:color="000000" w:themeColor="text1" w:sz="4" w:space="0"/>
          <w:bottom w:val="single" w:color="000000" w:themeColor="text1" w:sz="4" w:space="0"/>
          <w:right w:val="none" w:color="000000" w:themeColor="text1" w:sz="4" w:space="0"/>
          <w:insideH w:val="none" w:color="000000" w:themeColor="text1" w:sz="4" w:space="0"/>
          <w:insideV w:val="none" w:color="000000" w:themeColor="text1" w:sz="4" w:space="0"/>
        </w:tblBorders>
        <w:tblLayout w:type="fixed"/>
        <w:tblLook w:val="06A0" w:firstRow="1" w:lastRow="0" w:firstColumn="1" w:lastColumn="0" w:noHBand="1" w:noVBand="1"/>
      </w:tblPr>
      <w:tblGrid>
        <w:gridCol w:w="2580"/>
        <w:gridCol w:w="2890"/>
        <w:gridCol w:w="2735"/>
      </w:tblGrid>
      <w:tr w:rsidR="26B44573" w:rsidTr="26B44573" w14:paraId="268E5567" w14:textId="77777777">
        <w:trPr>
          <w:trHeight w:val="300"/>
        </w:trPr>
        <w:tc>
          <w:tcPr>
            <w:tcW w:w="2580" w:type="dxa"/>
            <w:tcBorders>
              <w:bottom w:val="single" w:color="000000" w:themeColor="text1" w:sz="4" w:space="0"/>
            </w:tcBorders>
            <w:vAlign w:val="center"/>
          </w:tcPr>
          <w:p w:rsidR="7BFD3E5D" w:rsidP="26B44573" w:rsidRDefault="7BFD3E5D" w14:paraId="5D768A03" w14:textId="195D84D2">
            <w:pPr>
              <w:pStyle w:val="Body"/>
              <w:spacing w:after="0"/>
              <w:jc w:val="center"/>
              <w:rPr>
                <w:rFonts w:ascii="Arial" w:hAnsi="Arial" w:cs="Arial"/>
                <w:b/>
                <w:bCs/>
                <w:sz w:val="20"/>
                <w:szCs w:val="20"/>
              </w:rPr>
            </w:pPr>
            <w:r w:rsidRPr="26B44573">
              <w:rPr>
                <w:rFonts w:ascii="Arial" w:hAnsi="Arial" w:cs="Arial"/>
                <w:b/>
                <w:bCs/>
                <w:sz w:val="20"/>
                <w:szCs w:val="20"/>
              </w:rPr>
              <w:t>Product</w:t>
            </w:r>
          </w:p>
        </w:tc>
        <w:tc>
          <w:tcPr>
            <w:tcW w:w="2890" w:type="dxa"/>
            <w:tcBorders>
              <w:bottom w:val="single" w:color="000000" w:themeColor="text1" w:sz="4" w:space="0"/>
            </w:tcBorders>
            <w:vAlign w:val="center"/>
          </w:tcPr>
          <w:p w:rsidR="7BFD3E5D" w:rsidP="26B44573" w:rsidRDefault="7BFD3E5D" w14:paraId="0C0FB1A5" w14:textId="2A6D0AF9">
            <w:pPr>
              <w:pStyle w:val="Body"/>
              <w:spacing w:after="0"/>
              <w:jc w:val="center"/>
              <w:rPr>
                <w:rFonts w:ascii="Arial" w:hAnsi="Arial" w:cs="Arial"/>
                <w:b/>
                <w:bCs/>
                <w:sz w:val="20"/>
                <w:szCs w:val="20"/>
              </w:rPr>
            </w:pPr>
            <w:r w:rsidRPr="26B44573">
              <w:rPr>
                <w:rFonts w:ascii="Arial" w:hAnsi="Arial" w:cs="Arial"/>
                <w:b/>
                <w:bCs/>
                <w:sz w:val="20"/>
                <w:szCs w:val="20"/>
              </w:rPr>
              <w:t>Trade name</w:t>
            </w:r>
          </w:p>
        </w:tc>
        <w:tc>
          <w:tcPr>
            <w:tcW w:w="2735" w:type="dxa"/>
            <w:tcBorders>
              <w:bottom w:val="single" w:color="000000" w:themeColor="text1" w:sz="4" w:space="0"/>
            </w:tcBorders>
            <w:vAlign w:val="center"/>
          </w:tcPr>
          <w:p w:rsidR="7BFD3E5D" w:rsidP="26B44573" w:rsidRDefault="7BFD3E5D" w14:paraId="7E98B1F4" w14:textId="5A7467A4">
            <w:pPr>
              <w:pStyle w:val="Body"/>
              <w:spacing w:after="0"/>
              <w:jc w:val="center"/>
              <w:rPr>
                <w:rFonts w:ascii="Arial" w:hAnsi="Arial" w:cs="Arial"/>
                <w:b/>
                <w:bCs/>
                <w:sz w:val="20"/>
                <w:szCs w:val="20"/>
              </w:rPr>
            </w:pPr>
            <w:r w:rsidRPr="26B44573">
              <w:rPr>
                <w:rFonts w:ascii="Arial" w:hAnsi="Arial" w:cs="Arial"/>
                <w:b/>
                <w:bCs/>
                <w:sz w:val="20"/>
                <w:szCs w:val="20"/>
              </w:rPr>
              <w:t>Composition</w:t>
            </w:r>
          </w:p>
        </w:tc>
      </w:tr>
      <w:tr w:rsidR="26B44573" w:rsidTr="26B44573" w14:paraId="40CD34C0" w14:textId="77777777">
        <w:trPr>
          <w:trHeight w:val="300"/>
        </w:trPr>
        <w:tc>
          <w:tcPr>
            <w:tcW w:w="2580" w:type="dxa"/>
            <w:tcBorders>
              <w:top w:val="single" w:color="000000" w:themeColor="text1" w:sz="4" w:space="0"/>
            </w:tcBorders>
            <w:vAlign w:val="center"/>
          </w:tcPr>
          <w:p w:rsidR="264D6FA6" w:rsidP="26B44573" w:rsidRDefault="264D6FA6" w14:paraId="3467835E" w14:textId="42F041AE">
            <w:pPr>
              <w:pStyle w:val="Body"/>
              <w:spacing w:after="0"/>
              <w:rPr>
                <w:rFonts w:ascii="Arial" w:hAnsi="Arial" w:cs="Arial"/>
                <w:sz w:val="20"/>
                <w:szCs w:val="20"/>
              </w:rPr>
            </w:pPr>
            <w:r w:rsidRPr="26B44573">
              <w:rPr>
                <w:rFonts w:ascii="Arial" w:hAnsi="Arial" w:cs="Arial"/>
                <w:sz w:val="20"/>
                <w:szCs w:val="20"/>
              </w:rPr>
              <w:t>Whitening agent</w:t>
            </w:r>
          </w:p>
        </w:tc>
        <w:tc>
          <w:tcPr>
            <w:tcW w:w="2890" w:type="dxa"/>
            <w:tcBorders>
              <w:top w:val="single" w:color="000000" w:themeColor="text1" w:sz="4" w:space="0"/>
            </w:tcBorders>
            <w:vAlign w:val="center"/>
          </w:tcPr>
          <w:p w:rsidR="264D6FA6" w:rsidP="26B44573" w:rsidRDefault="264D6FA6" w14:paraId="63BDF097" w14:textId="03D8CAC8">
            <w:pPr>
              <w:pStyle w:val="Body"/>
              <w:spacing w:after="0"/>
              <w:jc w:val="left"/>
              <w:rPr>
                <w:rFonts w:ascii="Arial" w:hAnsi="Arial" w:cs="Arial"/>
                <w:sz w:val="20"/>
                <w:szCs w:val="20"/>
              </w:rPr>
            </w:pPr>
            <w:r w:rsidRPr="26B44573">
              <w:rPr>
                <w:rFonts w:ascii="Arial" w:hAnsi="Arial" w:cs="Arial"/>
                <w:sz w:val="20"/>
                <w:szCs w:val="20"/>
                <w:lang w:val="pt-BR"/>
              </w:rPr>
              <w:t>Whiteness HP Maxx (FGM Produtos Odontológicos, Joinville, SC, Brazil)</w:t>
            </w:r>
          </w:p>
        </w:tc>
        <w:tc>
          <w:tcPr>
            <w:tcW w:w="2735" w:type="dxa"/>
            <w:tcBorders>
              <w:top w:val="single" w:color="000000" w:themeColor="text1" w:sz="4" w:space="0"/>
            </w:tcBorders>
            <w:vAlign w:val="center"/>
          </w:tcPr>
          <w:p w:rsidR="264D6FA6" w:rsidP="26B44573" w:rsidRDefault="264D6FA6" w14:paraId="6AFA9265" w14:textId="3730E5E8">
            <w:pPr>
              <w:pStyle w:val="Body"/>
              <w:spacing w:after="0"/>
              <w:jc w:val="left"/>
              <w:rPr>
                <w:rFonts w:ascii="Arial" w:hAnsi="Arial" w:cs="Arial"/>
                <w:sz w:val="20"/>
                <w:szCs w:val="20"/>
              </w:rPr>
            </w:pPr>
            <w:r w:rsidRPr="26B44573">
              <w:rPr>
                <w:rFonts w:ascii="Arial" w:hAnsi="Arial" w:cs="Arial"/>
                <w:sz w:val="20"/>
                <w:szCs w:val="20"/>
              </w:rPr>
              <w:t>35% hydrogen peroxide (after mixing of phases)</w:t>
            </w:r>
          </w:p>
        </w:tc>
      </w:tr>
      <w:tr w:rsidR="26B44573" w:rsidTr="26B44573" w14:paraId="350C1196" w14:textId="77777777">
        <w:trPr>
          <w:trHeight w:val="300"/>
        </w:trPr>
        <w:tc>
          <w:tcPr>
            <w:tcW w:w="2580" w:type="dxa"/>
            <w:vAlign w:val="center"/>
          </w:tcPr>
          <w:p w:rsidR="264D6FA6" w:rsidP="26B44573" w:rsidRDefault="264D6FA6" w14:paraId="7486E733" w14:textId="1FAB3EDD">
            <w:pPr>
              <w:pStyle w:val="Body"/>
              <w:spacing w:after="0"/>
              <w:rPr>
                <w:rFonts w:ascii="Arial" w:hAnsi="Arial" w:cs="Arial"/>
                <w:sz w:val="20"/>
                <w:szCs w:val="20"/>
              </w:rPr>
            </w:pPr>
            <w:r w:rsidRPr="26B44573">
              <w:rPr>
                <w:rFonts w:ascii="Arial" w:hAnsi="Arial" w:cs="Arial"/>
                <w:sz w:val="20"/>
                <w:szCs w:val="20"/>
              </w:rPr>
              <w:t>Desensitizing agent</w:t>
            </w:r>
          </w:p>
        </w:tc>
        <w:tc>
          <w:tcPr>
            <w:tcW w:w="2890" w:type="dxa"/>
            <w:vAlign w:val="center"/>
          </w:tcPr>
          <w:p w:rsidR="264D6FA6" w:rsidP="26B44573" w:rsidRDefault="264D6FA6" w14:paraId="1404A15C" w14:textId="2F4E0110">
            <w:pPr>
              <w:pStyle w:val="Body"/>
              <w:spacing w:after="0"/>
              <w:jc w:val="left"/>
              <w:rPr>
                <w:rFonts w:ascii="Arial" w:hAnsi="Arial" w:cs="Arial"/>
                <w:sz w:val="20"/>
                <w:szCs w:val="20"/>
                <w:lang w:val="pt-BR"/>
              </w:rPr>
            </w:pPr>
            <w:r w:rsidRPr="26B44573">
              <w:rPr>
                <w:rFonts w:ascii="Arial" w:hAnsi="Arial" w:cs="Arial"/>
                <w:sz w:val="20"/>
                <w:szCs w:val="20"/>
                <w:lang w:val="pt-BR"/>
              </w:rPr>
              <w:t>Desensibilize KF (FGM Produtos Odontológicos, Joinville, SC, Brazil)</w:t>
            </w:r>
          </w:p>
        </w:tc>
        <w:tc>
          <w:tcPr>
            <w:tcW w:w="2735" w:type="dxa"/>
            <w:vAlign w:val="center"/>
          </w:tcPr>
          <w:p w:rsidR="264D6FA6" w:rsidP="26B44573" w:rsidRDefault="264D6FA6" w14:paraId="51786085" w14:textId="534A1382">
            <w:pPr>
              <w:pStyle w:val="Body"/>
              <w:spacing w:after="0"/>
              <w:jc w:val="left"/>
              <w:rPr>
                <w:rFonts w:ascii="Arial" w:hAnsi="Arial" w:cs="Arial"/>
                <w:sz w:val="20"/>
                <w:szCs w:val="20"/>
              </w:rPr>
            </w:pPr>
            <w:r w:rsidRPr="26B44573">
              <w:rPr>
                <w:rFonts w:ascii="Arial" w:hAnsi="Arial" w:cs="Arial"/>
                <w:sz w:val="20"/>
                <w:szCs w:val="20"/>
              </w:rPr>
              <w:t>5% potassium nitrate + 2% sodium fluoride</w:t>
            </w:r>
          </w:p>
        </w:tc>
      </w:tr>
      <w:tr w:rsidR="26B44573" w:rsidTr="26B44573" w14:paraId="2E878018" w14:textId="77777777">
        <w:trPr>
          <w:trHeight w:val="300"/>
        </w:trPr>
        <w:tc>
          <w:tcPr>
            <w:tcW w:w="2580" w:type="dxa"/>
            <w:vAlign w:val="center"/>
          </w:tcPr>
          <w:p w:rsidR="264D6FA6" w:rsidP="26B44573" w:rsidRDefault="264D6FA6" w14:paraId="2C6E7207" w14:textId="77A01CFD">
            <w:pPr>
              <w:pStyle w:val="Body"/>
              <w:spacing w:after="0"/>
              <w:rPr>
                <w:rFonts w:ascii="Arial" w:hAnsi="Arial" w:cs="Arial"/>
                <w:sz w:val="20"/>
                <w:szCs w:val="20"/>
              </w:rPr>
            </w:pPr>
            <w:r w:rsidRPr="26B44573">
              <w:rPr>
                <w:rFonts w:ascii="Arial" w:hAnsi="Arial" w:cs="Arial"/>
                <w:sz w:val="20"/>
                <w:szCs w:val="20"/>
              </w:rPr>
              <w:t>Chitosan microparticles added to the desensitizing agent</w:t>
            </w:r>
          </w:p>
        </w:tc>
        <w:tc>
          <w:tcPr>
            <w:tcW w:w="2890" w:type="dxa"/>
            <w:vAlign w:val="center"/>
          </w:tcPr>
          <w:p w:rsidR="264D6FA6" w:rsidP="26B44573" w:rsidRDefault="264D6FA6" w14:paraId="012FDED1" w14:textId="0D307B6A">
            <w:pPr>
              <w:pStyle w:val="Body"/>
              <w:spacing w:after="0"/>
              <w:jc w:val="left"/>
              <w:rPr>
                <w:rFonts w:ascii="Arial" w:hAnsi="Arial" w:cs="Arial"/>
                <w:sz w:val="20"/>
                <w:szCs w:val="20"/>
                <w:lang w:val="pt-BR"/>
              </w:rPr>
            </w:pPr>
            <w:r w:rsidRPr="26B44573">
              <w:rPr>
                <w:rFonts w:ascii="Arial" w:hAnsi="Arial" w:cs="Arial"/>
                <w:sz w:val="20"/>
                <w:szCs w:val="20"/>
                <w:lang w:val="pt-BR"/>
              </w:rPr>
              <w:t>Chitosan — medium molecular weight (Sigma-Aldrich, São Paulo, SP, Brazil)</w:t>
            </w:r>
          </w:p>
        </w:tc>
        <w:tc>
          <w:tcPr>
            <w:tcW w:w="2735" w:type="dxa"/>
            <w:vAlign w:val="center"/>
          </w:tcPr>
          <w:p w:rsidR="264D6FA6" w:rsidP="26B44573" w:rsidRDefault="264D6FA6" w14:paraId="50A625F3" w14:textId="793B4334">
            <w:pPr>
              <w:pStyle w:val="Body"/>
              <w:spacing w:after="0"/>
              <w:jc w:val="left"/>
              <w:rPr>
                <w:rFonts w:ascii="Arial" w:hAnsi="Arial" w:cs="Arial"/>
                <w:sz w:val="20"/>
                <w:szCs w:val="20"/>
              </w:rPr>
            </w:pPr>
            <w:r w:rsidRPr="26B44573">
              <w:rPr>
                <w:rFonts w:ascii="Arial" w:hAnsi="Arial" w:cs="Arial"/>
                <w:sz w:val="20"/>
                <w:szCs w:val="20"/>
              </w:rPr>
              <w:t>5% Chitosan (CAS: 9012-76-4 / DCB: 7267)</w:t>
            </w:r>
          </w:p>
        </w:tc>
      </w:tr>
    </w:tbl>
    <w:p w:rsidR="00902823" w:rsidP="26B44573" w:rsidRDefault="00902823" w14:paraId="60DA715F" w14:textId="53BC0F65">
      <w:pPr>
        <w:pStyle w:val="Body"/>
        <w:spacing w:after="0"/>
        <w:rPr>
          <w:rFonts w:ascii="Arial" w:hAnsi="Arial" w:cs="Arial"/>
        </w:rPr>
      </w:pPr>
    </w:p>
    <w:p w:rsidR="00902823" w:rsidP="26B44573" w:rsidRDefault="78A8A088" w14:paraId="69393619" w14:textId="4AA86448">
      <w:pPr>
        <w:pStyle w:val="Body"/>
        <w:spacing w:after="0"/>
        <w:rPr>
          <w:rFonts w:ascii="Arial" w:hAnsi="Arial" w:cs="Arial"/>
        </w:rPr>
      </w:pPr>
      <w:r w:rsidRPr="26B44573">
        <w:rPr>
          <w:rFonts w:ascii="Arial" w:hAnsi="Arial" w:cs="Arial"/>
        </w:rPr>
        <w:t>This amount was established in a pilot study, which showed that 2% is equivalent to the total amount of gel in a desensitizer tube (2.5 g). The flasks were prepared and weighed using a precision scale, model AB204 (</w:t>
      </w:r>
      <w:proofErr w:type="spellStart"/>
      <w:r w:rsidRPr="26B44573">
        <w:rPr>
          <w:rFonts w:ascii="Arial" w:hAnsi="Arial" w:cs="Arial"/>
        </w:rPr>
        <w:t>MettlerToledo</w:t>
      </w:r>
      <w:proofErr w:type="spellEnd"/>
      <w:r w:rsidRPr="26B44573">
        <w:rPr>
          <w:rFonts w:ascii="Arial" w:hAnsi="Arial" w:cs="Arial"/>
        </w:rPr>
        <w:t xml:space="preserve">, </w:t>
      </w:r>
      <w:proofErr w:type="spellStart"/>
      <w:r w:rsidRPr="26B44573">
        <w:rPr>
          <w:rFonts w:ascii="Arial" w:hAnsi="Arial" w:cs="Arial"/>
        </w:rPr>
        <w:t>Barueri</w:t>
      </w:r>
      <w:proofErr w:type="spellEnd"/>
      <w:r w:rsidRPr="26B44573">
        <w:rPr>
          <w:rFonts w:ascii="Arial" w:hAnsi="Arial" w:cs="Arial"/>
        </w:rPr>
        <w:t>, Brazil). Immediately before the treatment, the content of each 2% desensitizing gel tube (a total of 2.5 g) was dispensed into a J10 flask containing 0.05 g of Chitosan. With the aid of a spatula, the materials were mixed for 40 seconds to obtain a homogeneous mixture and were thus ready for use.</w:t>
      </w:r>
    </w:p>
    <w:p w:rsidR="00902823" w:rsidP="26B44573" w:rsidRDefault="00902823" w14:paraId="3BF91678" w14:textId="28EBA457">
      <w:pPr>
        <w:pStyle w:val="Body"/>
        <w:spacing w:after="0"/>
        <w:rPr>
          <w:rFonts w:ascii="Arial" w:hAnsi="Arial" w:cs="Arial"/>
        </w:rPr>
      </w:pPr>
    </w:p>
    <w:p w:rsidR="00902823" w:rsidP="26B44573" w:rsidRDefault="78A8A088" w14:paraId="6ECE298D" w14:textId="2BE32B5A">
      <w:pPr>
        <w:pStyle w:val="Body"/>
        <w:spacing w:after="0"/>
        <w:rPr>
          <w:rFonts w:ascii="Arial" w:hAnsi="Arial" w:cs="Arial"/>
        </w:rPr>
      </w:pPr>
      <w:r w:rsidRPr="26B44573">
        <w:rPr>
          <w:rFonts w:ascii="Arial" w:hAnsi="Arial" w:cs="Arial"/>
        </w:rPr>
        <w:t>The patients were instructed to brush their teeth using fluoride toothpaste (Colgate Total®, 1400 ppm F, Colgate - Palmolive Company). On the day of treatment, each participant underwent prophylaxis with pumice (SS White, Rio de Janeiro, Brazil) and water, using Robinson’s brush at a counter angle. Then, a lip retractor (</w:t>
      </w:r>
      <w:proofErr w:type="spellStart"/>
      <w:r w:rsidRPr="26B44573">
        <w:rPr>
          <w:rFonts w:ascii="Arial" w:hAnsi="Arial" w:cs="Arial"/>
        </w:rPr>
        <w:t>Arcflex</w:t>
      </w:r>
      <w:proofErr w:type="spellEnd"/>
      <w:r w:rsidRPr="26B44573">
        <w:rPr>
          <w:rFonts w:ascii="Arial" w:hAnsi="Arial" w:cs="Arial"/>
        </w:rPr>
        <w:t xml:space="preserve">, FGM </w:t>
      </w:r>
      <w:proofErr w:type="spellStart"/>
      <w:r w:rsidRPr="26B44573">
        <w:rPr>
          <w:rFonts w:ascii="Arial" w:hAnsi="Arial" w:cs="Arial"/>
        </w:rPr>
        <w:t>Produtos</w:t>
      </w:r>
      <w:proofErr w:type="spellEnd"/>
      <w:r w:rsidRPr="26B44573">
        <w:rPr>
          <w:rFonts w:ascii="Arial" w:hAnsi="Arial" w:cs="Arial"/>
        </w:rPr>
        <w:t xml:space="preserve"> </w:t>
      </w:r>
      <w:proofErr w:type="spellStart"/>
      <w:r w:rsidRPr="26B44573">
        <w:rPr>
          <w:rFonts w:ascii="Arial" w:hAnsi="Arial" w:cs="Arial"/>
        </w:rPr>
        <w:t>Odontológicos</w:t>
      </w:r>
      <w:proofErr w:type="spellEnd"/>
      <w:r w:rsidRPr="26B44573">
        <w:rPr>
          <w:rFonts w:ascii="Arial" w:hAnsi="Arial" w:cs="Arial"/>
        </w:rPr>
        <w:t xml:space="preserve">, Joinville, Brazil) was positioned and a photopolymerizable dental dam (Top Dam, FGM </w:t>
      </w:r>
      <w:proofErr w:type="spellStart"/>
      <w:r w:rsidRPr="26B44573">
        <w:rPr>
          <w:rFonts w:ascii="Arial" w:hAnsi="Arial" w:cs="Arial"/>
        </w:rPr>
        <w:t>Produtos</w:t>
      </w:r>
      <w:proofErr w:type="spellEnd"/>
      <w:r w:rsidRPr="26B44573">
        <w:rPr>
          <w:rFonts w:ascii="Arial" w:hAnsi="Arial" w:cs="Arial"/>
        </w:rPr>
        <w:t xml:space="preserve"> </w:t>
      </w:r>
      <w:proofErr w:type="spellStart"/>
      <w:r w:rsidRPr="26B44573">
        <w:rPr>
          <w:rFonts w:ascii="Arial" w:hAnsi="Arial" w:cs="Arial"/>
        </w:rPr>
        <w:t>Odontológicos</w:t>
      </w:r>
      <w:proofErr w:type="spellEnd"/>
      <w:r w:rsidRPr="26B44573">
        <w:rPr>
          <w:rFonts w:ascii="Arial" w:hAnsi="Arial" w:cs="Arial"/>
        </w:rPr>
        <w:t>, Joinville, Brazil) was applied to protect the gingival tissues. To blind the study, a second researcher applied the desensitizing agent to the buccal surfaces of the teeth to be whitened (15 to 25) for 10 minutes in both the DFK + CHI and DFK groups. The gels were dispensed evenly on the enamel surface with a micro applicator brush (</w:t>
      </w:r>
      <w:proofErr w:type="spellStart"/>
      <w:r w:rsidRPr="26B44573">
        <w:rPr>
          <w:rFonts w:ascii="Arial" w:hAnsi="Arial" w:cs="Arial"/>
        </w:rPr>
        <w:t>Cavibrush</w:t>
      </w:r>
      <w:proofErr w:type="spellEnd"/>
      <w:r w:rsidRPr="26B44573">
        <w:rPr>
          <w:rFonts w:ascii="Arial" w:hAnsi="Arial" w:cs="Arial"/>
        </w:rPr>
        <w:t xml:space="preserve">, FGM </w:t>
      </w:r>
      <w:proofErr w:type="spellStart"/>
      <w:r w:rsidRPr="26B44573">
        <w:rPr>
          <w:rFonts w:ascii="Arial" w:hAnsi="Arial" w:cs="Arial"/>
        </w:rPr>
        <w:t>Produtos</w:t>
      </w:r>
      <w:proofErr w:type="spellEnd"/>
      <w:r w:rsidRPr="26B44573">
        <w:rPr>
          <w:rFonts w:ascii="Arial" w:hAnsi="Arial" w:cs="Arial"/>
        </w:rPr>
        <w:t xml:space="preserve"> </w:t>
      </w:r>
      <w:proofErr w:type="spellStart"/>
      <w:r w:rsidRPr="26B44573">
        <w:rPr>
          <w:rFonts w:ascii="Arial" w:hAnsi="Arial" w:cs="Arial"/>
        </w:rPr>
        <w:t>Odontológicos</w:t>
      </w:r>
      <w:proofErr w:type="spellEnd"/>
      <w:r w:rsidRPr="26B44573">
        <w:rPr>
          <w:rFonts w:ascii="Arial" w:hAnsi="Arial" w:cs="Arial"/>
        </w:rPr>
        <w:t>, Joinville, Brazil).</w:t>
      </w:r>
    </w:p>
    <w:p w:rsidR="00902823" w:rsidP="26B44573" w:rsidRDefault="00902823" w14:paraId="5AC7C5D5" w14:textId="0E5EC119">
      <w:pPr>
        <w:pStyle w:val="Body"/>
        <w:spacing w:after="0"/>
        <w:rPr>
          <w:rFonts w:ascii="Arial" w:hAnsi="Arial" w:cs="Arial"/>
        </w:rPr>
      </w:pPr>
    </w:p>
    <w:p w:rsidR="00902823" w:rsidP="26B44573" w:rsidRDefault="78A8A088" w14:paraId="53C0B1D1" w14:textId="69C20DA3">
      <w:pPr>
        <w:pStyle w:val="Body"/>
        <w:spacing w:after="0"/>
        <w:rPr>
          <w:rFonts w:ascii="Arial" w:hAnsi="Arial" w:cs="Arial"/>
        </w:rPr>
      </w:pPr>
      <w:r w:rsidRPr="26B44573">
        <w:rPr>
          <w:rFonts w:ascii="Arial" w:hAnsi="Arial" w:cs="Arial"/>
        </w:rPr>
        <w:lastRenderedPageBreak/>
        <w:t xml:space="preserve">After the recommended time, the desensitizers were rinsed off using wet cotton, water jets, and a suction cannula. The 35% hydrogen peroxide-based bleaching gel (Whiteness HP Maxx, FGM </w:t>
      </w:r>
      <w:proofErr w:type="spellStart"/>
      <w:r w:rsidRPr="26B44573">
        <w:rPr>
          <w:rFonts w:ascii="Arial" w:hAnsi="Arial" w:cs="Arial"/>
        </w:rPr>
        <w:t>Produtos</w:t>
      </w:r>
      <w:proofErr w:type="spellEnd"/>
      <w:r w:rsidRPr="26B44573">
        <w:rPr>
          <w:rFonts w:ascii="Arial" w:hAnsi="Arial" w:cs="Arial"/>
        </w:rPr>
        <w:t xml:space="preserve"> </w:t>
      </w:r>
      <w:proofErr w:type="spellStart"/>
      <w:r w:rsidRPr="26B44573">
        <w:rPr>
          <w:rFonts w:ascii="Arial" w:hAnsi="Arial" w:cs="Arial"/>
        </w:rPr>
        <w:t>Odontológicos</w:t>
      </w:r>
      <w:proofErr w:type="spellEnd"/>
      <w:r w:rsidRPr="26B44573">
        <w:rPr>
          <w:rFonts w:ascii="Arial" w:hAnsi="Arial" w:cs="Arial"/>
        </w:rPr>
        <w:t>, Joinville, Brazil) was applied in both groups on the buccal surface of up to the second upper premolars, according to the manufacturer’s recommendations. The gel was used in three successive applications of 15 minutes, with a mean interval of three minutes between applications. During each interval, the gel was removed with cotton and gauze. Rinsing with abundant water was only done at the end of the third application.</w:t>
      </w:r>
    </w:p>
    <w:p w:rsidR="00902823" w:rsidP="26B44573" w:rsidRDefault="00902823" w14:paraId="650BBDB5" w14:textId="27C67641">
      <w:pPr>
        <w:pStyle w:val="Body"/>
        <w:spacing w:after="0"/>
        <w:rPr>
          <w:rFonts w:ascii="Arial" w:hAnsi="Arial" w:cs="Arial"/>
        </w:rPr>
      </w:pPr>
    </w:p>
    <w:p w:rsidR="00902823" w:rsidP="26B44573" w:rsidRDefault="78A8A088" w14:paraId="4FE66517" w14:textId="02167CC9">
      <w:pPr>
        <w:pStyle w:val="Body"/>
        <w:spacing w:after="0"/>
        <w:rPr>
          <w:rFonts w:ascii="Arial" w:hAnsi="Arial" w:cs="Arial"/>
          <w:b/>
          <w:bCs/>
        </w:rPr>
      </w:pPr>
      <w:r w:rsidRPr="26B44573">
        <w:rPr>
          <w:rFonts w:ascii="Arial" w:hAnsi="Arial" w:cs="Arial"/>
          <w:b/>
          <w:bCs/>
        </w:rPr>
        <w:t>2.6 Outcomes</w:t>
      </w:r>
    </w:p>
    <w:p w:rsidR="00902823" w:rsidP="26B44573" w:rsidRDefault="00902823" w14:paraId="3467B4D6" w14:textId="48A036FA">
      <w:pPr>
        <w:pStyle w:val="Body"/>
        <w:spacing w:after="0"/>
        <w:rPr>
          <w:rFonts w:ascii="Arial" w:hAnsi="Arial" w:cs="Arial"/>
          <w:b/>
          <w:bCs/>
          <w:u w:val="single"/>
        </w:rPr>
      </w:pPr>
    </w:p>
    <w:p w:rsidR="00902823" w:rsidP="26B44573" w:rsidRDefault="78A8A088" w14:paraId="347D1788" w14:textId="70766D2B">
      <w:pPr>
        <w:pStyle w:val="Body"/>
        <w:spacing w:after="0"/>
        <w:rPr>
          <w:rFonts w:ascii="Arial" w:hAnsi="Arial" w:cs="Arial"/>
          <w:b/>
          <w:bCs/>
          <w:u w:val="single"/>
        </w:rPr>
      </w:pPr>
      <w:r w:rsidRPr="26B44573">
        <w:rPr>
          <w:rFonts w:ascii="Arial" w:hAnsi="Arial" w:cs="Arial"/>
          <w:b/>
          <w:bCs/>
          <w:u w:val="single"/>
        </w:rPr>
        <w:t>2.6.1 Tooth sensitivity evaluation</w:t>
      </w:r>
    </w:p>
    <w:p w:rsidR="00902823" w:rsidP="26B44573" w:rsidRDefault="00902823" w14:paraId="77AC032C" w14:textId="366C7F11">
      <w:pPr>
        <w:pStyle w:val="Body"/>
        <w:spacing w:after="0"/>
        <w:rPr>
          <w:rFonts w:ascii="Arial" w:hAnsi="Arial" w:cs="Arial"/>
        </w:rPr>
      </w:pPr>
    </w:p>
    <w:p w:rsidR="00902823" w:rsidP="26B44573" w:rsidRDefault="78A8A088" w14:paraId="4B5FCC3E" w14:textId="583E714D">
      <w:pPr>
        <w:pStyle w:val="Body"/>
        <w:spacing w:after="0"/>
        <w:rPr>
          <w:rFonts w:ascii="Arial" w:hAnsi="Arial" w:cs="Arial"/>
        </w:rPr>
      </w:pPr>
      <w:r w:rsidRPr="26B44573">
        <w:rPr>
          <w:rFonts w:ascii="Arial" w:hAnsi="Arial" w:cs="Arial"/>
        </w:rPr>
        <w:t xml:space="preserve">Each patient received a form to evaluate the sensitivity experienced by them. This data collection instrument, cited by </w:t>
      </w:r>
      <w:proofErr w:type="spellStart"/>
      <w:r w:rsidRPr="26B44573">
        <w:rPr>
          <w:rFonts w:ascii="Arial" w:hAnsi="Arial" w:cs="Arial"/>
        </w:rPr>
        <w:t>Kossatz</w:t>
      </w:r>
      <w:proofErr w:type="spellEnd"/>
      <w:r w:rsidRPr="26B44573">
        <w:rPr>
          <w:rFonts w:ascii="Arial" w:hAnsi="Arial" w:cs="Arial"/>
        </w:rPr>
        <w:t xml:space="preserve"> et al. [20], is the scale to record the experienced sensitivity, and is composed of a 0–4 scale in which: 0 — indicates the absence of sensitivity: 1 — mild sensitivity; 2 — moderate sensitivity; 3 — considerable sensitivity; and 4 — severe sensitivity. To make the form easier to understand by the patients, the scale was adapted in this study with the addition of illustrative pictures for each degree of sensitivity. Data were collected every 5 minutes during the entire time the bleaching gel was on the surface of the teeth, for a total of 45 minutes. Patients also evaluated the sensitivity at 1 hour, 24 hours, and 48 hours after the bleaching treatment. All were instructed not to use any analgesic medication; if they did, they should notify the person responsible for the treatment.</w:t>
      </w:r>
    </w:p>
    <w:p w:rsidR="00902823" w:rsidP="26B44573" w:rsidRDefault="00902823" w14:paraId="5E4BBA28" w14:textId="2DE04D97">
      <w:pPr>
        <w:pStyle w:val="Body"/>
        <w:spacing w:after="0"/>
        <w:rPr>
          <w:rFonts w:ascii="Arial" w:hAnsi="Arial" w:cs="Arial"/>
        </w:rPr>
      </w:pPr>
    </w:p>
    <w:p w:rsidR="00902823" w:rsidP="26B44573" w:rsidRDefault="78A8A088" w14:paraId="45A2B808" w14:textId="452BAEE0">
      <w:pPr>
        <w:pStyle w:val="Body"/>
        <w:spacing w:after="0"/>
        <w:rPr>
          <w:rFonts w:ascii="Arial" w:hAnsi="Arial" w:cs="Arial"/>
          <w:b/>
          <w:bCs/>
          <w:u w:val="single"/>
        </w:rPr>
      </w:pPr>
      <w:r w:rsidRPr="26B44573">
        <w:rPr>
          <w:rFonts w:ascii="Arial" w:hAnsi="Arial" w:cs="Arial"/>
          <w:b/>
          <w:bCs/>
          <w:u w:val="single"/>
        </w:rPr>
        <w:t>2.6.2 Bleaching effectiveness</w:t>
      </w:r>
    </w:p>
    <w:p w:rsidR="00902823" w:rsidP="26B44573" w:rsidRDefault="00902823" w14:paraId="521AFDAE" w14:textId="5574A6F2">
      <w:pPr>
        <w:pStyle w:val="Body"/>
        <w:spacing w:after="0"/>
        <w:rPr>
          <w:rFonts w:ascii="Arial" w:hAnsi="Arial" w:cs="Arial"/>
        </w:rPr>
      </w:pPr>
    </w:p>
    <w:p w:rsidR="00902823" w:rsidP="26B44573" w:rsidRDefault="78A8A088" w14:paraId="11051C61" w14:textId="4943C1FE">
      <w:pPr>
        <w:pStyle w:val="Body"/>
        <w:spacing w:after="0"/>
        <w:rPr>
          <w:rFonts w:ascii="Arial" w:hAnsi="Arial" w:cs="Arial"/>
        </w:rPr>
      </w:pPr>
      <w:r w:rsidRPr="26B44573">
        <w:rPr>
          <w:rFonts w:ascii="Arial" w:hAnsi="Arial" w:cs="Arial"/>
        </w:rPr>
        <w:t xml:space="preserve">The color assessments were performed during the bleaching treatment, using the upper central incisors as a reference. An operator, previously calibrated, conducted these using the visual comparison method with the aid of the </w:t>
      </w:r>
      <w:proofErr w:type="spellStart"/>
      <w:r w:rsidRPr="26B44573">
        <w:rPr>
          <w:rFonts w:ascii="Arial" w:hAnsi="Arial" w:cs="Arial"/>
        </w:rPr>
        <w:t>Vitapan</w:t>
      </w:r>
      <w:proofErr w:type="spellEnd"/>
      <w:r w:rsidRPr="26B44573">
        <w:rPr>
          <w:rFonts w:ascii="Arial" w:hAnsi="Arial" w:cs="Arial"/>
        </w:rPr>
        <w:t xml:space="preserve"> Classical color scale (Vita, Bad </w:t>
      </w:r>
      <w:proofErr w:type="spellStart"/>
      <w:r w:rsidRPr="26B44573">
        <w:rPr>
          <w:rFonts w:ascii="Arial" w:hAnsi="Arial" w:cs="Arial"/>
        </w:rPr>
        <w:t>Säckingen</w:t>
      </w:r>
      <w:proofErr w:type="spellEnd"/>
      <w:r w:rsidRPr="26B44573">
        <w:rPr>
          <w:rFonts w:ascii="Arial" w:hAnsi="Arial" w:cs="Arial"/>
        </w:rPr>
        <w:t>, Germany). Before the initial application of the bleaching gel and seven days after treatment completion, color assessments were performed. The shade guide was mounted in a sequence of increasing luminosity, from the most luminous shade (B1) to the least luminous (C4). Each shade received a score in this sequence: B1, score 1; A1, score 2; and so on, with A3 being a score of 9. The scores are shown in Table 2.</w:t>
      </w:r>
    </w:p>
    <w:p w:rsidR="00902823" w:rsidP="26B44573" w:rsidRDefault="00902823" w14:paraId="05DBC43A" w14:textId="0E8B22FC">
      <w:pPr>
        <w:pStyle w:val="Body"/>
        <w:spacing w:after="0"/>
        <w:rPr>
          <w:rFonts w:ascii="Arial" w:hAnsi="Arial" w:cs="Arial"/>
        </w:rPr>
      </w:pPr>
    </w:p>
    <w:p w:rsidR="00902823" w:rsidP="26B44573" w:rsidRDefault="78A8A088" w14:paraId="7F4D3E80" w14:textId="62BE8BAC">
      <w:pPr>
        <w:pStyle w:val="Body"/>
        <w:spacing w:after="0"/>
        <w:rPr>
          <w:rFonts w:ascii="Arial" w:hAnsi="Arial" w:cs="Arial"/>
          <w:b/>
          <w:bCs/>
        </w:rPr>
      </w:pPr>
      <w:r w:rsidRPr="26B44573">
        <w:rPr>
          <w:rFonts w:ascii="Arial" w:hAnsi="Arial" w:cs="Arial"/>
          <w:b/>
          <w:bCs/>
        </w:rPr>
        <w:t>Table 2. Scores for color assessment</w:t>
      </w:r>
    </w:p>
    <w:p w:rsidR="00902823" w:rsidP="26B44573" w:rsidRDefault="00902823" w14:paraId="0C0C2F46" w14:textId="6C7AA800">
      <w:pPr>
        <w:pStyle w:val="Body"/>
        <w:spacing w:after="0"/>
        <w:rPr>
          <w:rFonts w:ascii="Arial" w:hAnsi="Arial" w:cs="Arial"/>
          <w:b/>
          <w:bCs/>
        </w:rPr>
      </w:pPr>
    </w:p>
    <w:tbl>
      <w:tblPr>
        <w:tblStyle w:val="TableGrid"/>
        <w:tblW w:w="0" w:type="auto"/>
        <w:jc w:val="center"/>
        <w:tblBorders>
          <w:top w:val="single" w:color="000000" w:themeColor="text1" w:sz="4" w:space="0"/>
          <w:left w:val="none" w:color="000000" w:themeColor="text1" w:sz="4" w:space="0"/>
          <w:bottom w:val="single" w:color="000000" w:themeColor="text1" w:sz="4" w:space="0"/>
          <w:right w:val="none" w:color="000000" w:themeColor="text1" w:sz="4" w:space="0"/>
          <w:insideH w:val="none" w:color="000000" w:themeColor="text1" w:sz="4" w:space="0"/>
          <w:insideV w:val="none" w:color="000000" w:themeColor="text1" w:sz="4" w:space="0"/>
        </w:tblBorders>
        <w:tblLayout w:type="fixed"/>
        <w:tblLook w:val="06A0" w:firstRow="1" w:lastRow="0" w:firstColumn="1" w:lastColumn="0" w:noHBand="1" w:noVBand="1"/>
      </w:tblPr>
      <w:tblGrid>
        <w:gridCol w:w="523"/>
        <w:gridCol w:w="523"/>
        <w:gridCol w:w="523"/>
        <w:gridCol w:w="523"/>
        <w:gridCol w:w="523"/>
        <w:gridCol w:w="523"/>
        <w:gridCol w:w="523"/>
        <w:gridCol w:w="523"/>
        <w:gridCol w:w="523"/>
        <w:gridCol w:w="523"/>
        <w:gridCol w:w="523"/>
        <w:gridCol w:w="690"/>
        <w:gridCol w:w="510"/>
        <w:gridCol w:w="510"/>
        <w:gridCol w:w="510"/>
        <w:gridCol w:w="502"/>
      </w:tblGrid>
      <w:tr w:rsidR="26B44573" w:rsidTr="26B44573" w14:paraId="13EB12CE" w14:textId="77777777">
        <w:trPr>
          <w:trHeight w:val="525"/>
          <w:jc w:val="center"/>
        </w:trPr>
        <w:tc>
          <w:tcPr>
            <w:tcW w:w="523" w:type="dxa"/>
            <w:tcBorders>
              <w:bottom w:val="single" w:color="000000" w:themeColor="text1" w:sz="4" w:space="0"/>
            </w:tcBorders>
            <w:vAlign w:val="center"/>
          </w:tcPr>
          <w:p w:rsidR="78A8A088" w:rsidP="26B44573" w:rsidRDefault="78A8A088" w14:paraId="2DE29785" w14:textId="32BC3112">
            <w:pPr>
              <w:pStyle w:val="Body"/>
              <w:spacing w:after="0"/>
              <w:jc w:val="center"/>
              <w:rPr>
                <w:rFonts w:ascii="Arial" w:hAnsi="Arial" w:cs="Arial"/>
                <w:b/>
                <w:bCs/>
                <w:sz w:val="18"/>
                <w:szCs w:val="18"/>
              </w:rPr>
            </w:pPr>
            <w:r w:rsidRPr="26B44573">
              <w:rPr>
                <w:rFonts w:ascii="Arial" w:hAnsi="Arial" w:cs="Arial"/>
                <w:b/>
                <w:bCs/>
                <w:sz w:val="18"/>
                <w:szCs w:val="18"/>
              </w:rPr>
              <w:t>B1</w:t>
            </w:r>
          </w:p>
        </w:tc>
        <w:tc>
          <w:tcPr>
            <w:tcW w:w="523" w:type="dxa"/>
            <w:tcBorders>
              <w:bottom w:val="single" w:color="000000" w:themeColor="text1" w:sz="4" w:space="0"/>
            </w:tcBorders>
            <w:vAlign w:val="center"/>
          </w:tcPr>
          <w:p w:rsidR="78A8A088" w:rsidP="26B44573" w:rsidRDefault="78A8A088" w14:paraId="413685E9" w14:textId="0DB2D98F">
            <w:pPr>
              <w:pStyle w:val="Body"/>
              <w:spacing w:after="0"/>
              <w:jc w:val="center"/>
              <w:rPr>
                <w:rFonts w:ascii="Arial" w:hAnsi="Arial" w:cs="Arial"/>
                <w:b/>
                <w:bCs/>
                <w:sz w:val="18"/>
                <w:szCs w:val="18"/>
              </w:rPr>
            </w:pPr>
            <w:r w:rsidRPr="26B44573">
              <w:rPr>
                <w:rFonts w:ascii="Arial" w:hAnsi="Arial" w:cs="Arial"/>
                <w:b/>
                <w:bCs/>
                <w:sz w:val="18"/>
                <w:szCs w:val="18"/>
              </w:rPr>
              <w:t>A1</w:t>
            </w:r>
          </w:p>
        </w:tc>
        <w:tc>
          <w:tcPr>
            <w:tcW w:w="523" w:type="dxa"/>
            <w:tcBorders>
              <w:bottom w:val="single" w:color="000000" w:themeColor="text1" w:sz="4" w:space="0"/>
            </w:tcBorders>
            <w:vAlign w:val="center"/>
          </w:tcPr>
          <w:p w:rsidR="78A8A088" w:rsidP="26B44573" w:rsidRDefault="78A8A088" w14:paraId="01AE69BD" w14:textId="57B090F1">
            <w:pPr>
              <w:pStyle w:val="Body"/>
              <w:spacing w:after="0"/>
              <w:jc w:val="center"/>
              <w:rPr>
                <w:rFonts w:ascii="Arial" w:hAnsi="Arial" w:cs="Arial"/>
                <w:b/>
                <w:bCs/>
                <w:sz w:val="18"/>
                <w:szCs w:val="18"/>
              </w:rPr>
            </w:pPr>
            <w:r w:rsidRPr="26B44573">
              <w:rPr>
                <w:rFonts w:ascii="Arial" w:hAnsi="Arial" w:cs="Arial"/>
                <w:b/>
                <w:bCs/>
                <w:sz w:val="18"/>
                <w:szCs w:val="18"/>
              </w:rPr>
              <w:t>B2</w:t>
            </w:r>
          </w:p>
        </w:tc>
        <w:tc>
          <w:tcPr>
            <w:tcW w:w="523" w:type="dxa"/>
            <w:tcBorders>
              <w:bottom w:val="single" w:color="000000" w:themeColor="text1" w:sz="4" w:space="0"/>
            </w:tcBorders>
            <w:vAlign w:val="center"/>
          </w:tcPr>
          <w:p w:rsidR="78A8A088" w:rsidP="26B44573" w:rsidRDefault="78A8A088" w14:paraId="50D7E79F" w14:textId="29DFF4A7">
            <w:pPr>
              <w:pStyle w:val="Body"/>
              <w:spacing w:after="0"/>
              <w:jc w:val="center"/>
              <w:rPr>
                <w:rFonts w:ascii="Arial" w:hAnsi="Arial" w:cs="Arial"/>
                <w:b/>
                <w:bCs/>
                <w:sz w:val="18"/>
                <w:szCs w:val="18"/>
              </w:rPr>
            </w:pPr>
            <w:r w:rsidRPr="26B44573">
              <w:rPr>
                <w:rFonts w:ascii="Arial" w:hAnsi="Arial" w:cs="Arial"/>
                <w:b/>
                <w:bCs/>
                <w:sz w:val="18"/>
                <w:szCs w:val="18"/>
              </w:rPr>
              <w:t>D2</w:t>
            </w:r>
          </w:p>
        </w:tc>
        <w:tc>
          <w:tcPr>
            <w:tcW w:w="523" w:type="dxa"/>
            <w:tcBorders>
              <w:bottom w:val="single" w:color="000000" w:themeColor="text1" w:sz="4" w:space="0"/>
            </w:tcBorders>
            <w:vAlign w:val="center"/>
          </w:tcPr>
          <w:p w:rsidR="78A8A088" w:rsidP="26B44573" w:rsidRDefault="78A8A088" w14:paraId="37B31F98" w14:textId="4C998A99">
            <w:pPr>
              <w:pStyle w:val="Body"/>
              <w:spacing w:after="0"/>
              <w:jc w:val="center"/>
              <w:rPr>
                <w:rFonts w:ascii="Arial" w:hAnsi="Arial" w:cs="Arial"/>
                <w:b/>
                <w:bCs/>
                <w:sz w:val="18"/>
                <w:szCs w:val="18"/>
              </w:rPr>
            </w:pPr>
            <w:r w:rsidRPr="26B44573">
              <w:rPr>
                <w:rFonts w:ascii="Arial" w:hAnsi="Arial" w:cs="Arial"/>
                <w:b/>
                <w:bCs/>
                <w:sz w:val="18"/>
                <w:szCs w:val="18"/>
              </w:rPr>
              <w:t>A2</w:t>
            </w:r>
          </w:p>
        </w:tc>
        <w:tc>
          <w:tcPr>
            <w:tcW w:w="523" w:type="dxa"/>
            <w:tcBorders>
              <w:bottom w:val="single" w:color="000000" w:themeColor="text1" w:sz="4" w:space="0"/>
            </w:tcBorders>
            <w:vAlign w:val="center"/>
          </w:tcPr>
          <w:p w:rsidR="78A8A088" w:rsidP="26B44573" w:rsidRDefault="78A8A088" w14:paraId="7C0AF77D" w14:textId="4772EB58">
            <w:pPr>
              <w:pStyle w:val="Body"/>
              <w:spacing w:after="0"/>
              <w:jc w:val="center"/>
              <w:rPr>
                <w:rFonts w:ascii="Arial" w:hAnsi="Arial" w:cs="Arial"/>
                <w:b/>
                <w:bCs/>
                <w:sz w:val="18"/>
                <w:szCs w:val="18"/>
              </w:rPr>
            </w:pPr>
            <w:r w:rsidRPr="26B44573">
              <w:rPr>
                <w:rFonts w:ascii="Arial" w:hAnsi="Arial" w:cs="Arial"/>
                <w:b/>
                <w:bCs/>
                <w:sz w:val="18"/>
                <w:szCs w:val="18"/>
              </w:rPr>
              <w:t>C1</w:t>
            </w:r>
          </w:p>
        </w:tc>
        <w:tc>
          <w:tcPr>
            <w:tcW w:w="523" w:type="dxa"/>
            <w:tcBorders>
              <w:bottom w:val="single" w:color="000000" w:themeColor="text1" w:sz="4" w:space="0"/>
            </w:tcBorders>
            <w:vAlign w:val="center"/>
          </w:tcPr>
          <w:p w:rsidR="78A8A088" w:rsidP="26B44573" w:rsidRDefault="78A8A088" w14:paraId="1BA631B3" w14:textId="357DF963">
            <w:pPr>
              <w:pStyle w:val="Body"/>
              <w:spacing w:after="0"/>
              <w:jc w:val="center"/>
              <w:rPr>
                <w:rFonts w:ascii="Arial" w:hAnsi="Arial" w:cs="Arial"/>
                <w:b/>
                <w:bCs/>
                <w:sz w:val="18"/>
                <w:szCs w:val="18"/>
              </w:rPr>
            </w:pPr>
            <w:r w:rsidRPr="26B44573">
              <w:rPr>
                <w:rFonts w:ascii="Arial" w:hAnsi="Arial" w:cs="Arial"/>
                <w:b/>
                <w:bCs/>
                <w:sz w:val="18"/>
                <w:szCs w:val="18"/>
              </w:rPr>
              <w:t>C2</w:t>
            </w:r>
          </w:p>
        </w:tc>
        <w:tc>
          <w:tcPr>
            <w:tcW w:w="523" w:type="dxa"/>
            <w:tcBorders>
              <w:bottom w:val="single" w:color="000000" w:themeColor="text1" w:sz="4" w:space="0"/>
            </w:tcBorders>
            <w:vAlign w:val="center"/>
          </w:tcPr>
          <w:p w:rsidR="78A8A088" w:rsidP="26B44573" w:rsidRDefault="78A8A088" w14:paraId="57526A62" w14:textId="7E989F9B">
            <w:pPr>
              <w:pStyle w:val="Body"/>
              <w:spacing w:after="0"/>
              <w:jc w:val="center"/>
              <w:rPr>
                <w:rFonts w:ascii="Arial" w:hAnsi="Arial" w:cs="Arial"/>
                <w:b/>
                <w:bCs/>
                <w:sz w:val="18"/>
                <w:szCs w:val="18"/>
              </w:rPr>
            </w:pPr>
            <w:r w:rsidRPr="26B44573">
              <w:rPr>
                <w:rFonts w:ascii="Arial" w:hAnsi="Arial" w:cs="Arial"/>
                <w:b/>
                <w:bCs/>
                <w:sz w:val="18"/>
                <w:szCs w:val="18"/>
              </w:rPr>
              <w:t>D4</w:t>
            </w:r>
          </w:p>
        </w:tc>
        <w:tc>
          <w:tcPr>
            <w:tcW w:w="523" w:type="dxa"/>
            <w:tcBorders>
              <w:bottom w:val="single" w:color="000000" w:themeColor="text1" w:sz="4" w:space="0"/>
            </w:tcBorders>
            <w:vAlign w:val="center"/>
          </w:tcPr>
          <w:p w:rsidR="78A8A088" w:rsidP="26B44573" w:rsidRDefault="78A8A088" w14:paraId="09E7A98B" w14:textId="45020707">
            <w:pPr>
              <w:pStyle w:val="Body"/>
              <w:spacing w:after="0"/>
              <w:jc w:val="center"/>
              <w:rPr>
                <w:rFonts w:ascii="Arial" w:hAnsi="Arial" w:cs="Arial"/>
                <w:b/>
                <w:bCs/>
                <w:sz w:val="18"/>
                <w:szCs w:val="18"/>
              </w:rPr>
            </w:pPr>
            <w:r w:rsidRPr="26B44573">
              <w:rPr>
                <w:rFonts w:ascii="Arial" w:hAnsi="Arial" w:cs="Arial"/>
                <w:b/>
                <w:bCs/>
                <w:sz w:val="18"/>
                <w:szCs w:val="18"/>
              </w:rPr>
              <w:t>A3</w:t>
            </w:r>
          </w:p>
        </w:tc>
        <w:tc>
          <w:tcPr>
            <w:tcW w:w="523" w:type="dxa"/>
            <w:tcBorders>
              <w:bottom w:val="single" w:color="000000" w:themeColor="text1" w:sz="4" w:space="0"/>
            </w:tcBorders>
            <w:vAlign w:val="center"/>
          </w:tcPr>
          <w:p w:rsidR="78A8A088" w:rsidP="26B44573" w:rsidRDefault="78A8A088" w14:paraId="51C8FE1F" w14:textId="315B80A2">
            <w:pPr>
              <w:pStyle w:val="Body"/>
              <w:spacing w:after="0"/>
              <w:jc w:val="center"/>
              <w:rPr>
                <w:rFonts w:ascii="Arial" w:hAnsi="Arial" w:cs="Arial"/>
                <w:b/>
                <w:bCs/>
                <w:sz w:val="18"/>
                <w:szCs w:val="18"/>
              </w:rPr>
            </w:pPr>
            <w:r w:rsidRPr="26B44573">
              <w:rPr>
                <w:rFonts w:ascii="Arial" w:hAnsi="Arial" w:cs="Arial"/>
                <w:b/>
                <w:bCs/>
                <w:sz w:val="18"/>
                <w:szCs w:val="18"/>
              </w:rPr>
              <w:t>D3</w:t>
            </w:r>
          </w:p>
        </w:tc>
        <w:tc>
          <w:tcPr>
            <w:tcW w:w="523" w:type="dxa"/>
            <w:tcBorders>
              <w:bottom w:val="single" w:color="000000" w:themeColor="text1" w:sz="4" w:space="0"/>
            </w:tcBorders>
            <w:vAlign w:val="center"/>
          </w:tcPr>
          <w:p w:rsidR="78A8A088" w:rsidP="26B44573" w:rsidRDefault="78A8A088" w14:paraId="5D41C70B" w14:textId="0D49972C">
            <w:pPr>
              <w:pStyle w:val="Body"/>
              <w:spacing w:after="0"/>
              <w:jc w:val="center"/>
              <w:rPr>
                <w:rFonts w:ascii="Arial" w:hAnsi="Arial" w:cs="Arial"/>
                <w:b/>
                <w:bCs/>
                <w:sz w:val="18"/>
                <w:szCs w:val="18"/>
              </w:rPr>
            </w:pPr>
            <w:r w:rsidRPr="26B44573">
              <w:rPr>
                <w:rFonts w:ascii="Arial" w:hAnsi="Arial" w:cs="Arial"/>
                <w:b/>
                <w:bCs/>
                <w:sz w:val="18"/>
                <w:szCs w:val="18"/>
              </w:rPr>
              <w:t>B3</w:t>
            </w:r>
          </w:p>
        </w:tc>
        <w:tc>
          <w:tcPr>
            <w:tcW w:w="690" w:type="dxa"/>
            <w:tcBorders>
              <w:bottom w:val="single" w:color="000000" w:themeColor="text1" w:sz="4" w:space="0"/>
            </w:tcBorders>
            <w:vAlign w:val="center"/>
          </w:tcPr>
          <w:p w:rsidR="78A8A088" w:rsidP="26B44573" w:rsidRDefault="78A8A088" w14:paraId="3AF1786D" w14:textId="555BFB1B">
            <w:pPr>
              <w:pStyle w:val="Body"/>
              <w:spacing w:after="0"/>
              <w:jc w:val="center"/>
              <w:rPr>
                <w:rFonts w:ascii="Arial" w:hAnsi="Arial" w:cs="Arial"/>
                <w:b/>
                <w:bCs/>
                <w:sz w:val="18"/>
                <w:szCs w:val="18"/>
              </w:rPr>
            </w:pPr>
            <w:r w:rsidRPr="26B44573">
              <w:rPr>
                <w:rFonts w:ascii="Arial" w:hAnsi="Arial" w:cs="Arial"/>
                <w:b/>
                <w:bCs/>
                <w:sz w:val="18"/>
                <w:szCs w:val="18"/>
              </w:rPr>
              <w:t>A3,5</w:t>
            </w:r>
          </w:p>
        </w:tc>
        <w:tc>
          <w:tcPr>
            <w:tcW w:w="510" w:type="dxa"/>
            <w:tcBorders>
              <w:bottom w:val="single" w:color="000000" w:themeColor="text1" w:sz="4" w:space="0"/>
            </w:tcBorders>
            <w:vAlign w:val="center"/>
          </w:tcPr>
          <w:p w:rsidR="78A8A088" w:rsidP="26B44573" w:rsidRDefault="78A8A088" w14:paraId="7881D43E" w14:textId="7C4F32E6">
            <w:pPr>
              <w:pStyle w:val="Body"/>
              <w:spacing w:after="0"/>
              <w:jc w:val="center"/>
              <w:rPr>
                <w:rFonts w:ascii="Arial" w:hAnsi="Arial" w:cs="Arial"/>
                <w:b/>
                <w:bCs/>
                <w:sz w:val="18"/>
                <w:szCs w:val="18"/>
              </w:rPr>
            </w:pPr>
            <w:r w:rsidRPr="26B44573">
              <w:rPr>
                <w:rFonts w:ascii="Arial" w:hAnsi="Arial" w:cs="Arial"/>
                <w:b/>
                <w:bCs/>
                <w:sz w:val="18"/>
                <w:szCs w:val="18"/>
              </w:rPr>
              <w:t>B4</w:t>
            </w:r>
          </w:p>
        </w:tc>
        <w:tc>
          <w:tcPr>
            <w:tcW w:w="510" w:type="dxa"/>
            <w:tcBorders>
              <w:bottom w:val="single" w:color="000000" w:themeColor="text1" w:sz="4" w:space="0"/>
            </w:tcBorders>
            <w:vAlign w:val="center"/>
          </w:tcPr>
          <w:p w:rsidR="78A8A088" w:rsidP="26B44573" w:rsidRDefault="78A8A088" w14:paraId="77A4756B" w14:textId="3983CAD8">
            <w:pPr>
              <w:pStyle w:val="Body"/>
              <w:spacing w:after="0"/>
              <w:jc w:val="center"/>
              <w:rPr>
                <w:rFonts w:ascii="Arial" w:hAnsi="Arial" w:cs="Arial"/>
                <w:b/>
                <w:bCs/>
                <w:sz w:val="18"/>
                <w:szCs w:val="18"/>
              </w:rPr>
            </w:pPr>
            <w:r w:rsidRPr="26B44573">
              <w:rPr>
                <w:rFonts w:ascii="Arial" w:hAnsi="Arial" w:cs="Arial"/>
                <w:b/>
                <w:bCs/>
                <w:sz w:val="18"/>
                <w:szCs w:val="18"/>
              </w:rPr>
              <w:t>C3</w:t>
            </w:r>
          </w:p>
        </w:tc>
        <w:tc>
          <w:tcPr>
            <w:tcW w:w="510" w:type="dxa"/>
            <w:tcBorders>
              <w:bottom w:val="single" w:color="000000" w:themeColor="text1" w:sz="4" w:space="0"/>
            </w:tcBorders>
            <w:vAlign w:val="center"/>
          </w:tcPr>
          <w:p w:rsidR="78A8A088" w:rsidP="26B44573" w:rsidRDefault="78A8A088" w14:paraId="2235BE5A" w14:textId="036CE046">
            <w:pPr>
              <w:pStyle w:val="Body"/>
              <w:spacing w:after="0"/>
              <w:jc w:val="center"/>
              <w:rPr>
                <w:rFonts w:ascii="Arial" w:hAnsi="Arial" w:cs="Arial"/>
                <w:b/>
                <w:bCs/>
                <w:sz w:val="18"/>
                <w:szCs w:val="18"/>
              </w:rPr>
            </w:pPr>
            <w:r w:rsidRPr="26B44573">
              <w:rPr>
                <w:rFonts w:ascii="Arial" w:hAnsi="Arial" w:cs="Arial"/>
                <w:b/>
                <w:bCs/>
                <w:sz w:val="18"/>
                <w:szCs w:val="18"/>
              </w:rPr>
              <w:t>A4</w:t>
            </w:r>
          </w:p>
        </w:tc>
        <w:tc>
          <w:tcPr>
            <w:tcW w:w="502" w:type="dxa"/>
            <w:tcBorders>
              <w:bottom w:val="single" w:color="000000" w:themeColor="text1" w:sz="4" w:space="0"/>
            </w:tcBorders>
            <w:vAlign w:val="center"/>
          </w:tcPr>
          <w:p w:rsidR="78A8A088" w:rsidP="26B44573" w:rsidRDefault="78A8A088" w14:paraId="39850AD8" w14:textId="7921D802">
            <w:pPr>
              <w:pStyle w:val="Body"/>
              <w:spacing w:after="0"/>
              <w:jc w:val="center"/>
              <w:rPr>
                <w:rFonts w:ascii="Arial" w:hAnsi="Arial" w:cs="Arial"/>
                <w:b/>
                <w:bCs/>
                <w:sz w:val="18"/>
                <w:szCs w:val="18"/>
              </w:rPr>
            </w:pPr>
            <w:r w:rsidRPr="26B44573">
              <w:rPr>
                <w:rFonts w:ascii="Arial" w:hAnsi="Arial" w:cs="Arial"/>
                <w:b/>
                <w:bCs/>
                <w:sz w:val="18"/>
                <w:szCs w:val="18"/>
              </w:rPr>
              <w:t>C4</w:t>
            </w:r>
          </w:p>
        </w:tc>
      </w:tr>
      <w:tr w:rsidR="26B44573" w:rsidTr="26B44573" w14:paraId="7C4677E1" w14:textId="77777777">
        <w:trPr>
          <w:trHeight w:val="525"/>
          <w:jc w:val="center"/>
        </w:trPr>
        <w:tc>
          <w:tcPr>
            <w:tcW w:w="523" w:type="dxa"/>
            <w:tcBorders>
              <w:top w:val="single" w:color="000000" w:themeColor="text1" w:sz="4" w:space="0"/>
            </w:tcBorders>
            <w:vAlign w:val="center"/>
          </w:tcPr>
          <w:p w:rsidR="6E116DFB" w:rsidP="26B44573" w:rsidRDefault="6E116DFB" w14:paraId="15E3FDC5" w14:textId="5DF9E3B0">
            <w:pPr>
              <w:pStyle w:val="Body"/>
              <w:spacing w:after="0"/>
              <w:jc w:val="center"/>
              <w:rPr>
                <w:rFonts w:ascii="Arial" w:hAnsi="Arial" w:cs="Arial"/>
                <w:sz w:val="18"/>
                <w:szCs w:val="18"/>
              </w:rPr>
            </w:pPr>
            <w:r w:rsidRPr="26B44573">
              <w:rPr>
                <w:rFonts w:ascii="Arial" w:hAnsi="Arial" w:cs="Arial"/>
                <w:sz w:val="18"/>
                <w:szCs w:val="18"/>
              </w:rPr>
              <w:t>1</w:t>
            </w:r>
          </w:p>
        </w:tc>
        <w:tc>
          <w:tcPr>
            <w:tcW w:w="523" w:type="dxa"/>
            <w:tcBorders>
              <w:top w:val="single" w:color="000000" w:themeColor="text1" w:sz="4" w:space="0"/>
            </w:tcBorders>
            <w:vAlign w:val="center"/>
          </w:tcPr>
          <w:p w:rsidR="6E116DFB" w:rsidP="26B44573" w:rsidRDefault="6E116DFB" w14:paraId="18BF2787" w14:textId="5CA218FD">
            <w:pPr>
              <w:pStyle w:val="Body"/>
              <w:spacing w:after="0"/>
              <w:jc w:val="center"/>
              <w:rPr>
                <w:rFonts w:ascii="Arial" w:hAnsi="Arial" w:cs="Arial"/>
                <w:sz w:val="18"/>
                <w:szCs w:val="18"/>
              </w:rPr>
            </w:pPr>
            <w:r w:rsidRPr="26B44573">
              <w:rPr>
                <w:rFonts w:ascii="Arial" w:hAnsi="Arial" w:cs="Arial"/>
                <w:sz w:val="18"/>
                <w:szCs w:val="18"/>
              </w:rPr>
              <w:t>2</w:t>
            </w:r>
          </w:p>
        </w:tc>
        <w:tc>
          <w:tcPr>
            <w:tcW w:w="523" w:type="dxa"/>
            <w:tcBorders>
              <w:top w:val="single" w:color="000000" w:themeColor="text1" w:sz="4" w:space="0"/>
            </w:tcBorders>
            <w:vAlign w:val="center"/>
          </w:tcPr>
          <w:p w:rsidR="6E116DFB" w:rsidP="26B44573" w:rsidRDefault="6E116DFB" w14:paraId="7B3759EC" w14:textId="1209FE96">
            <w:pPr>
              <w:pStyle w:val="Body"/>
              <w:spacing w:after="0"/>
              <w:jc w:val="center"/>
              <w:rPr>
                <w:rFonts w:ascii="Arial" w:hAnsi="Arial" w:cs="Arial"/>
                <w:sz w:val="18"/>
                <w:szCs w:val="18"/>
              </w:rPr>
            </w:pPr>
            <w:r w:rsidRPr="26B44573">
              <w:rPr>
                <w:rFonts w:ascii="Arial" w:hAnsi="Arial" w:cs="Arial"/>
                <w:sz w:val="18"/>
                <w:szCs w:val="18"/>
              </w:rPr>
              <w:t>3</w:t>
            </w:r>
          </w:p>
        </w:tc>
        <w:tc>
          <w:tcPr>
            <w:tcW w:w="523" w:type="dxa"/>
            <w:tcBorders>
              <w:top w:val="single" w:color="000000" w:themeColor="text1" w:sz="4" w:space="0"/>
            </w:tcBorders>
            <w:vAlign w:val="center"/>
          </w:tcPr>
          <w:p w:rsidR="6E116DFB" w:rsidP="26B44573" w:rsidRDefault="6E116DFB" w14:paraId="3829A4B7" w14:textId="1BEB42E0">
            <w:pPr>
              <w:pStyle w:val="Body"/>
              <w:spacing w:after="0"/>
              <w:jc w:val="center"/>
              <w:rPr>
                <w:rFonts w:ascii="Arial" w:hAnsi="Arial" w:cs="Arial"/>
                <w:sz w:val="18"/>
                <w:szCs w:val="18"/>
              </w:rPr>
            </w:pPr>
            <w:r w:rsidRPr="26B44573">
              <w:rPr>
                <w:rFonts w:ascii="Arial" w:hAnsi="Arial" w:cs="Arial"/>
                <w:sz w:val="18"/>
                <w:szCs w:val="18"/>
              </w:rPr>
              <w:t>4</w:t>
            </w:r>
          </w:p>
        </w:tc>
        <w:tc>
          <w:tcPr>
            <w:tcW w:w="523" w:type="dxa"/>
            <w:tcBorders>
              <w:top w:val="single" w:color="000000" w:themeColor="text1" w:sz="4" w:space="0"/>
            </w:tcBorders>
            <w:vAlign w:val="center"/>
          </w:tcPr>
          <w:p w:rsidR="6E116DFB" w:rsidP="26B44573" w:rsidRDefault="6E116DFB" w14:paraId="09074424" w14:textId="4FF9D2A5">
            <w:pPr>
              <w:pStyle w:val="Body"/>
              <w:spacing w:after="0"/>
              <w:jc w:val="center"/>
              <w:rPr>
                <w:rFonts w:ascii="Arial" w:hAnsi="Arial" w:cs="Arial"/>
                <w:sz w:val="18"/>
                <w:szCs w:val="18"/>
              </w:rPr>
            </w:pPr>
            <w:r w:rsidRPr="26B44573">
              <w:rPr>
                <w:rFonts w:ascii="Arial" w:hAnsi="Arial" w:cs="Arial"/>
                <w:sz w:val="18"/>
                <w:szCs w:val="18"/>
              </w:rPr>
              <w:t>5</w:t>
            </w:r>
          </w:p>
        </w:tc>
        <w:tc>
          <w:tcPr>
            <w:tcW w:w="523" w:type="dxa"/>
            <w:tcBorders>
              <w:top w:val="single" w:color="000000" w:themeColor="text1" w:sz="4" w:space="0"/>
            </w:tcBorders>
            <w:vAlign w:val="center"/>
          </w:tcPr>
          <w:p w:rsidR="6E116DFB" w:rsidP="26B44573" w:rsidRDefault="6E116DFB" w14:paraId="3BB4F0F1" w14:textId="24434AC0">
            <w:pPr>
              <w:pStyle w:val="Body"/>
              <w:spacing w:after="0"/>
              <w:jc w:val="center"/>
              <w:rPr>
                <w:rFonts w:ascii="Arial" w:hAnsi="Arial" w:cs="Arial"/>
                <w:sz w:val="18"/>
                <w:szCs w:val="18"/>
              </w:rPr>
            </w:pPr>
            <w:r w:rsidRPr="26B44573">
              <w:rPr>
                <w:rFonts w:ascii="Arial" w:hAnsi="Arial" w:cs="Arial"/>
                <w:sz w:val="18"/>
                <w:szCs w:val="18"/>
              </w:rPr>
              <w:t>6</w:t>
            </w:r>
          </w:p>
        </w:tc>
        <w:tc>
          <w:tcPr>
            <w:tcW w:w="523" w:type="dxa"/>
            <w:tcBorders>
              <w:top w:val="single" w:color="000000" w:themeColor="text1" w:sz="4" w:space="0"/>
            </w:tcBorders>
            <w:vAlign w:val="center"/>
          </w:tcPr>
          <w:p w:rsidR="6E116DFB" w:rsidP="26B44573" w:rsidRDefault="6E116DFB" w14:paraId="13B04D21" w14:textId="2EB00D22">
            <w:pPr>
              <w:pStyle w:val="Body"/>
              <w:spacing w:after="0"/>
              <w:jc w:val="center"/>
              <w:rPr>
                <w:rFonts w:ascii="Arial" w:hAnsi="Arial" w:cs="Arial"/>
                <w:sz w:val="18"/>
                <w:szCs w:val="18"/>
              </w:rPr>
            </w:pPr>
            <w:r w:rsidRPr="26B44573">
              <w:rPr>
                <w:rFonts w:ascii="Arial" w:hAnsi="Arial" w:cs="Arial"/>
                <w:sz w:val="18"/>
                <w:szCs w:val="18"/>
              </w:rPr>
              <w:t>7</w:t>
            </w:r>
          </w:p>
        </w:tc>
        <w:tc>
          <w:tcPr>
            <w:tcW w:w="523" w:type="dxa"/>
            <w:tcBorders>
              <w:top w:val="single" w:color="000000" w:themeColor="text1" w:sz="4" w:space="0"/>
            </w:tcBorders>
            <w:vAlign w:val="center"/>
          </w:tcPr>
          <w:p w:rsidR="6E116DFB" w:rsidP="26B44573" w:rsidRDefault="6E116DFB" w14:paraId="21DF0114" w14:textId="2CDF9FF3">
            <w:pPr>
              <w:pStyle w:val="Body"/>
              <w:spacing w:after="0"/>
              <w:jc w:val="center"/>
              <w:rPr>
                <w:rFonts w:ascii="Arial" w:hAnsi="Arial" w:cs="Arial"/>
                <w:sz w:val="18"/>
                <w:szCs w:val="18"/>
              </w:rPr>
            </w:pPr>
            <w:r w:rsidRPr="26B44573">
              <w:rPr>
                <w:rFonts w:ascii="Arial" w:hAnsi="Arial" w:cs="Arial"/>
                <w:sz w:val="18"/>
                <w:szCs w:val="18"/>
              </w:rPr>
              <w:t>8</w:t>
            </w:r>
          </w:p>
        </w:tc>
        <w:tc>
          <w:tcPr>
            <w:tcW w:w="523" w:type="dxa"/>
            <w:tcBorders>
              <w:top w:val="single" w:color="000000" w:themeColor="text1" w:sz="4" w:space="0"/>
            </w:tcBorders>
            <w:vAlign w:val="center"/>
          </w:tcPr>
          <w:p w:rsidR="6E116DFB" w:rsidP="26B44573" w:rsidRDefault="6E116DFB" w14:paraId="124D2641" w14:textId="077CDA24">
            <w:pPr>
              <w:pStyle w:val="Body"/>
              <w:spacing w:after="0"/>
              <w:jc w:val="center"/>
              <w:rPr>
                <w:rFonts w:ascii="Arial" w:hAnsi="Arial" w:cs="Arial"/>
                <w:sz w:val="18"/>
                <w:szCs w:val="18"/>
              </w:rPr>
            </w:pPr>
            <w:r w:rsidRPr="26B44573">
              <w:rPr>
                <w:rFonts w:ascii="Arial" w:hAnsi="Arial" w:cs="Arial"/>
                <w:sz w:val="18"/>
                <w:szCs w:val="18"/>
              </w:rPr>
              <w:t>9</w:t>
            </w:r>
          </w:p>
        </w:tc>
        <w:tc>
          <w:tcPr>
            <w:tcW w:w="523" w:type="dxa"/>
            <w:tcBorders>
              <w:top w:val="single" w:color="000000" w:themeColor="text1" w:sz="4" w:space="0"/>
            </w:tcBorders>
            <w:vAlign w:val="center"/>
          </w:tcPr>
          <w:p w:rsidR="6E116DFB" w:rsidP="26B44573" w:rsidRDefault="6E116DFB" w14:paraId="13650642" w14:textId="2A49BCF4">
            <w:pPr>
              <w:pStyle w:val="Body"/>
              <w:spacing w:after="0"/>
              <w:jc w:val="center"/>
              <w:rPr>
                <w:rFonts w:ascii="Arial" w:hAnsi="Arial" w:cs="Arial"/>
                <w:sz w:val="18"/>
                <w:szCs w:val="18"/>
              </w:rPr>
            </w:pPr>
            <w:r w:rsidRPr="26B44573">
              <w:rPr>
                <w:rFonts w:ascii="Arial" w:hAnsi="Arial" w:cs="Arial"/>
                <w:sz w:val="18"/>
                <w:szCs w:val="18"/>
              </w:rPr>
              <w:t>10</w:t>
            </w:r>
          </w:p>
        </w:tc>
        <w:tc>
          <w:tcPr>
            <w:tcW w:w="523" w:type="dxa"/>
            <w:tcBorders>
              <w:top w:val="single" w:color="000000" w:themeColor="text1" w:sz="4" w:space="0"/>
            </w:tcBorders>
            <w:vAlign w:val="center"/>
          </w:tcPr>
          <w:p w:rsidR="6E116DFB" w:rsidP="26B44573" w:rsidRDefault="6E116DFB" w14:paraId="48064F92" w14:textId="1EE6BD83">
            <w:pPr>
              <w:pStyle w:val="Body"/>
              <w:spacing w:after="0"/>
              <w:jc w:val="center"/>
              <w:rPr>
                <w:rFonts w:ascii="Arial" w:hAnsi="Arial" w:cs="Arial"/>
                <w:sz w:val="18"/>
                <w:szCs w:val="18"/>
              </w:rPr>
            </w:pPr>
            <w:r w:rsidRPr="26B44573">
              <w:rPr>
                <w:rFonts w:ascii="Arial" w:hAnsi="Arial" w:cs="Arial"/>
                <w:sz w:val="18"/>
                <w:szCs w:val="18"/>
              </w:rPr>
              <w:t>11</w:t>
            </w:r>
          </w:p>
        </w:tc>
        <w:tc>
          <w:tcPr>
            <w:tcW w:w="690" w:type="dxa"/>
            <w:tcBorders>
              <w:top w:val="single" w:color="000000" w:themeColor="text1" w:sz="4" w:space="0"/>
            </w:tcBorders>
            <w:vAlign w:val="center"/>
          </w:tcPr>
          <w:p w:rsidR="6E116DFB" w:rsidP="26B44573" w:rsidRDefault="6E116DFB" w14:paraId="7431E65E" w14:textId="28520EAD">
            <w:pPr>
              <w:pStyle w:val="Body"/>
              <w:spacing w:after="0"/>
              <w:jc w:val="center"/>
              <w:rPr>
                <w:rFonts w:ascii="Arial" w:hAnsi="Arial" w:cs="Arial"/>
                <w:sz w:val="18"/>
                <w:szCs w:val="18"/>
              </w:rPr>
            </w:pPr>
            <w:r w:rsidRPr="26B44573">
              <w:rPr>
                <w:rFonts w:ascii="Arial" w:hAnsi="Arial" w:cs="Arial"/>
                <w:sz w:val="18"/>
                <w:szCs w:val="18"/>
              </w:rPr>
              <w:t>12</w:t>
            </w:r>
          </w:p>
        </w:tc>
        <w:tc>
          <w:tcPr>
            <w:tcW w:w="510" w:type="dxa"/>
            <w:tcBorders>
              <w:top w:val="single" w:color="000000" w:themeColor="text1" w:sz="4" w:space="0"/>
            </w:tcBorders>
            <w:vAlign w:val="center"/>
          </w:tcPr>
          <w:p w:rsidR="6E116DFB" w:rsidP="26B44573" w:rsidRDefault="6E116DFB" w14:paraId="6FCFB4A8" w14:textId="1163F4F3">
            <w:pPr>
              <w:pStyle w:val="Body"/>
              <w:spacing w:after="0"/>
              <w:jc w:val="center"/>
              <w:rPr>
                <w:rFonts w:ascii="Arial" w:hAnsi="Arial" w:cs="Arial"/>
                <w:sz w:val="18"/>
                <w:szCs w:val="18"/>
              </w:rPr>
            </w:pPr>
            <w:r w:rsidRPr="26B44573">
              <w:rPr>
                <w:rFonts w:ascii="Arial" w:hAnsi="Arial" w:cs="Arial"/>
                <w:sz w:val="18"/>
                <w:szCs w:val="18"/>
              </w:rPr>
              <w:t>13</w:t>
            </w:r>
          </w:p>
        </w:tc>
        <w:tc>
          <w:tcPr>
            <w:tcW w:w="510" w:type="dxa"/>
            <w:tcBorders>
              <w:top w:val="single" w:color="000000" w:themeColor="text1" w:sz="4" w:space="0"/>
            </w:tcBorders>
            <w:vAlign w:val="center"/>
          </w:tcPr>
          <w:p w:rsidR="6E116DFB" w:rsidP="26B44573" w:rsidRDefault="6E116DFB" w14:paraId="4FD4EFA8" w14:textId="695ACE71">
            <w:pPr>
              <w:pStyle w:val="Body"/>
              <w:spacing w:after="0"/>
              <w:jc w:val="center"/>
              <w:rPr>
                <w:rFonts w:ascii="Arial" w:hAnsi="Arial" w:cs="Arial"/>
                <w:sz w:val="18"/>
                <w:szCs w:val="18"/>
              </w:rPr>
            </w:pPr>
            <w:r w:rsidRPr="26B44573">
              <w:rPr>
                <w:rFonts w:ascii="Arial" w:hAnsi="Arial" w:cs="Arial"/>
                <w:sz w:val="18"/>
                <w:szCs w:val="18"/>
              </w:rPr>
              <w:t>14</w:t>
            </w:r>
          </w:p>
        </w:tc>
        <w:tc>
          <w:tcPr>
            <w:tcW w:w="510" w:type="dxa"/>
            <w:tcBorders>
              <w:top w:val="single" w:color="000000" w:themeColor="text1" w:sz="4" w:space="0"/>
            </w:tcBorders>
            <w:vAlign w:val="center"/>
          </w:tcPr>
          <w:p w:rsidR="6E116DFB" w:rsidP="26B44573" w:rsidRDefault="6E116DFB" w14:paraId="00DF4142" w14:textId="2A196528">
            <w:pPr>
              <w:pStyle w:val="Body"/>
              <w:spacing w:after="0"/>
              <w:jc w:val="center"/>
              <w:rPr>
                <w:rFonts w:ascii="Arial" w:hAnsi="Arial" w:cs="Arial"/>
                <w:sz w:val="18"/>
                <w:szCs w:val="18"/>
              </w:rPr>
            </w:pPr>
            <w:r w:rsidRPr="26B44573">
              <w:rPr>
                <w:rFonts w:ascii="Arial" w:hAnsi="Arial" w:cs="Arial"/>
                <w:sz w:val="18"/>
                <w:szCs w:val="18"/>
              </w:rPr>
              <w:t>15</w:t>
            </w:r>
          </w:p>
        </w:tc>
        <w:tc>
          <w:tcPr>
            <w:tcW w:w="502" w:type="dxa"/>
            <w:tcBorders>
              <w:top w:val="single" w:color="000000" w:themeColor="text1" w:sz="4" w:space="0"/>
            </w:tcBorders>
            <w:vAlign w:val="center"/>
          </w:tcPr>
          <w:p w:rsidR="6E116DFB" w:rsidP="26B44573" w:rsidRDefault="6E116DFB" w14:paraId="1A1680AB" w14:textId="40448605">
            <w:pPr>
              <w:pStyle w:val="Body"/>
              <w:spacing w:after="0"/>
              <w:jc w:val="center"/>
              <w:rPr>
                <w:rFonts w:ascii="Arial" w:hAnsi="Arial" w:cs="Arial"/>
                <w:sz w:val="18"/>
                <w:szCs w:val="18"/>
              </w:rPr>
            </w:pPr>
            <w:r w:rsidRPr="26B44573">
              <w:rPr>
                <w:rFonts w:ascii="Arial" w:hAnsi="Arial" w:cs="Arial"/>
                <w:sz w:val="18"/>
                <w:szCs w:val="18"/>
              </w:rPr>
              <w:t>16</w:t>
            </w:r>
          </w:p>
        </w:tc>
      </w:tr>
    </w:tbl>
    <w:p w:rsidR="00902823" w:rsidP="26B44573" w:rsidRDefault="00902823" w14:paraId="7C5424C2" w14:textId="7DAD7846">
      <w:pPr>
        <w:pStyle w:val="Body"/>
        <w:spacing w:after="0"/>
        <w:rPr>
          <w:rFonts w:ascii="Arial" w:hAnsi="Arial" w:cs="Arial"/>
        </w:rPr>
      </w:pPr>
    </w:p>
    <w:p w:rsidR="00902823" w:rsidP="26B44573" w:rsidRDefault="1D1EC7CD" w14:paraId="4D572752" w14:textId="13120B4E">
      <w:pPr>
        <w:pStyle w:val="Body"/>
        <w:spacing w:after="0"/>
        <w:rPr>
          <w:rFonts w:ascii="Arial" w:hAnsi="Arial" w:cs="Arial"/>
        </w:rPr>
      </w:pPr>
      <w:r w:rsidRPr="26B44573">
        <w:rPr>
          <w:rFonts w:ascii="Arial" w:hAnsi="Arial" w:cs="Arial"/>
        </w:rPr>
        <w:t>The bleaching effectiveness (∆B) was calculated by the difference between the color assessment initial (∆I) and the color assessment final (∆F), in each patient, according to the following formula:</w:t>
      </w:r>
      <w:r w:rsidRPr="26B44573" w:rsidR="1B0B8439">
        <w:rPr>
          <w:rFonts w:ascii="Arial" w:hAnsi="Arial" w:cs="Arial"/>
        </w:rPr>
        <w:t xml:space="preserve"> </w:t>
      </w:r>
      <m:oMath>
        <m:r>
          <w:rPr>
            <w:rFonts w:ascii="Cambria Math" w:hAnsi="Cambria Math"/>
          </w:rPr>
          <m:t>∆B=</m:t>
        </m:r>
        <m:d>
          <m:dPr>
            <m:ctrlPr>
              <w:rPr>
                <w:rFonts w:ascii="Cambria Math" w:hAnsi="Cambria Math"/>
              </w:rPr>
            </m:ctrlPr>
          </m:dPr>
          <m:e>
            <m:r>
              <w:rPr>
                <w:rFonts w:ascii="Cambria Math" w:hAnsi="Cambria Math"/>
              </w:rPr>
              <m:t>∆I</m:t>
            </m:r>
          </m:e>
        </m:d>
        <m:r>
          <w:rPr>
            <w:rFonts w:ascii="Cambria Math" w:hAnsi="Cambria Math"/>
          </w:rPr>
          <m:t>-</m:t>
        </m:r>
        <m:d>
          <m:dPr>
            <m:ctrlPr>
              <w:rPr>
                <w:rFonts w:ascii="Cambria Math" w:hAnsi="Cambria Math"/>
              </w:rPr>
            </m:ctrlPr>
          </m:dPr>
          <m:e>
            <m:r>
              <w:rPr>
                <w:rFonts w:ascii="Cambria Math" w:hAnsi="Cambria Math"/>
              </w:rPr>
              <m:t>∆F</m:t>
            </m:r>
          </m:e>
        </m:d>
      </m:oMath>
      <w:r w:rsidRPr="26B44573" w:rsidR="6CBD382A">
        <w:rPr>
          <w:rFonts w:ascii="Arial" w:hAnsi="Arial" w:cs="Arial"/>
        </w:rPr>
        <w:t xml:space="preserve"> (1).</w:t>
      </w:r>
    </w:p>
    <w:p w:rsidR="00902823" w:rsidP="26B44573" w:rsidRDefault="00902823" w14:paraId="619CD3D2" w14:textId="19A57040">
      <w:pPr>
        <w:pStyle w:val="Body"/>
        <w:spacing w:after="0"/>
        <w:rPr>
          <w:rFonts w:ascii="Arial" w:hAnsi="Arial" w:cs="Arial"/>
        </w:rPr>
      </w:pPr>
    </w:p>
    <w:p w:rsidR="00902823" w:rsidP="26B44573" w:rsidRDefault="6CBD382A" w14:paraId="51EDA3AC" w14:textId="2D3CFDC9">
      <w:pPr>
        <w:pStyle w:val="Body"/>
        <w:spacing w:after="0"/>
        <w:rPr>
          <w:rFonts w:ascii="Arial" w:hAnsi="Arial" w:cs="Arial"/>
          <w:b/>
          <w:bCs/>
          <w:u w:val="single"/>
        </w:rPr>
      </w:pPr>
      <w:r w:rsidRPr="26B44573">
        <w:rPr>
          <w:rFonts w:ascii="Arial" w:hAnsi="Arial" w:cs="Arial"/>
          <w:b/>
          <w:bCs/>
          <w:u w:val="single"/>
        </w:rPr>
        <w:t>2.6.3 Statistical methods</w:t>
      </w:r>
    </w:p>
    <w:p w:rsidR="00902823" w:rsidP="26B44573" w:rsidRDefault="00902823" w14:paraId="402FE267" w14:textId="6224760D">
      <w:pPr>
        <w:pStyle w:val="Body"/>
        <w:spacing w:after="0"/>
        <w:rPr>
          <w:rFonts w:ascii="Arial" w:hAnsi="Arial" w:cs="Arial"/>
        </w:rPr>
      </w:pPr>
    </w:p>
    <w:p w:rsidR="00902823" w:rsidP="26B44573" w:rsidRDefault="6CBD382A" w14:paraId="1D63F7A9" w14:textId="36C97025">
      <w:pPr>
        <w:pStyle w:val="Body"/>
        <w:spacing w:after="0"/>
        <w:rPr>
          <w:rFonts w:ascii="Arial" w:hAnsi="Arial" w:cs="Arial"/>
        </w:rPr>
      </w:pPr>
      <w:r w:rsidRPr="26B44573">
        <w:rPr>
          <w:rFonts w:ascii="Arial" w:hAnsi="Arial" w:cs="Arial"/>
        </w:rPr>
        <w:t xml:space="preserve">The analysis followed the intent-to-treat protocol and involved all participants, who were randomly divided (Figure 1). The statistician was also blinded to the groups. The sensitivity tooth data reported by the patient and bleaching effectiveness collected in this study were tabulated in a digital spreadsheet (Microsoft Excel Windows 2010) and subsequently </w:t>
      </w:r>
      <w:r w:rsidRPr="26B44573">
        <w:rPr>
          <w:rFonts w:ascii="Arial" w:hAnsi="Arial" w:cs="Arial"/>
        </w:rPr>
        <w:lastRenderedPageBreak/>
        <w:t xml:space="preserve">analyzed using the </w:t>
      </w:r>
      <w:proofErr w:type="spellStart"/>
      <w:r w:rsidRPr="26B44573">
        <w:rPr>
          <w:rFonts w:ascii="Arial" w:hAnsi="Arial" w:cs="Arial"/>
        </w:rPr>
        <w:t>Jamovi</w:t>
      </w:r>
      <w:proofErr w:type="spellEnd"/>
      <w:r w:rsidRPr="26B44573">
        <w:rPr>
          <w:rFonts w:ascii="Arial" w:hAnsi="Arial" w:cs="Arial"/>
        </w:rPr>
        <w:t xml:space="preserve"> 2.3.16 software (Project </w:t>
      </w:r>
      <w:proofErr w:type="spellStart"/>
      <w:r w:rsidRPr="26B44573">
        <w:rPr>
          <w:rFonts w:ascii="Arial" w:hAnsi="Arial" w:cs="Arial"/>
        </w:rPr>
        <w:t>Jamovi</w:t>
      </w:r>
      <w:proofErr w:type="spellEnd"/>
      <w:r w:rsidRPr="26B44573">
        <w:rPr>
          <w:rFonts w:ascii="Arial" w:hAnsi="Arial" w:cs="Arial"/>
        </w:rPr>
        <w:t xml:space="preserve">). Considering the variables qualitative and independent of this study the Mann–Whitney test was used for intergroup for two outcomes. Descriptive statistics and comparative analysis between the groups were used to analyze demographic data. The </w:t>
      </w:r>
      <w:proofErr w:type="spellStart"/>
      <w:r w:rsidRPr="26B44573">
        <w:rPr>
          <w:rFonts w:ascii="Arial" w:hAnsi="Arial" w:cs="Arial"/>
        </w:rPr>
        <w:t>MannWhitney</w:t>
      </w:r>
      <w:proofErr w:type="spellEnd"/>
      <w:r w:rsidRPr="26B44573">
        <w:rPr>
          <w:rFonts w:ascii="Arial" w:hAnsi="Arial" w:cs="Arial"/>
        </w:rPr>
        <w:t xml:space="preserve"> test was used for age analysis, and the x2 test was used for gender analysis. At the end of the experiment, a Binomial Logistic Regression (</w:t>
      </w:r>
      <w:r w:rsidRPr="26B44573">
        <w:rPr>
          <w:rFonts w:ascii="Arial" w:hAnsi="Arial" w:cs="Arial"/>
          <w:i/>
          <w:iCs/>
        </w:rPr>
        <w:t>P</w:t>
      </w:r>
      <w:r w:rsidRPr="26B44573">
        <w:rPr>
          <w:rFonts w:ascii="Arial" w:hAnsi="Arial" w:cs="Arial"/>
        </w:rPr>
        <w:t xml:space="preserve"> &lt; 0.05) was applied to compare both groups concerning the chance (odds ratio) of patients to feel pain at all evaluated times. An alpha level of 5% was considered for all analyses.</w:t>
      </w:r>
    </w:p>
    <w:p w:rsidR="00902823" w:rsidP="26B44573" w:rsidRDefault="00902823" w14:paraId="1FAB891B" w14:textId="53A68403">
      <w:pPr>
        <w:pStyle w:val="Body"/>
        <w:spacing w:after="0"/>
        <w:rPr>
          <w:rFonts w:ascii="Arial" w:hAnsi="Arial" w:cs="Arial"/>
        </w:rPr>
      </w:pPr>
    </w:p>
    <w:p w:rsidR="00902823" w:rsidP="26B44573" w:rsidRDefault="6CBD382A" w14:paraId="6051475F" w14:textId="470941A7">
      <w:pPr>
        <w:pStyle w:val="Body"/>
        <w:spacing w:after="0"/>
        <w:rPr>
          <w:rFonts w:ascii="Arial" w:hAnsi="Arial" w:cs="Arial"/>
        </w:rPr>
      </w:pPr>
      <w:r w:rsidRPr="26B44573">
        <w:rPr>
          <w:rFonts w:ascii="Arial" w:hAnsi="Arial" w:cs="Arial"/>
        </w:rPr>
        <w:t>The sample size calculation was based on probability distributions of the t-test family (Wilcoxon and Mann– Whitney tests for comparison of two groups). The effect size used was 0.8, with a type -1 error (α) of 0.05 and a power (β error) of 0.8, resulting in a total of 42 individuals, or n = 21 per group. The sample size was calculated using the G*Power program, version 3.1.9.2 (University of Düsseldorf, Germany).</w:t>
      </w:r>
    </w:p>
    <w:p w:rsidR="00902823" w:rsidP="26B44573" w:rsidRDefault="00902823" w14:paraId="792A345B" w14:textId="4A592ADD">
      <w:pPr>
        <w:pStyle w:val="Body"/>
        <w:spacing w:after="0"/>
        <w:rPr>
          <w:rFonts w:ascii="Arial" w:hAnsi="Arial" w:cs="Arial"/>
        </w:rPr>
      </w:pPr>
    </w:p>
    <w:p w:rsidR="00902823" w:rsidP="26B44573" w:rsidRDefault="5E48C869" w14:paraId="5B682AD6" w14:textId="1803304B">
      <w:pPr>
        <w:pStyle w:val="Head1"/>
        <w:spacing w:after="0"/>
        <w:rPr>
          <w:rFonts w:ascii="Arial" w:hAnsi="Arial" w:cs="Arial"/>
        </w:rPr>
      </w:pPr>
      <w:r w:rsidRPr="26B44573">
        <w:rPr>
          <w:rFonts w:ascii="Arial" w:hAnsi="Arial" w:cs="Arial"/>
        </w:rPr>
        <w:t>3</w:t>
      </w:r>
      <w:r w:rsidRPr="26B44573" w:rsidR="2D68CCC3">
        <w:rPr>
          <w:rFonts w:ascii="Arial" w:hAnsi="Arial" w:cs="Arial"/>
        </w:rPr>
        <w:t xml:space="preserve">. </w:t>
      </w:r>
      <w:r w:rsidRPr="26B44573">
        <w:rPr>
          <w:rFonts w:ascii="Arial" w:hAnsi="Arial" w:cs="Arial"/>
        </w:rPr>
        <w:t>results and discussion</w:t>
      </w:r>
    </w:p>
    <w:p w:rsidRPr="00FB3A86" w:rsidR="00790ADA" w:rsidP="00441B6F" w:rsidRDefault="00790ADA" w14:paraId="0562CB0E" w14:textId="77777777">
      <w:pPr>
        <w:pStyle w:val="Head1"/>
        <w:spacing w:after="0"/>
        <w:jc w:val="both"/>
        <w:rPr>
          <w:rFonts w:ascii="Arial" w:hAnsi="Arial" w:cs="Arial"/>
        </w:rPr>
      </w:pPr>
    </w:p>
    <w:p w:rsidRPr="00FB3A86" w:rsidR="00790ADA" w:rsidP="26B44573" w:rsidRDefault="4E1999E3" w14:paraId="0AD5E940" w14:textId="7A7080B3">
      <w:pPr>
        <w:rPr>
          <w:rFonts w:ascii="Arial" w:hAnsi="Arial" w:cs="Arial"/>
          <w:b/>
          <w:bCs/>
          <w:lang w:val="en-GB" w:eastAsia="en-GB"/>
        </w:rPr>
      </w:pPr>
      <w:r w:rsidRPr="26B44573">
        <w:rPr>
          <w:rFonts w:ascii="Arial" w:hAnsi="Arial" w:cs="Arial"/>
          <w:b/>
          <w:bCs/>
          <w:lang w:val="en-GB" w:eastAsia="en-GB"/>
        </w:rPr>
        <w:t>3.1 Baseline demographic characteristics</w:t>
      </w:r>
    </w:p>
    <w:p w:rsidRPr="00FB3A86" w:rsidR="00790ADA" w:rsidP="26B44573" w:rsidRDefault="00790ADA" w14:paraId="549B04F8" w14:textId="38DF9453">
      <w:pPr>
        <w:rPr>
          <w:rFonts w:ascii="Arial" w:hAnsi="Arial" w:cs="Arial"/>
          <w:b/>
          <w:bCs/>
          <w:lang w:val="en-GB" w:eastAsia="en-GB"/>
        </w:rPr>
      </w:pPr>
    </w:p>
    <w:p w:rsidRPr="00FB3A86" w:rsidR="00790ADA" w:rsidP="26B44573" w:rsidRDefault="4E1999E3" w14:paraId="738CEC87" w14:textId="43A61192">
      <w:pPr>
        <w:rPr>
          <w:rFonts w:ascii="Arial" w:hAnsi="Arial" w:cs="Arial"/>
          <w:lang w:val="en-GB" w:eastAsia="en-GB"/>
        </w:rPr>
      </w:pPr>
      <w:r w:rsidRPr="26B44573">
        <w:rPr>
          <w:rFonts w:ascii="Arial" w:hAnsi="Arial" w:cs="Arial"/>
          <w:lang w:val="en-GB" w:eastAsia="en-GB"/>
        </w:rPr>
        <w:t xml:space="preserve">Although this study began with 42 patients divided equally into two groups, at the end of the follow-up data could be </w:t>
      </w:r>
      <w:proofErr w:type="spellStart"/>
      <w:r w:rsidRPr="26B44573">
        <w:rPr>
          <w:rFonts w:ascii="Arial" w:hAnsi="Arial" w:cs="Arial"/>
          <w:lang w:val="en-GB" w:eastAsia="en-GB"/>
        </w:rPr>
        <w:t>analyzed</w:t>
      </w:r>
      <w:proofErr w:type="spellEnd"/>
      <w:r w:rsidRPr="26B44573">
        <w:rPr>
          <w:rFonts w:ascii="Arial" w:hAnsi="Arial" w:cs="Arial"/>
          <w:lang w:val="en-GB" w:eastAsia="en-GB"/>
        </w:rPr>
        <w:t xml:space="preserve"> for 21 patients divided into groups (Figure 1). Baseline demographic characteristics are summarized in Table 3.</w:t>
      </w:r>
    </w:p>
    <w:p w:rsidRPr="00FB3A86" w:rsidR="00790ADA" w:rsidP="26B44573" w:rsidRDefault="00790ADA" w14:paraId="05878E4E" w14:textId="7A23CA1E">
      <w:pPr>
        <w:rPr>
          <w:rFonts w:ascii="Arial" w:hAnsi="Arial" w:cs="Arial"/>
          <w:lang w:val="en-GB" w:eastAsia="en-GB"/>
        </w:rPr>
      </w:pPr>
    </w:p>
    <w:p w:rsidRPr="00FB3A86" w:rsidR="00790ADA" w:rsidP="26B44573" w:rsidRDefault="4E1999E3" w14:paraId="563522B4" w14:textId="7983E36F">
      <w:pPr>
        <w:rPr>
          <w:rFonts w:ascii="Arial" w:hAnsi="Arial" w:cs="Arial"/>
          <w:b/>
          <w:bCs/>
          <w:lang w:val="en-GB" w:eastAsia="en-GB"/>
        </w:rPr>
      </w:pPr>
      <w:r w:rsidRPr="26B44573">
        <w:rPr>
          <w:rFonts w:ascii="Arial" w:hAnsi="Arial" w:cs="Arial"/>
          <w:b/>
          <w:bCs/>
          <w:lang w:val="en-GB" w:eastAsia="en-GB"/>
        </w:rPr>
        <w:t>Table 3. Baseline demographic characteristics.</w:t>
      </w:r>
    </w:p>
    <w:tbl>
      <w:tblPr>
        <w:tblStyle w:val="TableGrid"/>
        <w:tblW w:w="0" w:type="auto"/>
        <w:tblBorders>
          <w:top w:val="single" w:color="000000" w:themeColor="text1" w:sz="4" w:space="0"/>
          <w:left w:val="none" w:color="000000" w:themeColor="text1" w:sz="4" w:space="0"/>
          <w:bottom w:val="single" w:color="000000" w:themeColor="text1" w:sz="4" w:space="0"/>
          <w:right w:val="none" w:color="000000" w:themeColor="text1" w:sz="4" w:space="0"/>
          <w:insideH w:val="none" w:color="000000" w:themeColor="text1" w:sz="4" w:space="0"/>
          <w:insideV w:val="none" w:color="000000" w:themeColor="text1" w:sz="4" w:space="0"/>
        </w:tblBorders>
        <w:tblLayout w:type="fixed"/>
        <w:tblLook w:val="06A0" w:firstRow="1" w:lastRow="0" w:firstColumn="1" w:lastColumn="0" w:noHBand="1" w:noVBand="1"/>
      </w:tblPr>
      <w:tblGrid>
        <w:gridCol w:w="2051"/>
        <w:gridCol w:w="2051"/>
        <w:gridCol w:w="2051"/>
        <w:gridCol w:w="2051"/>
      </w:tblGrid>
      <w:tr w:rsidR="26B44573" w:rsidTr="26B44573" w14:paraId="2B6597D8" w14:textId="77777777">
        <w:trPr>
          <w:trHeight w:val="300"/>
        </w:trPr>
        <w:tc>
          <w:tcPr>
            <w:tcW w:w="2051" w:type="dxa"/>
            <w:tcBorders>
              <w:bottom w:val="single" w:color="000000" w:themeColor="text1" w:sz="4" w:space="0"/>
            </w:tcBorders>
            <w:vAlign w:val="center"/>
          </w:tcPr>
          <w:p w:rsidR="4E1999E3" w:rsidP="26B44573" w:rsidRDefault="4E1999E3" w14:paraId="200FB7EB" w14:textId="5C54C10E">
            <w:pPr>
              <w:jc w:val="center"/>
              <w:rPr>
                <w:rFonts w:ascii="Arial" w:hAnsi="Arial" w:cs="Arial"/>
                <w:b/>
                <w:bCs/>
                <w:sz w:val="20"/>
                <w:szCs w:val="20"/>
                <w:lang w:val="en-GB" w:eastAsia="en-GB"/>
              </w:rPr>
            </w:pPr>
            <w:r w:rsidRPr="26B44573">
              <w:rPr>
                <w:rFonts w:ascii="Arial" w:hAnsi="Arial" w:cs="Arial"/>
                <w:b/>
                <w:bCs/>
                <w:sz w:val="20"/>
                <w:szCs w:val="20"/>
                <w:lang w:val="en-GB" w:eastAsia="en-GB"/>
              </w:rPr>
              <w:t>Groups</w:t>
            </w:r>
          </w:p>
        </w:tc>
        <w:tc>
          <w:tcPr>
            <w:tcW w:w="2051" w:type="dxa"/>
            <w:tcBorders>
              <w:bottom w:val="single" w:color="000000" w:themeColor="text1" w:sz="4" w:space="0"/>
            </w:tcBorders>
            <w:vAlign w:val="center"/>
          </w:tcPr>
          <w:p w:rsidR="4E1999E3" w:rsidP="26B44573" w:rsidRDefault="4E1999E3" w14:paraId="2CF75A71" w14:textId="244AF286">
            <w:pPr>
              <w:jc w:val="center"/>
              <w:rPr>
                <w:rFonts w:ascii="Arial" w:hAnsi="Arial" w:cs="Arial"/>
                <w:b/>
                <w:bCs/>
                <w:sz w:val="20"/>
                <w:szCs w:val="20"/>
                <w:lang w:val="en-GB" w:eastAsia="en-GB"/>
              </w:rPr>
            </w:pPr>
            <w:r w:rsidRPr="26B44573">
              <w:rPr>
                <w:rFonts w:ascii="Arial" w:hAnsi="Arial" w:cs="Arial"/>
                <w:b/>
                <w:bCs/>
                <w:sz w:val="20"/>
                <w:szCs w:val="20"/>
                <w:lang w:val="en-GB" w:eastAsia="en-GB"/>
              </w:rPr>
              <w:t>DFK</w:t>
            </w:r>
          </w:p>
        </w:tc>
        <w:tc>
          <w:tcPr>
            <w:tcW w:w="2051" w:type="dxa"/>
            <w:tcBorders>
              <w:bottom w:val="single" w:color="000000" w:themeColor="text1" w:sz="4" w:space="0"/>
            </w:tcBorders>
            <w:vAlign w:val="center"/>
          </w:tcPr>
          <w:p w:rsidR="4E1999E3" w:rsidP="26B44573" w:rsidRDefault="4E1999E3" w14:paraId="337CB310" w14:textId="652DA3CA">
            <w:pPr>
              <w:jc w:val="center"/>
              <w:rPr>
                <w:rFonts w:ascii="Arial" w:hAnsi="Arial" w:cs="Arial"/>
                <w:b/>
                <w:bCs/>
                <w:sz w:val="20"/>
                <w:szCs w:val="20"/>
                <w:lang w:val="en-GB" w:eastAsia="en-GB"/>
              </w:rPr>
            </w:pPr>
            <w:r w:rsidRPr="26B44573">
              <w:rPr>
                <w:rFonts w:ascii="Arial" w:hAnsi="Arial" w:cs="Arial"/>
                <w:b/>
                <w:bCs/>
                <w:sz w:val="20"/>
                <w:szCs w:val="20"/>
                <w:lang w:val="en-GB" w:eastAsia="en-GB"/>
              </w:rPr>
              <w:t>DFK + CHI</w:t>
            </w:r>
          </w:p>
        </w:tc>
        <w:tc>
          <w:tcPr>
            <w:tcW w:w="2051" w:type="dxa"/>
            <w:tcBorders>
              <w:bottom w:val="single" w:color="000000" w:themeColor="text1" w:sz="4" w:space="0"/>
            </w:tcBorders>
            <w:vAlign w:val="center"/>
          </w:tcPr>
          <w:p w:rsidR="4E1999E3" w:rsidP="26B44573" w:rsidRDefault="4E1999E3" w14:paraId="7655B0B0" w14:textId="4BF69BF6">
            <w:pPr>
              <w:jc w:val="center"/>
              <w:rPr>
                <w:rFonts w:ascii="Arial" w:hAnsi="Arial" w:cs="Arial"/>
                <w:b/>
                <w:bCs/>
                <w:i/>
                <w:iCs/>
                <w:sz w:val="20"/>
                <w:szCs w:val="20"/>
                <w:lang w:val="en-GB" w:eastAsia="en-GB"/>
              </w:rPr>
            </w:pPr>
            <w:r w:rsidRPr="26B44573">
              <w:rPr>
                <w:rFonts w:ascii="Arial" w:hAnsi="Arial" w:cs="Arial"/>
                <w:b/>
                <w:bCs/>
                <w:i/>
                <w:iCs/>
                <w:sz w:val="20"/>
                <w:szCs w:val="20"/>
                <w:lang w:val="en-GB" w:eastAsia="en-GB"/>
              </w:rPr>
              <w:t>P</w:t>
            </w:r>
            <w:r w:rsidRPr="26B44573">
              <w:rPr>
                <w:rFonts w:ascii="Arial" w:hAnsi="Arial" w:cs="Arial"/>
                <w:b/>
                <w:bCs/>
                <w:sz w:val="20"/>
                <w:szCs w:val="20"/>
                <w:lang w:val="en-GB" w:eastAsia="en-GB"/>
              </w:rPr>
              <w:t>-value</w:t>
            </w:r>
          </w:p>
        </w:tc>
      </w:tr>
      <w:tr w:rsidR="26B44573" w:rsidTr="26B44573" w14:paraId="03A2BAF9" w14:textId="77777777">
        <w:trPr>
          <w:trHeight w:val="300"/>
        </w:trPr>
        <w:tc>
          <w:tcPr>
            <w:tcW w:w="2051" w:type="dxa"/>
            <w:tcBorders>
              <w:top w:val="single" w:color="000000" w:themeColor="text1" w:sz="4" w:space="0"/>
            </w:tcBorders>
            <w:vAlign w:val="center"/>
          </w:tcPr>
          <w:p w:rsidR="26B44573" w:rsidP="26B44573" w:rsidRDefault="26B44573" w14:paraId="5E8FE3F5" w14:textId="4CB73423">
            <w:pPr>
              <w:jc w:val="center"/>
              <w:rPr>
                <w:rFonts w:ascii="Arial" w:hAnsi="Arial" w:cs="Arial"/>
                <w:b/>
                <w:bCs/>
                <w:sz w:val="20"/>
                <w:szCs w:val="20"/>
                <w:lang w:val="en-GB" w:eastAsia="en-GB"/>
              </w:rPr>
            </w:pPr>
          </w:p>
        </w:tc>
        <w:tc>
          <w:tcPr>
            <w:tcW w:w="2051" w:type="dxa"/>
            <w:tcBorders>
              <w:top w:val="single" w:color="000000" w:themeColor="text1" w:sz="4" w:space="0"/>
            </w:tcBorders>
            <w:vAlign w:val="center"/>
          </w:tcPr>
          <w:p w:rsidR="4E1999E3" w:rsidP="26B44573" w:rsidRDefault="4E1999E3" w14:paraId="1C70C114" w14:textId="210ACD0D">
            <w:pPr>
              <w:jc w:val="center"/>
              <w:rPr>
                <w:rFonts w:ascii="Arial" w:hAnsi="Arial" w:cs="Arial"/>
                <w:b/>
                <w:bCs/>
                <w:sz w:val="20"/>
                <w:szCs w:val="20"/>
                <w:lang w:val="en-GB" w:eastAsia="en-GB"/>
              </w:rPr>
            </w:pPr>
            <w:r w:rsidRPr="26B44573">
              <w:rPr>
                <w:rFonts w:ascii="Arial" w:hAnsi="Arial" w:cs="Arial"/>
                <w:b/>
                <w:bCs/>
                <w:sz w:val="20"/>
                <w:szCs w:val="20"/>
                <w:lang w:val="en-GB" w:eastAsia="en-GB"/>
              </w:rPr>
              <w:t>N (%)</w:t>
            </w:r>
          </w:p>
        </w:tc>
        <w:tc>
          <w:tcPr>
            <w:tcW w:w="2051" w:type="dxa"/>
            <w:tcBorders>
              <w:top w:val="single" w:color="000000" w:themeColor="text1" w:sz="4" w:space="0"/>
            </w:tcBorders>
            <w:vAlign w:val="center"/>
          </w:tcPr>
          <w:p w:rsidR="26B44573" w:rsidP="26B44573" w:rsidRDefault="26B44573" w14:paraId="76EC01C9" w14:textId="1363A7C2">
            <w:pPr>
              <w:jc w:val="center"/>
              <w:rPr>
                <w:rFonts w:ascii="Arial" w:hAnsi="Arial" w:cs="Arial"/>
                <w:b/>
                <w:bCs/>
                <w:sz w:val="20"/>
                <w:szCs w:val="20"/>
                <w:lang w:val="en-GB" w:eastAsia="en-GB"/>
              </w:rPr>
            </w:pPr>
          </w:p>
        </w:tc>
        <w:tc>
          <w:tcPr>
            <w:tcW w:w="2051" w:type="dxa"/>
            <w:tcBorders>
              <w:top w:val="single" w:color="000000" w:themeColor="text1" w:sz="4" w:space="0"/>
            </w:tcBorders>
            <w:vAlign w:val="center"/>
          </w:tcPr>
          <w:p w:rsidR="26B44573" w:rsidP="26B44573" w:rsidRDefault="26B44573" w14:paraId="0870ACB8" w14:textId="78F52760">
            <w:pPr>
              <w:jc w:val="center"/>
              <w:rPr>
                <w:rFonts w:ascii="Arial" w:hAnsi="Arial" w:cs="Arial"/>
                <w:b/>
                <w:bCs/>
                <w:i/>
                <w:iCs/>
                <w:sz w:val="20"/>
                <w:szCs w:val="20"/>
                <w:lang w:val="en-GB" w:eastAsia="en-GB"/>
              </w:rPr>
            </w:pPr>
          </w:p>
        </w:tc>
      </w:tr>
      <w:tr w:rsidR="26B44573" w:rsidTr="26B44573" w14:paraId="0E6C24C2" w14:textId="77777777">
        <w:trPr>
          <w:trHeight w:val="300"/>
        </w:trPr>
        <w:tc>
          <w:tcPr>
            <w:tcW w:w="2051" w:type="dxa"/>
            <w:vAlign w:val="center"/>
          </w:tcPr>
          <w:p w:rsidR="4E1999E3" w:rsidP="26B44573" w:rsidRDefault="4E1999E3" w14:paraId="5C01058D" w14:textId="196BFC78">
            <w:pPr>
              <w:jc w:val="center"/>
              <w:rPr>
                <w:rFonts w:ascii="Arial" w:hAnsi="Arial" w:cs="Arial"/>
                <w:sz w:val="20"/>
                <w:szCs w:val="20"/>
                <w:lang w:val="en-GB" w:eastAsia="en-GB"/>
              </w:rPr>
            </w:pPr>
            <w:r w:rsidRPr="26B44573">
              <w:rPr>
                <w:rFonts w:ascii="Arial" w:hAnsi="Arial" w:cs="Arial"/>
                <w:sz w:val="20"/>
                <w:szCs w:val="20"/>
                <w:lang w:val="en-GB" w:eastAsia="en-GB"/>
              </w:rPr>
              <w:t>Feminine</w:t>
            </w:r>
          </w:p>
        </w:tc>
        <w:tc>
          <w:tcPr>
            <w:tcW w:w="2051" w:type="dxa"/>
            <w:vAlign w:val="center"/>
          </w:tcPr>
          <w:p w:rsidR="4E1999E3" w:rsidP="26B44573" w:rsidRDefault="4E1999E3" w14:paraId="1BB6E49C" w14:textId="1892FF19">
            <w:pPr>
              <w:jc w:val="center"/>
              <w:rPr>
                <w:rFonts w:ascii="Arial" w:hAnsi="Arial" w:cs="Arial"/>
                <w:sz w:val="20"/>
                <w:szCs w:val="20"/>
                <w:lang w:val="en-GB" w:eastAsia="en-GB"/>
              </w:rPr>
            </w:pPr>
            <w:r w:rsidRPr="26B44573">
              <w:rPr>
                <w:rFonts w:ascii="Arial" w:hAnsi="Arial" w:cs="Arial"/>
                <w:sz w:val="20"/>
                <w:szCs w:val="20"/>
                <w:lang w:val="en-GB" w:eastAsia="en-GB"/>
              </w:rPr>
              <w:t>12 (57.14)</w:t>
            </w:r>
          </w:p>
        </w:tc>
        <w:tc>
          <w:tcPr>
            <w:tcW w:w="2051" w:type="dxa"/>
            <w:vAlign w:val="center"/>
          </w:tcPr>
          <w:p w:rsidR="4E1999E3" w:rsidP="26B44573" w:rsidRDefault="4E1999E3" w14:paraId="28732238" w14:textId="2E81A802">
            <w:pPr>
              <w:jc w:val="center"/>
              <w:rPr>
                <w:rFonts w:ascii="Arial" w:hAnsi="Arial" w:cs="Arial"/>
                <w:sz w:val="20"/>
                <w:szCs w:val="20"/>
                <w:lang w:val="en-GB" w:eastAsia="en-GB"/>
              </w:rPr>
            </w:pPr>
            <w:r w:rsidRPr="26B44573">
              <w:rPr>
                <w:rFonts w:ascii="Arial" w:hAnsi="Arial" w:cs="Arial"/>
                <w:sz w:val="20"/>
                <w:szCs w:val="20"/>
                <w:lang w:val="en-GB" w:eastAsia="en-GB"/>
              </w:rPr>
              <w:t>14 (66.67)</w:t>
            </w:r>
          </w:p>
        </w:tc>
        <w:tc>
          <w:tcPr>
            <w:tcW w:w="2051" w:type="dxa"/>
            <w:vMerge w:val="restart"/>
            <w:vAlign w:val="center"/>
          </w:tcPr>
          <w:p w:rsidR="4E1999E3" w:rsidP="26B44573" w:rsidRDefault="4E1999E3" w14:paraId="18DB783F" w14:textId="210BBE3F">
            <w:pPr>
              <w:jc w:val="center"/>
              <w:rPr>
                <w:rFonts w:ascii="Arial" w:hAnsi="Arial" w:cs="Arial"/>
                <w:sz w:val="20"/>
                <w:szCs w:val="20"/>
                <w:lang w:val="en-GB" w:eastAsia="en-GB"/>
              </w:rPr>
            </w:pPr>
            <w:r w:rsidRPr="26B44573">
              <w:rPr>
                <w:rFonts w:ascii="Arial" w:hAnsi="Arial" w:cs="Arial"/>
                <w:sz w:val="20"/>
                <w:szCs w:val="20"/>
                <w:lang w:val="en-GB" w:eastAsia="en-GB"/>
              </w:rPr>
              <w:t>0.525</w:t>
            </w:r>
            <w:r w:rsidRPr="26B44573" w:rsidR="3FFF9F9A">
              <w:rPr>
                <w:rFonts w:ascii="Arial" w:hAnsi="Arial" w:cs="Arial"/>
                <w:sz w:val="20"/>
                <w:szCs w:val="20"/>
                <w:lang w:val="en-GB" w:eastAsia="en-GB"/>
              </w:rPr>
              <w:t>*</w:t>
            </w:r>
          </w:p>
        </w:tc>
      </w:tr>
      <w:tr w:rsidR="26B44573" w:rsidTr="26B44573" w14:paraId="13C479E8" w14:textId="77777777">
        <w:trPr>
          <w:trHeight w:val="300"/>
        </w:trPr>
        <w:tc>
          <w:tcPr>
            <w:tcW w:w="2051" w:type="dxa"/>
            <w:vAlign w:val="center"/>
          </w:tcPr>
          <w:p w:rsidR="4E1999E3" w:rsidP="26B44573" w:rsidRDefault="4E1999E3" w14:paraId="2E2FF6A1" w14:textId="0DD94FB1">
            <w:pPr>
              <w:jc w:val="center"/>
              <w:rPr>
                <w:rFonts w:ascii="Arial" w:hAnsi="Arial" w:cs="Arial"/>
                <w:sz w:val="20"/>
                <w:szCs w:val="20"/>
                <w:lang w:val="en-GB" w:eastAsia="en-GB"/>
              </w:rPr>
            </w:pPr>
            <w:r w:rsidRPr="26B44573">
              <w:rPr>
                <w:rFonts w:ascii="Arial" w:hAnsi="Arial" w:cs="Arial"/>
                <w:sz w:val="20"/>
                <w:szCs w:val="20"/>
                <w:lang w:val="en-GB" w:eastAsia="en-GB"/>
              </w:rPr>
              <w:t>Masculine</w:t>
            </w:r>
          </w:p>
        </w:tc>
        <w:tc>
          <w:tcPr>
            <w:tcW w:w="2051" w:type="dxa"/>
            <w:vAlign w:val="center"/>
          </w:tcPr>
          <w:p w:rsidR="4E1999E3" w:rsidP="26B44573" w:rsidRDefault="4E1999E3" w14:paraId="2A0A7C51" w14:textId="499F370E">
            <w:pPr>
              <w:jc w:val="center"/>
              <w:rPr>
                <w:rFonts w:ascii="Arial" w:hAnsi="Arial" w:cs="Arial"/>
                <w:sz w:val="20"/>
                <w:szCs w:val="20"/>
                <w:lang w:val="en-GB" w:eastAsia="en-GB"/>
              </w:rPr>
            </w:pPr>
            <w:r w:rsidRPr="26B44573">
              <w:rPr>
                <w:rFonts w:ascii="Arial" w:hAnsi="Arial" w:cs="Arial"/>
                <w:sz w:val="20"/>
                <w:szCs w:val="20"/>
                <w:lang w:val="en-GB" w:eastAsia="en-GB"/>
              </w:rPr>
              <w:t>9 (42.86)</w:t>
            </w:r>
          </w:p>
        </w:tc>
        <w:tc>
          <w:tcPr>
            <w:tcW w:w="2051" w:type="dxa"/>
            <w:vAlign w:val="center"/>
          </w:tcPr>
          <w:p w:rsidR="4E1999E3" w:rsidP="26B44573" w:rsidRDefault="4E1999E3" w14:paraId="623CD56E" w14:textId="439D393F">
            <w:pPr>
              <w:jc w:val="center"/>
              <w:rPr>
                <w:rFonts w:ascii="Arial" w:hAnsi="Arial" w:cs="Arial"/>
                <w:sz w:val="20"/>
                <w:szCs w:val="20"/>
                <w:lang w:val="en-GB" w:eastAsia="en-GB"/>
              </w:rPr>
            </w:pPr>
            <w:r w:rsidRPr="26B44573">
              <w:rPr>
                <w:rFonts w:ascii="Arial" w:hAnsi="Arial" w:cs="Arial"/>
                <w:sz w:val="20"/>
                <w:szCs w:val="20"/>
                <w:lang w:val="en-GB" w:eastAsia="en-GB"/>
              </w:rPr>
              <w:t>7 (33.33)</w:t>
            </w:r>
          </w:p>
        </w:tc>
        <w:tc>
          <w:tcPr>
            <w:tcW w:w="2051" w:type="dxa"/>
            <w:vMerge/>
          </w:tcPr>
          <w:p w:rsidR="00B056E6" w:rsidRDefault="00B056E6" w14:paraId="72598133" w14:textId="77777777"/>
        </w:tc>
      </w:tr>
      <w:tr w:rsidR="26B44573" w:rsidTr="26B44573" w14:paraId="1F069981" w14:textId="77777777">
        <w:trPr>
          <w:trHeight w:val="300"/>
        </w:trPr>
        <w:tc>
          <w:tcPr>
            <w:tcW w:w="2051" w:type="dxa"/>
            <w:vAlign w:val="center"/>
          </w:tcPr>
          <w:p w:rsidR="4E1999E3" w:rsidP="26B44573" w:rsidRDefault="4E1999E3" w14:paraId="1EA20CAE" w14:textId="0334C5CF">
            <w:pPr>
              <w:jc w:val="center"/>
              <w:rPr>
                <w:rFonts w:ascii="Arial" w:hAnsi="Arial" w:cs="Arial"/>
                <w:b/>
                <w:bCs/>
                <w:sz w:val="20"/>
                <w:szCs w:val="20"/>
                <w:lang w:val="en-GB" w:eastAsia="en-GB"/>
              </w:rPr>
            </w:pPr>
            <w:r w:rsidRPr="26B44573">
              <w:rPr>
                <w:rFonts w:ascii="Arial" w:hAnsi="Arial" w:cs="Arial"/>
                <w:b/>
                <w:bCs/>
                <w:sz w:val="20"/>
                <w:szCs w:val="20"/>
                <w:lang w:val="en-GB" w:eastAsia="en-GB"/>
              </w:rPr>
              <w:t>Age, years</w:t>
            </w:r>
          </w:p>
        </w:tc>
        <w:tc>
          <w:tcPr>
            <w:tcW w:w="2051" w:type="dxa"/>
            <w:vAlign w:val="center"/>
          </w:tcPr>
          <w:p w:rsidR="26B44573" w:rsidP="26B44573" w:rsidRDefault="26B44573" w14:paraId="04754D02" w14:textId="731CE6AC">
            <w:pPr>
              <w:jc w:val="center"/>
              <w:rPr>
                <w:rFonts w:ascii="Arial" w:hAnsi="Arial" w:cs="Arial"/>
                <w:b/>
                <w:bCs/>
                <w:sz w:val="20"/>
                <w:szCs w:val="20"/>
                <w:lang w:val="en-GB" w:eastAsia="en-GB"/>
              </w:rPr>
            </w:pPr>
          </w:p>
        </w:tc>
        <w:tc>
          <w:tcPr>
            <w:tcW w:w="2051" w:type="dxa"/>
            <w:vAlign w:val="center"/>
          </w:tcPr>
          <w:p w:rsidR="26B44573" w:rsidP="26B44573" w:rsidRDefault="26B44573" w14:paraId="2268E0C6" w14:textId="31D39842">
            <w:pPr>
              <w:jc w:val="center"/>
              <w:rPr>
                <w:rFonts w:ascii="Arial" w:hAnsi="Arial" w:cs="Arial"/>
                <w:b/>
                <w:bCs/>
                <w:sz w:val="20"/>
                <w:szCs w:val="20"/>
                <w:lang w:val="en-GB" w:eastAsia="en-GB"/>
              </w:rPr>
            </w:pPr>
          </w:p>
        </w:tc>
        <w:tc>
          <w:tcPr>
            <w:tcW w:w="2051" w:type="dxa"/>
            <w:vAlign w:val="center"/>
          </w:tcPr>
          <w:p w:rsidR="26B44573" w:rsidP="26B44573" w:rsidRDefault="26B44573" w14:paraId="0BB9845E" w14:textId="61875AFD">
            <w:pPr>
              <w:jc w:val="center"/>
              <w:rPr>
                <w:rFonts w:ascii="Arial" w:hAnsi="Arial" w:cs="Arial"/>
                <w:b/>
                <w:bCs/>
                <w:i/>
                <w:iCs/>
                <w:sz w:val="20"/>
                <w:szCs w:val="20"/>
                <w:lang w:val="en-GB" w:eastAsia="en-GB"/>
              </w:rPr>
            </w:pPr>
          </w:p>
        </w:tc>
      </w:tr>
      <w:tr w:rsidR="26B44573" w:rsidTr="26B44573" w14:paraId="262392E4" w14:textId="77777777">
        <w:trPr>
          <w:trHeight w:val="300"/>
        </w:trPr>
        <w:tc>
          <w:tcPr>
            <w:tcW w:w="2051" w:type="dxa"/>
            <w:vAlign w:val="center"/>
          </w:tcPr>
          <w:p w:rsidR="4E1999E3" w:rsidP="26B44573" w:rsidRDefault="4E1999E3" w14:paraId="6BA483F6" w14:textId="0DDB113C">
            <w:pPr>
              <w:jc w:val="center"/>
              <w:rPr>
                <w:rFonts w:ascii="Arial" w:hAnsi="Arial" w:cs="Arial"/>
                <w:sz w:val="20"/>
                <w:szCs w:val="20"/>
                <w:lang w:val="en-GB" w:eastAsia="en-GB"/>
              </w:rPr>
            </w:pPr>
            <w:r w:rsidRPr="26B44573">
              <w:rPr>
                <w:rFonts w:ascii="Arial" w:hAnsi="Arial" w:cs="Arial"/>
                <w:sz w:val="20"/>
                <w:szCs w:val="20"/>
                <w:lang w:val="en-GB" w:eastAsia="en-GB"/>
              </w:rPr>
              <w:t>Mean</w:t>
            </w:r>
          </w:p>
        </w:tc>
        <w:tc>
          <w:tcPr>
            <w:tcW w:w="2051" w:type="dxa"/>
            <w:vAlign w:val="center"/>
          </w:tcPr>
          <w:p w:rsidR="4E1999E3" w:rsidP="26B44573" w:rsidRDefault="4E1999E3" w14:paraId="7B50B2DE" w14:textId="649A051F">
            <w:pPr>
              <w:jc w:val="center"/>
              <w:rPr>
                <w:rFonts w:ascii="Arial" w:hAnsi="Arial" w:cs="Arial"/>
                <w:sz w:val="20"/>
                <w:szCs w:val="20"/>
                <w:lang w:val="en-GB" w:eastAsia="en-GB"/>
              </w:rPr>
            </w:pPr>
            <w:r w:rsidRPr="26B44573">
              <w:rPr>
                <w:rFonts w:ascii="Arial" w:hAnsi="Arial" w:cs="Arial"/>
                <w:sz w:val="20"/>
                <w:szCs w:val="20"/>
                <w:lang w:val="en-GB" w:eastAsia="en-GB"/>
              </w:rPr>
              <w:t>21.6</w:t>
            </w:r>
          </w:p>
        </w:tc>
        <w:tc>
          <w:tcPr>
            <w:tcW w:w="2051" w:type="dxa"/>
            <w:vAlign w:val="center"/>
          </w:tcPr>
          <w:p w:rsidR="4E1999E3" w:rsidP="26B44573" w:rsidRDefault="4E1999E3" w14:paraId="7FD8989F" w14:textId="42C4E826">
            <w:pPr>
              <w:jc w:val="center"/>
              <w:rPr>
                <w:rFonts w:ascii="Arial" w:hAnsi="Arial" w:cs="Arial"/>
                <w:sz w:val="20"/>
                <w:szCs w:val="20"/>
                <w:lang w:val="en-GB" w:eastAsia="en-GB"/>
              </w:rPr>
            </w:pPr>
            <w:r w:rsidRPr="26B44573">
              <w:rPr>
                <w:rFonts w:ascii="Arial" w:hAnsi="Arial" w:cs="Arial"/>
                <w:sz w:val="20"/>
                <w:szCs w:val="20"/>
                <w:lang w:val="en-GB" w:eastAsia="en-GB"/>
              </w:rPr>
              <w:t>20.2</w:t>
            </w:r>
          </w:p>
        </w:tc>
        <w:tc>
          <w:tcPr>
            <w:tcW w:w="2051" w:type="dxa"/>
            <w:vMerge w:val="restart"/>
            <w:vAlign w:val="center"/>
          </w:tcPr>
          <w:p w:rsidR="4E1999E3" w:rsidP="26B44573" w:rsidRDefault="4E1999E3" w14:paraId="7FFB22B3" w14:textId="6C9B91A1">
            <w:pPr>
              <w:jc w:val="center"/>
              <w:rPr>
                <w:rFonts w:ascii="Arial" w:hAnsi="Arial" w:cs="Arial"/>
                <w:sz w:val="20"/>
                <w:szCs w:val="20"/>
                <w:lang w:val="en-GB" w:eastAsia="en-GB"/>
              </w:rPr>
            </w:pPr>
            <w:r w:rsidRPr="26B44573">
              <w:rPr>
                <w:rFonts w:ascii="Arial" w:hAnsi="Arial" w:cs="Arial"/>
                <w:sz w:val="20"/>
                <w:szCs w:val="20"/>
                <w:lang w:val="en-GB" w:eastAsia="en-GB"/>
              </w:rPr>
              <w:t>0.331</w:t>
            </w:r>
            <w:r w:rsidRPr="26B44573" w:rsidR="7C614421">
              <w:rPr>
                <w:rFonts w:ascii="Arial" w:hAnsi="Arial" w:cs="Arial"/>
                <w:sz w:val="20"/>
                <w:szCs w:val="20"/>
                <w:lang w:val="en-GB" w:eastAsia="en-GB"/>
              </w:rPr>
              <w:t>**</w:t>
            </w:r>
          </w:p>
        </w:tc>
      </w:tr>
      <w:tr w:rsidR="26B44573" w:rsidTr="26B44573" w14:paraId="3DFC5602" w14:textId="77777777">
        <w:trPr>
          <w:trHeight w:val="300"/>
        </w:trPr>
        <w:tc>
          <w:tcPr>
            <w:tcW w:w="2051" w:type="dxa"/>
            <w:vAlign w:val="center"/>
          </w:tcPr>
          <w:p w:rsidR="4E1999E3" w:rsidP="26B44573" w:rsidRDefault="4E1999E3" w14:paraId="1434BCF0" w14:textId="3E8B173D">
            <w:pPr>
              <w:jc w:val="center"/>
              <w:rPr>
                <w:rFonts w:ascii="Arial" w:hAnsi="Arial" w:cs="Arial"/>
                <w:sz w:val="20"/>
                <w:szCs w:val="20"/>
                <w:lang w:val="en-GB" w:eastAsia="en-GB"/>
              </w:rPr>
            </w:pPr>
            <w:r w:rsidRPr="26B44573">
              <w:rPr>
                <w:rFonts w:ascii="Arial" w:hAnsi="Arial" w:cs="Arial"/>
                <w:sz w:val="20"/>
                <w:szCs w:val="20"/>
                <w:lang w:val="en-GB" w:eastAsia="en-GB"/>
              </w:rPr>
              <w:t>Interval</w:t>
            </w:r>
          </w:p>
        </w:tc>
        <w:tc>
          <w:tcPr>
            <w:tcW w:w="2051" w:type="dxa"/>
            <w:vAlign w:val="center"/>
          </w:tcPr>
          <w:p w:rsidR="4E1999E3" w:rsidP="26B44573" w:rsidRDefault="4E1999E3" w14:paraId="32A760AC" w14:textId="4F20DF76">
            <w:pPr>
              <w:jc w:val="center"/>
              <w:rPr>
                <w:rFonts w:ascii="Arial" w:hAnsi="Arial" w:cs="Arial"/>
                <w:sz w:val="20"/>
                <w:szCs w:val="20"/>
                <w:lang w:val="en-GB" w:eastAsia="en-GB"/>
              </w:rPr>
            </w:pPr>
            <w:r w:rsidRPr="26B44573">
              <w:rPr>
                <w:rFonts w:ascii="Arial" w:hAnsi="Arial" w:cs="Arial"/>
                <w:sz w:val="20"/>
                <w:szCs w:val="20"/>
                <w:lang w:val="en-GB" w:eastAsia="en-GB"/>
              </w:rPr>
              <w:t>18-36</w:t>
            </w:r>
          </w:p>
        </w:tc>
        <w:tc>
          <w:tcPr>
            <w:tcW w:w="2051" w:type="dxa"/>
            <w:vAlign w:val="center"/>
          </w:tcPr>
          <w:p w:rsidR="4E1999E3" w:rsidP="26B44573" w:rsidRDefault="4E1999E3" w14:paraId="12F3FD59" w14:textId="46EE4115">
            <w:pPr>
              <w:jc w:val="center"/>
              <w:rPr>
                <w:rFonts w:ascii="Arial" w:hAnsi="Arial" w:cs="Arial"/>
                <w:sz w:val="20"/>
                <w:szCs w:val="20"/>
                <w:lang w:val="en-GB" w:eastAsia="en-GB"/>
              </w:rPr>
            </w:pPr>
            <w:r w:rsidRPr="26B44573">
              <w:rPr>
                <w:rFonts w:ascii="Arial" w:hAnsi="Arial" w:cs="Arial"/>
                <w:sz w:val="20"/>
                <w:szCs w:val="20"/>
                <w:lang w:val="en-GB" w:eastAsia="en-GB"/>
              </w:rPr>
              <w:t>18-32</w:t>
            </w:r>
          </w:p>
        </w:tc>
        <w:tc>
          <w:tcPr>
            <w:tcW w:w="2051" w:type="dxa"/>
            <w:vMerge/>
          </w:tcPr>
          <w:p w:rsidR="00B056E6" w:rsidRDefault="00B056E6" w14:paraId="544EEF7C" w14:textId="77777777"/>
        </w:tc>
      </w:tr>
    </w:tbl>
    <w:p w:rsidRPr="00FB3A86" w:rsidR="00790ADA" w:rsidP="26B44573" w:rsidRDefault="6827D0BB" w14:paraId="47030986" w14:textId="654D7C6E">
      <w:pPr>
        <w:rPr>
          <w:rFonts w:ascii="Arial" w:hAnsi="Arial" w:cs="Arial"/>
          <w:i/>
          <w:iCs/>
          <w:sz w:val="18"/>
          <w:szCs w:val="18"/>
          <w:lang w:val="en-GB" w:eastAsia="en-GB"/>
        </w:rPr>
      </w:pPr>
      <w:r w:rsidRPr="26B44573">
        <w:rPr>
          <w:rFonts w:ascii="Arial" w:hAnsi="Arial" w:cs="Arial"/>
          <w:i/>
          <w:iCs/>
          <w:sz w:val="18"/>
          <w:szCs w:val="18"/>
          <w:lang w:val="en-GB" w:eastAsia="en-GB"/>
        </w:rPr>
        <w:t>*</w:t>
      </w:r>
      <w:r w:rsidRPr="26B44573" w:rsidR="30A9752E">
        <w:rPr>
          <w:rFonts w:ascii="Arial" w:hAnsi="Arial" w:cs="Arial"/>
          <w:i/>
          <w:iCs/>
          <w:sz w:val="18"/>
          <w:szCs w:val="18"/>
          <w:lang w:val="en-GB" w:eastAsia="en-GB"/>
        </w:rPr>
        <w:t>X2 test; **Mann-Whitney test</w:t>
      </w:r>
    </w:p>
    <w:p w:rsidRPr="00FB3A86" w:rsidR="00790ADA" w:rsidP="26B44573" w:rsidRDefault="00790ADA" w14:paraId="7E498F31" w14:textId="0E3A2EE8">
      <w:pPr>
        <w:rPr>
          <w:rFonts w:ascii="Arial" w:hAnsi="Arial" w:cs="Arial"/>
          <w:i/>
          <w:iCs/>
          <w:sz w:val="18"/>
          <w:szCs w:val="18"/>
          <w:lang w:val="en-GB" w:eastAsia="en-GB"/>
        </w:rPr>
      </w:pPr>
    </w:p>
    <w:p w:rsidRPr="00FB3A86" w:rsidR="00790ADA" w:rsidP="26B44573" w:rsidRDefault="0A702DA1" w14:paraId="6A372D0D" w14:textId="252F2919">
      <w:pPr>
        <w:rPr>
          <w:rFonts w:ascii="Arial" w:hAnsi="Arial" w:cs="Arial"/>
          <w:b/>
          <w:bCs/>
          <w:lang w:val="en-GB" w:eastAsia="en-GB"/>
        </w:rPr>
      </w:pPr>
      <w:r w:rsidRPr="26B44573">
        <w:rPr>
          <w:rFonts w:ascii="Arial" w:hAnsi="Arial" w:cs="Arial"/>
          <w:b/>
          <w:bCs/>
          <w:lang w:val="en-GB" w:eastAsia="en-GB"/>
        </w:rPr>
        <w:t>3.2 Intensity of tooth sensitivity</w:t>
      </w:r>
    </w:p>
    <w:p w:rsidRPr="00FB3A86" w:rsidR="00790ADA" w:rsidP="26B44573" w:rsidRDefault="00790ADA" w14:paraId="7D2640EE" w14:textId="450AA913">
      <w:pPr>
        <w:jc w:val="both"/>
        <w:rPr>
          <w:rFonts w:ascii="Arial" w:hAnsi="Arial" w:cs="Arial"/>
          <w:lang w:val="en-GB" w:eastAsia="en-GB"/>
        </w:rPr>
      </w:pPr>
    </w:p>
    <w:p w:rsidRPr="00FB3A86" w:rsidR="00790ADA" w:rsidP="26B44573" w:rsidRDefault="0A702DA1" w14:paraId="1EF99CC0" w14:textId="1E6EE9F7">
      <w:pPr>
        <w:jc w:val="both"/>
        <w:rPr>
          <w:rFonts w:ascii="Arial" w:hAnsi="Arial" w:cs="Arial"/>
          <w:lang w:val="en-GB" w:eastAsia="en-GB"/>
        </w:rPr>
      </w:pPr>
      <w:r w:rsidRPr="26B44573">
        <w:rPr>
          <w:rFonts w:ascii="Arial" w:hAnsi="Arial" w:cs="Arial"/>
          <w:lang w:val="en-GB" w:eastAsia="en-GB"/>
        </w:rPr>
        <w:t>The intergroup comparison over the periods is shown in Table 4. The analysis between the groups with the Mann– Whitney test shows that the test group presented significantly lower sensitivity levels than the control group in the periods of 35, 40, 45, and 60 minutes (p &lt; 0.05). In the other periods studied, there was no statistically significant difference between the groups.</w:t>
      </w:r>
    </w:p>
    <w:p w:rsidRPr="00FB3A86" w:rsidR="00790ADA" w:rsidP="26B44573" w:rsidRDefault="00790ADA" w14:paraId="6ECC58C4" w14:textId="42601AFD">
      <w:pPr>
        <w:jc w:val="both"/>
        <w:rPr>
          <w:rFonts w:ascii="Arial" w:hAnsi="Arial" w:cs="Arial"/>
          <w:lang w:val="en-GB" w:eastAsia="en-GB"/>
        </w:rPr>
      </w:pPr>
    </w:p>
    <w:p w:rsidRPr="00FB3A86" w:rsidR="00790ADA" w:rsidP="26B44573" w:rsidRDefault="0A702DA1" w14:paraId="646114C4" w14:textId="4960E79B">
      <w:pPr>
        <w:jc w:val="both"/>
        <w:rPr>
          <w:rFonts w:ascii="Arial" w:hAnsi="Arial" w:cs="Arial"/>
          <w:b/>
          <w:bCs/>
          <w:lang w:val="en-GB" w:eastAsia="en-GB"/>
        </w:rPr>
      </w:pPr>
      <w:r w:rsidRPr="26B44573">
        <w:rPr>
          <w:rFonts w:ascii="Arial" w:hAnsi="Arial" w:cs="Arial"/>
          <w:b/>
          <w:bCs/>
          <w:lang w:val="en-GB" w:eastAsia="en-GB"/>
        </w:rPr>
        <w:t>Table 4. Patient-reported tooth sensitivity during and after bleaching treatment: median and interquartile</w:t>
      </w:r>
    </w:p>
    <w:p w:rsidRPr="00FB3A86" w:rsidR="00790ADA" w:rsidP="26B44573" w:rsidRDefault="00790ADA" w14:paraId="5176AF65" w14:textId="4E3CDA5A">
      <w:pPr>
        <w:jc w:val="both"/>
        <w:rPr>
          <w:rFonts w:ascii="Arial" w:hAnsi="Arial" w:cs="Arial"/>
          <w:b/>
          <w:bCs/>
          <w:lang w:val="en-GB" w:eastAsia="en-GB"/>
        </w:rPr>
      </w:pPr>
    </w:p>
    <w:tbl>
      <w:tblPr>
        <w:tblStyle w:val="TableGrid"/>
        <w:tblW w:w="0" w:type="auto"/>
        <w:tblBorders>
          <w:top w:val="single" w:color="000000" w:themeColor="text1" w:sz="4" w:space="0"/>
          <w:left w:val="none" w:color="000000" w:themeColor="text1" w:sz="4" w:space="0"/>
          <w:bottom w:val="single" w:color="000000" w:themeColor="text1" w:sz="4" w:space="0"/>
          <w:right w:val="none" w:color="000000" w:themeColor="text1" w:sz="4" w:space="0"/>
          <w:insideH w:val="none" w:color="000000" w:themeColor="text1" w:sz="4" w:space="0"/>
          <w:insideV w:val="none" w:color="000000" w:themeColor="text1" w:sz="4" w:space="0"/>
        </w:tblBorders>
        <w:tblLayout w:type="fixed"/>
        <w:tblLook w:val="06A0" w:firstRow="1" w:lastRow="0" w:firstColumn="1" w:lastColumn="0" w:noHBand="1" w:noVBand="1"/>
      </w:tblPr>
      <w:tblGrid>
        <w:gridCol w:w="1125"/>
        <w:gridCol w:w="590"/>
        <w:gridCol w:w="590"/>
        <w:gridCol w:w="590"/>
        <w:gridCol w:w="590"/>
        <w:gridCol w:w="590"/>
        <w:gridCol w:w="590"/>
        <w:gridCol w:w="590"/>
        <w:gridCol w:w="590"/>
        <w:gridCol w:w="590"/>
        <w:gridCol w:w="590"/>
        <w:gridCol w:w="590"/>
        <w:gridCol w:w="585"/>
      </w:tblGrid>
      <w:tr w:rsidR="26B44573" w:rsidTr="26B44573" w14:paraId="35D6C34B" w14:textId="77777777">
        <w:trPr>
          <w:trHeight w:val="300"/>
        </w:trPr>
        <w:tc>
          <w:tcPr>
            <w:tcW w:w="8200" w:type="dxa"/>
            <w:gridSpan w:val="13"/>
            <w:tcBorders>
              <w:bottom w:val="single" w:color="000000" w:themeColor="text1" w:sz="4" w:space="0"/>
            </w:tcBorders>
            <w:vAlign w:val="center"/>
          </w:tcPr>
          <w:p w:rsidR="0A702DA1" w:rsidP="26B44573" w:rsidRDefault="0A702DA1" w14:paraId="7726981D" w14:textId="29EC46D0">
            <w:pPr>
              <w:jc w:val="center"/>
              <w:rPr>
                <w:rFonts w:ascii="Arial" w:hAnsi="Arial" w:cs="Arial"/>
                <w:b/>
                <w:bCs/>
                <w:sz w:val="20"/>
                <w:szCs w:val="20"/>
                <w:lang w:val="en-GB" w:eastAsia="en-GB"/>
              </w:rPr>
            </w:pPr>
            <w:r w:rsidRPr="26B44573">
              <w:rPr>
                <w:rFonts w:ascii="Arial" w:hAnsi="Arial" w:cs="Arial"/>
                <w:b/>
                <w:bCs/>
                <w:sz w:val="20"/>
                <w:szCs w:val="20"/>
                <w:lang w:val="en-GB" w:eastAsia="en-GB"/>
              </w:rPr>
              <w:t>Bleaching moment (Mean)</w:t>
            </w:r>
          </w:p>
        </w:tc>
      </w:tr>
      <w:tr w:rsidR="26B44573" w:rsidTr="26B44573" w14:paraId="4C06765E" w14:textId="77777777">
        <w:trPr>
          <w:trHeight w:val="300"/>
        </w:trPr>
        <w:tc>
          <w:tcPr>
            <w:tcW w:w="1125" w:type="dxa"/>
            <w:tcBorders>
              <w:top w:val="single" w:color="000000" w:themeColor="text1" w:sz="4" w:space="0"/>
            </w:tcBorders>
            <w:vAlign w:val="center"/>
          </w:tcPr>
          <w:p w:rsidR="0A702DA1" w:rsidP="26B44573" w:rsidRDefault="0A702DA1" w14:paraId="1FE1B792" w14:textId="164E2506">
            <w:pPr>
              <w:jc w:val="center"/>
              <w:rPr>
                <w:rFonts w:ascii="Arial" w:hAnsi="Arial" w:cs="Arial"/>
                <w:b/>
                <w:bCs/>
                <w:sz w:val="18"/>
                <w:szCs w:val="18"/>
                <w:lang w:val="en-GB" w:eastAsia="en-GB"/>
              </w:rPr>
            </w:pPr>
            <w:r w:rsidRPr="26B44573">
              <w:rPr>
                <w:rFonts w:ascii="Arial" w:hAnsi="Arial" w:cs="Arial"/>
                <w:b/>
                <w:bCs/>
                <w:sz w:val="18"/>
                <w:szCs w:val="18"/>
                <w:lang w:val="en-GB" w:eastAsia="en-GB"/>
              </w:rPr>
              <w:t>Group</w:t>
            </w:r>
            <w:r w:rsidRPr="26B44573" w:rsidR="607D7AF2">
              <w:rPr>
                <w:rFonts w:ascii="Arial" w:hAnsi="Arial" w:cs="Arial"/>
                <w:b/>
                <w:bCs/>
                <w:sz w:val="18"/>
                <w:szCs w:val="18"/>
                <w:lang w:val="en-GB" w:eastAsia="en-GB"/>
              </w:rPr>
              <w:t xml:space="preserve"> </w:t>
            </w:r>
            <w:r w:rsidRPr="26B44573">
              <w:rPr>
                <w:rFonts w:ascii="Arial" w:hAnsi="Arial" w:cs="Arial"/>
                <w:b/>
                <w:bCs/>
                <w:sz w:val="18"/>
                <w:szCs w:val="18"/>
                <w:lang w:val="en-GB" w:eastAsia="en-GB"/>
              </w:rPr>
              <w:t>/</w:t>
            </w:r>
            <w:r w:rsidRPr="26B44573" w:rsidR="69D4E78F">
              <w:rPr>
                <w:rFonts w:ascii="Arial" w:hAnsi="Arial" w:cs="Arial"/>
                <w:b/>
                <w:bCs/>
                <w:sz w:val="18"/>
                <w:szCs w:val="18"/>
                <w:lang w:val="en-GB" w:eastAsia="en-GB"/>
              </w:rPr>
              <w:t xml:space="preserve"> </w:t>
            </w:r>
            <w:r w:rsidRPr="26B44573">
              <w:rPr>
                <w:rFonts w:ascii="Arial" w:hAnsi="Arial" w:cs="Arial"/>
                <w:b/>
                <w:bCs/>
                <w:sz w:val="18"/>
                <w:szCs w:val="18"/>
                <w:lang w:val="en-GB" w:eastAsia="en-GB"/>
              </w:rPr>
              <w:t>Statistical test</w:t>
            </w:r>
          </w:p>
        </w:tc>
        <w:tc>
          <w:tcPr>
            <w:tcW w:w="590" w:type="dxa"/>
            <w:tcBorders>
              <w:top w:val="single" w:color="000000" w:themeColor="text1" w:sz="4" w:space="0"/>
            </w:tcBorders>
            <w:vAlign w:val="center"/>
          </w:tcPr>
          <w:p w:rsidR="0A702DA1" w:rsidP="26B44573" w:rsidRDefault="0A702DA1" w14:paraId="5A2BE275" w14:textId="5AD75C7A">
            <w:pPr>
              <w:jc w:val="center"/>
              <w:rPr>
                <w:rFonts w:ascii="Arial" w:hAnsi="Arial" w:cs="Arial"/>
                <w:b/>
                <w:bCs/>
                <w:sz w:val="18"/>
                <w:szCs w:val="18"/>
                <w:lang w:val="en-GB" w:eastAsia="en-GB"/>
              </w:rPr>
            </w:pPr>
            <w:r w:rsidRPr="26B44573">
              <w:rPr>
                <w:rFonts w:ascii="Arial" w:hAnsi="Arial" w:cs="Arial"/>
                <w:b/>
                <w:bCs/>
                <w:sz w:val="18"/>
                <w:szCs w:val="18"/>
                <w:lang w:val="en-GB" w:eastAsia="en-GB"/>
              </w:rPr>
              <w:t>5 min</w:t>
            </w:r>
          </w:p>
        </w:tc>
        <w:tc>
          <w:tcPr>
            <w:tcW w:w="590" w:type="dxa"/>
            <w:tcBorders>
              <w:top w:val="single" w:color="000000" w:themeColor="text1" w:sz="4" w:space="0"/>
            </w:tcBorders>
            <w:vAlign w:val="center"/>
          </w:tcPr>
          <w:p w:rsidR="0A702DA1" w:rsidP="26B44573" w:rsidRDefault="0A702DA1" w14:paraId="2E09F9D8" w14:textId="2463B6EE">
            <w:pPr>
              <w:jc w:val="center"/>
              <w:rPr>
                <w:rFonts w:ascii="Arial" w:hAnsi="Arial" w:cs="Arial"/>
                <w:b/>
                <w:bCs/>
                <w:sz w:val="18"/>
                <w:szCs w:val="18"/>
                <w:lang w:val="en-GB" w:eastAsia="en-GB"/>
              </w:rPr>
            </w:pPr>
            <w:r w:rsidRPr="26B44573">
              <w:rPr>
                <w:rFonts w:ascii="Arial" w:hAnsi="Arial" w:cs="Arial"/>
                <w:b/>
                <w:bCs/>
                <w:sz w:val="18"/>
                <w:szCs w:val="18"/>
                <w:lang w:val="en-GB" w:eastAsia="en-GB"/>
              </w:rPr>
              <w:t>10 min</w:t>
            </w:r>
          </w:p>
        </w:tc>
        <w:tc>
          <w:tcPr>
            <w:tcW w:w="590" w:type="dxa"/>
            <w:tcBorders>
              <w:top w:val="single" w:color="000000" w:themeColor="text1" w:sz="4" w:space="0"/>
            </w:tcBorders>
            <w:vAlign w:val="center"/>
          </w:tcPr>
          <w:p w:rsidR="0A702DA1" w:rsidP="26B44573" w:rsidRDefault="0A702DA1" w14:paraId="3237978C" w14:textId="557BA601">
            <w:pPr>
              <w:jc w:val="center"/>
              <w:rPr>
                <w:rFonts w:ascii="Arial" w:hAnsi="Arial" w:cs="Arial"/>
                <w:b/>
                <w:bCs/>
                <w:sz w:val="18"/>
                <w:szCs w:val="18"/>
                <w:lang w:val="en-GB" w:eastAsia="en-GB"/>
              </w:rPr>
            </w:pPr>
            <w:r w:rsidRPr="26B44573">
              <w:rPr>
                <w:rFonts w:ascii="Arial" w:hAnsi="Arial" w:cs="Arial"/>
                <w:b/>
                <w:bCs/>
                <w:sz w:val="18"/>
                <w:szCs w:val="18"/>
                <w:lang w:val="en-GB" w:eastAsia="en-GB"/>
              </w:rPr>
              <w:t>15 min</w:t>
            </w:r>
          </w:p>
        </w:tc>
        <w:tc>
          <w:tcPr>
            <w:tcW w:w="590" w:type="dxa"/>
            <w:tcBorders>
              <w:top w:val="single" w:color="000000" w:themeColor="text1" w:sz="4" w:space="0"/>
            </w:tcBorders>
            <w:vAlign w:val="center"/>
          </w:tcPr>
          <w:p w:rsidR="0A702DA1" w:rsidP="26B44573" w:rsidRDefault="0A702DA1" w14:paraId="38A61849" w14:textId="5D3415D1">
            <w:pPr>
              <w:jc w:val="center"/>
              <w:rPr>
                <w:rFonts w:ascii="Arial" w:hAnsi="Arial" w:cs="Arial"/>
                <w:b/>
                <w:bCs/>
                <w:sz w:val="18"/>
                <w:szCs w:val="18"/>
                <w:lang w:val="en-GB" w:eastAsia="en-GB"/>
              </w:rPr>
            </w:pPr>
            <w:r w:rsidRPr="26B44573">
              <w:rPr>
                <w:rFonts w:ascii="Arial" w:hAnsi="Arial" w:cs="Arial"/>
                <w:b/>
                <w:bCs/>
                <w:sz w:val="18"/>
                <w:szCs w:val="18"/>
                <w:lang w:val="en-GB" w:eastAsia="en-GB"/>
              </w:rPr>
              <w:t>20 min</w:t>
            </w:r>
          </w:p>
        </w:tc>
        <w:tc>
          <w:tcPr>
            <w:tcW w:w="590" w:type="dxa"/>
            <w:tcBorders>
              <w:top w:val="single" w:color="000000" w:themeColor="text1" w:sz="4" w:space="0"/>
            </w:tcBorders>
            <w:vAlign w:val="center"/>
          </w:tcPr>
          <w:p w:rsidR="0A702DA1" w:rsidP="26B44573" w:rsidRDefault="0A702DA1" w14:paraId="2BAC0743" w14:textId="0A6D9F90">
            <w:pPr>
              <w:jc w:val="center"/>
              <w:rPr>
                <w:rFonts w:ascii="Arial" w:hAnsi="Arial" w:cs="Arial"/>
                <w:b/>
                <w:bCs/>
                <w:sz w:val="18"/>
                <w:szCs w:val="18"/>
                <w:lang w:val="en-GB" w:eastAsia="en-GB"/>
              </w:rPr>
            </w:pPr>
            <w:r w:rsidRPr="26B44573">
              <w:rPr>
                <w:rFonts w:ascii="Arial" w:hAnsi="Arial" w:cs="Arial"/>
                <w:b/>
                <w:bCs/>
                <w:sz w:val="18"/>
                <w:szCs w:val="18"/>
                <w:lang w:val="en-GB" w:eastAsia="en-GB"/>
              </w:rPr>
              <w:t>25 min</w:t>
            </w:r>
          </w:p>
        </w:tc>
        <w:tc>
          <w:tcPr>
            <w:tcW w:w="590" w:type="dxa"/>
            <w:tcBorders>
              <w:top w:val="single" w:color="000000" w:themeColor="text1" w:sz="4" w:space="0"/>
            </w:tcBorders>
            <w:vAlign w:val="center"/>
          </w:tcPr>
          <w:p w:rsidR="0A702DA1" w:rsidP="26B44573" w:rsidRDefault="0A702DA1" w14:paraId="505BE287" w14:textId="1AE929FA">
            <w:pPr>
              <w:jc w:val="center"/>
              <w:rPr>
                <w:rFonts w:ascii="Arial" w:hAnsi="Arial" w:cs="Arial"/>
                <w:b/>
                <w:bCs/>
                <w:sz w:val="18"/>
                <w:szCs w:val="18"/>
                <w:lang w:val="en-GB" w:eastAsia="en-GB"/>
              </w:rPr>
            </w:pPr>
            <w:r w:rsidRPr="26B44573">
              <w:rPr>
                <w:rFonts w:ascii="Arial" w:hAnsi="Arial" w:cs="Arial"/>
                <w:b/>
                <w:bCs/>
                <w:sz w:val="18"/>
                <w:szCs w:val="18"/>
                <w:lang w:val="en-GB" w:eastAsia="en-GB"/>
              </w:rPr>
              <w:t>30 min</w:t>
            </w:r>
          </w:p>
        </w:tc>
        <w:tc>
          <w:tcPr>
            <w:tcW w:w="590" w:type="dxa"/>
            <w:tcBorders>
              <w:top w:val="single" w:color="000000" w:themeColor="text1" w:sz="4" w:space="0"/>
            </w:tcBorders>
            <w:vAlign w:val="center"/>
          </w:tcPr>
          <w:p w:rsidR="0A702DA1" w:rsidP="26B44573" w:rsidRDefault="0A702DA1" w14:paraId="438D3771" w14:textId="43D29693">
            <w:pPr>
              <w:jc w:val="center"/>
              <w:rPr>
                <w:rFonts w:ascii="Arial" w:hAnsi="Arial" w:cs="Arial"/>
                <w:b/>
                <w:bCs/>
                <w:sz w:val="18"/>
                <w:szCs w:val="18"/>
                <w:lang w:val="en-GB" w:eastAsia="en-GB"/>
              </w:rPr>
            </w:pPr>
            <w:r w:rsidRPr="26B44573">
              <w:rPr>
                <w:rFonts w:ascii="Arial" w:hAnsi="Arial" w:cs="Arial"/>
                <w:b/>
                <w:bCs/>
                <w:sz w:val="18"/>
                <w:szCs w:val="18"/>
                <w:lang w:val="en-GB" w:eastAsia="en-GB"/>
              </w:rPr>
              <w:t>35 min</w:t>
            </w:r>
          </w:p>
        </w:tc>
        <w:tc>
          <w:tcPr>
            <w:tcW w:w="590" w:type="dxa"/>
            <w:tcBorders>
              <w:top w:val="single" w:color="000000" w:themeColor="text1" w:sz="4" w:space="0"/>
            </w:tcBorders>
            <w:vAlign w:val="center"/>
          </w:tcPr>
          <w:p w:rsidR="0A702DA1" w:rsidP="26B44573" w:rsidRDefault="0A702DA1" w14:paraId="75B442CC" w14:textId="638170D4">
            <w:pPr>
              <w:jc w:val="center"/>
              <w:rPr>
                <w:rFonts w:ascii="Arial" w:hAnsi="Arial" w:cs="Arial"/>
                <w:b/>
                <w:bCs/>
                <w:sz w:val="18"/>
                <w:szCs w:val="18"/>
                <w:lang w:val="en-GB" w:eastAsia="en-GB"/>
              </w:rPr>
            </w:pPr>
            <w:r w:rsidRPr="26B44573">
              <w:rPr>
                <w:rFonts w:ascii="Arial" w:hAnsi="Arial" w:cs="Arial"/>
                <w:b/>
                <w:bCs/>
                <w:sz w:val="18"/>
                <w:szCs w:val="18"/>
                <w:lang w:val="en-GB" w:eastAsia="en-GB"/>
              </w:rPr>
              <w:t>40 min</w:t>
            </w:r>
          </w:p>
        </w:tc>
        <w:tc>
          <w:tcPr>
            <w:tcW w:w="590" w:type="dxa"/>
            <w:tcBorders>
              <w:top w:val="single" w:color="000000" w:themeColor="text1" w:sz="4" w:space="0"/>
            </w:tcBorders>
            <w:vAlign w:val="center"/>
          </w:tcPr>
          <w:p w:rsidR="0A702DA1" w:rsidP="26B44573" w:rsidRDefault="0A702DA1" w14:paraId="34311804" w14:textId="147CAC2B">
            <w:pPr>
              <w:jc w:val="center"/>
              <w:rPr>
                <w:rFonts w:ascii="Arial" w:hAnsi="Arial" w:cs="Arial"/>
                <w:b/>
                <w:bCs/>
                <w:sz w:val="18"/>
                <w:szCs w:val="18"/>
                <w:lang w:val="en-GB" w:eastAsia="en-GB"/>
              </w:rPr>
            </w:pPr>
            <w:r w:rsidRPr="26B44573">
              <w:rPr>
                <w:rFonts w:ascii="Arial" w:hAnsi="Arial" w:cs="Arial"/>
                <w:b/>
                <w:bCs/>
                <w:sz w:val="18"/>
                <w:szCs w:val="18"/>
                <w:lang w:val="en-GB" w:eastAsia="en-GB"/>
              </w:rPr>
              <w:t>45 min</w:t>
            </w:r>
          </w:p>
        </w:tc>
        <w:tc>
          <w:tcPr>
            <w:tcW w:w="590" w:type="dxa"/>
            <w:tcBorders>
              <w:top w:val="single" w:color="000000" w:themeColor="text1" w:sz="4" w:space="0"/>
            </w:tcBorders>
            <w:vAlign w:val="center"/>
          </w:tcPr>
          <w:p w:rsidR="0A702DA1" w:rsidP="26B44573" w:rsidRDefault="0A702DA1" w14:paraId="065F401B" w14:textId="6C19C365">
            <w:pPr>
              <w:jc w:val="center"/>
              <w:rPr>
                <w:rFonts w:ascii="Arial" w:hAnsi="Arial" w:cs="Arial"/>
                <w:b/>
                <w:bCs/>
                <w:sz w:val="18"/>
                <w:szCs w:val="18"/>
                <w:lang w:val="en-GB" w:eastAsia="en-GB"/>
              </w:rPr>
            </w:pPr>
            <w:r w:rsidRPr="26B44573">
              <w:rPr>
                <w:rFonts w:ascii="Arial" w:hAnsi="Arial" w:cs="Arial"/>
                <w:b/>
                <w:bCs/>
                <w:sz w:val="18"/>
                <w:szCs w:val="18"/>
                <w:lang w:val="en-GB" w:eastAsia="en-GB"/>
              </w:rPr>
              <w:t>1h</w:t>
            </w:r>
          </w:p>
        </w:tc>
        <w:tc>
          <w:tcPr>
            <w:tcW w:w="590" w:type="dxa"/>
            <w:tcBorders>
              <w:top w:val="single" w:color="000000" w:themeColor="text1" w:sz="4" w:space="0"/>
            </w:tcBorders>
            <w:vAlign w:val="center"/>
          </w:tcPr>
          <w:p w:rsidR="0A702DA1" w:rsidP="26B44573" w:rsidRDefault="0A702DA1" w14:paraId="5BF465C3" w14:textId="1092C142">
            <w:pPr>
              <w:jc w:val="center"/>
              <w:rPr>
                <w:rFonts w:ascii="Arial" w:hAnsi="Arial" w:cs="Arial"/>
                <w:b/>
                <w:bCs/>
                <w:sz w:val="18"/>
                <w:szCs w:val="18"/>
                <w:lang w:val="en-GB" w:eastAsia="en-GB"/>
              </w:rPr>
            </w:pPr>
            <w:r w:rsidRPr="26B44573">
              <w:rPr>
                <w:rFonts w:ascii="Arial" w:hAnsi="Arial" w:cs="Arial"/>
                <w:b/>
                <w:bCs/>
                <w:sz w:val="18"/>
                <w:szCs w:val="18"/>
                <w:lang w:val="en-GB" w:eastAsia="en-GB"/>
              </w:rPr>
              <w:t>24h</w:t>
            </w:r>
          </w:p>
        </w:tc>
        <w:tc>
          <w:tcPr>
            <w:tcW w:w="585" w:type="dxa"/>
            <w:tcBorders>
              <w:top w:val="single" w:color="000000" w:themeColor="text1" w:sz="4" w:space="0"/>
            </w:tcBorders>
            <w:vAlign w:val="center"/>
          </w:tcPr>
          <w:p w:rsidR="0A702DA1" w:rsidP="26B44573" w:rsidRDefault="0A702DA1" w14:paraId="24D32C1D" w14:textId="35B0D127">
            <w:pPr>
              <w:jc w:val="center"/>
              <w:rPr>
                <w:rFonts w:ascii="Arial" w:hAnsi="Arial" w:cs="Arial"/>
                <w:b/>
                <w:bCs/>
                <w:sz w:val="18"/>
                <w:szCs w:val="18"/>
                <w:lang w:val="en-GB" w:eastAsia="en-GB"/>
              </w:rPr>
            </w:pPr>
            <w:r w:rsidRPr="26B44573">
              <w:rPr>
                <w:rFonts w:ascii="Arial" w:hAnsi="Arial" w:cs="Arial"/>
                <w:b/>
                <w:bCs/>
                <w:sz w:val="18"/>
                <w:szCs w:val="18"/>
                <w:lang w:val="en-GB" w:eastAsia="en-GB"/>
              </w:rPr>
              <w:t>48h</w:t>
            </w:r>
          </w:p>
        </w:tc>
      </w:tr>
      <w:tr w:rsidR="26B44573" w:rsidTr="26B44573" w14:paraId="794C1BD8" w14:textId="77777777">
        <w:trPr>
          <w:trHeight w:val="300"/>
        </w:trPr>
        <w:tc>
          <w:tcPr>
            <w:tcW w:w="1125" w:type="dxa"/>
            <w:vAlign w:val="center"/>
          </w:tcPr>
          <w:p w:rsidR="749D653F" w:rsidP="26B44573" w:rsidRDefault="749D653F" w14:paraId="6D4EABB8" w14:textId="30178C9D">
            <w:pPr>
              <w:jc w:val="center"/>
              <w:rPr>
                <w:rFonts w:ascii="Arial" w:hAnsi="Arial" w:cs="Arial"/>
                <w:sz w:val="18"/>
                <w:szCs w:val="18"/>
                <w:lang w:val="en-GB" w:eastAsia="en-GB"/>
              </w:rPr>
            </w:pPr>
            <w:r w:rsidRPr="26B44573">
              <w:rPr>
                <w:rFonts w:ascii="Arial" w:hAnsi="Arial" w:cs="Arial"/>
                <w:sz w:val="18"/>
                <w:szCs w:val="18"/>
                <w:lang w:val="en-GB" w:eastAsia="en-GB"/>
              </w:rPr>
              <w:t>DFK</w:t>
            </w:r>
          </w:p>
        </w:tc>
        <w:tc>
          <w:tcPr>
            <w:tcW w:w="590" w:type="dxa"/>
            <w:vAlign w:val="center"/>
          </w:tcPr>
          <w:p w:rsidR="749D653F" w:rsidP="26B44573" w:rsidRDefault="749D653F" w14:paraId="75B5BDB5" w14:textId="46C37D01">
            <w:pPr>
              <w:jc w:val="center"/>
              <w:rPr>
                <w:rFonts w:ascii="Arial" w:hAnsi="Arial" w:cs="Arial"/>
                <w:sz w:val="18"/>
                <w:szCs w:val="18"/>
                <w:lang w:val="en-GB" w:eastAsia="en-GB"/>
              </w:rPr>
            </w:pPr>
            <w:r w:rsidRPr="26B44573">
              <w:rPr>
                <w:rFonts w:ascii="Arial" w:hAnsi="Arial" w:cs="Arial"/>
                <w:sz w:val="18"/>
                <w:szCs w:val="18"/>
                <w:lang w:val="en-GB" w:eastAsia="en-GB"/>
              </w:rPr>
              <w:t>0.0</w:t>
            </w:r>
          </w:p>
          <w:p w:rsidR="749D653F" w:rsidP="26B44573" w:rsidRDefault="749D653F" w14:paraId="1635FAEA" w14:textId="4CC39E14">
            <w:pPr>
              <w:jc w:val="center"/>
              <w:rPr>
                <w:rFonts w:ascii="Arial" w:hAnsi="Arial" w:cs="Arial"/>
                <w:sz w:val="18"/>
                <w:szCs w:val="18"/>
                <w:lang w:val="en-GB" w:eastAsia="en-GB"/>
              </w:rPr>
            </w:pPr>
            <w:r w:rsidRPr="26B44573">
              <w:rPr>
                <w:rFonts w:ascii="Arial" w:hAnsi="Arial" w:cs="Arial"/>
                <w:sz w:val="18"/>
                <w:szCs w:val="18"/>
                <w:lang w:val="en-GB" w:eastAsia="en-GB"/>
              </w:rPr>
              <w:t>(0.0</w:t>
            </w:r>
            <w:r w:rsidRPr="26B44573" w:rsidR="51FCCEE3">
              <w:rPr>
                <w:rFonts w:ascii="Arial" w:hAnsi="Arial" w:cs="Arial"/>
                <w:sz w:val="18"/>
                <w:szCs w:val="18"/>
                <w:lang w:val="en-GB" w:eastAsia="en-GB"/>
              </w:rPr>
              <w:t>)</w:t>
            </w:r>
          </w:p>
        </w:tc>
        <w:tc>
          <w:tcPr>
            <w:tcW w:w="590" w:type="dxa"/>
            <w:vAlign w:val="center"/>
          </w:tcPr>
          <w:p w:rsidR="749D653F" w:rsidP="26B44573" w:rsidRDefault="749D653F" w14:paraId="044E3E64" w14:textId="4A7A225A">
            <w:pPr>
              <w:jc w:val="center"/>
              <w:rPr>
                <w:rFonts w:ascii="Arial" w:hAnsi="Arial" w:cs="Arial"/>
                <w:sz w:val="18"/>
                <w:szCs w:val="18"/>
                <w:lang w:val="en-GB" w:eastAsia="en-GB"/>
              </w:rPr>
            </w:pPr>
            <w:r w:rsidRPr="26B44573">
              <w:rPr>
                <w:rFonts w:ascii="Arial" w:hAnsi="Arial" w:cs="Arial"/>
                <w:sz w:val="18"/>
                <w:szCs w:val="18"/>
                <w:lang w:val="en-GB" w:eastAsia="en-GB"/>
              </w:rPr>
              <w:t>0.0</w:t>
            </w:r>
          </w:p>
          <w:p w:rsidR="749D653F" w:rsidP="26B44573" w:rsidRDefault="749D653F" w14:paraId="2692A170" w14:textId="59397D6B">
            <w:pPr>
              <w:jc w:val="center"/>
              <w:rPr>
                <w:rFonts w:ascii="Arial" w:hAnsi="Arial" w:cs="Arial"/>
                <w:sz w:val="18"/>
                <w:szCs w:val="18"/>
                <w:lang w:val="en-GB" w:eastAsia="en-GB"/>
              </w:rPr>
            </w:pPr>
            <w:r w:rsidRPr="26B44573">
              <w:rPr>
                <w:rFonts w:ascii="Arial" w:hAnsi="Arial" w:cs="Arial"/>
                <w:sz w:val="18"/>
                <w:szCs w:val="18"/>
                <w:lang w:val="en-GB" w:eastAsia="en-GB"/>
              </w:rPr>
              <w:t>(0.</w:t>
            </w:r>
            <w:r w:rsidRPr="26B44573" w:rsidR="09FBA1A3">
              <w:rPr>
                <w:rFonts w:ascii="Arial" w:hAnsi="Arial" w:cs="Arial"/>
                <w:sz w:val="18"/>
                <w:szCs w:val="18"/>
                <w:lang w:val="en-GB" w:eastAsia="en-GB"/>
              </w:rPr>
              <w:t>0</w:t>
            </w:r>
            <w:r w:rsidRPr="26B44573">
              <w:rPr>
                <w:rFonts w:ascii="Arial" w:hAnsi="Arial" w:cs="Arial"/>
                <w:sz w:val="18"/>
                <w:szCs w:val="18"/>
                <w:lang w:val="en-GB" w:eastAsia="en-GB"/>
              </w:rPr>
              <w:t>)</w:t>
            </w:r>
          </w:p>
        </w:tc>
        <w:tc>
          <w:tcPr>
            <w:tcW w:w="590" w:type="dxa"/>
            <w:vAlign w:val="center"/>
          </w:tcPr>
          <w:p w:rsidR="749D653F" w:rsidP="26B44573" w:rsidRDefault="749D653F" w14:paraId="7D19967C" w14:textId="51B6DFCE">
            <w:pPr>
              <w:jc w:val="center"/>
              <w:rPr>
                <w:rFonts w:ascii="Arial" w:hAnsi="Arial" w:cs="Arial"/>
                <w:sz w:val="18"/>
                <w:szCs w:val="18"/>
                <w:lang w:val="en-GB" w:eastAsia="en-GB"/>
              </w:rPr>
            </w:pPr>
            <w:r w:rsidRPr="26B44573">
              <w:rPr>
                <w:rFonts w:ascii="Arial" w:hAnsi="Arial" w:cs="Arial"/>
                <w:sz w:val="18"/>
                <w:szCs w:val="18"/>
                <w:lang w:val="en-GB" w:eastAsia="en-GB"/>
              </w:rPr>
              <w:t>0.0 (0.0)</w:t>
            </w:r>
          </w:p>
        </w:tc>
        <w:tc>
          <w:tcPr>
            <w:tcW w:w="590" w:type="dxa"/>
            <w:vAlign w:val="center"/>
          </w:tcPr>
          <w:p w:rsidR="749D653F" w:rsidP="26B44573" w:rsidRDefault="749D653F" w14:paraId="3EC9D238" w14:textId="6C4B7256">
            <w:pPr>
              <w:jc w:val="center"/>
              <w:rPr>
                <w:rFonts w:ascii="Arial" w:hAnsi="Arial" w:cs="Arial"/>
                <w:sz w:val="18"/>
                <w:szCs w:val="18"/>
                <w:lang w:val="en-GB" w:eastAsia="en-GB"/>
              </w:rPr>
            </w:pPr>
            <w:r w:rsidRPr="26B44573">
              <w:rPr>
                <w:rFonts w:ascii="Arial" w:hAnsi="Arial" w:cs="Arial"/>
                <w:sz w:val="18"/>
                <w:szCs w:val="18"/>
                <w:lang w:val="en-GB" w:eastAsia="en-GB"/>
              </w:rPr>
              <w:t>0.0</w:t>
            </w:r>
          </w:p>
          <w:p w:rsidR="61F2870B" w:rsidP="26B44573" w:rsidRDefault="61F2870B" w14:paraId="69DBDFC4" w14:textId="21BDCF56">
            <w:pPr>
              <w:jc w:val="center"/>
              <w:rPr>
                <w:rFonts w:ascii="Arial" w:hAnsi="Arial" w:cs="Arial"/>
                <w:sz w:val="18"/>
                <w:szCs w:val="18"/>
                <w:lang w:val="en-GB" w:eastAsia="en-GB"/>
              </w:rPr>
            </w:pPr>
            <w:r w:rsidRPr="26B44573">
              <w:rPr>
                <w:rFonts w:ascii="Arial" w:hAnsi="Arial" w:cs="Arial"/>
                <w:sz w:val="18"/>
                <w:szCs w:val="18"/>
                <w:lang w:val="en-GB" w:eastAsia="en-GB"/>
              </w:rPr>
              <w:t>(0.0)</w:t>
            </w:r>
          </w:p>
        </w:tc>
        <w:tc>
          <w:tcPr>
            <w:tcW w:w="590" w:type="dxa"/>
            <w:vAlign w:val="center"/>
          </w:tcPr>
          <w:p w:rsidR="749D653F" w:rsidP="26B44573" w:rsidRDefault="749D653F" w14:paraId="51E02091" w14:textId="6C4B7256">
            <w:pPr>
              <w:jc w:val="center"/>
              <w:rPr>
                <w:rFonts w:ascii="Arial" w:hAnsi="Arial" w:cs="Arial"/>
                <w:sz w:val="18"/>
                <w:szCs w:val="18"/>
                <w:lang w:val="en-GB" w:eastAsia="en-GB"/>
              </w:rPr>
            </w:pPr>
            <w:r w:rsidRPr="26B44573">
              <w:rPr>
                <w:rFonts w:ascii="Arial" w:hAnsi="Arial" w:cs="Arial"/>
                <w:sz w:val="18"/>
                <w:szCs w:val="18"/>
                <w:lang w:val="en-GB" w:eastAsia="en-GB"/>
              </w:rPr>
              <w:t>0.0</w:t>
            </w:r>
          </w:p>
          <w:p w:rsidR="371E94AA" w:rsidP="26B44573" w:rsidRDefault="371E94AA" w14:paraId="668278FF" w14:textId="3AD72329">
            <w:pPr>
              <w:jc w:val="center"/>
              <w:rPr>
                <w:rFonts w:ascii="Arial" w:hAnsi="Arial" w:cs="Arial"/>
                <w:sz w:val="18"/>
                <w:szCs w:val="18"/>
                <w:lang w:val="en-GB" w:eastAsia="en-GB"/>
              </w:rPr>
            </w:pPr>
            <w:r w:rsidRPr="26B44573">
              <w:rPr>
                <w:rFonts w:ascii="Arial" w:hAnsi="Arial" w:cs="Arial"/>
                <w:sz w:val="18"/>
                <w:szCs w:val="18"/>
                <w:lang w:val="en-GB" w:eastAsia="en-GB"/>
              </w:rPr>
              <w:t>(1.0)</w:t>
            </w:r>
          </w:p>
        </w:tc>
        <w:tc>
          <w:tcPr>
            <w:tcW w:w="590" w:type="dxa"/>
            <w:vAlign w:val="center"/>
          </w:tcPr>
          <w:p w:rsidR="749D653F" w:rsidP="26B44573" w:rsidRDefault="749D653F" w14:paraId="283D0D77" w14:textId="6C4B7256">
            <w:pPr>
              <w:jc w:val="center"/>
              <w:rPr>
                <w:rFonts w:ascii="Arial" w:hAnsi="Arial" w:cs="Arial"/>
                <w:sz w:val="18"/>
                <w:szCs w:val="18"/>
                <w:lang w:val="en-GB" w:eastAsia="en-GB"/>
              </w:rPr>
            </w:pPr>
            <w:r w:rsidRPr="26B44573">
              <w:rPr>
                <w:rFonts w:ascii="Arial" w:hAnsi="Arial" w:cs="Arial"/>
                <w:sz w:val="18"/>
                <w:szCs w:val="18"/>
                <w:lang w:val="en-GB" w:eastAsia="en-GB"/>
              </w:rPr>
              <w:t>0.0</w:t>
            </w:r>
          </w:p>
          <w:p w:rsidR="6156298B" w:rsidP="26B44573" w:rsidRDefault="6156298B" w14:paraId="7CA5DE54" w14:textId="6FB7716C">
            <w:pPr>
              <w:jc w:val="center"/>
              <w:rPr>
                <w:rFonts w:ascii="Arial" w:hAnsi="Arial" w:cs="Arial"/>
                <w:sz w:val="18"/>
                <w:szCs w:val="18"/>
                <w:lang w:val="en-GB" w:eastAsia="en-GB"/>
              </w:rPr>
            </w:pPr>
            <w:r w:rsidRPr="26B44573">
              <w:rPr>
                <w:rFonts w:ascii="Arial" w:hAnsi="Arial" w:cs="Arial"/>
                <w:sz w:val="18"/>
                <w:szCs w:val="18"/>
                <w:lang w:val="en-GB" w:eastAsia="en-GB"/>
              </w:rPr>
              <w:t>(1.0)</w:t>
            </w:r>
          </w:p>
        </w:tc>
        <w:tc>
          <w:tcPr>
            <w:tcW w:w="590" w:type="dxa"/>
            <w:vAlign w:val="center"/>
          </w:tcPr>
          <w:p w:rsidR="749D653F" w:rsidP="26B44573" w:rsidRDefault="749D653F" w14:paraId="1E5904E5" w14:textId="223739B7">
            <w:pPr>
              <w:jc w:val="center"/>
              <w:rPr>
                <w:rFonts w:ascii="Arial" w:hAnsi="Arial" w:cs="Arial"/>
                <w:sz w:val="18"/>
                <w:szCs w:val="18"/>
                <w:lang w:val="en-GB" w:eastAsia="en-GB"/>
              </w:rPr>
            </w:pPr>
            <w:r w:rsidRPr="26B44573">
              <w:rPr>
                <w:rFonts w:ascii="Arial" w:hAnsi="Arial" w:cs="Arial"/>
                <w:sz w:val="18"/>
                <w:szCs w:val="18"/>
                <w:lang w:val="en-GB" w:eastAsia="en-GB"/>
              </w:rPr>
              <w:t>1.0</w:t>
            </w:r>
            <w:r w:rsidRPr="26B44573" w:rsidR="21388266">
              <w:rPr>
                <w:rFonts w:ascii="Arial" w:hAnsi="Arial" w:cs="Arial"/>
                <w:sz w:val="18"/>
                <w:szCs w:val="18"/>
                <w:lang w:val="en-GB" w:eastAsia="en-GB"/>
              </w:rPr>
              <w:t xml:space="preserve"> (1.0)</w:t>
            </w:r>
          </w:p>
        </w:tc>
        <w:tc>
          <w:tcPr>
            <w:tcW w:w="590" w:type="dxa"/>
            <w:vAlign w:val="center"/>
          </w:tcPr>
          <w:p w:rsidR="749D653F" w:rsidP="26B44573" w:rsidRDefault="749D653F" w14:paraId="3BA36369" w14:textId="371FC5E2">
            <w:pPr>
              <w:jc w:val="center"/>
              <w:rPr>
                <w:rFonts w:ascii="Arial" w:hAnsi="Arial" w:cs="Arial"/>
                <w:sz w:val="18"/>
                <w:szCs w:val="18"/>
                <w:lang w:val="en-GB" w:eastAsia="en-GB"/>
              </w:rPr>
            </w:pPr>
            <w:r w:rsidRPr="26B44573">
              <w:rPr>
                <w:rFonts w:ascii="Arial" w:hAnsi="Arial" w:cs="Arial"/>
                <w:sz w:val="18"/>
                <w:szCs w:val="18"/>
                <w:lang w:val="en-GB" w:eastAsia="en-GB"/>
              </w:rPr>
              <w:t>1.0</w:t>
            </w:r>
            <w:r w:rsidRPr="26B44573" w:rsidR="4E3ADAE9">
              <w:rPr>
                <w:rFonts w:ascii="Arial" w:hAnsi="Arial" w:cs="Arial"/>
                <w:sz w:val="18"/>
                <w:szCs w:val="18"/>
                <w:lang w:val="en-GB" w:eastAsia="en-GB"/>
              </w:rPr>
              <w:t xml:space="preserve"> (2.0)</w:t>
            </w:r>
          </w:p>
        </w:tc>
        <w:tc>
          <w:tcPr>
            <w:tcW w:w="590" w:type="dxa"/>
            <w:vAlign w:val="center"/>
          </w:tcPr>
          <w:p w:rsidR="749D653F" w:rsidP="26B44573" w:rsidRDefault="749D653F" w14:paraId="62E4C664" w14:textId="2B4E3F5D">
            <w:pPr>
              <w:jc w:val="center"/>
              <w:rPr>
                <w:rFonts w:ascii="Arial" w:hAnsi="Arial" w:cs="Arial"/>
                <w:sz w:val="18"/>
                <w:szCs w:val="18"/>
                <w:lang w:val="en-GB" w:eastAsia="en-GB"/>
              </w:rPr>
            </w:pPr>
            <w:r w:rsidRPr="26B44573">
              <w:rPr>
                <w:rFonts w:ascii="Arial" w:hAnsi="Arial" w:cs="Arial"/>
                <w:sz w:val="18"/>
                <w:szCs w:val="18"/>
                <w:lang w:val="en-GB" w:eastAsia="en-GB"/>
              </w:rPr>
              <w:t>1.0</w:t>
            </w:r>
            <w:r w:rsidRPr="26B44573" w:rsidR="495EF782">
              <w:rPr>
                <w:rFonts w:ascii="Arial" w:hAnsi="Arial" w:cs="Arial"/>
                <w:sz w:val="18"/>
                <w:szCs w:val="18"/>
                <w:lang w:val="en-GB" w:eastAsia="en-GB"/>
              </w:rPr>
              <w:t xml:space="preserve"> (1.0)</w:t>
            </w:r>
          </w:p>
        </w:tc>
        <w:tc>
          <w:tcPr>
            <w:tcW w:w="590" w:type="dxa"/>
            <w:vAlign w:val="center"/>
          </w:tcPr>
          <w:p w:rsidR="749D653F" w:rsidP="26B44573" w:rsidRDefault="749D653F" w14:paraId="31D62799" w14:textId="5F35E39A">
            <w:pPr>
              <w:jc w:val="center"/>
              <w:rPr>
                <w:rFonts w:ascii="Arial" w:hAnsi="Arial" w:cs="Arial"/>
                <w:sz w:val="18"/>
                <w:szCs w:val="18"/>
                <w:lang w:val="en-GB" w:eastAsia="en-GB"/>
              </w:rPr>
            </w:pPr>
            <w:r w:rsidRPr="26B44573">
              <w:rPr>
                <w:rFonts w:ascii="Arial" w:hAnsi="Arial" w:cs="Arial"/>
                <w:sz w:val="18"/>
                <w:szCs w:val="18"/>
                <w:lang w:val="en-GB" w:eastAsia="en-GB"/>
              </w:rPr>
              <w:t>1.0</w:t>
            </w:r>
            <w:r w:rsidRPr="26B44573" w:rsidR="380F612C">
              <w:rPr>
                <w:rFonts w:ascii="Arial" w:hAnsi="Arial" w:cs="Arial"/>
                <w:sz w:val="18"/>
                <w:szCs w:val="18"/>
                <w:lang w:val="en-GB" w:eastAsia="en-GB"/>
              </w:rPr>
              <w:t xml:space="preserve"> (1.0)</w:t>
            </w:r>
          </w:p>
        </w:tc>
        <w:tc>
          <w:tcPr>
            <w:tcW w:w="590" w:type="dxa"/>
            <w:vAlign w:val="center"/>
          </w:tcPr>
          <w:p w:rsidR="749D653F" w:rsidP="26B44573" w:rsidRDefault="749D653F" w14:paraId="78FA0492" w14:textId="6C4B7256">
            <w:pPr>
              <w:jc w:val="center"/>
              <w:rPr>
                <w:rFonts w:ascii="Arial" w:hAnsi="Arial" w:cs="Arial"/>
                <w:sz w:val="18"/>
                <w:szCs w:val="18"/>
                <w:lang w:val="en-GB" w:eastAsia="en-GB"/>
              </w:rPr>
            </w:pPr>
            <w:r w:rsidRPr="26B44573">
              <w:rPr>
                <w:rFonts w:ascii="Arial" w:hAnsi="Arial" w:cs="Arial"/>
                <w:sz w:val="18"/>
                <w:szCs w:val="18"/>
                <w:lang w:val="en-GB" w:eastAsia="en-GB"/>
              </w:rPr>
              <w:t>0.0</w:t>
            </w:r>
          </w:p>
          <w:p w:rsidR="4BCCB1B2" w:rsidP="26B44573" w:rsidRDefault="4BCCB1B2" w14:paraId="0920B5E6" w14:textId="3E798D3E">
            <w:pPr>
              <w:jc w:val="center"/>
              <w:rPr>
                <w:rFonts w:ascii="Arial" w:hAnsi="Arial" w:cs="Arial"/>
                <w:sz w:val="18"/>
                <w:szCs w:val="18"/>
                <w:lang w:val="en-GB" w:eastAsia="en-GB"/>
              </w:rPr>
            </w:pPr>
            <w:r w:rsidRPr="26B44573">
              <w:rPr>
                <w:rFonts w:ascii="Arial" w:hAnsi="Arial" w:cs="Arial"/>
                <w:sz w:val="18"/>
                <w:szCs w:val="18"/>
                <w:lang w:val="en-GB" w:eastAsia="en-GB"/>
              </w:rPr>
              <w:t>(0.0)</w:t>
            </w:r>
          </w:p>
        </w:tc>
        <w:tc>
          <w:tcPr>
            <w:tcW w:w="585" w:type="dxa"/>
            <w:vAlign w:val="center"/>
          </w:tcPr>
          <w:p w:rsidR="749D653F" w:rsidP="26B44573" w:rsidRDefault="749D653F" w14:paraId="3FE81621" w14:textId="6C4B7256">
            <w:pPr>
              <w:jc w:val="center"/>
              <w:rPr>
                <w:rFonts w:ascii="Arial" w:hAnsi="Arial" w:cs="Arial"/>
                <w:sz w:val="18"/>
                <w:szCs w:val="18"/>
                <w:lang w:val="en-GB" w:eastAsia="en-GB"/>
              </w:rPr>
            </w:pPr>
            <w:r w:rsidRPr="26B44573">
              <w:rPr>
                <w:rFonts w:ascii="Arial" w:hAnsi="Arial" w:cs="Arial"/>
                <w:sz w:val="18"/>
                <w:szCs w:val="18"/>
                <w:lang w:val="en-GB" w:eastAsia="en-GB"/>
              </w:rPr>
              <w:t>0.0</w:t>
            </w:r>
          </w:p>
          <w:p w:rsidR="16F67DD6" w:rsidP="26B44573" w:rsidRDefault="16F67DD6" w14:paraId="7CBB935F" w14:textId="30E3A63F">
            <w:pPr>
              <w:jc w:val="center"/>
              <w:rPr>
                <w:rFonts w:ascii="Arial" w:hAnsi="Arial" w:cs="Arial"/>
                <w:sz w:val="18"/>
                <w:szCs w:val="18"/>
                <w:lang w:val="en-GB" w:eastAsia="en-GB"/>
              </w:rPr>
            </w:pPr>
            <w:r w:rsidRPr="26B44573">
              <w:rPr>
                <w:rFonts w:ascii="Arial" w:hAnsi="Arial" w:cs="Arial"/>
                <w:sz w:val="18"/>
                <w:szCs w:val="18"/>
                <w:lang w:val="en-GB" w:eastAsia="en-GB"/>
              </w:rPr>
              <w:t>(0.0)</w:t>
            </w:r>
          </w:p>
        </w:tc>
      </w:tr>
      <w:tr w:rsidR="26B44573" w:rsidTr="26B44573" w14:paraId="311CAA44" w14:textId="77777777">
        <w:trPr>
          <w:trHeight w:val="300"/>
        </w:trPr>
        <w:tc>
          <w:tcPr>
            <w:tcW w:w="1125" w:type="dxa"/>
            <w:vAlign w:val="center"/>
          </w:tcPr>
          <w:p w:rsidR="670F783E" w:rsidP="26B44573" w:rsidRDefault="670F783E" w14:paraId="6AD7E34A" w14:textId="0CC6F6A7">
            <w:pPr>
              <w:jc w:val="center"/>
              <w:rPr>
                <w:rFonts w:ascii="Arial" w:hAnsi="Arial" w:cs="Arial"/>
                <w:sz w:val="20"/>
                <w:szCs w:val="20"/>
                <w:lang w:val="en-GB" w:eastAsia="en-GB"/>
              </w:rPr>
            </w:pPr>
            <w:r w:rsidRPr="26B44573">
              <w:rPr>
                <w:rFonts w:ascii="Arial" w:hAnsi="Arial" w:cs="Arial"/>
                <w:sz w:val="20"/>
                <w:szCs w:val="20"/>
                <w:lang w:val="en-GB" w:eastAsia="en-GB"/>
              </w:rPr>
              <w:lastRenderedPageBreak/>
              <w:t>DFK + CHI</w:t>
            </w:r>
          </w:p>
        </w:tc>
        <w:tc>
          <w:tcPr>
            <w:tcW w:w="590" w:type="dxa"/>
            <w:vAlign w:val="center"/>
          </w:tcPr>
          <w:p w:rsidR="26B44573" w:rsidP="26B44573" w:rsidRDefault="26B44573" w14:paraId="53FA2F48" w14:textId="2ADACAAE">
            <w:pPr>
              <w:jc w:val="center"/>
              <w:rPr>
                <w:rFonts w:ascii="Arial" w:hAnsi="Arial" w:cs="Arial"/>
                <w:sz w:val="18"/>
                <w:szCs w:val="18"/>
                <w:lang w:val="en-GB" w:eastAsia="en-GB"/>
              </w:rPr>
            </w:pPr>
            <w:r w:rsidRPr="26B44573">
              <w:rPr>
                <w:rFonts w:ascii="Arial" w:hAnsi="Arial" w:cs="Arial"/>
                <w:sz w:val="18"/>
                <w:szCs w:val="18"/>
                <w:lang w:val="en-GB" w:eastAsia="en-GB"/>
              </w:rPr>
              <w:t>0.0</w:t>
            </w:r>
            <w:r w:rsidRPr="26B44573" w:rsidR="68A1F6B2">
              <w:rPr>
                <w:rFonts w:ascii="Arial" w:hAnsi="Arial" w:cs="Arial"/>
                <w:sz w:val="18"/>
                <w:szCs w:val="18"/>
                <w:lang w:val="en-GB" w:eastAsia="en-GB"/>
              </w:rPr>
              <w:t xml:space="preserve"> </w:t>
            </w:r>
            <w:r w:rsidRPr="26B44573">
              <w:rPr>
                <w:rFonts w:ascii="Arial" w:hAnsi="Arial" w:cs="Arial"/>
                <w:sz w:val="18"/>
                <w:szCs w:val="18"/>
                <w:lang w:val="en-GB" w:eastAsia="en-GB"/>
              </w:rPr>
              <w:t>(0.0)</w:t>
            </w:r>
          </w:p>
        </w:tc>
        <w:tc>
          <w:tcPr>
            <w:tcW w:w="590" w:type="dxa"/>
            <w:vAlign w:val="center"/>
          </w:tcPr>
          <w:p w:rsidR="26B44573" w:rsidP="26B44573" w:rsidRDefault="26B44573" w14:paraId="32E29B33" w14:textId="4A7A225A">
            <w:pPr>
              <w:jc w:val="center"/>
              <w:rPr>
                <w:rFonts w:ascii="Arial" w:hAnsi="Arial" w:cs="Arial"/>
                <w:sz w:val="18"/>
                <w:szCs w:val="18"/>
                <w:lang w:val="en-GB" w:eastAsia="en-GB"/>
              </w:rPr>
            </w:pPr>
            <w:r w:rsidRPr="26B44573">
              <w:rPr>
                <w:rFonts w:ascii="Arial" w:hAnsi="Arial" w:cs="Arial"/>
                <w:sz w:val="18"/>
                <w:szCs w:val="18"/>
                <w:lang w:val="en-GB" w:eastAsia="en-GB"/>
              </w:rPr>
              <w:t>0.0</w:t>
            </w:r>
          </w:p>
          <w:p w:rsidR="26B44573" w:rsidP="26B44573" w:rsidRDefault="26B44573" w14:paraId="4C30B30B" w14:textId="59397D6B">
            <w:pPr>
              <w:jc w:val="center"/>
              <w:rPr>
                <w:rFonts w:ascii="Arial" w:hAnsi="Arial" w:cs="Arial"/>
                <w:sz w:val="18"/>
                <w:szCs w:val="18"/>
                <w:lang w:val="en-GB" w:eastAsia="en-GB"/>
              </w:rPr>
            </w:pPr>
            <w:r w:rsidRPr="26B44573">
              <w:rPr>
                <w:rFonts w:ascii="Arial" w:hAnsi="Arial" w:cs="Arial"/>
                <w:sz w:val="18"/>
                <w:szCs w:val="18"/>
                <w:lang w:val="en-GB" w:eastAsia="en-GB"/>
              </w:rPr>
              <w:t>(0.0)</w:t>
            </w:r>
          </w:p>
        </w:tc>
        <w:tc>
          <w:tcPr>
            <w:tcW w:w="590" w:type="dxa"/>
            <w:vAlign w:val="center"/>
          </w:tcPr>
          <w:p w:rsidR="26B44573" w:rsidP="26B44573" w:rsidRDefault="26B44573" w14:paraId="31440D6F" w14:textId="51B6DFCE">
            <w:pPr>
              <w:jc w:val="center"/>
              <w:rPr>
                <w:rFonts w:ascii="Arial" w:hAnsi="Arial" w:cs="Arial"/>
                <w:sz w:val="18"/>
                <w:szCs w:val="18"/>
                <w:lang w:val="en-GB" w:eastAsia="en-GB"/>
              </w:rPr>
            </w:pPr>
            <w:r w:rsidRPr="26B44573">
              <w:rPr>
                <w:rFonts w:ascii="Arial" w:hAnsi="Arial" w:cs="Arial"/>
                <w:sz w:val="18"/>
                <w:szCs w:val="18"/>
                <w:lang w:val="en-GB" w:eastAsia="en-GB"/>
              </w:rPr>
              <w:t>0.0 (0.0)</w:t>
            </w:r>
          </w:p>
        </w:tc>
        <w:tc>
          <w:tcPr>
            <w:tcW w:w="590" w:type="dxa"/>
            <w:vAlign w:val="center"/>
          </w:tcPr>
          <w:p w:rsidR="26B44573" w:rsidP="26B44573" w:rsidRDefault="26B44573" w14:paraId="3F0C1214" w14:textId="6C4B7256">
            <w:pPr>
              <w:jc w:val="center"/>
              <w:rPr>
                <w:rFonts w:ascii="Arial" w:hAnsi="Arial" w:cs="Arial"/>
                <w:sz w:val="18"/>
                <w:szCs w:val="18"/>
                <w:lang w:val="en-GB" w:eastAsia="en-GB"/>
              </w:rPr>
            </w:pPr>
            <w:r w:rsidRPr="26B44573">
              <w:rPr>
                <w:rFonts w:ascii="Arial" w:hAnsi="Arial" w:cs="Arial"/>
                <w:sz w:val="18"/>
                <w:szCs w:val="18"/>
                <w:lang w:val="en-GB" w:eastAsia="en-GB"/>
              </w:rPr>
              <w:t>0.0</w:t>
            </w:r>
          </w:p>
          <w:p w:rsidR="26B44573" w:rsidP="26B44573" w:rsidRDefault="26B44573" w14:paraId="413DE1FF" w14:textId="21BDCF56">
            <w:pPr>
              <w:jc w:val="center"/>
              <w:rPr>
                <w:rFonts w:ascii="Arial" w:hAnsi="Arial" w:cs="Arial"/>
                <w:sz w:val="18"/>
                <w:szCs w:val="18"/>
                <w:lang w:val="en-GB" w:eastAsia="en-GB"/>
              </w:rPr>
            </w:pPr>
            <w:r w:rsidRPr="26B44573">
              <w:rPr>
                <w:rFonts w:ascii="Arial" w:hAnsi="Arial" w:cs="Arial"/>
                <w:sz w:val="18"/>
                <w:szCs w:val="18"/>
                <w:lang w:val="en-GB" w:eastAsia="en-GB"/>
              </w:rPr>
              <w:t>(0.0)</w:t>
            </w:r>
          </w:p>
        </w:tc>
        <w:tc>
          <w:tcPr>
            <w:tcW w:w="590" w:type="dxa"/>
            <w:vAlign w:val="center"/>
          </w:tcPr>
          <w:p w:rsidR="26B44573" w:rsidP="26B44573" w:rsidRDefault="26B44573" w14:paraId="5B941A85" w14:textId="50F8F841">
            <w:pPr>
              <w:jc w:val="center"/>
              <w:rPr>
                <w:rFonts w:ascii="Arial" w:hAnsi="Arial" w:cs="Arial"/>
                <w:sz w:val="18"/>
                <w:szCs w:val="18"/>
                <w:lang w:val="en-GB" w:eastAsia="en-GB"/>
              </w:rPr>
            </w:pPr>
            <w:r w:rsidRPr="26B44573">
              <w:rPr>
                <w:rFonts w:ascii="Arial" w:hAnsi="Arial" w:cs="Arial"/>
                <w:sz w:val="18"/>
                <w:szCs w:val="18"/>
                <w:lang w:val="en-GB" w:eastAsia="en-GB"/>
              </w:rPr>
              <w:t>0.0</w:t>
            </w:r>
            <w:r w:rsidRPr="26B44573" w:rsidR="4FC85229">
              <w:rPr>
                <w:rFonts w:ascii="Arial" w:hAnsi="Arial" w:cs="Arial"/>
                <w:sz w:val="18"/>
                <w:szCs w:val="18"/>
                <w:lang w:val="en-GB" w:eastAsia="en-GB"/>
              </w:rPr>
              <w:t xml:space="preserve"> </w:t>
            </w:r>
            <w:r w:rsidRPr="26B44573">
              <w:rPr>
                <w:rFonts w:ascii="Arial" w:hAnsi="Arial" w:cs="Arial"/>
                <w:sz w:val="18"/>
                <w:szCs w:val="18"/>
                <w:lang w:val="en-GB" w:eastAsia="en-GB"/>
              </w:rPr>
              <w:t>(0.0)</w:t>
            </w:r>
          </w:p>
        </w:tc>
        <w:tc>
          <w:tcPr>
            <w:tcW w:w="590" w:type="dxa"/>
            <w:vAlign w:val="center"/>
          </w:tcPr>
          <w:p w:rsidR="26B44573" w:rsidP="26B44573" w:rsidRDefault="26B44573" w14:paraId="04607654" w14:textId="4A7A225A">
            <w:pPr>
              <w:jc w:val="center"/>
              <w:rPr>
                <w:rFonts w:ascii="Arial" w:hAnsi="Arial" w:cs="Arial"/>
                <w:sz w:val="18"/>
                <w:szCs w:val="18"/>
                <w:lang w:val="en-GB" w:eastAsia="en-GB"/>
              </w:rPr>
            </w:pPr>
            <w:r w:rsidRPr="26B44573">
              <w:rPr>
                <w:rFonts w:ascii="Arial" w:hAnsi="Arial" w:cs="Arial"/>
                <w:sz w:val="18"/>
                <w:szCs w:val="18"/>
                <w:lang w:val="en-GB" w:eastAsia="en-GB"/>
              </w:rPr>
              <w:t>0.0</w:t>
            </w:r>
          </w:p>
          <w:p w:rsidR="26B44573" w:rsidP="26B44573" w:rsidRDefault="26B44573" w14:paraId="22B2522C" w14:textId="59397D6B">
            <w:pPr>
              <w:jc w:val="center"/>
              <w:rPr>
                <w:rFonts w:ascii="Arial" w:hAnsi="Arial" w:cs="Arial"/>
                <w:sz w:val="18"/>
                <w:szCs w:val="18"/>
                <w:lang w:val="en-GB" w:eastAsia="en-GB"/>
              </w:rPr>
            </w:pPr>
            <w:r w:rsidRPr="26B44573">
              <w:rPr>
                <w:rFonts w:ascii="Arial" w:hAnsi="Arial" w:cs="Arial"/>
                <w:sz w:val="18"/>
                <w:szCs w:val="18"/>
                <w:lang w:val="en-GB" w:eastAsia="en-GB"/>
              </w:rPr>
              <w:t>(0.0)</w:t>
            </w:r>
          </w:p>
        </w:tc>
        <w:tc>
          <w:tcPr>
            <w:tcW w:w="590" w:type="dxa"/>
            <w:vAlign w:val="center"/>
          </w:tcPr>
          <w:p w:rsidR="26B44573" w:rsidP="26B44573" w:rsidRDefault="26B44573" w14:paraId="16E30794" w14:textId="51B6DFCE">
            <w:pPr>
              <w:jc w:val="center"/>
              <w:rPr>
                <w:rFonts w:ascii="Arial" w:hAnsi="Arial" w:cs="Arial"/>
                <w:sz w:val="18"/>
                <w:szCs w:val="18"/>
                <w:lang w:val="en-GB" w:eastAsia="en-GB"/>
              </w:rPr>
            </w:pPr>
            <w:r w:rsidRPr="26B44573">
              <w:rPr>
                <w:rFonts w:ascii="Arial" w:hAnsi="Arial" w:cs="Arial"/>
                <w:sz w:val="18"/>
                <w:szCs w:val="18"/>
                <w:lang w:val="en-GB" w:eastAsia="en-GB"/>
              </w:rPr>
              <w:t>0.0 (0.0)</w:t>
            </w:r>
          </w:p>
        </w:tc>
        <w:tc>
          <w:tcPr>
            <w:tcW w:w="590" w:type="dxa"/>
            <w:vAlign w:val="center"/>
          </w:tcPr>
          <w:p w:rsidR="26B44573" w:rsidP="26B44573" w:rsidRDefault="26B44573" w14:paraId="2C36B615" w14:textId="6C4B7256">
            <w:pPr>
              <w:jc w:val="center"/>
              <w:rPr>
                <w:rFonts w:ascii="Arial" w:hAnsi="Arial" w:cs="Arial"/>
                <w:sz w:val="18"/>
                <w:szCs w:val="18"/>
                <w:lang w:val="en-GB" w:eastAsia="en-GB"/>
              </w:rPr>
            </w:pPr>
            <w:r w:rsidRPr="26B44573">
              <w:rPr>
                <w:rFonts w:ascii="Arial" w:hAnsi="Arial" w:cs="Arial"/>
                <w:sz w:val="18"/>
                <w:szCs w:val="18"/>
                <w:lang w:val="en-GB" w:eastAsia="en-GB"/>
              </w:rPr>
              <w:t>0.0</w:t>
            </w:r>
          </w:p>
          <w:p w:rsidR="26B44573" w:rsidP="26B44573" w:rsidRDefault="26B44573" w14:paraId="3DC9B536" w14:textId="21BDCF56">
            <w:pPr>
              <w:jc w:val="center"/>
              <w:rPr>
                <w:rFonts w:ascii="Arial" w:hAnsi="Arial" w:cs="Arial"/>
                <w:sz w:val="18"/>
                <w:szCs w:val="18"/>
                <w:lang w:val="en-GB" w:eastAsia="en-GB"/>
              </w:rPr>
            </w:pPr>
            <w:r w:rsidRPr="26B44573">
              <w:rPr>
                <w:rFonts w:ascii="Arial" w:hAnsi="Arial" w:cs="Arial"/>
                <w:sz w:val="18"/>
                <w:szCs w:val="18"/>
                <w:lang w:val="en-GB" w:eastAsia="en-GB"/>
              </w:rPr>
              <w:t>(0.0)</w:t>
            </w:r>
          </w:p>
        </w:tc>
        <w:tc>
          <w:tcPr>
            <w:tcW w:w="590" w:type="dxa"/>
            <w:vAlign w:val="center"/>
          </w:tcPr>
          <w:p w:rsidR="26B44573" w:rsidP="26B44573" w:rsidRDefault="26B44573" w14:paraId="25A22EAD" w14:textId="7287C169">
            <w:pPr>
              <w:jc w:val="center"/>
              <w:rPr>
                <w:rFonts w:ascii="Arial" w:hAnsi="Arial" w:cs="Arial"/>
                <w:sz w:val="18"/>
                <w:szCs w:val="18"/>
                <w:lang w:val="en-GB" w:eastAsia="en-GB"/>
              </w:rPr>
            </w:pPr>
            <w:r w:rsidRPr="26B44573">
              <w:rPr>
                <w:rFonts w:ascii="Arial" w:hAnsi="Arial" w:cs="Arial"/>
                <w:sz w:val="18"/>
                <w:szCs w:val="18"/>
                <w:lang w:val="en-GB" w:eastAsia="en-GB"/>
              </w:rPr>
              <w:t>0.0</w:t>
            </w:r>
            <w:r w:rsidRPr="26B44573" w:rsidR="08E5C40B">
              <w:rPr>
                <w:rFonts w:ascii="Arial" w:hAnsi="Arial" w:cs="Arial"/>
                <w:sz w:val="18"/>
                <w:szCs w:val="18"/>
                <w:lang w:val="en-GB" w:eastAsia="en-GB"/>
              </w:rPr>
              <w:t xml:space="preserve"> </w:t>
            </w:r>
            <w:r w:rsidRPr="26B44573">
              <w:rPr>
                <w:rFonts w:ascii="Arial" w:hAnsi="Arial" w:cs="Arial"/>
                <w:sz w:val="18"/>
                <w:szCs w:val="18"/>
                <w:lang w:val="en-GB" w:eastAsia="en-GB"/>
              </w:rPr>
              <w:t>(0.0)</w:t>
            </w:r>
          </w:p>
        </w:tc>
        <w:tc>
          <w:tcPr>
            <w:tcW w:w="590" w:type="dxa"/>
            <w:vAlign w:val="center"/>
          </w:tcPr>
          <w:p w:rsidR="26B44573" w:rsidP="26B44573" w:rsidRDefault="26B44573" w14:paraId="14973C08" w14:textId="4A7A225A">
            <w:pPr>
              <w:jc w:val="center"/>
              <w:rPr>
                <w:rFonts w:ascii="Arial" w:hAnsi="Arial" w:cs="Arial"/>
                <w:sz w:val="18"/>
                <w:szCs w:val="18"/>
                <w:lang w:val="en-GB" w:eastAsia="en-GB"/>
              </w:rPr>
            </w:pPr>
            <w:r w:rsidRPr="26B44573">
              <w:rPr>
                <w:rFonts w:ascii="Arial" w:hAnsi="Arial" w:cs="Arial"/>
                <w:sz w:val="18"/>
                <w:szCs w:val="18"/>
                <w:lang w:val="en-GB" w:eastAsia="en-GB"/>
              </w:rPr>
              <w:t>0.0</w:t>
            </w:r>
          </w:p>
          <w:p w:rsidR="26B44573" w:rsidP="26B44573" w:rsidRDefault="26B44573" w14:paraId="101D6889" w14:textId="59397D6B">
            <w:pPr>
              <w:jc w:val="center"/>
              <w:rPr>
                <w:rFonts w:ascii="Arial" w:hAnsi="Arial" w:cs="Arial"/>
                <w:sz w:val="18"/>
                <w:szCs w:val="18"/>
                <w:lang w:val="en-GB" w:eastAsia="en-GB"/>
              </w:rPr>
            </w:pPr>
            <w:r w:rsidRPr="26B44573">
              <w:rPr>
                <w:rFonts w:ascii="Arial" w:hAnsi="Arial" w:cs="Arial"/>
                <w:sz w:val="18"/>
                <w:szCs w:val="18"/>
                <w:lang w:val="en-GB" w:eastAsia="en-GB"/>
              </w:rPr>
              <w:t>(0.0)</w:t>
            </w:r>
          </w:p>
        </w:tc>
        <w:tc>
          <w:tcPr>
            <w:tcW w:w="590" w:type="dxa"/>
            <w:vAlign w:val="center"/>
          </w:tcPr>
          <w:p w:rsidR="26B44573" w:rsidP="26B44573" w:rsidRDefault="26B44573" w14:paraId="7D2ED773" w14:textId="51B6DFCE">
            <w:pPr>
              <w:jc w:val="center"/>
              <w:rPr>
                <w:rFonts w:ascii="Arial" w:hAnsi="Arial" w:cs="Arial"/>
                <w:sz w:val="18"/>
                <w:szCs w:val="18"/>
                <w:lang w:val="en-GB" w:eastAsia="en-GB"/>
              </w:rPr>
            </w:pPr>
            <w:r w:rsidRPr="26B44573">
              <w:rPr>
                <w:rFonts w:ascii="Arial" w:hAnsi="Arial" w:cs="Arial"/>
                <w:sz w:val="18"/>
                <w:szCs w:val="18"/>
                <w:lang w:val="en-GB" w:eastAsia="en-GB"/>
              </w:rPr>
              <w:t>0.0 (0.0)</w:t>
            </w:r>
          </w:p>
        </w:tc>
        <w:tc>
          <w:tcPr>
            <w:tcW w:w="585" w:type="dxa"/>
            <w:vAlign w:val="center"/>
          </w:tcPr>
          <w:p w:rsidR="26B44573" w:rsidP="26B44573" w:rsidRDefault="26B44573" w14:paraId="790E025F" w14:textId="6C4B7256">
            <w:pPr>
              <w:jc w:val="center"/>
              <w:rPr>
                <w:rFonts w:ascii="Arial" w:hAnsi="Arial" w:cs="Arial"/>
                <w:sz w:val="18"/>
                <w:szCs w:val="18"/>
                <w:lang w:val="en-GB" w:eastAsia="en-GB"/>
              </w:rPr>
            </w:pPr>
            <w:r w:rsidRPr="26B44573">
              <w:rPr>
                <w:rFonts w:ascii="Arial" w:hAnsi="Arial" w:cs="Arial"/>
                <w:sz w:val="18"/>
                <w:szCs w:val="18"/>
                <w:lang w:val="en-GB" w:eastAsia="en-GB"/>
              </w:rPr>
              <w:t>0.0</w:t>
            </w:r>
          </w:p>
          <w:p w:rsidR="26B44573" w:rsidP="26B44573" w:rsidRDefault="26B44573" w14:paraId="1837A8F1" w14:textId="21BDCF56">
            <w:pPr>
              <w:jc w:val="center"/>
              <w:rPr>
                <w:rFonts w:ascii="Arial" w:hAnsi="Arial" w:cs="Arial"/>
                <w:sz w:val="18"/>
                <w:szCs w:val="18"/>
                <w:lang w:val="en-GB" w:eastAsia="en-GB"/>
              </w:rPr>
            </w:pPr>
            <w:r w:rsidRPr="26B44573">
              <w:rPr>
                <w:rFonts w:ascii="Arial" w:hAnsi="Arial" w:cs="Arial"/>
                <w:sz w:val="18"/>
                <w:szCs w:val="18"/>
                <w:lang w:val="en-GB" w:eastAsia="en-GB"/>
              </w:rPr>
              <w:t>(0.0)</w:t>
            </w:r>
          </w:p>
        </w:tc>
      </w:tr>
      <w:tr w:rsidR="26B44573" w:rsidTr="26B44573" w14:paraId="5162FF9C" w14:textId="77777777">
        <w:trPr>
          <w:trHeight w:val="300"/>
        </w:trPr>
        <w:tc>
          <w:tcPr>
            <w:tcW w:w="1125" w:type="dxa"/>
            <w:vAlign w:val="center"/>
          </w:tcPr>
          <w:p w:rsidR="5A5F90A6" w:rsidP="26B44573" w:rsidRDefault="5A5F90A6" w14:paraId="76AABE0D" w14:textId="7BDBF9D3">
            <w:pPr>
              <w:jc w:val="center"/>
              <w:rPr>
                <w:rFonts w:ascii="Arial" w:hAnsi="Arial" w:cs="Arial"/>
                <w:sz w:val="20"/>
                <w:szCs w:val="20"/>
                <w:lang w:val="en-GB" w:eastAsia="en-GB"/>
              </w:rPr>
            </w:pPr>
            <w:r w:rsidRPr="26B44573">
              <w:rPr>
                <w:rFonts w:ascii="Arial" w:hAnsi="Arial" w:cs="Arial"/>
                <w:sz w:val="20"/>
                <w:szCs w:val="20"/>
                <w:lang w:val="en-GB" w:eastAsia="en-GB"/>
              </w:rPr>
              <w:t>(</w:t>
            </w:r>
            <w:r w:rsidRPr="26B44573">
              <w:rPr>
                <w:rFonts w:ascii="Arial" w:hAnsi="Arial" w:cs="Arial"/>
                <w:i/>
                <w:iCs/>
                <w:sz w:val="20"/>
                <w:szCs w:val="20"/>
                <w:lang w:val="en-GB" w:eastAsia="en-GB"/>
              </w:rPr>
              <w:t>P</w:t>
            </w:r>
            <w:r w:rsidRPr="26B44573">
              <w:rPr>
                <w:rFonts w:ascii="Arial" w:hAnsi="Arial" w:cs="Arial"/>
                <w:sz w:val="20"/>
                <w:szCs w:val="20"/>
                <w:lang w:val="en-GB" w:eastAsia="en-GB"/>
              </w:rPr>
              <w:t>-value)</w:t>
            </w:r>
          </w:p>
        </w:tc>
        <w:tc>
          <w:tcPr>
            <w:tcW w:w="590" w:type="dxa"/>
            <w:vAlign w:val="center"/>
          </w:tcPr>
          <w:p w:rsidR="5A5F90A6" w:rsidP="26B44573" w:rsidRDefault="5A5F90A6" w14:paraId="01EB0348" w14:textId="2A12090F">
            <w:pPr>
              <w:jc w:val="center"/>
              <w:rPr>
                <w:rFonts w:ascii="Arial" w:hAnsi="Arial" w:cs="Arial"/>
                <w:sz w:val="18"/>
                <w:szCs w:val="18"/>
                <w:lang w:val="en-GB" w:eastAsia="en-GB"/>
              </w:rPr>
            </w:pPr>
            <w:r w:rsidRPr="26B44573">
              <w:rPr>
                <w:rFonts w:ascii="Arial" w:hAnsi="Arial" w:cs="Arial"/>
                <w:sz w:val="18"/>
                <w:szCs w:val="18"/>
                <w:lang w:val="en-GB" w:eastAsia="en-GB"/>
              </w:rPr>
              <w:t>1.0</w:t>
            </w:r>
          </w:p>
        </w:tc>
        <w:tc>
          <w:tcPr>
            <w:tcW w:w="590" w:type="dxa"/>
            <w:vAlign w:val="center"/>
          </w:tcPr>
          <w:p w:rsidR="5A5F90A6" w:rsidP="26B44573" w:rsidRDefault="5A5F90A6" w14:paraId="09BBB742" w14:textId="7415122C">
            <w:pPr>
              <w:jc w:val="center"/>
              <w:rPr>
                <w:rFonts w:ascii="Arial" w:hAnsi="Arial" w:cs="Arial"/>
                <w:sz w:val="18"/>
                <w:szCs w:val="18"/>
                <w:lang w:val="en-GB" w:eastAsia="en-GB"/>
              </w:rPr>
            </w:pPr>
            <w:r w:rsidRPr="26B44573">
              <w:rPr>
                <w:rFonts w:ascii="Arial" w:hAnsi="Arial" w:cs="Arial"/>
                <w:sz w:val="18"/>
                <w:szCs w:val="18"/>
                <w:lang w:val="en-GB" w:eastAsia="en-GB"/>
              </w:rPr>
              <w:t>1.0</w:t>
            </w:r>
          </w:p>
        </w:tc>
        <w:tc>
          <w:tcPr>
            <w:tcW w:w="590" w:type="dxa"/>
            <w:vAlign w:val="center"/>
          </w:tcPr>
          <w:p w:rsidR="5A5F90A6" w:rsidP="26B44573" w:rsidRDefault="5A5F90A6" w14:paraId="2CC03E59" w14:textId="06802AF7">
            <w:pPr>
              <w:jc w:val="center"/>
              <w:rPr>
                <w:rFonts w:ascii="Arial" w:hAnsi="Arial" w:cs="Arial"/>
                <w:sz w:val="18"/>
                <w:szCs w:val="18"/>
                <w:lang w:val="en-GB" w:eastAsia="en-GB"/>
              </w:rPr>
            </w:pPr>
            <w:r w:rsidRPr="26B44573">
              <w:rPr>
                <w:rFonts w:ascii="Arial" w:hAnsi="Arial" w:cs="Arial"/>
                <w:sz w:val="18"/>
                <w:szCs w:val="18"/>
                <w:lang w:val="en-GB" w:eastAsia="en-GB"/>
              </w:rPr>
              <w:t>0.7917</w:t>
            </w:r>
          </w:p>
        </w:tc>
        <w:tc>
          <w:tcPr>
            <w:tcW w:w="590" w:type="dxa"/>
            <w:vAlign w:val="center"/>
          </w:tcPr>
          <w:p w:rsidR="5A5F90A6" w:rsidP="26B44573" w:rsidRDefault="5A5F90A6" w14:paraId="78416EB0" w14:textId="1CA4DE5F">
            <w:pPr>
              <w:jc w:val="center"/>
              <w:rPr>
                <w:rFonts w:ascii="Arial" w:hAnsi="Arial" w:cs="Arial"/>
                <w:sz w:val="18"/>
                <w:szCs w:val="18"/>
                <w:lang w:val="en-GB" w:eastAsia="en-GB"/>
              </w:rPr>
            </w:pPr>
            <w:r w:rsidRPr="26B44573">
              <w:rPr>
                <w:rFonts w:ascii="Arial" w:hAnsi="Arial" w:cs="Arial"/>
                <w:sz w:val="18"/>
                <w:szCs w:val="18"/>
                <w:lang w:val="en-GB" w:eastAsia="en-GB"/>
              </w:rPr>
              <w:t>0.1866</w:t>
            </w:r>
          </w:p>
        </w:tc>
        <w:tc>
          <w:tcPr>
            <w:tcW w:w="590" w:type="dxa"/>
            <w:vAlign w:val="center"/>
          </w:tcPr>
          <w:p w:rsidR="5A5F90A6" w:rsidP="26B44573" w:rsidRDefault="5A5F90A6" w14:paraId="69A33AC7" w14:textId="569E4A07">
            <w:pPr>
              <w:jc w:val="center"/>
              <w:rPr>
                <w:rFonts w:ascii="Arial" w:hAnsi="Arial" w:cs="Arial"/>
                <w:sz w:val="18"/>
                <w:szCs w:val="18"/>
                <w:lang w:val="en-GB" w:eastAsia="en-GB"/>
              </w:rPr>
            </w:pPr>
            <w:r w:rsidRPr="26B44573">
              <w:rPr>
                <w:rFonts w:ascii="Arial" w:hAnsi="Arial" w:cs="Arial"/>
                <w:sz w:val="18"/>
                <w:szCs w:val="18"/>
                <w:lang w:val="en-GB" w:eastAsia="en-GB"/>
              </w:rPr>
              <w:t>0.1130</w:t>
            </w:r>
          </w:p>
        </w:tc>
        <w:tc>
          <w:tcPr>
            <w:tcW w:w="590" w:type="dxa"/>
            <w:vAlign w:val="center"/>
          </w:tcPr>
          <w:p w:rsidR="5A5F90A6" w:rsidP="26B44573" w:rsidRDefault="5A5F90A6" w14:paraId="53A631B1" w14:textId="2B846E0A">
            <w:pPr>
              <w:jc w:val="center"/>
              <w:rPr>
                <w:rFonts w:ascii="Arial" w:hAnsi="Arial" w:cs="Arial"/>
                <w:sz w:val="18"/>
                <w:szCs w:val="18"/>
                <w:lang w:val="en-GB" w:eastAsia="en-GB"/>
              </w:rPr>
            </w:pPr>
            <w:r w:rsidRPr="26B44573">
              <w:rPr>
                <w:rFonts w:ascii="Arial" w:hAnsi="Arial" w:cs="Arial"/>
                <w:sz w:val="18"/>
                <w:szCs w:val="18"/>
                <w:lang w:val="en-GB" w:eastAsia="en-GB"/>
              </w:rPr>
              <w:t>0.0575</w:t>
            </w:r>
          </w:p>
        </w:tc>
        <w:tc>
          <w:tcPr>
            <w:tcW w:w="590" w:type="dxa"/>
            <w:vAlign w:val="center"/>
          </w:tcPr>
          <w:p w:rsidR="5A5F90A6" w:rsidP="26B44573" w:rsidRDefault="5A5F90A6" w14:paraId="087A8767" w14:textId="4D49A35F">
            <w:pPr>
              <w:jc w:val="center"/>
              <w:rPr>
                <w:rFonts w:ascii="Arial" w:hAnsi="Arial" w:cs="Arial"/>
                <w:sz w:val="18"/>
                <w:szCs w:val="18"/>
                <w:lang w:val="en-GB" w:eastAsia="en-GB"/>
              </w:rPr>
            </w:pPr>
            <w:r w:rsidRPr="26B44573">
              <w:rPr>
                <w:rFonts w:ascii="Arial" w:hAnsi="Arial" w:cs="Arial"/>
                <w:sz w:val="18"/>
                <w:szCs w:val="18"/>
                <w:lang w:val="en-GB" w:eastAsia="en-GB"/>
              </w:rPr>
              <w:t>0.0288*</w:t>
            </w:r>
          </w:p>
        </w:tc>
        <w:tc>
          <w:tcPr>
            <w:tcW w:w="590" w:type="dxa"/>
            <w:vAlign w:val="center"/>
          </w:tcPr>
          <w:p w:rsidR="5A5F90A6" w:rsidP="26B44573" w:rsidRDefault="5A5F90A6" w14:paraId="6FF95A54" w14:textId="0F4B655D">
            <w:pPr>
              <w:jc w:val="center"/>
              <w:rPr>
                <w:rFonts w:ascii="Arial" w:hAnsi="Arial" w:cs="Arial"/>
                <w:sz w:val="18"/>
                <w:szCs w:val="18"/>
                <w:lang w:val="en-GB" w:eastAsia="en-GB"/>
              </w:rPr>
            </w:pPr>
            <w:r w:rsidRPr="26B44573">
              <w:rPr>
                <w:rFonts w:ascii="Arial" w:hAnsi="Arial" w:cs="Arial"/>
                <w:sz w:val="18"/>
                <w:szCs w:val="18"/>
                <w:lang w:val="en-GB" w:eastAsia="en-GB"/>
              </w:rPr>
              <w:t>0.0004*</w:t>
            </w:r>
          </w:p>
        </w:tc>
        <w:tc>
          <w:tcPr>
            <w:tcW w:w="590" w:type="dxa"/>
            <w:vAlign w:val="center"/>
          </w:tcPr>
          <w:p w:rsidR="5A5F90A6" w:rsidP="26B44573" w:rsidRDefault="5A5F90A6" w14:paraId="1D2A180D" w14:textId="7CA17302">
            <w:pPr>
              <w:jc w:val="center"/>
              <w:rPr>
                <w:rFonts w:ascii="Arial" w:hAnsi="Arial" w:cs="Arial"/>
                <w:sz w:val="18"/>
                <w:szCs w:val="18"/>
                <w:lang w:val="en-GB" w:eastAsia="en-GB"/>
              </w:rPr>
            </w:pPr>
            <w:r w:rsidRPr="26B44573">
              <w:rPr>
                <w:rFonts w:ascii="Arial" w:hAnsi="Arial" w:cs="Arial"/>
                <w:sz w:val="18"/>
                <w:szCs w:val="18"/>
                <w:lang w:val="en-GB" w:eastAsia="en-GB"/>
              </w:rPr>
              <w:t>&lt;</w:t>
            </w:r>
          </w:p>
          <w:p w:rsidR="5A5F90A6" w:rsidP="26B44573" w:rsidRDefault="5A5F90A6" w14:paraId="1C6859AE" w14:textId="60FE04E2">
            <w:pPr>
              <w:jc w:val="center"/>
              <w:rPr>
                <w:rFonts w:ascii="Arial" w:hAnsi="Arial" w:cs="Arial"/>
                <w:sz w:val="18"/>
                <w:szCs w:val="18"/>
                <w:lang w:val="en-GB" w:eastAsia="en-GB"/>
              </w:rPr>
            </w:pPr>
            <w:r w:rsidRPr="26B44573">
              <w:rPr>
                <w:rFonts w:ascii="Arial" w:hAnsi="Arial" w:cs="Arial"/>
                <w:sz w:val="18"/>
                <w:szCs w:val="18"/>
                <w:lang w:val="en-GB" w:eastAsia="en-GB"/>
              </w:rPr>
              <w:t>0.0001*</w:t>
            </w:r>
          </w:p>
        </w:tc>
        <w:tc>
          <w:tcPr>
            <w:tcW w:w="590" w:type="dxa"/>
            <w:vAlign w:val="center"/>
          </w:tcPr>
          <w:p w:rsidR="5A5F90A6" w:rsidP="26B44573" w:rsidRDefault="5A5F90A6" w14:paraId="73ECF921" w14:textId="171ADEA3">
            <w:pPr>
              <w:jc w:val="center"/>
              <w:rPr>
                <w:rFonts w:ascii="Arial" w:hAnsi="Arial" w:cs="Arial"/>
                <w:sz w:val="18"/>
                <w:szCs w:val="18"/>
                <w:lang w:val="en-GB" w:eastAsia="en-GB"/>
              </w:rPr>
            </w:pPr>
            <w:r w:rsidRPr="26B44573">
              <w:rPr>
                <w:rFonts w:ascii="Arial" w:hAnsi="Arial" w:cs="Arial"/>
                <w:sz w:val="18"/>
                <w:szCs w:val="18"/>
                <w:lang w:val="en-GB" w:eastAsia="en-GB"/>
              </w:rPr>
              <w:t>&lt;</w:t>
            </w:r>
            <w:r w:rsidRPr="26B44573" w:rsidR="0D0BB58B">
              <w:rPr>
                <w:rFonts w:ascii="Arial" w:hAnsi="Arial" w:cs="Arial"/>
                <w:sz w:val="18"/>
                <w:szCs w:val="18"/>
                <w:lang w:val="en-GB" w:eastAsia="en-GB"/>
              </w:rPr>
              <w:t xml:space="preserve"> </w:t>
            </w:r>
            <w:r w:rsidRPr="26B44573">
              <w:rPr>
                <w:rFonts w:ascii="Arial" w:hAnsi="Arial" w:cs="Arial"/>
                <w:sz w:val="18"/>
                <w:szCs w:val="18"/>
                <w:lang w:val="en-GB" w:eastAsia="en-GB"/>
              </w:rPr>
              <w:t>0.0001</w:t>
            </w:r>
            <w:r w:rsidRPr="26B44573" w:rsidR="12C188A2">
              <w:rPr>
                <w:rFonts w:ascii="Arial" w:hAnsi="Arial" w:cs="Arial"/>
                <w:sz w:val="18"/>
                <w:szCs w:val="18"/>
                <w:lang w:val="en-GB" w:eastAsia="en-GB"/>
              </w:rPr>
              <w:t>*</w:t>
            </w:r>
          </w:p>
        </w:tc>
        <w:tc>
          <w:tcPr>
            <w:tcW w:w="590" w:type="dxa"/>
            <w:vAlign w:val="center"/>
          </w:tcPr>
          <w:p w:rsidR="5A5F90A6" w:rsidP="26B44573" w:rsidRDefault="5A5F90A6" w14:paraId="203A2ABC" w14:textId="2D756E50">
            <w:pPr>
              <w:jc w:val="center"/>
              <w:rPr>
                <w:rFonts w:ascii="Arial" w:hAnsi="Arial" w:cs="Arial"/>
                <w:sz w:val="18"/>
                <w:szCs w:val="18"/>
                <w:lang w:val="en-GB" w:eastAsia="en-GB"/>
              </w:rPr>
            </w:pPr>
            <w:r w:rsidRPr="26B44573">
              <w:rPr>
                <w:rFonts w:ascii="Arial" w:hAnsi="Arial" w:cs="Arial"/>
                <w:sz w:val="18"/>
                <w:szCs w:val="18"/>
                <w:lang w:val="en-GB" w:eastAsia="en-GB"/>
              </w:rPr>
              <w:t>0.5800</w:t>
            </w:r>
          </w:p>
        </w:tc>
        <w:tc>
          <w:tcPr>
            <w:tcW w:w="585" w:type="dxa"/>
            <w:vAlign w:val="center"/>
          </w:tcPr>
          <w:p w:rsidR="5A5F90A6" w:rsidP="26B44573" w:rsidRDefault="5A5F90A6" w14:paraId="43A45508" w14:textId="041DBB7C">
            <w:pPr>
              <w:jc w:val="center"/>
              <w:rPr>
                <w:rFonts w:ascii="Arial" w:hAnsi="Arial" w:cs="Arial"/>
                <w:sz w:val="18"/>
                <w:szCs w:val="18"/>
                <w:lang w:val="en-GB" w:eastAsia="en-GB"/>
              </w:rPr>
            </w:pPr>
            <w:r w:rsidRPr="26B44573">
              <w:rPr>
                <w:rFonts w:ascii="Arial" w:hAnsi="Arial" w:cs="Arial"/>
                <w:sz w:val="18"/>
                <w:szCs w:val="18"/>
                <w:lang w:val="en-GB" w:eastAsia="en-GB"/>
              </w:rPr>
              <w:t>0.5973</w:t>
            </w:r>
          </w:p>
        </w:tc>
      </w:tr>
    </w:tbl>
    <w:p w:rsidRPr="00FB3A86" w:rsidR="00790ADA" w:rsidP="26B44573" w:rsidRDefault="531F7C89" w14:paraId="622AC0D1" w14:textId="74827BDC">
      <w:pPr>
        <w:rPr>
          <w:rFonts w:ascii="Arial" w:hAnsi="Arial" w:cs="Arial"/>
          <w:i/>
          <w:iCs/>
          <w:sz w:val="18"/>
          <w:szCs w:val="18"/>
          <w:lang w:val="en-GB" w:eastAsia="en-GB"/>
        </w:rPr>
      </w:pPr>
      <w:r w:rsidRPr="26B44573">
        <w:rPr>
          <w:rFonts w:ascii="Arial" w:hAnsi="Arial" w:cs="Arial"/>
          <w:i/>
          <w:iCs/>
          <w:sz w:val="18"/>
          <w:szCs w:val="18"/>
          <w:lang w:val="en-GB" w:eastAsia="en-GB"/>
        </w:rPr>
        <w:t>*Statistically significant differences (P &lt; 0.05).</w:t>
      </w:r>
    </w:p>
    <w:p w:rsidRPr="00FB3A86" w:rsidR="00790ADA" w:rsidP="26B44573" w:rsidRDefault="00790ADA" w14:paraId="19CC19CF" w14:textId="68BA69F1">
      <w:pPr>
        <w:rPr>
          <w:rFonts w:ascii="Arial" w:hAnsi="Arial" w:cs="Arial"/>
          <w:i/>
          <w:iCs/>
          <w:sz w:val="18"/>
          <w:szCs w:val="18"/>
          <w:lang w:val="en-GB" w:eastAsia="en-GB"/>
        </w:rPr>
      </w:pPr>
    </w:p>
    <w:p w:rsidRPr="00FB3A86" w:rsidR="00790ADA" w:rsidP="26B44573" w:rsidRDefault="7E979EC0" w14:paraId="24CC4925" w14:textId="3B665FE3">
      <w:pPr>
        <w:rPr>
          <w:rFonts w:ascii="Arial" w:hAnsi="Arial" w:cs="Arial"/>
          <w:lang w:val="en-GB" w:eastAsia="en-GB"/>
        </w:rPr>
      </w:pPr>
      <w:r w:rsidRPr="26B44573">
        <w:rPr>
          <w:rFonts w:ascii="Arial" w:hAnsi="Arial" w:cs="Arial"/>
          <w:lang w:val="en-GB" w:eastAsia="en-GB"/>
        </w:rPr>
        <w:t>Figure 2 shows the maximum score of tooth sensitivity reported in both groups over the study time. For the DKF group, the reported pain happened from 20 minutes until 24 hours, wherein the maximum score attained was 04 (severe pain) at 01 and 24 hours. For the DKF + CHI group, the reported pain was 30 minutes until 24 hours, and the maximum score attained was score 1 (mild pain).</w:t>
      </w:r>
    </w:p>
    <w:p w:rsidRPr="00FB3A86" w:rsidR="00790ADA" w:rsidP="26B44573" w:rsidRDefault="00790ADA" w14:paraId="36B17935" w14:textId="4C3CAE9A">
      <w:pPr>
        <w:rPr>
          <w:rFonts w:ascii="Arial" w:hAnsi="Arial" w:cs="Arial"/>
          <w:lang w:val="en-GB" w:eastAsia="en-GB"/>
        </w:rPr>
      </w:pPr>
    </w:p>
    <w:p w:rsidRPr="00FB3A86" w:rsidR="00790ADA" w:rsidP="17D1E7E1" w:rsidRDefault="00790ADA" w14:paraId="4372B706" w14:textId="5720D642">
      <w:pPr>
        <w:jc w:val="center"/>
      </w:pPr>
      <w:r w:rsidR="4B173F9D">
        <w:drawing>
          <wp:inline wp14:editId="2C8A8D70" wp14:anchorId="0BC9D1F4">
            <wp:extent cx="5210174" cy="3448050"/>
            <wp:effectExtent l="0" t="0" r="0" b="0"/>
            <wp:docPr id="1177409625" name="" descr="Gráfico 1, Elemento de gráfico" title=""/>
            <wp:cNvGraphicFramePr>
              <a:graphicFrameLocks noChangeAspect="1"/>
            </wp:cNvGraphicFramePr>
            <a:graphic>
              <a:graphicData uri="http://schemas.openxmlformats.org/drawingml/2006/picture">
                <pic:pic>
                  <pic:nvPicPr>
                    <pic:cNvPr id="0" name=""/>
                    <pic:cNvPicPr/>
                  </pic:nvPicPr>
                  <pic:blipFill>
                    <a:blip r:embed="Rec3ae7d9f7914bef">
                      <a:extLst>
                        <a:ext xmlns:a="http://schemas.openxmlformats.org/drawingml/2006/main" uri="{28A0092B-C50C-407E-A947-70E740481C1C}">
                          <a14:useLocalDpi val="0"/>
                        </a:ext>
                      </a:extLst>
                    </a:blip>
                    <a:stretch>
                      <a:fillRect/>
                    </a:stretch>
                  </pic:blipFill>
                  <pic:spPr>
                    <a:xfrm>
                      <a:off x="0" y="0"/>
                      <a:ext cx="5210174" cy="3448050"/>
                    </a:xfrm>
                    <a:prstGeom prst="rect">
                      <a:avLst/>
                    </a:prstGeom>
                  </pic:spPr>
                </pic:pic>
              </a:graphicData>
            </a:graphic>
          </wp:inline>
        </w:drawing>
      </w:r>
      <w:r w:rsidRPr="17D1E7E1" w:rsidR="4B173F9D">
        <w:rPr>
          <w:rFonts w:ascii="Arial" w:hAnsi="Arial" w:cs="Arial"/>
          <w:b w:val="1"/>
          <w:bCs w:val="1"/>
          <w:i w:val="0"/>
          <w:iCs w:val="0"/>
          <w:lang w:val="en-GB" w:eastAsia="en-GB"/>
        </w:rPr>
        <w:t xml:space="preserve">Fig. 2. </w:t>
      </w:r>
      <w:r w:rsidRPr="17D1E7E1" w:rsidR="4B173F9D">
        <w:rPr>
          <w:rFonts w:ascii="Arial" w:hAnsi="Arial" w:cs="Arial"/>
          <w:b w:val="1"/>
          <w:bCs w:val="1"/>
          <w:i w:val="0"/>
          <w:iCs w:val="0"/>
          <w:lang w:val="en-GB" w:eastAsia="en-GB"/>
        </w:rPr>
        <w:t>Maximum</w:t>
      </w:r>
      <w:r w:rsidRPr="17D1E7E1" w:rsidR="4B173F9D">
        <w:rPr>
          <w:rFonts w:ascii="Arial" w:hAnsi="Arial" w:cs="Arial"/>
          <w:b w:val="1"/>
          <w:bCs w:val="1"/>
          <w:i w:val="0"/>
          <w:iCs w:val="0"/>
          <w:lang w:val="en-GB" w:eastAsia="en-GB"/>
        </w:rPr>
        <w:t xml:space="preserve"> score of patient-reported tooth sensitivity in both groups over the study time</w:t>
      </w:r>
    </w:p>
    <w:p w:rsidR="17D1E7E1" w:rsidP="17D1E7E1" w:rsidRDefault="17D1E7E1" w14:paraId="5D3DD3E0" w14:textId="5A1B65C2">
      <w:pPr>
        <w:rPr>
          <w:rFonts w:ascii="Arial" w:hAnsi="Arial" w:cs="Arial"/>
          <w:b w:val="1"/>
          <w:bCs w:val="1"/>
          <w:i w:val="0"/>
          <w:iCs w:val="0"/>
          <w:lang w:val="en-GB" w:eastAsia="en-GB"/>
        </w:rPr>
      </w:pPr>
    </w:p>
    <w:p w:rsidRPr="00FB3A86" w:rsidR="00790ADA" w:rsidP="26B44573" w:rsidRDefault="73C066C5" w14:paraId="75500C0E" w14:textId="7EAA1E3F">
      <w:pPr>
        <w:rPr>
          <w:rFonts w:ascii="Arial" w:hAnsi="Arial" w:cs="Arial"/>
          <w:lang w:val="en-GB" w:eastAsia="en-GB"/>
        </w:rPr>
      </w:pPr>
      <w:r w:rsidRPr="26B44573">
        <w:rPr>
          <w:rFonts w:ascii="Arial" w:hAnsi="Arial" w:cs="Arial"/>
          <w:lang w:val="en-GB" w:eastAsia="en-GB"/>
        </w:rPr>
        <w:t xml:space="preserve">Considering the pain as a dichotomic variable (presence or absence of pain) during all time intervals, a simple binominal logistic regression was performed, which showed that the use of Chitosan significantly impacted the occurrence of pain (χ²= 19.973, p&lt; 0.001, R²N= 0.5196). The </w:t>
      </w:r>
      <w:proofErr w:type="spellStart"/>
      <w:r w:rsidRPr="26B44573">
        <w:rPr>
          <w:rFonts w:ascii="Arial" w:hAnsi="Arial" w:cs="Arial"/>
          <w:lang w:val="en-GB" w:eastAsia="en-GB"/>
        </w:rPr>
        <w:t>Nagelkerke</w:t>
      </w:r>
      <w:proofErr w:type="spellEnd"/>
      <w:r w:rsidRPr="26B44573">
        <w:rPr>
          <w:rFonts w:ascii="Arial" w:hAnsi="Arial" w:cs="Arial"/>
          <w:lang w:val="en-GB" w:eastAsia="en-GB"/>
        </w:rPr>
        <w:t xml:space="preserve"> </w:t>
      </w:r>
      <w:proofErr w:type="spellStart"/>
      <w:r w:rsidRPr="26B44573">
        <w:rPr>
          <w:rFonts w:ascii="Arial" w:hAnsi="Arial" w:cs="Arial"/>
          <w:lang w:val="en-GB" w:eastAsia="en-GB"/>
        </w:rPr>
        <w:t>pseudodetermination</w:t>
      </w:r>
      <w:proofErr w:type="spellEnd"/>
      <w:r w:rsidRPr="26B44573">
        <w:rPr>
          <w:rFonts w:ascii="Arial" w:hAnsi="Arial" w:cs="Arial"/>
          <w:lang w:val="en-GB" w:eastAsia="en-GB"/>
        </w:rPr>
        <w:t xml:space="preserve"> coefficient (R²N) indicated that the presence or absence of pain during bleaching could be 51.96%, explained by the choice of whether or not to use Chitosan as a desensitizing agent. According to the calculated odds ratio, it can be stated that not using Chitosan as a desensitizing agent increases the chance of feeling pain during or after the bleaching period by 40 times. Odds ratio IC (95%) = 40 (IC 4,4 – 362,32).</w:t>
      </w:r>
    </w:p>
    <w:p w:rsidRPr="00FB3A86" w:rsidR="00790ADA" w:rsidP="26B44573" w:rsidRDefault="00790ADA" w14:paraId="20B1E965" w14:textId="193E295C">
      <w:pPr>
        <w:rPr>
          <w:rFonts w:ascii="Arial" w:hAnsi="Arial" w:cs="Arial"/>
          <w:lang w:val="en-GB" w:eastAsia="en-GB"/>
        </w:rPr>
      </w:pPr>
    </w:p>
    <w:p w:rsidRPr="00FB3A86" w:rsidR="00790ADA" w:rsidP="26B44573" w:rsidRDefault="73C066C5" w14:paraId="6191DD51" w14:textId="2F432E31">
      <w:pPr>
        <w:rPr>
          <w:rFonts w:ascii="Arial" w:hAnsi="Arial" w:cs="Arial"/>
          <w:b/>
          <w:bCs/>
          <w:lang w:val="en-GB" w:eastAsia="en-GB"/>
        </w:rPr>
      </w:pPr>
      <w:r w:rsidRPr="26B44573">
        <w:rPr>
          <w:rFonts w:ascii="Arial" w:hAnsi="Arial" w:cs="Arial"/>
          <w:b/>
          <w:bCs/>
          <w:lang w:val="en-GB" w:eastAsia="en-GB"/>
        </w:rPr>
        <w:t>3.3 Bleaching effectiveness</w:t>
      </w:r>
    </w:p>
    <w:p w:rsidRPr="00FB3A86" w:rsidR="00790ADA" w:rsidP="26B44573" w:rsidRDefault="00790ADA" w14:paraId="161F60B5" w14:textId="02CE60AE">
      <w:pPr>
        <w:rPr>
          <w:rFonts w:ascii="Arial" w:hAnsi="Arial" w:cs="Arial"/>
          <w:b/>
          <w:bCs/>
          <w:lang w:val="en-GB" w:eastAsia="en-GB"/>
        </w:rPr>
      </w:pPr>
    </w:p>
    <w:p w:rsidRPr="00FB3A86" w:rsidR="00790ADA" w:rsidP="26B44573" w:rsidRDefault="73C066C5" w14:paraId="16CC44DF" w14:textId="602DDA85">
      <w:pPr>
        <w:rPr>
          <w:rFonts w:ascii="Arial" w:hAnsi="Arial" w:cs="Arial"/>
          <w:lang w:val="en-GB" w:eastAsia="en-GB"/>
        </w:rPr>
      </w:pPr>
      <w:r w:rsidRPr="26B44573">
        <w:rPr>
          <w:rFonts w:ascii="Arial" w:hAnsi="Arial" w:cs="Arial"/>
          <w:lang w:val="en-GB" w:eastAsia="en-GB"/>
        </w:rPr>
        <w:t>The data in Table 5 shows the intergroup comparison of the bleaching effectiveness. There was no statistically significant difference (p &gt; 0.05) in the bleaching effectiveness when comparing DKF and DKF + CHI groups.</w:t>
      </w:r>
    </w:p>
    <w:p w:rsidRPr="00FB3A86" w:rsidR="00790ADA" w:rsidP="26B44573" w:rsidRDefault="00790ADA" w14:paraId="031B4C39" w14:textId="52BA3A88">
      <w:pPr>
        <w:rPr>
          <w:rFonts w:ascii="Arial" w:hAnsi="Arial" w:cs="Arial"/>
          <w:lang w:val="en-GB" w:eastAsia="en-GB"/>
        </w:rPr>
      </w:pPr>
    </w:p>
    <w:p w:rsidRPr="00FB3A86" w:rsidR="00790ADA" w:rsidP="26B44573" w:rsidRDefault="73C066C5" w14:paraId="2CB56D85" w14:textId="68ED0BA7">
      <w:pPr>
        <w:rPr>
          <w:rFonts w:ascii="Arial" w:hAnsi="Arial" w:cs="Arial"/>
          <w:b/>
          <w:bCs/>
          <w:lang w:val="en-GB" w:eastAsia="en-GB"/>
        </w:rPr>
      </w:pPr>
      <w:r w:rsidRPr="26B44573">
        <w:rPr>
          <w:rFonts w:ascii="Arial" w:hAnsi="Arial" w:cs="Arial"/>
          <w:b/>
          <w:bCs/>
          <w:lang w:val="en-GB" w:eastAsia="en-GB"/>
        </w:rPr>
        <w:t>Table 5. Medians interquartile deviation and inferential analysis of the bleaching effectiveness intergroup</w:t>
      </w:r>
    </w:p>
    <w:tbl>
      <w:tblPr>
        <w:tblStyle w:val="TableGrid"/>
        <w:tblW w:w="0" w:type="auto"/>
        <w:tblBorders>
          <w:top w:val="single" w:color="000000" w:themeColor="text1" w:sz="4" w:space="0"/>
          <w:left w:val="none" w:color="000000" w:themeColor="text1" w:sz="4" w:space="0"/>
          <w:bottom w:val="single" w:color="000000" w:themeColor="text1" w:sz="4" w:space="0"/>
          <w:right w:val="none" w:color="000000" w:themeColor="text1" w:sz="4" w:space="0"/>
          <w:insideH w:val="none" w:color="000000" w:themeColor="text1" w:sz="4" w:space="0"/>
          <w:insideV w:val="none" w:color="000000" w:themeColor="text1" w:sz="4" w:space="0"/>
        </w:tblBorders>
        <w:tblLayout w:type="fixed"/>
        <w:tblLook w:val="06A0" w:firstRow="1" w:lastRow="0" w:firstColumn="1" w:lastColumn="0" w:noHBand="1" w:noVBand="1"/>
      </w:tblPr>
      <w:tblGrid>
        <w:gridCol w:w="2295"/>
        <w:gridCol w:w="1808"/>
        <w:gridCol w:w="2051"/>
        <w:gridCol w:w="2051"/>
      </w:tblGrid>
      <w:tr w:rsidR="26B44573" w:rsidTr="26B44573" w14:paraId="7040F847" w14:textId="77777777">
        <w:trPr>
          <w:trHeight w:val="300"/>
        </w:trPr>
        <w:tc>
          <w:tcPr>
            <w:tcW w:w="2295" w:type="dxa"/>
            <w:tcBorders>
              <w:bottom w:val="single" w:color="000000" w:themeColor="text1" w:sz="4" w:space="0"/>
            </w:tcBorders>
            <w:vAlign w:val="center"/>
          </w:tcPr>
          <w:p w:rsidR="67F3ADAA" w:rsidP="26B44573" w:rsidRDefault="67F3ADAA" w14:paraId="70F88A3D" w14:textId="34710C62">
            <w:pPr>
              <w:jc w:val="center"/>
              <w:rPr>
                <w:rFonts w:ascii="Arial" w:hAnsi="Arial" w:cs="Arial"/>
                <w:b/>
                <w:bCs/>
                <w:sz w:val="20"/>
                <w:szCs w:val="20"/>
                <w:lang w:val="en-GB" w:eastAsia="en-GB"/>
              </w:rPr>
            </w:pPr>
            <w:r w:rsidRPr="26B44573">
              <w:rPr>
                <w:rFonts w:ascii="Arial" w:hAnsi="Arial" w:cs="Arial"/>
                <w:b/>
                <w:bCs/>
                <w:sz w:val="20"/>
                <w:szCs w:val="20"/>
                <w:lang w:val="en-GB" w:eastAsia="en-GB"/>
              </w:rPr>
              <w:t>Data</w:t>
            </w:r>
          </w:p>
        </w:tc>
        <w:tc>
          <w:tcPr>
            <w:tcW w:w="1808" w:type="dxa"/>
            <w:tcBorders>
              <w:bottom w:val="single" w:color="000000" w:themeColor="text1" w:sz="4" w:space="0"/>
            </w:tcBorders>
            <w:vAlign w:val="center"/>
          </w:tcPr>
          <w:p w:rsidR="67F3ADAA" w:rsidP="26B44573" w:rsidRDefault="67F3ADAA" w14:paraId="0284C27D" w14:textId="57DCD9A5">
            <w:pPr>
              <w:jc w:val="center"/>
              <w:rPr>
                <w:rFonts w:ascii="Arial" w:hAnsi="Arial" w:cs="Arial"/>
                <w:b/>
                <w:bCs/>
                <w:sz w:val="20"/>
                <w:szCs w:val="20"/>
              </w:rPr>
            </w:pPr>
            <w:r w:rsidRPr="26B44573">
              <w:rPr>
                <w:rFonts w:ascii="Arial" w:hAnsi="Arial" w:cs="Arial"/>
                <w:b/>
                <w:bCs/>
                <w:sz w:val="20"/>
                <w:szCs w:val="20"/>
                <w:lang w:val="en-GB" w:eastAsia="en-GB"/>
              </w:rPr>
              <w:t xml:space="preserve">DFK </w:t>
            </w:r>
            <w:r w:rsidRPr="26B44573">
              <w:rPr>
                <w:rFonts w:ascii="Arial" w:hAnsi="Arial" w:cs="Arial"/>
                <w:b/>
                <w:bCs/>
                <w:sz w:val="20"/>
                <w:szCs w:val="20"/>
              </w:rPr>
              <w:t>∆B</w:t>
            </w:r>
          </w:p>
        </w:tc>
        <w:tc>
          <w:tcPr>
            <w:tcW w:w="2051" w:type="dxa"/>
            <w:tcBorders>
              <w:bottom w:val="single" w:color="000000" w:themeColor="text1" w:sz="4" w:space="0"/>
            </w:tcBorders>
            <w:vAlign w:val="center"/>
          </w:tcPr>
          <w:p w:rsidR="67F3ADAA" w:rsidP="26B44573" w:rsidRDefault="67F3ADAA" w14:paraId="25268B79" w14:textId="047E589A">
            <w:pPr>
              <w:jc w:val="center"/>
              <w:rPr>
                <w:rFonts w:ascii="Arial" w:hAnsi="Arial" w:cs="Arial"/>
                <w:b/>
                <w:bCs/>
                <w:sz w:val="20"/>
                <w:szCs w:val="20"/>
              </w:rPr>
            </w:pPr>
            <w:r w:rsidRPr="26B44573">
              <w:rPr>
                <w:rFonts w:ascii="Arial" w:hAnsi="Arial" w:cs="Arial"/>
                <w:b/>
                <w:bCs/>
                <w:sz w:val="20"/>
                <w:szCs w:val="20"/>
                <w:lang w:val="en-GB" w:eastAsia="en-GB"/>
              </w:rPr>
              <w:t xml:space="preserve">DFK + CHI </w:t>
            </w:r>
            <w:r w:rsidRPr="26B44573">
              <w:rPr>
                <w:rFonts w:ascii="Arial" w:hAnsi="Arial" w:cs="Arial"/>
                <w:b/>
                <w:bCs/>
                <w:sz w:val="20"/>
                <w:szCs w:val="20"/>
              </w:rPr>
              <w:t>∆B</w:t>
            </w:r>
          </w:p>
        </w:tc>
        <w:tc>
          <w:tcPr>
            <w:tcW w:w="2051" w:type="dxa"/>
            <w:tcBorders>
              <w:bottom w:val="single" w:color="000000" w:themeColor="text1" w:sz="4" w:space="0"/>
            </w:tcBorders>
            <w:vAlign w:val="center"/>
          </w:tcPr>
          <w:p w:rsidR="67F3ADAA" w:rsidP="26B44573" w:rsidRDefault="67F3ADAA" w14:paraId="1A2E92E3" w14:textId="047B3827">
            <w:pPr>
              <w:jc w:val="center"/>
              <w:rPr>
                <w:rFonts w:ascii="Arial" w:hAnsi="Arial" w:cs="Arial"/>
                <w:b/>
                <w:bCs/>
                <w:sz w:val="20"/>
                <w:szCs w:val="20"/>
                <w:lang w:val="en-GB" w:eastAsia="en-GB"/>
              </w:rPr>
            </w:pPr>
            <w:r w:rsidRPr="26B44573">
              <w:rPr>
                <w:rFonts w:ascii="Arial" w:hAnsi="Arial" w:cs="Arial"/>
                <w:b/>
                <w:bCs/>
                <w:i/>
                <w:iCs/>
                <w:sz w:val="20"/>
                <w:szCs w:val="20"/>
                <w:lang w:val="en-GB" w:eastAsia="en-GB"/>
              </w:rPr>
              <w:t>P</w:t>
            </w:r>
            <w:r w:rsidRPr="26B44573">
              <w:rPr>
                <w:rFonts w:ascii="Arial" w:hAnsi="Arial" w:cs="Arial"/>
                <w:b/>
                <w:bCs/>
                <w:sz w:val="20"/>
                <w:szCs w:val="20"/>
                <w:lang w:val="en-GB" w:eastAsia="en-GB"/>
              </w:rPr>
              <w:t>-value</w:t>
            </w:r>
          </w:p>
        </w:tc>
      </w:tr>
      <w:tr w:rsidR="26B44573" w:rsidTr="26B44573" w14:paraId="7B93719F" w14:textId="77777777">
        <w:trPr>
          <w:trHeight w:val="300"/>
        </w:trPr>
        <w:tc>
          <w:tcPr>
            <w:tcW w:w="2295" w:type="dxa"/>
            <w:tcBorders>
              <w:top w:val="single" w:color="000000" w:themeColor="text1" w:sz="4" w:space="0"/>
            </w:tcBorders>
            <w:vAlign w:val="center"/>
          </w:tcPr>
          <w:p w:rsidR="67F3ADAA" w:rsidP="26B44573" w:rsidRDefault="67F3ADAA" w14:paraId="44FBCC90" w14:textId="670CF150">
            <w:pPr>
              <w:jc w:val="center"/>
              <w:rPr>
                <w:rFonts w:ascii="Arial" w:hAnsi="Arial" w:cs="Arial"/>
                <w:sz w:val="20"/>
                <w:szCs w:val="20"/>
                <w:lang w:val="en-GB" w:eastAsia="en-GB"/>
              </w:rPr>
            </w:pPr>
            <w:r w:rsidRPr="26B44573">
              <w:rPr>
                <w:rFonts w:ascii="Arial" w:hAnsi="Arial" w:cs="Arial"/>
                <w:sz w:val="20"/>
                <w:szCs w:val="20"/>
                <w:lang w:val="en-GB" w:eastAsia="en-GB"/>
              </w:rPr>
              <w:t>Average</w:t>
            </w:r>
          </w:p>
        </w:tc>
        <w:tc>
          <w:tcPr>
            <w:tcW w:w="1808" w:type="dxa"/>
            <w:tcBorders>
              <w:top w:val="single" w:color="000000" w:themeColor="text1" w:sz="4" w:space="0"/>
            </w:tcBorders>
            <w:vAlign w:val="center"/>
          </w:tcPr>
          <w:p w:rsidR="67F3ADAA" w:rsidP="26B44573" w:rsidRDefault="67F3ADAA" w14:paraId="064E462D" w14:textId="3A0E9302">
            <w:pPr>
              <w:jc w:val="center"/>
              <w:rPr>
                <w:rFonts w:ascii="Arial" w:hAnsi="Arial" w:cs="Arial"/>
                <w:sz w:val="20"/>
                <w:szCs w:val="20"/>
                <w:lang w:val="en-GB" w:eastAsia="en-GB"/>
              </w:rPr>
            </w:pPr>
            <w:r w:rsidRPr="26B44573">
              <w:rPr>
                <w:rFonts w:ascii="Arial" w:hAnsi="Arial" w:cs="Arial"/>
                <w:sz w:val="20"/>
                <w:szCs w:val="20"/>
                <w:lang w:val="en-GB" w:eastAsia="en-GB"/>
              </w:rPr>
              <w:t>6.0</w:t>
            </w:r>
          </w:p>
        </w:tc>
        <w:tc>
          <w:tcPr>
            <w:tcW w:w="2051" w:type="dxa"/>
            <w:tcBorders>
              <w:top w:val="single" w:color="000000" w:themeColor="text1" w:sz="4" w:space="0"/>
            </w:tcBorders>
            <w:vAlign w:val="center"/>
          </w:tcPr>
          <w:p w:rsidR="67F3ADAA" w:rsidP="26B44573" w:rsidRDefault="67F3ADAA" w14:paraId="4D2FACC6" w14:textId="5637ACC4">
            <w:pPr>
              <w:jc w:val="center"/>
              <w:rPr>
                <w:rFonts w:ascii="Arial" w:hAnsi="Arial" w:cs="Arial"/>
                <w:sz w:val="20"/>
                <w:szCs w:val="20"/>
                <w:lang w:val="en-GB" w:eastAsia="en-GB"/>
              </w:rPr>
            </w:pPr>
            <w:r w:rsidRPr="26B44573">
              <w:rPr>
                <w:rFonts w:ascii="Arial" w:hAnsi="Arial" w:cs="Arial"/>
                <w:sz w:val="20"/>
                <w:szCs w:val="20"/>
                <w:lang w:val="en-GB" w:eastAsia="en-GB"/>
              </w:rPr>
              <w:t>7.0</w:t>
            </w:r>
          </w:p>
        </w:tc>
        <w:tc>
          <w:tcPr>
            <w:tcW w:w="2051" w:type="dxa"/>
            <w:vMerge w:val="restart"/>
            <w:tcBorders>
              <w:top w:val="single" w:color="000000" w:themeColor="text1" w:sz="4" w:space="0"/>
            </w:tcBorders>
            <w:vAlign w:val="center"/>
          </w:tcPr>
          <w:p w:rsidR="67F3ADAA" w:rsidP="26B44573" w:rsidRDefault="67F3ADAA" w14:paraId="53A48080" w14:textId="57CEE8F8">
            <w:pPr>
              <w:jc w:val="center"/>
              <w:rPr>
                <w:rFonts w:ascii="Arial" w:hAnsi="Arial" w:cs="Arial"/>
                <w:sz w:val="20"/>
                <w:szCs w:val="20"/>
                <w:lang w:val="en-GB" w:eastAsia="en-GB"/>
              </w:rPr>
            </w:pPr>
            <w:r w:rsidRPr="26B44573">
              <w:rPr>
                <w:rFonts w:ascii="Arial" w:hAnsi="Arial" w:cs="Arial"/>
                <w:sz w:val="20"/>
                <w:szCs w:val="20"/>
                <w:lang w:val="en-GB" w:eastAsia="en-GB"/>
              </w:rPr>
              <w:t>0.501</w:t>
            </w:r>
          </w:p>
        </w:tc>
      </w:tr>
      <w:tr w:rsidR="26B44573" w:rsidTr="26B44573" w14:paraId="7E27065F" w14:textId="77777777">
        <w:trPr>
          <w:trHeight w:val="300"/>
        </w:trPr>
        <w:tc>
          <w:tcPr>
            <w:tcW w:w="2295" w:type="dxa"/>
            <w:vAlign w:val="center"/>
          </w:tcPr>
          <w:p w:rsidR="67F3ADAA" w:rsidP="26B44573" w:rsidRDefault="67F3ADAA" w14:paraId="17488C78" w14:textId="4736BF07">
            <w:pPr>
              <w:jc w:val="center"/>
              <w:rPr>
                <w:rFonts w:ascii="Arial" w:hAnsi="Arial" w:cs="Arial"/>
                <w:sz w:val="20"/>
                <w:szCs w:val="20"/>
                <w:lang w:val="en-GB" w:eastAsia="en-GB"/>
              </w:rPr>
            </w:pPr>
            <w:r w:rsidRPr="26B44573">
              <w:rPr>
                <w:rFonts w:ascii="Arial" w:hAnsi="Arial" w:cs="Arial"/>
                <w:sz w:val="20"/>
                <w:szCs w:val="20"/>
                <w:lang w:val="en-GB" w:eastAsia="en-GB"/>
              </w:rPr>
              <w:t>Interquartile deviation</w:t>
            </w:r>
          </w:p>
        </w:tc>
        <w:tc>
          <w:tcPr>
            <w:tcW w:w="1808" w:type="dxa"/>
            <w:vAlign w:val="center"/>
          </w:tcPr>
          <w:p w:rsidR="67F3ADAA" w:rsidP="26B44573" w:rsidRDefault="67F3ADAA" w14:paraId="77B72036" w14:textId="28579369">
            <w:pPr>
              <w:jc w:val="center"/>
              <w:rPr>
                <w:rFonts w:ascii="Arial" w:hAnsi="Arial" w:cs="Arial"/>
                <w:sz w:val="20"/>
                <w:szCs w:val="20"/>
                <w:lang w:val="en-GB" w:eastAsia="en-GB"/>
              </w:rPr>
            </w:pPr>
            <w:r w:rsidRPr="26B44573">
              <w:rPr>
                <w:rFonts w:ascii="Arial" w:hAnsi="Arial" w:cs="Arial"/>
                <w:sz w:val="20"/>
                <w:szCs w:val="20"/>
                <w:lang w:val="en-GB" w:eastAsia="en-GB"/>
              </w:rPr>
              <w:t>3.0</w:t>
            </w:r>
          </w:p>
        </w:tc>
        <w:tc>
          <w:tcPr>
            <w:tcW w:w="2051" w:type="dxa"/>
            <w:vAlign w:val="center"/>
          </w:tcPr>
          <w:p w:rsidR="67F3ADAA" w:rsidP="26B44573" w:rsidRDefault="67F3ADAA" w14:paraId="5504EB59" w14:textId="4FDBC491">
            <w:pPr>
              <w:jc w:val="center"/>
              <w:rPr>
                <w:rFonts w:ascii="Arial" w:hAnsi="Arial" w:cs="Arial"/>
                <w:sz w:val="20"/>
                <w:szCs w:val="20"/>
                <w:lang w:val="en-GB" w:eastAsia="en-GB"/>
              </w:rPr>
            </w:pPr>
            <w:r w:rsidRPr="26B44573">
              <w:rPr>
                <w:rFonts w:ascii="Arial" w:hAnsi="Arial" w:cs="Arial"/>
                <w:sz w:val="20"/>
                <w:szCs w:val="20"/>
                <w:lang w:val="en-GB" w:eastAsia="en-GB"/>
              </w:rPr>
              <w:t>3.0</w:t>
            </w:r>
          </w:p>
        </w:tc>
        <w:tc>
          <w:tcPr>
            <w:tcW w:w="2051" w:type="dxa"/>
            <w:vMerge/>
          </w:tcPr>
          <w:p w:rsidR="00B056E6" w:rsidRDefault="00B056E6" w14:paraId="1CC5CDB1" w14:textId="77777777"/>
        </w:tc>
      </w:tr>
    </w:tbl>
    <w:p w:rsidRPr="00FB3A86" w:rsidR="00790ADA" w:rsidP="26B44573" w:rsidRDefault="00790ADA" w14:paraId="065AFE1D" w14:textId="73E499BD">
      <w:pPr>
        <w:rPr>
          <w:rFonts w:ascii="Arial" w:hAnsi="Arial" w:cs="Arial"/>
          <w:i/>
          <w:iCs/>
          <w:sz w:val="18"/>
          <w:szCs w:val="18"/>
          <w:lang w:val="en-GB" w:eastAsia="en-GB"/>
        </w:rPr>
      </w:pPr>
    </w:p>
    <w:p w:rsidRPr="00FB3A86" w:rsidR="00790ADA" w:rsidP="26B44573" w:rsidRDefault="4AEDFA51" w14:paraId="11B99CFB" w14:textId="175E36CC">
      <w:pPr>
        <w:jc w:val="both"/>
        <w:rPr>
          <w:rFonts w:ascii="Arial" w:hAnsi="Arial" w:cs="Arial"/>
          <w:lang w:val="en-GB" w:eastAsia="en-GB"/>
        </w:rPr>
      </w:pPr>
      <w:r w:rsidRPr="26B44573">
        <w:rPr>
          <w:rFonts w:ascii="Arial" w:hAnsi="Arial" w:cs="Arial"/>
          <w:lang w:val="en-GB" w:eastAsia="en-GB"/>
        </w:rPr>
        <w:t>This pioneer clinical study investigated the impact of adding Chitosan to a potassium nitrate and sodium fluoride - based desensitizer before using 35% hydrogen peroxide. The results of the Mann-Whitney test showed a significant reduction in sensitivity for the DFK + CHI group in different evaluation time intervals (35, 40, 45, and 60 minutes) when compared to the DFK group. Similarly, the binominal logistic regression showed that the use of Chitosan significantly impacted the occurrence of pain with R²N indicating, that the presence or absence of pain during bleaching can be 51.96% explained by the choice of whether to use Chitosan as a desensitizing agent. Besides these results, the calculated odds ratio showed that Chitosan added to the desensitizing agent evaluated in this study increases the chance of patients feeling pain during or after the bleaching period by 40 times. Furthermore, there was no interference of the Chitosan microparticle in the bleaching effectiveness; therefore, the study’s hypothesis is accepted, according to which the remineralizing action of Chitosan decreases sensitivity during and after tooth bleaching without interfering with the bleaching effectiveness.</w:t>
      </w:r>
    </w:p>
    <w:p w:rsidRPr="00FB3A86" w:rsidR="00790ADA" w:rsidP="26B44573" w:rsidRDefault="00790ADA" w14:paraId="62A34B79" w14:textId="3D6062B3">
      <w:pPr>
        <w:jc w:val="both"/>
        <w:rPr>
          <w:rFonts w:ascii="Arial" w:hAnsi="Arial" w:cs="Arial"/>
          <w:lang w:val="en-GB" w:eastAsia="en-GB"/>
        </w:rPr>
      </w:pPr>
    </w:p>
    <w:p w:rsidRPr="00FB3A86" w:rsidR="00790ADA" w:rsidP="26B44573" w:rsidRDefault="4AEDFA51" w14:paraId="4F9BD7D9" w14:textId="0AE40ADD">
      <w:pPr>
        <w:jc w:val="both"/>
        <w:rPr>
          <w:rFonts w:ascii="Arial" w:hAnsi="Arial" w:cs="Arial"/>
          <w:lang w:val="en-GB" w:eastAsia="en-GB"/>
        </w:rPr>
      </w:pPr>
      <w:r w:rsidRPr="17D1E7E1" w:rsidR="0E3712ED">
        <w:rPr>
          <w:rFonts w:ascii="Arial" w:hAnsi="Arial" w:cs="Arial"/>
          <w:lang w:val="en-GB" w:eastAsia="en-GB"/>
        </w:rPr>
        <w:t>Although well documented in the literature, the mechanisms of tooth whitening-related hypersensitivity are still con</w:t>
      </w:r>
      <w:r w:rsidRPr="17D1E7E1" w:rsidR="0E3712ED">
        <w:rPr>
          <w:rFonts w:ascii="Arial" w:hAnsi="Arial" w:cs="Arial"/>
          <w:lang w:val="en-GB" w:eastAsia="en-GB"/>
        </w:rPr>
        <w:t>troversial. Ma</w:t>
      </w:r>
      <w:r w:rsidRPr="17D1E7E1" w:rsidR="0E3712ED">
        <w:rPr>
          <w:rFonts w:ascii="Arial" w:hAnsi="Arial" w:cs="Arial"/>
          <w:lang w:val="en-GB" w:eastAsia="en-GB"/>
        </w:rPr>
        <w:t>rkowitz [21] reported that the formation of oxygen bubble</w:t>
      </w:r>
      <w:r w:rsidRPr="17D1E7E1" w:rsidR="0E3712ED">
        <w:rPr>
          <w:rFonts w:ascii="Arial" w:hAnsi="Arial" w:cs="Arial"/>
          <w:lang w:val="en-GB" w:eastAsia="en-GB"/>
        </w:rPr>
        <w:t>s inside t</w:t>
      </w:r>
      <w:r w:rsidRPr="17D1E7E1" w:rsidR="0E3712ED">
        <w:rPr>
          <w:rFonts w:ascii="Arial" w:hAnsi="Arial" w:cs="Arial"/>
          <w:lang w:val="en-GB" w:eastAsia="en-GB"/>
        </w:rPr>
        <w:t>he dentinal tubules could move fluids, resulting in painful sensitivity due to the activation of pulp nociceptors. The most accepted hypothesis suggests that dental hypersensitivity may result from the diffusion of bleaching gels into dental tissues. Due to its low molecular weight (</w:t>
      </w:r>
      <w:r w:rsidRPr="17D1E7E1" w:rsidR="0E3712ED">
        <w:rPr>
          <w:rFonts w:ascii="Arial" w:hAnsi="Arial" w:cs="Arial"/>
          <w:lang w:val="en-GB" w:eastAsia="en-GB"/>
        </w:rPr>
        <w:t>34.0147 g/</w:t>
      </w:r>
      <w:r w:rsidRPr="17D1E7E1" w:rsidR="0E3712ED">
        <w:rPr>
          <w:rFonts w:ascii="Arial" w:hAnsi="Arial" w:cs="Arial"/>
          <w:lang w:val="en-GB" w:eastAsia="en-GB"/>
        </w:rPr>
        <w:t xml:space="preserve">mol) and its capability to denature proteins, which causes a movement of ions, the bleaching gel can penetrate through the enamel and dentin, reaching the pulp [22]. When in contact with pulp cells, peroxides and their sub-products cause the release of mediators such as neuropeptides and prostaglandins, which sensitize pulp nociceptors and consequently cause reversible pulpitis [1, 22-24]. Thus, different protocols and formulations have been used to neutralize the sensitivity related to bleaching treatments. Among these formulations, potassium nitrate and fluorine products have gained prominence in different studies [3-5, 25-27]. </w:t>
      </w:r>
      <w:r w:rsidRPr="17D1E7E1" w:rsidR="5E785D09">
        <w:rPr>
          <w:rFonts w:ascii="Arial" w:hAnsi="Arial" w:cs="Arial"/>
          <w:lang w:val="en-GB" w:eastAsia="en-GB"/>
        </w:rPr>
        <w:t>During episodes of painful sensitivity, sensory nerves undergo depolarization, followed by repolarization</w:t>
      </w:r>
      <w:r w:rsidRPr="17D1E7E1" w:rsidR="0E3712ED">
        <w:rPr>
          <w:rFonts w:ascii="Arial" w:hAnsi="Arial" w:cs="Arial"/>
          <w:lang w:val="en-GB" w:eastAsia="en-GB"/>
        </w:rPr>
        <w:t>. However, these desensitizing agents prevent the repolarization of ne</w:t>
      </w:r>
      <w:r w:rsidRPr="17D1E7E1" w:rsidR="0E3712ED">
        <w:rPr>
          <w:rFonts w:ascii="Arial" w:hAnsi="Arial" w:cs="Arial"/>
          <w:lang w:val="en-GB" w:eastAsia="en-GB"/>
        </w:rPr>
        <w:t xml:space="preserve">rve </w:t>
      </w:r>
      <w:r w:rsidRPr="17D1E7E1" w:rsidR="0E3712ED">
        <w:rPr>
          <w:rFonts w:ascii="Arial" w:hAnsi="Arial" w:cs="Arial"/>
          <w:lang w:val="en-GB" w:eastAsia="en-GB"/>
        </w:rPr>
        <w:t>fi</w:t>
      </w:r>
      <w:r w:rsidRPr="17D1E7E1" w:rsidR="0E3712ED">
        <w:rPr>
          <w:rFonts w:ascii="Arial" w:hAnsi="Arial" w:cs="Arial"/>
          <w:lang w:val="en-GB" w:eastAsia="en-GB"/>
        </w:rPr>
        <w:t>bers</w:t>
      </w:r>
      <w:r w:rsidRPr="17D1E7E1" w:rsidR="0E3712ED">
        <w:rPr>
          <w:rFonts w:ascii="Arial" w:hAnsi="Arial" w:cs="Arial"/>
          <w:lang w:val="en-GB" w:eastAsia="en-GB"/>
        </w:rPr>
        <w:t xml:space="preserve"> [3, 26]. Besides the interactions of hydrogen peroxide with the pulp, tooth sensitivity may also be the result of the changes that the bleaching procedure causes on the surface of the tooth enamel, such as a decrease in microhardness, an increase in roughness, and a change in mineral composition, such as the amount of calcium and phosphorus [28- 32]. These changes suggestive of superficial demineralization can even be classified as superficial erosion of the enamel. They </w:t>
      </w:r>
      <w:r w:rsidRPr="17D1E7E1" w:rsidR="0E3712ED">
        <w:rPr>
          <w:rFonts w:ascii="Arial" w:hAnsi="Arial" w:cs="Arial"/>
          <w:lang w:val="en-GB" w:eastAsia="en-GB"/>
        </w:rPr>
        <w:t>can facili</w:t>
      </w:r>
      <w:r w:rsidRPr="17D1E7E1" w:rsidR="0E3712ED">
        <w:rPr>
          <w:rFonts w:ascii="Arial" w:hAnsi="Arial" w:cs="Arial"/>
          <w:lang w:val="en-GB" w:eastAsia="en-GB"/>
        </w:rPr>
        <w:t>tate the passage of sensory stimuli to the dentin and pulp, even after applying the bleaching gel [30, 31].</w:t>
      </w:r>
    </w:p>
    <w:p w:rsidRPr="00FB3A86" w:rsidR="00790ADA" w:rsidP="26B44573" w:rsidRDefault="00790ADA" w14:paraId="25BA1D37" w14:textId="0E4551AA">
      <w:pPr>
        <w:jc w:val="both"/>
        <w:rPr>
          <w:rFonts w:ascii="Arial" w:hAnsi="Arial" w:cs="Arial"/>
          <w:lang w:val="en-GB" w:eastAsia="en-GB"/>
        </w:rPr>
      </w:pPr>
    </w:p>
    <w:p w:rsidRPr="00FB3A86" w:rsidR="00790ADA" w:rsidP="26B44573" w:rsidRDefault="52F57CE4" w14:paraId="59D426E7" w14:textId="08A031CC">
      <w:pPr>
        <w:jc w:val="both"/>
        <w:rPr>
          <w:rFonts w:ascii="Arial" w:hAnsi="Arial" w:cs="Arial"/>
          <w:lang w:val="en-GB" w:eastAsia="en-GB"/>
        </w:rPr>
      </w:pPr>
      <w:r w:rsidRPr="26B44573">
        <w:rPr>
          <w:rFonts w:ascii="Arial" w:hAnsi="Arial" w:cs="Arial"/>
          <w:lang w:val="en-GB" w:eastAsia="en-GB"/>
        </w:rPr>
        <w:t xml:space="preserve">Based on the theory of pulp nociceptor stimulus after the diffusion of the bleaching gel [1, 3, 22 -24], and considering that changes in the enamel surface are likely to occur after exposure of the tooth to hydrogen peroxide [28-32], it can be speculated that Chitosan added to the desensitizing agent contributed to a reduction in the loss of surface mineral tissue, or even influenced the formation of mineral deposits on the enamel. This particularity of Chitosan has already been reported in previous studies. Studying a dentifrice-containing Chitosan, Wu et al. [33] observed greater calcium content on the surface of teeth exposed to demineralization cycles, as did Zhang et al. [34] in a similar study, in which the enamel surface was treated before remineralization with combinations containing Chitosan. </w:t>
      </w:r>
      <w:proofErr w:type="spellStart"/>
      <w:r w:rsidRPr="26B44573">
        <w:rPr>
          <w:rFonts w:ascii="Arial" w:hAnsi="Arial" w:cs="Arial"/>
          <w:lang w:val="en-GB" w:eastAsia="en-GB"/>
        </w:rPr>
        <w:t>Piccelli</w:t>
      </w:r>
      <w:proofErr w:type="spellEnd"/>
      <w:r w:rsidRPr="26B44573">
        <w:rPr>
          <w:rFonts w:ascii="Arial" w:hAnsi="Arial" w:cs="Arial"/>
          <w:lang w:val="en-GB" w:eastAsia="en-GB"/>
        </w:rPr>
        <w:t xml:space="preserve"> et al. [35] found by scanning electron microscopy that after adding Chitosan to the 35% hydrogen peroxide, there was a reduction in the superficial mineral loss without compromising the bleaching activity. Another study [36] used Chitosan-based toothpaste with a home-bleaching technique, and the authors also observed a reduction in changes in enamel surface microhardness and roughness without affecting the effectiveness of treatment. Indeed, the study by Pini et al. [10] showed that the potential of Chitosan is influenced by the different types of Chitosan, depending on the conditions used, such as reduction of mineral tissue loss and formation of precipitates on the enamel. The same was observed by Zhang et al. [37], with results that pointed to superficial mineral deposition in white-spot lesions. Ruan et al. [38] state that in the layer formed by Chitosan, amino groups can also capture hydrogen ions from the active substance of the bleaching gel, preventing its diffusion through the enamel surface. Much evidence attests to the potential of the Chitosan molecule, corroborating the findings of this study.</w:t>
      </w:r>
    </w:p>
    <w:p w:rsidRPr="00FB3A86" w:rsidR="00790ADA" w:rsidP="26B44573" w:rsidRDefault="00790ADA" w14:paraId="6923F5DF" w14:textId="0C8EF869">
      <w:pPr>
        <w:jc w:val="both"/>
        <w:rPr>
          <w:rFonts w:ascii="Arial" w:hAnsi="Arial" w:cs="Arial"/>
          <w:lang w:val="en-GB" w:eastAsia="en-GB"/>
        </w:rPr>
      </w:pPr>
    </w:p>
    <w:p w:rsidRPr="00FB3A86" w:rsidR="00790ADA" w:rsidP="26B44573" w:rsidRDefault="52F57CE4" w14:paraId="50546524" w14:textId="35B99AD8">
      <w:pPr>
        <w:jc w:val="both"/>
        <w:rPr>
          <w:rFonts w:ascii="Arial" w:hAnsi="Arial" w:cs="Arial"/>
          <w:lang w:val="en-GB" w:eastAsia="en-GB"/>
        </w:rPr>
      </w:pPr>
      <w:r w:rsidRPr="17D1E7E1" w:rsidR="64D2E538">
        <w:rPr>
          <w:rFonts w:ascii="Arial" w:hAnsi="Arial" w:cs="Arial"/>
          <w:lang w:val="en-GB" w:eastAsia="en-GB"/>
        </w:rPr>
        <w:t>One of the explanations for the beneficial effects of Chitosan is its positive zeta potential, which makes it highly reactive with negative ions and structures, such as hard dental tissues [9, 18]. The anti-erosive potential of Chitosan is related to its strong interaction with the surface of enamel and dentin, in addition to sal</w:t>
      </w:r>
      <w:r w:rsidRPr="17D1E7E1" w:rsidR="64D2E538">
        <w:rPr>
          <w:rFonts w:ascii="Arial" w:hAnsi="Arial" w:cs="Arial"/>
          <w:lang w:val="en-GB" w:eastAsia="en-GB"/>
        </w:rPr>
        <w:t>iva and f</w:t>
      </w:r>
      <w:r w:rsidRPr="17D1E7E1" w:rsidR="64D2E538">
        <w:rPr>
          <w:rFonts w:ascii="Arial" w:hAnsi="Arial" w:cs="Arial"/>
          <w:lang w:val="en-GB" w:eastAsia="en-GB"/>
        </w:rPr>
        <w:t xml:space="preserve">luoride components, which are important in remineralization. </w:t>
      </w:r>
      <w:r w:rsidRPr="17D1E7E1" w:rsidR="1A171908">
        <w:rPr>
          <w:rFonts w:ascii="Arial" w:hAnsi="Arial" w:cs="Arial"/>
          <w:lang w:val="en-GB" w:eastAsia="en-GB"/>
        </w:rPr>
        <w:t>Thus, multilayers are likely to form within the dental structure, potentially involving interactions between Chitosan, fluoride, and other components of the tooth, which may contribute to the reduction of sensitivity and the enhancement of remineralization</w:t>
      </w:r>
      <w:r w:rsidRPr="17D1E7E1" w:rsidR="64D2E538">
        <w:rPr>
          <w:rFonts w:ascii="Arial" w:hAnsi="Arial" w:cs="Arial"/>
          <w:lang w:val="en-GB" w:eastAsia="en-GB"/>
        </w:rPr>
        <w:t xml:space="preserve"> [7, 9, 11, 12, 14, 15, 17]. Therefore, it is possible to infer from the results of the present study that there was some interaction between Chitosan and fluoride, culminating in possible </w:t>
      </w:r>
      <w:r w:rsidRPr="17D1E7E1" w:rsidR="64D2E538">
        <w:rPr>
          <w:rFonts w:ascii="Arial" w:hAnsi="Arial" w:cs="Arial"/>
          <w:lang w:val="en-GB" w:eastAsia="en-GB"/>
        </w:rPr>
        <w:t>superficial remineralization and decreased sensitivity at specific treatment times. Ahmed et al. [39] noted in a previous study that Chitosan has aroused great research interest due to the possibility of it being used as a carrier molecule for other active substances, in addition to its other properties and inhere</w:t>
      </w:r>
      <w:r w:rsidRPr="17D1E7E1" w:rsidR="64D2E538">
        <w:rPr>
          <w:rFonts w:ascii="Arial" w:hAnsi="Arial" w:cs="Arial"/>
          <w:lang w:val="en-GB" w:eastAsia="en-GB"/>
        </w:rPr>
        <w:t>nt charact</w:t>
      </w:r>
      <w:r w:rsidRPr="17D1E7E1" w:rsidR="64D2E538">
        <w:rPr>
          <w:rFonts w:ascii="Arial" w:hAnsi="Arial" w:cs="Arial"/>
          <w:lang w:val="en-GB" w:eastAsia="en-GB"/>
        </w:rPr>
        <w:t>eristics already mentioned.</w:t>
      </w:r>
    </w:p>
    <w:p w:rsidRPr="00FB3A86" w:rsidR="00790ADA" w:rsidP="26B44573" w:rsidRDefault="00790ADA" w14:paraId="0C96029A" w14:textId="0B28A6D4">
      <w:pPr>
        <w:jc w:val="both"/>
        <w:rPr>
          <w:rFonts w:ascii="Arial" w:hAnsi="Arial" w:cs="Arial"/>
          <w:lang w:val="en-GB" w:eastAsia="en-GB"/>
        </w:rPr>
      </w:pPr>
    </w:p>
    <w:p w:rsidRPr="00FB3A86" w:rsidR="00790ADA" w:rsidP="26B44573" w:rsidRDefault="52F57CE4" w14:paraId="664BCDBC" w14:textId="5D769D1E">
      <w:pPr>
        <w:jc w:val="both"/>
        <w:rPr>
          <w:rFonts w:ascii="Arial" w:hAnsi="Arial" w:cs="Arial"/>
          <w:lang w:val="en-GB" w:eastAsia="en-GB"/>
        </w:rPr>
      </w:pPr>
      <w:r w:rsidRPr="17D1E7E1" w:rsidR="64D2E538">
        <w:rPr>
          <w:rFonts w:ascii="Arial" w:hAnsi="Arial" w:cs="Arial"/>
          <w:lang w:val="en-GB" w:eastAsia="en-GB"/>
        </w:rPr>
        <w:t xml:space="preserve">When Chitosan molecules are transformed into microparticles, they become more chemically stable, presenting a larger active surface area, greater </w:t>
      </w:r>
      <w:r w:rsidRPr="17D1E7E1" w:rsidR="64D2E538">
        <w:rPr>
          <w:rFonts w:ascii="Arial" w:hAnsi="Arial" w:cs="Arial"/>
          <w:lang w:val="en-GB" w:eastAsia="en-GB"/>
        </w:rPr>
        <w:t>diffusibility</w:t>
      </w:r>
      <w:r w:rsidRPr="17D1E7E1" w:rsidR="64D2E538">
        <w:rPr>
          <w:rFonts w:ascii="Arial" w:hAnsi="Arial" w:cs="Arial"/>
          <w:lang w:val="en-GB" w:eastAsia="en-GB"/>
        </w:rPr>
        <w:t xml:space="preserve">, and, therefore, a greater </w:t>
      </w:r>
      <w:r w:rsidRPr="17D1E7E1" w:rsidR="64D2E538">
        <w:rPr>
          <w:rFonts w:ascii="Arial" w:hAnsi="Arial" w:cs="Arial"/>
          <w:lang w:val="en-GB" w:eastAsia="en-GB"/>
        </w:rPr>
        <w:t>capacity</w:t>
      </w:r>
      <w:r w:rsidRPr="17D1E7E1" w:rsidR="64D2E538">
        <w:rPr>
          <w:rFonts w:ascii="Arial" w:hAnsi="Arial" w:cs="Arial"/>
          <w:lang w:val="en-GB" w:eastAsia="en-GB"/>
        </w:rPr>
        <w:t xml:space="preserve"> and speed of adsorption to other components [40</w:t>
      </w:r>
      <w:r w:rsidRPr="17D1E7E1" w:rsidR="726BF9E8">
        <w:rPr>
          <w:rFonts w:ascii="Arial" w:hAnsi="Arial" w:cs="Arial"/>
          <w:lang w:val="en-GB" w:eastAsia="en-GB"/>
        </w:rPr>
        <w:t>, 41</w:t>
      </w:r>
      <w:r w:rsidRPr="17D1E7E1" w:rsidR="64D2E538">
        <w:rPr>
          <w:rFonts w:ascii="Arial" w:hAnsi="Arial" w:cs="Arial"/>
          <w:lang w:val="en-GB" w:eastAsia="en-GB"/>
        </w:rPr>
        <w:t>]. Moreover, the clinical findings in the present study corroborate with the literature, as the Chitosan particles added to the desensitizing gel were micro sized. Because of the excellent res</w:t>
      </w:r>
      <w:r w:rsidRPr="17D1E7E1" w:rsidR="64D2E538">
        <w:rPr>
          <w:rFonts w:ascii="Arial" w:hAnsi="Arial" w:cs="Arial"/>
          <w:lang w:val="en-GB" w:eastAsia="en-GB"/>
        </w:rPr>
        <w:t>ults of the us</w:t>
      </w:r>
      <w:r w:rsidRPr="17D1E7E1" w:rsidR="64D2E538">
        <w:rPr>
          <w:rFonts w:ascii="Arial" w:hAnsi="Arial" w:cs="Arial"/>
          <w:lang w:val="en-GB" w:eastAsia="en-GB"/>
        </w:rPr>
        <w:t>e of Chitosan in the reduction of tooth sensitivity when compared to conventional treatments,</w:t>
      </w:r>
      <w:r w:rsidRPr="17D1E7E1" w:rsidR="64D2E538">
        <w:rPr>
          <w:rFonts w:ascii="Arial" w:hAnsi="Arial" w:cs="Arial"/>
          <w:lang w:val="en-GB" w:eastAsia="en-GB"/>
        </w:rPr>
        <w:t xml:space="preserve"> and g</w:t>
      </w:r>
      <w:r w:rsidRPr="17D1E7E1" w:rsidR="64D2E538">
        <w:rPr>
          <w:rFonts w:ascii="Arial" w:hAnsi="Arial" w:cs="Arial"/>
          <w:lang w:val="en-GB" w:eastAsia="en-GB"/>
        </w:rPr>
        <w:t>iven the scarcity of research and publications on the subject, it is clear that more studies are needed to understand it in a more complex way the role of Chitosan in a reduction in tooth sensitivity reported during bleaching, such as understanding the interaction of Chitosan with fluoride ions, and the mechanisms in the formation of a protective layer over enamel that could potentially capture ions present in the bleaching gel.</w:t>
      </w:r>
      <w:r w:rsidRPr="17D1E7E1" w:rsidR="7E41AA0E">
        <w:rPr>
          <w:rFonts w:ascii="Arial" w:hAnsi="Arial" w:cs="Arial"/>
          <w:lang w:val="en-GB" w:eastAsia="en-GB"/>
        </w:rPr>
        <w:t xml:space="preserve"> However, the study's limitations include the lack of long-term follow-up data and the need for further exploration of the exact biochemical interactions of Chitosan with other components in the desensitizing agent.</w:t>
      </w:r>
    </w:p>
    <w:p w:rsidRPr="00FB3A86" w:rsidR="00790ADA" w:rsidP="26B44573" w:rsidRDefault="00790ADA" w14:paraId="637805D2" w14:textId="1958F49F">
      <w:pPr>
        <w:pStyle w:val="Body"/>
        <w:spacing w:after="0"/>
        <w:rPr>
          <w:rFonts w:ascii="Arial" w:hAnsi="Arial" w:cs="Arial"/>
          <w:lang w:val="en-GB" w:eastAsia="en-GB"/>
        </w:rPr>
      </w:pPr>
    </w:p>
    <w:p w:rsidR="00B01FCD" w:rsidP="00441B6F" w:rsidRDefault="00000F8F" w14:paraId="584F9CB5" w14:textId="77777777">
      <w:pPr>
        <w:pStyle w:val="ConcHead"/>
        <w:spacing w:after="0"/>
        <w:jc w:val="both"/>
        <w:rPr>
          <w:rFonts w:ascii="Arial" w:hAnsi="Arial" w:cs="Arial"/>
        </w:rPr>
      </w:pPr>
      <w:r>
        <w:rPr>
          <w:rFonts w:ascii="Arial" w:hAnsi="Arial" w:cs="Arial"/>
        </w:rPr>
        <w:t xml:space="preserve">4. </w:t>
      </w:r>
      <w:r w:rsidRPr="00FB3A86" w:rsidR="00B01FCD">
        <w:rPr>
          <w:rFonts w:ascii="Arial" w:hAnsi="Arial" w:cs="Arial"/>
        </w:rPr>
        <w:t>Conclusion</w:t>
      </w:r>
    </w:p>
    <w:p w:rsidRPr="00FB3A86" w:rsidR="00790ADA" w:rsidP="00441B6F" w:rsidRDefault="00790ADA" w14:paraId="463F29E8" w14:textId="77777777">
      <w:pPr>
        <w:pStyle w:val="ConcHead"/>
        <w:spacing w:after="0"/>
        <w:jc w:val="both"/>
        <w:rPr>
          <w:rFonts w:ascii="Arial" w:hAnsi="Arial" w:cs="Arial"/>
        </w:rPr>
      </w:pPr>
    </w:p>
    <w:p w:rsidR="00371FB6" w:rsidP="26B44573" w:rsidRDefault="3BD458A3" w14:paraId="66204FF1" w14:textId="4A82C7A4">
      <w:pPr>
        <w:pStyle w:val="Body"/>
        <w:spacing w:after="0" w:line="259" w:lineRule="auto"/>
        <w:rPr>
          <w:rFonts w:ascii="Arial" w:hAnsi="Arial" w:cs="Arial"/>
        </w:rPr>
      </w:pPr>
      <w:r w:rsidRPr="17D1E7E1" w:rsidR="41C85F4E">
        <w:rPr>
          <w:rFonts w:ascii="Arial" w:hAnsi="Arial" w:cs="Arial"/>
        </w:rPr>
        <w:t xml:space="preserve">Based on the results of this study, it can be concluded that the </w:t>
      </w:r>
      <w:r w:rsidRPr="17D1E7E1" w:rsidR="41C85F4E">
        <w:rPr>
          <w:rFonts w:ascii="Arial" w:hAnsi="Arial" w:cs="Arial"/>
        </w:rPr>
        <w:t>remineralizing</w:t>
      </w:r>
      <w:r w:rsidRPr="17D1E7E1" w:rsidR="41C85F4E">
        <w:rPr>
          <w:rFonts w:ascii="Arial" w:hAnsi="Arial" w:cs="Arial"/>
        </w:rPr>
        <w:t xml:space="preserve"> action of Ch</w:t>
      </w:r>
      <w:r w:rsidRPr="17D1E7E1" w:rsidR="41C85F4E">
        <w:rPr>
          <w:rFonts w:ascii="Arial" w:hAnsi="Arial" w:cs="Arial"/>
        </w:rPr>
        <w:t>itosan decrea</w:t>
      </w:r>
      <w:r w:rsidRPr="17D1E7E1" w:rsidR="41C85F4E">
        <w:rPr>
          <w:rFonts w:ascii="Arial" w:hAnsi="Arial" w:cs="Arial"/>
        </w:rPr>
        <w:t>ses sensitivity during and after tooth whitening and adding Chitosan to the desensitizer does not interfere with the bleaching effectiveness.</w:t>
      </w:r>
    </w:p>
    <w:p w:rsidR="17D1E7E1" w:rsidP="17D1E7E1" w:rsidRDefault="17D1E7E1" w14:paraId="25C8A0AC" w14:textId="2A0391CC">
      <w:pPr>
        <w:pStyle w:val="Body"/>
        <w:spacing w:after="0" w:line="259" w:lineRule="auto"/>
        <w:rPr>
          <w:rFonts w:ascii="Arial" w:hAnsi="Arial" w:cs="Arial"/>
        </w:rPr>
      </w:pPr>
    </w:p>
    <w:p w:rsidR="17D1E7E1" w:rsidP="17D1E7E1" w:rsidRDefault="17D1E7E1" w14:paraId="2D43CAE1" w14:textId="41DD3404">
      <w:pPr>
        <w:pStyle w:val="Body"/>
        <w:spacing w:after="0" w:line="259" w:lineRule="auto"/>
        <w:rPr>
          <w:rFonts w:ascii="Arial" w:hAnsi="Arial" w:cs="Arial"/>
        </w:rPr>
      </w:pPr>
    </w:p>
    <w:p w:rsidR="0B2A69AE" w:rsidP="17D1E7E1" w:rsidRDefault="0B2A69AE" w14:paraId="269EFF1A" w14:textId="172DEF06">
      <w:pPr>
        <w:pStyle w:val="ConcHead"/>
        <w:suppressLineNumbers w:val="0"/>
        <w:bidi w:val="0"/>
        <w:spacing w:before="0" w:beforeAutospacing="off" w:after="0" w:afterAutospacing="off" w:line="259" w:lineRule="auto"/>
        <w:ind w:left="0" w:right="0"/>
        <w:jc w:val="both"/>
      </w:pPr>
      <w:r w:rsidRPr="17D1E7E1" w:rsidR="0B2A69AE">
        <w:rPr>
          <w:rFonts w:ascii="Arial" w:hAnsi="Arial" w:cs="Arial"/>
        </w:rPr>
        <w:t>DISCLAIMER (ARTIFICAL INTELIGENCE)</w:t>
      </w:r>
    </w:p>
    <w:p w:rsidR="17D1E7E1" w:rsidP="17D1E7E1" w:rsidRDefault="17D1E7E1" w14:paraId="6CB68D45" w14:textId="509F4634">
      <w:pPr>
        <w:pStyle w:val="Body"/>
        <w:suppressLineNumbers w:val="0"/>
        <w:bidi w:val="0"/>
        <w:spacing w:before="0" w:beforeAutospacing="off" w:after="0" w:afterAutospacing="off" w:line="259" w:lineRule="auto"/>
        <w:ind w:left="0" w:right="0"/>
        <w:jc w:val="both"/>
        <w:rPr>
          <w:rFonts w:ascii="Arial" w:hAnsi="Arial" w:cs="Arial"/>
        </w:rPr>
      </w:pPr>
    </w:p>
    <w:p w:rsidRPr="009C5487" w:rsidR="009B45A6" w:rsidP="17D1E7E1" w:rsidRDefault="009B45A6" w14:paraId="6FD0617A" w14:textId="3A3B8650">
      <w:pPr>
        <w:pStyle w:val="Normal"/>
        <w:spacing w:after="0" w:line="259" w:lineRule="auto"/>
        <w:jc w:val="both"/>
        <w:rPr>
          <w:rFonts w:ascii="Arial" w:hAnsi="Arial" w:eastAsia="Arial" w:cs="Arial"/>
          <w:kern w:val="2"/>
        </w:rPr>
      </w:pPr>
      <w:bookmarkStart w:name="_Hlk180402183" w:id="0"/>
      <w:bookmarkStart w:name="_Hlk183680988" w:id="1"/>
      <w:r w:rsidRPr="17D1E7E1" w:rsidR="18541C02">
        <w:rPr>
          <w:rFonts w:ascii="Arial" w:hAnsi="Arial" w:eastAsia="Arial" w:cs="Arial"/>
          <w:kern w:val="2"/>
        </w:rPr>
        <w:t xml:space="preserve">Author(s) hereby </w:t>
      </w:r>
      <w:r w:rsidRPr="17D1E7E1" w:rsidR="18541C02">
        <w:rPr>
          <w:rFonts w:ascii="Arial" w:hAnsi="Arial" w:eastAsia="Arial" w:cs="Arial"/>
          <w:kern w:val="2"/>
        </w:rPr>
        <w:t>declare</w:t>
      </w:r>
      <w:r w:rsidRPr="17D1E7E1" w:rsidR="18541C02">
        <w:rPr>
          <w:rFonts w:ascii="Arial" w:hAnsi="Arial" w:eastAsia="Arial" w:cs="Arial"/>
          <w:kern w:val="2"/>
        </w:rPr>
        <w:t xml:space="preserve"> that NO generative AI technologies such as Large Language Models (</w:t>
      </w:r>
      <w:proofErr w:type="spellStart"/>
      <w:r w:rsidRPr="17D1E7E1" w:rsidR="18541C02">
        <w:rPr>
          <w:rFonts w:ascii="Arial" w:hAnsi="Arial" w:eastAsia="Arial" w:cs="Arial"/>
          <w:kern w:val="2"/>
        </w:rPr>
        <w:t>ChatGPT</w:t>
      </w:r>
      <w:proofErr w:type="spellEnd"/>
      <w:r w:rsidRPr="17D1E7E1" w:rsidR="18541C02">
        <w:rPr>
          <w:rFonts w:ascii="Arial" w:hAnsi="Arial" w:eastAsia="Arial" w:cs="Arial"/>
          <w:kern w:val="2"/>
        </w:rPr>
        <w:t xml:space="preserve">, COPILOT, etc.) and text-to-image generators have been used during the writing or editing of this manuscript. </w:t>
      </w:r>
    </w:p>
    <w:bookmarkEnd w:id="0"/>
    <w:bookmarkEnd w:id="1"/>
    <w:p w:rsidR="00860000" w:rsidP="00441B6F" w:rsidRDefault="00860000" w14:paraId="34FF1C98" w14:textId="77777777">
      <w:pPr>
        <w:pStyle w:val="ReferHead"/>
        <w:spacing w:after="0"/>
        <w:jc w:val="both"/>
        <w:rPr>
          <w:rFonts w:ascii="Arial" w:hAnsi="Arial" w:cs="Arial"/>
        </w:rPr>
      </w:pPr>
    </w:p>
    <w:p w:rsidR="00B01FCD" w:rsidP="00441B6F" w:rsidRDefault="00B01FCD" w14:paraId="071E4E01" w14:textId="77777777">
      <w:pPr>
        <w:pStyle w:val="ReferHead"/>
        <w:spacing w:after="0"/>
        <w:jc w:val="both"/>
        <w:rPr>
          <w:rFonts w:ascii="Arial" w:hAnsi="Arial" w:cs="Arial"/>
        </w:rPr>
      </w:pPr>
      <w:r w:rsidRPr="00FB3A86">
        <w:rPr>
          <w:rFonts w:ascii="Arial" w:hAnsi="Arial" w:cs="Arial"/>
        </w:rPr>
        <w:t>References</w:t>
      </w:r>
    </w:p>
    <w:p w:rsidR="00790ADA" w:rsidP="26B44573" w:rsidRDefault="00790ADA" w14:paraId="0F3CABC7" w14:textId="58FE5620">
      <w:pPr>
        <w:pStyle w:val="Body"/>
        <w:spacing w:after="0"/>
        <w:rPr>
          <w:rFonts w:ascii="Arial" w:hAnsi="Arial" w:cs="Arial"/>
        </w:rPr>
      </w:pPr>
    </w:p>
    <w:p w:rsidR="166DE5D7" w:rsidP="26B44573" w:rsidRDefault="166DE5D7" w14:paraId="5FC55A47" w14:textId="113AED22">
      <w:pPr>
        <w:pStyle w:val="Body"/>
        <w:spacing w:after="0"/>
        <w:rPr>
          <w:rFonts w:ascii="Arial" w:hAnsi="Arial" w:cs="Arial"/>
        </w:rPr>
      </w:pPr>
      <w:r w:rsidRPr="26B44573">
        <w:rPr>
          <w:rFonts w:ascii="Arial" w:hAnsi="Arial" w:cs="Arial"/>
        </w:rPr>
        <w:t xml:space="preserve">Barbosa, L. M. M., </w:t>
      </w:r>
      <w:proofErr w:type="spellStart"/>
      <w:r w:rsidRPr="26B44573">
        <w:rPr>
          <w:rFonts w:ascii="Arial" w:hAnsi="Arial" w:cs="Arial"/>
        </w:rPr>
        <w:t>Amâncio</w:t>
      </w:r>
      <w:proofErr w:type="spellEnd"/>
      <w:r w:rsidRPr="26B44573">
        <w:rPr>
          <w:rFonts w:ascii="Arial" w:hAnsi="Arial" w:cs="Arial"/>
        </w:rPr>
        <w:t xml:space="preserve"> </w:t>
      </w:r>
      <w:proofErr w:type="spellStart"/>
      <w:r w:rsidRPr="26B44573">
        <w:rPr>
          <w:rFonts w:ascii="Arial" w:hAnsi="Arial" w:cs="Arial"/>
        </w:rPr>
        <w:t>Filha</w:t>
      </w:r>
      <w:proofErr w:type="spellEnd"/>
      <w:r w:rsidRPr="26B44573">
        <w:rPr>
          <w:rFonts w:ascii="Arial" w:hAnsi="Arial" w:cs="Arial"/>
        </w:rPr>
        <w:t>, M. B. G., Leite, J. V. C., Santos, J. V. D. N., De Medeiros, J. M., De Oliveira, I. L. M., et al. (2024). Over-the-counter products in tooth bleaching: A scoping review. Journal of Dentistry, 145, 104989. https://doi.org/10.1016/j.jdent.2024.104989</w:t>
      </w:r>
    </w:p>
    <w:p w:rsidR="26B44573" w:rsidP="26B44573" w:rsidRDefault="26B44573" w14:paraId="66E653A2" w14:textId="26CB5365">
      <w:pPr>
        <w:pStyle w:val="Body"/>
        <w:spacing w:after="0"/>
        <w:rPr>
          <w:rFonts w:ascii="Arial" w:hAnsi="Arial" w:cs="Arial"/>
        </w:rPr>
      </w:pPr>
    </w:p>
    <w:p w:rsidR="166DE5D7" w:rsidP="26B44573" w:rsidRDefault="166DE5D7" w14:paraId="0155DBBF" w14:textId="61D8EEF0">
      <w:pPr>
        <w:pStyle w:val="Body"/>
        <w:spacing w:after="0"/>
        <w:rPr>
          <w:rFonts w:ascii="Arial" w:hAnsi="Arial" w:cs="Arial"/>
        </w:rPr>
      </w:pPr>
      <w:proofErr w:type="spellStart"/>
      <w:r w:rsidRPr="26B44573">
        <w:rPr>
          <w:rFonts w:ascii="Arial" w:hAnsi="Arial" w:cs="Arial"/>
        </w:rPr>
        <w:t>Piknjač</w:t>
      </w:r>
      <w:proofErr w:type="spellEnd"/>
      <w:r w:rsidRPr="26B44573">
        <w:rPr>
          <w:rFonts w:ascii="Arial" w:hAnsi="Arial" w:cs="Arial"/>
        </w:rPr>
        <w:t xml:space="preserve">, A., Soldo, M., </w:t>
      </w:r>
      <w:proofErr w:type="spellStart"/>
      <w:r w:rsidRPr="26B44573">
        <w:rPr>
          <w:rFonts w:ascii="Arial" w:hAnsi="Arial" w:cs="Arial"/>
        </w:rPr>
        <w:t>Illeš</w:t>
      </w:r>
      <w:proofErr w:type="spellEnd"/>
      <w:r w:rsidRPr="26B44573">
        <w:rPr>
          <w:rFonts w:ascii="Arial" w:hAnsi="Arial" w:cs="Arial"/>
        </w:rPr>
        <w:t xml:space="preserve">, D., &amp; </w:t>
      </w:r>
      <w:proofErr w:type="spellStart"/>
      <w:r w:rsidRPr="26B44573">
        <w:rPr>
          <w:rFonts w:ascii="Arial" w:hAnsi="Arial" w:cs="Arial"/>
        </w:rPr>
        <w:t>Zlatarić</w:t>
      </w:r>
      <w:proofErr w:type="spellEnd"/>
      <w:r w:rsidRPr="26B44573">
        <w:rPr>
          <w:rFonts w:ascii="Arial" w:hAnsi="Arial" w:cs="Arial"/>
        </w:rPr>
        <w:t xml:space="preserve">, K. (2021). Patients’ assessments of tooth sensitivity increase one day following different whitening treatments. Acta </w:t>
      </w:r>
      <w:proofErr w:type="spellStart"/>
      <w:r w:rsidRPr="26B44573">
        <w:rPr>
          <w:rFonts w:ascii="Arial" w:hAnsi="Arial" w:cs="Arial"/>
        </w:rPr>
        <w:t>Stomatologica</w:t>
      </w:r>
      <w:proofErr w:type="spellEnd"/>
      <w:r w:rsidRPr="26B44573">
        <w:rPr>
          <w:rFonts w:ascii="Arial" w:hAnsi="Arial" w:cs="Arial"/>
        </w:rPr>
        <w:t xml:space="preserve"> </w:t>
      </w:r>
      <w:proofErr w:type="spellStart"/>
      <w:r w:rsidRPr="26B44573">
        <w:rPr>
          <w:rFonts w:ascii="Arial" w:hAnsi="Arial" w:cs="Arial"/>
        </w:rPr>
        <w:t>Croatica</w:t>
      </w:r>
      <w:proofErr w:type="spellEnd"/>
      <w:r w:rsidRPr="26B44573">
        <w:rPr>
          <w:rFonts w:ascii="Arial" w:hAnsi="Arial" w:cs="Arial"/>
        </w:rPr>
        <w:t>, 55, 280–290. https://doi.org/10.15644/asc55/3/5</w:t>
      </w:r>
    </w:p>
    <w:p w:rsidR="26B44573" w:rsidP="26B44573" w:rsidRDefault="26B44573" w14:paraId="0A938392" w14:textId="5D19510A">
      <w:pPr>
        <w:pStyle w:val="Body"/>
        <w:spacing w:after="0"/>
        <w:rPr>
          <w:rFonts w:ascii="Arial" w:hAnsi="Arial" w:cs="Arial"/>
        </w:rPr>
      </w:pPr>
    </w:p>
    <w:p w:rsidR="166DE5D7" w:rsidP="26B44573" w:rsidRDefault="166DE5D7" w14:paraId="5B56C9DA" w14:textId="06681D7F">
      <w:pPr>
        <w:pStyle w:val="Body"/>
        <w:spacing w:after="0"/>
        <w:rPr>
          <w:rFonts w:ascii="Arial" w:hAnsi="Arial" w:cs="Arial"/>
        </w:rPr>
      </w:pPr>
      <w:r w:rsidRPr="26B44573">
        <w:rPr>
          <w:rFonts w:ascii="Arial" w:hAnsi="Arial" w:cs="Arial"/>
        </w:rPr>
        <w:lastRenderedPageBreak/>
        <w:t xml:space="preserve">Martins, L., Souza, L., </w:t>
      </w:r>
      <w:proofErr w:type="spellStart"/>
      <w:r w:rsidRPr="26B44573">
        <w:rPr>
          <w:rFonts w:ascii="Arial" w:hAnsi="Arial" w:cs="Arial"/>
        </w:rPr>
        <w:t>Sutil</w:t>
      </w:r>
      <w:proofErr w:type="spellEnd"/>
      <w:r w:rsidRPr="26B44573">
        <w:rPr>
          <w:rFonts w:ascii="Arial" w:hAnsi="Arial" w:cs="Arial"/>
        </w:rPr>
        <w:t>, E., Da Silva, L., Silva, J., Reis, A., et al. (2020). Clinical effects of desensitizing prefilled disposable trays in in-office bleaching: A randomized single-blind clinical trial. Operative Dentistry, 45(1), E1–E10. https://doi.org/10.2341/18-149-C</w:t>
      </w:r>
    </w:p>
    <w:p w:rsidR="26B44573" w:rsidP="26B44573" w:rsidRDefault="26B44573" w14:paraId="5B5FB1FB" w14:textId="6F2A0BE6">
      <w:pPr>
        <w:pStyle w:val="Body"/>
        <w:spacing w:after="0"/>
        <w:rPr>
          <w:rFonts w:ascii="Arial" w:hAnsi="Arial" w:cs="Arial"/>
        </w:rPr>
      </w:pPr>
    </w:p>
    <w:p w:rsidR="166DE5D7" w:rsidP="26B44573" w:rsidRDefault="166DE5D7" w14:paraId="3DE8A5CD" w14:textId="3B5C2D78">
      <w:pPr>
        <w:pStyle w:val="Body"/>
        <w:spacing w:after="0"/>
        <w:rPr>
          <w:rFonts w:ascii="Arial" w:hAnsi="Arial" w:cs="Arial"/>
        </w:rPr>
      </w:pPr>
      <w:proofErr w:type="spellStart"/>
      <w:r w:rsidRPr="26B44573">
        <w:rPr>
          <w:rFonts w:ascii="Arial" w:hAnsi="Arial" w:cs="Arial"/>
        </w:rPr>
        <w:t>Pierote</w:t>
      </w:r>
      <w:proofErr w:type="spellEnd"/>
      <w:r w:rsidRPr="26B44573">
        <w:rPr>
          <w:rFonts w:ascii="Arial" w:hAnsi="Arial" w:cs="Arial"/>
        </w:rPr>
        <w:t>, J., Prieto, L., Dias, C., Câmara, J., Lima, D., Aguiar, F., et al. (2020). Effects of desensitizing products on the reduction of pain sensitivity caused by in-office tooth bleaching: A 24-week follow-up. Journal of Applied Oral Science, 28. https://doi.org/10.1590/1678-7757-2019-0755</w:t>
      </w:r>
    </w:p>
    <w:p w:rsidR="26B44573" w:rsidP="26B44573" w:rsidRDefault="26B44573" w14:paraId="4576F60A" w14:textId="359291F8">
      <w:pPr>
        <w:pStyle w:val="Body"/>
        <w:spacing w:after="0"/>
        <w:rPr>
          <w:rFonts w:ascii="Arial" w:hAnsi="Arial" w:cs="Arial"/>
        </w:rPr>
      </w:pPr>
    </w:p>
    <w:p w:rsidR="166DE5D7" w:rsidP="26B44573" w:rsidRDefault="166DE5D7" w14:paraId="1FA34837" w14:textId="23E79D96">
      <w:pPr>
        <w:pStyle w:val="Body"/>
        <w:spacing w:after="0"/>
        <w:rPr>
          <w:rFonts w:ascii="Arial" w:hAnsi="Arial" w:cs="Arial"/>
        </w:rPr>
      </w:pPr>
      <w:r w:rsidRPr="26B44573">
        <w:rPr>
          <w:rFonts w:ascii="Arial" w:hAnsi="Arial" w:cs="Arial"/>
        </w:rPr>
        <w:t xml:space="preserve">Pereira-Lores, P., De La Peña, A., Gancedo-Gancedo, T., </w:t>
      </w:r>
      <w:proofErr w:type="spellStart"/>
      <w:r w:rsidRPr="26B44573">
        <w:rPr>
          <w:rFonts w:ascii="Arial" w:hAnsi="Arial" w:cs="Arial"/>
        </w:rPr>
        <w:t>Villasenín</w:t>
      </w:r>
      <w:proofErr w:type="spellEnd"/>
      <w:r w:rsidRPr="26B44573">
        <w:rPr>
          <w:rFonts w:ascii="Arial" w:hAnsi="Arial" w:cs="Arial"/>
        </w:rPr>
        <w:t>-Sánchez, C., Bello-Castro, A., Martín-</w:t>
      </w:r>
      <w:proofErr w:type="spellStart"/>
      <w:r w:rsidRPr="26B44573">
        <w:rPr>
          <w:rFonts w:ascii="Arial" w:hAnsi="Arial" w:cs="Arial"/>
        </w:rPr>
        <w:t>Biedma</w:t>
      </w:r>
      <w:proofErr w:type="spellEnd"/>
      <w:r w:rsidRPr="26B44573">
        <w:rPr>
          <w:rFonts w:ascii="Arial" w:hAnsi="Arial" w:cs="Arial"/>
        </w:rPr>
        <w:t>, B., et al. (2024). A triple-blind randomized clinical trial comparing the efficacy of a desensitizing agent used with an at-home bleaching technique. Journal of Evidence-Based Dental Practice. https://doi.org/10.1016/j.jebdp.2024.102079</w:t>
      </w:r>
    </w:p>
    <w:p w:rsidR="26B44573" w:rsidP="26B44573" w:rsidRDefault="26B44573" w14:paraId="0E73C4F7" w14:textId="20B89EA9">
      <w:pPr>
        <w:pStyle w:val="Body"/>
        <w:spacing w:after="0"/>
        <w:rPr>
          <w:rFonts w:ascii="Arial" w:hAnsi="Arial" w:cs="Arial"/>
        </w:rPr>
      </w:pPr>
    </w:p>
    <w:p w:rsidR="166DE5D7" w:rsidP="26B44573" w:rsidRDefault="166DE5D7" w14:paraId="04278C62" w14:textId="57D79528">
      <w:pPr>
        <w:pStyle w:val="Body"/>
        <w:spacing w:after="0"/>
        <w:rPr>
          <w:rFonts w:ascii="Arial" w:hAnsi="Arial" w:cs="Arial"/>
        </w:rPr>
      </w:pPr>
      <w:r w:rsidRPr="26B44573">
        <w:rPr>
          <w:rFonts w:ascii="Arial" w:hAnsi="Arial" w:cs="Arial"/>
        </w:rPr>
        <w:t xml:space="preserve">Kumar, N., Naik, S., Priya, C., </w:t>
      </w:r>
      <w:proofErr w:type="spellStart"/>
      <w:r w:rsidRPr="26B44573">
        <w:rPr>
          <w:rFonts w:ascii="Arial" w:hAnsi="Arial" w:cs="Arial"/>
        </w:rPr>
        <w:t>Merwade</w:t>
      </w:r>
      <w:proofErr w:type="spellEnd"/>
      <w:r w:rsidRPr="26B44573">
        <w:rPr>
          <w:rFonts w:ascii="Arial" w:hAnsi="Arial" w:cs="Arial"/>
        </w:rPr>
        <w:t xml:space="preserve">, S., Brigit, B., Guruprasad, C., et al. (2024). Evaluation of the </w:t>
      </w:r>
      <w:proofErr w:type="spellStart"/>
      <w:r w:rsidRPr="26B44573">
        <w:rPr>
          <w:rFonts w:ascii="Arial" w:hAnsi="Arial" w:cs="Arial"/>
        </w:rPr>
        <w:t>remineralizing</w:t>
      </w:r>
      <w:proofErr w:type="spellEnd"/>
      <w:r w:rsidRPr="26B44573">
        <w:rPr>
          <w:rFonts w:ascii="Arial" w:hAnsi="Arial" w:cs="Arial"/>
        </w:rPr>
        <w:t xml:space="preserve"> potential of Nigella sativa, sodium fluoride and casein </w:t>
      </w:r>
      <w:proofErr w:type="spellStart"/>
      <w:r w:rsidRPr="26B44573">
        <w:rPr>
          <w:rFonts w:ascii="Arial" w:hAnsi="Arial" w:cs="Arial"/>
        </w:rPr>
        <w:t>phosphopeptide</w:t>
      </w:r>
      <w:proofErr w:type="spellEnd"/>
      <w:r w:rsidRPr="26B44573">
        <w:rPr>
          <w:rFonts w:ascii="Arial" w:hAnsi="Arial" w:cs="Arial"/>
        </w:rPr>
        <w:t>-amorphous calcium phosphate</w:t>
      </w:r>
      <w:r w:rsidRPr="26B44573" w:rsidR="10AC16B3">
        <w:rPr>
          <w:rFonts w:ascii="Arial" w:hAnsi="Arial" w:cs="Arial"/>
        </w:rPr>
        <w:t xml:space="preserve"> on enamel: An in vitro study. Journal of Indian Association Public Health in Dentistry. https://doi.org/10.4103/jiaphd.jiaphd_130_20.</w:t>
      </w:r>
    </w:p>
    <w:p w:rsidR="26B44573" w:rsidP="26B44573" w:rsidRDefault="26B44573" w14:paraId="08F9F52A" w14:textId="17068C73">
      <w:pPr>
        <w:pStyle w:val="Body"/>
        <w:spacing w:after="0"/>
        <w:rPr>
          <w:rFonts w:ascii="Arial" w:hAnsi="Arial" w:cs="Arial"/>
          <w:b/>
          <w:bCs/>
        </w:rPr>
      </w:pPr>
    </w:p>
    <w:p w:rsidR="0B536D58" w:rsidP="26B44573" w:rsidRDefault="0B536D58" w14:paraId="265A1C70" w14:textId="65BBAB92">
      <w:pPr>
        <w:pStyle w:val="Body"/>
        <w:spacing w:after="0"/>
        <w:rPr>
          <w:rFonts w:ascii="Arial" w:hAnsi="Arial" w:cs="Arial"/>
        </w:rPr>
      </w:pPr>
      <w:r w:rsidRPr="26B44573">
        <w:rPr>
          <w:rFonts w:ascii="Arial" w:hAnsi="Arial" w:cs="Arial"/>
        </w:rPr>
        <w:t xml:space="preserve">Luka, B., </w:t>
      </w:r>
      <w:proofErr w:type="spellStart"/>
      <w:r w:rsidRPr="26B44573">
        <w:rPr>
          <w:rFonts w:ascii="Arial" w:hAnsi="Arial" w:cs="Arial"/>
        </w:rPr>
        <w:t>Arbter</w:t>
      </w:r>
      <w:proofErr w:type="spellEnd"/>
      <w:r w:rsidRPr="26B44573">
        <w:rPr>
          <w:rFonts w:ascii="Arial" w:hAnsi="Arial" w:cs="Arial"/>
        </w:rPr>
        <w:t xml:space="preserve">, V., Sander, K., </w:t>
      </w:r>
      <w:proofErr w:type="spellStart"/>
      <w:r w:rsidRPr="26B44573">
        <w:rPr>
          <w:rFonts w:ascii="Arial" w:hAnsi="Arial" w:cs="Arial"/>
        </w:rPr>
        <w:t>Duerrschnabel</w:t>
      </w:r>
      <w:proofErr w:type="spellEnd"/>
      <w:r w:rsidRPr="26B44573">
        <w:rPr>
          <w:rFonts w:ascii="Arial" w:hAnsi="Arial" w:cs="Arial"/>
        </w:rPr>
        <w:t>, A., &amp; Schlueter, N. (2021). Impact of mucin on the anti-erosive/</w:t>
      </w:r>
      <w:proofErr w:type="spellStart"/>
      <w:r w:rsidRPr="26B44573">
        <w:rPr>
          <w:rFonts w:ascii="Arial" w:hAnsi="Arial" w:cs="Arial"/>
        </w:rPr>
        <w:t>antiabrasive</w:t>
      </w:r>
      <w:proofErr w:type="spellEnd"/>
      <w:r w:rsidRPr="26B44573">
        <w:rPr>
          <w:rFonts w:ascii="Arial" w:hAnsi="Arial" w:cs="Arial"/>
        </w:rPr>
        <w:t xml:space="preserve"> efficacy of chitosan and/or F/Sn in enamel in vitro. Scientific Reports, 11. https://doi.org/10.1038/s41598-021-84791-9</w:t>
      </w:r>
    </w:p>
    <w:p w:rsidR="26B44573" w:rsidP="26B44573" w:rsidRDefault="26B44573" w14:paraId="32ABC68E" w14:textId="3A45D8A3">
      <w:pPr>
        <w:pStyle w:val="Body"/>
        <w:spacing w:after="0"/>
        <w:rPr>
          <w:rFonts w:ascii="Arial" w:hAnsi="Arial" w:cs="Arial"/>
        </w:rPr>
      </w:pPr>
    </w:p>
    <w:p w:rsidR="0B536D58" w:rsidP="26B44573" w:rsidRDefault="0B536D58" w14:paraId="090FCCCC" w14:textId="7836B90C">
      <w:pPr>
        <w:pStyle w:val="Body"/>
        <w:spacing w:after="0"/>
        <w:rPr>
          <w:rFonts w:ascii="Arial" w:hAnsi="Arial" w:cs="Arial"/>
        </w:rPr>
      </w:pPr>
      <w:r w:rsidRPr="26B44573">
        <w:rPr>
          <w:rFonts w:ascii="Arial" w:hAnsi="Arial" w:cs="Arial"/>
        </w:rPr>
        <w:t xml:space="preserve">Schlueter, N., Klimek, J., &amp; Ganss, C. (2013). </w:t>
      </w:r>
      <w:proofErr w:type="spellStart"/>
      <w:r w:rsidRPr="26B44573">
        <w:rPr>
          <w:rFonts w:ascii="Arial" w:hAnsi="Arial" w:cs="Arial"/>
        </w:rPr>
        <w:t>Randomised</w:t>
      </w:r>
      <w:proofErr w:type="spellEnd"/>
      <w:r w:rsidRPr="26B44573">
        <w:rPr>
          <w:rFonts w:ascii="Arial" w:hAnsi="Arial" w:cs="Arial"/>
        </w:rPr>
        <w:t xml:space="preserve"> in situ study on the efficacy of a tin/chitosan toothpaste on erosive-abrasive enamel loss. Caries Research, 47(6), 574–581. https://doi.org/10.1159/000351654</w:t>
      </w:r>
    </w:p>
    <w:p w:rsidR="26B44573" w:rsidP="26B44573" w:rsidRDefault="26B44573" w14:paraId="10B6B0E0" w14:textId="60A3B63F">
      <w:pPr>
        <w:pStyle w:val="Body"/>
        <w:spacing w:after="0"/>
        <w:rPr>
          <w:rFonts w:ascii="Arial" w:hAnsi="Arial" w:cs="Arial"/>
        </w:rPr>
      </w:pPr>
    </w:p>
    <w:p w:rsidR="0B536D58" w:rsidP="26B44573" w:rsidRDefault="0B536D58" w14:paraId="0E855A28" w14:textId="3C43CBD3">
      <w:pPr>
        <w:pStyle w:val="Body"/>
        <w:spacing w:after="0"/>
        <w:rPr>
          <w:rFonts w:ascii="Arial" w:hAnsi="Arial" w:cs="Arial"/>
        </w:rPr>
      </w:pPr>
      <w:r w:rsidRPr="26B44573">
        <w:rPr>
          <w:rFonts w:ascii="Arial" w:hAnsi="Arial" w:cs="Arial"/>
        </w:rPr>
        <w:t xml:space="preserve">Francese, M. M., Urasaki, B. A. N., de Barros, M. C., Ferrari, C. R., </w:t>
      </w:r>
      <w:proofErr w:type="spellStart"/>
      <w:r w:rsidRPr="26B44573">
        <w:rPr>
          <w:rFonts w:ascii="Arial" w:hAnsi="Arial" w:cs="Arial"/>
        </w:rPr>
        <w:t>Grizzo</w:t>
      </w:r>
      <w:proofErr w:type="spellEnd"/>
      <w:r w:rsidRPr="26B44573">
        <w:rPr>
          <w:rFonts w:ascii="Arial" w:hAnsi="Arial" w:cs="Arial"/>
        </w:rPr>
        <w:t xml:space="preserve">, L. T., &amp; Magalhães, A. C. (2024). Toothpaste containing </w:t>
      </w:r>
      <w:proofErr w:type="spellStart"/>
      <w:r w:rsidRPr="26B44573">
        <w:rPr>
          <w:rFonts w:ascii="Arial" w:hAnsi="Arial" w:cs="Arial"/>
        </w:rPr>
        <w:t>TiF</w:t>
      </w:r>
      <w:proofErr w:type="spellEnd"/>
      <w:r w:rsidRPr="26B44573">
        <w:rPr>
          <w:rFonts w:ascii="Arial" w:hAnsi="Arial" w:cs="Arial"/>
        </w:rPr>
        <w:t>₄ and chitosan against erosive tooth wear in situ. Journal of Dentistry, 145, 104977. https://doi.org/10.1016/j.jdent.2024.104977</w:t>
      </w:r>
    </w:p>
    <w:p w:rsidR="26B44573" w:rsidP="26B44573" w:rsidRDefault="26B44573" w14:paraId="198C0E69" w14:textId="7A027BFC">
      <w:pPr>
        <w:pStyle w:val="Body"/>
        <w:spacing w:after="0"/>
        <w:rPr>
          <w:rFonts w:ascii="Arial" w:hAnsi="Arial" w:cs="Arial"/>
        </w:rPr>
      </w:pPr>
    </w:p>
    <w:p w:rsidR="0B536D58" w:rsidP="26B44573" w:rsidRDefault="0B536D58" w14:paraId="5D1FCF1C" w14:textId="2C08935D">
      <w:pPr>
        <w:pStyle w:val="Body"/>
        <w:spacing w:after="0"/>
        <w:rPr>
          <w:rFonts w:ascii="Arial" w:hAnsi="Arial" w:cs="Arial"/>
        </w:rPr>
      </w:pPr>
      <w:r w:rsidRPr="26B44573">
        <w:rPr>
          <w:rFonts w:ascii="Arial" w:hAnsi="Arial" w:cs="Arial"/>
        </w:rPr>
        <w:t xml:space="preserve">Pini, N., </w:t>
      </w:r>
      <w:proofErr w:type="spellStart"/>
      <w:r w:rsidRPr="26B44573">
        <w:rPr>
          <w:rFonts w:ascii="Arial" w:hAnsi="Arial" w:cs="Arial"/>
        </w:rPr>
        <w:t>Piccelli</w:t>
      </w:r>
      <w:proofErr w:type="spellEnd"/>
      <w:r w:rsidRPr="26B44573">
        <w:rPr>
          <w:rFonts w:ascii="Arial" w:hAnsi="Arial" w:cs="Arial"/>
        </w:rPr>
        <w:t>, M., Vieira-Junior, W., Ferraz, L., Aguiar, F., &amp; Lima, D. (2021). In-office tooth bleaching with chitosan-enriched hydrogen peroxide gels: In vitro results. Clinical Oral Investigations, 26, 471–479. https://doi.org/10.1007/s00784-021-04021-4</w:t>
      </w:r>
    </w:p>
    <w:p w:rsidR="26B44573" w:rsidP="26B44573" w:rsidRDefault="26B44573" w14:paraId="6ABB11A7" w14:textId="29646606">
      <w:pPr>
        <w:pStyle w:val="Body"/>
        <w:spacing w:after="0"/>
        <w:rPr>
          <w:rFonts w:ascii="Arial" w:hAnsi="Arial" w:cs="Arial"/>
        </w:rPr>
      </w:pPr>
    </w:p>
    <w:p w:rsidR="0B536D58" w:rsidP="26B44573" w:rsidRDefault="0B536D58" w14:paraId="07AA7744" w14:textId="72A6F7EF">
      <w:pPr>
        <w:pStyle w:val="Body"/>
        <w:spacing w:after="0"/>
        <w:rPr>
          <w:rFonts w:ascii="Arial" w:hAnsi="Arial" w:cs="Arial"/>
        </w:rPr>
      </w:pPr>
      <w:proofErr w:type="spellStart"/>
      <w:r w:rsidRPr="26B44573">
        <w:rPr>
          <w:rFonts w:ascii="Arial" w:hAnsi="Arial" w:cs="Arial"/>
        </w:rPr>
        <w:t>Ururahy</w:t>
      </w:r>
      <w:proofErr w:type="spellEnd"/>
      <w:r w:rsidRPr="26B44573">
        <w:rPr>
          <w:rFonts w:ascii="Arial" w:hAnsi="Arial" w:cs="Arial"/>
        </w:rPr>
        <w:t xml:space="preserve">, M., </w:t>
      </w:r>
      <w:proofErr w:type="spellStart"/>
      <w:r w:rsidRPr="26B44573">
        <w:rPr>
          <w:rFonts w:ascii="Arial" w:hAnsi="Arial" w:cs="Arial"/>
        </w:rPr>
        <w:t>Curylofo-Zotti</w:t>
      </w:r>
      <w:proofErr w:type="spellEnd"/>
      <w:r w:rsidRPr="26B44573">
        <w:rPr>
          <w:rFonts w:ascii="Arial" w:hAnsi="Arial" w:cs="Arial"/>
        </w:rPr>
        <w:t xml:space="preserve">, F., </w:t>
      </w:r>
      <w:proofErr w:type="spellStart"/>
      <w:r w:rsidRPr="26B44573">
        <w:rPr>
          <w:rFonts w:ascii="Arial" w:hAnsi="Arial" w:cs="Arial"/>
        </w:rPr>
        <w:t>Lizarelli</w:t>
      </w:r>
      <w:proofErr w:type="spellEnd"/>
      <w:r w:rsidRPr="26B44573">
        <w:rPr>
          <w:rFonts w:ascii="Arial" w:hAnsi="Arial" w:cs="Arial"/>
        </w:rPr>
        <w:t>, G., Reis, A., Ramos, A., &amp; Corona, S. (2021). Effect of phosphorylated chitosan and carbodiimide biomodification on the chemical composition of eroded dentin. American Journal of Dentistry, 34(2), 105–109.</w:t>
      </w:r>
    </w:p>
    <w:p w:rsidR="26B44573" w:rsidP="26B44573" w:rsidRDefault="26B44573" w14:paraId="7580EE03" w14:textId="52BC8F66">
      <w:pPr>
        <w:pStyle w:val="Body"/>
        <w:spacing w:after="0"/>
        <w:rPr>
          <w:rFonts w:ascii="Arial" w:hAnsi="Arial" w:cs="Arial"/>
        </w:rPr>
      </w:pPr>
    </w:p>
    <w:p w:rsidR="0B536D58" w:rsidP="26B44573" w:rsidRDefault="0B536D58" w14:paraId="192AC77C" w14:textId="41E5585E">
      <w:pPr>
        <w:pStyle w:val="Body"/>
        <w:spacing w:after="0"/>
        <w:rPr>
          <w:rFonts w:ascii="Arial" w:hAnsi="Arial" w:cs="Arial"/>
        </w:rPr>
      </w:pPr>
      <w:r w:rsidRPr="26B44573">
        <w:rPr>
          <w:rFonts w:ascii="Arial" w:hAnsi="Arial" w:cs="Arial"/>
        </w:rPr>
        <w:t xml:space="preserve">Sakae, L. O., </w:t>
      </w:r>
      <w:proofErr w:type="spellStart"/>
      <w:r w:rsidRPr="26B44573">
        <w:rPr>
          <w:rFonts w:ascii="Arial" w:hAnsi="Arial" w:cs="Arial"/>
        </w:rPr>
        <w:t>Kairalla</w:t>
      </w:r>
      <w:proofErr w:type="spellEnd"/>
      <w:r w:rsidRPr="26B44573">
        <w:rPr>
          <w:rFonts w:ascii="Arial" w:hAnsi="Arial" w:cs="Arial"/>
        </w:rPr>
        <w:t>, C. A., Viana, Í. E. L., Carvalho, T. S., Niemeyer, S. H., Hara, A. T., &amp; Scaramucci, T. (2024). Characteristics of tin-containing fluoride toothpastes related to erosive tooth wear protection. Journal of Dentistry, 143, 104901. https://doi.org/10.1016/j.jdent.2024.104901</w:t>
      </w:r>
    </w:p>
    <w:p w:rsidR="26B44573" w:rsidP="26B44573" w:rsidRDefault="26B44573" w14:paraId="731CDE73" w14:textId="16D5FABA">
      <w:pPr>
        <w:pStyle w:val="Body"/>
        <w:spacing w:after="0"/>
        <w:rPr>
          <w:rFonts w:ascii="Arial" w:hAnsi="Arial" w:cs="Arial"/>
        </w:rPr>
      </w:pPr>
    </w:p>
    <w:p w:rsidR="0B536D58" w:rsidP="26B44573" w:rsidRDefault="0B536D58" w14:paraId="4B3C6627" w14:textId="510C9417">
      <w:pPr>
        <w:pStyle w:val="Body"/>
        <w:spacing w:after="0"/>
        <w:rPr>
          <w:rFonts w:ascii="Arial" w:hAnsi="Arial" w:cs="Arial"/>
        </w:rPr>
      </w:pPr>
      <w:proofErr w:type="spellStart"/>
      <w:r w:rsidRPr="26B44573">
        <w:rPr>
          <w:rFonts w:ascii="Arial" w:hAnsi="Arial" w:cs="Arial"/>
        </w:rPr>
        <w:t>Satitsri</w:t>
      </w:r>
      <w:proofErr w:type="spellEnd"/>
      <w:r w:rsidRPr="26B44573">
        <w:rPr>
          <w:rFonts w:ascii="Arial" w:hAnsi="Arial" w:cs="Arial"/>
        </w:rPr>
        <w:t xml:space="preserve">, S., &amp; </w:t>
      </w:r>
      <w:proofErr w:type="spellStart"/>
      <w:r w:rsidRPr="26B44573">
        <w:rPr>
          <w:rFonts w:ascii="Arial" w:hAnsi="Arial" w:cs="Arial"/>
        </w:rPr>
        <w:t>Muanprasat</w:t>
      </w:r>
      <w:proofErr w:type="spellEnd"/>
      <w:r w:rsidRPr="26B44573">
        <w:rPr>
          <w:rFonts w:ascii="Arial" w:hAnsi="Arial" w:cs="Arial"/>
        </w:rPr>
        <w:t>, C. (2020). Chitin and chitosan derivatives as biomaterial resources for biological and biomedical applications. Molecules, 25. https://doi.org/10.3390/molecules25245961</w:t>
      </w:r>
    </w:p>
    <w:p w:rsidR="26B44573" w:rsidP="26B44573" w:rsidRDefault="26B44573" w14:paraId="1DC8D713" w14:textId="39D77557">
      <w:pPr>
        <w:pStyle w:val="Body"/>
        <w:spacing w:after="0"/>
        <w:rPr>
          <w:rFonts w:ascii="Arial" w:hAnsi="Arial" w:cs="Arial"/>
        </w:rPr>
      </w:pPr>
    </w:p>
    <w:p w:rsidR="0B536D58" w:rsidP="26B44573" w:rsidRDefault="0B536D58" w14:paraId="24AB5597" w14:textId="16DFD7F2">
      <w:pPr>
        <w:pStyle w:val="Body"/>
        <w:spacing w:after="0"/>
        <w:rPr>
          <w:rFonts w:ascii="Arial" w:hAnsi="Arial" w:cs="Arial"/>
        </w:rPr>
      </w:pPr>
      <w:proofErr w:type="spellStart"/>
      <w:r w:rsidRPr="26B44573">
        <w:rPr>
          <w:rFonts w:ascii="Arial" w:hAnsi="Arial" w:cs="Arial"/>
        </w:rPr>
        <w:t>Sukpaita</w:t>
      </w:r>
      <w:proofErr w:type="spellEnd"/>
      <w:r w:rsidRPr="26B44573">
        <w:rPr>
          <w:rFonts w:ascii="Arial" w:hAnsi="Arial" w:cs="Arial"/>
        </w:rPr>
        <w:t xml:space="preserve">, T., </w:t>
      </w:r>
      <w:proofErr w:type="spellStart"/>
      <w:r w:rsidRPr="26B44573">
        <w:rPr>
          <w:rFonts w:ascii="Arial" w:hAnsi="Arial" w:cs="Arial"/>
        </w:rPr>
        <w:t>Chirachanchai</w:t>
      </w:r>
      <w:proofErr w:type="spellEnd"/>
      <w:r w:rsidRPr="26B44573">
        <w:rPr>
          <w:rFonts w:ascii="Arial" w:hAnsi="Arial" w:cs="Arial"/>
        </w:rPr>
        <w:t xml:space="preserve">, S., </w:t>
      </w:r>
      <w:proofErr w:type="spellStart"/>
      <w:r w:rsidRPr="26B44573">
        <w:rPr>
          <w:rFonts w:ascii="Arial" w:hAnsi="Arial" w:cs="Arial"/>
        </w:rPr>
        <w:t>Pimkhaokham</w:t>
      </w:r>
      <w:proofErr w:type="spellEnd"/>
      <w:r w:rsidRPr="26B44573">
        <w:rPr>
          <w:rFonts w:ascii="Arial" w:hAnsi="Arial" w:cs="Arial"/>
        </w:rPr>
        <w:t xml:space="preserve">, A., &amp; </w:t>
      </w:r>
      <w:proofErr w:type="spellStart"/>
      <w:r w:rsidRPr="26B44573">
        <w:rPr>
          <w:rFonts w:ascii="Arial" w:hAnsi="Arial" w:cs="Arial"/>
        </w:rPr>
        <w:t>Ampornaramveth</w:t>
      </w:r>
      <w:proofErr w:type="spellEnd"/>
      <w:r w:rsidRPr="26B44573">
        <w:rPr>
          <w:rFonts w:ascii="Arial" w:hAnsi="Arial" w:cs="Arial"/>
        </w:rPr>
        <w:t>, R. (2021). Chitosan-based scaffold for mineralized tissues regeneration. Marine Drugs, 19. https://doi.org/10.3390/md19100551</w:t>
      </w:r>
    </w:p>
    <w:p w:rsidR="26B44573" w:rsidP="26B44573" w:rsidRDefault="26B44573" w14:paraId="153AB6BA" w14:textId="5BF81645">
      <w:pPr>
        <w:pStyle w:val="Body"/>
        <w:spacing w:after="0"/>
        <w:rPr>
          <w:rFonts w:ascii="Arial" w:hAnsi="Arial" w:cs="Arial"/>
        </w:rPr>
      </w:pPr>
    </w:p>
    <w:p w:rsidR="0B536D58" w:rsidP="26B44573" w:rsidRDefault="0B536D58" w14:paraId="759EB6FF" w14:textId="5225C254">
      <w:pPr>
        <w:pStyle w:val="Body"/>
        <w:spacing w:after="0"/>
        <w:rPr>
          <w:rFonts w:ascii="Arial" w:hAnsi="Arial" w:cs="Arial"/>
        </w:rPr>
      </w:pPr>
      <w:r w:rsidRPr="26B44573">
        <w:rPr>
          <w:rFonts w:ascii="Arial" w:hAnsi="Arial" w:cs="Arial"/>
        </w:rPr>
        <w:lastRenderedPageBreak/>
        <w:t xml:space="preserve">Saravanan, S., </w:t>
      </w:r>
      <w:proofErr w:type="spellStart"/>
      <w:r w:rsidRPr="26B44573">
        <w:rPr>
          <w:rFonts w:ascii="Arial" w:hAnsi="Arial" w:cs="Arial"/>
        </w:rPr>
        <w:t>Vimalraj</w:t>
      </w:r>
      <w:proofErr w:type="spellEnd"/>
      <w:r w:rsidRPr="26B44573">
        <w:rPr>
          <w:rFonts w:ascii="Arial" w:hAnsi="Arial" w:cs="Arial"/>
        </w:rPr>
        <w:t xml:space="preserve">, S., </w:t>
      </w:r>
      <w:proofErr w:type="spellStart"/>
      <w:r w:rsidRPr="26B44573">
        <w:rPr>
          <w:rFonts w:ascii="Arial" w:hAnsi="Arial" w:cs="Arial"/>
        </w:rPr>
        <w:t>Thanikaivelan</w:t>
      </w:r>
      <w:proofErr w:type="spellEnd"/>
      <w:r w:rsidRPr="26B44573">
        <w:rPr>
          <w:rFonts w:ascii="Arial" w:hAnsi="Arial" w:cs="Arial"/>
        </w:rPr>
        <w:t>, P., Banudevi, S., &amp; Manivasagam, G. (2019). A review on injectable chitosan/beta glycerophosphate hydrogels for bone tissue regeneration. International Journal of Biological Macromolecules, 121, 38–54. https://doi.org/10.1016/j.ijbiomac.2018.10.014</w:t>
      </w:r>
    </w:p>
    <w:p w:rsidR="26B44573" w:rsidP="26B44573" w:rsidRDefault="26B44573" w14:paraId="5ACE34A5" w14:textId="0F7AEDED">
      <w:pPr>
        <w:pStyle w:val="Body"/>
        <w:spacing w:after="0"/>
        <w:rPr>
          <w:rFonts w:ascii="Arial" w:hAnsi="Arial" w:cs="Arial"/>
        </w:rPr>
      </w:pPr>
    </w:p>
    <w:p w:rsidR="0B536D58" w:rsidP="26B44573" w:rsidRDefault="0B536D58" w14:paraId="013B933B" w14:textId="43D55CAD">
      <w:pPr>
        <w:pStyle w:val="Body"/>
        <w:spacing w:after="0"/>
        <w:rPr>
          <w:rFonts w:ascii="Arial" w:hAnsi="Arial" w:cs="Arial"/>
        </w:rPr>
      </w:pPr>
      <w:r w:rsidRPr="26B44573">
        <w:rPr>
          <w:rFonts w:ascii="Arial" w:hAnsi="Arial" w:cs="Arial"/>
        </w:rPr>
        <w:t>Qu, S., X, Y., Yu, S., &amp; Wang, R. (2023). Chitosan as a biomaterial for the prevention and treatment of dental caries: Antibacterial effect, biomimetic mineralization, and drug delivery. Frontiers in Bioengineering and Biotechnology, 11. https://doi.org/10.3389/fbioe.2023.1234758</w:t>
      </w:r>
    </w:p>
    <w:p w:rsidR="26B44573" w:rsidP="26B44573" w:rsidRDefault="26B44573" w14:paraId="1FF78564" w14:textId="22FBE3D1">
      <w:pPr>
        <w:pStyle w:val="Body"/>
        <w:spacing w:after="0"/>
        <w:rPr>
          <w:rFonts w:ascii="Arial" w:hAnsi="Arial" w:cs="Arial"/>
        </w:rPr>
      </w:pPr>
    </w:p>
    <w:p w:rsidR="393E1F45" w:rsidP="26B44573" w:rsidRDefault="393E1F45" w14:paraId="2F0CFCE8" w14:textId="3588E972">
      <w:pPr>
        <w:pStyle w:val="Body"/>
        <w:spacing w:after="0"/>
        <w:rPr>
          <w:rFonts w:ascii="Arial" w:hAnsi="Arial" w:cs="Arial"/>
        </w:rPr>
      </w:pPr>
      <w:r w:rsidRPr="26B44573">
        <w:rPr>
          <w:rFonts w:ascii="Arial" w:hAnsi="Arial" w:cs="Arial"/>
        </w:rPr>
        <w:t>Hu, D., Ren, Q., Li, Z., &amp; Zhang, L. (2020). Chitosan-based biomimetically mineralized composite materials in human hard tissue repair. Molecules, 25. https://doi.org/10.3390/molecules25204785</w:t>
      </w:r>
    </w:p>
    <w:p w:rsidR="26B44573" w:rsidP="26B44573" w:rsidRDefault="26B44573" w14:paraId="6E477FFA" w14:textId="0AB10D9C">
      <w:pPr>
        <w:pStyle w:val="Body"/>
        <w:spacing w:after="0"/>
        <w:rPr>
          <w:rFonts w:ascii="Arial" w:hAnsi="Arial" w:cs="Arial"/>
        </w:rPr>
      </w:pPr>
    </w:p>
    <w:p w:rsidR="393E1F45" w:rsidP="26B44573" w:rsidRDefault="393E1F45" w14:paraId="18E51590" w14:textId="603D25F9">
      <w:pPr>
        <w:pStyle w:val="Body"/>
        <w:spacing w:after="0"/>
        <w:rPr>
          <w:rFonts w:ascii="Arial" w:hAnsi="Arial" w:cs="Arial"/>
        </w:rPr>
      </w:pPr>
      <w:r w:rsidRPr="26B44573">
        <w:rPr>
          <w:rFonts w:ascii="Arial" w:hAnsi="Arial" w:cs="Arial"/>
        </w:rPr>
        <w:t xml:space="preserve">Francese, M., Urasaki, B., de Barros, M., Ferrari, C., </w:t>
      </w:r>
      <w:proofErr w:type="spellStart"/>
      <w:r w:rsidRPr="26B44573">
        <w:rPr>
          <w:rFonts w:ascii="Arial" w:hAnsi="Arial" w:cs="Arial"/>
        </w:rPr>
        <w:t>Grizzo</w:t>
      </w:r>
      <w:proofErr w:type="spellEnd"/>
      <w:r w:rsidRPr="26B44573">
        <w:rPr>
          <w:rFonts w:ascii="Arial" w:hAnsi="Arial" w:cs="Arial"/>
        </w:rPr>
        <w:t xml:space="preserve">, L., &amp; Magalhães, A. (2024). Toothpaste containing </w:t>
      </w:r>
      <w:proofErr w:type="spellStart"/>
      <w:r w:rsidRPr="26B44573">
        <w:rPr>
          <w:rFonts w:ascii="Arial" w:hAnsi="Arial" w:cs="Arial"/>
        </w:rPr>
        <w:t>TiF</w:t>
      </w:r>
      <w:proofErr w:type="spellEnd"/>
      <w:r w:rsidRPr="26B44573">
        <w:rPr>
          <w:rFonts w:ascii="Arial" w:hAnsi="Arial" w:cs="Arial"/>
        </w:rPr>
        <w:t>₄ and chitosan against erosive tooth wear in situ. Journal of Dentistry, 104977. https://doi.org/10.1016/j.jdent.2024.104977</w:t>
      </w:r>
    </w:p>
    <w:p w:rsidR="26B44573" w:rsidP="26B44573" w:rsidRDefault="26B44573" w14:paraId="44FB80DB" w14:textId="52FB0FB2">
      <w:pPr>
        <w:pStyle w:val="Body"/>
        <w:spacing w:after="0"/>
        <w:rPr>
          <w:rFonts w:ascii="Arial" w:hAnsi="Arial" w:cs="Arial"/>
        </w:rPr>
      </w:pPr>
    </w:p>
    <w:p w:rsidR="393E1F45" w:rsidP="26B44573" w:rsidRDefault="393E1F45" w14:paraId="1AD3381D" w14:textId="11E9FEAF">
      <w:pPr>
        <w:pStyle w:val="Body"/>
        <w:spacing w:after="0"/>
        <w:rPr>
          <w:rFonts w:ascii="Arial" w:hAnsi="Arial" w:cs="Arial"/>
        </w:rPr>
      </w:pPr>
      <w:r w:rsidRPr="26B44573">
        <w:rPr>
          <w:rFonts w:ascii="Arial" w:hAnsi="Arial" w:cs="Arial"/>
        </w:rPr>
        <w:t xml:space="preserve">Teixeira, N., Webber, M. B. F., Nassar, C. A., </w:t>
      </w:r>
      <w:proofErr w:type="spellStart"/>
      <w:r w:rsidRPr="26B44573">
        <w:rPr>
          <w:rFonts w:ascii="Arial" w:hAnsi="Arial" w:cs="Arial"/>
        </w:rPr>
        <w:t>Camilotti</w:t>
      </w:r>
      <w:proofErr w:type="spellEnd"/>
      <w:r w:rsidRPr="26B44573">
        <w:rPr>
          <w:rFonts w:ascii="Arial" w:hAnsi="Arial" w:cs="Arial"/>
        </w:rPr>
        <w:t xml:space="preserve">, V., Mendonça, M. J., &amp; </w:t>
      </w:r>
      <w:proofErr w:type="spellStart"/>
      <w:r w:rsidRPr="26B44573">
        <w:rPr>
          <w:rFonts w:ascii="Arial" w:hAnsi="Arial" w:cs="Arial"/>
        </w:rPr>
        <w:t>Sinhoreti</w:t>
      </w:r>
      <w:proofErr w:type="spellEnd"/>
      <w:r w:rsidRPr="26B44573">
        <w:rPr>
          <w:rFonts w:ascii="Arial" w:hAnsi="Arial" w:cs="Arial"/>
        </w:rPr>
        <w:t xml:space="preserve">, M. A. C. (2019). Influence of different composites and polishing techniques on periodontal tissues near </w:t>
      </w:r>
      <w:proofErr w:type="spellStart"/>
      <w:r w:rsidRPr="26B44573">
        <w:rPr>
          <w:rFonts w:ascii="Arial" w:hAnsi="Arial" w:cs="Arial"/>
        </w:rPr>
        <w:t>noncarious</w:t>
      </w:r>
      <w:proofErr w:type="spellEnd"/>
      <w:r w:rsidRPr="26B44573">
        <w:rPr>
          <w:rFonts w:ascii="Arial" w:hAnsi="Arial" w:cs="Arial"/>
        </w:rPr>
        <w:t xml:space="preserve"> cervical lesions: A controlled, randomized, blinded clinical trial. European Journal of Dentistry, 13(4), 635–641. https://doi.org/10.1055/s-0039-3401900</w:t>
      </w:r>
    </w:p>
    <w:p w:rsidR="26B44573" w:rsidP="26B44573" w:rsidRDefault="26B44573" w14:paraId="1F8F5187" w14:textId="2F841033">
      <w:pPr>
        <w:pStyle w:val="Body"/>
        <w:spacing w:after="0"/>
        <w:rPr>
          <w:rFonts w:ascii="Arial" w:hAnsi="Arial" w:cs="Arial"/>
        </w:rPr>
      </w:pPr>
    </w:p>
    <w:p w:rsidR="393E1F45" w:rsidP="26B44573" w:rsidRDefault="393E1F45" w14:paraId="18EFD8A9" w14:textId="7271E29D">
      <w:pPr>
        <w:pStyle w:val="Body"/>
        <w:spacing w:after="0"/>
        <w:rPr>
          <w:rFonts w:ascii="Arial" w:hAnsi="Arial" w:cs="Arial"/>
        </w:rPr>
      </w:pPr>
      <w:r w:rsidRPr="26B44573">
        <w:rPr>
          <w:rFonts w:ascii="Arial" w:hAnsi="Arial" w:cs="Arial"/>
        </w:rPr>
        <w:t>Moran, B., Ziegelmann, P., Berger, S., Burey, A., De Paris Matos, T., Fernández, E., et al. (2021). Evaluation of tooth sensitivity of in-office bleaching with different light activation sources: A systematic review and a network meta-analysis. Operative Dentistry, 46(5), E199–E223. https://doi.org/10.2341/20-127-L</w:t>
      </w:r>
    </w:p>
    <w:p w:rsidR="26B44573" w:rsidP="26B44573" w:rsidRDefault="26B44573" w14:paraId="69889320" w14:textId="2DF60699">
      <w:pPr>
        <w:pStyle w:val="Body"/>
        <w:spacing w:after="0"/>
        <w:rPr>
          <w:rFonts w:ascii="Arial" w:hAnsi="Arial" w:cs="Arial"/>
        </w:rPr>
      </w:pPr>
    </w:p>
    <w:p w:rsidR="393E1F45" w:rsidP="26B44573" w:rsidRDefault="393E1F45" w14:paraId="5667601B" w14:textId="4D7D8EF2">
      <w:pPr>
        <w:pStyle w:val="Body"/>
        <w:spacing w:after="0"/>
        <w:rPr>
          <w:rFonts w:ascii="Arial" w:hAnsi="Arial" w:cs="Arial"/>
        </w:rPr>
      </w:pPr>
      <w:r w:rsidRPr="26B44573">
        <w:rPr>
          <w:rFonts w:ascii="Arial" w:hAnsi="Arial" w:cs="Arial"/>
        </w:rPr>
        <w:t>Markowitz, K. (2010). Pretty painful: Why does tooth bleaching hurt? Medical Hypotheses, 74(5), 835–840. https://doi.org/10.1016/j.mehy.2009.11.044</w:t>
      </w:r>
    </w:p>
    <w:p w:rsidR="26B44573" w:rsidP="26B44573" w:rsidRDefault="26B44573" w14:paraId="55829C10" w14:textId="65F0ADFF">
      <w:pPr>
        <w:pStyle w:val="Body"/>
        <w:spacing w:after="0"/>
        <w:rPr>
          <w:rFonts w:ascii="Arial" w:hAnsi="Arial" w:cs="Arial"/>
        </w:rPr>
      </w:pPr>
    </w:p>
    <w:p w:rsidR="393E1F45" w:rsidP="26B44573" w:rsidRDefault="393E1F45" w14:paraId="566AAA9B" w14:textId="4A4CC3F5">
      <w:pPr>
        <w:pStyle w:val="Body"/>
        <w:spacing w:after="0"/>
        <w:rPr>
          <w:rFonts w:ascii="Arial" w:hAnsi="Arial" w:cs="Arial"/>
        </w:rPr>
      </w:pPr>
      <w:r w:rsidRPr="26B44573">
        <w:rPr>
          <w:rFonts w:ascii="Arial" w:hAnsi="Arial" w:cs="Arial"/>
        </w:rPr>
        <w:t xml:space="preserve">Alexandrino, L. D., Alencar, C. M., Silveira, A. D. S., Alves, E. B., &amp; Silva, C. M. (2017). Randomized clinical trial of the effect of </w:t>
      </w:r>
      <w:proofErr w:type="spellStart"/>
      <w:r w:rsidRPr="26B44573">
        <w:rPr>
          <w:rFonts w:ascii="Arial" w:hAnsi="Arial" w:cs="Arial"/>
        </w:rPr>
        <w:t>NovaMin</w:t>
      </w:r>
      <w:proofErr w:type="spellEnd"/>
      <w:r w:rsidRPr="26B44573">
        <w:rPr>
          <w:rFonts w:ascii="Arial" w:hAnsi="Arial" w:cs="Arial"/>
        </w:rPr>
        <w:t xml:space="preserve"> and CPP-ACPF in combination with dental bleaching. Journal of Applied Oral Science, 25(3), 335–340. https://doi.org/10.1590/1678-7757-2016-0408</w:t>
      </w:r>
    </w:p>
    <w:p w:rsidR="26B44573" w:rsidP="26B44573" w:rsidRDefault="26B44573" w14:paraId="0A2DCF14" w14:textId="5A1BC687">
      <w:pPr>
        <w:pStyle w:val="Body"/>
        <w:spacing w:after="0"/>
        <w:rPr>
          <w:rFonts w:ascii="Arial" w:hAnsi="Arial" w:cs="Arial"/>
        </w:rPr>
      </w:pPr>
    </w:p>
    <w:p w:rsidR="393E1F45" w:rsidP="26B44573" w:rsidRDefault="393E1F45" w14:paraId="44B5C0F5" w14:textId="32091BC2">
      <w:pPr>
        <w:pStyle w:val="Body"/>
        <w:spacing w:after="0"/>
        <w:rPr>
          <w:rFonts w:ascii="Arial" w:hAnsi="Arial" w:cs="Arial"/>
        </w:rPr>
      </w:pPr>
      <w:proofErr w:type="spellStart"/>
      <w:r w:rsidRPr="26B44573">
        <w:rPr>
          <w:rFonts w:ascii="Arial" w:hAnsi="Arial" w:cs="Arial"/>
        </w:rPr>
        <w:t>Parreiras</w:t>
      </w:r>
      <w:proofErr w:type="spellEnd"/>
      <w:r w:rsidRPr="26B44573">
        <w:rPr>
          <w:rFonts w:ascii="Arial" w:hAnsi="Arial" w:cs="Arial"/>
        </w:rPr>
        <w:t xml:space="preserve">, S. O., </w:t>
      </w:r>
      <w:proofErr w:type="spellStart"/>
      <w:r w:rsidRPr="26B44573">
        <w:rPr>
          <w:rFonts w:ascii="Arial" w:hAnsi="Arial" w:cs="Arial"/>
        </w:rPr>
        <w:t>Szesz</w:t>
      </w:r>
      <w:proofErr w:type="spellEnd"/>
      <w:r w:rsidRPr="26B44573">
        <w:rPr>
          <w:rFonts w:ascii="Arial" w:hAnsi="Arial" w:cs="Arial"/>
        </w:rPr>
        <w:t xml:space="preserve">, A. L., </w:t>
      </w:r>
      <w:proofErr w:type="spellStart"/>
      <w:r w:rsidRPr="26B44573">
        <w:rPr>
          <w:rFonts w:ascii="Arial" w:hAnsi="Arial" w:cs="Arial"/>
        </w:rPr>
        <w:t>Coppla</w:t>
      </w:r>
      <w:proofErr w:type="spellEnd"/>
      <w:r w:rsidRPr="26B44573">
        <w:rPr>
          <w:rFonts w:ascii="Arial" w:hAnsi="Arial" w:cs="Arial"/>
        </w:rPr>
        <w:t>, F. M., Martini, E. C., Farago, P. V., Loguercio, A. D., &amp; Reis, A. (2018). Effect of an experimental desensitizing agent on reduction of bleaching-induced tooth sensitivity. Journal of the American Dental Association, 149(4), 281–290. https://doi.org/10.1016/j.adaj.2017.10.025</w:t>
      </w:r>
    </w:p>
    <w:p w:rsidR="26B44573" w:rsidP="26B44573" w:rsidRDefault="26B44573" w14:paraId="2E56B740" w14:textId="5E2F93EE">
      <w:pPr>
        <w:pStyle w:val="Body"/>
        <w:spacing w:after="0"/>
        <w:rPr>
          <w:rFonts w:ascii="Arial" w:hAnsi="Arial" w:cs="Arial"/>
        </w:rPr>
      </w:pPr>
    </w:p>
    <w:p w:rsidR="393E1F45" w:rsidP="26B44573" w:rsidRDefault="393E1F45" w14:paraId="6046F59B" w14:textId="461053B5">
      <w:pPr>
        <w:pStyle w:val="Body"/>
        <w:spacing w:after="0"/>
        <w:rPr>
          <w:rFonts w:ascii="Arial" w:hAnsi="Arial" w:cs="Arial"/>
        </w:rPr>
      </w:pPr>
      <w:r w:rsidRPr="26B44573">
        <w:rPr>
          <w:rFonts w:ascii="Arial" w:hAnsi="Arial" w:cs="Arial"/>
        </w:rPr>
        <w:t xml:space="preserve">Barbosa, L., </w:t>
      </w:r>
      <w:proofErr w:type="spellStart"/>
      <w:r w:rsidRPr="26B44573">
        <w:rPr>
          <w:rFonts w:ascii="Arial" w:hAnsi="Arial" w:cs="Arial"/>
        </w:rPr>
        <w:t>Filha</w:t>
      </w:r>
      <w:proofErr w:type="spellEnd"/>
      <w:r w:rsidRPr="26B44573">
        <w:rPr>
          <w:rFonts w:ascii="Arial" w:hAnsi="Arial" w:cs="Arial"/>
        </w:rPr>
        <w:t>, M., Leite, J., Santos, J., Medeiros, J., Oliveira, I., Yataco, O., Meireles, S., &amp; Lima, R. (2024). Over-the-counter products in tooth bleaching: A scoping review. Journal of Dentistry, 104989. https://doi.org/10.1016/j.jdent.2024.104989</w:t>
      </w:r>
    </w:p>
    <w:p w:rsidR="26B44573" w:rsidP="26B44573" w:rsidRDefault="26B44573" w14:paraId="101B606F" w14:textId="7FBD6918">
      <w:pPr>
        <w:pStyle w:val="Body"/>
        <w:spacing w:after="0"/>
        <w:rPr>
          <w:rFonts w:ascii="Arial" w:hAnsi="Arial" w:cs="Arial"/>
        </w:rPr>
      </w:pPr>
    </w:p>
    <w:p w:rsidR="393E1F45" w:rsidP="26B44573" w:rsidRDefault="393E1F45" w14:paraId="38F528C2" w14:textId="6D70A505">
      <w:pPr>
        <w:pStyle w:val="Body"/>
        <w:spacing w:after="0"/>
      </w:pPr>
      <w:r w:rsidRPr="26B44573">
        <w:rPr>
          <w:rFonts w:ascii="Arial" w:hAnsi="Arial" w:cs="Arial"/>
        </w:rPr>
        <w:t xml:space="preserve">Pintado-Palomino, K., Filho, O., Zanotto, E., &amp; </w:t>
      </w:r>
      <w:proofErr w:type="spellStart"/>
      <w:r w:rsidRPr="26B44573">
        <w:rPr>
          <w:rFonts w:ascii="Arial" w:hAnsi="Arial" w:cs="Arial"/>
        </w:rPr>
        <w:t>Tirapelli</w:t>
      </w:r>
      <w:proofErr w:type="spellEnd"/>
      <w:r w:rsidRPr="26B44573">
        <w:rPr>
          <w:rFonts w:ascii="Arial" w:hAnsi="Arial" w:cs="Arial"/>
        </w:rPr>
        <w:t xml:space="preserve">, C. (2015). A clinical, randomized, controlled study on the use of desensitizing agents during tooth bleaching. Journal of Dentistry, 43(9), 1099–1105. </w:t>
      </w:r>
      <w:hyperlink r:id="rId8">
        <w:r w:rsidRPr="26B44573">
          <w:rPr>
            <w:rStyle w:val="Hyperlink"/>
            <w:rFonts w:ascii="Arial" w:hAnsi="Arial" w:cs="Arial"/>
            <w:color w:val="auto"/>
            <w:u w:val="none"/>
          </w:rPr>
          <w:t>https://doi.org/10.1016/j.jdent.2015.07.002</w:t>
        </w:r>
      </w:hyperlink>
    </w:p>
    <w:p w:rsidR="26B44573" w:rsidP="26B44573" w:rsidRDefault="26B44573" w14:paraId="502C2B1B" w14:textId="25BA128C">
      <w:pPr>
        <w:pStyle w:val="Body"/>
        <w:spacing w:after="0"/>
        <w:rPr>
          <w:rFonts w:ascii="Arial" w:hAnsi="Arial" w:cs="Arial"/>
        </w:rPr>
      </w:pPr>
    </w:p>
    <w:p w:rsidR="1670FB70" w:rsidP="26B44573" w:rsidRDefault="1670FB70" w14:paraId="51D4C14E" w14:textId="488C7994">
      <w:pPr>
        <w:jc w:val="both"/>
      </w:pPr>
      <w:proofErr w:type="spellStart"/>
      <w:r w:rsidRPr="26B44573">
        <w:t>Bonafé</w:t>
      </w:r>
      <w:proofErr w:type="spellEnd"/>
      <w:r w:rsidRPr="26B44573">
        <w:t xml:space="preserve"> E, </w:t>
      </w:r>
      <w:proofErr w:type="spellStart"/>
      <w:r w:rsidRPr="26B44573">
        <w:t>Loguércio</w:t>
      </w:r>
      <w:proofErr w:type="spellEnd"/>
      <w:r w:rsidRPr="26B44573">
        <w:t xml:space="preserve"> A, Reis A, </w:t>
      </w:r>
      <w:proofErr w:type="spellStart"/>
      <w:r w:rsidRPr="26B44573">
        <w:t>Kossatz</w:t>
      </w:r>
      <w:proofErr w:type="spellEnd"/>
      <w:r w:rsidRPr="26B44573">
        <w:t xml:space="preserve"> S. Effectiveness of a desensitizing agent before in-office tooth bleaching in restored teeth. </w:t>
      </w:r>
      <w:r w:rsidRPr="26B44573">
        <w:rPr>
          <w:i/>
          <w:iCs/>
        </w:rPr>
        <w:t xml:space="preserve">Clin Oral </w:t>
      </w:r>
      <w:proofErr w:type="spellStart"/>
      <w:r w:rsidRPr="26B44573">
        <w:rPr>
          <w:i/>
          <w:iCs/>
        </w:rPr>
        <w:t>Investig</w:t>
      </w:r>
      <w:proofErr w:type="spellEnd"/>
      <w:r w:rsidRPr="26B44573">
        <w:t xml:space="preserve">. </w:t>
      </w:r>
      <w:proofErr w:type="gramStart"/>
      <w:r w:rsidRPr="26B44573">
        <w:t>2013;18:839</w:t>
      </w:r>
      <w:proofErr w:type="gramEnd"/>
      <w:r w:rsidRPr="26B44573">
        <w:t xml:space="preserve">–45. </w:t>
      </w:r>
      <w:hyperlink r:id="rId9">
        <w:r w:rsidRPr="26B44573">
          <w:rPr>
            <w:rStyle w:val="Hyperlink"/>
            <w:color w:val="auto"/>
            <w:u w:val="none"/>
          </w:rPr>
          <w:t>https://doi.org/10.1007/s00784-013-1055-7</w:t>
        </w:r>
      </w:hyperlink>
      <w:r w:rsidRPr="26B44573">
        <w:t>.</w:t>
      </w:r>
    </w:p>
    <w:p w:rsidR="26B44573" w:rsidP="26B44573" w:rsidRDefault="26B44573" w14:paraId="0966A6A0" w14:textId="0DC2CC1B">
      <w:pPr>
        <w:jc w:val="both"/>
      </w:pPr>
    </w:p>
    <w:p w:rsidR="1670FB70" w:rsidP="26B44573" w:rsidRDefault="1670FB70" w14:paraId="2D3FBD7D" w14:textId="1DF8ABE0">
      <w:pPr>
        <w:jc w:val="both"/>
      </w:pPr>
      <w:r w:rsidRPr="26B44573">
        <w:lastRenderedPageBreak/>
        <w:t xml:space="preserve">Godoy CE, Consani S, Guimarães AT, Laurindo BM, </w:t>
      </w:r>
      <w:proofErr w:type="spellStart"/>
      <w:r w:rsidRPr="26B44573">
        <w:t>Mendonça</w:t>
      </w:r>
      <w:proofErr w:type="spellEnd"/>
      <w:r w:rsidRPr="26B44573">
        <w:t xml:space="preserve"> MJ, </w:t>
      </w:r>
      <w:proofErr w:type="spellStart"/>
      <w:r w:rsidRPr="26B44573">
        <w:t>Camilotti</w:t>
      </w:r>
      <w:proofErr w:type="spellEnd"/>
      <w:r w:rsidRPr="26B44573">
        <w:t xml:space="preserve"> V. Effect of two desensitizing agents applied previous to in-office bleaching on the degree of whitening and dentin sensitivity: A randomized, controlled, double-blind clinical trial. </w:t>
      </w:r>
      <w:r w:rsidRPr="26B44573">
        <w:rPr>
          <w:i/>
          <w:iCs/>
        </w:rPr>
        <w:t>Am J Dent</w:t>
      </w:r>
      <w:r w:rsidRPr="26B44573">
        <w:t>. 2021;34(2):70–4. PMID: 33940662.</w:t>
      </w:r>
    </w:p>
    <w:p w:rsidR="26B44573" w:rsidP="26B44573" w:rsidRDefault="26B44573" w14:paraId="25FA2A1F" w14:textId="4FC382C4">
      <w:pPr>
        <w:jc w:val="both"/>
      </w:pPr>
    </w:p>
    <w:p w:rsidR="1670FB70" w:rsidP="26B44573" w:rsidRDefault="1670FB70" w14:paraId="31B98126" w14:textId="37739EA0">
      <w:pPr>
        <w:jc w:val="both"/>
      </w:pPr>
      <w:proofErr w:type="spellStart"/>
      <w:r w:rsidRPr="26B44573">
        <w:t>Balkaya</w:t>
      </w:r>
      <w:proofErr w:type="spellEnd"/>
      <w:r w:rsidRPr="26B44573">
        <w:t xml:space="preserve"> H, </w:t>
      </w:r>
      <w:proofErr w:type="spellStart"/>
      <w:r w:rsidRPr="26B44573">
        <w:t>Demirbuğa</w:t>
      </w:r>
      <w:proofErr w:type="spellEnd"/>
      <w:r w:rsidRPr="26B44573">
        <w:t xml:space="preserve"> S, Dayan S. An </w:t>
      </w:r>
      <w:proofErr w:type="gramStart"/>
      <w:r w:rsidRPr="26B44573">
        <w:t>experimental teeth</w:t>
      </w:r>
      <w:proofErr w:type="gramEnd"/>
      <w:r w:rsidRPr="26B44573">
        <w:t xml:space="preserve"> bleaching agent containing casein </w:t>
      </w:r>
      <w:proofErr w:type="spellStart"/>
      <w:r w:rsidRPr="26B44573">
        <w:t>phosphopeptide</w:t>
      </w:r>
      <w:proofErr w:type="spellEnd"/>
      <w:r w:rsidRPr="26B44573">
        <w:t xml:space="preserve">-amorphous calcium phosphate. </w:t>
      </w:r>
      <w:r w:rsidRPr="26B44573">
        <w:rPr>
          <w:i/>
          <w:iCs/>
        </w:rPr>
        <w:t xml:space="preserve">J </w:t>
      </w:r>
      <w:proofErr w:type="spellStart"/>
      <w:r w:rsidRPr="26B44573">
        <w:rPr>
          <w:i/>
          <w:iCs/>
        </w:rPr>
        <w:t>Esthet</w:t>
      </w:r>
      <w:proofErr w:type="spellEnd"/>
      <w:r w:rsidRPr="26B44573">
        <w:rPr>
          <w:i/>
          <w:iCs/>
        </w:rPr>
        <w:t xml:space="preserve"> </w:t>
      </w:r>
      <w:proofErr w:type="spellStart"/>
      <w:r w:rsidRPr="26B44573">
        <w:rPr>
          <w:i/>
          <w:iCs/>
        </w:rPr>
        <w:t>Restor</w:t>
      </w:r>
      <w:proofErr w:type="spellEnd"/>
      <w:r w:rsidRPr="26B44573">
        <w:rPr>
          <w:i/>
          <w:iCs/>
        </w:rPr>
        <w:t xml:space="preserve"> Dent</w:t>
      </w:r>
      <w:r w:rsidRPr="26B44573">
        <w:t>. 2024. https://doi.org/10.1111/jerd.13239.</w:t>
      </w:r>
    </w:p>
    <w:p w:rsidR="26B44573" w:rsidP="26B44573" w:rsidRDefault="26B44573" w14:paraId="30161331" w14:textId="3780AA7C">
      <w:pPr>
        <w:jc w:val="both"/>
      </w:pPr>
    </w:p>
    <w:p w:rsidR="1670FB70" w:rsidP="26B44573" w:rsidRDefault="1670FB70" w14:paraId="008C907F" w14:textId="3808D5E7">
      <w:pPr>
        <w:jc w:val="both"/>
      </w:pPr>
      <w:r w:rsidRPr="26B44573">
        <w:t xml:space="preserve">Garcia K, Nunes G, </w:t>
      </w:r>
      <w:proofErr w:type="spellStart"/>
      <w:r w:rsidRPr="26B44573">
        <w:t>Delbem</w:t>
      </w:r>
      <w:proofErr w:type="spellEnd"/>
      <w:r w:rsidRPr="26B44573">
        <w:t xml:space="preserve"> A, Santos P, Fernandes G, Robles H, et al. Inorganic phosphate effect in a hydrogen peroxide-based bleaching agent: Physicochemical, mechanical, and morphological properties of dental enamel. </w:t>
      </w:r>
      <w:r w:rsidRPr="26B44573">
        <w:rPr>
          <w:i/>
          <w:iCs/>
        </w:rPr>
        <w:t>Oper Dent</w:t>
      </w:r>
      <w:r w:rsidRPr="26B44573">
        <w:t>. 2024. https://doi.org/10.2341/24-002-L.</w:t>
      </w:r>
    </w:p>
    <w:p w:rsidR="26B44573" w:rsidP="26B44573" w:rsidRDefault="26B44573" w14:paraId="55E5FED5" w14:textId="58568FAB">
      <w:pPr>
        <w:jc w:val="both"/>
      </w:pPr>
    </w:p>
    <w:p w:rsidR="1670FB70" w:rsidP="26B44573" w:rsidRDefault="1670FB70" w14:paraId="0AB82D47" w14:textId="160BBC50">
      <w:pPr>
        <w:jc w:val="both"/>
      </w:pPr>
      <w:r w:rsidRPr="26B44573">
        <w:t xml:space="preserve">Vilhena K, Nogueira B, Fagundes N, Loretto S, Angélica R, Lima R, Souza M. Dental enamel bleached for a prolonged and excessive time: Morphological changes. </w:t>
      </w:r>
      <w:proofErr w:type="spellStart"/>
      <w:r w:rsidRPr="26B44573">
        <w:rPr>
          <w:i/>
          <w:iCs/>
        </w:rPr>
        <w:t>PLoS</w:t>
      </w:r>
      <w:proofErr w:type="spellEnd"/>
      <w:r w:rsidRPr="26B44573">
        <w:rPr>
          <w:i/>
          <w:iCs/>
        </w:rPr>
        <w:t xml:space="preserve"> One</w:t>
      </w:r>
      <w:r w:rsidRPr="26B44573">
        <w:t>. 2019;14. https://doi.org/10.1371/journal.pone.0214948.</w:t>
      </w:r>
    </w:p>
    <w:p w:rsidR="26B44573" w:rsidP="26B44573" w:rsidRDefault="26B44573" w14:paraId="72C9C4F1" w14:textId="3BEE1020">
      <w:pPr>
        <w:jc w:val="both"/>
      </w:pPr>
    </w:p>
    <w:p w:rsidR="1670FB70" w:rsidP="26B44573" w:rsidRDefault="1670FB70" w14:paraId="2BA553AE" w14:textId="3F0AC062">
      <w:pPr>
        <w:jc w:val="both"/>
      </w:pPr>
      <w:r w:rsidRPr="26B44573">
        <w:t xml:space="preserve">Loguercio A, Vargas L, Favoreto M, Andrade H, Borges C, Dávila-Sánchez A, et al. Effects of </w:t>
      </w:r>
      <w:proofErr w:type="spellStart"/>
      <w:r w:rsidRPr="26B44573">
        <w:t>microabrasion</w:t>
      </w:r>
      <w:proofErr w:type="spellEnd"/>
      <w:r w:rsidRPr="26B44573">
        <w:t xml:space="preserve"> prior to in-office bleaching on hydrogen peroxide permeability, color change, and enamel morphology. </w:t>
      </w:r>
      <w:r w:rsidRPr="26B44573">
        <w:rPr>
          <w:i/>
          <w:iCs/>
        </w:rPr>
        <w:t>Oper Dent</w:t>
      </w:r>
      <w:r w:rsidRPr="26B44573">
        <w:t>. 2021;46(6):661–8. https://doi.org/10.2341/20-179-L.</w:t>
      </w:r>
    </w:p>
    <w:p w:rsidR="26B44573" w:rsidP="26B44573" w:rsidRDefault="26B44573" w14:paraId="65792548" w14:textId="7C9A5C52">
      <w:pPr>
        <w:jc w:val="both"/>
      </w:pPr>
    </w:p>
    <w:p w:rsidR="1670FB70" w:rsidP="26B44573" w:rsidRDefault="1670FB70" w14:paraId="46FE849C" w14:textId="145C25E6">
      <w:pPr>
        <w:jc w:val="both"/>
      </w:pPr>
      <w:proofErr w:type="spellStart"/>
      <w:r w:rsidRPr="26B44573">
        <w:t>Kutuk</w:t>
      </w:r>
      <w:proofErr w:type="spellEnd"/>
      <w:r w:rsidRPr="26B44573">
        <w:t xml:space="preserve"> Z, </w:t>
      </w:r>
      <w:proofErr w:type="spellStart"/>
      <w:r w:rsidRPr="26B44573">
        <w:t>Ergin</w:t>
      </w:r>
      <w:proofErr w:type="spellEnd"/>
      <w:r w:rsidRPr="26B44573">
        <w:t xml:space="preserve"> E, Cakir F, Gurgan S. Effects of in-office bleaching agent combined with different desensitizing agents on enamel. </w:t>
      </w:r>
      <w:r w:rsidRPr="26B44573">
        <w:rPr>
          <w:i/>
          <w:iCs/>
        </w:rPr>
        <w:t>J Appl Oral Sci</w:t>
      </w:r>
      <w:r w:rsidRPr="26B44573">
        <w:t>. 2018;27. https://doi.org/10.1590/1678-7757-2018-0233.</w:t>
      </w:r>
    </w:p>
    <w:p w:rsidR="26B44573" w:rsidP="26B44573" w:rsidRDefault="26B44573" w14:paraId="5D6E1EBA" w14:textId="0CFF2B45">
      <w:pPr>
        <w:jc w:val="both"/>
      </w:pPr>
    </w:p>
    <w:p w:rsidR="1670FB70" w:rsidP="26B44573" w:rsidRDefault="1670FB70" w14:paraId="454595FE" w14:textId="53A649DE">
      <w:pPr>
        <w:jc w:val="both"/>
      </w:pPr>
      <w:r w:rsidRPr="26B44573">
        <w:t xml:space="preserve">Wu L, Li F, Morrow BR, Jiang S, Hottel TL, Garcia-Godoy F, Hong L. A novel antimicrobial and </w:t>
      </w:r>
      <w:proofErr w:type="spellStart"/>
      <w:r w:rsidRPr="26B44573">
        <w:t>remineralizing</w:t>
      </w:r>
      <w:proofErr w:type="spellEnd"/>
      <w:r w:rsidRPr="26B44573">
        <w:t xml:space="preserve"> toothpaste containing </w:t>
      </w:r>
      <w:proofErr w:type="spellStart"/>
      <w:r w:rsidRPr="26B44573">
        <w:t>CaCl</w:t>
      </w:r>
      <w:proofErr w:type="spellEnd"/>
      <w:r w:rsidRPr="26B44573">
        <w:t xml:space="preserve">₂/chitosan microspheres. </w:t>
      </w:r>
      <w:r w:rsidRPr="26B44573">
        <w:rPr>
          <w:i/>
          <w:iCs/>
        </w:rPr>
        <w:t>Am J Dent</w:t>
      </w:r>
      <w:r w:rsidRPr="26B44573">
        <w:t>. 2018;31(3):149–54. PMID: 30028934.</w:t>
      </w:r>
    </w:p>
    <w:p w:rsidR="26B44573" w:rsidP="26B44573" w:rsidRDefault="26B44573" w14:paraId="380D7A8D" w14:textId="1E3F55E4">
      <w:pPr>
        <w:jc w:val="both"/>
      </w:pPr>
    </w:p>
    <w:p w:rsidR="1670FB70" w:rsidP="26B44573" w:rsidRDefault="1670FB70" w14:paraId="1DA13852" w14:textId="228EF180">
      <w:pPr>
        <w:jc w:val="both"/>
      </w:pPr>
      <w:r w:rsidRPr="26B44573">
        <w:t xml:space="preserve">Zhang J, Boyes V, Festy F, Lynch RJM, Watson TF, Banerjee A. In-vitro subsurface </w:t>
      </w:r>
      <w:proofErr w:type="spellStart"/>
      <w:r w:rsidRPr="26B44573">
        <w:t>remineralisation</w:t>
      </w:r>
      <w:proofErr w:type="spellEnd"/>
      <w:r w:rsidRPr="26B44573">
        <w:t xml:space="preserve"> of artificial enamel white spot lesions pre-treated with chitosan. </w:t>
      </w:r>
      <w:r w:rsidRPr="26B44573">
        <w:rPr>
          <w:i/>
          <w:iCs/>
        </w:rPr>
        <w:t>Dent Mater</w:t>
      </w:r>
      <w:r w:rsidRPr="26B44573">
        <w:t>. 2018;34(8):1154–67. https://doi.org/10.1016/j.dental.2018.04.010.</w:t>
      </w:r>
    </w:p>
    <w:p w:rsidR="26B44573" w:rsidP="26B44573" w:rsidRDefault="26B44573" w14:paraId="0DE7F5B7" w14:textId="0858B78D">
      <w:pPr>
        <w:jc w:val="both"/>
      </w:pPr>
    </w:p>
    <w:p w:rsidR="1670FB70" w:rsidP="26B44573" w:rsidRDefault="1670FB70" w14:paraId="02085DA8" w14:textId="17635A5A">
      <w:pPr>
        <w:jc w:val="both"/>
      </w:pPr>
      <w:proofErr w:type="spellStart"/>
      <w:r w:rsidRPr="26B44573">
        <w:t>Sürmelioğlu</w:t>
      </w:r>
      <w:proofErr w:type="spellEnd"/>
      <w:r w:rsidRPr="26B44573">
        <w:t xml:space="preserve"> D, </w:t>
      </w:r>
      <w:proofErr w:type="spellStart"/>
      <w:r w:rsidRPr="26B44573">
        <w:t>Özçetin</w:t>
      </w:r>
      <w:proofErr w:type="spellEnd"/>
      <w:r w:rsidRPr="26B44573">
        <w:t xml:space="preserve"> H, Özdemir Z, Yavuz S, Aydın U. Effectiveness and SEM–EDX analysis following bleaching with an experimental bleaching gel containing titanium dioxide and/or chitosan. </w:t>
      </w:r>
      <w:r w:rsidRPr="26B44573">
        <w:rPr>
          <w:i/>
          <w:iCs/>
        </w:rPr>
        <w:t>Odontology</w:t>
      </w:r>
      <w:r w:rsidRPr="26B44573">
        <w:t xml:space="preserve">. </w:t>
      </w:r>
      <w:proofErr w:type="gramStart"/>
      <w:r w:rsidRPr="26B44573">
        <w:t>2020;109:114</w:t>
      </w:r>
      <w:proofErr w:type="gramEnd"/>
      <w:r w:rsidRPr="26B44573">
        <w:t>–23. https://doi.org/10.1007/s10266-020-00526-8.</w:t>
      </w:r>
    </w:p>
    <w:p w:rsidR="26B44573" w:rsidP="26B44573" w:rsidRDefault="26B44573" w14:paraId="7257A8A8" w14:textId="7CC2B71F">
      <w:pPr>
        <w:jc w:val="both"/>
      </w:pPr>
    </w:p>
    <w:p w:rsidR="1670FB70" w:rsidP="26B44573" w:rsidRDefault="1670FB70" w14:paraId="762BB023" w14:textId="1DC76760">
      <w:pPr>
        <w:jc w:val="both"/>
      </w:pPr>
      <w:proofErr w:type="spellStart"/>
      <w:r w:rsidRPr="26B44573">
        <w:t>Lucon</w:t>
      </w:r>
      <w:proofErr w:type="spellEnd"/>
      <w:r w:rsidRPr="26B44573">
        <w:t xml:space="preserve"> AM, Vieira Junior WF, Pini NIP, Aguiar FHB, Lima DANL. </w:t>
      </w:r>
      <w:proofErr w:type="spellStart"/>
      <w:r w:rsidRPr="26B44573">
        <w:t>Associação</w:t>
      </w:r>
      <w:proofErr w:type="spellEnd"/>
      <w:r w:rsidRPr="26B44573">
        <w:t xml:space="preserve"> de </w:t>
      </w:r>
      <w:proofErr w:type="spellStart"/>
      <w:r w:rsidRPr="26B44573">
        <w:t>dentifrício</w:t>
      </w:r>
      <w:proofErr w:type="spellEnd"/>
      <w:r w:rsidRPr="26B44573">
        <w:t xml:space="preserve"> à base de </w:t>
      </w:r>
      <w:proofErr w:type="spellStart"/>
      <w:r w:rsidRPr="26B44573">
        <w:t>quitosana</w:t>
      </w:r>
      <w:proofErr w:type="spellEnd"/>
      <w:r w:rsidRPr="26B44573">
        <w:t xml:space="preserve"> </w:t>
      </w:r>
      <w:proofErr w:type="spellStart"/>
      <w:r w:rsidRPr="26B44573">
        <w:t>ao</w:t>
      </w:r>
      <w:proofErr w:type="spellEnd"/>
      <w:r w:rsidRPr="26B44573">
        <w:t xml:space="preserve"> </w:t>
      </w:r>
      <w:proofErr w:type="spellStart"/>
      <w:r w:rsidRPr="26B44573">
        <w:t>clareamento</w:t>
      </w:r>
      <w:proofErr w:type="spellEnd"/>
      <w:r w:rsidRPr="26B44573">
        <w:t xml:space="preserve"> </w:t>
      </w:r>
      <w:proofErr w:type="spellStart"/>
      <w:r w:rsidRPr="26B44573">
        <w:t>caseiro</w:t>
      </w:r>
      <w:proofErr w:type="spellEnd"/>
      <w:r w:rsidRPr="26B44573">
        <w:t xml:space="preserve">: </w:t>
      </w:r>
      <w:proofErr w:type="spellStart"/>
      <w:r w:rsidRPr="26B44573">
        <w:t>efeitos</w:t>
      </w:r>
      <w:proofErr w:type="spellEnd"/>
      <w:r w:rsidRPr="26B44573">
        <w:t xml:space="preserve"> </w:t>
      </w:r>
      <w:proofErr w:type="spellStart"/>
      <w:r w:rsidRPr="26B44573">
        <w:t>na</w:t>
      </w:r>
      <w:proofErr w:type="spellEnd"/>
      <w:r w:rsidRPr="26B44573">
        <w:t xml:space="preserve"> </w:t>
      </w:r>
      <w:proofErr w:type="spellStart"/>
      <w:r w:rsidRPr="26B44573">
        <w:t>susceptibilidade</w:t>
      </w:r>
      <w:proofErr w:type="spellEnd"/>
      <w:r w:rsidRPr="26B44573">
        <w:t xml:space="preserve"> </w:t>
      </w:r>
      <w:proofErr w:type="spellStart"/>
      <w:r w:rsidRPr="26B44573">
        <w:t>ao</w:t>
      </w:r>
      <w:proofErr w:type="spellEnd"/>
      <w:r w:rsidRPr="26B44573">
        <w:t xml:space="preserve"> </w:t>
      </w:r>
      <w:proofErr w:type="spellStart"/>
      <w:r w:rsidRPr="26B44573">
        <w:t>manchamento</w:t>
      </w:r>
      <w:proofErr w:type="spellEnd"/>
      <w:r w:rsidRPr="26B44573">
        <w:t xml:space="preserve"> e </w:t>
      </w:r>
      <w:proofErr w:type="spellStart"/>
      <w:r w:rsidRPr="26B44573">
        <w:t>morfologia</w:t>
      </w:r>
      <w:proofErr w:type="spellEnd"/>
      <w:r w:rsidRPr="26B44573">
        <w:t xml:space="preserve"> do </w:t>
      </w:r>
      <w:proofErr w:type="spellStart"/>
      <w:r w:rsidRPr="26B44573">
        <w:t>esmalte</w:t>
      </w:r>
      <w:proofErr w:type="spellEnd"/>
      <w:r w:rsidRPr="26B44573">
        <w:t xml:space="preserve">. </w:t>
      </w:r>
      <w:r w:rsidRPr="26B44573">
        <w:rPr>
          <w:i/>
          <w:iCs/>
        </w:rPr>
        <w:t>Braz Oral Res</w:t>
      </w:r>
      <w:r w:rsidRPr="26B44573">
        <w:t xml:space="preserve">. </w:t>
      </w:r>
      <w:proofErr w:type="gramStart"/>
      <w:r w:rsidRPr="26B44573">
        <w:t>2016;30:127</w:t>
      </w:r>
      <w:proofErr w:type="gramEnd"/>
      <w:r w:rsidRPr="26B44573">
        <w:t>.</w:t>
      </w:r>
    </w:p>
    <w:p w:rsidR="26B44573" w:rsidP="26B44573" w:rsidRDefault="26B44573" w14:paraId="63BF01C7" w14:textId="11A179A0">
      <w:pPr>
        <w:jc w:val="both"/>
      </w:pPr>
    </w:p>
    <w:p w:rsidR="1670FB70" w:rsidP="26B44573" w:rsidRDefault="1670FB70" w14:paraId="0E0871B1" w14:textId="61DBA144">
      <w:pPr>
        <w:jc w:val="both"/>
      </w:pPr>
      <w:r w:rsidRPr="26B44573">
        <w:t>Zhang J, Lynch RJM, Watson TF, Banerjee A. Chitosan-</w:t>
      </w:r>
      <w:proofErr w:type="spellStart"/>
      <w:r w:rsidRPr="26B44573">
        <w:t>bioglass</w:t>
      </w:r>
      <w:proofErr w:type="spellEnd"/>
      <w:r w:rsidRPr="26B44573">
        <w:t xml:space="preserve"> complexes promote subsurface </w:t>
      </w:r>
      <w:proofErr w:type="spellStart"/>
      <w:r w:rsidRPr="26B44573">
        <w:t>remineralisation</w:t>
      </w:r>
      <w:proofErr w:type="spellEnd"/>
      <w:r w:rsidRPr="26B44573">
        <w:t xml:space="preserve"> of incipient human carious enamel lesions. </w:t>
      </w:r>
      <w:r w:rsidRPr="26B44573">
        <w:rPr>
          <w:i/>
          <w:iCs/>
        </w:rPr>
        <w:t>J Dent</w:t>
      </w:r>
      <w:r w:rsidRPr="26B44573">
        <w:t xml:space="preserve">. </w:t>
      </w:r>
      <w:proofErr w:type="gramStart"/>
      <w:r w:rsidRPr="26B44573">
        <w:t>2019;84:67</w:t>
      </w:r>
      <w:proofErr w:type="gramEnd"/>
      <w:r w:rsidRPr="26B44573">
        <w:t>–75. https://doi.org/10.1016/j.jdent.2019.03.006.</w:t>
      </w:r>
    </w:p>
    <w:p w:rsidR="26B44573" w:rsidP="26B44573" w:rsidRDefault="26B44573" w14:paraId="7AFFF47D" w14:textId="7F242303">
      <w:pPr>
        <w:jc w:val="both"/>
      </w:pPr>
    </w:p>
    <w:p w:rsidR="1670FB70" w:rsidP="26B44573" w:rsidRDefault="1670FB70" w14:paraId="7816A259" w14:textId="568079FF">
      <w:pPr>
        <w:jc w:val="both"/>
      </w:pPr>
      <w:r w:rsidRPr="26B44573">
        <w:t xml:space="preserve">Ogawa Y, Naito P, Nishiyama Y. Hydrogen-bonding network in anhydrous chitosan from neutron crystallography and periodic density functional theory calculations. </w:t>
      </w:r>
      <w:proofErr w:type="spellStart"/>
      <w:r w:rsidRPr="26B44573">
        <w:rPr>
          <w:i/>
          <w:iCs/>
        </w:rPr>
        <w:t>Carbohydr</w:t>
      </w:r>
      <w:proofErr w:type="spellEnd"/>
      <w:r w:rsidRPr="26B44573">
        <w:rPr>
          <w:i/>
          <w:iCs/>
        </w:rPr>
        <w:t xml:space="preserve"> </w:t>
      </w:r>
      <w:proofErr w:type="spellStart"/>
      <w:r w:rsidRPr="26B44573">
        <w:rPr>
          <w:i/>
          <w:iCs/>
        </w:rPr>
        <w:t>Polym</w:t>
      </w:r>
      <w:proofErr w:type="spellEnd"/>
      <w:r w:rsidRPr="26B44573">
        <w:t xml:space="preserve">. </w:t>
      </w:r>
      <w:proofErr w:type="gramStart"/>
      <w:r w:rsidRPr="26B44573">
        <w:t>2019;207:211</w:t>
      </w:r>
      <w:proofErr w:type="gramEnd"/>
      <w:r w:rsidRPr="26B44573">
        <w:t>–7. https://doi.org/10.1016/j.carbpol.2018.11.042.</w:t>
      </w:r>
    </w:p>
    <w:p w:rsidR="26B44573" w:rsidP="26B44573" w:rsidRDefault="26B44573" w14:paraId="2EC6B417" w14:textId="12D28F87">
      <w:pPr>
        <w:jc w:val="both"/>
      </w:pPr>
    </w:p>
    <w:p w:rsidR="1670FB70" w:rsidP="26B44573" w:rsidRDefault="1670FB70" w14:paraId="2474842D" w14:textId="35B2C460">
      <w:pPr>
        <w:jc w:val="both"/>
      </w:pPr>
      <w:r w:rsidRPr="26B44573">
        <w:lastRenderedPageBreak/>
        <w:t xml:space="preserve">Ahmed TA, </w:t>
      </w:r>
      <w:proofErr w:type="spellStart"/>
      <w:r w:rsidRPr="26B44573">
        <w:t>Aljaeid</w:t>
      </w:r>
      <w:proofErr w:type="spellEnd"/>
      <w:r w:rsidRPr="26B44573">
        <w:t xml:space="preserve"> BM. Preparation, characterization, and potential application of chitosan, chitosan derivatives, and chitosan metal nanoparticles in pharmaceutical drug delivery. </w:t>
      </w:r>
      <w:r w:rsidRPr="26B44573">
        <w:rPr>
          <w:i/>
          <w:iCs/>
        </w:rPr>
        <w:t>Drug Des Devel Ther</w:t>
      </w:r>
      <w:r w:rsidRPr="26B44573">
        <w:t xml:space="preserve">. </w:t>
      </w:r>
      <w:proofErr w:type="gramStart"/>
      <w:r w:rsidRPr="26B44573">
        <w:t>2016;10:483</w:t>
      </w:r>
      <w:proofErr w:type="gramEnd"/>
      <w:r w:rsidRPr="26B44573">
        <w:t>–507. https://doi.org/10.2147/DDDT.S99651.</w:t>
      </w:r>
    </w:p>
    <w:p w:rsidR="26B44573" w:rsidP="26B44573" w:rsidRDefault="26B44573" w14:paraId="59355F84" w14:textId="6FF2E0EB">
      <w:pPr>
        <w:jc w:val="both"/>
      </w:pPr>
    </w:p>
    <w:p w:rsidR="1670FB70" w:rsidP="26B44573" w:rsidRDefault="1670FB70" w14:paraId="4744C1B0" w14:textId="320A0CB0">
      <w:pPr>
        <w:jc w:val="both"/>
      </w:pPr>
      <w:r w:rsidR="2C2A89C4">
        <w:rPr/>
        <w:t>Gierszewska</w:t>
      </w:r>
      <w:r w:rsidR="2C2A89C4">
        <w:rPr/>
        <w:t xml:space="preserve"> M, </w:t>
      </w:r>
      <w:r w:rsidR="2C2A89C4">
        <w:rPr/>
        <w:t>Ostrowska-</w:t>
      </w:r>
      <w:r w:rsidR="2C2A89C4">
        <w:rPr/>
        <w:t>Czubenko</w:t>
      </w:r>
      <w:r w:rsidR="2C2A89C4">
        <w:rPr/>
        <w:t xml:space="preserve"> J. Chitosan-based membranes with different ionic crosslinking density for pharmaceutical and industrial applications. </w:t>
      </w:r>
      <w:r w:rsidRPr="17D1E7E1" w:rsidR="2C2A89C4">
        <w:rPr>
          <w:i w:val="1"/>
          <w:iCs w:val="1"/>
        </w:rPr>
        <w:t>Carbohydr</w:t>
      </w:r>
      <w:r w:rsidRPr="17D1E7E1" w:rsidR="2C2A89C4">
        <w:rPr>
          <w:i w:val="1"/>
          <w:iCs w:val="1"/>
        </w:rPr>
        <w:t xml:space="preserve"> </w:t>
      </w:r>
      <w:r w:rsidRPr="17D1E7E1" w:rsidR="2C2A89C4">
        <w:rPr>
          <w:i w:val="1"/>
          <w:iCs w:val="1"/>
        </w:rPr>
        <w:t>Polym</w:t>
      </w:r>
      <w:r w:rsidR="2C2A89C4">
        <w:rPr/>
        <w:t xml:space="preserve">. </w:t>
      </w:r>
      <w:r w:rsidR="2C2A89C4">
        <w:rPr/>
        <w:t>2016;153:501</w:t>
      </w:r>
      <w:r w:rsidR="2C2A89C4">
        <w:rPr/>
        <w:t xml:space="preserve">–11. </w:t>
      </w:r>
      <w:r w:rsidR="2C2A89C4">
        <w:rPr/>
        <w:t>https://doi.org/10.1016/j.carbpol.2016.07.126</w:t>
      </w:r>
      <w:r w:rsidR="2C2A89C4">
        <w:rPr/>
        <w:t>.</w:t>
      </w:r>
    </w:p>
    <w:p w:rsidR="17D1E7E1" w:rsidP="17D1E7E1" w:rsidRDefault="17D1E7E1" w14:paraId="7E7C3D2F" w14:textId="6FFEE209">
      <w:pPr>
        <w:jc w:val="both"/>
      </w:pPr>
    </w:p>
    <w:p w:rsidR="01674886" w:rsidP="17D1E7E1" w:rsidRDefault="01674886" w14:paraId="1AFDA53E" w14:textId="1386357E">
      <w:pPr>
        <w:jc w:val="both"/>
        <w:sectPr w:rsidR="1670FB70" w:rsidSect="0058218F">
          <w:headerReference w:type="even" r:id="rId10"/>
          <w:headerReference w:type="default" r:id="rId11"/>
          <w:footerReference w:type="even" r:id="rId12"/>
          <w:footerReference w:type="default" r:id="rId13"/>
          <w:headerReference w:type="first" r:id="rId14"/>
          <w:footerReference w:type="first" r:id="rId15"/>
          <w:type w:val="continuous"/>
          <w:pgSz w:w="12240" w:h="15840" w:orient="portrait"/>
          <w:pgMar w:top="1440" w:right="2016" w:bottom="2016" w:left="2016" w:header="720" w:footer="1123" w:gutter="0"/>
          <w:cols w:space="720"/>
          <w:docGrid w:linePitch="272"/>
        </w:sectPr>
      </w:pPr>
      <w:r w:rsidR="01674886">
        <w:rPr/>
        <w:t xml:space="preserve">Wiggers IF, Mendonça MJ, </w:t>
      </w:r>
      <w:r w:rsidR="01674886">
        <w:rPr/>
        <w:t>Vanolli</w:t>
      </w:r>
      <w:r w:rsidR="01674886">
        <w:rPr/>
        <w:t xml:space="preserve"> R, Campos F, Ueda JK, Colognese MRV, </w:t>
      </w:r>
      <w:r w:rsidR="01674886">
        <w:rPr/>
        <w:t>Camilotti</w:t>
      </w:r>
      <w:r w:rsidR="01674886">
        <w:rPr/>
        <w:t xml:space="preserve"> V. Ozonated Oil as a Desensitizing Protocol in External Dental Bleaching: A Clinical, Randomized and Double-Blind Study. </w:t>
      </w:r>
      <w:r w:rsidRPr="17D1E7E1" w:rsidR="01674886">
        <w:rPr>
          <w:i w:val="1"/>
          <w:iCs w:val="1"/>
        </w:rPr>
        <w:t>J. Adv. Med. Med. Res.</w:t>
      </w:r>
      <w:r w:rsidR="01674886">
        <w:rPr/>
        <w:t xml:space="preserve"> 2023;</w:t>
      </w:r>
      <w:r w:rsidR="694BD6C7">
        <w:rPr/>
        <w:t>35(</w:t>
      </w:r>
      <w:r w:rsidR="01674886">
        <w:rPr/>
        <w:t>15</w:t>
      </w:r>
      <w:r w:rsidR="14B82C61">
        <w:rPr/>
        <w:t>)</w:t>
      </w:r>
      <w:r w:rsidR="01674886">
        <w:rPr/>
        <w:t xml:space="preserve">:10-2. </w:t>
      </w:r>
      <w:r w:rsidR="4D9D727D">
        <w:rPr/>
        <w:t>https://doi.org/10.9734/jammr/2023/v35i155064.</w:t>
      </w:r>
    </w:p>
    <w:p w:rsidRPr="00FB3A86" w:rsidR="00B01FCD" w:rsidP="00441B6F" w:rsidRDefault="00B01FCD" w14:paraId="62431CDC" w14:textId="77777777">
      <w:pPr>
        <w:pStyle w:val="Appendix"/>
        <w:spacing w:after="0"/>
        <w:jc w:val="both"/>
        <w:rPr>
          <w:rFonts w:ascii="Arial" w:hAnsi="Arial" w:cs="Arial"/>
          <w:b w:val="0"/>
        </w:rPr>
      </w:pPr>
    </w:p>
    <w:sectPr w:rsidRPr="00FB3A86" w:rsidR="00B01FCD" w:rsidSect="0058218F">
      <w:type w:val="continuous"/>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3E0" w:rsidP="00C37E61" w:rsidRDefault="007B03E0" w14:paraId="13D18030" w14:textId="77777777">
      <w:r>
        <w:separator/>
      </w:r>
    </w:p>
  </w:endnote>
  <w:endnote w:type="continuationSeparator" w:id="0">
    <w:p w:rsidR="007B03E0" w:rsidP="00C37E61" w:rsidRDefault="007B03E0" w14:paraId="23B1AEF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46D" w:rsidRDefault="00A2746D" w14:paraId="762A0E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C37E61" w:rsidR="00C37E61" w:rsidP="00C37E61" w:rsidRDefault="00C37E61" w14:paraId="0B4020A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46D" w:rsidRDefault="00A2746D" w14:paraId="6AD9379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3E0" w:rsidP="00C37E61" w:rsidRDefault="007B03E0" w14:paraId="511DC3DE" w14:textId="77777777">
      <w:r>
        <w:separator/>
      </w:r>
    </w:p>
  </w:footnote>
  <w:footnote w:type="continuationSeparator" w:id="0">
    <w:p w:rsidR="007B03E0" w:rsidP="00C37E61" w:rsidRDefault="007B03E0" w14:paraId="7C612EC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46D" w:rsidRDefault="007B03E0" w14:paraId="508BE115" w14:textId="3C7C6489">
    <w:pPr>
      <w:pStyle w:val="Header"/>
    </w:pPr>
    <w:r>
      <w:rPr>
        <w:noProof/>
      </w:rPr>
      <w:pict w14:anchorId="0F9AB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090063" style="position:absolute;margin-left:0;margin-top:0;width:520.65pt;height:57.85pt;rotation:315;z-index:-251655168;mso-position-horizontal:center;mso-position-horizontal-relative:margin;mso-position-vertical:center;mso-position-vertical-relative:margin" o:spid="_x0000_s2050" o:allowincell="f" fillcolor="silver" stroked="f" type="#_x0000_t136">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46D" w:rsidRDefault="007B03E0" w14:paraId="30322ADB" w14:textId="258E1886">
    <w:pPr>
      <w:pStyle w:val="Header"/>
    </w:pPr>
    <w:r>
      <w:rPr>
        <w:noProof/>
      </w:rPr>
      <w:pict w14:anchorId="64B59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090064" style="position:absolute;margin-left:0;margin-top:0;width:520.65pt;height:57.85pt;rotation:315;z-index:-251653120;mso-position-horizontal:center;mso-position-horizontal-relative:margin;mso-position-vertical:center;mso-position-vertical-relative:margin" o:spid="_x0000_s2051" o:allowincell="f" fillcolor="silver" stroked="f" type="#_x0000_t136">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46D" w:rsidRDefault="007B03E0" w14:paraId="397D04E6" w14:textId="6B1C1A65">
    <w:pPr>
      <w:pStyle w:val="Header"/>
    </w:pPr>
    <w:r>
      <w:rPr>
        <w:noProof/>
      </w:rPr>
      <w:pict w14:anchorId="73A70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090062" style="position:absolute;margin-left:0;margin-top:0;width:520.65pt;height:57.85pt;rotation:315;z-index:-251657216;mso-position-horizontal:center;mso-position-horizontal-relative:margin;mso-position-vertical:center;mso-position-vertical-relative:margin" o:spid="_x0000_s2049" o:allowincell="f" fillcolor="silver" stroked="f" type="#_x0000_t136">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hint="default" w:ascii="Symbol" w:hAnsi="Symbol"/>
      </w:rPr>
    </w:lvl>
    <w:lvl w:ilvl="1" w:tplc="04140003" w:tentative="1">
      <w:start w:val="1"/>
      <w:numFmt w:val="bullet"/>
      <w:lvlText w:val="o"/>
      <w:lvlJc w:val="left"/>
      <w:pPr>
        <w:tabs>
          <w:tab w:val="num" w:pos="1440"/>
        </w:tabs>
        <w:ind w:left="1440" w:hanging="360"/>
      </w:pPr>
      <w:rPr>
        <w:rFonts w:hint="default" w:ascii="Courier New" w:hAnsi="Courier New" w:cs="Courier New"/>
      </w:rPr>
    </w:lvl>
    <w:lvl w:ilvl="2" w:tplc="04140005" w:tentative="1">
      <w:start w:val="1"/>
      <w:numFmt w:val="bullet"/>
      <w:lvlText w:val=""/>
      <w:lvlJc w:val="left"/>
      <w:pPr>
        <w:tabs>
          <w:tab w:val="num" w:pos="2160"/>
        </w:tabs>
        <w:ind w:left="2160" w:hanging="360"/>
      </w:pPr>
      <w:rPr>
        <w:rFonts w:hint="default" w:ascii="Wingdings" w:hAnsi="Wingdings"/>
      </w:rPr>
    </w:lvl>
    <w:lvl w:ilvl="3" w:tplc="04140001" w:tentative="1">
      <w:start w:val="1"/>
      <w:numFmt w:val="bullet"/>
      <w:lvlText w:val=""/>
      <w:lvlJc w:val="left"/>
      <w:pPr>
        <w:tabs>
          <w:tab w:val="num" w:pos="2880"/>
        </w:tabs>
        <w:ind w:left="2880" w:hanging="360"/>
      </w:pPr>
      <w:rPr>
        <w:rFonts w:hint="default" w:ascii="Symbol" w:hAnsi="Symbol"/>
      </w:rPr>
    </w:lvl>
    <w:lvl w:ilvl="4" w:tplc="04140003" w:tentative="1">
      <w:start w:val="1"/>
      <w:numFmt w:val="bullet"/>
      <w:lvlText w:val="o"/>
      <w:lvlJc w:val="left"/>
      <w:pPr>
        <w:tabs>
          <w:tab w:val="num" w:pos="3600"/>
        </w:tabs>
        <w:ind w:left="3600" w:hanging="360"/>
      </w:pPr>
      <w:rPr>
        <w:rFonts w:hint="default" w:ascii="Courier New" w:hAnsi="Courier New" w:cs="Courier New"/>
      </w:rPr>
    </w:lvl>
    <w:lvl w:ilvl="5" w:tplc="04140005" w:tentative="1">
      <w:start w:val="1"/>
      <w:numFmt w:val="bullet"/>
      <w:lvlText w:val=""/>
      <w:lvlJc w:val="left"/>
      <w:pPr>
        <w:tabs>
          <w:tab w:val="num" w:pos="4320"/>
        </w:tabs>
        <w:ind w:left="4320" w:hanging="360"/>
      </w:pPr>
      <w:rPr>
        <w:rFonts w:hint="default" w:ascii="Wingdings" w:hAnsi="Wingdings"/>
      </w:rPr>
    </w:lvl>
    <w:lvl w:ilvl="6" w:tplc="04140001" w:tentative="1">
      <w:start w:val="1"/>
      <w:numFmt w:val="bullet"/>
      <w:lvlText w:val=""/>
      <w:lvlJc w:val="left"/>
      <w:pPr>
        <w:tabs>
          <w:tab w:val="num" w:pos="5040"/>
        </w:tabs>
        <w:ind w:left="5040" w:hanging="360"/>
      </w:pPr>
      <w:rPr>
        <w:rFonts w:hint="default" w:ascii="Symbol" w:hAnsi="Symbol"/>
      </w:rPr>
    </w:lvl>
    <w:lvl w:ilvl="7" w:tplc="04140003" w:tentative="1">
      <w:start w:val="1"/>
      <w:numFmt w:val="bullet"/>
      <w:lvlText w:val="o"/>
      <w:lvlJc w:val="left"/>
      <w:pPr>
        <w:tabs>
          <w:tab w:val="num" w:pos="5760"/>
        </w:tabs>
        <w:ind w:left="5760" w:hanging="360"/>
      </w:pPr>
      <w:rPr>
        <w:rFonts w:hint="default" w:ascii="Courier New" w:hAnsi="Courier New" w:cs="Courier New"/>
      </w:rPr>
    </w:lvl>
    <w:lvl w:ilvl="8" w:tplc="0414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hint="default" w:ascii="Symbol" w:hAnsi="Symbol"/>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hint="default" w:ascii="Wingdings" w:hAnsi="Wingdings"/>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622"/>
    <w:rsid w:val="00000F8F"/>
    <w:rsid w:val="00017000"/>
    <w:rsid w:val="0002253E"/>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3DD2"/>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F6320"/>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8218F"/>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27BB"/>
    <w:rsid w:val="006B21D3"/>
    <w:rsid w:val="006B57D0"/>
    <w:rsid w:val="006D30FF"/>
    <w:rsid w:val="006D6940"/>
    <w:rsid w:val="006E401C"/>
    <w:rsid w:val="006F11EC"/>
    <w:rsid w:val="0070082C"/>
    <w:rsid w:val="007369E6"/>
    <w:rsid w:val="00746E59"/>
    <w:rsid w:val="00754C9A"/>
    <w:rsid w:val="0075599A"/>
    <w:rsid w:val="00761D52"/>
    <w:rsid w:val="0077749E"/>
    <w:rsid w:val="00790ADA"/>
    <w:rsid w:val="00792FEE"/>
    <w:rsid w:val="007B03E0"/>
    <w:rsid w:val="007D2288"/>
    <w:rsid w:val="007E088F"/>
    <w:rsid w:val="007F7B32"/>
    <w:rsid w:val="00804BC2"/>
    <w:rsid w:val="0081431A"/>
    <w:rsid w:val="0083216F"/>
    <w:rsid w:val="00832A8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B45A6"/>
    <w:rsid w:val="009C2465"/>
    <w:rsid w:val="009D35A0"/>
    <w:rsid w:val="009D7EB7"/>
    <w:rsid w:val="009E048A"/>
    <w:rsid w:val="009E08E9"/>
    <w:rsid w:val="009E3DB9"/>
    <w:rsid w:val="009E6E35"/>
    <w:rsid w:val="009F0EDA"/>
    <w:rsid w:val="00A03B96"/>
    <w:rsid w:val="00A05B19"/>
    <w:rsid w:val="00A1134E"/>
    <w:rsid w:val="00A24E7E"/>
    <w:rsid w:val="00A258C3"/>
    <w:rsid w:val="00A2746D"/>
    <w:rsid w:val="00A347C0"/>
    <w:rsid w:val="00A51431"/>
    <w:rsid w:val="00A539AD"/>
    <w:rsid w:val="00A94063"/>
    <w:rsid w:val="00AA6219"/>
    <w:rsid w:val="00AA74E0"/>
    <w:rsid w:val="00AB703F"/>
    <w:rsid w:val="00AC6BB8"/>
    <w:rsid w:val="00AE008F"/>
    <w:rsid w:val="00B01FCD"/>
    <w:rsid w:val="00B056E6"/>
    <w:rsid w:val="00B05C9F"/>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34B9"/>
    <w:rsid w:val="00D173F1"/>
    <w:rsid w:val="00D74CB0"/>
    <w:rsid w:val="00D8295D"/>
    <w:rsid w:val="00DC2A65"/>
    <w:rsid w:val="00DE15F0"/>
    <w:rsid w:val="00DE5663"/>
    <w:rsid w:val="00DE78AA"/>
    <w:rsid w:val="00DF798F"/>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4F21"/>
    <w:rsid w:val="00F17988"/>
    <w:rsid w:val="00F469F0"/>
    <w:rsid w:val="00F53273"/>
    <w:rsid w:val="00F755E4"/>
    <w:rsid w:val="00F77D02"/>
    <w:rsid w:val="00FB3A86"/>
    <w:rsid w:val="00FD36C8"/>
    <w:rsid w:val="0123DA4B"/>
    <w:rsid w:val="01674886"/>
    <w:rsid w:val="0295F0C1"/>
    <w:rsid w:val="029A65CD"/>
    <w:rsid w:val="0457ABE9"/>
    <w:rsid w:val="050BDF9C"/>
    <w:rsid w:val="059D8414"/>
    <w:rsid w:val="0637542C"/>
    <w:rsid w:val="06DABA48"/>
    <w:rsid w:val="0719E012"/>
    <w:rsid w:val="074A73F7"/>
    <w:rsid w:val="0815456F"/>
    <w:rsid w:val="08E5C40B"/>
    <w:rsid w:val="0975B10F"/>
    <w:rsid w:val="09FBA1A3"/>
    <w:rsid w:val="0A06BAD5"/>
    <w:rsid w:val="0A702DA1"/>
    <w:rsid w:val="0B0C9D8C"/>
    <w:rsid w:val="0B24565C"/>
    <w:rsid w:val="0B2A69AE"/>
    <w:rsid w:val="0B536D58"/>
    <w:rsid w:val="0D0BB58B"/>
    <w:rsid w:val="0D487152"/>
    <w:rsid w:val="0E3712ED"/>
    <w:rsid w:val="0EED9345"/>
    <w:rsid w:val="0F0AE2B8"/>
    <w:rsid w:val="0FA16047"/>
    <w:rsid w:val="1088C8B7"/>
    <w:rsid w:val="10AC16B3"/>
    <w:rsid w:val="1139AED9"/>
    <w:rsid w:val="121FA513"/>
    <w:rsid w:val="127B92EF"/>
    <w:rsid w:val="12C188A2"/>
    <w:rsid w:val="13701219"/>
    <w:rsid w:val="14B82C61"/>
    <w:rsid w:val="14CD0CCD"/>
    <w:rsid w:val="15292E38"/>
    <w:rsid w:val="15AD7329"/>
    <w:rsid w:val="162E33A5"/>
    <w:rsid w:val="1649AB94"/>
    <w:rsid w:val="166DE5D7"/>
    <w:rsid w:val="1670FB70"/>
    <w:rsid w:val="16F67DD6"/>
    <w:rsid w:val="1748F376"/>
    <w:rsid w:val="17679283"/>
    <w:rsid w:val="177A4384"/>
    <w:rsid w:val="17D1E7E1"/>
    <w:rsid w:val="18541C02"/>
    <w:rsid w:val="185994BB"/>
    <w:rsid w:val="18E550CC"/>
    <w:rsid w:val="19EE6E2B"/>
    <w:rsid w:val="1A171908"/>
    <w:rsid w:val="1A4B5B57"/>
    <w:rsid w:val="1AB56508"/>
    <w:rsid w:val="1AC24A16"/>
    <w:rsid w:val="1AD55F01"/>
    <w:rsid w:val="1B0B8439"/>
    <w:rsid w:val="1B5CBF07"/>
    <w:rsid w:val="1B9CB199"/>
    <w:rsid w:val="1BF829ED"/>
    <w:rsid w:val="1C07E5E2"/>
    <w:rsid w:val="1C6D0713"/>
    <w:rsid w:val="1C792ED6"/>
    <w:rsid w:val="1D0E833E"/>
    <w:rsid w:val="1D1EC7CD"/>
    <w:rsid w:val="1D466AC0"/>
    <w:rsid w:val="1E918A4D"/>
    <w:rsid w:val="1F46A0A7"/>
    <w:rsid w:val="1FD52AFA"/>
    <w:rsid w:val="21388266"/>
    <w:rsid w:val="214F3D68"/>
    <w:rsid w:val="21EFE0C1"/>
    <w:rsid w:val="2281767B"/>
    <w:rsid w:val="238F3D2F"/>
    <w:rsid w:val="23FB16AC"/>
    <w:rsid w:val="246068AE"/>
    <w:rsid w:val="24E87E24"/>
    <w:rsid w:val="264D6FA6"/>
    <w:rsid w:val="268D475C"/>
    <w:rsid w:val="26B44573"/>
    <w:rsid w:val="26D5EE78"/>
    <w:rsid w:val="2743F0D5"/>
    <w:rsid w:val="274FF0DC"/>
    <w:rsid w:val="27A6D38C"/>
    <w:rsid w:val="28F7089E"/>
    <w:rsid w:val="293CD253"/>
    <w:rsid w:val="2B445521"/>
    <w:rsid w:val="2B4A1F24"/>
    <w:rsid w:val="2BD70371"/>
    <w:rsid w:val="2C2A89C4"/>
    <w:rsid w:val="2C3E1E93"/>
    <w:rsid w:val="2C7EF600"/>
    <w:rsid w:val="2CE9FD06"/>
    <w:rsid w:val="2D68CCC3"/>
    <w:rsid w:val="2E690FDA"/>
    <w:rsid w:val="2EED58A0"/>
    <w:rsid w:val="2F8811F0"/>
    <w:rsid w:val="304DEE39"/>
    <w:rsid w:val="308C9DD3"/>
    <w:rsid w:val="30A9752E"/>
    <w:rsid w:val="313330C3"/>
    <w:rsid w:val="332C4123"/>
    <w:rsid w:val="344CFC7E"/>
    <w:rsid w:val="34C63C41"/>
    <w:rsid w:val="35AD1734"/>
    <w:rsid w:val="36BD0C95"/>
    <w:rsid w:val="371E94AA"/>
    <w:rsid w:val="37821F13"/>
    <w:rsid w:val="379C6499"/>
    <w:rsid w:val="37BCB39A"/>
    <w:rsid w:val="380BFFCE"/>
    <w:rsid w:val="380F612C"/>
    <w:rsid w:val="38AF878A"/>
    <w:rsid w:val="38DF8E3C"/>
    <w:rsid w:val="393E1F45"/>
    <w:rsid w:val="39536549"/>
    <w:rsid w:val="3977D22E"/>
    <w:rsid w:val="3A6F71A4"/>
    <w:rsid w:val="3A878305"/>
    <w:rsid w:val="3AB2D1F0"/>
    <w:rsid w:val="3AFAB92B"/>
    <w:rsid w:val="3B993311"/>
    <w:rsid w:val="3BB1F93C"/>
    <w:rsid w:val="3BB2E6BC"/>
    <w:rsid w:val="3BCB98D0"/>
    <w:rsid w:val="3BD458A3"/>
    <w:rsid w:val="3C5987D8"/>
    <w:rsid w:val="3D6F5DA2"/>
    <w:rsid w:val="3DF4153C"/>
    <w:rsid w:val="3E4CBD7C"/>
    <w:rsid w:val="3E909CEE"/>
    <w:rsid w:val="3EBA2079"/>
    <w:rsid w:val="3FD92BFE"/>
    <w:rsid w:val="3FFF9F9A"/>
    <w:rsid w:val="407E85F4"/>
    <w:rsid w:val="40A681EE"/>
    <w:rsid w:val="41C85F4E"/>
    <w:rsid w:val="41DBD052"/>
    <w:rsid w:val="425448B2"/>
    <w:rsid w:val="443B38E4"/>
    <w:rsid w:val="44E0DC2F"/>
    <w:rsid w:val="45C1E9CA"/>
    <w:rsid w:val="465697D1"/>
    <w:rsid w:val="46F43077"/>
    <w:rsid w:val="479362A0"/>
    <w:rsid w:val="47E4F425"/>
    <w:rsid w:val="4802483F"/>
    <w:rsid w:val="48C09ADE"/>
    <w:rsid w:val="491D940C"/>
    <w:rsid w:val="495EF782"/>
    <w:rsid w:val="49B61160"/>
    <w:rsid w:val="49BB9180"/>
    <w:rsid w:val="4AEDFA51"/>
    <w:rsid w:val="4B173F9D"/>
    <w:rsid w:val="4B2ABB0A"/>
    <w:rsid w:val="4B71ADCD"/>
    <w:rsid w:val="4BCCB1B2"/>
    <w:rsid w:val="4D76951F"/>
    <w:rsid w:val="4D9D727D"/>
    <w:rsid w:val="4E1999E3"/>
    <w:rsid w:val="4E2651DA"/>
    <w:rsid w:val="4E3ADAE9"/>
    <w:rsid w:val="4E9B26BA"/>
    <w:rsid w:val="4EE0D53C"/>
    <w:rsid w:val="4F221373"/>
    <w:rsid w:val="4FC85229"/>
    <w:rsid w:val="4FDF6492"/>
    <w:rsid w:val="5017A4EB"/>
    <w:rsid w:val="50AF2004"/>
    <w:rsid w:val="50D5CD0B"/>
    <w:rsid w:val="51D5A750"/>
    <w:rsid w:val="51F2BC43"/>
    <w:rsid w:val="51FCCEE3"/>
    <w:rsid w:val="52199A96"/>
    <w:rsid w:val="52482C40"/>
    <w:rsid w:val="52F57CE4"/>
    <w:rsid w:val="531F7C89"/>
    <w:rsid w:val="5439634E"/>
    <w:rsid w:val="54A6E1D0"/>
    <w:rsid w:val="554C19CF"/>
    <w:rsid w:val="5775BDF5"/>
    <w:rsid w:val="579E49C4"/>
    <w:rsid w:val="5814ED0F"/>
    <w:rsid w:val="586AFEE8"/>
    <w:rsid w:val="58785AA3"/>
    <w:rsid w:val="59D27851"/>
    <w:rsid w:val="5A2AAD47"/>
    <w:rsid w:val="5A44A67E"/>
    <w:rsid w:val="5A5F90A6"/>
    <w:rsid w:val="5B8D3B7D"/>
    <w:rsid w:val="5C1F1DDF"/>
    <w:rsid w:val="5C930BD1"/>
    <w:rsid w:val="5D4B3D57"/>
    <w:rsid w:val="5D614334"/>
    <w:rsid w:val="5DD67909"/>
    <w:rsid w:val="5E07925D"/>
    <w:rsid w:val="5E48C869"/>
    <w:rsid w:val="5E785D09"/>
    <w:rsid w:val="5F2ABECD"/>
    <w:rsid w:val="5F61BF37"/>
    <w:rsid w:val="6001779B"/>
    <w:rsid w:val="607D7AF2"/>
    <w:rsid w:val="60956733"/>
    <w:rsid w:val="60D4222C"/>
    <w:rsid w:val="60F934BB"/>
    <w:rsid w:val="610283B4"/>
    <w:rsid w:val="6156298B"/>
    <w:rsid w:val="61C490A4"/>
    <w:rsid w:val="61DEFEC4"/>
    <w:rsid w:val="61F2870B"/>
    <w:rsid w:val="61FE44AC"/>
    <w:rsid w:val="638C6D45"/>
    <w:rsid w:val="6493B7C8"/>
    <w:rsid w:val="64AFB030"/>
    <w:rsid w:val="64D2E538"/>
    <w:rsid w:val="658F5377"/>
    <w:rsid w:val="65D3D6A0"/>
    <w:rsid w:val="670F783E"/>
    <w:rsid w:val="67684C6F"/>
    <w:rsid w:val="67F3ADAA"/>
    <w:rsid w:val="6827D0BB"/>
    <w:rsid w:val="688504BC"/>
    <w:rsid w:val="68A1F6B2"/>
    <w:rsid w:val="694BD6C7"/>
    <w:rsid w:val="69B6EF9D"/>
    <w:rsid w:val="69D4E78F"/>
    <w:rsid w:val="6A9485E7"/>
    <w:rsid w:val="6AA43719"/>
    <w:rsid w:val="6B0429CB"/>
    <w:rsid w:val="6B43248E"/>
    <w:rsid w:val="6B9880E5"/>
    <w:rsid w:val="6BFF176F"/>
    <w:rsid w:val="6CBD382A"/>
    <w:rsid w:val="6D66A2B7"/>
    <w:rsid w:val="6E116DFB"/>
    <w:rsid w:val="6E13703C"/>
    <w:rsid w:val="6E8C76AA"/>
    <w:rsid w:val="6EB63D3D"/>
    <w:rsid w:val="6F26DB05"/>
    <w:rsid w:val="70AEB3F4"/>
    <w:rsid w:val="71828E22"/>
    <w:rsid w:val="726BF9E8"/>
    <w:rsid w:val="736EB04C"/>
    <w:rsid w:val="73C066C5"/>
    <w:rsid w:val="747AC7FC"/>
    <w:rsid w:val="749D653F"/>
    <w:rsid w:val="7537A482"/>
    <w:rsid w:val="760615E0"/>
    <w:rsid w:val="7648B782"/>
    <w:rsid w:val="77814624"/>
    <w:rsid w:val="78A8A088"/>
    <w:rsid w:val="7A559F75"/>
    <w:rsid w:val="7A90768E"/>
    <w:rsid w:val="7B32D895"/>
    <w:rsid w:val="7B33E9B4"/>
    <w:rsid w:val="7B832B01"/>
    <w:rsid w:val="7BB4E870"/>
    <w:rsid w:val="7BFD3E5D"/>
    <w:rsid w:val="7C0FB115"/>
    <w:rsid w:val="7C614421"/>
    <w:rsid w:val="7C7D4003"/>
    <w:rsid w:val="7D8E505E"/>
    <w:rsid w:val="7DC5C265"/>
    <w:rsid w:val="7E2DB6B7"/>
    <w:rsid w:val="7E41AA0E"/>
    <w:rsid w:val="7E979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uthor" w:customStyle="1">
    <w:name w:val="Author"/>
    <w:basedOn w:val="Normal"/>
    <w:rsid w:val="00423789"/>
    <w:pPr>
      <w:spacing w:line="280" w:lineRule="exact"/>
      <w:jc w:val="right"/>
    </w:pPr>
    <w:rPr>
      <w:b/>
      <w:sz w:val="24"/>
    </w:rPr>
  </w:style>
  <w:style w:type="paragraph" w:styleId="Affiliation" w:customStyle="1">
    <w:name w:val="Affiliation"/>
    <w:basedOn w:val="Normal"/>
    <w:rsid w:val="00423789"/>
    <w:pPr>
      <w:spacing w:after="240" w:line="240" w:lineRule="exact"/>
      <w:jc w:val="right"/>
    </w:pPr>
  </w:style>
  <w:style w:type="paragraph" w:styleId="Body" w:customStyle="1">
    <w:name w:val="Body"/>
    <w:basedOn w:val="Normal"/>
    <w:rsid w:val="00423789"/>
    <w:pPr>
      <w:spacing w:after="240"/>
      <w:jc w:val="both"/>
    </w:pPr>
  </w:style>
  <w:style w:type="paragraph" w:styleId="AbstHead" w:customStyle="1">
    <w:name w:val="Abst Head"/>
    <w:basedOn w:val="MainHead"/>
    <w:rsid w:val="00423789"/>
    <w:rPr>
      <w:sz w:val="22"/>
    </w:rPr>
  </w:style>
  <w:style w:type="paragraph" w:styleId="IntroHead" w:customStyle="1">
    <w:name w:val="Intro Head"/>
    <w:basedOn w:val="MainHead"/>
    <w:rsid w:val="00423789"/>
    <w:rPr>
      <w:sz w:val="22"/>
    </w:rPr>
  </w:style>
  <w:style w:type="paragraph" w:styleId="PaperNumber" w:customStyle="1">
    <w:name w:val="Paper Number"/>
    <w:basedOn w:val="Normal"/>
    <w:rsid w:val="00423789"/>
    <w:pPr>
      <w:spacing w:after="280" w:line="280" w:lineRule="exact"/>
      <w:jc w:val="right"/>
    </w:pPr>
    <w:rPr>
      <w:b/>
      <w:sz w:val="28"/>
    </w:rPr>
  </w:style>
  <w:style w:type="paragraph" w:styleId="ConcHead" w:customStyle="1">
    <w:name w:val="Conc Head"/>
    <w:basedOn w:val="MainHead"/>
    <w:rsid w:val="00423789"/>
    <w:rPr>
      <w:sz w:val="22"/>
    </w:rPr>
  </w:style>
  <w:style w:type="paragraph" w:styleId="AcknHead" w:customStyle="1">
    <w:name w:val="Ackn Head"/>
    <w:basedOn w:val="MainHead"/>
    <w:rsid w:val="00423789"/>
    <w:rPr>
      <w:sz w:val="22"/>
    </w:rPr>
  </w:style>
  <w:style w:type="paragraph" w:styleId="ReferHead" w:customStyle="1">
    <w:name w:val="Refer Head"/>
    <w:basedOn w:val="MainHead"/>
    <w:rsid w:val="00423789"/>
    <w:rPr>
      <w:sz w:val="22"/>
    </w:rPr>
  </w:style>
  <w:style w:type="paragraph" w:styleId="AddSrcHead" w:customStyle="1">
    <w:name w:val="AddSrc Head"/>
    <w:basedOn w:val="MainHead"/>
    <w:rsid w:val="00423789"/>
    <w:rPr>
      <w:sz w:val="22"/>
    </w:rPr>
  </w:style>
  <w:style w:type="paragraph" w:styleId="DefAcrHead" w:customStyle="1">
    <w:name w:val="DefAcrHead"/>
    <w:basedOn w:val="MainHead"/>
    <w:rsid w:val="00423789"/>
    <w:rPr>
      <w:sz w:val="22"/>
    </w:rPr>
  </w:style>
  <w:style w:type="paragraph" w:styleId="Copyright" w:customStyle="1">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styleId="Reference" w:customStyle="1">
    <w:name w:val="Reference"/>
    <w:basedOn w:val="Body"/>
    <w:rsid w:val="00423789"/>
    <w:pPr>
      <w:numPr>
        <w:numId w:val="23"/>
      </w:numPr>
      <w:spacing w:after="0" w:line="240" w:lineRule="exact"/>
    </w:pPr>
  </w:style>
  <w:style w:type="paragraph" w:styleId="Head1" w:customStyle="1">
    <w:name w:val="Head1"/>
    <w:basedOn w:val="MainHead"/>
    <w:rsid w:val="00423789"/>
    <w:rPr>
      <w:sz w:val="22"/>
    </w:rPr>
  </w:style>
  <w:style w:type="paragraph" w:styleId="ContactHead" w:customStyle="1">
    <w:name w:val="Contact Head"/>
    <w:basedOn w:val="MainHead"/>
    <w:rsid w:val="00423789"/>
    <w:rPr>
      <w:sz w:val="22"/>
    </w:rPr>
  </w:style>
  <w:style w:type="paragraph" w:styleId="Head3" w:customStyle="1">
    <w:name w:val="Head3"/>
    <w:basedOn w:val="Head2"/>
    <w:rsid w:val="00423789"/>
    <w:rPr>
      <w:caps w:val="0"/>
      <w:u w:val="single"/>
    </w:rPr>
  </w:style>
  <w:style w:type="paragraph" w:styleId="Head4" w:customStyle="1">
    <w:name w:val="Head4"/>
    <w:basedOn w:val="Head3"/>
    <w:rsid w:val="00423789"/>
    <w:rPr>
      <w:u w:val="none"/>
    </w:rPr>
  </w:style>
  <w:style w:type="paragraph" w:styleId="UnordList" w:customStyle="1">
    <w:name w:val="Unord List"/>
    <w:basedOn w:val="Body"/>
    <w:rsid w:val="00423789"/>
    <w:pPr>
      <w:spacing w:after="0"/>
      <w:ind w:left="360" w:hanging="360"/>
    </w:pPr>
  </w:style>
  <w:style w:type="paragraph" w:styleId="OrdList" w:customStyle="1">
    <w:name w:val="Ord List"/>
    <w:basedOn w:val="UnordList"/>
    <w:rsid w:val="00423789"/>
    <w:pPr>
      <w:jc w:val="left"/>
    </w:pPr>
  </w:style>
  <w:style w:type="paragraph" w:styleId="Appendix" w:customStyle="1">
    <w:name w:val="Appendix"/>
    <w:basedOn w:val="MainHead"/>
    <w:rsid w:val="00423789"/>
    <w:rPr>
      <w:sz w:val="22"/>
    </w:rPr>
  </w:style>
  <w:style w:type="paragraph" w:styleId="Term" w:customStyle="1">
    <w:name w:val="Term"/>
    <w:basedOn w:val="Body"/>
    <w:rsid w:val="00423789"/>
    <w:pPr>
      <w:spacing w:after="0"/>
    </w:pPr>
    <w:rPr>
      <w:b/>
    </w:rPr>
  </w:style>
  <w:style w:type="paragraph" w:styleId="Definition" w:customStyle="1">
    <w:name w:val="Definition"/>
    <w:basedOn w:val="Body"/>
    <w:rsid w:val="00423789"/>
  </w:style>
  <w:style w:type="paragraph" w:styleId="Head2" w:customStyle="1">
    <w:name w:val="Head2"/>
    <w:basedOn w:val="Normal"/>
    <w:next w:val="Body"/>
    <w:rsid w:val="00423789"/>
    <w:pPr>
      <w:keepNext/>
      <w:spacing w:after="240"/>
    </w:pPr>
    <w:rPr>
      <w:caps/>
    </w:rPr>
  </w:style>
  <w:style w:type="character" w:styleId="Bold" w:customStyle="1">
    <w:name w:val="Bold"/>
    <w:rsid w:val="00423789"/>
    <w:rPr>
      <w:b/>
    </w:rPr>
  </w:style>
  <w:style w:type="character" w:styleId="Italic" w:customStyle="1">
    <w:name w:val="Italic"/>
    <w:rsid w:val="00423789"/>
    <w:rPr>
      <w:i/>
    </w:rPr>
  </w:style>
  <w:style w:type="character" w:styleId="Underline" w:customStyle="1">
    <w:name w:val="Underline"/>
    <w:rsid w:val="00423789"/>
    <w:rPr>
      <w:u w:val="single"/>
    </w:rPr>
  </w:style>
  <w:style w:type="paragraph" w:styleId="MainHead" w:customStyle="1">
    <w:name w:val="Main Head"/>
    <w:basedOn w:val="Normal"/>
    <w:rsid w:val="00423789"/>
    <w:pPr>
      <w:keepNext/>
      <w:spacing w:after="240"/>
    </w:pPr>
    <w:rPr>
      <w:b/>
      <w:caps/>
    </w:rPr>
  </w:style>
  <w:style w:type="paragraph" w:styleId="Equation" w:customStyle="1">
    <w:name w:val="Equation"/>
    <w:basedOn w:val="Body"/>
    <w:rsid w:val="0053056E"/>
  </w:style>
  <w:style w:type="paragraph" w:styleId="Figure" w:customStyle="1">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styleId="Head40" w:customStyle="1">
    <w:name w:val="Head 4"/>
    <w:basedOn w:val="Head3"/>
    <w:rsid w:val="00423789"/>
    <w:rPr>
      <w:u w:val="none"/>
    </w:rPr>
  </w:style>
  <w:style w:type="paragraph" w:styleId="Header">
    <w:name w:val="header"/>
    <w:basedOn w:val="Normal"/>
    <w:rsid w:val="00423789"/>
    <w:pPr>
      <w:tabs>
        <w:tab w:val="center" w:pos="4320"/>
        <w:tab w:val="right" w:pos="8640"/>
      </w:tabs>
    </w:pPr>
  </w:style>
  <w:style w:type="paragraph" w:styleId="Paper" w:customStyle="1">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styleId="Subscript" w:customStyle="1">
    <w:name w:val="Subscript"/>
    <w:rsid w:val="00423789"/>
    <w:rPr>
      <w:vertAlign w:val="subscript"/>
    </w:rPr>
  </w:style>
  <w:style w:type="character" w:styleId="Superscript" w:customStyle="1">
    <w:name w:val="Superscript"/>
    <w:rsid w:val="00423789"/>
    <w:rPr>
      <w:vertAlign w:val="superscript"/>
    </w:rPr>
  </w:style>
  <w:style w:type="character" w:styleId="Symbol" w:customStyle="1">
    <w:name w:val="Symbol"/>
    <w:rsid w:val="00423789"/>
    <w:rPr>
      <w:rFonts w:ascii="Symbol" w:hAnsi="Symbol"/>
    </w:rPr>
  </w:style>
  <w:style w:type="paragraph" w:styleId="SymbolP" w:customStyle="1">
    <w:name w:val="Symbol P"/>
    <w:basedOn w:val="Body"/>
    <w:rsid w:val="00423789"/>
    <w:pPr>
      <w:tabs>
        <w:tab w:val="left" w:pos="720"/>
        <w:tab w:val="left" w:pos="3780"/>
      </w:tabs>
      <w:spacing w:after="0"/>
    </w:pPr>
    <w:rPr>
      <w:sz w:val="24"/>
    </w:rPr>
  </w:style>
  <w:style w:type="character" w:styleId="BoldItal" w:customStyle="1">
    <w:name w:val="BoldItal"/>
    <w:basedOn w:val="DefaultParagraphFont"/>
    <w:rsid w:val="00423789"/>
    <w:rPr>
      <w:b/>
      <w:i/>
    </w:rPr>
  </w:style>
  <w:style w:type="character" w:styleId="SubItal" w:customStyle="1">
    <w:name w:val="SubItal"/>
    <w:rsid w:val="00423789"/>
    <w:rPr>
      <w:i/>
      <w:vertAlign w:val="subscript"/>
    </w:rPr>
  </w:style>
  <w:style w:type="character" w:styleId="SuperItal" w:customStyle="1">
    <w:name w:val="SuperItal"/>
    <w:rsid w:val="00423789"/>
    <w:rPr>
      <w:i/>
      <w:vertAlign w:val="superscript"/>
    </w:rPr>
  </w:style>
  <w:style w:type="character" w:styleId="SymItal" w:customStyle="1">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odyText2">
    <w:name w:val="Body Text 2"/>
    <w:basedOn w:val="Normal"/>
    <w:link w:val="BodyText2Char"/>
    <w:rsid w:val="00EF7FD8"/>
    <w:pPr>
      <w:spacing w:after="120" w:line="480" w:lineRule="auto"/>
    </w:pPr>
  </w:style>
  <w:style w:type="character" w:styleId="BodyText2Char" w:customStyle="1">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styleId="CommentTextChar" w:customStyle="1">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styleId="BalloonTextChar" w:customStyle="1">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styleId="BodyText3Char" w:customStyle="1">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doi.org/10.1016/j.jdent.2015.07.002" TargetMode="Externa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doi.org/10.1007/s00784-013-1055-7" TargetMode="External" Id="rId9" /><Relationship Type="http://schemas.openxmlformats.org/officeDocument/2006/relationships/header" Target="header3.xml" Id="rId14" /><Relationship Type="http://schemas.openxmlformats.org/officeDocument/2006/relationships/image" Target="/media/image.png" Id="Ra3eea3ad28d442f5" /><Relationship Type="http://schemas.openxmlformats.org/officeDocument/2006/relationships/image" Target="/media/image2.png" Id="Rec3ae7d9f7914bef"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1DD19-D0A6-453C-9B3B-5888AEBB3D5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2007 paper template</ap:Template>
  <ap:Application>Microsoft Word for the web</ap:Application>
  <ap:DocSecurity>0</ap:DocSecurity>
  <ap:ScaleCrop>false</ap:ScaleCrop>
  <ap:Company>aaaa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Paper Template</dc:title>
  <dc:creator>SDI</dc:creator>
  <lastModifiedBy>Maria Ritha Colognese</lastModifiedBy>
  <revision>19</revision>
  <lastPrinted>1999-07-06T11:00:00.0000000Z</lastPrinted>
  <dcterms:created xsi:type="dcterms:W3CDTF">2014-10-25T14:34:00.0000000Z</dcterms:created>
  <dcterms:modified xsi:type="dcterms:W3CDTF">2025-04-23T15:47:04.6687471Z</dcterms:modified>
</coreProperties>
</file>