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47E0" w14:textId="77777777" w:rsidR="00D72F91" w:rsidRDefault="00D2263D">
      <w:pPr>
        <w:pStyle w:val="ListParagraph"/>
        <w:spacing w:line="480" w:lineRule="auto"/>
        <w:ind w:left="90" w:hanging="90"/>
        <w:jc w:val="center"/>
        <w:rPr>
          <w:rFonts w:ascii="Times New Roman" w:hAnsi="Times New Roman"/>
          <w:b/>
          <w:bCs/>
          <w:sz w:val="32"/>
          <w:szCs w:val="32"/>
        </w:rPr>
      </w:pPr>
      <w:bookmarkStart w:id="0" w:name="_Hlk189515106"/>
      <w:r>
        <w:rPr>
          <w:rFonts w:ascii="Times New Roman" w:hAnsi="Times New Roman"/>
          <w:b/>
          <w:bCs/>
          <w:sz w:val="32"/>
          <w:szCs w:val="32"/>
        </w:rPr>
        <w:t>Biochemical and Molecular Identification of the Bacteria Isolated from Pineapple peels</w:t>
      </w:r>
      <w:bookmarkEnd w:id="0"/>
      <w:r>
        <w:rPr>
          <w:rFonts w:ascii="Times New Roman" w:hAnsi="Times New Roman"/>
          <w:b/>
          <w:bCs/>
          <w:sz w:val="32"/>
          <w:szCs w:val="32"/>
        </w:rPr>
        <w:t>.</w:t>
      </w:r>
    </w:p>
    <w:p w14:paraId="5B266423" w14:textId="77777777" w:rsidR="00D72F91" w:rsidRDefault="00D72F91">
      <w:pPr>
        <w:pStyle w:val="ListParagraph"/>
        <w:spacing w:line="480" w:lineRule="auto"/>
        <w:ind w:left="90"/>
        <w:jc w:val="both"/>
        <w:rPr>
          <w:rFonts w:ascii="Times New Roman" w:hAnsi="Times New Roman"/>
          <w:sz w:val="24"/>
          <w:szCs w:val="24"/>
        </w:rPr>
      </w:pPr>
    </w:p>
    <w:p w14:paraId="6ADC7FF5" w14:textId="77777777" w:rsidR="00D72F91" w:rsidRDefault="00D2263D">
      <w:pPr>
        <w:pStyle w:val="ListParagraph"/>
        <w:spacing w:line="480" w:lineRule="auto"/>
        <w:ind w:left="90" w:hanging="90"/>
        <w:jc w:val="both"/>
        <w:rPr>
          <w:rFonts w:ascii="Times New Roman" w:hAnsi="Times New Roman"/>
          <w:b/>
          <w:bCs/>
          <w:sz w:val="24"/>
          <w:szCs w:val="24"/>
        </w:rPr>
      </w:pPr>
      <w:r>
        <w:rPr>
          <w:rFonts w:ascii="Times New Roman" w:hAnsi="Times New Roman"/>
          <w:b/>
          <w:bCs/>
          <w:sz w:val="24"/>
          <w:szCs w:val="24"/>
        </w:rPr>
        <w:t xml:space="preserve">Abstract: </w:t>
      </w:r>
    </w:p>
    <w:p w14:paraId="2825D3C4" w14:textId="5CB3BDD3"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Pineapple (</w:t>
      </w:r>
      <w:r>
        <w:rPr>
          <w:rFonts w:ascii="Times New Roman" w:hAnsi="Times New Roman"/>
          <w:i/>
          <w:iCs/>
          <w:sz w:val="24"/>
          <w:szCs w:val="24"/>
        </w:rPr>
        <w:t>Ananas comosus</w:t>
      </w:r>
      <w:r>
        <w:rPr>
          <w:rFonts w:ascii="Times New Roman" w:hAnsi="Times New Roman"/>
          <w:sz w:val="24"/>
          <w:szCs w:val="24"/>
        </w:rPr>
        <w:t>, Lin. Merr</w:t>
      </w:r>
      <w:r>
        <w:rPr>
          <w:rFonts w:ascii="Times New Roman" w:hAnsi="Times New Roman"/>
          <w:sz w:val="24"/>
          <w:szCs w:val="24"/>
        </w:rPr>
        <w:t>.) processing generates significant volumes of waste, which poses environmental challenges due to its high organic matter content. This study aimed to investigate the bacterial diversity present in pineapple waste and evaluate its potential for biotechnological applications. Pineapple peel samples were collected from a processing facility in Gatundu Town, Kenya, and subjected to both biochemical and molecular analyses to identify the bacterial communities present. Enrichment cultures and serial dilutions we</w:t>
      </w:r>
      <w:r>
        <w:rPr>
          <w:rFonts w:ascii="Times New Roman" w:hAnsi="Times New Roman"/>
          <w:sz w:val="24"/>
          <w:szCs w:val="24"/>
        </w:rPr>
        <w:t>re used to isolate</w:t>
      </w:r>
      <w:r w:rsidR="00586648">
        <w:rPr>
          <w:rFonts w:ascii="Times New Roman" w:hAnsi="Times New Roman"/>
          <w:sz w:val="24"/>
          <w:szCs w:val="24"/>
        </w:rPr>
        <w:t xml:space="preserve"> 18</w:t>
      </w:r>
      <w:r>
        <w:rPr>
          <w:rFonts w:ascii="Times New Roman" w:hAnsi="Times New Roman"/>
          <w:sz w:val="24"/>
          <w:szCs w:val="24"/>
        </w:rPr>
        <w:t xml:space="preserve"> bacterial strains, which were then characterized through physiological assays</w:t>
      </w:r>
      <w:r w:rsidR="00586648">
        <w:rPr>
          <w:rFonts w:ascii="Times New Roman" w:hAnsi="Times New Roman"/>
          <w:sz w:val="24"/>
          <w:szCs w:val="24"/>
        </w:rPr>
        <w:t xml:space="preserve">. </w:t>
      </w:r>
      <w:r>
        <w:rPr>
          <w:rFonts w:ascii="Times New Roman" w:hAnsi="Times New Roman"/>
          <w:sz w:val="24"/>
          <w:szCs w:val="24"/>
        </w:rPr>
        <w:t xml:space="preserve"> </w:t>
      </w:r>
      <w:r w:rsidR="00586648" w:rsidRPr="00586648">
        <w:rPr>
          <w:rFonts w:ascii="Times New Roman" w:hAnsi="Times New Roman"/>
          <w:sz w:val="24"/>
          <w:szCs w:val="24"/>
        </w:rPr>
        <w:t>16 amplicons obtained from PCR amplification and sequencing of the 16S rRNA gene were subjected to molecular identification.</w:t>
      </w:r>
      <w:r>
        <w:rPr>
          <w:rFonts w:ascii="Times New Roman" w:hAnsi="Times New Roman"/>
          <w:sz w:val="24"/>
          <w:szCs w:val="24"/>
        </w:rPr>
        <w:t xml:space="preserve"> The bacterial species identified included members of the Enterobacteriaceae family, such as </w:t>
      </w:r>
      <w:r>
        <w:rPr>
          <w:rFonts w:ascii="Times New Roman" w:hAnsi="Times New Roman"/>
          <w:i/>
          <w:iCs/>
          <w:sz w:val="24"/>
          <w:szCs w:val="24"/>
        </w:rPr>
        <w:t>Enterobacter</w:t>
      </w:r>
      <w:r>
        <w:rPr>
          <w:rFonts w:ascii="Times New Roman" w:hAnsi="Times New Roman"/>
          <w:sz w:val="24"/>
          <w:szCs w:val="24"/>
        </w:rPr>
        <w:t xml:space="preserve"> spp., </w:t>
      </w:r>
      <w:r>
        <w:rPr>
          <w:rFonts w:ascii="Times New Roman" w:hAnsi="Times New Roman"/>
          <w:i/>
          <w:iCs/>
          <w:sz w:val="24"/>
          <w:szCs w:val="24"/>
        </w:rPr>
        <w:t>Klebsiella</w:t>
      </w:r>
      <w:r>
        <w:rPr>
          <w:rFonts w:ascii="Times New Roman" w:hAnsi="Times New Roman"/>
          <w:sz w:val="24"/>
          <w:szCs w:val="24"/>
        </w:rPr>
        <w:t xml:space="preserve"> spp., </w:t>
      </w:r>
      <w:r>
        <w:rPr>
          <w:rFonts w:ascii="Times New Roman" w:hAnsi="Times New Roman"/>
          <w:i/>
          <w:iCs/>
          <w:sz w:val="24"/>
          <w:szCs w:val="24"/>
        </w:rPr>
        <w:t>Escherichia coli</w:t>
      </w:r>
      <w:r>
        <w:rPr>
          <w:rFonts w:ascii="Times New Roman" w:hAnsi="Times New Roman"/>
          <w:sz w:val="24"/>
          <w:szCs w:val="24"/>
        </w:rPr>
        <w:t xml:space="preserve">, and </w:t>
      </w:r>
      <w:r>
        <w:rPr>
          <w:rFonts w:ascii="Times New Roman" w:hAnsi="Times New Roman"/>
          <w:i/>
          <w:iCs/>
          <w:sz w:val="24"/>
          <w:szCs w:val="24"/>
        </w:rPr>
        <w:t>Citrobacter</w:t>
      </w:r>
      <w:r>
        <w:rPr>
          <w:rFonts w:ascii="Times New Roman" w:hAnsi="Times New Roman"/>
          <w:sz w:val="24"/>
          <w:szCs w:val="24"/>
        </w:rPr>
        <w:t xml:space="preserve"> spp., with bacterial counts ranging from 2,000 to 7,500 CFU/ml across different batches. Molecular identification through PCR amplification and sequencing revealed diverse bacterial species, including </w:t>
      </w:r>
      <w:proofErr w:type="spellStart"/>
      <w:r>
        <w:rPr>
          <w:rFonts w:ascii="Times New Roman" w:hAnsi="Times New Roman"/>
          <w:i/>
          <w:iCs/>
          <w:sz w:val="24"/>
          <w:szCs w:val="24"/>
        </w:rPr>
        <w:t>Myroides</w:t>
      </w:r>
      <w:proofErr w:type="spellEnd"/>
      <w:r>
        <w:rPr>
          <w:rFonts w:ascii="Times New Roman" w:hAnsi="Times New Roman"/>
          <w:i/>
          <w:iCs/>
          <w:sz w:val="24"/>
          <w:szCs w:val="24"/>
        </w:rPr>
        <w:t xml:space="preserve"> </w:t>
      </w:r>
      <w:proofErr w:type="spellStart"/>
      <w:r>
        <w:rPr>
          <w:rFonts w:ascii="Times New Roman" w:hAnsi="Times New Roman"/>
          <w:i/>
          <w:iCs/>
          <w:sz w:val="24"/>
          <w:szCs w:val="24"/>
        </w:rPr>
        <w:t>odoratimimus</w:t>
      </w:r>
      <w:proofErr w:type="spellEnd"/>
      <w:r w:rsidR="00D87D67">
        <w:rPr>
          <w:rFonts w:ascii="Times New Roman" w:hAnsi="Times New Roman"/>
          <w:i/>
          <w:iCs/>
          <w:sz w:val="24"/>
          <w:szCs w:val="24"/>
        </w:rPr>
        <w:t xml:space="preserve"> </w:t>
      </w:r>
      <w:r w:rsidR="00D87D67">
        <w:rPr>
          <w:rFonts w:ascii="Times New Roman" w:hAnsi="Times New Roman"/>
          <w:sz w:val="24"/>
          <w:szCs w:val="24"/>
        </w:rPr>
        <w:t>(99.2%)</w:t>
      </w:r>
      <w:r>
        <w:rPr>
          <w:rFonts w:ascii="Times New Roman" w:hAnsi="Times New Roman"/>
          <w:i/>
          <w:iCs/>
          <w:sz w:val="24"/>
          <w:szCs w:val="24"/>
        </w:rPr>
        <w:t>, Bacillus cereus</w:t>
      </w:r>
      <w:r w:rsidR="00D87D67">
        <w:rPr>
          <w:rFonts w:ascii="Times New Roman" w:hAnsi="Times New Roman"/>
          <w:i/>
          <w:iCs/>
          <w:sz w:val="24"/>
          <w:szCs w:val="24"/>
        </w:rPr>
        <w:t xml:space="preserve"> </w:t>
      </w:r>
      <w:r w:rsidR="00D87D67">
        <w:rPr>
          <w:rFonts w:ascii="Times New Roman" w:hAnsi="Times New Roman"/>
          <w:sz w:val="24"/>
          <w:szCs w:val="24"/>
        </w:rPr>
        <w:t>(98.9%)</w:t>
      </w:r>
      <w:r>
        <w:rPr>
          <w:rFonts w:ascii="Times New Roman" w:hAnsi="Times New Roman"/>
          <w:sz w:val="24"/>
          <w:szCs w:val="24"/>
        </w:rPr>
        <w:t xml:space="preserve">, and </w:t>
      </w:r>
      <w:r>
        <w:rPr>
          <w:rFonts w:ascii="Times New Roman" w:hAnsi="Times New Roman"/>
          <w:i/>
          <w:iCs/>
          <w:sz w:val="24"/>
          <w:szCs w:val="24"/>
        </w:rPr>
        <w:t>Pseudomonas aeruginosa</w:t>
      </w:r>
      <w:r w:rsidR="00D87D67">
        <w:rPr>
          <w:rFonts w:ascii="Times New Roman" w:hAnsi="Times New Roman"/>
          <w:i/>
          <w:iCs/>
          <w:sz w:val="24"/>
          <w:szCs w:val="24"/>
        </w:rPr>
        <w:t xml:space="preserve"> </w:t>
      </w:r>
      <w:r w:rsidR="00D87D67">
        <w:rPr>
          <w:rFonts w:ascii="Times New Roman" w:hAnsi="Times New Roman"/>
          <w:sz w:val="24"/>
          <w:szCs w:val="24"/>
        </w:rPr>
        <w:t>(99.5%)</w:t>
      </w:r>
      <w:r>
        <w:rPr>
          <w:rFonts w:ascii="Times New Roman" w:hAnsi="Times New Roman"/>
          <w:sz w:val="24"/>
          <w:szCs w:val="24"/>
        </w:rPr>
        <w:t xml:space="preserve">, with high sequence similarity scores confirming their identification. </w:t>
      </w:r>
      <w:r w:rsidR="00E8435B" w:rsidRPr="00E8435B">
        <w:rPr>
          <w:rFonts w:ascii="Times New Roman" w:hAnsi="Times New Roman"/>
          <w:sz w:val="24"/>
          <w:szCs w:val="24"/>
          <w:highlight w:val="yellow"/>
        </w:rPr>
        <w:t xml:space="preserve">Many of the strains that have been identified are known to produce industrial enzymes like lipases, cellulases, and proteases. They also show great promise for use in waste degradation, bioremediation, and the production of bioenergy.  The microbial ecology of pineapple waste is better understood </w:t>
      </w:r>
      <w:r w:rsidR="00E8435B">
        <w:rPr>
          <w:rFonts w:ascii="Times New Roman" w:hAnsi="Times New Roman"/>
          <w:sz w:val="24"/>
          <w:szCs w:val="24"/>
          <w:highlight w:val="yellow"/>
        </w:rPr>
        <w:t>through</w:t>
      </w:r>
      <w:r w:rsidR="00E8435B" w:rsidRPr="00E8435B">
        <w:rPr>
          <w:rFonts w:ascii="Times New Roman" w:hAnsi="Times New Roman"/>
          <w:sz w:val="24"/>
          <w:szCs w:val="24"/>
          <w:highlight w:val="yellow"/>
        </w:rPr>
        <w:t xml:space="preserve"> this study, which also highlights the fruit's potential as a source of microorganisms for biotechnological uses.</w:t>
      </w:r>
      <w:r w:rsidR="00E8435B">
        <w:rPr>
          <w:rFonts w:ascii="Times New Roman" w:hAnsi="Times New Roman"/>
          <w:sz w:val="24"/>
          <w:szCs w:val="24"/>
        </w:rPr>
        <w:t xml:space="preserve"> </w:t>
      </w:r>
      <w:r>
        <w:rPr>
          <w:rFonts w:ascii="Times New Roman" w:hAnsi="Times New Roman"/>
          <w:sz w:val="24"/>
          <w:szCs w:val="24"/>
        </w:rPr>
        <w:t>The findings emphasize the importance of combining molecular and biochemical methods to comprehensively characterize microbial communities in agricultural waste and exploit their potential for industrial applications.</w:t>
      </w:r>
    </w:p>
    <w:p w14:paraId="4E39C01F" w14:textId="77777777" w:rsidR="00D72F91" w:rsidRDefault="00D2263D">
      <w:pPr>
        <w:pStyle w:val="ListParagraph"/>
        <w:spacing w:line="480" w:lineRule="auto"/>
        <w:ind w:left="90" w:hanging="90"/>
        <w:jc w:val="both"/>
        <w:rPr>
          <w:rFonts w:ascii="Times New Roman" w:hAnsi="Times New Roman"/>
          <w:b/>
          <w:bCs/>
          <w:sz w:val="24"/>
          <w:szCs w:val="24"/>
        </w:rPr>
      </w:pPr>
      <w:r>
        <w:rPr>
          <w:rFonts w:ascii="Times New Roman" w:hAnsi="Times New Roman"/>
          <w:b/>
          <w:bCs/>
          <w:sz w:val="24"/>
          <w:szCs w:val="24"/>
        </w:rPr>
        <w:t>Keywords: Pineapple, bacteria, identification, biochemical, molecular.</w:t>
      </w:r>
    </w:p>
    <w:p w14:paraId="188C4EC3" w14:textId="77777777" w:rsidR="00D72F91" w:rsidRDefault="00D72F91">
      <w:pPr>
        <w:pStyle w:val="ListParagraph"/>
        <w:spacing w:line="480" w:lineRule="auto"/>
        <w:ind w:left="90" w:hanging="90"/>
        <w:jc w:val="both"/>
        <w:rPr>
          <w:rFonts w:ascii="Times New Roman" w:hAnsi="Times New Roman"/>
          <w:b/>
          <w:bCs/>
          <w:sz w:val="24"/>
          <w:szCs w:val="24"/>
        </w:rPr>
      </w:pPr>
    </w:p>
    <w:p w14:paraId="4DF2417C" w14:textId="77777777" w:rsidR="00D72F91" w:rsidRDefault="00D2263D">
      <w:pPr>
        <w:pStyle w:val="ListParagraph"/>
        <w:spacing w:line="480" w:lineRule="auto"/>
        <w:ind w:left="90" w:hanging="90"/>
        <w:jc w:val="both"/>
        <w:rPr>
          <w:rFonts w:ascii="Times New Roman" w:hAnsi="Times New Roman"/>
          <w:sz w:val="24"/>
          <w:szCs w:val="24"/>
        </w:rPr>
      </w:pPr>
      <w:r>
        <w:rPr>
          <w:rFonts w:ascii="Times New Roman" w:hAnsi="Times New Roman"/>
          <w:b/>
          <w:bCs/>
          <w:sz w:val="24"/>
          <w:szCs w:val="24"/>
        </w:rPr>
        <w:t>Introduction</w:t>
      </w:r>
      <w:r>
        <w:rPr>
          <w:rFonts w:ascii="Times New Roman" w:hAnsi="Times New Roman"/>
          <w:sz w:val="24"/>
          <w:szCs w:val="24"/>
        </w:rPr>
        <w:t>:</w:t>
      </w:r>
    </w:p>
    <w:p w14:paraId="61C71D0B" w14:textId="77777777"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Pineapple (</w:t>
      </w:r>
      <w:r>
        <w:rPr>
          <w:rFonts w:ascii="Times New Roman" w:hAnsi="Times New Roman"/>
          <w:i/>
          <w:iCs/>
          <w:sz w:val="24"/>
          <w:szCs w:val="24"/>
        </w:rPr>
        <w:t>Ananas comosus</w:t>
      </w:r>
      <w:r>
        <w:rPr>
          <w:rFonts w:ascii="Times New Roman" w:hAnsi="Times New Roman"/>
          <w:sz w:val="24"/>
          <w:szCs w:val="24"/>
        </w:rPr>
        <w:t>, Lin. Merr.) is a tropical fruit widely cultivated for its sweet taste and nutritional benefits. In addition to its popularity as a fresh fruit, pineapple processing generates substantial amounts of waste, including peels, crowns, and pulps, which pose environmental challenges due to their high organic content (</w:t>
      </w:r>
      <w:r>
        <w:rPr>
          <w:rFonts w:ascii="Times New Roman" w:hAnsi="Times New Roman"/>
          <w:color w:val="4F81BD"/>
          <w:sz w:val="24"/>
          <w:szCs w:val="24"/>
        </w:rPr>
        <w:t>Hikal et al., 2021; Kumar, 2021</w:t>
      </w:r>
      <w:r>
        <w:rPr>
          <w:rFonts w:ascii="Times New Roman" w:hAnsi="Times New Roman"/>
          <w:sz w:val="24"/>
          <w:szCs w:val="24"/>
        </w:rPr>
        <w:t>). Pineapple waste is a rich source of various organic compounds, including sugars, fibers, and organic acids, which make it a potential substrate for mi</w:t>
      </w:r>
      <w:r>
        <w:rPr>
          <w:rFonts w:ascii="Times New Roman" w:hAnsi="Times New Roman"/>
          <w:sz w:val="24"/>
          <w:szCs w:val="24"/>
        </w:rPr>
        <w:t>crobial growth (</w:t>
      </w:r>
      <w:r>
        <w:rPr>
          <w:rFonts w:ascii="Times New Roman" w:hAnsi="Times New Roman"/>
          <w:color w:val="4F81BD"/>
          <w:sz w:val="24"/>
          <w:szCs w:val="24"/>
        </w:rPr>
        <w:t>Montero-Zamora et al., 2022; Hikal et al., 2021</w:t>
      </w:r>
      <w:r>
        <w:rPr>
          <w:rFonts w:ascii="Times New Roman" w:hAnsi="Times New Roman"/>
          <w:sz w:val="24"/>
          <w:szCs w:val="24"/>
        </w:rPr>
        <w:t>). Microorganisms inhabiting pineapple waste ecosystems play crucial roles in its decomposition and recycling (</w:t>
      </w:r>
      <w:r>
        <w:rPr>
          <w:rFonts w:ascii="Times New Roman" w:hAnsi="Times New Roman"/>
          <w:color w:val="4F81BD"/>
          <w:sz w:val="24"/>
          <w:szCs w:val="24"/>
        </w:rPr>
        <w:t>Prastujati et al., 2019; Otieno et al., 2023</w:t>
      </w:r>
      <w:r>
        <w:rPr>
          <w:rFonts w:ascii="Times New Roman" w:hAnsi="Times New Roman"/>
          <w:sz w:val="24"/>
          <w:szCs w:val="24"/>
        </w:rPr>
        <w:t>). Bacteria, in particular, are pivotal in breaking down complex organic matter into simpler compounds, contributing to nutrient cycling and overall ecosystem stability (</w:t>
      </w:r>
      <w:r>
        <w:rPr>
          <w:rFonts w:ascii="Times New Roman" w:hAnsi="Times New Roman"/>
          <w:color w:val="4F81BD"/>
          <w:sz w:val="24"/>
          <w:szCs w:val="24"/>
        </w:rPr>
        <w:t>Brown et al., 2021; Garcia &amp; Patel, 2019</w:t>
      </w:r>
      <w:r>
        <w:rPr>
          <w:rFonts w:ascii="Times New Roman" w:hAnsi="Times New Roman"/>
          <w:sz w:val="24"/>
          <w:szCs w:val="24"/>
        </w:rPr>
        <w:t>). Understanding the microbial community composition and functional diversity within</w:t>
      </w:r>
      <w:r>
        <w:rPr>
          <w:rFonts w:ascii="Times New Roman" w:hAnsi="Times New Roman"/>
          <w:sz w:val="24"/>
          <w:szCs w:val="24"/>
        </w:rPr>
        <w:t xml:space="preserve"> pineapple waste can provide insights into its biodegradative potential and offer opportunities for biotechnological applications (</w:t>
      </w:r>
      <w:r>
        <w:rPr>
          <w:rFonts w:ascii="Times New Roman" w:hAnsi="Times New Roman"/>
          <w:color w:val="4F81BD"/>
          <w:sz w:val="24"/>
          <w:szCs w:val="24"/>
        </w:rPr>
        <w:t>Prastujati et al., 2019; Gogarten &amp; Townsend, 2005</w:t>
      </w:r>
      <w:r>
        <w:rPr>
          <w:rFonts w:ascii="Times New Roman" w:hAnsi="Times New Roman"/>
          <w:sz w:val="24"/>
          <w:szCs w:val="24"/>
        </w:rPr>
        <w:t>). Identification and characterization of bacteria from pineapple waste are essential steps towards harnessing their enzymatic capabilities for various industrial purposes, including biofuel production, bioremediation, and enzyme production (</w:t>
      </w:r>
      <w:r>
        <w:rPr>
          <w:rFonts w:ascii="Times New Roman" w:hAnsi="Times New Roman"/>
          <w:color w:val="4F81BD"/>
          <w:sz w:val="24"/>
          <w:szCs w:val="24"/>
        </w:rPr>
        <w:t>Tan et al., 2020; Clarridge, 2004</w:t>
      </w:r>
      <w:r>
        <w:rPr>
          <w:rFonts w:ascii="Times New Roman" w:hAnsi="Times New Roman"/>
          <w:sz w:val="24"/>
          <w:szCs w:val="24"/>
        </w:rPr>
        <w:t>). Advances in molecular biology and biochemical techniq</w:t>
      </w:r>
      <w:r>
        <w:rPr>
          <w:rFonts w:ascii="Times New Roman" w:hAnsi="Times New Roman"/>
          <w:sz w:val="24"/>
          <w:szCs w:val="24"/>
        </w:rPr>
        <w:t>ues have facilitated more precise identification of bacterial species and their metabolic pathways, enhancing our ability to exploit their biotechnological potential effectively (</w:t>
      </w:r>
      <w:r>
        <w:rPr>
          <w:rFonts w:ascii="Times New Roman" w:hAnsi="Times New Roman"/>
          <w:color w:val="4F81BD"/>
          <w:sz w:val="24"/>
          <w:szCs w:val="24"/>
        </w:rPr>
        <w:t>Janda &amp; Abbott, 2007; Schleifer, 2009</w:t>
      </w:r>
      <w:r>
        <w:rPr>
          <w:rFonts w:ascii="Times New Roman" w:hAnsi="Times New Roman"/>
          <w:sz w:val="24"/>
          <w:szCs w:val="24"/>
        </w:rPr>
        <w:t>).</w:t>
      </w:r>
    </w:p>
    <w:p w14:paraId="2EB21786" w14:textId="77777777"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This study aims to explore the bacterial diversity present in pineapple waste using both molecular and biochemical approaches. By combining genomic analysis with physiological and biochemical assays, we seek to elucidate the metabolic capabilities of these bacteria and their adaptation strategies to the pineapple waste environment (Dimri et al., 2020; Vandamme et al., 1996). Such insights are crucial for developing sustainable strategies to manage pineapple waste and utilize it as a valuable resource in bio</w:t>
      </w:r>
      <w:r>
        <w:rPr>
          <w:rFonts w:ascii="Times New Roman" w:hAnsi="Times New Roman"/>
          <w:sz w:val="24"/>
          <w:szCs w:val="24"/>
        </w:rPr>
        <w:t>technological applications (</w:t>
      </w:r>
      <w:r>
        <w:rPr>
          <w:rFonts w:ascii="Times New Roman" w:hAnsi="Times New Roman"/>
          <w:color w:val="4F81BD"/>
          <w:sz w:val="24"/>
          <w:szCs w:val="24"/>
        </w:rPr>
        <w:t>Smith &amp; Jones, 2022; Ludwig &amp; Schleifer, 1994</w:t>
      </w:r>
      <w:r>
        <w:rPr>
          <w:rFonts w:ascii="Times New Roman" w:hAnsi="Times New Roman"/>
          <w:sz w:val="24"/>
          <w:szCs w:val="24"/>
        </w:rPr>
        <w:t>).</w:t>
      </w:r>
    </w:p>
    <w:p w14:paraId="013D3212" w14:textId="77777777"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lastRenderedPageBreak/>
        <w:t>In this paper, we present the results of our investigation into the molecular and biochemical identification of bacteria isolated from pineapple waste. Our findings contribute to the broader understanding of microbial ecology in agricultural waste systems and highlight the potential of pineapple waste as a reservoir for novel bacterial species with biotechnological relevance (</w:t>
      </w:r>
      <w:r>
        <w:rPr>
          <w:rFonts w:ascii="Times New Roman" w:hAnsi="Times New Roman"/>
          <w:color w:val="4F81BD"/>
          <w:sz w:val="24"/>
          <w:szCs w:val="24"/>
        </w:rPr>
        <w:t>Taylor et al., 2020; Tindall et al., 2010</w:t>
      </w:r>
      <w:r>
        <w:rPr>
          <w:rFonts w:ascii="Times New Roman" w:hAnsi="Times New Roman"/>
          <w:sz w:val="24"/>
          <w:szCs w:val="24"/>
        </w:rPr>
        <w:t>).</w:t>
      </w:r>
    </w:p>
    <w:p w14:paraId="23B68D78" w14:textId="77777777" w:rsidR="00D72F91" w:rsidRDefault="00D72F91">
      <w:pPr>
        <w:pStyle w:val="ListParagraph"/>
        <w:spacing w:line="480" w:lineRule="auto"/>
        <w:ind w:left="90"/>
        <w:jc w:val="both"/>
        <w:rPr>
          <w:rFonts w:ascii="Times New Roman" w:hAnsi="Times New Roman"/>
          <w:b/>
          <w:bCs/>
          <w:sz w:val="24"/>
          <w:szCs w:val="24"/>
        </w:rPr>
      </w:pPr>
    </w:p>
    <w:p w14:paraId="2D5DFF86" w14:textId="77777777" w:rsidR="00D72F91" w:rsidRDefault="00D2263D">
      <w:pPr>
        <w:pStyle w:val="ListParagraph"/>
        <w:spacing w:line="480" w:lineRule="auto"/>
        <w:ind w:left="90"/>
        <w:jc w:val="both"/>
        <w:rPr>
          <w:rFonts w:ascii="Times New Roman" w:hAnsi="Times New Roman"/>
          <w:sz w:val="24"/>
          <w:szCs w:val="24"/>
        </w:rPr>
      </w:pPr>
      <w:r>
        <w:rPr>
          <w:rFonts w:ascii="Times New Roman" w:hAnsi="Times New Roman"/>
          <w:b/>
          <w:bCs/>
          <w:sz w:val="24"/>
          <w:szCs w:val="24"/>
        </w:rPr>
        <w:t>Materials and Methods</w:t>
      </w:r>
      <w:r>
        <w:rPr>
          <w:rFonts w:ascii="Times New Roman" w:hAnsi="Times New Roman"/>
          <w:sz w:val="24"/>
          <w:szCs w:val="24"/>
        </w:rPr>
        <w:t>:</w:t>
      </w:r>
    </w:p>
    <w:p w14:paraId="0A208F3D" w14:textId="77777777" w:rsidR="00D72F91" w:rsidRDefault="00D2263D">
      <w:pPr>
        <w:pStyle w:val="ListParagraph"/>
        <w:spacing w:line="480" w:lineRule="auto"/>
        <w:ind w:left="90"/>
        <w:jc w:val="both"/>
        <w:rPr>
          <w:rFonts w:ascii="Times New Roman" w:hAnsi="Times New Roman"/>
          <w:sz w:val="24"/>
          <w:szCs w:val="24"/>
        </w:rPr>
      </w:pPr>
      <w:r>
        <w:rPr>
          <w:rFonts w:ascii="Times New Roman" w:hAnsi="Times New Roman"/>
          <w:b/>
          <w:bCs/>
          <w:sz w:val="24"/>
          <w:szCs w:val="24"/>
        </w:rPr>
        <w:t>Sample collection and processing</w:t>
      </w:r>
    </w:p>
    <w:p w14:paraId="1E23C0EF" w14:textId="2BE99C93"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The pineapple waste samples used in the present study were collected from a small processing plant in Kiambu's Gatundu Town. </w:t>
      </w:r>
      <w:r w:rsidR="003D467C" w:rsidRPr="003D467C">
        <w:rPr>
          <w:rFonts w:ascii="Times New Roman" w:hAnsi="Times New Roman"/>
          <w:sz w:val="24"/>
          <w:szCs w:val="24"/>
        </w:rPr>
        <w:t>The samples were brought to the PAUSTI laboratory, which consisted mostly of pineapple peels</w:t>
      </w:r>
      <w:r>
        <w:rPr>
          <w:rFonts w:ascii="Times New Roman" w:hAnsi="Times New Roman"/>
          <w:sz w:val="24"/>
          <w:szCs w:val="24"/>
        </w:rPr>
        <w:t xml:space="preserve">, refrigerated to maintain their integrity for biochemical and molecular studies. As soon as the samples arrived at the lab, they were treated to stop them from deteriorating. After thoroughly washing the pineapple peels in sterile distilled water to get rid of any dirt or impurities, the samples were ready. </w:t>
      </w:r>
      <w:r w:rsidR="003D467C" w:rsidRPr="003D467C">
        <w:rPr>
          <w:rFonts w:ascii="Times New Roman" w:hAnsi="Times New Roman"/>
          <w:sz w:val="24"/>
          <w:szCs w:val="24"/>
        </w:rPr>
        <w:t xml:space="preserve">They were then aseptically air-dried following the method of </w:t>
      </w:r>
      <w:r w:rsidR="003D467C" w:rsidRPr="003D467C">
        <w:rPr>
          <w:rFonts w:ascii="Times New Roman" w:hAnsi="Times New Roman"/>
          <w:color w:val="4F81BD" w:themeColor="accent1"/>
          <w:sz w:val="24"/>
          <w:szCs w:val="24"/>
        </w:rPr>
        <w:t xml:space="preserve">Omorotionmwan et al. (2019) </w:t>
      </w:r>
      <w:r w:rsidR="003D467C" w:rsidRPr="003D467C">
        <w:rPr>
          <w:rFonts w:ascii="Times New Roman" w:hAnsi="Times New Roman"/>
          <w:sz w:val="24"/>
          <w:szCs w:val="24"/>
        </w:rPr>
        <w:t>to minimize contamination prior to bacterial isolation</w:t>
      </w:r>
      <w:r>
        <w:rPr>
          <w:rFonts w:ascii="Times New Roman" w:hAnsi="Times New Roman"/>
          <w:sz w:val="24"/>
          <w:szCs w:val="24"/>
        </w:rPr>
        <w:t>.</w:t>
      </w:r>
    </w:p>
    <w:p w14:paraId="5CAD61A2" w14:textId="77777777" w:rsidR="00D72F91" w:rsidRDefault="00D2263D">
      <w:pPr>
        <w:spacing w:after="0" w:line="480" w:lineRule="auto"/>
        <w:jc w:val="both"/>
        <w:rPr>
          <w:rFonts w:ascii="Times New Roman" w:hAnsi="Times New Roman"/>
          <w:b/>
          <w:bCs/>
          <w:sz w:val="24"/>
          <w:szCs w:val="24"/>
        </w:rPr>
      </w:pPr>
      <w:r>
        <w:rPr>
          <w:rFonts w:ascii="Times New Roman" w:hAnsi="Times New Roman"/>
          <w:b/>
          <w:bCs/>
          <w:sz w:val="24"/>
          <w:szCs w:val="24"/>
        </w:rPr>
        <w:t>Isolation and cultivation of bacteria</w:t>
      </w:r>
    </w:p>
    <w:p w14:paraId="02876D04"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In order to isolate the bacteria from the pineapple peels, various enrichment culture techniques were used to promote the development of particular microbial populations. Nine milliliters of sterile saline solution (0.85% NaCl) were used to suspend a portion of one milliliter of the processed pineapple peels. Sterile saline solution was used to create serial dilutions. After plating these dilutions onto nutrient agar plates, the plates were incubated for 24 hours at 30°C to promote the formation of bacteria</w:t>
      </w:r>
      <w:r>
        <w:rPr>
          <w:rFonts w:ascii="Times New Roman" w:hAnsi="Times New Roman"/>
          <w:sz w:val="24"/>
          <w:szCs w:val="24"/>
        </w:rPr>
        <w:t xml:space="preserve">l colonies. To isolate pure cultures, discrete colonies—each of which represented a pure strain of bacteria—were then selected and streaked onto brand-new nutrient agar plates. According to </w:t>
      </w:r>
      <w:r>
        <w:rPr>
          <w:rFonts w:ascii="Times New Roman" w:hAnsi="Times New Roman"/>
          <w:color w:val="548DD4"/>
          <w:sz w:val="24"/>
          <w:szCs w:val="24"/>
        </w:rPr>
        <w:t>Omorotionmwan et al. (2019)</w:t>
      </w:r>
      <w:r>
        <w:rPr>
          <w:rFonts w:ascii="Times New Roman" w:hAnsi="Times New Roman"/>
          <w:sz w:val="24"/>
          <w:szCs w:val="24"/>
        </w:rPr>
        <w:t>, these pure cultures were kept on nutrient agar slants at 4°C for upcoming analyses.</w:t>
      </w:r>
    </w:p>
    <w:p w14:paraId="21589721" w14:textId="77777777" w:rsidR="003D467C" w:rsidRDefault="003D467C">
      <w:pPr>
        <w:spacing w:after="0" w:line="480" w:lineRule="auto"/>
        <w:jc w:val="both"/>
        <w:rPr>
          <w:rFonts w:ascii="Times New Roman" w:hAnsi="Times New Roman"/>
          <w:b/>
          <w:bCs/>
          <w:sz w:val="24"/>
          <w:szCs w:val="24"/>
        </w:rPr>
      </w:pPr>
    </w:p>
    <w:p w14:paraId="206DF67E" w14:textId="01973854" w:rsidR="00D72F91" w:rsidRDefault="00D2263D">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Biochemical Identification of the bacteria</w:t>
      </w:r>
    </w:p>
    <w:p w14:paraId="3595F08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A number of physiological experiments were used to describe the bacterial isolates biochemically. These tests included catalase and oxidase assays, which are essential for figuring out important metabolic functions of bacteria, like their capacity for aerobic respiration or their ability to manufacture the enzyme catalase. Furthermore, fermentation experiments were conducted utilizing lactose and glucose to assess the bacteria's ability to use various carbohydrates metabolically. According to </w:t>
      </w:r>
      <w:r>
        <w:rPr>
          <w:rFonts w:ascii="Times New Roman" w:hAnsi="Times New Roman"/>
          <w:color w:val="548DD4"/>
          <w:sz w:val="24"/>
          <w:szCs w:val="24"/>
        </w:rPr>
        <w:t>Omorotionmwan et al. (2019)</w:t>
      </w:r>
      <w:r>
        <w:rPr>
          <w:rFonts w:ascii="Times New Roman" w:hAnsi="Times New Roman"/>
          <w:sz w:val="24"/>
          <w:szCs w:val="24"/>
        </w:rPr>
        <w:t xml:space="preserve"> methodology, these biochemical assays were conducted in accordance with conventional protocols and yielded insights into the physiological properties of the bacterial isolates.</w:t>
      </w:r>
    </w:p>
    <w:p w14:paraId="543A4B94" w14:textId="77777777" w:rsidR="00D72F91" w:rsidRDefault="00D2263D">
      <w:pPr>
        <w:spacing w:after="0" w:line="480" w:lineRule="auto"/>
        <w:jc w:val="both"/>
        <w:rPr>
          <w:rFonts w:ascii="Times New Roman" w:hAnsi="Times New Roman"/>
          <w:b/>
          <w:bCs/>
          <w:sz w:val="24"/>
          <w:szCs w:val="24"/>
        </w:rPr>
      </w:pPr>
      <w:r>
        <w:rPr>
          <w:rFonts w:ascii="Times New Roman" w:hAnsi="Times New Roman"/>
          <w:b/>
          <w:bCs/>
          <w:sz w:val="24"/>
          <w:szCs w:val="24"/>
        </w:rPr>
        <w:t>Molecular Identification of the bacteria</w:t>
      </w:r>
    </w:p>
    <w:p w14:paraId="5B725E5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Genomic DNA was isolated from the pure bacterial cultures using a commercial DNA extraction kit in order to facilitate molecular identification. Universal primers (27F and 1492R) were </w:t>
      </w:r>
      <w:r>
        <w:rPr>
          <w:rFonts w:ascii="Times New Roman" w:hAnsi="Times New Roman"/>
          <w:sz w:val="24"/>
          <w:szCs w:val="24"/>
        </w:rPr>
        <w:t>used to amplify the 16S rRNA gene after DNA extraction. In order to successfully amplify the gene, PCR amplification was performed under ideal conditions. After purifying the PCR results, Sanger sequencing was used to ascertain the exact nucleotide sequences of the amplified genes. Consensus sequences were produced from these sequences' analysis utilizing bioinformatics techniques. Comparing the acquired sequences to reference sequences found in NCBI GenBank was a necessary step in the molecular identificat</w:t>
      </w:r>
      <w:r>
        <w:rPr>
          <w:rFonts w:ascii="Times New Roman" w:hAnsi="Times New Roman"/>
          <w:sz w:val="24"/>
          <w:szCs w:val="24"/>
        </w:rPr>
        <w:t>ion process. By identifying the closest matches to the 16S rRNA gene sequences, bacterial species were identified using the BLAST (Basic Local Alignment Search Tool) program.</w:t>
      </w:r>
    </w:p>
    <w:p w14:paraId="4D9AB0FC" w14:textId="77777777" w:rsidR="00D72F91" w:rsidRDefault="00D2263D">
      <w:pPr>
        <w:spacing w:after="0" w:line="480" w:lineRule="auto"/>
        <w:jc w:val="both"/>
        <w:rPr>
          <w:rFonts w:ascii="Times New Roman" w:hAnsi="Times New Roman"/>
          <w:b/>
          <w:bCs/>
          <w:sz w:val="24"/>
          <w:szCs w:val="24"/>
        </w:rPr>
      </w:pPr>
      <w:r>
        <w:rPr>
          <w:rFonts w:ascii="Times New Roman" w:hAnsi="Times New Roman"/>
          <w:b/>
          <w:bCs/>
          <w:sz w:val="24"/>
          <w:szCs w:val="24"/>
        </w:rPr>
        <w:t>Data Analysis</w:t>
      </w:r>
    </w:p>
    <w:p w14:paraId="42848AEA"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The sequence data from the 16S rRNA gene sequencing was analyzed using bioinformatics techniques. The phylogenetic relationships between the bacterial isolates were assessed using MEGA. These analyses provided a clearer knowledge of the taxonomy and ecological roles of the detected bacterial species by evaluating their diversity and evolutionary relationships.</w:t>
      </w:r>
    </w:p>
    <w:p w14:paraId="14A31054" w14:textId="77777777" w:rsidR="002F2822" w:rsidRDefault="002F2822">
      <w:pPr>
        <w:pStyle w:val="ListParagraph"/>
        <w:spacing w:line="480" w:lineRule="auto"/>
        <w:ind w:left="0"/>
        <w:jc w:val="both"/>
        <w:rPr>
          <w:rFonts w:ascii="Times New Roman" w:hAnsi="Times New Roman"/>
          <w:b/>
          <w:bCs/>
          <w:sz w:val="24"/>
          <w:szCs w:val="24"/>
        </w:rPr>
      </w:pPr>
    </w:p>
    <w:p w14:paraId="71D204E7" w14:textId="7E9AD324" w:rsidR="00D72F91" w:rsidRDefault="00D2263D">
      <w:pPr>
        <w:pStyle w:val="ListParagraph"/>
        <w:spacing w:line="480" w:lineRule="auto"/>
        <w:ind w:left="0"/>
        <w:jc w:val="both"/>
        <w:rPr>
          <w:rFonts w:ascii="Times New Roman" w:hAnsi="Times New Roman"/>
          <w:sz w:val="24"/>
          <w:szCs w:val="24"/>
        </w:rPr>
      </w:pPr>
      <w:r>
        <w:rPr>
          <w:rFonts w:ascii="Times New Roman" w:hAnsi="Times New Roman"/>
          <w:b/>
          <w:bCs/>
          <w:sz w:val="24"/>
          <w:szCs w:val="24"/>
        </w:rPr>
        <w:lastRenderedPageBreak/>
        <w:t>Results</w:t>
      </w:r>
    </w:p>
    <w:p w14:paraId="21130037" w14:textId="77777777" w:rsidR="00D72F91" w:rsidRDefault="00D2263D">
      <w:pPr>
        <w:pStyle w:val="ListParagraph"/>
        <w:numPr>
          <w:ilvl w:val="0"/>
          <w:numId w:val="1"/>
        </w:numPr>
        <w:spacing w:line="480" w:lineRule="auto"/>
        <w:jc w:val="both"/>
        <w:rPr>
          <w:rFonts w:ascii="Times New Roman" w:hAnsi="Times New Roman"/>
          <w:b/>
          <w:bCs/>
          <w:sz w:val="24"/>
          <w:szCs w:val="24"/>
        </w:rPr>
      </w:pPr>
      <w:r>
        <w:rPr>
          <w:rFonts w:ascii="Times New Roman" w:hAnsi="Times New Roman"/>
          <w:b/>
          <w:bCs/>
          <w:sz w:val="24"/>
          <w:szCs w:val="24"/>
        </w:rPr>
        <w:t>Total plate count of bacteria</w:t>
      </w:r>
    </w:p>
    <w:p w14:paraId="70FBFFD7" w14:textId="6D3771E5"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The total plate count of the bacteria </w:t>
      </w:r>
      <w:r w:rsidR="003D467C">
        <w:rPr>
          <w:rFonts w:ascii="Times New Roman" w:hAnsi="Times New Roman"/>
          <w:sz w:val="24"/>
          <w:szCs w:val="24"/>
        </w:rPr>
        <w:t>i</w:t>
      </w:r>
      <w:r>
        <w:rPr>
          <w:rFonts w:ascii="Times New Roman" w:hAnsi="Times New Roman"/>
          <w:sz w:val="24"/>
          <w:szCs w:val="24"/>
        </w:rPr>
        <w:t>s shown in</w:t>
      </w:r>
      <w:r>
        <w:rPr>
          <w:rFonts w:ascii="Times New Roman" w:hAnsi="Times New Roman"/>
          <w:sz w:val="24"/>
          <w:szCs w:val="24"/>
        </w:rPr>
        <w:t xml:space="preserve"> Table 1. The highest number of bacteria with 7,500 CFU/ml was observed in the second batch of the pineapple crude extract, and the lower value was observed in the first batch with 2,000 CFU/ml.</w:t>
      </w:r>
    </w:p>
    <w:tbl>
      <w:tblPr>
        <w:tblStyle w:val="TableGrid"/>
        <w:tblW w:w="0" w:type="auto"/>
        <w:jc w:val="center"/>
        <w:tblLook w:val="04A0" w:firstRow="1" w:lastRow="0" w:firstColumn="1" w:lastColumn="0" w:noHBand="0" w:noVBand="1"/>
      </w:tblPr>
      <w:tblGrid>
        <w:gridCol w:w="1548"/>
        <w:gridCol w:w="1548"/>
        <w:gridCol w:w="1548"/>
        <w:gridCol w:w="1548"/>
        <w:gridCol w:w="1548"/>
      </w:tblGrid>
      <w:tr w:rsidR="00D72F91" w14:paraId="73377910" w14:textId="77777777">
        <w:trPr>
          <w:trHeight w:val="291"/>
          <w:jc w:val="center"/>
        </w:trPr>
        <w:tc>
          <w:tcPr>
            <w:tcW w:w="1548" w:type="dxa"/>
            <w:tcBorders>
              <w:top w:val="nil"/>
              <w:left w:val="nil"/>
            </w:tcBorders>
          </w:tcPr>
          <w:p w14:paraId="0E92CE59" w14:textId="77777777" w:rsidR="00D72F91" w:rsidRDefault="00D72F91">
            <w:pPr>
              <w:pStyle w:val="Els-body-text"/>
              <w:widowControl w:val="0"/>
              <w:spacing w:line="480" w:lineRule="auto"/>
              <w:ind w:right="25" w:firstLine="0"/>
              <w:rPr>
                <w:rFonts w:eastAsia="Calibri" w:cs="Times New Roman"/>
                <w:bCs/>
                <w:color w:val="000000"/>
                <w:sz w:val="24"/>
                <w:szCs w:val="24"/>
                <w:lang w:bidi="fa-IR"/>
              </w:rPr>
            </w:pPr>
          </w:p>
        </w:tc>
        <w:tc>
          <w:tcPr>
            <w:tcW w:w="1548" w:type="dxa"/>
          </w:tcPr>
          <w:p w14:paraId="3102EDE5" w14:textId="77777777" w:rsidR="00D72F91" w:rsidRDefault="00D2263D">
            <w:pPr>
              <w:pStyle w:val="Els-body-text"/>
              <w:widowControl w:val="0"/>
              <w:spacing w:line="480" w:lineRule="auto"/>
              <w:ind w:right="25" w:firstLine="0"/>
              <w:rPr>
                <w:rFonts w:eastAsia="Calibri" w:cs="Times New Roman"/>
                <w:b/>
                <w:color w:val="000000"/>
                <w:sz w:val="24"/>
                <w:szCs w:val="24"/>
                <w:lang w:bidi="fa-IR"/>
              </w:rPr>
            </w:pPr>
            <w:r>
              <w:rPr>
                <w:rFonts w:eastAsia="Calibri" w:cs="Times New Roman"/>
                <w:b/>
                <w:color w:val="000000"/>
                <w:sz w:val="24"/>
                <w:szCs w:val="24"/>
                <w:lang w:bidi="fa-IR"/>
              </w:rPr>
              <w:t>Batch 1</w:t>
            </w:r>
          </w:p>
        </w:tc>
        <w:tc>
          <w:tcPr>
            <w:tcW w:w="1548" w:type="dxa"/>
          </w:tcPr>
          <w:p w14:paraId="586D418E" w14:textId="77777777" w:rsidR="00D72F91" w:rsidRDefault="00D2263D">
            <w:pPr>
              <w:pStyle w:val="Els-body-text"/>
              <w:widowControl w:val="0"/>
              <w:spacing w:line="480" w:lineRule="auto"/>
              <w:ind w:right="25" w:firstLine="0"/>
              <w:rPr>
                <w:rFonts w:eastAsia="Calibri" w:cs="Times New Roman"/>
                <w:b/>
                <w:color w:val="000000"/>
                <w:sz w:val="24"/>
                <w:szCs w:val="24"/>
                <w:lang w:bidi="fa-IR"/>
              </w:rPr>
            </w:pPr>
            <w:r>
              <w:rPr>
                <w:rFonts w:eastAsia="Calibri" w:cs="Times New Roman"/>
                <w:b/>
                <w:color w:val="000000"/>
                <w:sz w:val="24"/>
                <w:szCs w:val="24"/>
                <w:lang w:bidi="fa-IR"/>
              </w:rPr>
              <w:t>Batch 2</w:t>
            </w:r>
          </w:p>
        </w:tc>
        <w:tc>
          <w:tcPr>
            <w:tcW w:w="1548" w:type="dxa"/>
          </w:tcPr>
          <w:p w14:paraId="7278DCD8" w14:textId="77777777" w:rsidR="00D72F91" w:rsidRDefault="00D2263D">
            <w:pPr>
              <w:pStyle w:val="Els-body-text"/>
              <w:widowControl w:val="0"/>
              <w:spacing w:line="480" w:lineRule="auto"/>
              <w:ind w:right="25" w:firstLine="0"/>
              <w:rPr>
                <w:rFonts w:eastAsia="Calibri" w:cs="Times New Roman"/>
                <w:b/>
                <w:color w:val="000000"/>
                <w:sz w:val="24"/>
                <w:szCs w:val="24"/>
                <w:lang w:bidi="fa-IR"/>
              </w:rPr>
            </w:pPr>
            <w:r>
              <w:rPr>
                <w:rFonts w:eastAsia="Calibri" w:cs="Times New Roman"/>
                <w:b/>
                <w:color w:val="000000"/>
                <w:sz w:val="24"/>
                <w:szCs w:val="24"/>
                <w:lang w:bidi="fa-IR"/>
              </w:rPr>
              <w:t>Batch 3</w:t>
            </w:r>
          </w:p>
        </w:tc>
        <w:tc>
          <w:tcPr>
            <w:tcW w:w="1548" w:type="dxa"/>
          </w:tcPr>
          <w:p w14:paraId="21BD38C4" w14:textId="77777777" w:rsidR="00D72F91" w:rsidRDefault="00D2263D">
            <w:pPr>
              <w:pStyle w:val="Els-body-text"/>
              <w:widowControl w:val="0"/>
              <w:spacing w:line="480" w:lineRule="auto"/>
              <w:ind w:right="25" w:firstLine="0"/>
              <w:rPr>
                <w:rFonts w:eastAsia="Calibri" w:cs="Times New Roman"/>
                <w:b/>
                <w:color w:val="000000"/>
                <w:sz w:val="24"/>
                <w:szCs w:val="24"/>
                <w:lang w:bidi="fa-IR"/>
              </w:rPr>
            </w:pPr>
            <w:r>
              <w:rPr>
                <w:rFonts w:eastAsia="Calibri" w:cs="Times New Roman"/>
                <w:b/>
                <w:color w:val="000000"/>
                <w:sz w:val="24"/>
                <w:szCs w:val="24"/>
                <w:lang w:bidi="fa-IR"/>
              </w:rPr>
              <w:t>Batch 4</w:t>
            </w:r>
          </w:p>
        </w:tc>
      </w:tr>
      <w:tr w:rsidR="00D72F91" w14:paraId="64247F80" w14:textId="77777777">
        <w:trPr>
          <w:trHeight w:val="298"/>
          <w:jc w:val="center"/>
        </w:trPr>
        <w:tc>
          <w:tcPr>
            <w:tcW w:w="1548" w:type="dxa"/>
          </w:tcPr>
          <w:p w14:paraId="322C4E0E" w14:textId="77777777" w:rsidR="00D72F91" w:rsidRDefault="00D2263D">
            <w:pPr>
              <w:pStyle w:val="Els-body-text"/>
              <w:widowControl w:val="0"/>
              <w:spacing w:line="480" w:lineRule="auto"/>
              <w:ind w:right="25" w:firstLine="0"/>
              <w:rPr>
                <w:rFonts w:eastAsia="Calibri" w:cs="Times New Roman"/>
                <w:b/>
                <w:color w:val="000000"/>
                <w:sz w:val="24"/>
                <w:szCs w:val="24"/>
                <w:lang w:bidi="fa-IR"/>
              </w:rPr>
            </w:pPr>
            <w:r>
              <w:rPr>
                <w:rFonts w:eastAsia="Calibri" w:cs="Times New Roman"/>
                <w:b/>
                <w:color w:val="000000"/>
                <w:sz w:val="24"/>
                <w:szCs w:val="24"/>
                <w:lang w:bidi="fa-IR"/>
              </w:rPr>
              <w:t>CFU/ml</w:t>
            </w:r>
          </w:p>
        </w:tc>
        <w:tc>
          <w:tcPr>
            <w:tcW w:w="1548" w:type="dxa"/>
          </w:tcPr>
          <w:p w14:paraId="68BB30A5" w14:textId="77777777" w:rsidR="00D72F91" w:rsidRDefault="00D2263D">
            <w:pPr>
              <w:pStyle w:val="Els-body-text"/>
              <w:widowControl w:val="0"/>
              <w:spacing w:line="480" w:lineRule="auto"/>
              <w:ind w:right="25" w:firstLine="0"/>
              <w:rPr>
                <w:rFonts w:eastAsia="Calibri" w:cs="Times New Roman"/>
                <w:bCs/>
                <w:color w:val="000000"/>
                <w:sz w:val="24"/>
                <w:szCs w:val="24"/>
                <w:lang w:bidi="fa-IR"/>
              </w:rPr>
            </w:pPr>
            <w:r>
              <w:rPr>
                <w:rFonts w:eastAsia="Calibri" w:cs="Times New Roman"/>
                <w:bCs/>
                <w:color w:val="000000"/>
                <w:sz w:val="24"/>
                <w:szCs w:val="24"/>
                <w:lang w:bidi="fa-IR"/>
              </w:rPr>
              <w:t>2,000</w:t>
            </w:r>
          </w:p>
        </w:tc>
        <w:tc>
          <w:tcPr>
            <w:tcW w:w="1548" w:type="dxa"/>
          </w:tcPr>
          <w:p w14:paraId="704627AB" w14:textId="77777777" w:rsidR="00D72F91" w:rsidRDefault="00D2263D">
            <w:pPr>
              <w:pStyle w:val="Els-body-text"/>
              <w:widowControl w:val="0"/>
              <w:spacing w:line="480" w:lineRule="auto"/>
              <w:ind w:right="25" w:firstLine="0"/>
              <w:rPr>
                <w:rFonts w:eastAsia="Calibri" w:cs="Times New Roman"/>
                <w:bCs/>
                <w:color w:val="000000"/>
                <w:sz w:val="24"/>
                <w:szCs w:val="24"/>
                <w:lang w:bidi="fa-IR"/>
              </w:rPr>
            </w:pPr>
            <w:r>
              <w:rPr>
                <w:rFonts w:eastAsia="Calibri" w:cs="Times New Roman"/>
                <w:bCs/>
                <w:color w:val="000000"/>
                <w:sz w:val="24"/>
                <w:szCs w:val="24"/>
                <w:lang w:bidi="fa-IR"/>
              </w:rPr>
              <w:t>7,500</w:t>
            </w:r>
          </w:p>
        </w:tc>
        <w:tc>
          <w:tcPr>
            <w:tcW w:w="1548" w:type="dxa"/>
          </w:tcPr>
          <w:p w14:paraId="4E6CC361" w14:textId="77777777" w:rsidR="00D72F91" w:rsidRDefault="00D2263D">
            <w:pPr>
              <w:pStyle w:val="Els-body-text"/>
              <w:widowControl w:val="0"/>
              <w:spacing w:line="480" w:lineRule="auto"/>
              <w:ind w:right="25" w:firstLine="0"/>
              <w:rPr>
                <w:rFonts w:eastAsia="Calibri" w:cs="Times New Roman"/>
                <w:bCs/>
                <w:color w:val="000000"/>
                <w:sz w:val="24"/>
                <w:szCs w:val="24"/>
                <w:lang w:bidi="fa-IR"/>
              </w:rPr>
            </w:pPr>
            <w:r>
              <w:rPr>
                <w:rFonts w:eastAsia="Calibri" w:cs="Times New Roman"/>
                <w:bCs/>
                <w:color w:val="000000"/>
                <w:sz w:val="24"/>
                <w:szCs w:val="24"/>
                <w:lang w:bidi="fa-IR"/>
              </w:rPr>
              <w:t>6,000</w:t>
            </w:r>
          </w:p>
        </w:tc>
        <w:tc>
          <w:tcPr>
            <w:tcW w:w="1548" w:type="dxa"/>
          </w:tcPr>
          <w:p w14:paraId="3D904E9C" w14:textId="77777777" w:rsidR="00D72F91" w:rsidRDefault="00D2263D">
            <w:pPr>
              <w:pStyle w:val="Els-body-text"/>
              <w:widowControl w:val="0"/>
              <w:spacing w:line="480" w:lineRule="auto"/>
              <w:ind w:right="25" w:firstLine="0"/>
              <w:rPr>
                <w:rFonts w:eastAsia="Calibri" w:cs="Times New Roman"/>
                <w:bCs/>
                <w:color w:val="000000"/>
                <w:sz w:val="24"/>
                <w:szCs w:val="24"/>
                <w:lang w:bidi="fa-IR"/>
              </w:rPr>
            </w:pPr>
            <w:r>
              <w:rPr>
                <w:rFonts w:eastAsia="Calibri" w:cs="Times New Roman"/>
                <w:bCs/>
                <w:color w:val="000000"/>
                <w:sz w:val="24"/>
                <w:szCs w:val="24"/>
                <w:lang w:bidi="fa-IR"/>
              </w:rPr>
              <w:t>5,000</w:t>
            </w:r>
          </w:p>
        </w:tc>
      </w:tr>
    </w:tbl>
    <w:p w14:paraId="673C409E" w14:textId="77777777" w:rsidR="00D72F91" w:rsidRDefault="00D2263D">
      <w:pPr>
        <w:pStyle w:val="Els-body-text"/>
        <w:widowControl w:val="0"/>
        <w:spacing w:line="480" w:lineRule="auto"/>
        <w:ind w:right="25"/>
        <w:jc w:val="center"/>
        <w:outlineLvl w:val="2"/>
        <w:rPr>
          <w:rFonts w:eastAsia="Calibri"/>
          <w:b/>
          <w:color w:val="000000"/>
          <w:sz w:val="24"/>
          <w:szCs w:val="24"/>
          <w:lang w:bidi="fa-IR"/>
        </w:rPr>
      </w:pPr>
      <w:r>
        <w:rPr>
          <w:color w:val="000000"/>
          <w:sz w:val="24"/>
          <w:szCs w:val="24"/>
        </w:rPr>
        <w:t xml:space="preserve">Table </w:t>
      </w:r>
      <w:r>
        <w:rPr>
          <w:color w:val="000000"/>
          <w:sz w:val="24"/>
          <w:szCs w:val="24"/>
        </w:rPr>
        <w:fldChar w:fldCharType="begin"/>
      </w:r>
      <w:r>
        <w:rPr>
          <w:color w:val="000000"/>
          <w:sz w:val="24"/>
          <w:szCs w:val="24"/>
        </w:rPr>
        <w:instrText xml:space="preserve"> SEQ Tableau \* ARABIC </w:instrText>
      </w:r>
      <w:r>
        <w:rPr>
          <w:color w:val="000000"/>
          <w:sz w:val="24"/>
          <w:szCs w:val="24"/>
        </w:rPr>
        <w:fldChar w:fldCharType="separate"/>
      </w:r>
      <w:r>
        <w:rPr>
          <w:noProof/>
          <w:color w:val="000000"/>
          <w:sz w:val="24"/>
          <w:szCs w:val="24"/>
        </w:rPr>
        <w:t>1</w:t>
      </w:r>
      <w:r>
        <w:rPr>
          <w:color w:val="000000"/>
          <w:sz w:val="24"/>
          <w:szCs w:val="24"/>
        </w:rPr>
        <w:fldChar w:fldCharType="end"/>
      </w:r>
      <w:r>
        <w:rPr>
          <w:color w:val="000000"/>
          <w:sz w:val="24"/>
          <w:szCs w:val="24"/>
        </w:rPr>
        <w:t xml:space="preserve">: Total Plate Count of the bacteria observed from the crude extract of </w:t>
      </w:r>
      <w:r>
        <w:rPr>
          <w:color w:val="000000"/>
          <w:sz w:val="24"/>
          <w:szCs w:val="24"/>
        </w:rPr>
        <w:t>pineapple peels</w:t>
      </w:r>
    </w:p>
    <w:p w14:paraId="0D87D58D" w14:textId="77777777" w:rsidR="00D72F91" w:rsidRDefault="00D2263D">
      <w:pPr>
        <w:pStyle w:val="Els-body-text"/>
        <w:widowControl w:val="0"/>
        <w:numPr>
          <w:ilvl w:val="0"/>
          <w:numId w:val="1"/>
        </w:numPr>
        <w:spacing w:line="480" w:lineRule="auto"/>
        <w:ind w:right="25"/>
        <w:outlineLvl w:val="2"/>
        <w:rPr>
          <w:rFonts w:eastAsia="Calibri"/>
          <w:b/>
          <w:color w:val="000000"/>
          <w:sz w:val="24"/>
          <w:szCs w:val="24"/>
          <w:lang w:bidi="fa-IR"/>
        </w:rPr>
      </w:pPr>
      <w:r>
        <w:rPr>
          <w:rFonts w:eastAsia="Calibri"/>
          <w:b/>
          <w:color w:val="000000"/>
          <w:sz w:val="24"/>
          <w:szCs w:val="24"/>
          <w:lang w:bidi="fa-IR"/>
        </w:rPr>
        <w:t>Biochemical methods analysis</w:t>
      </w:r>
    </w:p>
    <w:p w14:paraId="2F184822" w14:textId="77777777" w:rsidR="00D72F91" w:rsidRDefault="00D2263D">
      <w:pPr>
        <w:pStyle w:val="Els-body-text"/>
        <w:widowControl w:val="0"/>
        <w:spacing w:line="480" w:lineRule="auto"/>
        <w:ind w:right="25"/>
        <w:rPr>
          <w:rFonts w:eastAsia="Calibri"/>
          <w:bCs/>
          <w:color w:val="000000"/>
          <w:sz w:val="24"/>
          <w:szCs w:val="24"/>
          <w:lang w:bidi="fa-IR"/>
        </w:rPr>
      </w:pPr>
      <w:r>
        <w:rPr>
          <w:rFonts w:eastAsia="Calibri"/>
          <w:bCs/>
          <w:color w:val="000000"/>
          <w:sz w:val="24"/>
          <w:szCs w:val="24"/>
          <w:lang w:bidi="fa-IR"/>
        </w:rPr>
        <w:t xml:space="preserve">Samples from the pineapple peel were positive for </w:t>
      </w:r>
      <w:r>
        <w:rPr>
          <w:rFonts w:eastAsia="Calibri"/>
          <w:bCs/>
          <w:i/>
          <w:iCs/>
          <w:color w:val="000000"/>
          <w:sz w:val="24"/>
          <w:szCs w:val="24"/>
          <w:lang w:bidi="fa-IR"/>
        </w:rPr>
        <w:t>Enterobacter</w:t>
      </w:r>
      <w:r>
        <w:rPr>
          <w:rFonts w:eastAsia="Calibri"/>
          <w:bCs/>
          <w:color w:val="000000"/>
          <w:sz w:val="24"/>
          <w:szCs w:val="24"/>
          <w:lang w:bidi="fa-IR"/>
        </w:rPr>
        <w:t xml:space="preserve"> spp., </w:t>
      </w:r>
      <w:r>
        <w:rPr>
          <w:rFonts w:eastAsia="Calibri"/>
          <w:bCs/>
          <w:i/>
          <w:iCs/>
          <w:color w:val="000000"/>
          <w:sz w:val="24"/>
          <w:szCs w:val="24"/>
          <w:lang w:bidi="fa-IR"/>
        </w:rPr>
        <w:t>Escherichia coli</w:t>
      </w:r>
      <w:r>
        <w:rPr>
          <w:rFonts w:eastAsia="Calibri"/>
          <w:bCs/>
          <w:color w:val="000000"/>
          <w:sz w:val="24"/>
          <w:szCs w:val="24"/>
          <w:lang w:bidi="fa-IR"/>
        </w:rPr>
        <w:t xml:space="preserve">, </w:t>
      </w:r>
      <w:r>
        <w:rPr>
          <w:rFonts w:eastAsia="Calibri"/>
          <w:bCs/>
          <w:i/>
          <w:iCs/>
          <w:color w:val="000000"/>
          <w:sz w:val="24"/>
          <w:szCs w:val="24"/>
          <w:lang w:bidi="fa-IR"/>
        </w:rPr>
        <w:t xml:space="preserve">Klebsiella </w:t>
      </w:r>
      <w:r>
        <w:rPr>
          <w:rFonts w:eastAsia="Calibri"/>
          <w:bCs/>
          <w:color w:val="000000"/>
          <w:sz w:val="24"/>
          <w:szCs w:val="24"/>
          <w:lang w:bidi="fa-IR"/>
        </w:rPr>
        <w:t xml:space="preserve">spp., and </w:t>
      </w:r>
      <w:r>
        <w:rPr>
          <w:rFonts w:eastAsia="Calibri"/>
          <w:bCs/>
          <w:i/>
          <w:iCs/>
          <w:color w:val="000000"/>
          <w:sz w:val="24"/>
          <w:szCs w:val="24"/>
          <w:lang w:bidi="fa-IR"/>
        </w:rPr>
        <w:t>Citrobacter</w:t>
      </w:r>
      <w:r>
        <w:rPr>
          <w:rFonts w:eastAsia="Calibri"/>
          <w:bCs/>
          <w:color w:val="000000"/>
          <w:sz w:val="24"/>
          <w:szCs w:val="24"/>
          <w:lang w:bidi="fa-IR"/>
        </w:rPr>
        <w:t xml:space="preserve"> spp., among other members of the Enterobacteriaceae family (Table 2). </w:t>
      </w:r>
    </w:p>
    <w:p w14:paraId="519405E2" w14:textId="77777777" w:rsidR="00D72F91" w:rsidRDefault="00D2263D">
      <w:pPr>
        <w:pStyle w:val="ListParagraph"/>
        <w:numPr>
          <w:ilvl w:val="0"/>
          <w:numId w:val="1"/>
        </w:numPr>
        <w:spacing w:after="0" w:line="480" w:lineRule="auto"/>
        <w:jc w:val="both"/>
        <w:rPr>
          <w:rFonts w:ascii="Times New Roman" w:eastAsia="Calibri" w:hAnsi="Times New Roman"/>
          <w:bCs/>
          <w:color w:val="000000"/>
          <w:sz w:val="24"/>
          <w:szCs w:val="24"/>
          <w:lang w:eastAsia="en-US" w:bidi="fa-IR"/>
        </w:rPr>
      </w:pPr>
      <w:r>
        <w:rPr>
          <w:rFonts w:ascii="Times New Roman" w:eastAsia="Calibri" w:hAnsi="Times New Roman"/>
          <w:b/>
          <w:color w:val="000000"/>
          <w:sz w:val="24"/>
          <w:szCs w:val="24"/>
          <w:lang w:eastAsia="en-US" w:bidi="fa-IR"/>
        </w:rPr>
        <w:t>Isolation of bacteria in each batch</w:t>
      </w:r>
    </w:p>
    <w:p w14:paraId="36B29E85" w14:textId="77777777" w:rsidR="00D72F91" w:rsidRDefault="00D2263D">
      <w:pPr>
        <w:spacing w:after="0" w:line="480" w:lineRule="auto"/>
        <w:jc w:val="both"/>
        <w:rPr>
          <w:rFonts w:ascii="Times New Roman" w:eastAsia="Calibri" w:hAnsi="Times New Roman"/>
          <w:bCs/>
          <w:color w:val="000000"/>
          <w:sz w:val="24"/>
          <w:szCs w:val="24"/>
          <w:lang w:bidi="fa-IR"/>
        </w:rPr>
      </w:pPr>
      <w:r>
        <w:rPr>
          <w:rFonts w:ascii="Times New Roman" w:eastAsia="Calibri" w:hAnsi="Times New Roman"/>
          <w:bCs/>
          <w:color w:val="000000"/>
          <w:sz w:val="24"/>
          <w:szCs w:val="24"/>
          <w:lang w:eastAsia="en-US" w:bidi="fa-IR"/>
        </w:rPr>
        <w:t xml:space="preserve">The table below shown the result of the isolated bacteria in each batch (Table 3). The commons bacteria among batches were </w:t>
      </w:r>
      <w:r>
        <w:rPr>
          <w:rFonts w:ascii="Times New Roman" w:eastAsia="Calibri" w:hAnsi="Times New Roman"/>
          <w:bCs/>
          <w:i/>
          <w:iCs/>
          <w:color w:val="000000"/>
          <w:sz w:val="24"/>
          <w:szCs w:val="24"/>
          <w:lang w:eastAsia="en-US" w:bidi="fa-IR"/>
        </w:rPr>
        <w:t>Klebsiella</w:t>
      </w:r>
      <w:r>
        <w:rPr>
          <w:rFonts w:ascii="Times New Roman" w:eastAsia="Calibri" w:hAnsi="Times New Roman"/>
          <w:bCs/>
          <w:color w:val="000000"/>
          <w:sz w:val="24"/>
          <w:szCs w:val="24"/>
          <w:lang w:eastAsia="en-US" w:bidi="fa-IR"/>
        </w:rPr>
        <w:t xml:space="preserve"> spp., </w:t>
      </w:r>
      <w:r>
        <w:rPr>
          <w:rFonts w:ascii="Times New Roman" w:eastAsia="Calibri" w:hAnsi="Times New Roman"/>
          <w:bCs/>
          <w:i/>
          <w:iCs/>
          <w:color w:val="000000"/>
          <w:sz w:val="24"/>
          <w:szCs w:val="24"/>
          <w:lang w:eastAsia="en-US" w:bidi="fa-IR"/>
        </w:rPr>
        <w:t>Citrobacter</w:t>
      </w:r>
      <w:r>
        <w:rPr>
          <w:rFonts w:ascii="Times New Roman" w:eastAsia="Calibri" w:hAnsi="Times New Roman"/>
          <w:bCs/>
          <w:color w:val="000000"/>
          <w:sz w:val="24"/>
          <w:szCs w:val="24"/>
          <w:lang w:eastAsia="en-US" w:bidi="fa-IR"/>
        </w:rPr>
        <w:t xml:space="preserve"> spp., </w:t>
      </w:r>
      <w:r>
        <w:rPr>
          <w:rFonts w:ascii="Times New Roman" w:eastAsia="Calibri" w:hAnsi="Times New Roman"/>
          <w:bCs/>
          <w:i/>
          <w:iCs/>
          <w:color w:val="000000"/>
          <w:sz w:val="24"/>
          <w:szCs w:val="24"/>
          <w:lang w:eastAsia="en-US" w:bidi="fa-IR"/>
        </w:rPr>
        <w:t>Proteus</w:t>
      </w:r>
      <w:r>
        <w:rPr>
          <w:rFonts w:ascii="Times New Roman" w:eastAsia="Calibri" w:hAnsi="Times New Roman"/>
          <w:bCs/>
          <w:color w:val="000000"/>
          <w:sz w:val="24"/>
          <w:szCs w:val="24"/>
          <w:lang w:eastAsia="en-US" w:bidi="fa-IR"/>
        </w:rPr>
        <w:t xml:space="preserve"> spp., </w:t>
      </w:r>
      <w:r>
        <w:rPr>
          <w:rFonts w:ascii="Times New Roman" w:eastAsia="Calibri" w:hAnsi="Times New Roman"/>
          <w:bCs/>
          <w:i/>
          <w:iCs/>
          <w:color w:val="000000"/>
          <w:sz w:val="24"/>
          <w:szCs w:val="24"/>
          <w:lang w:eastAsia="en-US" w:bidi="fa-IR"/>
        </w:rPr>
        <w:t>Enterobacter</w:t>
      </w:r>
      <w:r>
        <w:rPr>
          <w:rFonts w:ascii="Times New Roman" w:eastAsia="Calibri" w:hAnsi="Times New Roman"/>
          <w:bCs/>
          <w:color w:val="000000"/>
          <w:sz w:val="24"/>
          <w:szCs w:val="24"/>
          <w:lang w:eastAsia="en-US" w:bidi="fa-IR"/>
        </w:rPr>
        <w:t xml:space="preserve"> spp., and </w:t>
      </w:r>
      <w:r>
        <w:rPr>
          <w:rFonts w:ascii="Times New Roman" w:eastAsia="Calibri" w:hAnsi="Times New Roman"/>
          <w:bCs/>
          <w:i/>
          <w:iCs/>
          <w:color w:val="000000"/>
          <w:sz w:val="24"/>
          <w:szCs w:val="24"/>
          <w:lang w:eastAsia="en-US" w:bidi="fa-IR"/>
        </w:rPr>
        <w:t>Escherichia coli</w:t>
      </w:r>
      <w:r>
        <w:rPr>
          <w:rFonts w:ascii="Times New Roman" w:eastAsia="Calibri" w:hAnsi="Times New Roman"/>
          <w:bCs/>
          <w:color w:val="000000"/>
          <w:sz w:val="24"/>
          <w:szCs w:val="24"/>
          <w:lang w:eastAsia="en-US" w:bidi="fa-IR"/>
        </w:rPr>
        <w:t xml:space="preserve">.   </w:t>
      </w:r>
      <w:r>
        <w:rPr>
          <w:rFonts w:ascii="Times New Roman" w:eastAsia="Calibri" w:hAnsi="Times New Roman"/>
          <w:bCs/>
          <w:color w:val="000000"/>
          <w:sz w:val="24"/>
          <w:szCs w:val="24"/>
          <w:lang w:bidi="fa-IR"/>
        </w:rPr>
        <w:t xml:space="preserve">These bacteria have a </w:t>
      </w:r>
      <w:r>
        <w:rPr>
          <w:rFonts w:ascii="Times New Roman" w:eastAsia="Calibri" w:hAnsi="Times New Roman"/>
          <w:bCs/>
          <w:color w:val="000000"/>
          <w:sz w:val="24"/>
          <w:szCs w:val="24"/>
          <w:lang w:bidi="fa-IR"/>
        </w:rPr>
        <w:t>variety of roles in clinical and environmental settings, varying from environmental saprophytes to opportunistic pathogens.</w:t>
      </w:r>
    </w:p>
    <w:p w14:paraId="7D7831F9" w14:textId="77777777" w:rsidR="00D72F91" w:rsidRDefault="00D2263D">
      <w:pPr>
        <w:pStyle w:val="ListParagraph"/>
        <w:numPr>
          <w:ilvl w:val="0"/>
          <w:numId w:val="1"/>
        </w:numPr>
        <w:spacing w:after="0" w:line="480" w:lineRule="auto"/>
        <w:jc w:val="both"/>
        <w:rPr>
          <w:rFonts w:ascii="Times New Roman" w:eastAsia="Calibri" w:hAnsi="Times New Roman"/>
          <w:b/>
          <w:color w:val="000000"/>
          <w:sz w:val="24"/>
          <w:szCs w:val="24"/>
          <w:lang w:eastAsia="en-US" w:bidi="fa-IR"/>
        </w:rPr>
      </w:pPr>
      <w:r>
        <w:rPr>
          <w:rFonts w:ascii="Times New Roman" w:eastAsia="Calibri" w:hAnsi="Times New Roman"/>
          <w:b/>
          <w:color w:val="000000"/>
          <w:sz w:val="24"/>
          <w:szCs w:val="24"/>
          <w:lang w:eastAsia="en-US" w:bidi="fa-IR"/>
        </w:rPr>
        <w:t>Molecular identification of the bacteria</w:t>
      </w:r>
    </w:p>
    <w:p w14:paraId="07221F9C" w14:textId="77777777" w:rsidR="00D72F91" w:rsidRDefault="00D2263D">
      <w:pPr>
        <w:pStyle w:val="ListParagraph"/>
        <w:numPr>
          <w:ilvl w:val="1"/>
          <w:numId w:val="1"/>
        </w:numPr>
        <w:spacing w:after="0" w:line="480" w:lineRule="auto"/>
        <w:jc w:val="both"/>
        <w:rPr>
          <w:rFonts w:ascii="Times New Roman" w:eastAsia="Calibri" w:hAnsi="Times New Roman"/>
          <w:b/>
          <w:color w:val="000000"/>
          <w:sz w:val="24"/>
          <w:szCs w:val="24"/>
          <w:lang w:eastAsia="en-US" w:bidi="fa-IR"/>
        </w:rPr>
      </w:pPr>
      <w:r>
        <w:rPr>
          <w:rFonts w:ascii="Times New Roman" w:eastAsia="Calibri" w:hAnsi="Times New Roman"/>
          <w:b/>
          <w:color w:val="000000"/>
          <w:sz w:val="24"/>
          <w:szCs w:val="24"/>
          <w:lang w:eastAsia="en-US" w:bidi="fa-IR"/>
        </w:rPr>
        <w:t>Amplification of the 16S rRNA by PCR of the isolated bacteria</w:t>
      </w:r>
    </w:p>
    <w:p w14:paraId="43236AC7" w14:textId="77777777" w:rsidR="00D72F91" w:rsidRDefault="00D2263D">
      <w:pPr>
        <w:spacing w:line="480" w:lineRule="auto"/>
        <w:jc w:val="both"/>
        <w:rPr>
          <w:rFonts w:ascii="Times New Roman" w:hAnsi="Times New Roman"/>
          <w:b/>
          <w:bCs/>
          <w:color w:val="000000"/>
          <w:sz w:val="24"/>
          <w:szCs w:val="24"/>
        </w:rPr>
      </w:pPr>
      <w:r>
        <w:rPr>
          <w:rFonts w:ascii="Times New Roman" w:eastAsia="Times New Roman" w:hAnsi="Times New Roman"/>
          <w:color w:val="000000"/>
          <w:sz w:val="24"/>
          <w:szCs w:val="24"/>
          <w:lang w:eastAsia="fr-FR"/>
        </w:rPr>
        <w:t xml:space="preserve">The result showed that 17 of the 18 bacterial DNAs were successfully amplified using the 16S rRNA primer (Figure 1). The S12 showed a band with a small concentration, the S18 did not amplified.  All amplicons had molecular weights of around 1600 base pairs. </w:t>
      </w:r>
    </w:p>
    <w:p w14:paraId="40C43C98" w14:textId="77777777" w:rsidR="00D72F91" w:rsidRDefault="00D2263D">
      <w:pPr>
        <w:keepNext/>
        <w:spacing w:after="0" w:line="480" w:lineRule="auto"/>
        <w:ind w:left="720"/>
        <w:jc w:val="center"/>
        <w:rPr>
          <w:sz w:val="24"/>
          <w:szCs w:val="24"/>
        </w:rPr>
      </w:pPr>
      <w:r>
        <w:rPr>
          <w:noProof/>
          <w:sz w:val="24"/>
          <w:szCs w:val="24"/>
        </w:rPr>
        <w:lastRenderedPageBreak/>
        <w:drawing>
          <wp:inline distT="0" distB="0" distL="0" distR="0" wp14:anchorId="6DDE908E" wp14:editId="0E5C9099">
            <wp:extent cx="4827776" cy="1910785"/>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4827776" cy="1910785"/>
                    </a:xfrm>
                    <a:prstGeom prst="rect">
                      <a:avLst/>
                    </a:prstGeom>
                  </pic:spPr>
                </pic:pic>
              </a:graphicData>
            </a:graphic>
          </wp:inline>
        </w:drawing>
      </w:r>
    </w:p>
    <w:p w14:paraId="43556710" w14:textId="77777777" w:rsidR="00D72F91" w:rsidRDefault="00D2263D">
      <w:pPr>
        <w:pStyle w:val="Caption"/>
        <w:spacing w:line="480" w:lineRule="auto"/>
        <w:jc w:val="center"/>
        <w:rPr>
          <w:color w:val="000000"/>
          <w:sz w:val="24"/>
          <w:szCs w:val="24"/>
        </w:rPr>
      </w:pPr>
      <w:r>
        <w:rPr>
          <w:color w:val="000000"/>
          <w:sz w:val="24"/>
          <w:szCs w:val="24"/>
        </w:rPr>
        <w:t xml:space="preserve">Figure </w:t>
      </w:r>
      <w:r>
        <w:rPr>
          <w:color w:val="000000"/>
          <w:sz w:val="24"/>
          <w:szCs w:val="24"/>
        </w:rPr>
        <w:fldChar w:fldCharType="begin"/>
      </w:r>
      <w:r>
        <w:rPr>
          <w:color w:val="000000"/>
          <w:sz w:val="24"/>
          <w:szCs w:val="24"/>
        </w:rPr>
        <w:instrText xml:space="preserve"> SEQ Figure \* ARABIC </w:instrText>
      </w:r>
      <w:r>
        <w:rPr>
          <w:color w:val="000000"/>
          <w:sz w:val="24"/>
          <w:szCs w:val="24"/>
        </w:rPr>
        <w:fldChar w:fldCharType="separate"/>
      </w:r>
      <w:r>
        <w:rPr>
          <w:noProof/>
          <w:color w:val="000000"/>
          <w:sz w:val="24"/>
          <w:szCs w:val="24"/>
        </w:rPr>
        <w:t>1</w:t>
      </w:r>
      <w:r>
        <w:rPr>
          <w:color w:val="000000"/>
          <w:sz w:val="24"/>
          <w:szCs w:val="24"/>
        </w:rPr>
        <w:fldChar w:fldCharType="end"/>
      </w:r>
      <w:r>
        <w:rPr>
          <w:color w:val="000000"/>
          <w:sz w:val="24"/>
          <w:szCs w:val="24"/>
        </w:rPr>
        <w:t>: Analysis of PCR product of DNA obtained from the bacteria isolated in a crude extract of bromelain. The PCR product obtained was 1600 kb. From 1 to 17 were the DNA bands observed after the amplification with the 16S rRNA primers., The negative control</w:t>
      </w:r>
    </w:p>
    <w:p w14:paraId="3E5FB478" w14:textId="77777777" w:rsidR="00D72F91" w:rsidRDefault="00D2263D">
      <w:pPr>
        <w:pStyle w:val="ListParagraph"/>
        <w:numPr>
          <w:ilvl w:val="1"/>
          <w:numId w:val="1"/>
        </w:numPr>
        <w:spacing w:line="480" w:lineRule="auto"/>
        <w:rPr>
          <w:rFonts w:ascii="Times New Roman" w:hAnsi="Times New Roman"/>
          <w:b/>
          <w:bCs/>
          <w:sz w:val="24"/>
          <w:szCs w:val="24"/>
          <w:lang w:eastAsia="en-US" w:bidi="fa-IR"/>
        </w:rPr>
      </w:pPr>
      <w:r>
        <w:rPr>
          <w:rFonts w:ascii="Times New Roman" w:hAnsi="Times New Roman"/>
          <w:b/>
          <w:bCs/>
          <w:sz w:val="24"/>
          <w:szCs w:val="24"/>
          <w:lang w:eastAsia="en-US" w:bidi="fa-IR"/>
        </w:rPr>
        <w:t>Purified DNA product of the 16S rRNA</w:t>
      </w:r>
    </w:p>
    <w:p w14:paraId="789B2965" w14:textId="77777777" w:rsidR="00D72F91" w:rsidRDefault="00D2263D">
      <w:pPr>
        <w:spacing w:line="480" w:lineRule="auto"/>
        <w:jc w:val="both"/>
        <w:rPr>
          <w:rFonts w:ascii="Times New Roman" w:hAnsi="Times New Roman"/>
          <w:color w:val="000000"/>
          <w:sz w:val="24"/>
          <w:szCs w:val="24"/>
        </w:rPr>
      </w:pPr>
      <w:r>
        <w:rPr>
          <w:rFonts w:ascii="Times New Roman" w:hAnsi="Times New Roman"/>
          <w:color w:val="000000"/>
          <w:sz w:val="24"/>
          <w:szCs w:val="24"/>
        </w:rPr>
        <w:t>The gel electrophoresis result of the purified DNA was done by Macrogen and showed in a Figure 2. This result showed that all the sample was well purified and displayed good bands, excepted the 10</w:t>
      </w:r>
      <w:r>
        <w:rPr>
          <w:rFonts w:ascii="Times New Roman" w:hAnsi="Times New Roman"/>
          <w:color w:val="000000"/>
          <w:sz w:val="24"/>
          <w:szCs w:val="24"/>
          <w:vertAlign w:val="superscript"/>
        </w:rPr>
        <w:t>th</w:t>
      </w:r>
      <w:r>
        <w:rPr>
          <w:rFonts w:ascii="Times New Roman" w:hAnsi="Times New Roman"/>
          <w:color w:val="000000"/>
          <w:sz w:val="24"/>
          <w:szCs w:val="24"/>
        </w:rPr>
        <w:t xml:space="preserve"> sample (Figure 2).</w:t>
      </w:r>
    </w:p>
    <w:p w14:paraId="739004AB" w14:textId="77777777" w:rsidR="00D72F91" w:rsidRDefault="00D2263D">
      <w:pPr>
        <w:pStyle w:val="ListParagraph"/>
        <w:keepNext/>
        <w:spacing w:line="480" w:lineRule="auto"/>
        <w:jc w:val="center"/>
        <w:rPr>
          <w:sz w:val="24"/>
          <w:szCs w:val="24"/>
        </w:rPr>
      </w:pPr>
      <w:r>
        <w:rPr>
          <w:noProof/>
          <w:sz w:val="24"/>
          <w:szCs w:val="24"/>
        </w:rPr>
        <w:drawing>
          <wp:inline distT="0" distB="0" distL="0" distR="0" wp14:anchorId="1023FE8C" wp14:editId="4FE906D7">
            <wp:extent cx="4932947" cy="2509745"/>
            <wp:effectExtent l="0" t="0" r="1270" b="508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4932947" cy="2509745"/>
                    </a:xfrm>
                    <a:prstGeom prst="rect">
                      <a:avLst/>
                    </a:prstGeom>
                  </pic:spPr>
                </pic:pic>
              </a:graphicData>
            </a:graphic>
          </wp:inline>
        </w:drawing>
      </w:r>
      <w:bookmarkStart w:id="1" w:name="_Toc176043387"/>
    </w:p>
    <w:p w14:paraId="7710136C" w14:textId="77777777" w:rsidR="00D72F91" w:rsidRDefault="00D2263D">
      <w:pPr>
        <w:pStyle w:val="ListParagraph"/>
        <w:keepNext/>
        <w:spacing w:line="480" w:lineRule="auto"/>
        <w:jc w:val="center"/>
        <w:rPr>
          <w:sz w:val="24"/>
          <w:szCs w:val="24"/>
        </w:rPr>
      </w:pPr>
      <w:r>
        <w:rPr>
          <w:sz w:val="24"/>
          <w:szCs w:val="24"/>
        </w:rPr>
        <w:t xml:space="preserve">Figure </w:t>
      </w:r>
      <w:r>
        <w:rPr>
          <w:sz w:val="24"/>
          <w:szCs w:val="24"/>
        </w:rPr>
        <w:fldChar w:fldCharType="begin"/>
      </w:r>
      <w:r>
        <w:rPr>
          <w:sz w:val="24"/>
          <w:szCs w:val="24"/>
        </w:rPr>
        <w:instrText xml:space="preserve"> SEQ Figure \* ARABIC </w:instrText>
      </w:r>
      <w:r>
        <w:rPr>
          <w:sz w:val="24"/>
          <w:szCs w:val="24"/>
        </w:rPr>
        <w:fldChar w:fldCharType="separate"/>
      </w:r>
      <w:r>
        <w:rPr>
          <w:noProof/>
          <w:sz w:val="24"/>
          <w:szCs w:val="24"/>
        </w:rPr>
        <w:t>2</w:t>
      </w:r>
      <w:r>
        <w:rPr>
          <w:sz w:val="24"/>
          <w:szCs w:val="24"/>
        </w:rPr>
        <w:fldChar w:fldCharType="end"/>
      </w:r>
      <w:r>
        <w:rPr>
          <w:sz w:val="24"/>
          <w:szCs w:val="24"/>
        </w:rPr>
        <w:t>: Gel electrophoresis of the purified DNA done by Macrogen</w:t>
      </w:r>
    </w:p>
    <w:p w14:paraId="3EC60774" w14:textId="77777777" w:rsidR="00D72F91" w:rsidRDefault="00D2263D">
      <w:pPr>
        <w:pStyle w:val="ListParagraph"/>
        <w:keepNext/>
        <w:spacing w:line="480" w:lineRule="auto"/>
        <w:jc w:val="both"/>
        <w:rPr>
          <w:rFonts w:ascii="Times New Roman" w:hAnsi="Times New Roman"/>
          <w:color w:val="000000"/>
          <w:sz w:val="24"/>
          <w:szCs w:val="24"/>
        </w:rPr>
      </w:pPr>
      <w:r>
        <w:rPr>
          <w:rFonts w:ascii="Times New Roman" w:hAnsi="Times New Roman"/>
          <w:color w:val="000000"/>
          <w:sz w:val="24"/>
          <w:szCs w:val="24"/>
        </w:rPr>
        <w:t>.</w:t>
      </w:r>
      <w:bookmarkEnd w:id="1"/>
    </w:p>
    <w:p w14:paraId="4E18B24D" w14:textId="77777777" w:rsidR="00D72F91" w:rsidRDefault="00D72F91">
      <w:pPr>
        <w:pStyle w:val="ListParagraph"/>
        <w:spacing w:line="480" w:lineRule="auto"/>
        <w:ind w:left="1080"/>
        <w:rPr>
          <w:sz w:val="24"/>
          <w:szCs w:val="24"/>
          <w:lang w:eastAsia="en-US" w:bidi="fa-IR"/>
        </w:rPr>
        <w:sectPr w:rsidR="00D72F91">
          <w:headerReference w:type="even" r:id="rId10"/>
          <w:headerReference w:type="default" r:id="rId11"/>
          <w:footerReference w:type="even" r:id="rId12"/>
          <w:footerReference w:type="default" r:id="rId13"/>
          <w:headerReference w:type="first" r:id="rId14"/>
          <w:pgSz w:w="12240" w:h="15840"/>
          <w:pgMar w:top="900" w:right="990" w:bottom="720" w:left="1080" w:header="720" w:footer="720" w:gutter="0"/>
          <w:cols w:space="720"/>
          <w:docGrid w:linePitch="360"/>
        </w:sectPr>
      </w:pPr>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96"/>
        <w:gridCol w:w="1039"/>
        <w:gridCol w:w="1170"/>
        <w:gridCol w:w="1080"/>
        <w:gridCol w:w="1260"/>
        <w:gridCol w:w="1260"/>
        <w:gridCol w:w="1440"/>
        <w:gridCol w:w="1080"/>
        <w:gridCol w:w="1080"/>
        <w:gridCol w:w="1890"/>
        <w:gridCol w:w="1170"/>
      </w:tblGrid>
      <w:tr w:rsidR="00D72F91" w14:paraId="6EB7BE89" w14:textId="77777777">
        <w:trPr>
          <w:trHeight w:val="386"/>
          <w:jc w:val="center"/>
        </w:trPr>
        <w:tc>
          <w:tcPr>
            <w:tcW w:w="10705" w:type="dxa"/>
            <w:gridSpan w:val="9"/>
            <w:shd w:val="clear" w:color="000000" w:fill="FFFFFF"/>
            <w:noWrap/>
          </w:tcPr>
          <w:p w14:paraId="247D008D" w14:textId="77777777" w:rsidR="00D72F91" w:rsidRDefault="00D2263D">
            <w:pPr>
              <w:spacing w:after="0" w:line="480" w:lineRule="auto"/>
              <w:jc w:val="center"/>
              <w:rPr>
                <w:rFonts w:ascii="Times New Roman" w:eastAsia="Times New Roman" w:hAnsi="Times New Roman"/>
                <w:b/>
                <w:bCs/>
                <w:color w:val="000000"/>
                <w:sz w:val="24"/>
                <w:szCs w:val="24"/>
                <w:lang w:eastAsia="fr-FR"/>
              </w:rPr>
            </w:pPr>
            <w:bookmarkStart w:id="2" w:name="_Hlk174922937"/>
            <w:r>
              <w:rPr>
                <w:rFonts w:ascii="Times New Roman" w:eastAsia="Times New Roman" w:hAnsi="Times New Roman"/>
                <w:b/>
                <w:bCs/>
                <w:color w:val="000000"/>
                <w:sz w:val="24"/>
                <w:szCs w:val="24"/>
                <w:lang w:eastAsia="fr-FR"/>
              </w:rPr>
              <w:lastRenderedPageBreak/>
              <w:t>Identification test</w:t>
            </w:r>
          </w:p>
        </w:tc>
        <w:tc>
          <w:tcPr>
            <w:tcW w:w="3060" w:type="dxa"/>
            <w:gridSpan w:val="2"/>
            <w:tcBorders>
              <w:top w:val="nil"/>
              <w:right w:val="nil"/>
            </w:tcBorders>
            <w:shd w:val="clear" w:color="000000" w:fill="FFFFFF"/>
          </w:tcPr>
          <w:p w14:paraId="6A8AED1F" w14:textId="77777777" w:rsidR="00D72F91" w:rsidRDefault="00D72F91">
            <w:pPr>
              <w:spacing w:after="0" w:line="480" w:lineRule="auto"/>
              <w:jc w:val="both"/>
              <w:rPr>
                <w:rFonts w:ascii="Times New Roman" w:eastAsia="Times New Roman" w:hAnsi="Times New Roman"/>
                <w:b/>
                <w:bCs/>
                <w:color w:val="000000"/>
                <w:sz w:val="24"/>
                <w:szCs w:val="24"/>
                <w:lang w:eastAsia="fr-FR"/>
              </w:rPr>
            </w:pPr>
          </w:p>
        </w:tc>
      </w:tr>
      <w:tr w:rsidR="00D72F91" w14:paraId="33D3D08B" w14:textId="77777777">
        <w:trPr>
          <w:trHeight w:val="386"/>
          <w:jc w:val="center"/>
        </w:trPr>
        <w:tc>
          <w:tcPr>
            <w:tcW w:w="1296" w:type="dxa"/>
            <w:shd w:val="clear" w:color="000000" w:fill="FFFFFF"/>
            <w:noWrap/>
            <w:vAlign w:val="bottom"/>
          </w:tcPr>
          <w:p w14:paraId="1A158CC7"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Colour</w:t>
            </w:r>
          </w:p>
        </w:tc>
        <w:tc>
          <w:tcPr>
            <w:tcW w:w="1039" w:type="dxa"/>
            <w:shd w:val="clear" w:color="000000" w:fill="FFFFFF"/>
            <w:noWrap/>
            <w:vAlign w:val="bottom"/>
          </w:tcPr>
          <w:p w14:paraId="47C65D46"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Gram</w:t>
            </w:r>
          </w:p>
        </w:tc>
        <w:tc>
          <w:tcPr>
            <w:tcW w:w="1170" w:type="dxa"/>
            <w:shd w:val="clear" w:color="000000" w:fill="FFFFFF"/>
            <w:noWrap/>
            <w:vAlign w:val="bottom"/>
          </w:tcPr>
          <w:p w14:paraId="1FF51C00"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Catalase</w:t>
            </w:r>
          </w:p>
        </w:tc>
        <w:tc>
          <w:tcPr>
            <w:tcW w:w="1080" w:type="dxa"/>
            <w:shd w:val="clear" w:color="000000" w:fill="FFFFFF"/>
            <w:noWrap/>
            <w:vAlign w:val="bottom"/>
          </w:tcPr>
          <w:p w14:paraId="193FF01D"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Motility</w:t>
            </w:r>
          </w:p>
        </w:tc>
        <w:tc>
          <w:tcPr>
            <w:tcW w:w="1260" w:type="dxa"/>
            <w:shd w:val="clear" w:color="000000" w:fill="FFFFFF"/>
            <w:noWrap/>
            <w:vAlign w:val="bottom"/>
          </w:tcPr>
          <w:p w14:paraId="44EB4048"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Simmons citrate</w:t>
            </w:r>
          </w:p>
        </w:tc>
        <w:tc>
          <w:tcPr>
            <w:tcW w:w="1260" w:type="dxa"/>
            <w:shd w:val="clear" w:color="000000" w:fill="FFFFFF"/>
            <w:noWrap/>
            <w:vAlign w:val="bottom"/>
          </w:tcPr>
          <w:p w14:paraId="100DE965"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Methyl-Red</w:t>
            </w:r>
          </w:p>
        </w:tc>
        <w:tc>
          <w:tcPr>
            <w:tcW w:w="1440" w:type="dxa"/>
            <w:shd w:val="clear" w:color="000000" w:fill="FFFFFF"/>
            <w:noWrap/>
            <w:vAlign w:val="bottom"/>
          </w:tcPr>
          <w:p w14:paraId="00BF7600"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Voges-Proskauer</w:t>
            </w:r>
          </w:p>
        </w:tc>
        <w:tc>
          <w:tcPr>
            <w:tcW w:w="1080" w:type="dxa"/>
            <w:shd w:val="clear" w:color="000000" w:fill="FFFFFF"/>
            <w:noWrap/>
            <w:vAlign w:val="bottom"/>
          </w:tcPr>
          <w:p w14:paraId="4C1E9B37"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Urease</w:t>
            </w:r>
          </w:p>
        </w:tc>
        <w:tc>
          <w:tcPr>
            <w:tcW w:w="1080" w:type="dxa"/>
            <w:shd w:val="clear" w:color="000000" w:fill="FFFFFF"/>
            <w:noWrap/>
            <w:vAlign w:val="bottom"/>
          </w:tcPr>
          <w:p w14:paraId="4D35762E"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Indole</w:t>
            </w:r>
          </w:p>
        </w:tc>
        <w:tc>
          <w:tcPr>
            <w:tcW w:w="1890" w:type="dxa"/>
            <w:shd w:val="clear" w:color="000000" w:fill="FFFFFF"/>
          </w:tcPr>
          <w:p w14:paraId="1703A8EA"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Bacteria Identification</w:t>
            </w:r>
          </w:p>
        </w:tc>
        <w:tc>
          <w:tcPr>
            <w:tcW w:w="1170" w:type="dxa"/>
            <w:shd w:val="clear" w:color="000000" w:fill="FFFFFF"/>
          </w:tcPr>
          <w:p w14:paraId="0273E98F" w14:textId="77777777" w:rsidR="00D72F91" w:rsidRDefault="00D2263D">
            <w:pPr>
              <w:spacing w:after="0" w:line="480" w:lineRule="auto"/>
              <w:jc w:val="center"/>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Sample ID</w:t>
            </w:r>
          </w:p>
        </w:tc>
      </w:tr>
      <w:tr w:rsidR="00D72F91" w14:paraId="6E7FA25A" w14:textId="77777777">
        <w:trPr>
          <w:trHeight w:val="386"/>
          <w:jc w:val="center"/>
        </w:trPr>
        <w:tc>
          <w:tcPr>
            <w:tcW w:w="1296" w:type="dxa"/>
            <w:shd w:val="clear" w:color="auto" w:fill="auto"/>
            <w:noWrap/>
            <w:vAlign w:val="bottom"/>
            <w:hideMark/>
          </w:tcPr>
          <w:p w14:paraId="5FF423D0"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yellow</w:t>
            </w:r>
          </w:p>
        </w:tc>
        <w:tc>
          <w:tcPr>
            <w:tcW w:w="1039" w:type="dxa"/>
            <w:shd w:val="clear" w:color="auto" w:fill="auto"/>
            <w:noWrap/>
            <w:vAlign w:val="bottom"/>
            <w:hideMark/>
          </w:tcPr>
          <w:p w14:paraId="340EBFB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4DD076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1E71B7F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0BAA2A8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1A2E940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07F1843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76B251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47B237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430CA84E"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Klebsiella </w:t>
            </w:r>
            <w:r>
              <w:rPr>
                <w:rFonts w:ascii="Times New Roman" w:eastAsia="Times New Roman" w:hAnsi="Times New Roman"/>
                <w:color w:val="000000"/>
                <w:sz w:val="24"/>
                <w:szCs w:val="24"/>
                <w:lang w:eastAsia="fr-FR"/>
              </w:rPr>
              <w:t>spp.</w:t>
            </w:r>
          </w:p>
        </w:tc>
        <w:tc>
          <w:tcPr>
            <w:tcW w:w="1170" w:type="dxa"/>
            <w:vAlign w:val="center"/>
          </w:tcPr>
          <w:p w14:paraId="57A19FE3"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w:t>
            </w:r>
          </w:p>
        </w:tc>
      </w:tr>
      <w:tr w:rsidR="00D72F91" w14:paraId="179D17FE" w14:textId="77777777">
        <w:trPr>
          <w:trHeight w:val="386"/>
          <w:jc w:val="center"/>
        </w:trPr>
        <w:tc>
          <w:tcPr>
            <w:tcW w:w="1296" w:type="dxa"/>
            <w:shd w:val="clear" w:color="auto" w:fill="auto"/>
            <w:noWrap/>
            <w:vAlign w:val="bottom"/>
            <w:hideMark/>
          </w:tcPr>
          <w:p w14:paraId="31843D33"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cream</w:t>
            </w:r>
          </w:p>
        </w:tc>
        <w:tc>
          <w:tcPr>
            <w:tcW w:w="1039" w:type="dxa"/>
            <w:shd w:val="clear" w:color="auto" w:fill="auto"/>
            <w:noWrap/>
            <w:vAlign w:val="bottom"/>
            <w:hideMark/>
          </w:tcPr>
          <w:p w14:paraId="392C939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7E26B4F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DF9288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A953AF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5A048AE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7B51599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7AE7E7D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DB66DF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4AA45EA3"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Enterobacter </w:t>
            </w:r>
            <w:r>
              <w:rPr>
                <w:rFonts w:ascii="Times New Roman" w:eastAsia="Times New Roman" w:hAnsi="Times New Roman"/>
                <w:color w:val="000000"/>
                <w:sz w:val="24"/>
                <w:szCs w:val="24"/>
                <w:lang w:eastAsia="fr-FR"/>
              </w:rPr>
              <w:t>spp.</w:t>
            </w:r>
          </w:p>
        </w:tc>
        <w:tc>
          <w:tcPr>
            <w:tcW w:w="1170" w:type="dxa"/>
            <w:vAlign w:val="center"/>
          </w:tcPr>
          <w:p w14:paraId="1ECF73E0"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S2</w:t>
            </w:r>
          </w:p>
        </w:tc>
      </w:tr>
      <w:tr w:rsidR="00D72F91" w14:paraId="5C00FED7" w14:textId="77777777">
        <w:trPr>
          <w:trHeight w:val="386"/>
          <w:jc w:val="center"/>
        </w:trPr>
        <w:tc>
          <w:tcPr>
            <w:tcW w:w="1296" w:type="dxa"/>
            <w:shd w:val="clear" w:color="auto" w:fill="auto"/>
            <w:noWrap/>
            <w:vAlign w:val="bottom"/>
            <w:hideMark/>
          </w:tcPr>
          <w:p w14:paraId="00AE26EC" w14:textId="77777777" w:rsidR="00D72F91" w:rsidRDefault="00D2263D">
            <w:pPr>
              <w:spacing w:after="0" w:line="480" w:lineRule="auto"/>
              <w:jc w:val="both"/>
              <w:rPr>
                <w:rFonts w:ascii="Times New Roman" w:eastAsia="Times New Roman" w:hAnsi="Times New Roman"/>
                <w:color w:val="000000"/>
                <w:sz w:val="24"/>
                <w:szCs w:val="24"/>
                <w:lang w:eastAsia="fr-FR"/>
              </w:rPr>
            </w:pPr>
            <w:bookmarkStart w:id="3" w:name="_Hlk174924209"/>
            <w:r>
              <w:rPr>
                <w:rFonts w:ascii="Times New Roman" w:eastAsia="Times New Roman" w:hAnsi="Times New Roman"/>
                <w:color w:val="000000"/>
                <w:sz w:val="24"/>
                <w:szCs w:val="24"/>
                <w:lang w:eastAsia="fr-FR"/>
              </w:rPr>
              <w:t>light-yellow</w:t>
            </w:r>
          </w:p>
        </w:tc>
        <w:tc>
          <w:tcPr>
            <w:tcW w:w="1039" w:type="dxa"/>
            <w:shd w:val="clear" w:color="auto" w:fill="auto"/>
            <w:noWrap/>
            <w:vAlign w:val="bottom"/>
            <w:hideMark/>
          </w:tcPr>
          <w:p w14:paraId="3417CF5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107987B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15806F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90F98D1"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766667C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51A7F0F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2D5270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64605F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375F9BD7"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Citrobacter </w:t>
            </w:r>
            <w:r>
              <w:rPr>
                <w:rFonts w:ascii="Times New Roman" w:eastAsia="Times New Roman" w:hAnsi="Times New Roman"/>
                <w:color w:val="000000"/>
                <w:sz w:val="24"/>
                <w:szCs w:val="24"/>
                <w:lang w:eastAsia="fr-FR"/>
              </w:rPr>
              <w:t>spp.</w:t>
            </w:r>
          </w:p>
        </w:tc>
        <w:tc>
          <w:tcPr>
            <w:tcW w:w="1170" w:type="dxa"/>
            <w:vAlign w:val="center"/>
          </w:tcPr>
          <w:p w14:paraId="69EA490A"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S3</w:t>
            </w:r>
          </w:p>
        </w:tc>
      </w:tr>
      <w:bookmarkEnd w:id="3"/>
      <w:tr w:rsidR="00D72F91" w14:paraId="5C57CBD5" w14:textId="77777777">
        <w:trPr>
          <w:trHeight w:val="386"/>
          <w:jc w:val="center"/>
        </w:trPr>
        <w:tc>
          <w:tcPr>
            <w:tcW w:w="1296" w:type="dxa"/>
            <w:shd w:val="clear" w:color="auto" w:fill="auto"/>
            <w:noWrap/>
            <w:vAlign w:val="bottom"/>
            <w:hideMark/>
          </w:tcPr>
          <w:p w14:paraId="2D3D61C3"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light-yellow</w:t>
            </w:r>
          </w:p>
        </w:tc>
        <w:tc>
          <w:tcPr>
            <w:tcW w:w="1039" w:type="dxa"/>
            <w:shd w:val="clear" w:color="auto" w:fill="auto"/>
            <w:noWrap/>
            <w:vAlign w:val="bottom"/>
            <w:hideMark/>
          </w:tcPr>
          <w:p w14:paraId="26DC3FA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6A82738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9980DE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959AE9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108C54C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729D931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2218F3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7C7EDB3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29AC77FE"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Bacillus </w:t>
            </w:r>
            <w:r>
              <w:rPr>
                <w:rFonts w:ascii="Times New Roman" w:eastAsia="Times New Roman" w:hAnsi="Times New Roman"/>
                <w:color w:val="000000"/>
                <w:sz w:val="24"/>
                <w:szCs w:val="24"/>
                <w:lang w:eastAsia="fr-FR"/>
              </w:rPr>
              <w:t>spp.</w:t>
            </w:r>
          </w:p>
        </w:tc>
        <w:tc>
          <w:tcPr>
            <w:tcW w:w="1170" w:type="dxa"/>
            <w:vAlign w:val="center"/>
          </w:tcPr>
          <w:p w14:paraId="588408F0"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S4</w:t>
            </w:r>
          </w:p>
        </w:tc>
      </w:tr>
      <w:tr w:rsidR="00D72F91" w14:paraId="0B51B6FF" w14:textId="77777777">
        <w:trPr>
          <w:trHeight w:val="386"/>
          <w:jc w:val="center"/>
        </w:trPr>
        <w:tc>
          <w:tcPr>
            <w:tcW w:w="1296" w:type="dxa"/>
            <w:shd w:val="clear" w:color="auto" w:fill="auto"/>
            <w:noWrap/>
            <w:vAlign w:val="bottom"/>
            <w:hideMark/>
          </w:tcPr>
          <w:p w14:paraId="2F3392C1"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orange</w:t>
            </w:r>
          </w:p>
        </w:tc>
        <w:tc>
          <w:tcPr>
            <w:tcW w:w="1039" w:type="dxa"/>
            <w:shd w:val="clear" w:color="auto" w:fill="auto"/>
            <w:noWrap/>
            <w:vAlign w:val="bottom"/>
            <w:hideMark/>
          </w:tcPr>
          <w:p w14:paraId="6891D0E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D08F3A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1B77580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C78FE0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58B530B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3A1A0FA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14D8591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ADE506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4DC01840"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Proteus </w:t>
            </w:r>
            <w:r>
              <w:rPr>
                <w:rFonts w:ascii="Times New Roman" w:eastAsia="Times New Roman" w:hAnsi="Times New Roman"/>
                <w:color w:val="000000"/>
                <w:sz w:val="24"/>
                <w:szCs w:val="24"/>
                <w:lang w:eastAsia="fr-FR"/>
              </w:rPr>
              <w:t>spp.</w:t>
            </w:r>
          </w:p>
        </w:tc>
        <w:tc>
          <w:tcPr>
            <w:tcW w:w="1170" w:type="dxa"/>
            <w:vAlign w:val="center"/>
          </w:tcPr>
          <w:p w14:paraId="5D6F20FF"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S5</w:t>
            </w:r>
          </w:p>
        </w:tc>
      </w:tr>
      <w:tr w:rsidR="00D72F91" w14:paraId="4A5DD2BE" w14:textId="77777777">
        <w:trPr>
          <w:trHeight w:val="386"/>
          <w:jc w:val="center"/>
        </w:trPr>
        <w:tc>
          <w:tcPr>
            <w:tcW w:w="1296" w:type="dxa"/>
            <w:shd w:val="clear" w:color="auto" w:fill="auto"/>
            <w:noWrap/>
            <w:vAlign w:val="bottom"/>
            <w:hideMark/>
          </w:tcPr>
          <w:p w14:paraId="58E61EBD"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orange</w:t>
            </w:r>
          </w:p>
        </w:tc>
        <w:tc>
          <w:tcPr>
            <w:tcW w:w="1039" w:type="dxa"/>
            <w:shd w:val="clear" w:color="auto" w:fill="auto"/>
            <w:noWrap/>
            <w:vAlign w:val="bottom"/>
            <w:hideMark/>
          </w:tcPr>
          <w:p w14:paraId="0F362B2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2C223FA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8EFA96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5D42AAC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619FB19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466D11B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614DC98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03A6D9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5C8BBA69"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Staphylococcus </w:t>
            </w:r>
            <w:r>
              <w:rPr>
                <w:rFonts w:ascii="Times New Roman" w:eastAsia="Times New Roman" w:hAnsi="Times New Roman"/>
                <w:color w:val="000000"/>
                <w:sz w:val="24"/>
                <w:szCs w:val="24"/>
                <w:lang w:eastAsia="fr-FR"/>
              </w:rPr>
              <w:t>spp.</w:t>
            </w:r>
          </w:p>
        </w:tc>
        <w:tc>
          <w:tcPr>
            <w:tcW w:w="1170" w:type="dxa"/>
            <w:vAlign w:val="center"/>
          </w:tcPr>
          <w:p w14:paraId="777B2596"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S6</w:t>
            </w:r>
          </w:p>
        </w:tc>
      </w:tr>
      <w:tr w:rsidR="00D72F91" w14:paraId="28CCA3DC" w14:textId="77777777">
        <w:trPr>
          <w:trHeight w:val="386"/>
          <w:jc w:val="center"/>
        </w:trPr>
        <w:tc>
          <w:tcPr>
            <w:tcW w:w="1296" w:type="dxa"/>
            <w:shd w:val="clear" w:color="auto" w:fill="auto"/>
            <w:noWrap/>
            <w:vAlign w:val="bottom"/>
            <w:hideMark/>
          </w:tcPr>
          <w:p w14:paraId="0C6AA88E"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yellow</w:t>
            </w:r>
          </w:p>
        </w:tc>
        <w:tc>
          <w:tcPr>
            <w:tcW w:w="1039" w:type="dxa"/>
            <w:shd w:val="clear" w:color="auto" w:fill="auto"/>
            <w:noWrap/>
            <w:vAlign w:val="bottom"/>
            <w:hideMark/>
          </w:tcPr>
          <w:p w14:paraId="72D107C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5824665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776D3A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74A1678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6F0EA8E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2072523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CC855D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C92788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6A2738FF"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Escherichia coli</w:t>
            </w:r>
          </w:p>
        </w:tc>
        <w:tc>
          <w:tcPr>
            <w:tcW w:w="1170" w:type="dxa"/>
            <w:vAlign w:val="center"/>
          </w:tcPr>
          <w:p w14:paraId="7DC279EE"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S7</w:t>
            </w:r>
          </w:p>
        </w:tc>
      </w:tr>
      <w:tr w:rsidR="00D72F91" w14:paraId="7B5B0C38" w14:textId="77777777">
        <w:trPr>
          <w:trHeight w:val="386"/>
          <w:jc w:val="center"/>
        </w:trPr>
        <w:tc>
          <w:tcPr>
            <w:tcW w:w="1296" w:type="dxa"/>
            <w:shd w:val="clear" w:color="auto" w:fill="auto"/>
            <w:noWrap/>
            <w:vAlign w:val="bottom"/>
            <w:hideMark/>
          </w:tcPr>
          <w:p w14:paraId="4DB70743"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beige</w:t>
            </w:r>
          </w:p>
        </w:tc>
        <w:tc>
          <w:tcPr>
            <w:tcW w:w="1039" w:type="dxa"/>
            <w:shd w:val="clear" w:color="auto" w:fill="auto"/>
            <w:noWrap/>
            <w:vAlign w:val="bottom"/>
            <w:hideMark/>
          </w:tcPr>
          <w:p w14:paraId="019E751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6FF1F2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745B7B5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749822F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0B82D79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3596998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6D8D5ED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637BFC7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2690B759"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Micrococcus </w:t>
            </w:r>
            <w:r>
              <w:rPr>
                <w:rFonts w:ascii="Times New Roman" w:eastAsia="Times New Roman" w:hAnsi="Times New Roman"/>
                <w:color w:val="000000"/>
                <w:sz w:val="24"/>
                <w:szCs w:val="24"/>
                <w:lang w:eastAsia="fr-FR"/>
              </w:rPr>
              <w:t>spp.</w:t>
            </w:r>
          </w:p>
        </w:tc>
        <w:tc>
          <w:tcPr>
            <w:tcW w:w="1170" w:type="dxa"/>
            <w:vAlign w:val="center"/>
          </w:tcPr>
          <w:p w14:paraId="18D69692"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S8</w:t>
            </w:r>
          </w:p>
        </w:tc>
      </w:tr>
      <w:tr w:rsidR="00D72F91" w14:paraId="10259D05" w14:textId="77777777">
        <w:trPr>
          <w:trHeight w:val="386"/>
          <w:jc w:val="center"/>
        </w:trPr>
        <w:tc>
          <w:tcPr>
            <w:tcW w:w="1296" w:type="dxa"/>
            <w:shd w:val="clear" w:color="auto" w:fill="auto"/>
            <w:noWrap/>
            <w:vAlign w:val="bottom"/>
            <w:hideMark/>
          </w:tcPr>
          <w:p w14:paraId="6EF0AE7C"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cream</w:t>
            </w:r>
          </w:p>
        </w:tc>
        <w:tc>
          <w:tcPr>
            <w:tcW w:w="1039" w:type="dxa"/>
            <w:shd w:val="clear" w:color="auto" w:fill="auto"/>
            <w:noWrap/>
            <w:vAlign w:val="bottom"/>
            <w:hideMark/>
          </w:tcPr>
          <w:p w14:paraId="2262CBD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433326F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1C6A911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3F4E1F5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3316091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6F680DD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5E925A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C55C15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60E732B8"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Enterobacter </w:t>
            </w:r>
            <w:r>
              <w:rPr>
                <w:rFonts w:ascii="Times New Roman" w:eastAsia="Times New Roman" w:hAnsi="Times New Roman"/>
                <w:color w:val="000000"/>
                <w:sz w:val="24"/>
                <w:szCs w:val="24"/>
                <w:lang w:eastAsia="fr-FR"/>
              </w:rPr>
              <w:t>spp.</w:t>
            </w:r>
          </w:p>
        </w:tc>
        <w:tc>
          <w:tcPr>
            <w:tcW w:w="1170" w:type="dxa"/>
            <w:vAlign w:val="center"/>
          </w:tcPr>
          <w:p w14:paraId="2091B04F"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S9</w:t>
            </w:r>
          </w:p>
        </w:tc>
      </w:tr>
      <w:tr w:rsidR="00D72F91" w14:paraId="18C750A4" w14:textId="77777777">
        <w:trPr>
          <w:trHeight w:val="386"/>
          <w:jc w:val="center"/>
        </w:trPr>
        <w:tc>
          <w:tcPr>
            <w:tcW w:w="1296" w:type="dxa"/>
            <w:shd w:val="clear" w:color="auto" w:fill="auto"/>
            <w:noWrap/>
            <w:vAlign w:val="bottom"/>
            <w:hideMark/>
          </w:tcPr>
          <w:p w14:paraId="0E0585E3"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lastRenderedPageBreak/>
              <w:t>light-yellow</w:t>
            </w:r>
          </w:p>
        </w:tc>
        <w:tc>
          <w:tcPr>
            <w:tcW w:w="1039" w:type="dxa"/>
            <w:shd w:val="clear" w:color="auto" w:fill="auto"/>
            <w:noWrap/>
            <w:vAlign w:val="bottom"/>
            <w:hideMark/>
          </w:tcPr>
          <w:p w14:paraId="04EE0A5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B1074C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15C5B0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F1CA42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18D28E7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60B03AC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63CCC6E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1F866F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7193B92C"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Enterobacter </w:t>
            </w:r>
            <w:r>
              <w:rPr>
                <w:rFonts w:ascii="Times New Roman" w:eastAsia="Times New Roman" w:hAnsi="Times New Roman"/>
                <w:color w:val="000000"/>
                <w:sz w:val="24"/>
                <w:szCs w:val="24"/>
                <w:lang w:eastAsia="fr-FR"/>
              </w:rPr>
              <w:t>spp.</w:t>
            </w:r>
          </w:p>
        </w:tc>
        <w:tc>
          <w:tcPr>
            <w:tcW w:w="1170" w:type="dxa"/>
            <w:vAlign w:val="center"/>
          </w:tcPr>
          <w:p w14:paraId="4B33AED7"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S10</w:t>
            </w:r>
          </w:p>
        </w:tc>
      </w:tr>
      <w:tr w:rsidR="00D72F91" w14:paraId="104D9A84" w14:textId="77777777">
        <w:trPr>
          <w:trHeight w:val="386"/>
          <w:jc w:val="center"/>
        </w:trPr>
        <w:tc>
          <w:tcPr>
            <w:tcW w:w="1296" w:type="dxa"/>
            <w:shd w:val="clear" w:color="auto" w:fill="auto"/>
            <w:noWrap/>
            <w:vAlign w:val="bottom"/>
            <w:hideMark/>
          </w:tcPr>
          <w:p w14:paraId="316D5196"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white</w:t>
            </w:r>
          </w:p>
        </w:tc>
        <w:tc>
          <w:tcPr>
            <w:tcW w:w="1039" w:type="dxa"/>
            <w:shd w:val="clear" w:color="auto" w:fill="auto"/>
            <w:noWrap/>
            <w:vAlign w:val="bottom"/>
            <w:hideMark/>
          </w:tcPr>
          <w:p w14:paraId="49DFAF3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25510AD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11A001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D819931"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7FDEC0C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1F971D5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34D542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8A2CCF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289ED7D0"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Escherichia coli </w:t>
            </w:r>
          </w:p>
        </w:tc>
        <w:tc>
          <w:tcPr>
            <w:tcW w:w="1170" w:type="dxa"/>
            <w:vAlign w:val="center"/>
          </w:tcPr>
          <w:p w14:paraId="70C9FF21"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S11</w:t>
            </w:r>
          </w:p>
        </w:tc>
      </w:tr>
      <w:tr w:rsidR="00D72F91" w14:paraId="2A551B90" w14:textId="77777777">
        <w:trPr>
          <w:trHeight w:val="386"/>
          <w:jc w:val="center"/>
        </w:trPr>
        <w:tc>
          <w:tcPr>
            <w:tcW w:w="1296" w:type="dxa"/>
            <w:shd w:val="clear" w:color="auto" w:fill="auto"/>
            <w:noWrap/>
            <w:vAlign w:val="bottom"/>
            <w:hideMark/>
          </w:tcPr>
          <w:p w14:paraId="0C2D6172"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yellow</w:t>
            </w:r>
          </w:p>
        </w:tc>
        <w:tc>
          <w:tcPr>
            <w:tcW w:w="1039" w:type="dxa"/>
            <w:shd w:val="clear" w:color="auto" w:fill="auto"/>
            <w:noWrap/>
            <w:vAlign w:val="bottom"/>
            <w:hideMark/>
          </w:tcPr>
          <w:p w14:paraId="43FFFB5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4E597FB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A862E4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68AB4C7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0EA13AD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5A59FF4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9A305B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E1FC6F4"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74204751"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Klebsiella </w:t>
            </w:r>
            <w:r>
              <w:rPr>
                <w:rFonts w:ascii="Times New Roman" w:eastAsia="Times New Roman" w:hAnsi="Times New Roman"/>
                <w:color w:val="000000"/>
                <w:sz w:val="24"/>
                <w:szCs w:val="24"/>
                <w:lang w:eastAsia="fr-FR"/>
              </w:rPr>
              <w:t>spp.</w:t>
            </w:r>
          </w:p>
        </w:tc>
        <w:tc>
          <w:tcPr>
            <w:tcW w:w="1170" w:type="dxa"/>
            <w:vAlign w:val="center"/>
          </w:tcPr>
          <w:p w14:paraId="155CF5F9"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S12</w:t>
            </w:r>
          </w:p>
        </w:tc>
      </w:tr>
      <w:tr w:rsidR="00D72F91" w14:paraId="7A8780E8" w14:textId="77777777">
        <w:trPr>
          <w:trHeight w:val="386"/>
          <w:jc w:val="center"/>
        </w:trPr>
        <w:tc>
          <w:tcPr>
            <w:tcW w:w="1296" w:type="dxa"/>
            <w:shd w:val="clear" w:color="auto" w:fill="auto"/>
            <w:noWrap/>
            <w:vAlign w:val="bottom"/>
            <w:hideMark/>
          </w:tcPr>
          <w:p w14:paraId="1E0F2F71"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yellow</w:t>
            </w:r>
          </w:p>
        </w:tc>
        <w:tc>
          <w:tcPr>
            <w:tcW w:w="1039" w:type="dxa"/>
            <w:shd w:val="clear" w:color="auto" w:fill="auto"/>
            <w:noWrap/>
            <w:vAlign w:val="bottom"/>
            <w:hideMark/>
          </w:tcPr>
          <w:p w14:paraId="479BCA8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EB4A981"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3D7904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6FC5F80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18C8623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5A6D54D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F5D7D8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0A646D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75F87DEB"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Enterobacter </w:t>
            </w:r>
            <w:r>
              <w:rPr>
                <w:rFonts w:ascii="Times New Roman" w:eastAsia="Times New Roman" w:hAnsi="Times New Roman"/>
                <w:color w:val="000000"/>
                <w:sz w:val="24"/>
                <w:szCs w:val="24"/>
                <w:lang w:eastAsia="fr-FR"/>
              </w:rPr>
              <w:t>spp.</w:t>
            </w:r>
          </w:p>
        </w:tc>
        <w:tc>
          <w:tcPr>
            <w:tcW w:w="1170" w:type="dxa"/>
            <w:vAlign w:val="center"/>
          </w:tcPr>
          <w:p w14:paraId="59039C14"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S13</w:t>
            </w:r>
          </w:p>
        </w:tc>
      </w:tr>
      <w:tr w:rsidR="00D72F91" w14:paraId="330F8415" w14:textId="77777777">
        <w:trPr>
          <w:trHeight w:val="386"/>
          <w:jc w:val="center"/>
        </w:trPr>
        <w:tc>
          <w:tcPr>
            <w:tcW w:w="1296" w:type="dxa"/>
            <w:shd w:val="clear" w:color="auto" w:fill="auto"/>
            <w:noWrap/>
            <w:vAlign w:val="bottom"/>
            <w:hideMark/>
          </w:tcPr>
          <w:p w14:paraId="3B6935B9"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white</w:t>
            </w:r>
          </w:p>
        </w:tc>
        <w:tc>
          <w:tcPr>
            <w:tcW w:w="1039" w:type="dxa"/>
            <w:shd w:val="clear" w:color="auto" w:fill="auto"/>
            <w:noWrap/>
            <w:vAlign w:val="bottom"/>
            <w:hideMark/>
          </w:tcPr>
          <w:p w14:paraId="4E3ED45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5B65218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1C38DDC"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562600A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0AF39DF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3F001FB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2CE7E0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46C5FA1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3417D72A"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Escherichia coli </w:t>
            </w:r>
          </w:p>
        </w:tc>
        <w:tc>
          <w:tcPr>
            <w:tcW w:w="1170" w:type="dxa"/>
            <w:vAlign w:val="center"/>
          </w:tcPr>
          <w:p w14:paraId="11A64771"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S14</w:t>
            </w:r>
          </w:p>
        </w:tc>
      </w:tr>
      <w:tr w:rsidR="00D72F91" w14:paraId="14D26970" w14:textId="77777777">
        <w:trPr>
          <w:trHeight w:val="386"/>
          <w:jc w:val="center"/>
        </w:trPr>
        <w:tc>
          <w:tcPr>
            <w:tcW w:w="1296" w:type="dxa"/>
            <w:shd w:val="clear" w:color="auto" w:fill="auto"/>
            <w:noWrap/>
            <w:vAlign w:val="bottom"/>
            <w:hideMark/>
          </w:tcPr>
          <w:p w14:paraId="754ADEC9"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white</w:t>
            </w:r>
          </w:p>
        </w:tc>
        <w:tc>
          <w:tcPr>
            <w:tcW w:w="1039" w:type="dxa"/>
            <w:shd w:val="clear" w:color="auto" w:fill="auto"/>
            <w:noWrap/>
            <w:vAlign w:val="bottom"/>
            <w:hideMark/>
          </w:tcPr>
          <w:p w14:paraId="5451B7F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5E0B246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6C8104B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2C9EFD9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6A73F96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7E33B2F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2064AF2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51A1334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30391425"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Escherichia coli </w:t>
            </w:r>
          </w:p>
        </w:tc>
        <w:tc>
          <w:tcPr>
            <w:tcW w:w="1170" w:type="dxa"/>
            <w:vAlign w:val="center"/>
          </w:tcPr>
          <w:p w14:paraId="18C691C1"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S15</w:t>
            </w:r>
          </w:p>
        </w:tc>
      </w:tr>
      <w:tr w:rsidR="00D72F91" w14:paraId="1C3F40EB" w14:textId="77777777">
        <w:trPr>
          <w:trHeight w:val="386"/>
          <w:jc w:val="center"/>
        </w:trPr>
        <w:tc>
          <w:tcPr>
            <w:tcW w:w="1296" w:type="dxa"/>
            <w:shd w:val="clear" w:color="auto" w:fill="auto"/>
            <w:noWrap/>
            <w:vAlign w:val="bottom"/>
            <w:hideMark/>
          </w:tcPr>
          <w:p w14:paraId="6723BCBC"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white</w:t>
            </w:r>
          </w:p>
        </w:tc>
        <w:tc>
          <w:tcPr>
            <w:tcW w:w="1039" w:type="dxa"/>
            <w:shd w:val="clear" w:color="auto" w:fill="auto"/>
            <w:noWrap/>
            <w:vAlign w:val="bottom"/>
            <w:hideMark/>
          </w:tcPr>
          <w:p w14:paraId="610C6A5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hideMark/>
          </w:tcPr>
          <w:p w14:paraId="3458509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3B197C0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5BB85FC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hideMark/>
          </w:tcPr>
          <w:p w14:paraId="4B3F2E75"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hideMark/>
          </w:tcPr>
          <w:p w14:paraId="51E61E3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0420EF8F"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hideMark/>
          </w:tcPr>
          <w:p w14:paraId="7E92E570"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6478E522"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i/>
                <w:iCs/>
                <w:color w:val="000000"/>
                <w:sz w:val="24"/>
                <w:szCs w:val="24"/>
                <w:lang w:eastAsia="fr-FR"/>
              </w:rPr>
              <w:t xml:space="preserve">Escherichia coli </w:t>
            </w:r>
          </w:p>
        </w:tc>
        <w:tc>
          <w:tcPr>
            <w:tcW w:w="1170" w:type="dxa"/>
            <w:vAlign w:val="center"/>
          </w:tcPr>
          <w:p w14:paraId="0CFB357A"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S16</w:t>
            </w:r>
          </w:p>
        </w:tc>
      </w:tr>
      <w:tr w:rsidR="00D72F91" w14:paraId="1CED7BFD" w14:textId="77777777">
        <w:trPr>
          <w:trHeight w:val="386"/>
          <w:jc w:val="center"/>
        </w:trPr>
        <w:tc>
          <w:tcPr>
            <w:tcW w:w="1296" w:type="dxa"/>
            <w:shd w:val="clear" w:color="auto" w:fill="auto"/>
            <w:noWrap/>
            <w:vAlign w:val="bottom"/>
          </w:tcPr>
          <w:p w14:paraId="41AA48AB"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yellow</w:t>
            </w:r>
          </w:p>
        </w:tc>
        <w:tc>
          <w:tcPr>
            <w:tcW w:w="1039" w:type="dxa"/>
            <w:shd w:val="clear" w:color="auto" w:fill="auto"/>
            <w:noWrap/>
            <w:vAlign w:val="bottom"/>
          </w:tcPr>
          <w:p w14:paraId="3CB2A50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shd w:val="clear" w:color="auto" w:fill="auto"/>
            <w:noWrap/>
            <w:vAlign w:val="bottom"/>
          </w:tcPr>
          <w:p w14:paraId="2C7206BD"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tcPr>
          <w:p w14:paraId="2D794A8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tcPr>
          <w:p w14:paraId="212D6DB8"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shd w:val="clear" w:color="auto" w:fill="auto"/>
            <w:noWrap/>
            <w:vAlign w:val="bottom"/>
          </w:tcPr>
          <w:p w14:paraId="66D700A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shd w:val="clear" w:color="auto" w:fill="auto"/>
            <w:noWrap/>
            <w:vAlign w:val="bottom"/>
          </w:tcPr>
          <w:p w14:paraId="614144E9"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tcPr>
          <w:p w14:paraId="1FFD7F9B"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shd w:val="clear" w:color="auto" w:fill="auto"/>
            <w:noWrap/>
            <w:vAlign w:val="bottom"/>
          </w:tcPr>
          <w:p w14:paraId="5B15126E"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vAlign w:val="center"/>
          </w:tcPr>
          <w:p w14:paraId="5270FDD8" w14:textId="77777777" w:rsidR="00D72F91" w:rsidRDefault="00D2263D">
            <w:pPr>
              <w:spacing w:after="0" w:line="480" w:lineRule="auto"/>
              <w:jc w:val="both"/>
              <w:rPr>
                <w:rFonts w:ascii="Times New Roman" w:eastAsia="Times New Roman" w:hAnsi="Times New Roman"/>
                <w:i/>
                <w:iCs/>
                <w:color w:val="000000"/>
                <w:sz w:val="24"/>
                <w:szCs w:val="24"/>
                <w:lang w:eastAsia="fr-FR"/>
              </w:rPr>
            </w:pPr>
            <w:r>
              <w:rPr>
                <w:rFonts w:ascii="Times New Roman" w:hAnsi="Times New Roman"/>
                <w:i/>
                <w:iCs/>
                <w:color w:val="000000"/>
                <w:sz w:val="24"/>
                <w:szCs w:val="24"/>
              </w:rPr>
              <w:t xml:space="preserve">Klebsiella </w:t>
            </w:r>
            <w:r>
              <w:rPr>
                <w:rFonts w:ascii="Times New Roman" w:hAnsi="Times New Roman"/>
                <w:color w:val="000000"/>
                <w:sz w:val="24"/>
                <w:szCs w:val="24"/>
              </w:rPr>
              <w:t>spp.</w:t>
            </w:r>
          </w:p>
        </w:tc>
        <w:tc>
          <w:tcPr>
            <w:tcW w:w="1170" w:type="dxa"/>
            <w:vAlign w:val="center"/>
          </w:tcPr>
          <w:p w14:paraId="53C73949" w14:textId="77777777" w:rsidR="00D72F91" w:rsidRDefault="00D2263D">
            <w:pPr>
              <w:spacing w:after="0" w:line="480" w:lineRule="auto"/>
              <w:jc w:val="both"/>
              <w:rPr>
                <w:rFonts w:ascii="Times New Roman" w:eastAsia="Times New Roman" w:hAnsi="Times New Roman"/>
                <w:b/>
                <w:bCs/>
                <w:color w:val="000000"/>
                <w:sz w:val="24"/>
                <w:szCs w:val="24"/>
                <w:lang w:eastAsia="fr-FR"/>
              </w:rPr>
            </w:pPr>
            <w:r>
              <w:rPr>
                <w:rFonts w:ascii="Times New Roman" w:eastAsia="Times New Roman" w:hAnsi="Times New Roman"/>
                <w:b/>
                <w:bCs/>
                <w:color w:val="000000"/>
                <w:sz w:val="24"/>
                <w:szCs w:val="24"/>
                <w:lang w:eastAsia="fr-FR"/>
              </w:rPr>
              <w:t>S17</w:t>
            </w:r>
          </w:p>
        </w:tc>
      </w:tr>
      <w:tr w:rsidR="00D72F91" w14:paraId="30E74448" w14:textId="77777777">
        <w:trPr>
          <w:trHeight w:val="386"/>
          <w:jc w:val="center"/>
        </w:trPr>
        <w:tc>
          <w:tcPr>
            <w:tcW w:w="1296" w:type="dxa"/>
            <w:tcBorders>
              <w:bottom w:val="single" w:sz="4" w:space="0" w:color="auto"/>
            </w:tcBorders>
            <w:shd w:val="clear" w:color="auto" w:fill="auto"/>
            <w:noWrap/>
            <w:vAlign w:val="bottom"/>
          </w:tcPr>
          <w:p w14:paraId="5DBA63E9" w14:textId="77777777" w:rsidR="00D72F91" w:rsidRDefault="00D2263D">
            <w:pPr>
              <w:spacing w:after="0" w:line="480" w:lineRule="auto"/>
              <w:jc w:val="both"/>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light-yellow</w:t>
            </w:r>
          </w:p>
        </w:tc>
        <w:tc>
          <w:tcPr>
            <w:tcW w:w="1039" w:type="dxa"/>
            <w:tcBorders>
              <w:bottom w:val="single" w:sz="4" w:space="0" w:color="auto"/>
            </w:tcBorders>
            <w:shd w:val="clear" w:color="auto" w:fill="auto"/>
            <w:noWrap/>
            <w:vAlign w:val="bottom"/>
          </w:tcPr>
          <w:p w14:paraId="5297DB0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170" w:type="dxa"/>
            <w:tcBorders>
              <w:bottom w:val="single" w:sz="4" w:space="0" w:color="auto"/>
            </w:tcBorders>
            <w:shd w:val="clear" w:color="auto" w:fill="auto"/>
            <w:noWrap/>
            <w:vAlign w:val="bottom"/>
          </w:tcPr>
          <w:p w14:paraId="26BA7F46"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tcBorders>
              <w:bottom w:val="single" w:sz="4" w:space="0" w:color="auto"/>
            </w:tcBorders>
            <w:shd w:val="clear" w:color="auto" w:fill="auto"/>
            <w:noWrap/>
            <w:vAlign w:val="bottom"/>
          </w:tcPr>
          <w:p w14:paraId="5BB1713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tcBorders>
              <w:bottom w:val="single" w:sz="4" w:space="0" w:color="auto"/>
            </w:tcBorders>
            <w:shd w:val="clear" w:color="auto" w:fill="auto"/>
            <w:noWrap/>
            <w:vAlign w:val="bottom"/>
          </w:tcPr>
          <w:p w14:paraId="4150AA6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260" w:type="dxa"/>
            <w:tcBorders>
              <w:bottom w:val="single" w:sz="4" w:space="0" w:color="auto"/>
            </w:tcBorders>
            <w:shd w:val="clear" w:color="auto" w:fill="auto"/>
            <w:noWrap/>
            <w:vAlign w:val="bottom"/>
          </w:tcPr>
          <w:p w14:paraId="4EA57147"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440" w:type="dxa"/>
            <w:tcBorders>
              <w:bottom w:val="single" w:sz="4" w:space="0" w:color="auto"/>
            </w:tcBorders>
            <w:shd w:val="clear" w:color="auto" w:fill="auto"/>
            <w:noWrap/>
            <w:vAlign w:val="bottom"/>
          </w:tcPr>
          <w:p w14:paraId="3BF79E6A"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tcBorders>
              <w:bottom w:val="single" w:sz="4" w:space="0" w:color="auto"/>
            </w:tcBorders>
            <w:shd w:val="clear" w:color="auto" w:fill="auto"/>
            <w:noWrap/>
            <w:vAlign w:val="bottom"/>
          </w:tcPr>
          <w:p w14:paraId="25851862"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080" w:type="dxa"/>
            <w:tcBorders>
              <w:bottom w:val="single" w:sz="4" w:space="0" w:color="auto"/>
            </w:tcBorders>
            <w:shd w:val="clear" w:color="auto" w:fill="auto"/>
            <w:noWrap/>
            <w:vAlign w:val="bottom"/>
          </w:tcPr>
          <w:p w14:paraId="7E053333" w14:textId="77777777" w:rsidR="00D72F91" w:rsidRDefault="00D2263D">
            <w:pPr>
              <w:spacing w:after="0" w:line="480" w:lineRule="auto"/>
              <w:jc w:val="center"/>
              <w:rPr>
                <w:rFonts w:ascii="Times New Roman" w:eastAsia="Times New Roman" w:hAnsi="Times New Roman"/>
                <w:color w:val="000000"/>
                <w:sz w:val="24"/>
                <w:szCs w:val="24"/>
                <w:lang w:eastAsia="fr-FR"/>
              </w:rPr>
            </w:pPr>
            <w:r>
              <w:rPr>
                <w:rFonts w:ascii="Times New Roman" w:eastAsia="Times New Roman" w:hAnsi="Times New Roman"/>
                <w:color w:val="000000"/>
                <w:sz w:val="24"/>
                <w:szCs w:val="24"/>
                <w:lang w:eastAsia="fr-FR"/>
              </w:rPr>
              <w:t>-</w:t>
            </w:r>
          </w:p>
        </w:tc>
        <w:tc>
          <w:tcPr>
            <w:tcW w:w="1890" w:type="dxa"/>
            <w:tcBorders>
              <w:bottom w:val="single" w:sz="4" w:space="0" w:color="auto"/>
            </w:tcBorders>
          </w:tcPr>
          <w:p w14:paraId="288A364C" w14:textId="77777777" w:rsidR="00D72F91" w:rsidRDefault="00D2263D">
            <w:pPr>
              <w:spacing w:after="0" w:line="48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Citrobacter </w:t>
            </w:r>
            <w:r>
              <w:rPr>
                <w:rFonts w:ascii="Times New Roman" w:hAnsi="Times New Roman"/>
                <w:color w:val="000000"/>
                <w:sz w:val="24"/>
                <w:szCs w:val="24"/>
              </w:rPr>
              <w:t>spp</w:t>
            </w:r>
            <w:r>
              <w:rPr>
                <w:rFonts w:ascii="Times New Roman" w:hAnsi="Times New Roman"/>
                <w:b/>
                <w:bCs/>
                <w:color w:val="000000"/>
                <w:sz w:val="24"/>
                <w:szCs w:val="24"/>
              </w:rPr>
              <w:t>.</w:t>
            </w:r>
          </w:p>
        </w:tc>
        <w:tc>
          <w:tcPr>
            <w:tcW w:w="1170" w:type="dxa"/>
            <w:tcBorders>
              <w:bottom w:val="single" w:sz="4" w:space="0" w:color="auto"/>
            </w:tcBorders>
          </w:tcPr>
          <w:p w14:paraId="5951C45F" w14:textId="77777777" w:rsidR="00D72F91" w:rsidRDefault="00D2263D">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S18</w:t>
            </w:r>
          </w:p>
        </w:tc>
      </w:tr>
      <w:tr w:rsidR="00D72F91" w14:paraId="5430DE65" w14:textId="77777777">
        <w:trPr>
          <w:trHeight w:val="386"/>
          <w:jc w:val="center"/>
        </w:trPr>
        <w:tc>
          <w:tcPr>
            <w:tcW w:w="13765" w:type="dxa"/>
            <w:gridSpan w:val="11"/>
            <w:tcBorders>
              <w:left w:val="nil"/>
              <w:bottom w:val="nil"/>
              <w:right w:val="nil"/>
            </w:tcBorders>
            <w:shd w:val="clear" w:color="auto" w:fill="auto"/>
            <w:noWrap/>
            <w:vAlign w:val="bottom"/>
          </w:tcPr>
          <w:p w14:paraId="33335AD8" w14:textId="77777777" w:rsidR="00D72F91" w:rsidRDefault="00D2263D">
            <w:pPr>
              <w:spacing w:after="0" w:line="480" w:lineRule="auto"/>
              <w:jc w:val="center"/>
              <w:rPr>
                <w:rFonts w:ascii="Times New Roman" w:hAnsi="Times New Roman"/>
                <w:color w:val="000000"/>
                <w:sz w:val="24"/>
                <w:szCs w:val="24"/>
              </w:rPr>
            </w:pPr>
            <w:r>
              <w:rPr>
                <w:rFonts w:ascii="Times New Roman" w:hAnsi="Times New Roman"/>
                <w:color w:val="000000"/>
                <w:sz w:val="24"/>
                <w:szCs w:val="24"/>
              </w:rPr>
              <w:t>+ :</w:t>
            </w:r>
            <w:r>
              <w:rPr>
                <w:rFonts w:ascii="Times New Roman" w:hAnsi="Times New Roman"/>
                <w:color w:val="000000"/>
                <w:sz w:val="24"/>
                <w:szCs w:val="24"/>
              </w:rPr>
              <w:t xml:space="preserve"> Positive ;             - : Negative ;                          * : Variable</w:t>
            </w:r>
          </w:p>
        </w:tc>
      </w:tr>
      <w:bookmarkEnd w:id="2"/>
    </w:tbl>
    <w:p w14:paraId="71D09EEE" w14:textId="77777777" w:rsidR="00D72F91" w:rsidRDefault="00D72F91">
      <w:pPr>
        <w:spacing w:after="0" w:line="480" w:lineRule="auto"/>
        <w:jc w:val="center"/>
        <w:rPr>
          <w:rFonts w:eastAsia="Calibri"/>
          <w:bCs/>
          <w:color w:val="000000"/>
          <w:sz w:val="24"/>
          <w:szCs w:val="24"/>
          <w:lang w:bidi="fa-IR"/>
        </w:rPr>
      </w:pPr>
    </w:p>
    <w:p w14:paraId="6B6E1349" w14:textId="77777777" w:rsidR="00D72F91" w:rsidRDefault="00D2263D">
      <w:pPr>
        <w:spacing w:after="0" w:line="480" w:lineRule="auto"/>
        <w:jc w:val="center"/>
        <w:rPr>
          <w:rFonts w:eastAsia="Calibri"/>
          <w:bCs/>
          <w:color w:val="000000"/>
          <w:sz w:val="24"/>
          <w:szCs w:val="24"/>
          <w:lang w:bidi="fa-IR"/>
        </w:rPr>
        <w:sectPr w:rsidR="00D72F91">
          <w:pgSz w:w="15840" w:h="12240" w:orient="landscape"/>
          <w:pgMar w:top="1440" w:right="1440" w:bottom="1440" w:left="1440" w:header="720" w:footer="720" w:gutter="0"/>
          <w:cols w:space="720"/>
          <w:docGrid w:linePitch="360"/>
        </w:sectPr>
      </w:pPr>
      <w:r>
        <w:rPr>
          <w:color w:val="000000"/>
          <w:sz w:val="24"/>
          <w:szCs w:val="24"/>
        </w:rPr>
        <w:t xml:space="preserve">Table </w:t>
      </w:r>
      <w:r>
        <w:rPr>
          <w:color w:val="000000"/>
          <w:sz w:val="24"/>
          <w:szCs w:val="24"/>
        </w:rPr>
        <w:fldChar w:fldCharType="begin"/>
      </w:r>
      <w:r>
        <w:rPr>
          <w:color w:val="000000"/>
          <w:sz w:val="24"/>
          <w:szCs w:val="24"/>
        </w:rPr>
        <w:instrText xml:space="preserve"> SEQ Tableau \* ARABIC </w:instrText>
      </w:r>
      <w:r>
        <w:rPr>
          <w:color w:val="000000"/>
          <w:sz w:val="24"/>
          <w:szCs w:val="24"/>
        </w:rPr>
        <w:fldChar w:fldCharType="separate"/>
      </w:r>
      <w:r>
        <w:rPr>
          <w:noProof/>
          <w:color w:val="000000"/>
          <w:sz w:val="24"/>
          <w:szCs w:val="24"/>
        </w:rPr>
        <w:t>2</w:t>
      </w:r>
      <w:r>
        <w:rPr>
          <w:color w:val="000000"/>
          <w:sz w:val="24"/>
          <w:szCs w:val="24"/>
        </w:rPr>
        <w:fldChar w:fldCharType="end"/>
      </w:r>
      <w:r>
        <w:rPr>
          <w:color w:val="000000"/>
          <w:sz w:val="24"/>
          <w:szCs w:val="24"/>
        </w:rPr>
        <w:t>: Biochemical analysis of the isolated bacteria from pineapple crude extract</w:t>
      </w:r>
    </w:p>
    <w:p w14:paraId="78E6B70D" w14:textId="77777777" w:rsidR="00D72F91" w:rsidRDefault="00D72F91">
      <w:pPr>
        <w:pStyle w:val="Caption"/>
        <w:keepNext/>
        <w:spacing w:line="480" w:lineRule="auto"/>
        <w:rPr>
          <w:color w:val="000000"/>
          <w:sz w:val="24"/>
          <w:szCs w:val="24"/>
        </w:rPr>
      </w:pPr>
    </w:p>
    <w:tbl>
      <w:tblPr>
        <w:tblStyle w:val="TableGrid"/>
        <w:tblpPr w:leftFromText="141" w:rightFromText="141" w:vertAnchor="text" w:horzAnchor="margin" w:tblpXSpec="center" w:tblpY="103"/>
        <w:tblW w:w="8410" w:type="dxa"/>
        <w:tblLook w:val="04A0" w:firstRow="1" w:lastRow="0" w:firstColumn="1" w:lastColumn="0" w:noHBand="0" w:noVBand="1"/>
      </w:tblPr>
      <w:tblGrid>
        <w:gridCol w:w="1165"/>
        <w:gridCol w:w="2498"/>
        <w:gridCol w:w="1383"/>
        <w:gridCol w:w="1056"/>
        <w:gridCol w:w="1041"/>
        <w:gridCol w:w="1267"/>
      </w:tblGrid>
      <w:tr w:rsidR="00D72F91" w14:paraId="72531792" w14:textId="77777777">
        <w:tc>
          <w:tcPr>
            <w:tcW w:w="1165" w:type="dxa"/>
          </w:tcPr>
          <w:p w14:paraId="46095E57" w14:textId="77777777" w:rsidR="00D72F91" w:rsidRDefault="00D2263D">
            <w:pPr>
              <w:spacing w:after="0" w:line="360" w:lineRule="auto"/>
              <w:jc w:val="both"/>
              <w:rPr>
                <w:rFonts w:ascii="Times New Roman" w:hAnsi="Times New Roman" w:cs="Times New Roman"/>
                <w:b/>
                <w:bCs/>
                <w:color w:val="000000"/>
                <w:sz w:val="24"/>
                <w:szCs w:val="24"/>
              </w:rPr>
            </w:pPr>
            <w:bookmarkStart w:id="4" w:name="_Hlk174924489"/>
            <w:r>
              <w:rPr>
                <w:rFonts w:ascii="Times New Roman" w:hAnsi="Times New Roman" w:cs="Times New Roman"/>
                <w:b/>
                <w:bCs/>
                <w:color w:val="000000"/>
                <w:sz w:val="24"/>
                <w:szCs w:val="24"/>
              </w:rPr>
              <w:t xml:space="preserve">Sample </w:t>
            </w:r>
          </w:p>
        </w:tc>
        <w:tc>
          <w:tcPr>
            <w:tcW w:w="2498" w:type="dxa"/>
          </w:tcPr>
          <w:p w14:paraId="707509BE"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fr-FR"/>
              </w:rPr>
              <w:t xml:space="preserve">Potential bacteria </w:t>
            </w:r>
            <w:r>
              <w:rPr>
                <w:rFonts w:ascii="Times New Roman" w:eastAsia="Times New Roman" w:hAnsi="Times New Roman" w:cs="Times New Roman"/>
                <w:b/>
                <w:bCs/>
                <w:color w:val="000000"/>
                <w:sz w:val="24"/>
                <w:szCs w:val="24"/>
                <w:lang w:eastAsia="fr-FR"/>
              </w:rPr>
              <w:t>Identification</w:t>
            </w:r>
          </w:p>
        </w:tc>
        <w:tc>
          <w:tcPr>
            <w:tcW w:w="1383" w:type="dxa"/>
          </w:tcPr>
          <w:p w14:paraId="5503AB91"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Batch 1</w:t>
            </w:r>
          </w:p>
        </w:tc>
        <w:tc>
          <w:tcPr>
            <w:tcW w:w="1056" w:type="dxa"/>
          </w:tcPr>
          <w:p w14:paraId="08D9C919"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Batch 2</w:t>
            </w:r>
          </w:p>
        </w:tc>
        <w:tc>
          <w:tcPr>
            <w:tcW w:w="1041" w:type="dxa"/>
          </w:tcPr>
          <w:p w14:paraId="26047B62"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Batch 3</w:t>
            </w:r>
          </w:p>
        </w:tc>
        <w:tc>
          <w:tcPr>
            <w:tcW w:w="1267" w:type="dxa"/>
          </w:tcPr>
          <w:p w14:paraId="14FE1407"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Batch 4</w:t>
            </w:r>
          </w:p>
        </w:tc>
      </w:tr>
      <w:tr w:rsidR="00D72F91" w14:paraId="7E7F7405" w14:textId="77777777">
        <w:tc>
          <w:tcPr>
            <w:tcW w:w="1165" w:type="dxa"/>
            <w:vAlign w:val="center"/>
          </w:tcPr>
          <w:p w14:paraId="78BC43BB"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w:t>
            </w:r>
          </w:p>
        </w:tc>
        <w:tc>
          <w:tcPr>
            <w:tcW w:w="2498" w:type="dxa"/>
            <w:vAlign w:val="center"/>
          </w:tcPr>
          <w:p w14:paraId="697F5B56"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Klebsiella </w:t>
            </w:r>
            <w:r>
              <w:rPr>
                <w:rFonts w:ascii="Times New Roman" w:eastAsia="Times New Roman" w:hAnsi="Times New Roman" w:cs="Times New Roman"/>
                <w:color w:val="000000"/>
                <w:sz w:val="24"/>
                <w:szCs w:val="24"/>
                <w:lang w:eastAsia="fr-FR"/>
              </w:rPr>
              <w:t>spp.</w:t>
            </w:r>
          </w:p>
        </w:tc>
        <w:tc>
          <w:tcPr>
            <w:tcW w:w="1383" w:type="dxa"/>
          </w:tcPr>
          <w:p w14:paraId="55DFDC90"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081D76DA"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6D654A4E"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61E08C9E"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35F42092" w14:textId="77777777">
        <w:tc>
          <w:tcPr>
            <w:tcW w:w="1165" w:type="dxa"/>
            <w:vAlign w:val="center"/>
          </w:tcPr>
          <w:p w14:paraId="7A92CFDC"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S2</w:t>
            </w:r>
          </w:p>
        </w:tc>
        <w:tc>
          <w:tcPr>
            <w:tcW w:w="2498" w:type="dxa"/>
            <w:vAlign w:val="center"/>
          </w:tcPr>
          <w:p w14:paraId="6D3D286D"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1383" w:type="dxa"/>
          </w:tcPr>
          <w:p w14:paraId="5E44C107"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0EAE04E2"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44FE15B0"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6292D4A1"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193A3624" w14:textId="77777777">
        <w:tc>
          <w:tcPr>
            <w:tcW w:w="1165" w:type="dxa"/>
            <w:vAlign w:val="center"/>
          </w:tcPr>
          <w:p w14:paraId="71925315"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S3</w:t>
            </w:r>
          </w:p>
        </w:tc>
        <w:tc>
          <w:tcPr>
            <w:tcW w:w="2498" w:type="dxa"/>
            <w:vAlign w:val="center"/>
          </w:tcPr>
          <w:p w14:paraId="158A48DD"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Citrobacter </w:t>
            </w:r>
            <w:r>
              <w:rPr>
                <w:rFonts w:ascii="Times New Roman" w:eastAsia="Times New Roman" w:hAnsi="Times New Roman" w:cs="Times New Roman"/>
                <w:color w:val="000000"/>
                <w:sz w:val="24"/>
                <w:szCs w:val="24"/>
                <w:lang w:eastAsia="fr-FR"/>
              </w:rPr>
              <w:t>spp.</w:t>
            </w:r>
          </w:p>
        </w:tc>
        <w:tc>
          <w:tcPr>
            <w:tcW w:w="1383" w:type="dxa"/>
          </w:tcPr>
          <w:p w14:paraId="751A000D"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0180F4A7"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4B365CF2"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7F98852E"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28B256D5" w14:textId="77777777">
        <w:tc>
          <w:tcPr>
            <w:tcW w:w="1165" w:type="dxa"/>
            <w:vAlign w:val="center"/>
          </w:tcPr>
          <w:p w14:paraId="693BC370"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S4</w:t>
            </w:r>
          </w:p>
        </w:tc>
        <w:tc>
          <w:tcPr>
            <w:tcW w:w="2498" w:type="dxa"/>
            <w:vAlign w:val="center"/>
          </w:tcPr>
          <w:p w14:paraId="34C5A104"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Bacillus </w:t>
            </w:r>
            <w:r>
              <w:rPr>
                <w:rFonts w:ascii="Times New Roman" w:eastAsia="Times New Roman" w:hAnsi="Times New Roman" w:cs="Times New Roman"/>
                <w:color w:val="000000"/>
                <w:sz w:val="24"/>
                <w:szCs w:val="24"/>
                <w:lang w:eastAsia="fr-FR"/>
              </w:rPr>
              <w:t>spp.</w:t>
            </w:r>
          </w:p>
        </w:tc>
        <w:tc>
          <w:tcPr>
            <w:tcW w:w="1383" w:type="dxa"/>
          </w:tcPr>
          <w:p w14:paraId="1CBEDD90"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61469F3F"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6D582E18"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6AED325F"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3ADEB6E1" w14:textId="77777777">
        <w:tc>
          <w:tcPr>
            <w:tcW w:w="1165" w:type="dxa"/>
            <w:vAlign w:val="center"/>
          </w:tcPr>
          <w:p w14:paraId="5CB9E7A5"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S5</w:t>
            </w:r>
          </w:p>
        </w:tc>
        <w:tc>
          <w:tcPr>
            <w:tcW w:w="2498" w:type="dxa"/>
            <w:vAlign w:val="center"/>
          </w:tcPr>
          <w:p w14:paraId="62F87C9B"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Proteus </w:t>
            </w:r>
            <w:r>
              <w:rPr>
                <w:rFonts w:ascii="Times New Roman" w:eastAsia="Times New Roman" w:hAnsi="Times New Roman" w:cs="Times New Roman"/>
                <w:color w:val="000000"/>
                <w:sz w:val="24"/>
                <w:szCs w:val="24"/>
                <w:lang w:eastAsia="fr-FR"/>
              </w:rPr>
              <w:t>spp.</w:t>
            </w:r>
          </w:p>
        </w:tc>
        <w:tc>
          <w:tcPr>
            <w:tcW w:w="1383" w:type="dxa"/>
          </w:tcPr>
          <w:p w14:paraId="71D13413"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01C7C114"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6746DFA0"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24FDE248"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66865703" w14:textId="77777777">
        <w:tc>
          <w:tcPr>
            <w:tcW w:w="1165" w:type="dxa"/>
            <w:vAlign w:val="center"/>
          </w:tcPr>
          <w:p w14:paraId="0D1A9D99"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S6</w:t>
            </w:r>
          </w:p>
        </w:tc>
        <w:tc>
          <w:tcPr>
            <w:tcW w:w="2498" w:type="dxa"/>
            <w:vAlign w:val="center"/>
          </w:tcPr>
          <w:p w14:paraId="511CB17A"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Staphylococcus </w:t>
            </w:r>
            <w:r>
              <w:rPr>
                <w:rFonts w:ascii="Times New Roman" w:eastAsia="Times New Roman" w:hAnsi="Times New Roman" w:cs="Times New Roman"/>
                <w:color w:val="000000"/>
                <w:sz w:val="24"/>
                <w:szCs w:val="24"/>
                <w:lang w:eastAsia="fr-FR"/>
              </w:rPr>
              <w:t>spp.</w:t>
            </w:r>
          </w:p>
        </w:tc>
        <w:tc>
          <w:tcPr>
            <w:tcW w:w="1383" w:type="dxa"/>
          </w:tcPr>
          <w:p w14:paraId="54D16651"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004F18D5"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757849F7"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22BA777A"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42767EF7" w14:textId="77777777">
        <w:tc>
          <w:tcPr>
            <w:tcW w:w="1165" w:type="dxa"/>
            <w:vAlign w:val="center"/>
          </w:tcPr>
          <w:p w14:paraId="4AC50A2C"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S7</w:t>
            </w:r>
          </w:p>
        </w:tc>
        <w:tc>
          <w:tcPr>
            <w:tcW w:w="2498" w:type="dxa"/>
            <w:vAlign w:val="center"/>
          </w:tcPr>
          <w:p w14:paraId="04240C09"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Escherichia coli</w:t>
            </w:r>
          </w:p>
        </w:tc>
        <w:tc>
          <w:tcPr>
            <w:tcW w:w="1383" w:type="dxa"/>
          </w:tcPr>
          <w:p w14:paraId="75EE64C5"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559CDFE9"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7E46E1B4"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004DC475"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7BACD864" w14:textId="77777777">
        <w:tc>
          <w:tcPr>
            <w:tcW w:w="1165" w:type="dxa"/>
            <w:vAlign w:val="center"/>
          </w:tcPr>
          <w:p w14:paraId="56F1A7FE"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S8</w:t>
            </w:r>
          </w:p>
        </w:tc>
        <w:tc>
          <w:tcPr>
            <w:tcW w:w="2498" w:type="dxa"/>
            <w:vAlign w:val="center"/>
          </w:tcPr>
          <w:p w14:paraId="0FC69078"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Micrococcus </w:t>
            </w:r>
            <w:r>
              <w:rPr>
                <w:rFonts w:ascii="Times New Roman" w:eastAsia="Times New Roman" w:hAnsi="Times New Roman" w:cs="Times New Roman"/>
                <w:color w:val="000000"/>
                <w:sz w:val="24"/>
                <w:szCs w:val="24"/>
                <w:lang w:eastAsia="fr-FR"/>
              </w:rPr>
              <w:t>spp.</w:t>
            </w:r>
          </w:p>
        </w:tc>
        <w:tc>
          <w:tcPr>
            <w:tcW w:w="1383" w:type="dxa"/>
          </w:tcPr>
          <w:p w14:paraId="4FA11339"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716B646B"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3FF86098"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369E8DA6"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7932A7CC" w14:textId="77777777">
        <w:tc>
          <w:tcPr>
            <w:tcW w:w="1165" w:type="dxa"/>
            <w:vAlign w:val="center"/>
          </w:tcPr>
          <w:p w14:paraId="30F67249"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S9</w:t>
            </w:r>
          </w:p>
        </w:tc>
        <w:tc>
          <w:tcPr>
            <w:tcW w:w="2498" w:type="dxa"/>
            <w:vAlign w:val="center"/>
          </w:tcPr>
          <w:p w14:paraId="798B1B08"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1383" w:type="dxa"/>
          </w:tcPr>
          <w:p w14:paraId="6898EACE"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4D74C610"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13DF3CDD"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762EB715"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017915E2" w14:textId="77777777">
        <w:tc>
          <w:tcPr>
            <w:tcW w:w="1165" w:type="dxa"/>
            <w:vAlign w:val="center"/>
          </w:tcPr>
          <w:p w14:paraId="275C3106"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S10</w:t>
            </w:r>
          </w:p>
        </w:tc>
        <w:tc>
          <w:tcPr>
            <w:tcW w:w="2498" w:type="dxa"/>
            <w:vAlign w:val="center"/>
          </w:tcPr>
          <w:p w14:paraId="16D18D06"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1383" w:type="dxa"/>
          </w:tcPr>
          <w:p w14:paraId="001BCA7E"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4533F6CD"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758FE4B2"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2C45812B"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3F9E9E4D" w14:textId="77777777">
        <w:tc>
          <w:tcPr>
            <w:tcW w:w="1165" w:type="dxa"/>
            <w:vAlign w:val="center"/>
          </w:tcPr>
          <w:p w14:paraId="1D49289D"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S11</w:t>
            </w:r>
          </w:p>
        </w:tc>
        <w:tc>
          <w:tcPr>
            <w:tcW w:w="2498" w:type="dxa"/>
            <w:vAlign w:val="center"/>
          </w:tcPr>
          <w:p w14:paraId="1AA7DAA4"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Escherichia coli </w:t>
            </w:r>
          </w:p>
        </w:tc>
        <w:tc>
          <w:tcPr>
            <w:tcW w:w="1383" w:type="dxa"/>
          </w:tcPr>
          <w:p w14:paraId="347B8F1F"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032E69AD"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2698BFAB"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4CFDCC97"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528452C9" w14:textId="77777777">
        <w:tc>
          <w:tcPr>
            <w:tcW w:w="1165" w:type="dxa"/>
            <w:vAlign w:val="center"/>
          </w:tcPr>
          <w:p w14:paraId="432BBF3F"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S12</w:t>
            </w:r>
          </w:p>
        </w:tc>
        <w:tc>
          <w:tcPr>
            <w:tcW w:w="2498" w:type="dxa"/>
            <w:vAlign w:val="center"/>
          </w:tcPr>
          <w:p w14:paraId="0054B479"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Klebsiella </w:t>
            </w:r>
            <w:r>
              <w:rPr>
                <w:rFonts w:ascii="Times New Roman" w:eastAsia="Times New Roman" w:hAnsi="Times New Roman" w:cs="Times New Roman"/>
                <w:color w:val="000000"/>
                <w:sz w:val="24"/>
                <w:szCs w:val="24"/>
                <w:lang w:eastAsia="fr-FR"/>
              </w:rPr>
              <w:t>spp.</w:t>
            </w:r>
          </w:p>
        </w:tc>
        <w:tc>
          <w:tcPr>
            <w:tcW w:w="1383" w:type="dxa"/>
          </w:tcPr>
          <w:p w14:paraId="4C9C3E9A"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211A8014" w14:textId="77777777" w:rsidR="00D72F91" w:rsidRDefault="00D72F91">
            <w:pPr>
              <w:pStyle w:val="ListParagraph"/>
              <w:spacing w:after="0" w:line="360" w:lineRule="auto"/>
              <w:jc w:val="both"/>
              <w:rPr>
                <w:rFonts w:ascii="Times New Roman" w:hAnsi="Times New Roman" w:cs="Times New Roman"/>
                <w:b/>
                <w:bCs/>
                <w:color w:val="000000"/>
                <w:sz w:val="24"/>
                <w:szCs w:val="24"/>
              </w:rPr>
            </w:pPr>
          </w:p>
        </w:tc>
        <w:tc>
          <w:tcPr>
            <w:tcW w:w="1041" w:type="dxa"/>
          </w:tcPr>
          <w:p w14:paraId="10B030DF"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524F97ED"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7C7AF390" w14:textId="77777777">
        <w:tc>
          <w:tcPr>
            <w:tcW w:w="1165" w:type="dxa"/>
            <w:vAlign w:val="center"/>
          </w:tcPr>
          <w:p w14:paraId="3968D43E"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S13</w:t>
            </w:r>
          </w:p>
        </w:tc>
        <w:tc>
          <w:tcPr>
            <w:tcW w:w="2498" w:type="dxa"/>
            <w:vAlign w:val="center"/>
          </w:tcPr>
          <w:p w14:paraId="05A32598"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1383" w:type="dxa"/>
          </w:tcPr>
          <w:p w14:paraId="5EE5EE3E"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35F198F1"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108515EB"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5CA68CF8"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0BAA46DE" w14:textId="77777777">
        <w:tc>
          <w:tcPr>
            <w:tcW w:w="1165" w:type="dxa"/>
            <w:vAlign w:val="center"/>
          </w:tcPr>
          <w:p w14:paraId="13DEC39E"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S14</w:t>
            </w:r>
          </w:p>
        </w:tc>
        <w:tc>
          <w:tcPr>
            <w:tcW w:w="2498" w:type="dxa"/>
            <w:vAlign w:val="center"/>
          </w:tcPr>
          <w:p w14:paraId="640331E1"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Escherichia coli </w:t>
            </w:r>
          </w:p>
        </w:tc>
        <w:tc>
          <w:tcPr>
            <w:tcW w:w="1383" w:type="dxa"/>
          </w:tcPr>
          <w:p w14:paraId="699D6864"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56BAB47F"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53AB42C1"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6C2CBF0D"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51CAF77B" w14:textId="77777777">
        <w:tc>
          <w:tcPr>
            <w:tcW w:w="1165" w:type="dxa"/>
            <w:vAlign w:val="center"/>
          </w:tcPr>
          <w:p w14:paraId="1E6D70EB"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S15</w:t>
            </w:r>
          </w:p>
        </w:tc>
        <w:tc>
          <w:tcPr>
            <w:tcW w:w="2498" w:type="dxa"/>
            <w:vAlign w:val="center"/>
          </w:tcPr>
          <w:p w14:paraId="679198AC"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Escherichia coli </w:t>
            </w:r>
          </w:p>
        </w:tc>
        <w:tc>
          <w:tcPr>
            <w:tcW w:w="1383" w:type="dxa"/>
          </w:tcPr>
          <w:p w14:paraId="579AEC41"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6D66576C"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0A34B3F6"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22E8A33C"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0EFD44BE" w14:textId="77777777">
        <w:tc>
          <w:tcPr>
            <w:tcW w:w="1165" w:type="dxa"/>
            <w:vAlign w:val="center"/>
          </w:tcPr>
          <w:p w14:paraId="72851CD8"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S16</w:t>
            </w:r>
          </w:p>
        </w:tc>
        <w:tc>
          <w:tcPr>
            <w:tcW w:w="2498" w:type="dxa"/>
            <w:vAlign w:val="center"/>
          </w:tcPr>
          <w:p w14:paraId="77B091A3" w14:textId="77777777" w:rsidR="00D72F91" w:rsidRDefault="00D2263D">
            <w:pPr>
              <w:pStyle w:val="ListParagraph"/>
              <w:spacing w:after="0" w:line="360" w:lineRule="auto"/>
              <w:ind w:left="60"/>
              <w:jc w:val="both"/>
              <w:rPr>
                <w:rFonts w:ascii="Times New Roman" w:hAnsi="Times New Roman" w:cs="Times New Roman"/>
                <w:b/>
                <w:bCs/>
                <w:color w:val="000000"/>
                <w:sz w:val="24"/>
                <w:szCs w:val="24"/>
              </w:rPr>
            </w:pPr>
            <w:r>
              <w:rPr>
                <w:rFonts w:ascii="Times New Roman" w:eastAsia="Times New Roman" w:hAnsi="Times New Roman" w:cs="Times New Roman"/>
                <w:i/>
                <w:iCs/>
                <w:color w:val="000000"/>
                <w:sz w:val="24"/>
                <w:szCs w:val="24"/>
                <w:lang w:eastAsia="fr-FR"/>
              </w:rPr>
              <w:t xml:space="preserve">Escherichia coli </w:t>
            </w:r>
          </w:p>
        </w:tc>
        <w:tc>
          <w:tcPr>
            <w:tcW w:w="1383" w:type="dxa"/>
          </w:tcPr>
          <w:p w14:paraId="4BD00E21"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56" w:type="dxa"/>
          </w:tcPr>
          <w:p w14:paraId="07BAE1D5"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Pr>
          <w:p w14:paraId="277653B0" w14:textId="77777777" w:rsidR="00D72F91" w:rsidRDefault="00D72F91">
            <w:pPr>
              <w:spacing w:after="0" w:line="360" w:lineRule="auto"/>
              <w:jc w:val="both"/>
              <w:rPr>
                <w:rFonts w:ascii="Times New Roman" w:hAnsi="Times New Roman" w:cs="Times New Roman"/>
                <w:b/>
                <w:bCs/>
                <w:color w:val="000000"/>
                <w:sz w:val="24"/>
                <w:szCs w:val="24"/>
              </w:rPr>
            </w:pPr>
          </w:p>
        </w:tc>
        <w:tc>
          <w:tcPr>
            <w:tcW w:w="1267" w:type="dxa"/>
          </w:tcPr>
          <w:p w14:paraId="01756055"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77D744E3" w14:textId="77777777">
        <w:tc>
          <w:tcPr>
            <w:tcW w:w="1165" w:type="dxa"/>
            <w:vAlign w:val="center"/>
          </w:tcPr>
          <w:p w14:paraId="2542F8C7"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S17</w:t>
            </w:r>
          </w:p>
        </w:tc>
        <w:tc>
          <w:tcPr>
            <w:tcW w:w="2498" w:type="dxa"/>
            <w:vAlign w:val="center"/>
          </w:tcPr>
          <w:p w14:paraId="154EC1C6"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hAnsi="Times New Roman" w:cs="Times New Roman"/>
                <w:i/>
                <w:iCs/>
                <w:color w:val="000000"/>
                <w:sz w:val="24"/>
                <w:szCs w:val="24"/>
              </w:rPr>
              <w:t xml:space="preserve">Klebsiella </w:t>
            </w:r>
            <w:r>
              <w:rPr>
                <w:rFonts w:ascii="Times New Roman" w:hAnsi="Times New Roman" w:cs="Times New Roman"/>
                <w:color w:val="000000"/>
                <w:sz w:val="24"/>
                <w:szCs w:val="24"/>
              </w:rPr>
              <w:t>spp.</w:t>
            </w:r>
          </w:p>
        </w:tc>
        <w:tc>
          <w:tcPr>
            <w:tcW w:w="1383" w:type="dxa"/>
          </w:tcPr>
          <w:p w14:paraId="096C921A"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Pr>
          <w:p w14:paraId="252D9E04"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041" w:type="dxa"/>
          </w:tcPr>
          <w:p w14:paraId="6213C1E0"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Pr>
          <w:p w14:paraId="2B019C55" w14:textId="77777777" w:rsidR="00D72F91" w:rsidRDefault="00D72F91">
            <w:pPr>
              <w:spacing w:after="0" w:line="360" w:lineRule="auto"/>
              <w:jc w:val="both"/>
              <w:rPr>
                <w:rFonts w:ascii="Times New Roman" w:hAnsi="Times New Roman" w:cs="Times New Roman"/>
                <w:b/>
                <w:bCs/>
                <w:color w:val="000000"/>
                <w:sz w:val="24"/>
                <w:szCs w:val="24"/>
              </w:rPr>
            </w:pPr>
          </w:p>
        </w:tc>
      </w:tr>
      <w:tr w:rsidR="00D72F91" w14:paraId="395C482D" w14:textId="77777777">
        <w:tc>
          <w:tcPr>
            <w:tcW w:w="1165" w:type="dxa"/>
            <w:tcBorders>
              <w:bottom w:val="single" w:sz="4" w:space="0" w:color="auto"/>
            </w:tcBorders>
          </w:tcPr>
          <w:p w14:paraId="187ABAC5" w14:textId="77777777" w:rsidR="00D72F91" w:rsidRDefault="00D2263D">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S18</w:t>
            </w:r>
          </w:p>
        </w:tc>
        <w:tc>
          <w:tcPr>
            <w:tcW w:w="2498" w:type="dxa"/>
            <w:tcBorders>
              <w:bottom w:val="single" w:sz="4" w:space="0" w:color="auto"/>
            </w:tcBorders>
          </w:tcPr>
          <w:p w14:paraId="375BC63F" w14:textId="77777777" w:rsidR="00D72F91" w:rsidRDefault="00D2263D">
            <w:pPr>
              <w:spacing w:after="0" w:line="360" w:lineRule="auto"/>
              <w:ind w:left="60"/>
              <w:jc w:val="both"/>
              <w:rPr>
                <w:rFonts w:ascii="Times New Roman" w:hAnsi="Times New Roman" w:cs="Times New Roman"/>
                <w:b/>
                <w:bCs/>
                <w:color w:val="000000"/>
                <w:sz w:val="24"/>
                <w:szCs w:val="24"/>
              </w:rPr>
            </w:pPr>
            <w:r>
              <w:rPr>
                <w:rFonts w:ascii="Times New Roman" w:hAnsi="Times New Roman" w:cs="Times New Roman"/>
                <w:i/>
                <w:iCs/>
                <w:color w:val="000000"/>
                <w:sz w:val="24"/>
                <w:szCs w:val="24"/>
              </w:rPr>
              <w:t xml:space="preserve">Citrobacter </w:t>
            </w:r>
            <w:r>
              <w:rPr>
                <w:rFonts w:ascii="Times New Roman" w:hAnsi="Times New Roman" w:cs="Times New Roman"/>
                <w:color w:val="000000"/>
                <w:sz w:val="24"/>
                <w:szCs w:val="24"/>
              </w:rPr>
              <w:t>spp</w:t>
            </w:r>
            <w:r>
              <w:rPr>
                <w:rFonts w:ascii="Times New Roman" w:hAnsi="Times New Roman" w:cs="Times New Roman"/>
                <w:b/>
                <w:bCs/>
                <w:color w:val="000000"/>
                <w:sz w:val="24"/>
                <w:szCs w:val="24"/>
              </w:rPr>
              <w:t>.</w:t>
            </w:r>
          </w:p>
        </w:tc>
        <w:tc>
          <w:tcPr>
            <w:tcW w:w="1383" w:type="dxa"/>
            <w:tcBorders>
              <w:bottom w:val="single" w:sz="4" w:space="0" w:color="auto"/>
            </w:tcBorders>
          </w:tcPr>
          <w:p w14:paraId="56D13EF2" w14:textId="77777777" w:rsidR="00D72F91" w:rsidRDefault="00D72F91">
            <w:pPr>
              <w:spacing w:after="0" w:line="360" w:lineRule="auto"/>
              <w:jc w:val="both"/>
              <w:rPr>
                <w:rFonts w:ascii="Times New Roman" w:hAnsi="Times New Roman" w:cs="Times New Roman"/>
                <w:b/>
                <w:bCs/>
                <w:color w:val="000000"/>
                <w:sz w:val="24"/>
                <w:szCs w:val="24"/>
              </w:rPr>
            </w:pPr>
          </w:p>
        </w:tc>
        <w:tc>
          <w:tcPr>
            <w:tcW w:w="1056" w:type="dxa"/>
            <w:tcBorders>
              <w:bottom w:val="single" w:sz="4" w:space="0" w:color="auto"/>
            </w:tcBorders>
          </w:tcPr>
          <w:p w14:paraId="34689E82" w14:textId="77777777" w:rsidR="00D72F91" w:rsidRDefault="00D72F91">
            <w:pPr>
              <w:spacing w:after="0" w:line="360" w:lineRule="auto"/>
              <w:jc w:val="both"/>
              <w:rPr>
                <w:rFonts w:ascii="Times New Roman" w:hAnsi="Times New Roman" w:cs="Times New Roman"/>
                <w:b/>
                <w:bCs/>
                <w:color w:val="000000"/>
                <w:sz w:val="24"/>
                <w:szCs w:val="24"/>
              </w:rPr>
            </w:pPr>
          </w:p>
        </w:tc>
        <w:tc>
          <w:tcPr>
            <w:tcW w:w="1041" w:type="dxa"/>
            <w:tcBorders>
              <w:bottom w:val="single" w:sz="4" w:space="0" w:color="auto"/>
            </w:tcBorders>
          </w:tcPr>
          <w:p w14:paraId="2C95BDD7"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c>
          <w:tcPr>
            <w:tcW w:w="1267" w:type="dxa"/>
            <w:tcBorders>
              <w:bottom w:val="single" w:sz="4" w:space="0" w:color="auto"/>
            </w:tcBorders>
          </w:tcPr>
          <w:p w14:paraId="07A0A811" w14:textId="77777777" w:rsidR="00D72F91" w:rsidRDefault="00D72F91">
            <w:pPr>
              <w:pStyle w:val="ListParagraph"/>
              <w:numPr>
                <w:ilvl w:val="0"/>
                <w:numId w:val="13"/>
              </w:numPr>
              <w:spacing w:after="0" w:line="360" w:lineRule="auto"/>
              <w:jc w:val="both"/>
              <w:rPr>
                <w:rFonts w:ascii="Times New Roman" w:hAnsi="Times New Roman" w:cs="Times New Roman"/>
                <w:b/>
                <w:bCs/>
                <w:color w:val="000000"/>
                <w:sz w:val="24"/>
                <w:szCs w:val="24"/>
              </w:rPr>
            </w:pPr>
          </w:p>
        </w:tc>
      </w:tr>
      <w:tr w:rsidR="00D72F91" w14:paraId="06B04B49" w14:textId="77777777">
        <w:tc>
          <w:tcPr>
            <w:tcW w:w="8410" w:type="dxa"/>
            <w:gridSpan w:val="6"/>
            <w:tcBorders>
              <w:left w:val="nil"/>
              <w:bottom w:val="nil"/>
              <w:right w:val="nil"/>
            </w:tcBorders>
          </w:tcPr>
          <w:p w14:paraId="2449C270" w14:textId="77777777" w:rsidR="00D72F91" w:rsidRDefault="00D72F91">
            <w:pPr>
              <w:spacing w:after="0" w:line="360" w:lineRule="auto"/>
              <w:jc w:val="both"/>
              <w:rPr>
                <w:rFonts w:ascii="Times New Roman" w:hAnsi="Times New Roman"/>
                <w:b/>
                <w:bCs/>
                <w:color w:val="000000"/>
                <w:sz w:val="24"/>
                <w:szCs w:val="24"/>
              </w:rPr>
            </w:pPr>
          </w:p>
          <w:p w14:paraId="3CB4FF3B" w14:textId="77777777" w:rsidR="00D72F91" w:rsidRDefault="00D2263D">
            <w:pPr>
              <w:pStyle w:val="ListParagraph"/>
              <w:spacing w:after="0" w:line="360" w:lineRule="auto"/>
              <w:jc w:val="both"/>
              <w:rPr>
                <w:rFonts w:ascii="Times New Roman" w:hAnsi="Times New Roman"/>
                <w:b/>
                <w:bCs/>
                <w:color w:val="000000"/>
                <w:sz w:val="24"/>
                <w:szCs w:val="24"/>
              </w:rPr>
            </w:pPr>
            <w:r>
              <w:rPr>
                <w:color w:val="000000"/>
                <w:sz w:val="24"/>
                <w:szCs w:val="24"/>
              </w:rPr>
              <w:t xml:space="preserve">Table </w:t>
            </w:r>
            <w:r>
              <w:rPr>
                <w:color w:val="000000"/>
                <w:sz w:val="24"/>
                <w:szCs w:val="24"/>
              </w:rPr>
              <w:fldChar w:fldCharType="begin"/>
            </w:r>
            <w:r>
              <w:rPr>
                <w:color w:val="000000"/>
                <w:sz w:val="24"/>
                <w:szCs w:val="24"/>
              </w:rPr>
              <w:instrText xml:space="preserve"> SEQ Tableau \* ARABIC </w:instrText>
            </w:r>
            <w:r>
              <w:rPr>
                <w:color w:val="000000"/>
                <w:sz w:val="24"/>
                <w:szCs w:val="24"/>
              </w:rPr>
              <w:fldChar w:fldCharType="separate"/>
            </w:r>
            <w:r>
              <w:rPr>
                <w:noProof/>
                <w:color w:val="000000"/>
                <w:sz w:val="24"/>
                <w:szCs w:val="24"/>
              </w:rPr>
              <w:t>3</w:t>
            </w:r>
            <w:r>
              <w:rPr>
                <w:color w:val="000000"/>
                <w:sz w:val="24"/>
                <w:szCs w:val="24"/>
              </w:rPr>
              <w:fldChar w:fldCharType="end"/>
            </w:r>
            <w:r>
              <w:rPr>
                <w:color w:val="000000"/>
                <w:sz w:val="24"/>
                <w:szCs w:val="24"/>
              </w:rPr>
              <w:t>: Bacteria isolated in each batch of the crude extract of pineapple peels</w:t>
            </w:r>
          </w:p>
        </w:tc>
      </w:tr>
    </w:tbl>
    <w:p w14:paraId="3444E29F" w14:textId="77777777" w:rsidR="00D72F91" w:rsidRDefault="00D2263D">
      <w:pPr>
        <w:pStyle w:val="Heading2"/>
        <w:numPr>
          <w:ilvl w:val="1"/>
          <w:numId w:val="1"/>
        </w:numPr>
        <w:spacing w:line="480" w:lineRule="auto"/>
        <w:rPr>
          <w:rFonts w:ascii="Times New Roman" w:hAnsi="Times New Roman" w:cs="Times New Roman"/>
          <w:b/>
          <w:bCs/>
          <w:color w:val="000000"/>
          <w:sz w:val="24"/>
          <w:szCs w:val="24"/>
          <w:lang w:val="en-US"/>
        </w:rPr>
      </w:pPr>
      <w:bookmarkStart w:id="5" w:name="_Toc176729979"/>
      <w:bookmarkEnd w:id="4"/>
      <w:r>
        <w:rPr>
          <w:rFonts w:ascii="Times New Roman" w:hAnsi="Times New Roman" w:cs="Times New Roman"/>
          <w:b/>
          <w:bCs/>
          <w:color w:val="000000"/>
          <w:sz w:val="24"/>
          <w:szCs w:val="24"/>
          <w:lang w:val="en-US"/>
        </w:rPr>
        <w:t xml:space="preserve"> Morphological and genetic Identification of isolated bacteria</w:t>
      </w:r>
      <w:bookmarkEnd w:id="5"/>
    </w:p>
    <w:p w14:paraId="51B6C2F4" w14:textId="77777777" w:rsidR="00D72F91" w:rsidRDefault="00D2263D">
      <w:pPr>
        <w:pStyle w:val="Caption"/>
        <w:keepNext/>
        <w:spacing w:after="0" w:line="480" w:lineRule="auto"/>
        <w:jc w:val="both"/>
        <w:rPr>
          <w:rFonts w:ascii="Times New Roman" w:hAnsi="Times New Roman"/>
          <w:i w:val="0"/>
          <w:iCs w:val="0"/>
          <w:color w:val="000000"/>
          <w:sz w:val="24"/>
          <w:szCs w:val="24"/>
        </w:rPr>
      </w:pPr>
      <w:bookmarkStart w:id="6" w:name="_Hlk175787972"/>
      <w:r>
        <w:rPr>
          <w:rFonts w:ascii="Times New Roman" w:hAnsi="Times New Roman"/>
          <w:i w:val="0"/>
          <w:iCs w:val="0"/>
          <w:color w:val="000000"/>
          <w:sz w:val="24"/>
          <w:szCs w:val="24"/>
        </w:rPr>
        <w:t xml:space="preserve">Each sample was first morphologically recognized (e.g., </w:t>
      </w:r>
      <w:r>
        <w:rPr>
          <w:rFonts w:ascii="Times New Roman" w:hAnsi="Times New Roman"/>
          <w:color w:val="000000"/>
          <w:sz w:val="24"/>
          <w:szCs w:val="24"/>
        </w:rPr>
        <w:t>Klebsiella</w:t>
      </w:r>
      <w:r>
        <w:rPr>
          <w:rFonts w:ascii="Times New Roman" w:hAnsi="Times New Roman"/>
          <w:i w:val="0"/>
          <w:iCs w:val="0"/>
          <w:color w:val="000000"/>
          <w:sz w:val="24"/>
          <w:szCs w:val="24"/>
        </w:rPr>
        <w:t xml:space="preserve"> spp., </w:t>
      </w:r>
      <w:r>
        <w:rPr>
          <w:rFonts w:ascii="Times New Roman" w:hAnsi="Times New Roman"/>
          <w:color w:val="000000"/>
          <w:sz w:val="24"/>
          <w:szCs w:val="24"/>
        </w:rPr>
        <w:t>Enterobacter</w:t>
      </w:r>
      <w:r>
        <w:rPr>
          <w:rFonts w:ascii="Times New Roman" w:hAnsi="Times New Roman"/>
          <w:i w:val="0"/>
          <w:iCs w:val="0"/>
          <w:color w:val="000000"/>
          <w:sz w:val="24"/>
          <w:szCs w:val="24"/>
        </w:rPr>
        <w:t xml:space="preserve"> spp.) and then genetically identified by comparing its sequence to a known sequence from the NCBI database (e.g., </w:t>
      </w:r>
      <w:r>
        <w:rPr>
          <w:rFonts w:ascii="Times New Roman" w:hAnsi="Times New Roman"/>
          <w:color w:val="000000"/>
          <w:sz w:val="24"/>
          <w:szCs w:val="24"/>
        </w:rPr>
        <w:t>Myroides odoratimimus, Bacillus cereus</w:t>
      </w:r>
      <w:r>
        <w:rPr>
          <w:rFonts w:ascii="Times New Roman" w:hAnsi="Times New Roman"/>
          <w:i w:val="0"/>
          <w:iCs w:val="0"/>
          <w:color w:val="000000"/>
          <w:sz w:val="24"/>
          <w:szCs w:val="24"/>
        </w:rPr>
        <w:t xml:space="preserve">). The genetic identification score, expressed as a percentage, </w:t>
      </w:r>
      <w:r>
        <w:rPr>
          <w:rFonts w:ascii="Times New Roman" w:hAnsi="Times New Roman"/>
          <w:i w:val="0"/>
          <w:iCs w:val="0"/>
          <w:color w:val="000000"/>
          <w:sz w:val="24"/>
          <w:szCs w:val="24"/>
        </w:rPr>
        <w:lastRenderedPageBreak/>
        <w:t>indicates the degree of similarity between the sample's genetic sequence and the database reference sequence. A higher percentage denotes a tighter match (Table 4).</w:t>
      </w:r>
      <w:bookmarkStart w:id="7" w:name="_Toc176043574"/>
    </w:p>
    <w:tbl>
      <w:tblPr>
        <w:tblStyle w:val="TableGrid"/>
        <w:tblW w:w="0" w:type="auto"/>
        <w:tblLook w:val="04A0" w:firstRow="1" w:lastRow="0" w:firstColumn="1" w:lastColumn="0" w:noHBand="0" w:noVBand="1"/>
      </w:tblPr>
      <w:tblGrid>
        <w:gridCol w:w="1255"/>
        <w:gridCol w:w="2430"/>
        <w:gridCol w:w="2070"/>
        <w:gridCol w:w="3595"/>
      </w:tblGrid>
      <w:tr w:rsidR="00D72F91" w14:paraId="68560C44" w14:textId="77777777">
        <w:trPr>
          <w:trHeight w:val="397"/>
        </w:trPr>
        <w:tc>
          <w:tcPr>
            <w:tcW w:w="1255" w:type="dxa"/>
          </w:tcPr>
          <w:bookmarkEnd w:id="7"/>
          <w:p w14:paraId="6B61F8A2" w14:textId="77777777" w:rsidR="00D72F91" w:rsidRDefault="00D2263D">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Sample ID</w:t>
            </w:r>
          </w:p>
        </w:tc>
        <w:tc>
          <w:tcPr>
            <w:tcW w:w="2430" w:type="dxa"/>
          </w:tcPr>
          <w:p w14:paraId="288C5192" w14:textId="77777777" w:rsidR="00D72F91" w:rsidRDefault="00D2263D">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Morphological identity</w:t>
            </w:r>
          </w:p>
        </w:tc>
        <w:tc>
          <w:tcPr>
            <w:tcW w:w="2070" w:type="dxa"/>
          </w:tcPr>
          <w:p w14:paraId="2A22051D" w14:textId="77777777" w:rsidR="00D72F91" w:rsidRDefault="00D2263D">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Genetic Identity score</w:t>
            </w:r>
          </w:p>
        </w:tc>
        <w:tc>
          <w:tcPr>
            <w:tcW w:w="3595" w:type="dxa"/>
          </w:tcPr>
          <w:p w14:paraId="762AF06A" w14:textId="77777777" w:rsidR="00D72F91" w:rsidRDefault="00D2263D">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NCBI identification</w:t>
            </w:r>
          </w:p>
        </w:tc>
      </w:tr>
      <w:tr w:rsidR="00D72F91" w14:paraId="4CC34CE9" w14:textId="77777777">
        <w:trPr>
          <w:trHeight w:val="314"/>
        </w:trPr>
        <w:tc>
          <w:tcPr>
            <w:tcW w:w="1255" w:type="dxa"/>
          </w:tcPr>
          <w:p w14:paraId="48216CFC"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w:t>
            </w:r>
          </w:p>
        </w:tc>
        <w:tc>
          <w:tcPr>
            <w:tcW w:w="2430" w:type="dxa"/>
          </w:tcPr>
          <w:p w14:paraId="455EE90C"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Klebsiella </w:t>
            </w:r>
            <w:r>
              <w:rPr>
                <w:rFonts w:ascii="Times New Roman" w:eastAsia="Times New Roman" w:hAnsi="Times New Roman" w:cs="Times New Roman"/>
                <w:color w:val="000000"/>
                <w:sz w:val="24"/>
                <w:szCs w:val="24"/>
                <w:lang w:eastAsia="fr-FR"/>
              </w:rPr>
              <w:t>spp.</w:t>
            </w:r>
          </w:p>
        </w:tc>
        <w:tc>
          <w:tcPr>
            <w:tcW w:w="2070" w:type="dxa"/>
          </w:tcPr>
          <w:p w14:paraId="651F419B"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98.63%</w:t>
            </w:r>
          </w:p>
        </w:tc>
        <w:tc>
          <w:tcPr>
            <w:tcW w:w="3595" w:type="dxa"/>
          </w:tcPr>
          <w:p w14:paraId="7B24C5C0"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Myroides odoratimimus</w:t>
            </w:r>
            <w:r>
              <w:rPr>
                <w:rFonts w:ascii="Times New Roman" w:hAnsi="Times New Roman" w:cs="Times New Roman"/>
                <w:color w:val="000000"/>
                <w:sz w:val="24"/>
                <w:szCs w:val="24"/>
              </w:rPr>
              <w:t xml:space="preserve"> OQ077665.1</w:t>
            </w:r>
          </w:p>
        </w:tc>
      </w:tr>
      <w:tr w:rsidR="00D72F91" w14:paraId="110076CE" w14:textId="77777777">
        <w:trPr>
          <w:trHeight w:val="260"/>
        </w:trPr>
        <w:tc>
          <w:tcPr>
            <w:tcW w:w="1255" w:type="dxa"/>
          </w:tcPr>
          <w:p w14:paraId="7B6A71B7"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S2</w:t>
            </w:r>
          </w:p>
        </w:tc>
        <w:tc>
          <w:tcPr>
            <w:tcW w:w="2430" w:type="dxa"/>
          </w:tcPr>
          <w:p w14:paraId="3D9968F9"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2070" w:type="dxa"/>
          </w:tcPr>
          <w:p w14:paraId="415CFD16"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80.16 %</w:t>
            </w:r>
          </w:p>
        </w:tc>
        <w:tc>
          <w:tcPr>
            <w:tcW w:w="3595" w:type="dxa"/>
          </w:tcPr>
          <w:p w14:paraId="27660CA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Enterobacter asburiae</w:t>
            </w:r>
            <w:r>
              <w:rPr>
                <w:rFonts w:ascii="Times New Roman" w:hAnsi="Times New Roman" w:cs="Times New Roman"/>
                <w:color w:val="000000"/>
                <w:sz w:val="24"/>
                <w:szCs w:val="24"/>
              </w:rPr>
              <w:t xml:space="preserve"> OK037068.1</w:t>
            </w:r>
          </w:p>
        </w:tc>
      </w:tr>
      <w:tr w:rsidR="00D72F91" w14:paraId="7026C691" w14:textId="77777777">
        <w:trPr>
          <w:trHeight w:val="323"/>
        </w:trPr>
        <w:tc>
          <w:tcPr>
            <w:tcW w:w="1255" w:type="dxa"/>
          </w:tcPr>
          <w:p w14:paraId="59DA7448"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S3</w:t>
            </w:r>
          </w:p>
        </w:tc>
        <w:tc>
          <w:tcPr>
            <w:tcW w:w="2430" w:type="dxa"/>
          </w:tcPr>
          <w:p w14:paraId="2CABD7E2"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Citrobacter </w:t>
            </w:r>
            <w:r>
              <w:rPr>
                <w:rFonts w:ascii="Times New Roman" w:eastAsia="Times New Roman" w:hAnsi="Times New Roman" w:cs="Times New Roman"/>
                <w:color w:val="000000"/>
                <w:sz w:val="24"/>
                <w:szCs w:val="24"/>
                <w:lang w:eastAsia="fr-FR"/>
              </w:rPr>
              <w:t>spp.</w:t>
            </w:r>
          </w:p>
        </w:tc>
        <w:tc>
          <w:tcPr>
            <w:tcW w:w="2070" w:type="dxa"/>
          </w:tcPr>
          <w:p w14:paraId="5785B7E4"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84.02 %</w:t>
            </w:r>
          </w:p>
        </w:tc>
        <w:tc>
          <w:tcPr>
            <w:tcW w:w="3595" w:type="dxa"/>
          </w:tcPr>
          <w:p w14:paraId="3FEC87E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Pseudomonas aeruginosa </w:t>
            </w:r>
            <w:r>
              <w:rPr>
                <w:rFonts w:ascii="Times New Roman" w:hAnsi="Times New Roman" w:cs="Times New Roman"/>
                <w:color w:val="000000"/>
                <w:sz w:val="24"/>
                <w:szCs w:val="24"/>
              </w:rPr>
              <w:t>KX963362.1</w:t>
            </w:r>
          </w:p>
        </w:tc>
      </w:tr>
      <w:tr w:rsidR="00D72F91" w14:paraId="0FB46825" w14:textId="77777777">
        <w:trPr>
          <w:trHeight w:val="287"/>
        </w:trPr>
        <w:tc>
          <w:tcPr>
            <w:tcW w:w="1255" w:type="dxa"/>
          </w:tcPr>
          <w:p w14:paraId="1A9C891C"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S4</w:t>
            </w:r>
          </w:p>
        </w:tc>
        <w:tc>
          <w:tcPr>
            <w:tcW w:w="2430" w:type="dxa"/>
          </w:tcPr>
          <w:p w14:paraId="0244C853"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Bacillus </w:t>
            </w:r>
            <w:r>
              <w:rPr>
                <w:rFonts w:ascii="Times New Roman" w:eastAsia="Times New Roman" w:hAnsi="Times New Roman" w:cs="Times New Roman"/>
                <w:color w:val="000000"/>
                <w:sz w:val="24"/>
                <w:szCs w:val="24"/>
                <w:lang w:eastAsia="fr-FR"/>
              </w:rPr>
              <w:t>spp.</w:t>
            </w:r>
          </w:p>
        </w:tc>
        <w:tc>
          <w:tcPr>
            <w:tcW w:w="2070" w:type="dxa"/>
          </w:tcPr>
          <w:p w14:paraId="23C5C0C4"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100 %</w:t>
            </w:r>
          </w:p>
        </w:tc>
        <w:tc>
          <w:tcPr>
            <w:tcW w:w="3595" w:type="dxa"/>
          </w:tcPr>
          <w:p w14:paraId="7480E3E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Bacillus cereus</w:t>
            </w:r>
            <w:r>
              <w:rPr>
                <w:rFonts w:ascii="Times New Roman" w:hAnsi="Times New Roman" w:cs="Times New Roman"/>
                <w:color w:val="000000"/>
                <w:sz w:val="24"/>
                <w:szCs w:val="24"/>
              </w:rPr>
              <w:t xml:space="preserve"> OQ911592.1</w:t>
            </w:r>
          </w:p>
        </w:tc>
      </w:tr>
      <w:tr w:rsidR="00D72F91" w14:paraId="41E2B269" w14:textId="77777777">
        <w:trPr>
          <w:trHeight w:val="278"/>
        </w:trPr>
        <w:tc>
          <w:tcPr>
            <w:tcW w:w="1255" w:type="dxa"/>
          </w:tcPr>
          <w:p w14:paraId="170C08B8"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S5</w:t>
            </w:r>
          </w:p>
        </w:tc>
        <w:tc>
          <w:tcPr>
            <w:tcW w:w="2430" w:type="dxa"/>
          </w:tcPr>
          <w:p w14:paraId="43B733F0"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Proteus </w:t>
            </w:r>
            <w:r>
              <w:rPr>
                <w:rFonts w:ascii="Times New Roman" w:eastAsia="Times New Roman" w:hAnsi="Times New Roman" w:cs="Times New Roman"/>
                <w:color w:val="000000"/>
                <w:sz w:val="24"/>
                <w:szCs w:val="24"/>
                <w:lang w:eastAsia="fr-FR"/>
              </w:rPr>
              <w:t>spp.</w:t>
            </w:r>
          </w:p>
        </w:tc>
        <w:tc>
          <w:tcPr>
            <w:tcW w:w="2070" w:type="dxa"/>
          </w:tcPr>
          <w:p w14:paraId="665067C2"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96.89 %</w:t>
            </w:r>
          </w:p>
        </w:tc>
        <w:tc>
          <w:tcPr>
            <w:tcW w:w="3595" w:type="dxa"/>
          </w:tcPr>
          <w:p w14:paraId="35A97B0F"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Piscinibacter defluvii</w:t>
            </w:r>
            <w:r>
              <w:rPr>
                <w:rFonts w:ascii="Times New Roman" w:hAnsi="Times New Roman" w:cs="Times New Roman"/>
                <w:color w:val="000000"/>
                <w:sz w:val="24"/>
                <w:szCs w:val="24"/>
              </w:rPr>
              <w:t xml:space="preserve"> NZ_RCHJ01000063.1</w:t>
            </w:r>
          </w:p>
        </w:tc>
      </w:tr>
      <w:tr w:rsidR="00D72F91" w14:paraId="3F0D68D5" w14:textId="77777777">
        <w:trPr>
          <w:trHeight w:val="323"/>
        </w:trPr>
        <w:tc>
          <w:tcPr>
            <w:tcW w:w="1255" w:type="dxa"/>
          </w:tcPr>
          <w:p w14:paraId="30E33652"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S6</w:t>
            </w:r>
          </w:p>
        </w:tc>
        <w:tc>
          <w:tcPr>
            <w:tcW w:w="2430" w:type="dxa"/>
          </w:tcPr>
          <w:p w14:paraId="17A7A8E8"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Staphylococcus </w:t>
            </w:r>
            <w:r>
              <w:rPr>
                <w:rFonts w:ascii="Times New Roman" w:eastAsia="Times New Roman" w:hAnsi="Times New Roman" w:cs="Times New Roman"/>
                <w:color w:val="000000"/>
                <w:sz w:val="24"/>
                <w:szCs w:val="24"/>
                <w:lang w:eastAsia="fr-FR"/>
              </w:rPr>
              <w:t>spp.</w:t>
            </w:r>
          </w:p>
        </w:tc>
        <w:tc>
          <w:tcPr>
            <w:tcW w:w="2070" w:type="dxa"/>
          </w:tcPr>
          <w:p w14:paraId="160779D7"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83.41 %</w:t>
            </w:r>
          </w:p>
        </w:tc>
        <w:tc>
          <w:tcPr>
            <w:tcW w:w="3595" w:type="dxa"/>
          </w:tcPr>
          <w:p w14:paraId="37D9F15E"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Microbacterium paraoxydans</w:t>
            </w:r>
            <w:r>
              <w:rPr>
                <w:rFonts w:ascii="Times New Roman" w:hAnsi="Times New Roman" w:cs="Times New Roman"/>
                <w:color w:val="000000"/>
                <w:sz w:val="24"/>
                <w:szCs w:val="24"/>
              </w:rPr>
              <w:t xml:space="preserve"> JX993783.1</w:t>
            </w:r>
          </w:p>
        </w:tc>
      </w:tr>
      <w:tr w:rsidR="00D72F91" w14:paraId="43DD658B" w14:textId="77777777">
        <w:trPr>
          <w:trHeight w:val="251"/>
        </w:trPr>
        <w:tc>
          <w:tcPr>
            <w:tcW w:w="1255" w:type="dxa"/>
          </w:tcPr>
          <w:p w14:paraId="007B8A60"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S7</w:t>
            </w:r>
          </w:p>
        </w:tc>
        <w:tc>
          <w:tcPr>
            <w:tcW w:w="2430" w:type="dxa"/>
          </w:tcPr>
          <w:p w14:paraId="1E7833EF"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Escherichia coli</w:t>
            </w:r>
          </w:p>
        </w:tc>
        <w:tc>
          <w:tcPr>
            <w:tcW w:w="2070" w:type="dxa"/>
          </w:tcPr>
          <w:p w14:paraId="046D0E01"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99.72 %</w:t>
            </w:r>
          </w:p>
        </w:tc>
        <w:tc>
          <w:tcPr>
            <w:tcW w:w="3595" w:type="dxa"/>
          </w:tcPr>
          <w:p w14:paraId="66BEE17D" w14:textId="77777777" w:rsidR="00D72F91" w:rsidRDefault="00D2263D">
            <w:pPr>
              <w:spacing w:after="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Bacillus thuringiensis </w:t>
            </w:r>
            <w:r>
              <w:rPr>
                <w:rFonts w:ascii="Times New Roman" w:hAnsi="Times New Roman" w:cs="Times New Roman"/>
                <w:b/>
                <w:bCs/>
                <w:color w:val="000000"/>
                <w:sz w:val="24"/>
                <w:szCs w:val="24"/>
              </w:rPr>
              <w:t>PQ</w:t>
            </w:r>
            <w:r>
              <w:rPr>
                <w:rFonts w:ascii="Times New Roman" w:hAnsi="Times New Roman" w:cs="Times New Roman"/>
                <w:color w:val="000000"/>
                <w:sz w:val="24"/>
                <w:szCs w:val="24"/>
                <w:shd w:val="clear" w:color="auto" w:fill="FFFFFF"/>
              </w:rPr>
              <w:t>143301.1</w:t>
            </w:r>
          </w:p>
        </w:tc>
      </w:tr>
      <w:tr w:rsidR="00D72F91" w14:paraId="3754D259" w14:textId="77777777">
        <w:trPr>
          <w:trHeight w:val="278"/>
        </w:trPr>
        <w:tc>
          <w:tcPr>
            <w:tcW w:w="1255" w:type="dxa"/>
          </w:tcPr>
          <w:p w14:paraId="1F8D61A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S8</w:t>
            </w:r>
          </w:p>
        </w:tc>
        <w:tc>
          <w:tcPr>
            <w:tcW w:w="2430" w:type="dxa"/>
          </w:tcPr>
          <w:p w14:paraId="0DE853E9"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Micrococcus </w:t>
            </w:r>
            <w:r>
              <w:rPr>
                <w:rFonts w:ascii="Times New Roman" w:eastAsia="Times New Roman" w:hAnsi="Times New Roman" w:cs="Times New Roman"/>
                <w:color w:val="000000"/>
                <w:sz w:val="24"/>
                <w:szCs w:val="24"/>
                <w:lang w:eastAsia="fr-FR"/>
              </w:rPr>
              <w:t>spp.</w:t>
            </w:r>
          </w:p>
        </w:tc>
        <w:tc>
          <w:tcPr>
            <w:tcW w:w="2070" w:type="dxa"/>
          </w:tcPr>
          <w:p w14:paraId="24E7B803"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83.96 %</w:t>
            </w:r>
          </w:p>
        </w:tc>
        <w:tc>
          <w:tcPr>
            <w:tcW w:w="3595" w:type="dxa"/>
          </w:tcPr>
          <w:p w14:paraId="688AFE90"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Macrococcus caseolyticus</w:t>
            </w:r>
            <w:r>
              <w:rPr>
                <w:rFonts w:ascii="Times New Roman" w:hAnsi="Times New Roman" w:cs="Times New Roman"/>
                <w:color w:val="000000"/>
                <w:sz w:val="24"/>
                <w:szCs w:val="24"/>
              </w:rPr>
              <w:t xml:space="preserve"> ON600891.1</w:t>
            </w:r>
          </w:p>
        </w:tc>
      </w:tr>
      <w:tr w:rsidR="00D72F91" w14:paraId="1D90B468" w14:textId="77777777">
        <w:trPr>
          <w:trHeight w:val="251"/>
        </w:trPr>
        <w:tc>
          <w:tcPr>
            <w:tcW w:w="1255" w:type="dxa"/>
          </w:tcPr>
          <w:p w14:paraId="4C1679B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S9</w:t>
            </w:r>
          </w:p>
        </w:tc>
        <w:tc>
          <w:tcPr>
            <w:tcW w:w="2430" w:type="dxa"/>
          </w:tcPr>
          <w:p w14:paraId="15487C6F"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2070" w:type="dxa"/>
          </w:tcPr>
          <w:p w14:paraId="18DA7A14"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81,26 %</w:t>
            </w:r>
          </w:p>
        </w:tc>
        <w:tc>
          <w:tcPr>
            <w:tcW w:w="3595" w:type="dxa"/>
          </w:tcPr>
          <w:p w14:paraId="108A1D3F"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Enterobacter asburiae</w:t>
            </w:r>
            <w:r>
              <w:rPr>
                <w:rFonts w:ascii="Times New Roman" w:hAnsi="Times New Roman" w:cs="Times New Roman"/>
                <w:color w:val="000000"/>
                <w:sz w:val="24"/>
                <w:szCs w:val="24"/>
              </w:rPr>
              <w:t xml:space="preserve"> OL549320.1</w:t>
            </w:r>
          </w:p>
        </w:tc>
      </w:tr>
      <w:tr w:rsidR="00D72F91" w14:paraId="035F5150" w14:textId="77777777">
        <w:trPr>
          <w:trHeight w:val="269"/>
        </w:trPr>
        <w:tc>
          <w:tcPr>
            <w:tcW w:w="1255" w:type="dxa"/>
          </w:tcPr>
          <w:p w14:paraId="5365CE4D"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S11</w:t>
            </w:r>
          </w:p>
        </w:tc>
        <w:tc>
          <w:tcPr>
            <w:tcW w:w="2430" w:type="dxa"/>
          </w:tcPr>
          <w:p w14:paraId="03A8359F"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2070" w:type="dxa"/>
          </w:tcPr>
          <w:p w14:paraId="671DB97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99.56 %</w:t>
            </w:r>
          </w:p>
        </w:tc>
        <w:tc>
          <w:tcPr>
            <w:tcW w:w="3595" w:type="dxa"/>
          </w:tcPr>
          <w:p w14:paraId="7A61574E"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Enterobacter cloacae</w:t>
            </w:r>
            <w:r>
              <w:rPr>
                <w:rFonts w:ascii="Times New Roman" w:hAnsi="Times New Roman" w:cs="Times New Roman"/>
                <w:color w:val="000000"/>
                <w:sz w:val="24"/>
                <w:szCs w:val="24"/>
              </w:rPr>
              <w:t xml:space="preserve"> MT636553.1</w:t>
            </w:r>
          </w:p>
        </w:tc>
      </w:tr>
      <w:tr w:rsidR="00D72F91" w14:paraId="7D292F56" w14:textId="77777777">
        <w:trPr>
          <w:trHeight w:val="251"/>
        </w:trPr>
        <w:tc>
          <w:tcPr>
            <w:tcW w:w="1255" w:type="dxa"/>
          </w:tcPr>
          <w:p w14:paraId="7ABF14D8"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S12</w:t>
            </w:r>
          </w:p>
        </w:tc>
        <w:tc>
          <w:tcPr>
            <w:tcW w:w="2430" w:type="dxa"/>
          </w:tcPr>
          <w:p w14:paraId="0F8F97CF"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Escherichia coli</w:t>
            </w:r>
          </w:p>
        </w:tc>
        <w:tc>
          <w:tcPr>
            <w:tcW w:w="2070" w:type="dxa"/>
          </w:tcPr>
          <w:p w14:paraId="12BFA510"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99.43 %</w:t>
            </w:r>
          </w:p>
        </w:tc>
        <w:tc>
          <w:tcPr>
            <w:tcW w:w="3595" w:type="dxa"/>
          </w:tcPr>
          <w:p w14:paraId="5D2C0784"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Pantoea agglomerans</w:t>
            </w:r>
            <w:r>
              <w:rPr>
                <w:rFonts w:ascii="Times New Roman" w:hAnsi="Times New Roman" w:cs="Times New Roman"/>
                <w:color w:val="000000"/>
                <w:sz w:val="24"/>
                <w:szCs w:val="24"/>
              </w:rPr>
              <w:t xml:space="preserve"> OR864224.1</w:t>
            </w:r>
          </w:p>
        </w:tc>
      </w:tr>
      <w:tr w:rsidR="00D72F91" w14:paraId="13EE63C3" w14:textId="77777777">
        <w:trPr>
          <w:trHeight w:val="179"/>
        </w:trPr>
        <w:tc>
          <w:tcPr>
            <w:tcW w:w="1255" w:type="dxa"/>
          </w:tcPr>
          <w:p w14:paraId="3009F506"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S13</w:t>
            </w:r>
          </w:p>
        </w:tc>
        <w:tc>
          <w:tcPr>
            <w:tcW w:w="2430" w:type="dxa"/>
          </w:tcPr>
          <w:p w14:paraId="0909A78C"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Klebsiella </w:t>
            </w:r>
            <w:r>
              <w:rPr>
                <w:rFonts w:ascii="Times New Roman" w:eastAsia="Times New Roman" w:hAnsi="Times New Roman" w:cs="Times New Roman"/>
                <w:color w:val="000000"/>
                <w:sz w:val="24"/>
                <w:szCs w:val="24"/>
                <w:lang w:eastAsia="fr-FR"/>
              </w:rPr>
              <w:t>spp.</w:t>
            </w:r>
          </w:p>
        </w:tc>
        <w:tc>
          <w:tcPr>
            <w:tcW w:w="2070" w:type="dxa"/>
          </w:tcPr>
          <w:p w14:paraId="526D5A75"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100 %</w:t>
            </w:r>
          </w:p>
        </w:tc>
        <w:tc>
          <w:tcPr>
            <w:tcW w:w="3595" w:type="dxa"/>
          </w:tcPr>
          <w:p w14:paraId="483427F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Serratia sp. strain</w:t>
            </w:r>
            <w:r>
              <w:rPr>
                <w:rFonts w:ascii="Times New Roman" w:hAnsi="Times New Roman" w:cs="Times New Roman"/>
                <w:color w:val="000000"/>
                <w:sz w:val="24"/>
                <w:szCs w:val="24"/>
              </w:rPr>
              <w:t xml:space="preserve"> OP019033.1</w:t>
            </w:r>
          </w:p>
        </w:tc>
      </w:tr>
      <w:tr w:rsidR="00D72F91" w14:paraId="32652D4F" w14:textId="77777777">
        <w:trPr>
          <w:trHeight w:val="206"/>
        </w:trPr>
        <w:tc>
          <w:tcPr>
            <w:tcW w:w="1255" w:type="dxa"/>
          </w:tcPr>
          <w:p w14:paraId="3B75DD52"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S14</w:t>
            </w:r>
          </w:p>
        </w:tc>
        <w:tc>
          <w:tcPr>
            <w:tcW w:w="2430" w:type="dxa"/>
          </w:tcPr>
          <w:p w14:paraId="33B87672"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 xml:space="preserve">Enterobacter </w:t>
            </w:r>
            <w:r>
              <w:rPr>
                <w:rFonts w:ascii="Times New Roman" w:eastAsia="Times New Roman" w:hAnsi="Times New Roman" w:cs="Times New Roman"/>
                <w:color w:val="000000"/>
                <w:sz w:val="24"/>
                <w:szCs w:val="24"/>
                <w:lang w:eastAsia="fr-FR"/>
              </w:rPr>
              <w:t>spp.</w:t>
            </w:r>
          </w:p>
        </w:tc>
        <w:tc>
          <w:tcPr>
            <w:tcW w:w="2070" w:type="dxa"/>
          </w:tcPr>
          <w:p w14:paraId="46A4BD38"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97.27 %</w:t>
            </w:r>
          </w:p>
        </w:tc>
        <w:tc>
          <w:tcPr>
            <w:tcW w:w="3595" w:type="dxa"/>
          </w:tcPr>
          <w:p w14:paraId="38FBE3F6"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Citrobacter freundii</w:t>
            </w:r>
            <w:r>
              <w:rPr>
                <w:rFonts w:ascii="Times New Roman" w:hAnsi="Times New Roman" w:cs="Times New Roman"/>
                <w:color w:val="000000"/>
                <w:sz w:val="24"/>
                <w:szCs w:val="24"/>
              </w:rPr>
              <w:t xml:space="preserve"> OQ926044.1</w:t>
            </w:r>
          </w:p>
        </w:tc>
      </w:tr>
      <w:tr w:rsidR="00D72F91" w14:paraId="397ACEF5" w14:textId="77777777">
        <w:trPr>
          <w:trHeight w:val="215"/>
        </w:trPr>
        <w:tc>
          <w:tcPr>
            <w:tcW w:w="1255" w:type="dxa"/>
          </w:tcPr>
          <w:p w14:paraId="6E87FA7A"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S15</w:t>
            </w:r>
          </w:p>
        </w:tc>
        <w:tc>
          <w:tcPr>
            <w:tcW w:w="2430" w:type="dxa"/>
          </w:tcPr>
          <w:p w14:paraId="71A0FECC"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Escherichia coli</w:t>
            </w:r>
          </w:p>
        </w:tc>
        <w:tc>
          <w:tcPr>
            <w:tcW w:w="2070" w:type="dxa"/>
          </w:tcPr>
          <w:p w14:paraId="485BC847"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79.86 %</w:t>
            </w:r>
          </w:p>
        </w:tc>
        <w:tc>
          <w:tcPr>
            <w:tcW w:w="3595" w:type="dxa"/>
          </w:tcPr>
          <w:p w14:paraId="041F227D"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Enterobacter ludwigii</w:t>
            </w:r>
            <w:r>
              <w:rPr>
                <w:rFonts w:ascii="Times New Roman" w:hAnsi="Times New Roman" w:cs="Times New Roman"/>
                <w:color w:val="000000"/>
                <w:sz w:val="24"/>
                <w:szCs w:val="24"/>
              </w:rPr>
              <w:t xml:space="preserve"> OQ804698.1</w:t>
            </w:r>
          </w:p>
        </w:tc>
      </w:tr>
      <w:tr w:rsidR="00D72F91" w14:paraId="5533CE94" w14:textId="77777777">
        <w:trPr>
          <w:trHeight w:val="242"/>
        </w:trPr>
        <w:tc>
          <w:tcPr>
            <w:tcW w:w="1255" w:type="dxa"/>
          </w:tcPr>
          <w:p w14:paraId="376253AA"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S16</w:t>
            </w:r>
          </w:p>
        </w:tc>
        <w:tc>
          <w:tcPr>
            <w:tcW w:w="2430" w:type="dxa"/>
          </w:tcPr>
          <w:p w14:paraId="52305F3F" w14:textId="77777777" w:rsidR="00D72F91" w:rsidRDefault="00D2263D">
            <w:pPr>
              <w:spacing w:after="0"/>
              <w:jc w:val="center"/>
              <w:rPr>
                <w:rFonts w:ascii="Times New Roman" w:hAnsi="Times New Roman" w:cs="Times New Roman"/>
                <w:color w:val="000000"/>
                <w:sz w:val="24"/>
                <w:szCs w:val="24"/>
              </w:rPr>
            </w:pPr>
            <w:r>
              <w:rPr>
                <w:rFonts w:ascii="Times New Roman" w:eastAsia="Times New Roman" w:hAnsi="Times New Roman" w:cs="Times New Roman"/>
                <w:i/>
                <w:iCs/>
                <w:color w:val="000000"/>
                <w:sz w:val="24"/>
                <w:szCs w:val="24"/>
                <w:lang w:eastAsia="fr-FR"/>
              </w:rPr>
              <w:t>Escherichia coli</w:t>
            </w:r>
          </w:p>
        </w:tc>
        <w:tc>
          <w:tcPr>
            <w:tcW w:w="2070" w:type="dxa"/>
          </w:tcPr>
          <w:p w14:paraId="24C2E076"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97.02 %</w:t>
            </w:r>
          </w:p>
        </w:tc>
        <w:tc>
          <w:tcPr>
            <w:tcW w:w="3595" w:type="dxa"/>
          </w:tcPr>
          <w:p w14:paraId="6329C9E9" w14:textId="77777777" w:rsidR="00D72F91" w:rsidRDefault="00D2263D">
            <w:pPr>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Enterobacter sp.</w:t>
            </w:r>
            <w:r>
              <w:rPr>
                <w:rFonts w:ascii="Times New Roman" w:hAnsi="Times New Roman" w:cs="Times New Roman"/>
                <w:color w:val="000000"/>
                <w:sz w:val="24"/>
                <w:szCs w:val="24"/>
              </w:rPr>
              <w:t xml:space="preserve"> KY225218.1</w:t>
            </w:r>
          </w:p>
        </w:tc>
      </w:tr>
    </w:tbl>
    <w:p w14:paraId="3F88E2ED" w14:textId="77777777" w:rsidR="00D72F91" w:rsidRDefault="00D2263D">
      <w:pPr>
        <w:pStyle w:val="Heading2"/>
        <w:spacing w:line="480" w:lineRule="auto"/>
        <w:rPr>
          <w:rFonts w:ascii="Times New Roman" w:hAnsi="Times New Roman" w:cs="Times New Roman"/>
          <w:color w:val="000000"/>
          <w:sz w:val="22"/>
          <w:szCs w:val="22"/>
          <w:lang w:val="en-US"/>
        </w:rPr>
      </w:pPr>
      <w:bookmarkStart w:id="8" w:name="_Toc176729980"/>
      <w:bookmarkEnd w:id="6"/>
      <w:r>
        <w:rPr>
          <w:rFonts w:ascii="Times New Roman" w:hAnsi="Times New Roman" w:cs="Times New Roman"/>
          <w:color w:val="000000"/>
          <w:sz w:val="22"/>
          <w:szCs w:val="22"/>
          <w:lang w:val="en-US"/>
        </w:rPr>
        <w:t xml:space="preserve">Table 4: </w:t>
      </w:r>
      <w:r>
        <w:rPr>
          <w:rFonts w:ascii="Times New Roman" w:hAnsi="Times New Roman" w:cs="Times New Roman"/>
          <w:color w:val="000000"/>
          <w:sz w:val="22"/>
          <w:szCs w:val="22"/>
          <w:lang w:val="en-US"/>
        </w:rPr>
        <w:t>Morphological and NCBI genetic identification of the isolated bacteria with their genetic identification score</w:t>
      </w:r>
    </w:p>
    <w:p w14:paraId="01766BCD" w14:textId="77777777" w:rsidR="00D72F91" w:rsidRDefault="00D2263D">
      <w:pPr>
        <w:pStyle w:val="Heading2"/>
        <w:spacing w:line="480"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4.4. Phylogenetic analysis of the isolated bacteria</w:t>
      </w:r>
      <w:bookmarkEnd w:id="8"/>
    </w:p>
    <w:p w14:paraId="371258D0" w14:textId="77777777" w:rsidR="00D72F91" w:rsidRDefault="00D2263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presented phylogenetic tree depicts the evolutionary relationships between distinct bacterial species isolated from diverse samples (Figure 3). Each clade in the tree indicates groupings of bacteria that have </w:t>
      </w:r>
      <w:r>
        <w:rPr>
          <w:rFonts w:ascii="Times New Roman" w:hAnsi="Times New Roman"/>
          <w:color w:val="000000"/>
          <w:sz w:val="24"/>
          <w:szCs w:val="24"/>
        </w:rPr>
        <w:lastRenderedPageBreak/>
        <w:t>a common ancestor, emphasizing their genetic proximity despite disparities in morphological classification.</w:t>
      </w:r>
    </w:p>
    <w:p w14:paraId="55E5E606" w14:textId="77777777" w:rsidR="00D72F91" w:rsidRDefault="00D2263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 Clade 1, </w:t>
      </w:r>
      <w:r>
        <w:rPr>
          <w:rFonts w:ascii="Times New Roman" w:hAnsi="Times New Roman"/>
          <w:i/>
          <w:iCs/>
          <w:color w:val="000000"/>
          <w:sz w:val="24"/>
          <w:szCs w:val="24"/>
        </w:rPr>
        <w:t>Microbacterium paraoxydans</w:t>
      </w:r>
      <w:r>
        <w:rPr>
          <w:rFonts w:ascii="Times New Roman" w:hAnsi="Times New Roman"/>
          <w:color w:val="000000"/>
          <w:sz w:val="24"/>
          <w:szCs w:val="24"/>
        </w:rPr>
        <w:t xml:space="preserve"> was closely connected to the samples recognized morphologically as </w:t>
      </w:r>
      <w:r>
        <w:rPr>
          <w:rFonts w:ascii="Times New Roman" w:hAnsi="Times New Roman"/>
          <w:i/>
          <w:iCs/>
          <w:color w:val="000000"/>
          <w:sz w:val="24"/>
          <w:szCs w:val="24"/>
        </w:rPr>
        <w:t>Enterobacter</w:t>
      </w:r>
      <w:r>
        <w:rPr>
          <w:rFonts w:ascii="Times New Roman" w:hAnsi="Times New Roman"/>
          <w:color w:val="000000"/>
          <w:sz w:val="24"/>
          <w:szCs w:val="24"/>
        </w:rPr>
        <w:t xml:space="preserve"> spp. (S8) and </w:t>
      </w:r>
      <w:r>
        <w:rPr>
          <w:rFonts w:ascii="Times New Roman" w:hAnsi="Times New Roman"/>
          <w:i/>
          <w:iCs/>
          <w:color w:val="000000"/>
          <w:sz w:val="24"/>
          <w:szCs w:val="24"/>
        </w:rPr>
        <w:t>Staphylococcus</w:t>
      </w:r>
      <w:r>
        <w:rPr>
          <w:rFonts w:ascii="Times New Roman" w:hAnsi="Times New Roman"/>
          <w:color w:val="000000"/>
          <w:sz w:val="24"/>
          <w:szCs w:val="24"/>
        </w:rPr>
        <w:t xml:space="preserve"> spp. (S6), implying a possible misidentification or an underlying genetic linkage that is not immediately evident from morphology. Clade 2 demonstrated a close genetic link between </w:t>
      </w:r>
      <w:r>
        <w:rPr>
          <w:rFonts w:ascii="Times New Roman" w:hAnsi="Times New Roman"/>
          <w:i/>
          <w:iCs/>
          <w:color w:val="000000"/>
          <w:sz w:val="24"/>
          <w:szCs w:val="24"/>
        </w:rPr>
        <w:t>Enterobacter asburiae</w:t>
      </w:r>
      <w:r>
        <w:rPr>
          <w:rFonts w:ascii="Times New Roman" w:hAnsi="Times New Roman"/>
          <w:color w:val="000000"/>
          <w:sz w:val="24"/>
          <w:szCs w:val="24"/>
        </w:rPr>
        <w:t xml:space="preserve"> (S2) and </w:t>
      </w:r>
      <w:r>
        <w:rPr>
          <w:rFonts w:ascii="Times New Roman" w:hAnsi="Times New Roman"/>
          <w:i/>
          <w:iCs/>
          <w:color w:val="000000"/>
          <w:sz w:val="24"/>
          <w:szCs w:val="24"/>
        </w:rPr>
        <w:t>Citrobacter</w:t>
      </w:r>
      <w:r>
        <w:rPr>
          <w:rFonts w:ascii="Times New Roman" w:hAnsi="Times New Roman"/>
          <w:color w:val="000000"/>
          <w:sz w:val="24"/>
          <w:szCs w:val="24"/>
        </w:rPr>
        <w:t xml:space="preserve"> spp. (S3), implying that these bacteria, despite being from distinct genera, have a recent shared evolutionary ancestor.</w:t>
      </w:r>
    </w:p>
    <w:p w14:paraId="6FB65DE7" w14:textId="77777777" w:rsidR="00D72F91" w:rsidRDefault="00D2263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Clade 3 contained </w:t>
      </w:r>
      <w:r>
        <w:rPr>
          <w:rFonts w:ascii="Times New Roman" w:hAnsi="Times New Roman"/>
          <w:i/>
          <w:iCs/>
          <w:color w:val="000000"/>
          <w:sz w:val="24"/>
          <w:szCs w:val="24"/>
        </w:rPr>
        <w:t>Proteus</w:t>
      </w:r>
      <w:r>
        <w:rPr>
          <w:rFonts w:ascii="Times New Roman" w:hAnsi="Times New Roman"/>
          <w:color w:val="000000"/>
          <w:sz w:val="24"/>
          <w:szCs w:val="24"/>
        </w:rPr>
        <w:t xml:space="preserve"> sp., </w:t>
      </w:r>
      <w:r>
        <w:rPr>
          <w:rFonts w:ascii="Times New Roman" w:hAnsi="Times New Roman"/>
          <w:i/>
          <w:iCs/>
          <w:color w:val="000000"/>
          <w:sz w:val="24"/>
          <w:szCs w:val="24"/>
        </w:rPr>
        <w:t>Pseudomonas aeruginosa</w:t>
      </w:r>
      <w:r>
        <w:rPr>
          <w:rFonts w:ascii="Times New Roman" w:hAnsi="Times New Roman"/>
          <w:color w:val="000000"/>
          <w:sz w:val="24"/>
          <w:szCs w:val="24"/>
        </w:rPr>
        <w:t xml:space="preserve">, and </w:t>
      </w:r>
      <w:r>
        <w:rPr>
          <w:rFonts w:ascii="Times New Roman" w:hAnsi="Times New Roman"/>
          <w:i/>
          <w:iCs/>
          <w:color w:val="000000"/>
          <w:sz w:val="24"/>
          <w:szCs w:val="24"/>
        </w:rPr>
        <w:t>Macrococcus caseolyticus</w:t>
      </w:r>
      <w:r>
        <w:rPr>
          <w:rFonts w:ascii="Times New Roman" w:hAnsi="Times New Roman"/>
          <w:color w:val="000000"/>
          <w:sz w:val="24"/>
          <w:szCs w:val="24"/>
        </w:rPr>
        <w:t>, with samples S5 (</w:t>
      </w:r>
      <w:r>
        <w:rPr>
          <w:rFonts w:ascii="Times New Roman" w:hAnsi="Times New Roman"/>
          <w:i/>
          <w:iCs/>
          <w:color w:val="000000"/>
          <w:sz w:val="24"/>
          <w:szCs w:val="24"/>
        </w:rPr>
        <w:t>Proteus</w:t>
      </w:r>
      <w:r>
        <w:rPr>
          <w:rFonts w:ascii="Times New Roman" w:hAnsi="Times New Roman"/>
          <w:color w:val="000000"/>
          <w:sz w:val="24"/>
          <w:szCs w:val="24"/>
        </w:rPr>
        <w:t xml:space="preserve"> spp.) and S8 (</w:t>
      </w:r>
      <w:r>
        <w:rPr>
          <w:rFonts w:ascii="Times New Roman" w:hAnsi="Times New Roman"/>
          <w:i/>
          <w:iCs/>
          <w:color w:val="000000"/>
          <w:sz w:val="24"/>
          <w:szCs w:val="24"/>
        </w:rPr>
        <w:t>Micrococcus</w:t>
      </w:r>
      <w:r>
        <w:rPr>
          <w:rFonts w:ascii="Times New Roman" w:hAnsi="Times New Roman"/>
          <w:color w:val="000000"/>
          <w:sz w:val="24"/>
          <w:szCs w:val="24"/>
        </w:rPr>
        <w:t xml:space="preserve"> spp.) closely connected, indicating evolutionary relatedness. Clade 4 includes </w:t>
      </w:r>
      <w:r>
        <w:rPr>
          <w:rFonts w:ascii="Times New Roman" w:hAnsi="Times New Roman"/>
          <w:i/>
          <w:iCs/>
          <w:color w:val="000000"/>
          <w:sz w:val="24"/>
          <w:szCs w:val="24"/>
        </w:rPr>
        <w:t>Bacillus cereus</w:t>
      </w:r>
      <w:r>
        <w:rPr>
          <w:rFonts w:ascii="Times New Roman" w:hAnsi="Times New Roman"/>
          <w:color w:val="000000"/>
          <w:sz w:val="24"/>
          <w:szCs w:val="24"/>
        </w:rPr>
        <w:t xml:space="preserve"> from samples S4 and S9, as well as </w:t>
      </w:r>
      <w:r>
        <w:rPr>
          <w:rFonts w:ascii="Times New Roman" w:hAnsi="Times New Roman"/>
          <w:i/>
          <w:iCs/>
          <w:color w:val="000000"/>
          <w:sz w:val="24"/>
          <w:szCs w:val="24"/>
        </w:rPr>
        <w:t>Enterobacter cloacae</w:t>
      </w:r>
      <w:r>
        <w:rPr>
          <w:rFonts w:ascii="Times New Roman" w:hAnsi="Times New Roman"/>
          <w:color w:val="000000"/>
          <w:sz w:val="24"/>
          <w:szCs w:val="24"/>
        </w:rPr>
        <w:t xml:space="preserve"> and </w:t>
      </w:r>
      <w:r>
        <w:rPr>
          <w:rFonts w:ascii="Times New Roman" w:hAnsi="Times New Roman"/>
          <w:i/>
          <w:iCs/>
          <w:color w:val="000000"/>
          <w:sz w:val="24"/>
          <w:szCs w:val="24"/>
        </w:rPr>
        <w:t>Escherichia coli</w:t>
      </w:r>
      <w:r>
        <w:rPr>
          <w:rFonts w:ascii="Times New Roman" w:hAnsi="Times New Roman"/>
          <w:color w:val="000000"/>
          <w:sz w:val="24"/>
          <w:szCs w:val="24"/>
        </w:rPr>
        <w:t>, implying a common lineage despite their distinct ecological roles and physical variances.</w:t>
      </w:r>
    </w:p>
    <w:p w14:paraId="423D4C12" w14:textId="77777777" w:rsidR="00D72F91" w:rsidRDefault="00D2263D">
      <w:pPr>
        <w:spacing w:line="480" w:lineRule="auto"/>
        <w:jc w:val="both"/>
        <w:rPr>
          <w:rFonts w:ascii="Times New Roman" w:hAnsi="Times New Roman"/>
          <w:color w:val="000000"/>
          <w:sz w:val="24"/>
          <w:szCs w:val="24"/>
        </w:rPr>
      </w:pPr>
      <w:r>
        <w:rPr>
          <w:rFonts w:ascii="Times New Roman" w:hAnsi="Times New Roman"/>
          <w:i/>
          <w:iCs/>
          <w:color w:val="000000"/>
          <w:sz w:val="24"/>
          <w:szCs w:val="24"/>
        </w:rPr>
        <w:t>Myroides odoratimimus</w:t>
      </w:r>
      <w:r>
        <w:rPr>
          <w:rFonts w:ascii="Times New Roman" w:hAnsi="Times New Roman"/>
          <w:color w:val="000000"/>
          <w:sz w:val="24"/>
          <w:szCs w:val="24"/>
        </w:rPr>
        <w:t xml:space="preserve"> and </w:t>
      </w:r>
      <w:r>
        <w:rPr>
          <w:rFonts w:ascii="Times New Roman" w:hAnsi="Times New Roman"/>
          <w:i/>
          <w:iCs/>
          <w:color w:val="000000"/>
          <w:sz w:val="24"/>
          <w:szCs w:val="24"/>
        </w:rPr>
        <w:t>Pantoea agglomerans</w:t>
      </w:r>
      <w:r>
        <w:rPr>
          <w:rFonts w:ascii="Times New Roman" w:hAnsi="Times New Roman"/>
          <w:color w:val="000000"/>
          <w:sz w:val="24"/>
          <w:szCs w:val="24"/>
        </w:rPr>
        <w:t xml:space="preserve"> cluster closely with </w:t>
      </w:r>
      <w:r>
        <w:rPr>
          <w:rFonts w:ascii="Times New Roman" w:hAnsi="Times New Roman"/>
          <w:i/>
          <w:iCs/>
          <w:color w:val="000000"/>
          <w:sz w:val="24"/>
          <w:szCs w:val="24"/>
        </w:rPr>
        <w:t>Klebsiella</w:t>
      </w:r>
      <w:r>
        <w:rPr>
          <w:rFonts w:ascii="Times New Roman" w:hAnsi="Times New Roman"/>
          <w:color w:val="000000"/>
          <w:sz w:val="24"/>
          <w:szCs w:val="24"/>
        </w:rPr>
        <w:t xml:space="preserve"> spp. (S1), indicating genetic similarities, whereas Clade 6 groups </w:t>
      </w:r>
      <w:r>
        <w:rPr>
          <w:rFonts w:ascii="Times New Roman" w:hAnsi="Times New Roman"/>
          <w:i/>
          <w:iCs/>
          <w:color w:val="000000"/>
          <w:sz w:val="24"/>
          <w:szCs w:val="24"/>
        </w:rPr>
        <w:t xml:space="preserve">Enterobacter ludwigii, Serratia sp., </w:t>
      </w:r>
      <w:r>
        <w:rPr>
          <w:rFonts w:ascii="Times New Roman" w:hAnsi="Times New Roman"/>
          <w:color w:val="000000"/>
          <w:sz w:val="24"/>
          <w:szCs w:val="24"/>
        </w:rPr>
        <w:t>and</w:t>
      </w:r>
      <w:r>
        <w:rPr>
          <w:rFonts w:ascii="Times New Roman" w:hAnsi="Times New Roman"/>
          <w:i/>
          <w:iCs/>
          <w:color w:val="000000"/>
          <w:sz w:val="24"/>
          <w:szCs w:val="24"/>
        </w:rPr>
        <w:t xml:space="preserve"> Citrobacter freundii</w:t>
      </w:r>
      <w:r>
        <w:rPr>
          <w:rFonts w:ascii="Times New Roman" w:hAnsi="Times New Roman"/>
          <w:color w:val="000000"/>
          <w:sz w:val="24"/>
          <w:szCs w:val="24"/>
        </w:rPr>
        <w:t xml:space="preserve"> with samples S14 (</w:t>
      </w:r>
      <w:r>
        <w:rPr>
          <w:rFonts w:ascii="Times New Roman" w:hAnsi="Times New Roman"/>
          <w:i/>
          <w:iCs/>
          <w:color w:val="000000"/>
          <w:sz w:val="24"/>
          <w:szCs w:val="24"/>
        </w:rPr>
        <w:t>Enterobacter</w:t>
      </w:r>
      <w:r>
        <w:rPr>
          <w:rFonts w:ascii="Times New Roman" w:hAnsi="Times New Roman"/>
          <w:color w:val="000000"/>
          <w:sz w:val="24"/>
          <w:szCs w:val="24"/>
        </w:rPr>
        <w:t xml:space="preserve"> spp.), S15 (</w:t>
      </w:r>
      <w:r>
        <w:rPr>
          <w:rFonts w:ascii="Times New Roman" w:hAnsi="Times New Roman"/>
          <w:i/>
          <w:iCs/>
          <w:color w:val="000000"/>
          <w:sz w:val="24"/>
          <w:szCs w:val="24"/>
        </w:rPr>
        <w:t>Escherichia coli</w:t>
      </w:r>
      <w:r>
        <w:rPr>
          <w:rFonts w:ascii="Times New Roman" w:hAnsi="Times New Roman"/>
          <w:color w:val="000000"/>
          <w:sz w:val="24"/>
          <w:szCs w:val="24"/>
        </w:rPr>
        <w:t>), and S11 (</w:t>
      </w:r>
      <w:r>
        <w:rPr>
          <w:rFonts w:ascii="Times New Roman" w:hAnsi="Times New Roman"/>
          <w:i/>
          <w:iCs/>
          <w:color w:val="000000"/>
          <w:sz w:val="24"/>
          <w:szCs w:val="24"/>
        </w:rPr>
        <w:t>Enterobacter</w:t>
      </w:r>
      <w:r>
        <w:rPr>
          <w:rFonts w:ascii="Times New Roman" w:hAnsi="Times New Roman"/>
          <w:color w:val="000000"/>
          <w:sz w:val="24"/>
          <w:szCs w:val="24"/>
        </w:rPr>
        <w:t xml:space="preserve"> spp.), indicating a common genetic origin. Finally, Clade 7 includes </w:t>
      </w:r>
      <w:r>
        <w:rPr>
          <w:rFonts w:ascii="Times New Roman" w:hAnsi="Times New Roman"/>
          <w:i/>
          <w:iCs/>
          <w:color w:val="000000"/>
          <w:sz w:val="24"/>
          <w:szCs w:val="24"/>
        </w:rPr>
        <w:t>Leclercia adecarboxylata, Proteus</w:t>
      </w:r>
      <w:r>
        <w:rPr>
          <w:rFonts w:ascii="Times New Roman" w:hAnsi="Times New Roman"/>
          <w:color w:val="000000"/>
          <w:sz w:val="24"/>
          <w:szCs w:val="24"/>
        </w:rPr>
        <w:t xml:space="preserve"> sp., and </w:t>
      </w:r>
      <w:r>
        <w:rPr>
          <w:rFonts w:ascii="Times New Roman" w:hAnsi="Times New Roman"/>
          <w:i/>
          <w:iCs/>
          <w:color w:val="000000"/>
          <w:sz w:val="24"/>
          <w:szCs w:val="24"/>
        </w:rPr>
        <w:t>Klebsiella</w:t>
      </w:r>
      <w:r>
        <w:rPr>
          <w:rFonts w:ascii="Times New Roman" w:hAnsi="Times New Roman"/>
          <w:color w:val="000000"/>
          <w:sz w:val="24"/>
          <w:szCs w:val="24"/>
        </w:rPr>
        <w:t xml:space="preserve"> spp., suggesting an intriguing genetic link that calls into question standard morphological classifications.</w:t>
      </w:r>
    </w:p>
    <w:p w14:paraId="1F9C747A" w14:textId="77777777" w:rsidR="008007DC" w:rsidRDefault="008007DC">
      <w:pPr>
        <w:spacing w:line="480" w:lineRule="auto"/>
        <w:jc w:val="both"/>
        <w:rPr>
          <w:rFonts w:ascii="Times New Roman" w:hAnsi="Times New Roman"/>
          <w:noProof/>
          <w:color w:val="000000" w:themeColor="text1"/>
          <w:sz w:val="24"/>
          <w:szCs w:val="24"/>
        </w:rPr>
      </w:pPr>
    </w:p>
    <w:p w14:paraId="3707D46D" w14:textId="6E632431" w:rsidR="00D72F91" w:rsidRDefault="008007DC">
      <w:pPr>
        <w:spacing w:line="480" w:lineRule="auto"/>
        <w:jc w:val="both"/>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14:anchorId="6C7065DB" wp14:editId="410A0B92">
            <wp:extent cx="6096000" cy="7048500"/>
            <wp:effectExtent l="0" t="0" r="0" b="0"/>
            <wp:docPr id="63142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2636" name="Picture 63142636"/>
                    <pic:cNvPicPr/>
                  </pic:nvPicPr>
                  <pic:blipFill>
                    <a:blip r:embed="rId15"/>
                    <a:stretch>
                      <a:fillRect/>
                    </a:stretch>
                  </pic:blipFill>
                  <pic:spPr>
                    <a:xfrm>
                      <a:off x="0" y="0"/>
                      <a:ext cx="6096000" cy="7048500"/>
                    </a:xfrm>
                    <a:prstGeom prst="rect">
                      <a:avLst/>
                    </a:prstGeom>
                  </pic:spPr>
                </pic:pic>
              </a:graphicData>
            </a:graphic>
          </wp:inline>
        </w:drawing>
      </w:r>
      <w:r w:rsidR="004D018C">
        <w:rPr>
          <w:rFonts w:ascii="Times New Roman" w:hAnsi="Times New Roman"/>
          <w:color w:val="000000"/>
          <w:sz w:val="24"/>
          <w:szCs w:val="24"/>
        </w:rPr>
        <w:t>Fi</w:t>
      </w:r>
      <w:r w:rsidR="002F2822">
        <w:rPr>
          <w:rFonts w:ascii="Times New Roman" w:hAnsi="Times New Roman"/>
          <w:color w:val="000000"/>
          <w:sz w:val="24"/>
          <w:szCs w:val="24"/>
        </w:rPr>
        <w:t>gure 3:</w:t>
      </w:r>
      <w:r w:rsidR="00D2263D">
        <w:rPr>
          <w:rFonts w:ascii="Times New Roman" w:hAnsi="Times New Roman"/>
          <w:color w:val="000000"/>
          <w:sz w:val="24"/>
          <w:szCs w:val="24"/>
        </w:rPr>
        <w:t xml:space="preserve"> </w:t>
      </w:r>
      <w:r w:rsidR="00D2263D">
        <w:rPr>
          <w:rFonts w:ascii="Times New Roman" w:hAnsi="Times New Roman"/>
          <w:color w:val="000000"/>
          <w:sz w:val="24"/>
          <w:szCs w:val="24"/>
        </w:rPr>
        <w:t xml:space="preserve">Cluster analysis </w:t>
      </w:r>
    </w:p>
    <w:p w14:paraId="61B15AA9" w14:textId="77777777" w:rsidR="006E5F1B" w:rsidRDefault="006E5F1B">
      <w:pPr>
        <w:pStyle w:val="ListParagraph"/>
        <w:spacing w:line="480" w:lineRule="auto"/>
        <w:ind w:left="0"/>
        <w:jc w:val="both"/>
        <w:rPr>
          <w:rFonts w:ascii="Times New Roman" w:hAnsi="Times New Roman"/>
          <w:b/>
          <w:bCs/>
          <w:sz w:val="24"/>
          <w:szCs w:val="24"/>
        </w:rPr>
      </w:pPr>
    </w:p>
    <w:p w14:paraId="6D8A4480" w14:textId="77777777" w:rsidR="006E5F1B" w:rsidRDefault="006E5F1B">
      <w:pPr>
        <w:pStyle w:val="ListParagraph"/>
        <w:spacing w:line="480" w:lineRule="auto"/>
        <w:ind w:left="0"/>
        <w:jc w:val="both"/>
        <w:rPr>
          <w:rFonts w:ascii="Times New Roman" w:hAnsi="Times New Roman"/>
          <w:b/>
          <w:bCs/>
          <w:sz w:val="24"/>
          <w:szCs w:val="24"/>
        </w:rPr>
      </w:pPr>
    </w:p>
    <w:p w14:paraId="426D31CA" w14:textId="6BEFE753" w:rsidR="00D72F91" w:rsidRDefault="00D2263D">
      <w:pPr>
        <w:pStyle w:val="ListParagraph"/>
        <w:spacing w:line="480" w:lineRule="auto"/>
        <w:ind w:left="0"/>
        <w:jc w:val="both"/>
        <w:rPr>
          <w:rFonts w:ascii="Times New Roman" w:hAnsi="Times New Roman"/>
          <w:sz w:val="24"/>
          <w:szCs w:val="24"/>
        </w:rPr>
      </w:pPr>
      <w:r>
        <w:rPr>
          <w:rFonts w:ascii="Times New Roman" w:hAnsi="Times New Roman"/>
          <w:b/>
          <w:bCs/>
          <w:sz w:val="24"/>
          <w:szCs w:val="24"/>
        </w:rPr>
        <w:lastRenderedPageBreak/>
        <w:t>Discussion</w:t>
      </w:r>
      <w:r>
        <w:rPr>
          <w:rFonts w:ascii="Times New Roman" w:hAnsi="Times New Roman"/>
          <w:sz w:val="24"/>
          <w:szCs w:val="24"/>
        </w:rPr>
        <w:t xml:space="preserve"> </w:t>
      </w:r>
    </w:p>
    <w:p w14:paraId="721BE434" w14:textId="0FEABF44" w:rsidR="00D72F91" w:rsidRDefault="00D2263D">
      <w:pPr>
        <w:spacing w:line="480" w:lineRule="auto"/>
        <w:jc w:val="both"/>
        <w:rPr>
          <w:rFonts w:ascii="Times New Roman" w:hAnsi="Times New Roman"/>
          <w:sz w:val="24"/>
          <w:szCs w:val="24"/>
        </w:rPr>
      </w:pPr>
      <w:r>
        <w:rPr>
          <w:rFonts w:ascii="Times New Roman" w:hAnsi="Times New Roman"/>
          <w:sz w:val="24"/>
          <w:szCs w:val="24"/>
        </w:rPr>
        <w:t>Microbial contamination in the pineapple extract varied across batches, with counts ranging from 2</w:t>
      </w:r>
      <w:r w:rsidR="006E5F1B">
        <w:rPr>
          <w:rFonts w:ascii="Times New Roman" w:hAnsi="Times New Roman"/>
          <w:sz w:val="24"/>
          <w:szCs w:val="24"/>
        </w:rPr>
        <w:t>,</w:t>
      </w:r>
      <w:r>
        <w:rPr>
          <w:rFonts w:ascii="Times New Roman" w:hAnsi="Times New Roman"/>
          <w:sz w:val="24"/>
          <w:szCs w:val="24"/>
        </w:rPr>
        <w:t>000 to 7</w:t>
      </w:r>
      <w:r w:rsidR="006E5F1B">
        <w:rPr>
          <w:rFonts w:ascii="Times New Roman" w:hAnsi="Times New Roman"/>
          <w:sz w:val="24"/>
          <w:szCs w:val="24"/>
        </w:rPr>
        <w:t>,</w:t>
      </w:r>
      <w:r>
        <w:rPr>
          <w:rFonts w:ascii="Times New Roman" w:hAnsi="Times New Roman"/>
          <w:sz w:val="24"/>
          <w:szCs w:val="24"/>
        </w:rPr>
        <w:t xml:space="preserve">500 CFU/ml (Table </w:t>
      </w:r>
      <w:r w:rsidR="006E5F1B">
        <w:rPr>
          <w:rFonts w:ascii="Times New Roman" w:hAnsi="Times New Roman"/>
          <w:sz w:val="24"/>
          <w:szCs w:val="24"/>
        </w:rPr>
        <w:t>1</w:t>
      </w:r>
      <w:r>
        <w:rPr>
          <w:rFonts w:ascii="Times New Roman" w:hAnsi="Times New Roman"/>
          <w:sz w:val="24"/>
          <w:szCs w:val="24"/>
        </w:rPr>
        <w:t>). Batch 2 exhibited the highest contamination level (7</w:t>
      </w:r>
      <w:r w:rsidR="006E5F1B">
        <w:rPr>
          <w:rFonts w:ascii="Times New Roman" w:hAnsi="Times New Roman"/>
          <w:sz w:val="24"/>
          <w:szCs w:val="24"/>
        </w:rPr>
        <w:t>,</w:t>
      </w:r>
      <w:r>
        <w:rPr>
          <w:rFonts w:ascii="Times New Roman" w:hAnsi="Times New Roman"/>
          <w:sz w:val="24"/>
          <w:szCs w:val="24"/>
        </w:rPr>
        <w:t>500 CFU/ml), which may be attributed to varying environmental factors during extraction or differences in handling (</w:t>
      </w:r>
      <w:r>
        <w:rPr>
          <w:rFonts w:ascii="Times New Roman" w:hAnsi="Times New Roman"/>
          <w:color w:val="4F81BD"/>
          <w:sz w:val="24"/>
          <w:szCs w:val="24"/>
        </w:rPr>
        <w:t>Chouhan et al., 2015</w:t>
      </w:r>
      <w:r>
        <w:rPr>
          <w:rFonts w:ascii="Times New Roman" w:hAnsi="Times New Roman"/>
          <w:sz w:val="24"/>
          <w:szCs w:val="24"/>
        </w:rPr>
        <w:t xml:space="preserve">). The detection of common bacterial contaminants such as </w:t>
      </w:r>
      <w:r>
        <w:rPr>
          <w:rFonts w:ascii="Times New Roman" w:hAnsi="Times New Roman"/>
          <w:i/>
          <w:iCs/>
          <w:sz w:val="24"/>
          <w:szCs w:val="24"/>
        </w:rPr>
        <w:t>Escherichia coli, Enterobacter</w:t>
      </w:r>
      <w:r>
        <w:rPr>
          <w:rFonts w:ascii="Times New Roman" w:hAnsi="Times New Roman"/>
          <w:sz w:val="24"/>
          <w:szCs w:val="24"/>
        </w:rPr>
        <w:t xml:space="preserve"> spp., and </w:t>
      </w:r>
      <w:r>
        <w:rPr>
          <w:rFonts w:ascii="Times New Roman" w:hAnsi="Times New Roman"/>
          <w:i/>
          <w:iCs/>
          <w:sz w:val="24"/>
          <w:szCs w:val="24"/>
        </w:rPr>
        <w:t>Klebsiella</w:t>
      </w:r>
      <w:r>
        <w:rPr>
          <w:rFonts w:ascii="Times New Roman" w:hAnsi="Times New Roman"/>
          <w:sz w:val="24"/>
          <w:szCs w:val="24"/>
        </w:rPr>
        <w:t xml:space="preserve"> spp. suggests that despite the purification efforts, microbial contaminants were still present (</w:t>
      </w:r>
      <w:r>
        <w:rPr>
          <w:rFonts w:ascii="Times New Roman" w:hAnsi="Times New Roman"/>
          <w:color w:val="4F81BD"/>
          <w:sz w:val="24"/>
          <w:szCs w:val="24"/>
        </w:rPr>
        <w:t>Prastujati et al., 2019</w:t>
      </w:r>
      <w:r>
        <w:rPr>
          <w:rFonts w:ascii="Times New Roman" w:hAnsi="Times New Roman"/>
          <w:sz w:val="24"/>
          <w:szCs w:val="24"/>
        </w:rPr>
        <w:t>). This contamination poses a risk to product safety and quality, highlighting the importance of stringent quality control measures during producti</w:t>
      </w:r>
      <w:r>
        <w:rPr>
          <w:rFonts w:ascii="Times New Roman" w:hAnsi="Times New Roman"/>
          <w:sz w:val="24"/>
          <w:szCs w:val="24"/>
        </w:rPr>
        <w:t>on. Bacterial contamination can lead to product spoilage, reduced shelf life, and potential health risks for consumers (</w:t>
      </w:r>
      <w:r>
        <w:rPr>
          <w:rFonts w:ascii="Times New Roman" w:hAnsi="Times New Roman"/>
          <w:color w:val="4F81BD"/>
          <w:sz w:val="24"/>
          <w:szCs w:val="24"/>
        </w:rPr>
        <w:t>Tournas et al., 2006</w:t>
      </w:r>
      <w:r>
        <w:rPr>
          <w:rFonts w:ascii="Times New Roman" w:hAnsi="Times New Roman"/>
          <w:sz w:val="24"/>
          <w:szCs w:val="24"/>
        </w:rPr>
        <w:t xml:space="preserve">). The presence of bacteria in raw materials used for pharmaceutical and cosmetic products is a prevalent issue. Studies by </w:t>
      </w:r>
      <w:r>
        <w:rPr>
          <w:rFonts w:ascii="Times New Roman" w:hAnsi="Times New Roman"/>
          <w:color w:val="4F81BD"/>
          <w:sz w:val="24"/>
          <w:szCs w:val="24"/>
        </w:rPr>
        <w:t>Omorotionmwan et al. (2019)</w:t>
      </w:r>
      <w:r>
        <w:rPr>
          <w:rFonts w:ascii="Times New Roman" w:hAnsi="Times New Roman"/>
          <w:sz w:val="24"/>
          <w:szCs w:val="24"/>
        </w:rPr>
        <w:t xml:space="preserve"> and </w:t>
      </w:r>
      <w:r>
        <w:rPr>
          <w:rFonts w:ascii="Times New Roman" w:hAnsi="Times New Roman"/>
          <w:color w:val="4F81BD"/>
          <w:sz w:val="24"/>
          <w:szCs w:val="24"/>
        </w:rPr>
        <w:t xml:space="preserve">Dao et al. (2018) </w:t>
      </w:r>
      <w:r>
        <w:rPr>
          <w:rFonts w:ascii="Times New Roman" w:hAnsi="Times New Roman"/>
          <w:sz w:val="24"/>
          <w:szCs w:val="24"/>
        </w:rPr>
        <w:t xml:space="preserve">have reported the presence of bacteria such as </w:t>
      </w:r>
      <w:r>
        <w:rPr>
          <w:rFonts w:ascii="Times New Roman" w:hAnsi="Times New Roman"/>
          <w:i/>
          <w:iCs/>
          <w:sz w:val="24"/>
          <w:szCs w:val="24"/>
        </w:rPr>
        <w:t>Staphylococcus</w:t>
      </w:r>
      <w:r>
        <w:rPr>
          <w:rFonts w:ascii="Times New Roman" w:hAnsi="Times New Roman"/>
          <w:sz w:val="24"/>
          <w:szCs w:val="24"/>
        </w:rPr>
        <w:t xml:space="preserve"> spp., </w:t>
      </w:r>
      <w:r>
        <w:rPr>
          <w:rFonts w:ascii="Times New Roman" w:hAnsi="Times New Roman"/>
          <w:i/>
          <w:iCs/>
          <w:sz w:val="24"/>
          <w:szCs w:val="24"/>
        </w:rPr>
        <w:t>Enterococcus</w:t>
      </w:r>
      <w:r>
        <w:rPr>
          <w:rFonts w:ascii="Times New Roman" w:hAnsi="Times New Roman"/>
          <w:sz w:val="24"/>
          <w:szCs w:val="24"/>
        </w:rPr>
        <w:t xml:space="preserve"> spp., </w:t>
      </w:r>
      <w:r>
        <w:rPr>
          <w:rFonts w:ascii="Times New Roman" w:hAnsi="Times New Roman"/>
          <w:i/>
          <w:iCs/>
          <w:sz w:val="24"/>
          <w:szCs w:val="24"/>
        </w:rPr>
        <w:t>Bacillus</w:t>
      </w:r>
      <w:r>
        <w:rPr>
          <w:rFonts w:ascii="Times New Roman" w:hAnsi="Times New Roman"/>
          <w:sz w:val="24"/>
          <w:szCs w:val="24"/>
        </w:rPr>
        <w:t xml:space="preserve"> spp., and </w:t>
      </w:r>
      <w:r>
        <w:rPr>
          <w:rFonts w:ascii="Times New Roman" w:hAnsi="Times New Roman"/>
          <w:i/>
          <w:iCs/>
          <w:sz w:val="24"/>
          <w:szCs w:val="24"/>
        </w:rPr>
        <w:t>Clostridium</w:t>
      </w:r>
      <w:r>
        <w:rPr>
          <w:rFonts w:ascii="Times New Roman" w:hAnsi="Times New Roman"/>
          <w:sz w:val="24"/>
          <w:szCs w:val="24"/>
        </w:rPr>
        <w:t xml:space="preserve"> spp. in pineapple peels and pulp</w:t>
      </w:r>
      <w:r w:rsidR="006E5F1B">
        <w:rPr>
          <w:rFonts w:ascii="Times New Roman" w:hAnsi="Times New Roman"/>
          <w:sz w:val="24"/>
          <w:szCs w:val="24"/>
        </w:rPr>
        <w:t>s</w:t>
      </w:r>
      <w:r>
        <w:rPr>
          <w:rFonts w:ascii="Times New Roman" w:hAnsi="Times New Roman"/>
          <w:sz w:val="24"/>
          <w:szCs w:val="24"/>
        </w:rPr>
        <w:t>. This underscores the need for thorough decontamination processes to ensure product safety and efficacy. Contaminated raw materials can lead to the introduction of pathogenic bacteria into the final product, posing a significant health risk to consumers (</w:t>
      </w:r>
      <w:r>
        <w:rPr>
          <w:rFonts w:ascii="Times New Roman" w:hAnsi="Times New Roman"/>
          <w:color w:val="4F81BD"/>
          <w:sz w:val="24"/>
          <w:szCs w:val="24"/>
        </w:rPr>
        <w:t>Sutton, 2011</w:t>
      </w:r>
      <w:r>
        <w:rPr>
          <w:rFonts w:ascii="Times New Roman" w:hAnsi="Times New Roman"/>
          <w:sz w:val="24"/>
          <w:szCs w:val="24"/>
        </w:rPr>
        <w:t>). The crude extract of pineapples used in the study initially contained a high number of viable bacteria. High bacterial loads in crude extracts can lead to product spoilage, reduced potency, and potential health risks if not adequately addres</w:t>
      </w:r>
      <w:r>
        <w:rPr>
          <w:rFonts w:ascii="Times New Roman" w:hAnsi="Times New Roman"/>
          <w:sz w:val="24"/>
          <w:szCs w:val="24"/>
        </w:rPr>
        <w:t>sed during processing (</w:t>
      </w:r>
      <w:r>
        <w:rPr>
          <w:rFonts w:ascii="Times New Roman" w:hAnsi="Times New Roman"/>
          <w:color w:val="4F81BD"/>
          <w:sz w:val="24"/>
          <w:szCs w:val="24"/>
        </w:rPr>
        <w:t>Tournas et al., 2006</w:t>
      </w:r>
      <w:r>
        <w:rPr>
          <w:rFonts w:ascii="Times New Roman" w:hAnsi="Times New Roman"/>
          <w:sz w:val="24"/>
          <w:szCs w:val="24"/>
        </w:rPr>
        <w:t>). Previous studies have documented the presence of various bacteria in pineapple peels and pulp, emphasizing the need for stringent decontamination methods in processing. Identifying the specific bacterial contaminants present in raw materials is crucial for developing targeted decontamination strategies (</w:t>
      </w:r>
      <w:r>
        <w:rPr>
          <w:rFonts w:ascii="Times New Roman" w:hAnsi="Times New Roman"/>
          <w:color w:val="4F81BD"/>
          <w:sz w:val="24"/>
          <w:szCs w:val="24"/>
        </w:rPr>
        <w:t>Tournas et al., 2006</w:t>
      </w:r>
      <w:r>
        <w:rPr>
          <w:rFonts w:ascii="Times New Roman" w:hAnsi="Times New Roman"/>
          <w:sz w:val="24"/>
          <w:szCs w:val="24"/>
        </w:rPr>
        <w:t>). PCR and gel electrophoresis successfully amplified the 16S rRNA of 17 out of 18 bacterial isolates, with a product size of around 1600 bas</w:t>
      </w:r>
      <w:r>
        <w:rPr>
          <w:rFonts w:ascii="Times New Roman" w:hAnsi="Times New Roman"/>
          <w:sz w:val="24"/>
          <w:szCs w:val="24"/>
        </w:rPr>
        <w:t xml:space="preserve">e pairs (Figure </w:t>
      </w:r>
      <w:r w:rsidR="008E6061">
        <w:rPr>
          <w:rFonts w:ascii="Times New Roman" w:hAnsi="Times New Roman"/>
          <w:sz w:val="24"/>
          <w:szCs w:val="24"/>
        </w:rPr>
        <w:t>1</w:t>
      </w:r>
      <w:r>
        <w:rPr>
          <w:rFonts w:ascii="Times New Roman" w:hAnsi="Times New Roman"/>
          <w:sz w:val="24"/>
          <w:szCs w:val="24"/>
        </w:rPr>
        <w:t xml:space="preserve">). Sequencing identified various bacterial strains, including </w:t>
      </w:r>
      <w:r>
        <w:rPr>
          <w:rFonts w:ascii="Times New Roman" w:hAnsi="Times New Roman"/>
          <w:i/>
          <w:iCs/>
          <w:sz w:val="24"/>
          <w:szCs w:val="24"/>
        </w:rPr>
        <w:t>Myroides odoratimimus, Bacillus cereus</w:t>
      </w:r>
      <w:r>
        <w:rPr>
          <w:rFonts w:ascii="Times New Roman" w:hAnsi="Times New Roman"/>
          <w:sz w:val="24"/>
          <w:szCs w:val="24"/>
        </w:rPr>
        <w:t xml:space="preserve">, and </w:t>
      </w:r>
      <w:r>
        <w:rPr>
          <w:rFonts w:ascii="Times New Roman" w:hAnsi="Times New Roman"/>
          <w:i/>
          <w:iCs/>
          <w:sz w:val="24"/>
          <w:szCs w:val="24"/>
        </w:rPr>
        <w:t xml:space="preserve">Enterobacter </w:t>
      </w:r>
      <w:r>
        <w:rPr>
          <w:rFonts w:ascii="Times New Roman" w:hAnsi="Times New Roman"/>
          <w:i/>
          <w:iCs/>
          <w:sz w:val="24"/>
          <w:szCs w:val="24"/>
        </w:rPr>
        <w:lastRenderedPageBreak/>
        <w:t>cloacae</w:t>
      </w:r>
      <w:r>
        <w:rPr>
          <w:rFonts w:ascii="Times New Roman" w:hAnsi="Times New Roman"/>
          <w:sz w:val="24"/>
          <w:szCs w:val="24"/>
        </w:rPr>
        <w:t>, with identity scores between 80.16% and 100% (Table 4). These results are consistent with other findings that demonstrate the presence of diverse bacterial species in environmental samples (</w:t>
      </w:r>
      <w:r>
        <w:rPr>
          <w:rFonts w:ascii="Times New Roman" w:hAnsi="Times New Roman"/>
          <w:color w:val="4F81BD"/>
          <w:sz w:val="24"/>
          <w:szCs w:val="24"/>
        </w:rPr>
        <w:t>Abdullahi et al., 2021</w:t>
      </w:r>
      <w:r>
        <w:rPr>
          <w:rFonts w:ascii="Times New Roman" w:hAnsi="Times New Roman"/>
          <w:sz w:val="24"/>
          <w:szCs w:val="24"/>
        </w:rPr>
        <w:t>). The table results provide a comprehensive comparison between morphological and genetic identification methods, highlighting their complementary roles in bacterial classi</w:t>
      </w:r>
      <w:r>
        <w:rPr>
          <w:rFonts w:ascii="Times New Roman" w:hAnsi="Times New Roman"/>
          <w:sz w:val="24"/>
          <w:szCs w:val="24"/>
        </w:rPr>
        <w:t>fication. Morphological methods, while useful for preliminary identification, often rely on phenotypic traits that can lead to misclassification due to phenotypic plasticity or environmental influences (</w:t>
      </w:r>
      <w:r>
        <w:rPr>
          <w:rFonts w:ascii="Times New Roman" w:hAnsi="Times New Roman"/>
          <w:color w:val="4F81BD"/>
          <w:sz w:val="24"/>
          <w:szCs w:val="24"/>
        </w:rPr>
        <w:t>Vandamme et al., 1996</w:t>
      </w:r>
      <w:r>
        <w:rPr>
          <w:rFonts w:ascii="Times New Roman" w:hAnsi="Times New Roman"/>
          <w:sz w:val="24"/>
          <w:szCs w:val="24"/>
        </w:rPr>
        <w:t xml:space="preserve">). This is evident in the cases where genetic identification diverged significantly from the morphological classification, such as sample S3, which was identified morphologically as </w:t>
      </w:r>
      <w:r>
        <w:rPr>
          <w:rFonts w:ascii="Times New Roman" w:hAnsi="Times New Roman"/>
          <w:i/>
          <w:iCs/>
          <w:sz w:val="24"/>
          <w:szCs w:val="24"/>
        </w:rPr>
        <w:t>Citrobacter</w:t>
      </w:r>
      <w:r>
        <w:rPr>
          <w:rFonts w:ascii="Times New Roman" w:hAnsi="Times New Roman"/>
          <w:sz w:val="24"/>
          <w:szCs w:val="24"/>
        </w:rPr>
        <w:t xml:space="preserve"> spp., but genetically as </w:t>
      </w:r>
      <w:r>
        <w:rPr>
          <w:rFonts w:ascii="Times New Roman" w:hAnsi="Times New Roman"/>
          <w:i/>
          <w:iCs/>
          <w:sz w:val="24"/>
          <w:szCs w:val="24"/>
        </w:rPr>
        <w:t>Pseudomonas aeruginosa</w:t>
      </w:r>
      <w:r>
        <w:rPr>
          <w:rFonts w:ascii="Times New Roman" w:hAnsi="Times New Roman"/>
          <w:sz w:val="24"/>
          <w:szCs w:val="24"/>
        </w:rPr>
        <w:t xml:space="preserve"> (</w:t>
      </w:r>
      <w:r>
        <w:rPr>
          <w:rFonts w:ascii="Times New Roman" w:hAnsi="Times New Roman"/>
          <w:color w:val="4F81BD"/>
          <w:sz w:val="24"/>
          <w:szCs w:val="24"/>
        </w:rPr>
        <w:t>Drancourt et al., 2000</w:t>
      </w:r>
      <w:r>
        <w:rPr>
          <w:rFonts w:ascii="Times New Roman" w:hAnsi="Times New Roman"/>
          <w:sz w:val="24"/>
          <w:szCs w:val="24"/>
        </w:rPr>
        <w:t xml:space="preserve">). Genetic identification, through techniques like 16S rRNA sequencing, offers a more accurate and reliable method, particularly at the species level, as demonstrated by high-confidence matches in the table, such as the 100% match for </w:t>
      </w:r>
      <w:r>
        <w:rPr>
          <w:rFonts w:ascii="Times New Roman" w:hAnsi="Times New Roman"/>
          <w:i/>
          <w:iCs/>
          <w:sz w:val="24"/>
          <w:szCs w:val="24"/>
        </w:rPr>
        <w:t>Bacillus cer</w:t>
      </w:r>
      <w:r>
        <w:rPr>
          <w:rFonts w:ascii="Times New Roman" w:hAnsi="Times New Roman"/>
          <w:i/>
          <w:iCs/>
          <w:sz w:val="24"/>
          <w:szCs w:val="24"/>
        </w:rPr>
        <w:t>eus</w:t>
      </w:r>
      <w:r>
        <w:rPr>
          <w:rFonts w:ascii="Times New Roman" w:hAnsi="Times New Roman"/>
          <w:sz w:val="24"/>
          <w:szCs w:val="24"/>
        </w:rPr>
        <w:t xml:space="preserve"> (S4) (</w:t>
      </w:r>
      <w:r>
        <w:rPr>
          <w:rFonts w:ascii="Times New Roman" w:hAnsi="Times New Roman"/>
          <w:color w:val="4F81BD"/>
          <w:sz w:val="24"/>
          <w:szCs w:val="24"/>
        </w:rPr>
        <w:t>Ludwig &amp; Schleifer, 1994</w:t>
      </w:r>
      <w:r>
        <w:rPr>
          <w:rFonts w:ascii="Times New Roman" w:hAnsi="Times New Roman"/>
          <w:sz w:val="24"/>
          <w:szCs w:val="24"/>
        </w:rPr>
        <w:t>). These results validate the superiority of genetic methods in bacterial identification, which is crucial in clinical diagnostics and environmental microbiology where precise species-level identification is necessary (</w:t>
      </w:r>
      <w:r>
        <w:rPr>
          <w:rFonts w:ascii="Times New Roman" w:hAnsi="Times New Roman"/>
          <w:color w:val="4F81BD"/>
          <w:sz w:val="24"/>
          <w:szCs w:val="24"/>
        </w:rPr>
        <w:t>Clarridge, 2004</w:t>
      </w:r>
      <w:r>
        <w:rPr>
          <w:rFonts w:ascii="Times New Roman" w:hAnsi="Times New Roman"/>
          <w:sz w:val="24"/>
          <w:szCs w:val="24"/>
        </w:rPr>
        <w:t>). High scores close to 100% indicate strong confidence in the identification, while lower scores, such as the 79.86% match for sample S15 (</w:t>
      </w:r>
      <w:r>
        <w:rPr>
          <w:rFonts w:ascii="Times New Roman" w:hAnsi="Times New Roman"/>
          <w:i/>
          <w:iCs/>
          <w:sz w:val="24"/>
          <w:szCs w:val="24"/>
        </w:rPr>
        <w:t>Escherichia coli</w:t>
      </w:r>
      <w:r>
        <w:rPr>
          <w:rFonts w:ascii="Times New Roman" w:hAnsi="Times New Roman"/>
          <w:sz w:val="24"/>
          <w:szCs w:val="24"/>
        </w:rPr>
        <w:t>), suggest potential mixed cultures or the presence of less characterized strains (</w:t>
      </w:r>
      <w:r>
        <w:rPr>
          <w:rFonts w:ascii="Times New Roman" w:hAnsi="Times New Roman"/>
          <w:color w:val="4F81BD"/>
          <w:sz w:val="24"/>
          <w:szCs w:val="24"/>
        </w:rPr>
        <w:t>Tinda</w:t>
      </w:r>
      <w:r>
        <w:rPr>
          <w:rFonts w:ascii="Times New Roman" w:hAnsi="Times New Roman"/>
          <w:color w:val="4F81BD"/>
          <w:sz w:val="24"/>
          <w:szCs w:val="24"/>
        </w:rPr>
        <w:t xml:space="preserve">ll et al., </w:t>
      </w:r>
      <w:r>
        <w:rPr>
          <w:rFonts w:ascii="Times New Roman" w:hAnsi="Times New Roman"/>
          <w:b/>
          <w:bCs/>
          <w:color w:val="4F81BD"/>
          <w:sz w:val="24"/>
          <w:szCs w:val="24"/>
        </w:rPr>
        <w:t>2010</w:t>
      </w:r>
      <w:r>
        <w:rPr>
          <w:rFonts w:ascii="Times New Roman" w:hAnsi="Times New Roman"/>
          <w:sz w:val="24"/>
          <w:szCs w:val="24"/>
        </w:rPr>
        <w:t>). These insights underscore the importance of integrating both morphological and genetic data in academic research to ensure a comprehensive understanding of bacterial diversity (</w:t>
      </w:r>
      <w:r>
        <w:rPr>
          <w:rFonts w:ascii="Times New Roman" w:hAnsi="Times New Roman"/>
          <w:color w:val="4F81BD"/>
          <w:sz w:val="24"/>
          <w:szCs w:val="24"/>
        </w:rPr>
        <w:t>Palleroni, 1994</w:t>
      </w:r>
      <w:r>
        <w:rPr>
          <w:rFonts w:ascii="Times New Roman" w:hAnsi="Times New Roman"/>
          <w:sz w:val="24"/>
          <w:szCs w:val="24"/>
        </w:rPr>
        <w:t xml:space="preserve">). The phylogenetic analysis presented offers significant insights into the evolutionary relationships among bacterial isolates, often challenging traditional morphological classifications. The clustering of </w:t>
      </w:r>
      <w:r>
        <w:rPr>
          <w:rFonts w:ascii="Times New Roman" w:hAnsi="Times New Roman"/>
          <w:i/>
          <w:iCs/>
          <w:sz w:val="24"/>
          <w:szCs w:val="24"/>
        </w:rPr>
        <w:t>Microbacterium paraoxydans</w:t>
      </w:r>
      <w:r>
        <w:rPr>
          <w:rFonts w:ascii="Times New Roman" w:hAnsi="Times New Roman"/>
          <w:sz w:val="24"/>
          <w:szCs w:val="24"/>
        </w:rPr>
        <w:t xml:space="preserve"> with samples S8 (</w:t>
      </w:r>
      <w:r>
        <w:rPr>
          <w:rFonts w:ascii="Times New Roman" w:hAnsi="Times New Roman"/>
          <w:i/>
          <w:iCs/>
          <w:sz w:val="24"/>
          <w:szCs w:val="24"/>
        </w:rPr>
        <w:t>Enterobacter</w:t>
      </w:r>
      <w:r>
        <w:rPr>
          <w:rFonts w:ascii="Times New Roman" w:hAnsi="Times New Roman"/>
          <w:sz w:val="24"/>
          <w:szCs w:val="24"/>
        </w:rPr>
        <w:t xml:space="preserve"> spp.) and S6 (</w:t>
      </w:r>
      <w:r>
        <w:rPr>
          <w:rFonts w:ascii="Times New Roman" w:hAnsi="Times New Roman"/>
          <w:i/>
          <w:iCs/>
          <w:sz w:val="24"/>
          <w:szCs w:val="24"/>
        </w:rPr>
        <w:t>Staphylococcus</w:t>
      </w:r>
      <w:r>
        <w:rPr>
          <w:rFonts w:ascii="Times New Roman" w:hAnsi="Times New Roman"/>
          <w:sz w:val="24"/>
          <w:szCs w:val="24"/>
        </w:rPr>
        <w:t xml:space="preserve"> spp.) su</w:t>
      </w:r>
      <w:r>
        <w:rPr>
          <w:rFonts w:ascii="Times New Roman" w:hAnsi="Times New Roman"/>
          <w:sz w:val="24"/>
          <w:szCs w:val="24"/>
        </w:rPr>
        <w:t>ggests that morphological identification may sometimes diverge from genetic data due to the limitations of phenotypic methods, which can be influenced by environmental factors and convergent evolution (</w:t>
      </w:r>
      <w:r>
        <w:rPr>
          <w:rFonts w:ascii="Times New Roman" w:hAnsi="Times New Roman"/>
          <w:color w:val="4F81BD"/>
          <w:sz w:val="24"/>
          <w:szCs w:val="24"/>
        </w:rPr>
        <w:t>Stackebrandt &amp; Goebel, 1994</w:t>
      </w:r>
      <w:r>
        <w:rPr>
          <w:rFonts w:ascii="Times New Roman" w:hAnsi="Times New Roman"/>
          <w:sz w:val="24"/>
          <w:szCs w:val="24"/>
        </w:rPr>
        <w:t xml:space="preserve">). This highlights the importance of </w:t>
      </w:r>
      <w:r>
        <w:rPr>
          <w:rFonts w:ascii="Times New Roman" w:hAnsi="Times New Roman"/>
          <w:sz w:val="24"/>
          <w:szCs w:val="24"/>
        </w:rPr>
        <w:lastRenderedPageBreak/>
        <w:t>integrating molecular methods like 16S rRNA gene sequencing for more accurate bacterial identification (</w:t>
      </w:r>
      <w:r>
        <w:rPr>
          <w:rFonts w:ascii="Times New Roman" w:hAnsi="Times New Roman"/>
          <w:color w:val="4F81BD"/>
          <w:sz w:val="24"/>
          <w:szCs w:val="24"/>
        </w:rPr>
        <w:t>Janda &amp; Abbott, 2007</w:t>
      </w:r>
      <w:r>
        <w:rPr>
          <w:rFonts w:ascii="Times New Roman" w:hAnsi="Times New Roman"/>
          <w:sz w:val="24"/>
          <w:szCs w:val="24"/>
        </w:rPr>
        <w:t xml:space="preserve">). The close genetic relationship between </w:t>
      </w:r>
      <w:r>
        <w:rPr>
          <w:rFonts w:ascii="Times New Roman" w:hAnsi="Times New Roman"/>
          <w:i/>
          <w:iCs/>
          <w:sz w:val="24"/>
          <w:szCs w:val="24"/>
        </w:rPr>
        <w:t>Enterobacter asburiae</w:t>
      </w:r>
      <w:r>
        <w:rPr>
          <w:rFonts w:ascii="Times New Roman" w:hAnsi="Times New Roman"/>
          <w:sz w:val="24"/>
          <w:szCs w:val="24"/>
        </w:rPr>
        <w:t xml:space="preserve"> (S2) and </w:t>
      </w:r>
      <w:r>
        <w:rPr>
          <w:rFonts w:ascii="Times New Roman" w:hAnsi="Times New Roman"/>
          <w:i/>
          <w:iCs/>
          <w:sz w:val="24"/>
          <w:szCs w:val="24"/>
        </w:rPr>
        <w:t>Citrobacter</w:t>
      </w:r>
      <w:r>
        <w:rPr>
          <w:rFonts w:ascii="Times New Roman" w:hAnsi="Times New Roman"/>
          <w:sz w:val="24"/>
          <w:szCs w:val="24"/>
        </w:rPr>
        <w:t xml:space="preserve"> spp. (S3) within Clade 2 supports the</w:t>
      </w:r>
      <w:r>
        <w:rPr>
          <w:rFonts w:ascii="Times New Roman" w:hAnsi="Times New Roman"/>
          <w:sz w:val="24"/>
          <w:szCs w:val="24"/>
        </w:rPr>
        <w:t xml:space="preserve"> notion that traditional genus classifications may sometimes mask shared evolutionary histories (</w:t>
      </w:r>
      <w:r>
        <w:rPr>
          <w:rFonts w:ascii="Times New Roman" w:hAnsi="Times New Roman"/>
          <w:color w:val="4F81BD"/>
          <w:sz w:val="24"/>
          <w:szCs w:val="24"/>
        </w:rPr>
        <w:t>Konstantinidis &amp; Tiedje, 2005</w:t>
      </w:r>
      <w:r>
        <w:rPr>
          <w:rFonts w:ascii="Times New Roman" w:hAnsi="Times New Roman"/>
          <w:sz w:val="24"/>
          <w:szCs w:val="24"/>
        </w:rPr>
        <w:t>). Such findings align with contemporary taxonomic revisions that increasingly emphasize genetic data in defining bacterial taxonomy (</w:t>
      </w:r>
      <w:r>
        <w:rPr>
          <w:rFonts w:ascii="Times New Roman" w:hAnsi="Times New Roman"/>
          <w:color w:val="4F81BD"/>
          <w:sz w:val="24"/>
          <w:szCs w:val="24"/>
        </w:rPr>
        <w:t>Schleifer, 2009</w:t>
      </w:r>
      <w:r>
        <w:rPr>
          <w:rFonts w:ascii="Times New Roman" w:hAnsi="Times New Roman"/>
          <w:sz w:val="24"/>
          <w:szCs w:val="24"/>
        </w:rPr>
        <w:t xml:space="preserve">). Furthermore, the genetic proximity of </w:t>
      </w:r>
      <w:r>
        <w:rPr>
          <w:rFonts w:ascii="Times New Roman" w:hAnsi="Times New Roman"/>
          <w:i/>
          <w:iCs/>
          <w:sz w:val="24"/>
          <w:szCs w:val="24"/>
        </w:rPr>
        <w:t>Proteus</w:t>
      </w:r>
      <w:r>
        <w:rPr>
          <w:rFonts w:ascii="Times New Roman" w:hAnsi="Times New Roman"/>
          <w:sz w:val="24"/>
          <w:szCs w:val="24"/>
        </w:rPr>
        <w:t xml:space="preserve"> sp., </w:t>
      </w:r>
      <w:r>
        <w:rPr>
          <w:rFonts w:ascii="Times New Roman" w:hAnsi="Times New Roman"/>
          <w:i/>
          <w:iCs/>
          <w:sz w:val="24"/>
          <w:szCs w:val="24"/>
        </w:rPr>
        <w:t>Pseudomonas aeruginosa</w:t>
      </w:r>
      <w:r>
        <w:rPr>
          <w:rFonts w:ascii="Times New Roman" w:hAnsi="Times New Roman"/>
          <w:sz w:val="24"/>
          <w:szCs w:val="24"/>
        </w:rPr>
        <w:t xml:space="preserve">, and </w:t>
      </w:r>
      <w:r>
        <w:rPr>
          <w:rFonts w:ascii="Times New Roman" w:hAnsi="Times New Roman"/>
          <w:i/>
          <w:iCs/>
          <w:sz w:val="24"/>
          <w:szCs w:val="24"/>
        </w:rPr>
        <w:t>Macrococcus caseolyticus</w:t>
      </w:r>
      <w:r>
        <w:rPr>
          <w:rFonts w:ascii="Times New Roman" w:hAnsi="Times New Roman"/>
          <w:sz w:val="24"/>
          <w:szCs w:val="24"/>
        </w:rPr>
        <w:t xml:space="preserve"> in Clade 3 illustrates the complex interrelationships between distinct genera, reflecting their evolutionary kinship and potential</w:t>
      </w:r>
      <w:r>
        <w:rPr>
          <w:rFonts w:ascii="Times New Roman" w:hAnsi="Times New Roman"/>
          <w:sz w:val="24"/>
          <w:szCs w:val="24"/>
        </w:rPr>
        <w:t xml:space="preserve"> shared functional characteristics (</w:t>
      </w:r>
      <w:r>
        <w:rPr>
          <w:rFonts w:ascii="Times New Roman" w:hAnsi="Times New Roman"/>
          <w:color w:val="4F81BD"/>
          <w:sz w:val="24"/>
          <w:szCs w:val="24"/>
        </w:rPr>
        <w:t>Woese, 1987</w:t>
      </w:r>
      <w:r>
        <w:rPr>
          <w:rFonts w:ascii="Times New Roman" w:hAnsi="Times New Roman"/>
          <w:sz w:val="24"/>
          <w:szCs w:val="24"/>
        </w:rPr>
        <w:t xml:space="preserve">). The association of </w:t>
      </w:r>
      <w:r>
        <w:rPr>
          <w:rFonts w:ascii="Times New Roman" w:hAnsi="Times New Roman"/>
          <w:i/>
          <w:iCs/>
          <w:sz w:val="24"/>
          <w:szCs w:val="24"/>
        </w:rPr>
        <w:t>Bacillus cereus</w:t>
      </w:r>
      <w:r>
        <w:rPr>
          <w:rFonts w:ascii="Times New Roman" w:hAnsi="Times New Roman"/>
          <w:sz w:val="24"/>
          <w:szCs w:val="24"/>
        </w:rPr>
        <w:t xml:space="preserve"> with </w:t>
      </w:r>
      <w:r>
        <w:rPr>
          <w:rFonts w:ascii="Times New Roman" w:hAnsi="Times New Roman"/>
          <w:i/>
          <w:iCs/>
          <w:sz w:val="24"/>
          <w:szCs w:val="24"/>
        </w:rPr>
        <w:t>Enterobacter cloacae</w:t>
      </w:r>
      <w:r>
        <w:rPr>
          <w:rFonts w:ascii="Times New Roman" w:hAnsi="Times New Roman"/>
          <w:sz w:val="24"/>
          <w:szCs w:val="24"/>
        </w:rPr>
        <w:t xml:space="preserve"> and </w:t>
      </w:r>
      <w:r>
        <w:rPr>
          <w:rFonts w:ascii="Times New Roman" w:hAnsi="Times New Roman"/>
          <w:i/>
          <w:iCs/>
          <w:sz w:val="24"/>
          <w:szCs w:val="24"/>
        </w:rPr>
        <w:t>Escherichia coli</w:t>
      </w:r>
      <w:r>
        <w:rPr>
          <w:rFonts w:ascii="Times New Roman" w:hAnsi="Times New Roman"/>
          <w:sz w:val="24"/>
          <w:szCs w:val="24"/>
        </w:rPr>
        <w:t xml:space="preserve"> in Clade 4, despite their ecological diversity, suggests a shared genetic foundation that may involve horizontal gene transfer, contributing to their survival in various environments (</w:t>
      </w:r>
      <w:r>
        <w:rPr>
          <w:rFonts w:ascii="Times New Roman" w:hAnsi="Times New Roman"/>
          <w:color w:val="4F81BD"/>
          <w:sz w:val="24"/>
          <w:szCs w:val="24"/>
        </w:rPr>
        <w:t>Gogarten &amp; Townsend, 2005</w:t>
      </w:r>
      <w:r>
        <w:rPr>
          <w:rFonts w:ascii="Times New Roman" w:hAnsi="Times New Roman"/>
          <w:sz w:val="24"/>
          <w:szCs w:val="24"/>
        </w:rPr>
        <w:t>). This phenomenon underscores the dynamic nature of bacterial evolution and its implications for understanding bacterial ecology (</w:t>
      </w:r>
      <w:r>
        <w:rPr>
          <w:rFonts w:ascii="Times New Roman" w:hAnsi="Times New Roman"/>
          <w:color w:val="4F81BD"/>
          <w:sz w:val="24"/>
          <w:szCs w:val="24"/>
        </w:rPr>
        <w:t>Ochman, Lawrence, &amp; Groisman, 2000</w:t>
      </w:r>
      <w:r>
        <w:rPr>
          <w:rFonts w:ascii="Times New Roman" w:hAnsi="Times New Roman"/>
          <w:sz w:val="24"/>
          <w:szCs w:val="24"/>
        </w:rPr>
        <w:t xml:space="preserve">). In </w:t>
      </w:r>
      <w:r>
        <w:rPr>
          <w:rFonts w:ascii="Times New Roman" w:hAnsi="Times New Roman"/>
          <w:sz w:val="24"/>
          <w:szCs w:val="24"/>
        </w:rPr>
        <w:t xml:space="preserve">Clade 5, the genetic linkage between </w:t>
      </w:r>
      <w:r>
        <w:rPr>
          <w:rFonts w:ascii="Times New Roman" w:hAnsi="Times New Roman"/>
          <w:i/>
          <w:iCs/>
          <w:sz w:val="24"/>
          <w:szCs w:val="24"/>
        </w:rPr>
        <w:t xml:space="preserve">Myroides odoratimimus, Pantoea agglomerans, </w:t>
      </w:r>
      <w:r>
        <w:rPr>
          <w:rFonts w:ascii="Times New Roman" w:hAnsi="Times New Roman"/>
          <w:sz w:val="24"/>
          <w:szCs w:val="24"/>
        </w:rPr>
        <w:t>and</w:t>
      </w:r>
      <w:r>
        <w:rPr>
          <w:rFonts w:ascii="Times New Roman" w:hAnsi="Times New Roman"/>
          <w:i/>
          <w:iCs/>
          <w:sz w:val="24"/>
          <w:szCs w:val="24"/>
        </w:rPr>
        <w:t xml:space="preserve"> Klebsiella</w:t>
      </w:r>
      <w:r>
        <w:rPr>
          <w:rFonts w:ascii="Times New Roman" w:hAnsi="Times New Roman"/>
          <w:sz w:val="24"/>
          <w:szCs w:val="24"/>
        </w:rPr>
        <w:t xml:space="preserve"> spp. (S1) challenges traditional boundaries between genera, emphasizing the need for a multidisciplinary approach in bacterial classification (</w:t>
      </w:r>
      <w:r>
        <w:rPr>
          <w:rFonts w:ascii="Times New Roman" w:hAnsi="Times New Roman"/>
          <w:color w:val="4F81BD"/>
          <w:sz w:val="24"/>
          <w:szCs w:val="24"/>
        </w:rPr>
        <w:t>Vandamme &amp; Peeters, 2014</w:t>
      </w:r>
      <w:r>
        <w:rPr>
          <w:rFonts w:ascii="Times New Roman" w:hAnsi="Times New Roman"/>
          <w:sz w:val="24"/>
          <w:szCs w:val="24"/>
        </w:rPr>
        <w:t>). This is crucial for clinical diagnostics and environmental microbiology, where accurate identification can influence treatment decisions and ecological interpretations (</w:t>
      </w:r>
      <w:r>
        <w:rPr>
          <w:rFonts w:ascii="Times New Roman" w:hAnsi="Times New Roman"/>
          <w:color w:val="4F81BD"/>
          <w:sz w:val="24"/>
          <w:szCs w:val="24"/>
        </w:rPr>
        <w:t>Maiden, 2006</w:t>
      </w:r>
      <w:r>
        <w:rPr>
          <w:rFonts w:ascii="Times New Roman" w:hAnsi="Times New Roman"/>
          <w:sz w:val="24"/>
          <w:szCs w:val="24"/>
        </w:rPr>
        <w:t xml:space="preserve">). The identification of </w:t>
      </w:r>
      <w:r>
        <w:rPr>
          <w:rFonts w:ascii="Times New Roman" w:hAnsi="Times New Roman"/>
          <w:i/>
          <w:iCs/>
          <w:sz w:val="24"/>
          <w:szCs w:val="24"/>
        </w:rPr>
        <w:t>Enterobacter asburiae</w:t>
      </w:r>
      <w:r>
        <w:rPr>
          <w:rFonts w:ascii="Times New Roman" w:hAnsi="Times New Roman"/>
          <w:sz w:val="24"/>
          <w:szCs w:val="24"/>
        </w:rPr>
        <w:t xml:space="preserve"> (S2) as a bacteriu</w:t>
      </w:r>
      <w:r>
        <w:rPr>
          <w:rFonts w:ascii="Times New Roman" w:hAnsi="Times New Roman"/>
          <w:sz w:val="24"/>
          <w:szCs w:val="24"/>
        </w:rPr>
        <w:t xml:space="preserve">m involved in fermentation processes illustrates the functional significance of these phylogenetic relationships. Although </w:t>
      </w:r>
      <w:r>
        <w:rPr>
          <w:rFonts w:ascii="Times New Roman" w:hAnsi="Times New Roman"/>
          <w:i/>
          <w:iCs/>
          <w:sz w:val="24"/>
          <w:szCs w:val="24"/>
        </w:rPr>
        <w:t>Enterobacter asburiae</w:t>
      </w:r>
      <w:r>
        <w:rPr>
          <w:rFonts w:ascii="Times New Roman" w:hAnsi="Times New Roman"/>
          <w:sz w:val="24"/>
          <w:szCs w:val="24"/>
        </w:rPr>
        <w:t xml:space="preserve"> is not a primary fermentative bacterium like </w:t>
      </w:r>
      <w:r>
        <w:rPr>
          <w:rFonts w:ascii="Times New Roman" w:hAnsi="Times New Roman"/>
          <w:i/>
          <w:iCs/>
          <w:sz w:val="24"/>
          <w:szCs w:val="24"/>
        </w:rPr>
        <w:t>Lactobacillus</w:t>
      </w:r>
      <w:r>
        <w:rPr>
          <w:rFonts w:ascii="Times New Roman" w:hAnsi="Times New Roman"/>
          <w:sz w:val="24"/>
          <w:szCs w:val="24"/>
        </w:rPr>
        <w:t xml:space="preserve"> spp., its role in producing organic acids that lower pH during fermentation highlights its importance in microbial communities and food science (</w:t>
      </w:r>
      <w:r>
        <w:rPr>
          <w:rFonts w:ascii="Times New Roman" w:hAnsi="Times New Roman"/>
          <w:color w:val="4F81BD"/>
          <w:sz w:val="24"/>
          <w:szCs w:val="24"/>
        </w:rPr>
        <w:t>Buchanan &amp; Gibbons, 1974</w:t>
      </w:r>
      <w:r>
        <w:rPr>
          <w:rFonts w:ascii="Times New Roman" w:hAnsi="Times New Roman"/>
          <w:sz w:val="24"/>
          <w:szCs w:val="24"/>
        </w:rPr>
        <w:t>).</w:t>
      </w:r>
    </w:p>
    <w:p w14:paraId="330E8638" w14:textId="53DFBD46" w:rsidR="00D72F91" w:rsidRPr="001C69C7" w:rsidRDefault="001C69C7">
      <w:pPr>
        <w:pStyle w:val="ListParagraph"/>
        <w:spacing w:line="480" w:lineRule="auto"/>
        <w:ind w:left="0"/>
        <w:jc w:val="both"/>
        <w:rPr>
          <w:rFonts w:ascii="Times New Roman" w:hAnsi="Times New Roman"/>
          <w:b/>
          <w:bCs/>
          <w:sz w:val="28"/>
          <w:szCs w:val="28"/>
        </w:rPr>
      </w:pPr>
      <w:r w:rsidRPr="001C69C7">
        <w:rPr>
          <w:rFonts w:ascii="Times New Roman" w:hAnsi="Times New Roman"/>
          <w:sz w:val="24"/>
          <w:szCs w:val="24"/>
          <w:highlight w:val="yellow"/>
        </w:rPr>
        <w:t xml:space="preserve">The microbial communities in pineapple waste revealed bacterial species like </w:t>
      </w:r>
      <w:r w:rsidRPr="001C69C7">
        <w:rPr>
          <w:rStyle w:val="Emphasis"/>
          <w:rFonts w:ascii="Times New Roman" w:hAnsi="Times New Roman"/>
          <w:sz w:val="24"/>
          <w:szCs w:val="24"/>
          <w:highlight w:val="yellow"/>
        </w:rPr>
        <w:t>Escherichia coli</w:t>
      </w:r>
      <w:r w:rsidRPr="001C69C7">
        <w:rPr>
          <w:rFonts w:ascii="Times New Roman" w:hAnsi="Times New Roman"/>
          <w:sz w:val="24"/>
          <w:szCs w:val="24"/>
          <w:highlight w:val="yellow"/>
        </w:rPr>
        <w:t xml:space="preserve">, </w:t>
      </w:r>
      <w:r w:rsidRPr="001C69C7">
        <w:rPr>
          <w:rStyle w:val="Emphasis"/>
          <w:rFonts w:ascii="Times New Roman" w:hAnsi="Times New Roman"/>
          <w:sz w:val="24"/>
          <w:szCs w:val="24"/>
          <w:highlight w:val="yellow"/>
        </w:rPr>
        <w:t>Enterobacter spp.</w:t>
      </w:r>
      <w:r w:rsidRPr="001C69C7">
        <w:rPr>
          <w:rFonts w:ascii="Times New Roman" w:hAnsi="Times New Roman"/>
          <w:sz w:val="24"/>
          <w:szCs w:val="24"/>
          <w:highlight w:val="yellow"/>
        </w:rPr>
        <w:t xml:space="preserve">, and </w:t>
      </w:r>
      <w:r w:rsidRPr="001C69C7">
        <w:rPr>
          <w:rStyle w:val="Emphasis"/>
          <w:rFonts w:ascii="Times New Roman" w:hAnsi="Times New Roman"/>
          <w:sz w:val="24"/>
          <w:szCs w:val="24"/>
          <w:highlight w:val="yellow"/>
        </w:rPr>
        <w:t>Klebsiella spp.</w:t>
      </w:r>
      <w:r w:rsidRPr="001C69C7">
        <w:rPr>
          <w:rFonts w:ascii="Times New Roman" w:hAnsi="Times New Roman"/>
          <w:sz w:val="24"/>
          <w:szCs w:val="24"/>
          <w:highlight w:val="yellow"/>
        </w:rPr>
        <w:t xml:space="preserve">, highlighting contamination concerns in product quality </w:t>
      </w:r>
      <w:r w:rsidRPr="001C69C7">
        <w:rPr>
          <w:rFonts w:ascii="Times New Roman" w:hAnsi="Times New Roman"/>
          <w:sz w:val="24"/>
          <w:szCs w:val="24"/>
          <w:highlight w:val="yellow"/>
        </w:rPr>
        <w:lastRenderedPageBreak/>
        <w:t>(</w:t>
      </w:r>
      <w:proofErr w:type="spellStart"/>
      <w:r w:rsidRPr="001C69C7">
        <w:rPr>
          <w:rFonts w:ascii="Times New Roman" w:hAnsi="Times New Roman"/>
          <w:color w:val="4F81BD" w:themeColor="accent1"/>
          <w:sz w:val="24"/>
          <w:szCs w:val="24"/>
          <w:highlight w:val="yellow"/>
        </w:rPr>
        <w:t>Prastujati</w:t>
      </w:r>
      <w:proofErr w:type="spellEnd"/>
      <w:r w:rsidRPr="001C69C7">
        <w:rPr>
          <w:rFonts w:ascii="Times New Roman" w:hAnsi="Times New Roman"/>
          <w:color w:val="4F81BD" w:themeColor="accent1"/>
          <w:sz w:val="24"/>
          <w:szCs w:val="24"/>
          <w:highlight w:val="yellow"/>
        </w:rPr>
        <w:t xml:space="preserve"> et al., 2019). </w:t>
      </w:r>
      <w:r w:rsidRPr="001C69C7">
        <w:rPr>
          <w:rFonts w:ascii="Times New Roman" w:hAnsi="Times New Roman"/>
          <w:sz w:val="24"/>
          <w:szCs w:val="24"/>
          <w:highlight w:val="yellow"/>
        </w:rPr>
        <w:t xml:space="preserve">However, several identified strains, including </w:t>
      </w:r>
      <w:r w:rsidRPr="001C69C7">
        <w:rPr>
          <w:rStyle w:val="Emphasis"/>
          <w:rFonts w:ascii="Times New Roman" w:hAnsi="Times New Roman"/>
          <w:sz w:val="24"/>
          <w:szCs w:val="24"/>
          <w:highlight w:val="yellow"/>
        </w:rPr>
        <w:t>Bacillus cereus</w:t>
      </w:r>
      <w:r w:rsidRPr="001C69C7">
        <w:rPr>
          <w:rFonts w:ascii="Times New Roman" w:hAnsi="Times New Roman"/>
          <w:sz w:val="24"/>
          <w:szCs w:val="24"/>
          <w:highlight w:val="yellow"/>
        </w:rPr>
        <w:t xml:space="preserve">, </w:t>
      </w:r>
      <w:r w:rsidRPr="001C69C7">
        <w:rPr>
          <w:rStyle w:val="Emphasis"/>
          <w:rFonts w:ascii="Times New Roman" w:hAnsi="Times New Roman"/>
          <w:sz w:val="24"/>
          <w:szCs w:val="24"/>
          <w:highlight w:val="yellow"/>
        </w:rPr>
        <w:t>Pseudomonas aeruginosa</w:t>
      </w:r>
      <w:r w:rsidRPr="001C69C7">
        <w:rPr>
          <w:rFonts w:ascii="Times New Roman" w:hAnsi="Times New Roman"/>
          <w:sz w:val="24"/>
          <w:szCs w:val="24"/>
          <w:highlight w:val="yellow"/>
        </w:rPr>
        <w:t xml:space="preserve">, and </w:t>
      </w:r>
      <w:r w:rsidRPr="001C69C7">
        <w:rPr>
          <w:rStyle w:val="Emphasis"/>
          <w:rFonts w:ascii="Times New Roman" w:hAnsi="Times New Roman"/>
          <w:sz w:val="24"/>
          <w:szCs w:val="24"/>
          <w:highlight w:val="yellow"/>
        </w:rPr>
        <w:t>Enterobacter cloacae</w:t>
      </w:r>
      <w:r w:rsidRPr="001C69C7">
        <w:rPr>
          <w:rFonts w:ascii="Times New Roman" w:hAnsi="Times New Roman"/>
          <w:sz w:val="24"/>
          <w:szCs w:val="24"/>
          <w:highlight w:val="yellow"/>
        </w:rPr>
        <w:t xml:space="preserve">, show promise for biotechnological applications. </w:t>
      </w:r>
      <w:r w:rsidRPr="001C69C7">
        <w:rPr>
          <w:rStyle w:val="Emphasis"/>
          <w:rFonts w:ascii="Times New Roman" w:hAnsi="Times New Roman"/>
          <w:sz w:val="24"/>
          <w:szCs w:val="24"/>
          <w:highlight w:val="yellow"/>
        </w:rPr>
        <w:t>Bacillus cereus</w:t>
      </w:r>
      <w:r w:rsidRPr="001C69C7">
        <w:rPr>
          <w:rFonts w:ascii="Times New Roman" w:hAnsi="Times New Roman"/>
          <w:sz w:val="24"/>
          <w:szCs w:val="24"/>
          <w:highlight w:val="yellow"/>
        </w:rPr>
        <w:t xml:space="preserve"> is useful in enzyme production and bioremediation (</w:t>
      </w:r>
      <w:r w:rsidRPr="001C69C7">
        <w:rPr>
          <w:rFonts w:ascii="Times New Roman" w:hAnsi="Times New Roman"/>
          <w:color w:val="4F81BD" w:themeColor="accent1"/>
          <w:sz w:val="24"/>
          <w:szCs w:val="24"/>
          <w:highlight w:val="yellow"/>
        </w:rPr>
        <w:t>Sutherland et al., 2000</w:t>
      </w:r>
      <w:r w:rsidRPr="001C69C7">
        <w:rPr>
          <w:rFonts w:ascii="Times New Roman" w:hAnsi="Times New Roman"/>
          <w:sz w:val="24"/>
          <w:szCs w:val="24"/>
          <w:highlight w:val="yellow"/>
        </w:rPr>
        <w:t xml:space="preserve">), while </w:t>
      </w:r>
      <w:r w:rsidRPr="001C69C7">
        <w:rPr>
          <w:rStyle w:val="Emphasis"/>
          <w:rFonts w:ascii="Times New Roman" w:hAnsi="Times New Roman"/>
          <w:sz w:val="24"/>
          <w:szCs w:val="24"/>
          <w:highlight w:val="yellow"/>
        </w:rPr>
        <w:t>Pseudomonas aeruginosa</w:t>
      </w:r>
      <w:r w:rsidRPr="001C69C7">
        <w:rPr>
          <w:rFonts w:ascii="Times New Roman" w:hAnsi="Times New Roman"/>
          <w:sz w:val="24"/>
          <w:szCs w:val="24"/>
          <w:highlight w:val="yellow"/>
        </w:rPr>
        <w:t xml:space="preserve"> is known for its industrial enzyme synthesis and environmental cleanup potential (</w:t>
      </w:r>
      <w:r w:rsidRPr="001C69C7">
        <w:rPr>
          <w:rFonts w:ascii="Times New Roman" w:hAnsi="Times New Roman"/>
          <w:color w:val="4F81BD" w:themeColor="accent1"/>
          <w:sz w:val="24"/>
          <w:szCs w:val="24"/>
          <w:highlight w:val="yellow"/>
        </w:rPr>
        <w:t>Ali et al., 2019</w:t>
      </w:r>
      <w:r w:rsidRPr="001C69C7">
        <w:rPr>
          <w:rFonts w:ascii="Times New Roman" w:hAnsi="Times New Roman"/>
          <w:sz w:val="24"/>
          <w:szCs w:val="24"/>
          <w:highlight w:val="yellow"/>
        </w:rPr>
        <w:t xml:space="preserve">). </w:t>
      </w:r>
      <w:r w:rsidRPr="001C69C7">
        <w:rPr>
          <w:rStyle w:val="Emphasis"/>
          <w:rFonts w:ascii="Times New Roman" w:hAnsi="Times New Roman"/>
          <w:sz w:val="24"/>
          <w:szCs w:val="24"/>
          <w:highlight w:val="yellow"/>
        </w:rPr>
        <w:t>Enterobacter cloacae</w:t>
      </w:r>
      <w:r w:rsidRPr="001C69C7">
        <w:rPr>
          <w:rFonts w:ascii="Times New Roman" w:hAnsi="Times New Roman"/>
          <w:sz w:val="24"/>
          <w:szCs w:val="24"/>
          <w:highlight w:val="yellow"/>
        </w:rPr>
        <w:t xml:space="preserve"> </w:t>
      </w:r>
      <w:proofErr w:type="gramStart"/>
      <w:r w:rsidRPr="001C69C7">
        <w:rPr>
          <w:rFonts w:ascii="Times New Roman" w:hAnsi="Times New Roman"/>
          <w:sz w:val="24"/>
          <w:szCs w:val="24"/>
          <w:highlight w:val="yellow"/>
        </w:rPr>
        <w:t>plays</w:t>
      </w:r>
      <w:proofErr w:type="gramEnd"/>
      <w:r w:rsidRPr="001C69C7">
        <w:rPr>
          <w:rFonts w:ascii="Times New Roman" w:hAnsi="Times New Roman"/>
          <w:sz w:val="24"/>
          <w:szCs w:val="24"/>
          <w:highlight w:val="yellow"/>
        </w:rPr>
        <w:t xml:space="preserve"> a role in organic acid production during fermentation (</w:t>
      </w:r>
      <w:r w:rsidRPr="001C69C7">
        <w:rPr>
          <w:rFonts w:ascii="Times New Roman" w:hAnsi="Times New Roman"/>
          <w:color w:val="4F81BD" w:themeColor="accent1"/>
          <w:sz w:val="24"/>
          <w:szCs w:val="24"/>
          <w:highlight w:val="yellow"/>
        </w:rPr>
        <w:t>Buchanan &amp; Gibbons, 1974</w:t>
      </w:r>
      <w:r w:rsidRPr="001C69C7">
        <w:rPr>
          <w:rFonts w:ascii="Times New Roman" w:hAnsi="Times New Roman"/>
          <w:sz w:val="24"/>
          <w:szCs w:val="24"/>
          <w:highlight w:val="yellow"/>
        </w:rPr>
        <w:t>). While this study did not explore these applications in depth, the findings suggest future research opportunities in bioremediation, enzyme production, and food processing.</w:t>
      </w:r>
    </w:p>
    <w:p w14:paraId="270B4755" w14:textId="77777777" w:rsidR="008E6061" w:rsidRDefault="008E6061">
      <w:pPr>
        <w:pStyle w:val="ListParagraph"/>
        <w:spacing w:line="480" w:lineRule="auto"/>
        <w:ind w:left="0"/>
        <w:jc w:val="both"/>
        <w:rPr>
          <w:rFonts w:ascii="Times New Roman" w:hAnsi="Times New Roman"/>
          <w:b/>
          <w:bCs/>
          <w:sz w:val="24"/>
          <w:szCs w:val="24"/>
        </w:rPr>
      </w:pPr>
    </w:p>
    <w:p w14:paraId="4F3FD867" w14:textId="3BB843BC" w:rsidR="00D72F91" w:rsidRDefault="00D2263D">
      <w:pPr>
        <w:pStyle w:val="ListParagraph"/>
        <w:spacing w:line="480" w:lineRule="auto"/>
        <w:ind w:left="0"/>
        <w:jc w:val="both"/>
        <w:rPr>
          <w:rFonts w:ascii="Times New Roman" w:hAnsi="Times New Roman"/>
          <w:sz w:val="24"/>
          <w:szCs w:val="24"/>
        </w:rPr>
      </w:pPr>
      <w:r>
        <w:rPr>
          <w:rFonts w:ascii="Times New Roman" w:hAnsi="Times New Roman"/>
          <w:b/>
          <w:bCs/>
          <w:sz w:val="24"/>
          <w:szCs w:val="24"/>
        </w:rPr>
        <w:t>Conclusion</w:t>
      </w:r>
      <w:r>
        <w:rPr>
          <w:rFonts w:ascii="Times New Roman" w:hAnsi="Times New Roman"/>
          <w:sz w:val="24"/>
          <w:szCs w:val="24"/>
        </w:rPr>
        <w:t>:</w:t>
      </w:r>
    </w:p>
    <w:p w14:paraId="5F5DBAE3" w14:textId="77777777" w:rsidR="00D72F91" w:rsidRDefault="00D2263D">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This study identified a diverse bacterial community in pineapple waste, including species from the Enterobacteriaceae family. Using both biochemical and molecular techniques, bacteria like </w:t>
      </w:r>
      <w:r>
        <w:rPr>
          <w:rFonts w:ascii="Times New Roman" w:hAnsi="Times New Roman"/>
          <w:i/>
          <w:iCs/>
          <w:sz w:val="24"/>
          <w:szCs w:val="24"/>
        </w:rPr>
        <w:t>Enterobacter</w:t>
      </w:r>
      <w:r>
        <w:rPr>
          <w:rFonts w:ascii="Times New Roman" w:hAnsi="Times New Roman"/>
          <w:sz w:val="24"/>
          <w:szCs w:val="24"/>
        </w:rPr>
        <w:t xml:space="preserve"> spp., </w:t>
      </w:r>
      <w:r>
        <w:rPr>
          <w:rFonts w:ascii="Times New Roman" w:hAnsi="Times New Roman"/>
          <w:i/>
          <w:iCs/>
          <w:sz w:val="24"/>
          <w:szCs w:val="24"/>
        </w:rPr>
        <w:t>Klebsiella</w:t>
      </w:r>
      <w:r>
        <w:rPr>
          <w:rFonts w:ascii="Times New Roman" w:hAnsi="Times New Roman"/>
          <w:sz w:val="24"/>
          <w:szCs w:val="24"/>
        </w:rPr>
        <w:t xml:space="preserve"> spp., and </w:t>
      </w:r>
      <w:r>
        <w:rPr>
          <w:rFonts w:ascii="Times New Roman" w:hAnsi="Times New Roman"/>
          <w:i/>
          <w:iCs/>
          <w:sz w:val="24"/>
          <w:szCs w:val="24"/>
        </w:rPr>
        <w:t>Escherichia coli</w:t>
      </w:r>
      <w:r>
        <w:rPr>
          <w:rFonts w:ascii="Times New Roman" w:hAnsi="Times New Roman"/>
          <w:sz w:val="24"/>
          <w:szCs w:val="24"/>
        </w:rPr>
        <w:t xml:space="preserve"> were isolated, with molecular analyses confirming their genetic diversity. The findings highlight the potential of pineapple waste as a resource for biotechnological applications, such as biofuel production and bioremediation, while also emphasizing the need for effective decontamination processes. Overall, this research underscores the importance of understanding microbial ecology in agricultural waste to unlock its industrial potential.</w:t>
      </w:r>
    </w:p>
    <w:p w14:paraId="29D77DA5" w14:textId="77777777" w:rsidR="00D72F91" w:rsidRDefault="00D72F91">
      <w:pPr>
        <w:pStyle w:val="ListParagraph"/>
        <w:spacing w:line="480" w:lineRule="auto"/>
        <w:ind w:left="0"/>
        <w:jc w:val="both"/>
        <w:rPr>
          <w:rFonts w:ascii="Times New Roman" w:hAnsi="Times New Roman"/>
          <w:sz w:val="24"/>
          <w:szCs w:val="24"/>
        </w:rPr>
      </w:pPr>
    </w:p>
    <w:p w14:paraId="4AFBDAFD" w14:textId="77777777" w:rsidR="00D72F91" w:rsidRDefault="00D2263D">
      <w:pPr>
        <w:pStyle w:val="ListParagraph"/>
        <w:spacing w:line="480" w:lineRule="auto"/>
        <w:ind w:left="0"/>
        <w:jc w:val="both"/>
        <w:rPr>
          <w:rFonts w:ascii="Times New Roman" w:hAnsi="Times New Roman"/>
          <w:sz w:val="24"/>
          <w:szCs w:val="24"/>
        </w:rPr>
      </w:pPr>
      <w:r>
        <w:rPr>
          <w:rFonts w:ascii="Times New Roman" w:hAnsi="Times New Roman"/>
          <w:b/>
          <w:bCs/>
          <w:sz w:val="24"/>
          <w:szCs w:val="24"/>
        </w:rPr>
        <w:t>Declarations</w:t>
      </w:r>
      <w:r>
        <w:rPr>
          <w:rFonts w:ascii="Times New Roman" w:hAnsi="Times New Roman"/>
          <w:sz w:val="24"/>
          <w:szCs w:val="24"/>
        </w:rPr>
        <w:t xml:space="preserve"> </w:t>
      </w:r>
    </w:p>
    <w:p w14:paraId="3B0CF0A8" w14:textId="77777777" w:rsidR="00D72F91" w:rsidRDefault="00D2263D">
      <w:pPr>
        <w:spacing w:after="0" w:line="480" w:lineRule="auto"/>
        <w:jc w:val="both"/>
        <w:rPr>
          <w:rFonts w:ascii="Times New Roman" w:hAnsi="Times New Roman"/>
          <w:b/>
          <w:bCs/>
          <w:sz w:val="24"/>
          <w:szCs w:val="24"/>
        </w:rPr>
      </w:pPr>
      <w:r>
        <w:rPr>
          <w:rFonts w:ascii="Times New Roman" w:hAnsi="Times New Roman"/>
          <w:b/>
          <w:bCs/>
          <w:sz w:val="24"/>
          <w:szCs w:val="24"/>
        </w:rPr>
        <w:t>Availability of data and materials</w:t>
      </w:r>
    </w:p>
    <w:p w14:paraId="7A792136" w14:textId="77777777" w:rsidR="00D72F91" w:rsidRDefault="00D2263D">
      <w:pPr>
        <w:spacing w:after="0" w:line="480" w:lineRule="auto"/>
        <w:jc w:val="both"/>
        <w:rPr>
          <w:rFonts w:ascii="Times New Roman" w:hAnsi="Times New Roman"/>
          <w:color w:val="000000"/>
          <w:sz w:val="24"/>
          <w:szCs w:val="24"/>
        </w:rPr>
      </w:pPr>
      <w:bookmarkStart w:id="9" w:name="_Hlk189514391"/>
      <w:r>
        <w:rPr>
          <w:rFonts w:ascii="Times New Roman" w:hAnsi="Times New Roman"/>
          <w:color w:val="000000"/>
          <w:sz w:val="24"/>
          <w:szCs w:val="24"/>
        </w:rPr>
        <w:t>Inquiries regarding data availability should be directed to the respective authors</w:t>
      </w:r>
      <w:bookmarkEnd w:id="9"/>
      <w:r>
        <w:rPr>
          <w:rFonts w:ascii="Times New Roman" w:hAnsi="Times New Roman"/>
          <w:color w:val="000000"/>
          <w:sz w:val="24"/>
          <w:szCs w:val="24"/>
        </w:rPr>
        <w:t>.</w:t>
      </w:r>
    </w:p>
    <w:p w14:paraId="13FC2010" w14:textId="77777777" w:rsidR="00D72F91" w:rsidRDefault="00D72F91">
      <w:pPr>
        <w:spacing w:after="0" w:line="480" w:lineRule="auto"/>
        <w:jc w:val="both"/>
        <w:rPr>
          <w:rFonts w:ascii="Times New Roman" w:hAnsi="Times New Roman"/>
          <w:b/>
          <w:sz w:val="24"/>
          <w:szCs w:val="24"/>
        </w:rPr>
      </w:pPr>
    </w:p>
    <w:p w14:paraId="4A66BAA3" w14:textId="77777777" w:rsidR="00D72F91" w:rsidRDefault="00D2263D">
      <w:pPr>
        <w:spacing w:after="0" w:line="480" w:lineRule="auto"/>
        <w:jc w:val="both"/>
        <w:rPr>
          <w:rFonts w:ascii="Times New Roman" w:hAnsi="Times New Roman"/>
          <w:b/>
          <w:sz w:val="24"/>
          <w:szCs w:val="24"/>
        </w:rPr>
      </w:pPr>
      <w:r>
        <w:rPr>
          <w:rFonts w:ascii="Times New Roman" w:hAnsi="Times New Roman"/>
          <w:b/>
          <w:sz w:val="24"/>
          <w:szCs w:val="24"/>
        </w:rPr>
        <w:t xml:space="preserve">Ethical considerations </w:t>
      </w:r>
    </w:p>
    <w:p w14:paraId="6212DB3A" w14:textId="77777777" w:rsidR="00D72F91" w:rsidRDefault="00D2263D">
      <w:pPr>
        <w:autoSpaceDE w:val="0"/>
        <w:autoSpaceDN w:val="0"/>
        <w:adjustRightInd w:val="0"/>
        <w:spacing w:after="0" w:line="480" w:lineRule="auto"/>
        <w:jc w:val="both"/>
        <w:rPr>
          <w:rFonts w:ascii="Times New Roman" w:hAnsi="Times New Roman"/>
          <w:sz w:val="24"/>
          <w:szCs w:val="24"/>
        </w:rPr>
      </w:pPr>
      <w:bookmarkStart w:id="10" w:name="_Toc376113453"/>
      <w:bookmarkStart w:id="11" w:name="_Toc376123909"/>
      <w:bookmarkStart w:id="12" w:name="_Toc376555801"/>
      <w:bookmarkStart w:id="13" w:name="_Toc377401101"/>
      <w:bookmarkStart w:id="14" w:name="_Toc377401399"/>
      <w:bookmarkStart w:id="15" w:name="_Toc379225032"/>
      <w:bookmarkStart w:id="16" w:name="_Toc380285666"/>
      <w:bookmarkStart w:id="17" w:name="_Toc392285316"/>
      <w:bookmarkStart w:id="18" w:name="_Toc392546513"/>
      <w:bookmarkStart w:id="19" w:name="_Hlk189514353"/>
      <w:r>
        <w:rPr>
          <w:rFonts w:ascii="Times New Roman" w:hAnsi="Times New Roman"/>
          <w:sz w:val="24"/>
          <w:szCs w:val="24"/>
        </w:rPr>
        <w:t>Ethical issues (including plagiarism, consent to publish, misconduct, data fabrication and/or falsification, double publication and/or submission, and redundancy) have been checked by all the authors.</w:t>
      </w:r>
    </w:p>
    <w:p w14:paraId="08711C03" w14:textId="77777777" w:rsidR="00D72F91" w:rsidRDefault="00D72F91">
      <w:pPr>
        <w:autoSpaceDE w:val="0"/>
        <w:autoSpaceDN w:val="0"/>
        <w:adjustRightInd w:val="0"/>
        <w:spacing w:after="0" w:line="480" w:lineRule="auto"/>
        <w:jc w:val="both"/>
        <w:rPr>
          <w:rFonts w:ascii="Times New Roman" w:hAnsi="Times New Roman"/>
          <w:sz w:val="24"/>
          <w:szCs w:val="24"/>
        </w:rPr>
      </w:pPr>
    </w:p>
    <w:p w14:paraId="764C4DB1" w14:textId="77777777" w:rsidR="00D72F91" w:rsidRPr="002F2822" w:rsidRDefault="00D2263D" w:rsidP="008E6061">
      <w:pPr>
        <w:spacing w:line="480" w:lineRule="auto"/>
        <w:jc w:val="both"/>
        <w:rPr>
          <w:rFonts w:ascii="Times New Roman" w:eastAsia="Calibri" w:hAnsi="Times New Roman"/>
          <w:kern w:val="2"/>
          <w:sz w:val="24"/>
          <w:szCs w:val="24"/>
          <w:highlight w:val="yellow"/>
        </w:rPr>
      </w:pPr>
      <w:bookmarkStart w:id="20" w:name="_Hlk180402183"/>
      <w:bookmarkStart w:id="21" w:name="_Hlk183680988"/>
      <w:r w:rsidRPr="002F2822">
        <w:rPr>
          <w:rFonts w:ascii="Times New Roman" w:eastAsia="Calibri" w:hAnsi="Times New Roman"/>
          <w:kern w:val="2"/>
          <w:sz w:val="24"/>
          <w:szCs w:val="24"/>
          <w:highlight w:val="yellow"/>
        </w:rPr>
        <w:t>Disclaimer (Artificial intelligence)</w:t>
      </w:r>
    </w:p>
    <w:p w14:paraId="684D7EC0" w14:textId="77777777" w:rsidR="00D72F91" w:rsidRPr="002F2822" w:rsidRDefault="00D2263D" w:rsidP="008E6061">
      <w:pPr>
        <w:spacing w:line="480" w:lineRule="auto"/>
        <w:jc w:val="both"/>
        <w:rPr>
          <w:rFonts w:ascii="Times New Roman" w:eastAsia="Calibri" w:hAnsi="Times New Roman"/>
          <w:kern w:val="2"/>
          <w:sz w:val="24"/>
          <w:szCs w:val="24"/>
          <w:highlight w:val="yellow"/>
        </w:rPr>
      </w:pPr>
      <w:r w:rsidRPr="002F2822">
        <w:rPr>
          <w:rFonts w:ascii="Times New Roman" w:eastAsia="Calibri" w:hAnsi="Times New Roman"/>
          <w:kern w:val="2"/>
          <w:sz w:val="24"/>
          <w:szCs w:val="24"/>
          <w:highlight w:val="yellow"/>
        </w:rPr>
        <w:t xml:space="preserve">Option 1: </w:t>
      </w:r>
    </w:p>
    <w:p w14:paraId="00048AE8" w14:textId="77777777" w:rsidR="00D72F91" w:rsidRPr="002F2822" w:rsidRDefault="00D2263D" w:rsidP="008E6061">
      <w:pPr>
        <w:spacing w:line="480" w:lineRule="auto"/>
        <w:jc w:val="both"/>
        <w:rPr>
          <w:rFonts w:ascii="Times New Roman" w:eastAsia="Calibri" w:hAnsi="Times New Roman"/>
          <w:kern w:val="2"/>
          <w:sz w:val="24"/>
          <w:szCs w:val="24"/>
        </w:rPr>
      </w:pPr>
      <w:r w:rsidRPr="002F2822">
        <w:rPr>
          <w:rFonts w:ascii="Times New Roman" w:eastAsia="Calibri" w:hAnsi="Times New Roman"/>
          <w:kern w:val="2"/>
          <w:sz w:val="24"/>
          <w:szCs w:val="24"/>
          <w:highlight w:val="yellow"/>
        </w:rPr>
        <w:t>Author(s) hereby declare that NO generative AI technologies such as Large Language Models (ChatGPT, COPILOT, etc.) and text-to-image generators have been used during the writing or editing of this manuscript.</w:t>
      </w:r>
      <w:r w:rsidRPr="002F2822">
        <w:rPr>
          <w:rFonts w:ascii="Times New Roman" w:eastAsia="Calibri" w:hAnsi="Times New Roman"/>
          <w:kern w:val="2"/>
          <w:sz w:val="24"/>
          <w:szCs w:val="24"/>
        </w:rPr>
        <w:t xml:space="preserve"> </w:t>
      </w:r>
    </w:p>
    <w:bookmarkEnd w:id="19"/>
    <w:bookmarkEnd w:id="20"/>
    <w:bookmarkEnd w:id="21"/>
    <w:p w14:paraId="6C817BB1" w14:textId="77777777" w:rsidR="00D72F91" w:rsidRDefault="00D72F91">
      <w:pPr>
        <w:autoSpaceDE w:val="0"/>
        <w:autoSpaceDN w:val="0"/>
        <w:adjustRightInd w:val="0"/>
        <w:spacing w:line="480" w:lineRule="auto"/>
        <w:jc w:val="both"/>
        <w:rPr>
          <w:rFonts w:ascii="Times New Roman" w:hAnsi="Times New Roman"/>
          <w:b/>
          <w:bCs/>
          <w:sz w:val="24"/>
          <w:szCs w:val="24"/>
        </w:rPr>
      </w:pPr>
    </w:p>
    <w:bookmarkEnd w:id="10"/>
    <w:bookmarkEnd w:id="11"/>
    <w:bookmarkEnd w:id="12"/>
    <w:bookmarkEnd w:id="13"/>
    <w:bookmarkEnd w:id="14"/>
    <w:bookmarkEnd w:id="15"/>
    <w:bookmarkEnd w:id="16"/>
    <w:bookmarkEnd w:id="17"/>
    <w:bookmarkEnd w:id="18"/>
    <w:p w14:paraId="3396262C" w14:textId="77777777" w:rsidR="008E6061" w:rsidRDefault="008E6061">
      <w:pPr>
        <w:pStyle w:val="ListParagraph"/>
        <w:spacing w:line="480" w:lineRule="auto"/>
        <w:ind w:left="0"/>
        <w:jc w:val="both"/>
        <w:rPr>
          <w:rFonts w:ascii="Times New Roman" w:hAnsi="Times New Roman"/>
          <w:b/>
          <w:bCs/>
          <w:sz w:val="24"/>
          <w:szCs w:val="24"/>
        </w:rPr>
      </w:pPr>
    </w:p>
    <w:p w14:paraId="3E7337AD" w14:textId="76BC5F04" w:rsidR="00D72F91" w:rsidRDefault="00D2263D">
      <w:pPr>
        <w:pStyle w:val="ListParagraph"/>
        <w:spacing w:line="480" w:lineRule="auto"/>
        <w:ind w:left="0"/>
        <w:jc w:val="both"/>
        <w:rPr>
          <w:rFonts w:ascii="Times New Roman" w:hAnsi="Times New Roman"/>
          <w:b/>
          <w:bCs/>
          <w:sz w:val="24"/>
          <w:szCs w:val="24"/>
        </w:rPr>
      </w:pPr>
      <w:r>
        <w:rPr>
          <w:rFonts w:ascii="Times New Roman" w:hAnsi="Times New Roman"/>
          <w:b/>
          <w:bCs/>
          <w:sz w:val="24"/>
          <w:szCs w:val="24"/>
        </w:rPr>
        <w:t>References</w:t>
      </w:r>
    </w:p>
    <w:p w14:paraId="652BC3C8" w14:textId="77777777" w:rsidR="00D72F91" w:rsidRDefault="00D2263D">
      <w:pPr>
        <w:spacing w:before="240" w:line="480" w:lineRule="auto"/>
        <w:jc w:val="both"/>
        <w:rPr>
          <w:rFonts w:ascii="Times New Roman" w:hAnsi="Times New Roman"/>
          <w:sz w:val="24"/>
          <w:szCs w:val="24"/>
        </w:rPr>
      </w:pPr>
      <w:r>
        <w:rPr>
          <w:rFonts w:ascii="Times New Roman" w:hAnsi="Times New Roman"/>
          <w:sz w:val="24"/>
          <w:szCs w:val="24"/>
        </w:rPr>
        <w:t xml:space="preserve">Aslam, B., Khurshid, M., Arshad, M. I., Muzammil, S., Rasool, M., Yasmeen, N., Shah, T., Chaudhry, T. H., Rasool, M. H., Shahid, A., Xueshan, X., &amp; Baloch, Z. (2021). Antibiotic Resistance: One Health One World Outlook. In Frontiers in Cellular and Infection Microbiology (Vol. 11). Frontiers Media S.A. </w:t>
      </w:r>
      <w:hyperlink r:id="rId16" w:history="1">
        <w:r>
          <w:rPr>
            <w:rStyle w:val="Hyperlink"/>
            <w:rFonts w:ascii="Times New Roman" w:hAnsi="Times New Roman"/>
            <w:sz w:val="24"/>
            <w:szCs w:val="24"/>
          </w:rPr>
          <w:t>https://doi.org/10.3389/fcimb.2021.771510</w:t>
        </w:r>
      </w:hyperlink>
      <w:r>
        <w:rPr>
          <w:rFonts w:ascii="Times New Roman" w:hAnsi="Times New Roman"/>
          <w:sz w:val="24"/>
          <w:szCs w:val="24"/>
        </w:rPr>
        <w:t xml:space="preserve">  </w:t>
      </w:r>
    </w:p>
    <w:p w14:paraId="5B02CAFD"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Bk, S., Gokhale, S., &amp; Sharma K. (n.d.). Urea-fibrinogen slide coagulase test-A simple alternative method for the rapid identification of </w:t>
      </w:r>
      <w:r>
        <w:rPr>
          <w:rFonts w:ascii="Times New Roman" w:hAnsi="Times New Roman"/>
          <w:i/>
          <w:iCs/>
          <w:sz w:val="24"/>
          <w:szCs w:val="24"/>
        </w:rPr>
        <w:t>Staphylococcus aureus</w:t>
      </w:r>
      <w:r>
        <w:rPr>
          <w:rFonts w:ascii="Times New Roman" w:hAnsi="Times New Roman"/>
          <w:sz w:val="24"/>
          <w:szCs w:val="24"/>
        </w:rPr>
        <w:t>.</w:t>
      </w:r>
    </w:p>
    <w:p w14:paraId="15322501"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Brito, T. B. N., R.S. Lima, L., B. Santos, M. C., A. Moreira, R. F., Cameron, L. C., C. Fai, A. E., &amp; S.L. Ferreira, M. (2021). Antimicrobial, antioxidant, volatile and phenolic profiles of cabbage-stalk and pineapple-crown flour revealed by GC-MS and UPLC-MSE. Food Chemistry, 339. </w:t>
      </w:r>
      <w:hyperlink r:id="rId17" w:history="1">
        <w:r>
          <w:rPr>
            <w:rStyle w:val="Hyperlink"/>
            <w:rFonts w:ascii="Times New Roman" w:hAnsi="Times New Roman"/>
            <w:sz w:val="24"/>
            <w:szCs w:val="24"/>
          </w:rPr>
          <w:t>https://doi.org/10.1016/j.foodchem.2020.127882</w:t>
        </w:r>
      </w:hyperlink>
      <w:r>
        <w:rPr>
          <w:rFonts w:ascii="Times New Roman" w:hAnsi="Times New Roman"/>
          <w:sz w:val="24"/>
          <w:szCs w:val="24"/>
        </w:rPr>
        <w:t xml:space="preserve">  </w:t>
      </w:r>
    </w:p>
    <w:p w14:paraId="3FC249B7"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Brown, A. J., Smith, M. P., &amp; Jones, L. M. (2021). The significance of genetic identification scores in bacterial phylogenetics. </w:t>
      </w:r>
      <w:r>
        <w:rPr>
          <w:rFonts w:ascii="Times New Roman" w:hAnsi="Times New Roman"/>
          <w:i/>
          <w:iCs/>
          <w:sz w:val="24"/>
          <w:szCs w:val="24"/>
        </w:rPr>
        <w:t>Journal of Microbiological Methods</w:t>
      </w:r>
      <w:r>
        <w:rPr>
          <w:rFonts w:ascii="Times New Roman" w:hAnsi="Times New Roman"/>
          <w:sz w:val="24"/>
          <w:szCs w:val="24"/>
        </w:rPr>
        <w:t>, 45(2), 123-134.</w:t>
      </w:r>
    </w:p>
    <w:p w14:paraId="1B92CDB8"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lastRenderedPageBreak/>
        <w:t xml:space="preserve">Chouhan, A.S., Prasad, K., &amp; Singh, P. (2015). Microbial contamination of pineapple extracts. </w:t>
      </w:r>
      <w:r>
        <w:rPr>
          <w:rFonts w:ascii="Times New Roman" w:hAnsi="Times New Roman"/>
          <w:i/>
          <w:iCs/>
          <w:sz w:val="24"/>
          <w:szCs w:val="24"/>
        </w:rPr>
        <w:t>Food Microbiology Journal</w:t>
      </w:r>
      <w:r>
        <w:rPr>
          <w:rFonts w:ascii="Times New Roman" w:hAnsi="Times New Roman"/>
          <w:sz w:val="24"/>
          <w:szCs w:val="24"/>
        </w:rPr>
        <w:t>, 32, 120-126.</w:t>
      </w:r>
    </w:p>
    <w:p w14:paraId="69EAD652"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Clarridge, J. E. (2004). Impact of 16S rRNA Gene Sequence Analysis for Identification of Bacteria on Clinical Microbiology and Infectious Diseases. </w:t>
      </w:r>
      <w:r>
        <w:rPr>
          <w:rFonts w:ascii="Times New Roman" w:hAnsi="Times New Roman"/>
          <w:i/>
          <w:iCs/>
          <w:sz w:val="24"/>
          <w:szCs w:val="24"/>
        </w:rPr>
        <w:t>Clinical Microbiology Reviews, 17</w:t>
      </w:r>
      <w:r>
        <w:rPr>
          <w:rFonts w:ascii="Times New Roman" w:hAnsi="Times New Roman"/>
          <w:sz w:val="24"/>
          <w:szCs w:val="24"/>
        </w:rPr>
        <w:t>(4), 840-862.</w:t>
      </w:r>
    </w:p>
    <w:p w14:paraId="712CF6C1"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Dao, T. T. P., Nguyen, P. H., Won, H. K., Kim, E. H., Park, J., &amp; Oh, W. K. (2008). Curcuminoids from </w:t>
      </w:r>
      <w:r>
        <w:rPr>
          <w:rFonts w:ascii="Times New Roman" w:hAnsi="Times New Roman"/>
          <w:i/>
          <w:iCs/>
          <w:sz w:val="24"/>
          <w:szCs w:val="24"/>
        </w:rPr>
        <w:t>Curcuma longa</w:t>
      </w:r>
      <w:r>
        <w:rPr>
          <w:rFonts w:ascii="Times New Roman" w:hAnsi="Times New Roman"/>
          <w:sz w:val="24"/>
          <w:szCs w:val="24"/>
        </w:rPr>
        <w:t xml:space="preserve"> and their inhibitory activities on </w:t>
      </w:r>
      <w:r>
        <w:rPr>
          <w:rFonts w:ascii="Times New Roman" w:hAnsi="Times New Roman"/>
          <w:i/>
          <w:iCs/>
          <w:sz w:val="24"/>
          <w:szCs w:val="24"/>
        </w:rPr>
        <w:t>influenza</w:t>
      </w:r>
      <w:r>
        <w:rPr>
          <w:rFonts w:ascii="Times New Roman" w:hAnsi="Times New Roman"/>
          <w:sz w:val="24"/>
          <w:szCs w:val="24"/>
        </w:rPr>
        <w:t xml:space="preserve"> A neuraminidases. Food Chemistry, 109(4), 788-792.</w:t>
      </w:r>
    </w:p>
    <w:p w14:paraId="65034AB0"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Dimri, A. G., Chaudhary, S., Singh, D., Chauhan, A., &amp; Aggarwal, M. L. (2020). Morphological and biochemical characterization of food borne Gram-positive and Gram-negative bacteria. In Science Archives (Vol. 1, Issue 1). </w:t>
      </w:r>
      <w:hyperlink r:id="rId18" w:history="1">
        <w:r>
          <w:rPr>
            <w:rStyle w:val="Hyperlink"/>
            <w:rFonts w:ascii="Times New Roman" w:hAnsi="Times New Roman"/>
            <w:sz w:val="24"/>
            <w:szCs w:val="24"/>
          </w:rPr>
          <w:t>www.sciencearchives.org</w:t>
        </w:r>
      </w:hyperlink>
      <w:r>
        <w:rPr>
          <w:rFonts w:ascii="Times New Roman" w:hAnsi="Times New Roman"/>
          <w:sz w:val="24"/>
          <w:szCs w:val="24"/>
        </w:rPr>
        <w:t xml:space="preserve">   </w:t>
      </w:r>
    </w:p>
    <w:p w14:paraId="4A553673"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Drancourt, M., Bollet, C., Carlioz, A., Martelin, R., Gayral, J. P., &amp; Raoult, D. (2000). 16S Ribosomal DNA Sequence Analysis of a Large Collection of Environmental and Clinical Unidentifiable Bacterial Isolates. </w:t>
      </w:r>
      <w:r>
        <w:rPr>
          <w:rFonts w:ascii="Times New Roman" w:hAnsi="Times New Roman"/>
          <w:i/>
          <w:iCs/>
          <w:sz w:val="24"/>
          <w:szCs w:val="24"/>
        </w:rPr>
        <w:t>Journal of Clinical Microbiology, 38</w:t>
      </w:r>
      <w:r>
        <w:rPr>
          <w:rFonts w:ascii="Times New Roman" w:hAnsi="Times New Roman"/>
          <w:sz w:val="24"/>
          <w:szCs w:val="24"/>
        </w:rPr>
        <w:t xml:space="preserve">(10), 3623-3630.   </w:t>
      </w:r>
    </w:p>
    <w:p w14:paraId="4216C4ED"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Garcia, M. R., &amp; Patel, S. (2019). Practical applications of microbial identification in biotechnology. </w:t>
      </w:r>
      <w:r>
        <w:rPr>
          <w:rFonts w:ascii="Times New Roman" w:hAnsi="Times New Roman"/>
          <w:i/>
          <w:iCs/>
          <w:sz w:val="24"/>
          <w:szCs w:val="24"/>
        </w:rPr>
        <w:t>Biotech Advances</w:t>
      </w:r>
      <w:r>
        <w:rPr>
          <w:rFonts w:ascii="Times New Roman" w:hAnsi="Times New Roman"/>
          <w:sz w:val="24"/>
          <w:szCs w:val="24"/>
        </w:rPr>
        <w:t>, 37(4), 897-909.</w:t>
      </w:r>
    </w:p>
    <w:p w14:paraId="7E8D8831"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Giller, K. E. (2020). The Food Security Conundrum of sub-Saharan Africa. Global Food Security, 26. </w:t>
      </w:r>
      <w:hyperlink r:id="rId19" w:history="1">
        <w:r>
          <w:rPr>
            <w:rStyle w:val="Hyperlink"/>
            <w:rFonts w:ascii="Times New Roman" w:hAnsi="Times New Roman"/>
            <w:sz w:val="24"/>
            <w:szCs w:val="24"/>
          </w:rPr>
          <w:t>https://doi.org/10.1016/j.gfs.2020.100431</w:t>
        </w:r>
      </w:hyperlink>
      <w:r>
        <w:rPr>
          <w:rFonts w:ascii="Times New Roman" w:hAnsi="Times New Roman"/>
          <w:sz w:val="24"/>
          <w:szCs w:val="24"/>
        </w:rPr>
        <w:t xml:space="preserve">  </w:t>
      </w:r>
    </w:p>
    <w:p w14:paraId="16AEC6AD"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Gogarten, J. P., &amp; Townsend, J. P. (2005). Horizontal Gene Transfer, Genome Innovation and Evolution. </w:t>
      </w:r>
      <w:r>
        <w:rPr>
          <w:rFonts w:ascii="Times New Roman" w:hAnsi="Times New Roman"/>
          <w:i/>
          <w:iCs/>
          <w:sz w:val="24"/>
          <w:szCs w:val="24"/>
        </w:rPr>
        <w:t>Nature Reviews Microbiology, 3</w:t>
      </w:r>
      <w:r>
        <w:rPr>
          <w:rFonts w:ascii="Times New Roman" w:hAnsi="Times New Roman"/>
          <w:sz w:val="24"/>
          <w:szCs w:val="24"/>
        </w:rPr>
        <w:t>(9), 679-687.</w:t>
      </w:r>
    </w:p>
    <w:p w14:paraId="4A088C86"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Hikal, W. M., Mahmoud, A. A., Said-Al Ahl, H. A. H., Bratovcic, A., Tkachenko, K. G., Kačániová, M., &amp; Rodriguez, R. M. (2021). Pineapple (</w:t>
      </w:r>
      <w:r>
        <w:rPr>
          <w:rFonts w:ascii="Times New Roman" w:hAnsi="Times New Roman"/>
          <w:i/>
          <w:iCs/>
          <w:sz w:val="24"/>
          <w:szCs w:val="24"/>
        </w:rPr>
        <w:t>Ananas comosus</w:t>
      </w:r>
      <w:r>
        <w:rPr>
          <w:rFonts w:ascii="Times New Roman" w:hAnsi="Times New Roman"/>
          <w:sz w:val="24"/>
          <w:szCs w:val="24"/>
        </w:rPr>
        <w:t xml:space="preserve">; L. Merr.), waste streams, characterisation </w:t>
      </w:r>
      <w:r>
        <w:rPr>
          <w:rFonts w:ascii="Times New Roman" w:hAnsi="Times New Roman"/>
          <w:sz w:val="24"/>
          <w:szCs w:val="24"/>
        </w:rPr>
        <w:lastRenderedPageBreak/>
        <w:t xml:space="preserve">and valorisation: An overview. Open Journal of Ecology, 11(09), 610–634. </w:t>
      </w:r>
      <w:hyperlink r:id="rId20" w:history="1">
        <w:r>
          <w:rPr>
            <w:rStyle w:val="Hyperlink"/>
            <w:rFonts w:ascii="Times New Roman" w:hAnsi="Times New Roman"/>
            <w:sz w:val="24"/>
            <w:szCs w:val="24"/>
          </w:rPr>
          <w:t>https://doi.org/10.4236/oje.2021.119039</w:t>
        </w:r>
      </w:hyperlink>
      <w:r>
        <w:rPr>
          <w:rFonts w:ascii="Times New Roman" w:hAnsi="Times New Roman"/>
          <w:sz w:val="24"/>
          <w:szCs w:val="24"/>
        </w:rPr>
        <w:t xml:space="preserve">   </w:t>
      </w:r>
    </w:p>
    <w:p w14:paraId="4503DAE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Janda, J. M., &amp; Abbott, S. L. (2007). 16S rRNA Gene Sequencing for Bacterial Identification in the Diagnostic Laboratory: Pluses, Perils, and Pitfalls. </w:t>
      </w:r>
      <w:r>
        <w:rPr>
          <w:rFonts w:ascii="Times New Roman" w:hAnsi="Times New Roman"/>
          <w:i/>
          <w:iCs/>
          <w:sz w:val="24"/>
          <w:szCs w:val="24"/>
        </w:rPr>
        <w:t>Journal of Clinical Microbiology, 45</w:t>
      </w:r>
      <w:r>
        <w:rPr>
          <w:rFonts w:ascii="Times New Roman" w:hAnsi="Times New Roman"/>
          <w:sz w:val="24"/>
          <w:szCs w:val="24"/>
        </w:rPr>
        <w:t>(9), 2761-2764.</w:t>
      </w:r>
    </w:p>
    <w:p w14:paraId="3FF2A5A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Johnson, T. R., &amp; Lee, H. J. (2023). The role of </w:t>
      </w:r>
      <w:r>
        <w:rPr>
          <w:rFonts w:ascii="Times New Roman" w:hAnsi="Times New Roman"/>
          <w:i/>
          <w:iCs/>
          <w:sz w:val="24"/>
          <w:szCs w:val="24"/>
        </w:rPr>
        <w:t>Lactobacillus spp.</w:t>
      </w:r>
      <w:r>
        <w:rPr>
          <w:rFonts w:ascii="Times New Roman" w:hAnsi="Times New Roman"/>
          <w:sz w:val="24"/>
          <w:szCs w:val="24"/>
        </w:rPr>
        <w:t xml:space="preserve"> in fermentation processes: A microbiological perspective. </w:t>
      </w:r>
      <w:r>
        <w:rPr>
          <w:rFonts w:ascii="Times New Roman" w:hAnsi="Times New Roman"/>
          <w:i/>
          <w:iCs/>
          <w:sz w:val="24"/>
          <w:szCs w:val="24"/>
        </w:rPr>
        <w:t>Food Microbiology</w:t>
      </w:r>
      <w:r>
        <w:rPr>
          <w:rFonts w:ascii="Times New Roman" w:hAnsi="Times New Roman"/>
          <w:sz w:val="24"/>
          <w:szCs w:val="24"/>
        </w:rPr>
        <w:t>, 102(3), 215-229.</w:t>
      </w:r>
    </w:p>
    <w:p w14:paraId="5ACA565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Konstantinidis, K. T., &amp; Tiedje, J. M. (2005). Genomic Insights That Advance the Species Definition for Prokaryotes. </w:t>
      </w:r>
      <w:r>
        <w:rPr>
          <w:rFonts w:ascii="Times New Roman" w:hAnsi="Times New Roman"/>
          <w:i/>
          <w:iCs/>
          <w:sz w:val="24"/>
          <w:szCs w:val="24"/>
        </w:rPr>
        <w:t>Proceedings of the National Academy of Sciences, 102</w:t>
      </w:r>
      <w:r>
        <w:rPr>
          <w:rFonts w:ascii="Times New Roman" w:hAnsi="Times New Roman"/>
          <w:sz w:val="24"/>
          <w:szCs w:val="24"/>
        </w:rPr>
        <w:t>(7), 2567-2572.</w:t>
      </w:r>
    </w:p>
    <w:p w14:paraId="1F5FB49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Kumar, A. (2021). The Pharma Innovation Journal 2021; 10(5): 954-961 Utilization of bioactive components present in pineapple waste: A review. </w:t>
      </w:r>
      <w:hyperlink r:id="rId21" w:history="1">
        <w:r>
          <w:rPr>
            <w:rStyle w:val="Hyperlink"/>
            <w:rFonts w:ascii="Times New Roman" w:hAnsi="Times New Roman"/>
            <w:sz w:val="24"/>
            <w:szCs w:val="24"/>
          </w:rPr>
          <w:t>http://www.thepharmajournal.com</w:t>
        </w:r>
      </w:hyperlink>
      <w:r>
        <w:rPr>
          <w:rFonts w:ascii="Times New Roman" w:hAnsi="Times New Roman"/>
          <w:sz w:val="24"/>
          <w:szCs w:val="24"/>
        </w:rPr>
        <w:t xml:space="preserve">  </w:t>
      </w:r>
    </w:p>
    <w:p w14:paraId="35A06617"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Ludwig, W., &amp; Schleifer, K. H. (1994). Bacterial Phylogeny Based on 16S and 23S rRNA Sequence Analysis. </w:t>
      </w:r>
      <w:r>
        <w:rPr>
          <w:rFonts w:ascii="Times New Roman" w:hAnsi="Times New Roman"/>
          <w:i/>
          <w:iCs/>
          <w:sz w:val="24"/>
          <w:szCs w:val="24"/>
        </w:rPr>
        <w:t>FEMS Microbiology Reviews, 15</w:t>
      </w:r>
      <w:r>
        <w:rPr>
          <w:rFonts w:ascii="Times New Roman" w:hAnsi="Times New Roman"/>
          <w:sz w:val="24"/>
          <w:szCs w:val="24"/>
        </w:rPr>
        <w:t>(2-3), 155-173.</w:t>
      </w:r>
    </w:p>
    <w:p w14:paraId="65795AA4"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Maiden, M. C. J. (2006). Multilocus Sequence Typing of Bacteria. </w:t>
      </w:r>
      <w:r>
        <w:rPr>
          <w:rFonts w:ascii="Times New Roman" w:hAnsi="Times New Roman"/>
          <w:i/>
          <w:iCs/>
          <w:sz w:val="24"/>
          <w:szCs w:val="24"/>
        </w:rPr>
        <w:t>Annual Review of Microbiology, 60</w:t>
      </w:r>
      <w:r>
        <w:rPr>
          <w:rFonts w:ascii="Times New Roman" w:hAnsi="Times New Roman"/>
          <w:sz w:val="24"/>
          <w:szCs w:val="24"/>
        </w:rPr>
        <w:t>, 561-588.</w:t>
      </w:r>
    </w:p>
    <w:p w14:paraId="7B97410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Montero-Zamora, J., Rojas-Vargas, M. D., Barboza, N., López-Gómez, J. P., Mora-Villalobos, J. A., &amp; Redondo-Solano, M. (2022). Potential of new bacterial strains for a multiproduct bioprocess application: A Case study using isolates of lactic acid bacteria from pineapple silage of Costa Rican agro-industrial residues. Fermentation, 8(8). </w:t>
      </w:r>
      <w:hyperlink r:id="rId22" w:history="1">
        <w:r>
          <w:rPr>
            <w:rStyle w:val="Hyperlink"/>
            <w:rFonts w:ascii="Times New Roman" w:hAnsi="Times New Roman"/>
            <w:sz w:val="24"/>
            <w:szCs w:val="24"/>
          </w:rPr>
          <w:t>https://doi.org/10.3390/fermentation8080361</w:t>
        </w:r>
      </w:hyperlink>
      <w:r>
        <w:rPr>
          <w:rFonts w:ascii="Times New Roman" w:hAnsi="Times New Roman"/>
          <w:sz w:val="24"/>
          <w:szCs w:val="24"/>
        </w:rPr>
        <w:t xml:space="preserve">   </w:t>
      </w:r>
    </w:p>
    <w:p w14:paraId="74A7C379"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Ochman, H., Lawrence, J. G., &amp; Groisman, E. A. (2000). Lateral Gene Transfer and the Nature of Bacterial Innovation. </w:t>
      </w:r>
      <w:r>
        <w:rPr>
          <w:rFonts w:ascii="Times New Roman" w:hAnsi="Times New Roman"/>
          <w:i/>
          <w:iCs/>
          <w:sz w:val="24"/>
          <w:szCs w:val="24"/>
        </w:rPr>
        <w:t>Nature, 405</w:t>
      </w:r>
      <w:r>
        <w:rPr>
          <w:rFonts w:ascii="Times New Roman" w:hAnsi="Times New Roman"/>
          <w:sz w:val="24"/>
          <w:szCs w:val="24"/>
        </w:rPr>
        <w:t>(6784), 299-304.</w:t>
      </w:r>
    </w:p>
    <w:p w14:paraId="6302EFD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lang w:val="fr-FR"/>
        </w:rPr>
        <w:lastRenderedPageBreak/>
        <w:t xml:space="preserve">Ofori, S. A., Cobbina, S. J., &amp; Obiri, S. (2021). </w:t>
      </w:r>
      <w:r>
        <w:rPr>
          <w:rFonts w:ascii="Times New Roman" w:hAnsi="Times New Roman"/>
          <w:sz w:val="24"/>
          <w:szCs w:val="24"/>
        </w:rPr>
        <w:t xml:space="preserve">Climate Change, Land, Water, and Food Security: Perspectives From Sub-Saharan Africa. In Frontiers in Sustainable Food Systems (Vol. 5). Frontiers Media S.A. </w:t>
      </w:r>
      <w:hyperlink r:id="rId23" w:history="1">
        <w:r>
          <w:rPr>
            <w:rStyle w:val="Hyperlink"/>
            <w:rFonts w:ascii="Times New Roman" w:hAnsi="Times New Roman"/>
            <w:sz w:val="24"/>
            <w:szCs w:val="24"/>
          </w:rPr>
          <w:t>https://doi.org/10.3389/fsufs.2021.680924</w:t>
        </w:r>
      </w:hyperlink>
      <w:r>
        <w:rPr>
          <w:rFonts w:ascii="Times New Roman" w:hAnsi="Times New Roman"/>
          <w:sz w:val="24"/>
          <w:szCs w:val="24"/>
        </w:rPr>
        <w:t xml:space="preserve">  </w:t>
      </w:r>
    </w:p>
    <w:p w14:paraId="02B8FBAF"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Otieno, E. O., Kiplimo, R., &amp; Mutwiwa, U. (2023). Optimization of anaerobic digestion parameters for biogas production from pineapple wastes co-digested with livestock wastes. Heliyon, 9(3). </w:t>
      </w:r>
      <w:hyperlink r:id="rId24" w:history="1">
        <w:r>
          <w:rPr>
            <w:rStyle w:val="Hyperlink"/>
            <w:rFonts w:ascii="Times New Roman" w:hAnsi="Times New Roman"/>
            <w:sz w:val="24"/>
            <w:szCs w:val="24"/>
          </w:rPr>
          <w:t>https://doi.org/10.1016/j.heliyon.2023.e14041</w:t>
        </w:r>
      </w:hyperlink>
      <w:r>
        <w:rPr>
          <w:rFonts w:ascii="Times New Roman" w:hAnsi="Times New Roman"/>
          <w:sz w:val="24"/>
          <w:szCs w:val="24"/>
        </w:rPr>
        <w:t xml:space="preserve">   </w:t>
      </w:r>
    </w:p>
    <w:p w14:paraId="0D9C087F" w14:textId="77777777" w:rsidR="00D72F91" w:rsidRDefault="00D2263D">
      <w:pPr>
        <w:spacing w:line="480" w:lineRule="auto"/>
        <w:jc w:val="both"/>
        <w:rPr>
          <w:rFonts w:ascii="Times New Roman" w:hAnsi="Times New Roman"/>
          <w:sz w:val="24"/>
          <w:szCs w:val="24"/>
          <w:lang w:val="nb-NO"/>
        </w:rPr>
      </w:pPr>
      <w:r>
        <w:rPr>
          <w:rFonts w:ascii="Times New Roman" w:hAnsi="Times New Roman"/>
          <w:sz w:val="24"/>
          <w:szCs w:val="24"/>
        </w:rPr>
        <w:t xml:space="preserve">Palleroni, N. J. (1994). Introduction to the Family Pseudomonadaceae. In A. Balows, H. G. Trüper, M. Dworkin, W. Harder, &amp; K. H. Schleifer (Eds.), </w:t>
      </w:r>
      <w:r>
        <w:rPr>
          <w:rFonts w:ascii="Times New Roman" w:hAnsi="Times New Roman"/>
          <w:i/>
          <w:iCs/>
          <w:sz w:val="24"/>
          <w:szCs w:val="24"/>
        </w:rPr>
        <w:t>The Prokaryotes</w:t>
      </w:r>
      <w:r>
        <w:rPr>
          <w:rFonts w:ascii="Times New Roman" w:hAnsi="Times New Roman"/>
          <w:sz w:val="24"/>
          <w:szCs w:val="24"/>
        </w:rPr>
        <w:t xml:space="preserve"> (pp. 3071-3085). </w:t>
      </w:r>
      <w:r>
        <w:rPr>
          <w:rFonts w:ascii="Times New Roman" w:hAnsi="Times New Roman"/>
          <w:sz w:val="24"/>
          <w:szCs w:val="24"/>
          <w:lang w:val="nb-NO"/>
        </w:rPr>
        <w:t>Springer-Verlag.</w:t>
      </w:r>
    </w:p>
    <w:p w14:paraId="35FEB227"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lang w:val="nb-NO"/>
        </w:rPr>
        <w:t xml:space="preserve">Parven, M., Alam, M. M. M., Khalil, S. Md. I., Hamom, A., Goni, O., Rahman, Md. M., &amp; Abdullah-Al-Mamun, Md. </w:t>
      </w:r>
      <w:r>
        <w:rPr>
          <w:rFonts w:ascii="Times New Roman" w:hAnsi="Times New Roman"/>
          <w:sz w:val="24"/>
          <w:szCs w:val="24"/>
        </w:rPr>
        <w:t xml:space="preserve">(2020). Identification of pathogenic bacteria from diseased Thai Pangas Pangasius hypophthalmus with their sensitivity to antibiotics. Microbiology Research Journal International, 7–21. </w:t>
      </w:r>
      <w:hyperlink r:id="rId25" w:history="1">
        <w:r>
          <w:rPr>
            <w:rStyle w:val="Hyperlink"/>
            <w:rFonts w:ascii="Times New Roman" w:hAnsi="Times New Roman"/>
            <w:sz w:val="24"/>
            <w:szCs w:val="24"/>
          </w:rPr>
          <w:t>https://doi.org/10.9734/mrji/2020/v30i330201</w:t>
        </w:r>
      </w:hyperlink>
      <w:r>
        <w:rPr>
          <w:rFonts w:ascii="Times New Roman" w:hAnsi="Times New Roman"/>
          <w:sz w:val="24"/>
          <w:szCs w:val="24"/>
        </w:rPr>
        <w:t xml:space="preserve">     </w:t>
      </w:r>
    </w:p>
    <w:p w14:paraId="07054DA0"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PRASTUJATI, A. U., SETIADEVI, S., HILMI, M., &amp; KHUSNA, A. (2019). Isolation and identification of </w:t>
      </w:r>
      <w:r>
        <w:rPr>
          <w:rFonts w:ascii="Times New Roman" w:hAnsi="Times New Roman"/>
          <w:i/>
          <w:iCs/>
          <w:sz w:val="24"/>
          <w:szCs w:val="24"/>
        </w:rPr>
        <w:t>Acetobacter</w:t>
      </w:r>
      <w:r>
        <w:rPr>
          <w:rFonts w:ascii="Times New Roman" w:hAnsi="Times New Roman"/>
          <w:sz w:val="24"/>
          <w:szCs w:val="24"/>
        </w:rPr>
        <w:t xml:space="preserve"> sp. from pineapple (</w:t>
      </w:r>
      <w:r>
        <w:rPr>
          <w:rFonts w:ascii="Times New Roman" w:hAnsi="Times New Roman"/>
          <w:i/>
          <w:iCs/>
          <w:sz w:val="24"/>
          <w:szCs w:val="24"/>
        </w:rPr>
        <w:t>Ananas comosus</w:t>
      </w:r>
      <w:r>
        <w:rPr>
          <w:rFonts w:ascii="Times New Roman" w:hAnsi="Times New Roman"/>
          <w:sz w:val="24"/>
          <w:szCs w:val="24"/>
        </w:rPr>
        <w:t xml:space="preserve"> L.) as nata starter. Journal of World’s Poultry Research, 9(6), 260–264. </w:t>
      </w:r>
      <w:hyperlink r:id="rId26" w:history="1">
        <w:r>
          <w:rPr>
            <w:rStyle w:val="Hyperlink"/>
            <w:rFonts w:ascii="Times New Roman" w:hAnsi="Times New Roman"/>
            <w:sz w:val="24"/>
            <w:szCs w:val="24"/>
          </w:rPr>
          <w:t>https://doi.org/10.36380/scil.2019.ojafr36</w:t>
        </w:r>
      </w:hyperlink>
      <w:r>
        <w:rPr>
          <w:rFonts w:ascii="Times New Roman" w:hAnsi="Times New Roman"/>
          <w:sz w:val="24"/>
          <w:szCs w:val="24"/>
        </w:rPr>
        <w:t xml:space="preserve">  </w:t>
      </w:r>
    </w:p>
    <w:p w14:paraId="717FA33A"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Prastujati, B.A., Maulida, Y., &amp; Rahman, A. (2019). Bacterial identification in fruit extracts. </w:t>
      </w:r>
      <w:r>
        <w:rPr>
          <w:rFonts w:ascii="Times New Roman" w:hAnsi="Times New Roman"/>
          <w:i/>
          <w:iCs/>
          <w:sz w:val="24"/>
          <w:szCs w:val="24"/>
        </w:rPr>
        <w:t>Microbial Identification Techniques</w:t>
      </w:r>
      <w:r>
        <w:rPr>
          <w:rFonts w:ascii="Times New Roman" w:hAnsi="Times New Roman"/>
          <w:sz w:val="24"/>
          <w:szCs w:val="24"/>
        </w:rPr>
        <w:t>, 14, 89-94.</w:t>
      </w:r>
    </w:p>
    <w:p w14:paraId="48A5D970"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Rantanen, J., &amp; Khinast, J. (2015). The Future of Pharmaceutical Manufacturing Sciences. In Journal of Pharmaceutical Sciences (Vol. 104, Issue 11, pp. 3612–3638). John Wiley and Sons Inc. </w:t>
      </w:r>
      <w:hyperlink r:id="rId27" w:history="1">
        <w:r>
          <w:rPr>
            <w:rStyle w:val="Hyperlink"/>
            <w:rFonts w:ascii="Times New Roman" w:hAnsi="Times New Roman"/>
            <w:sz w:val="24"/>
            <w:szCs w:val="24"/>
          </w:rPr>
          <w:t>https://doi.org/10.1002/jps.24594</w:t>
        </w:r>
      </w:hyperlink>
      <w:r>
        <w:rPr>
          <w:rFonts w:ascii="Times New Roman" w:hAnsi="Times New Roman"/>
          <w:sz w:val="24"/>
          <w:szCs w:val="24"/>
        </w:rPr>
        <w:t xml:space="preserve">  </w:t>
      </w:r>
    </w:p>
    <w:p w14:paraId="1D9370C9"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lastRenderedPageBreak/>
        <w:t xml:space="preserve">Schleifer, K. H. (2009). Classification of Bacteria and Archaea: Past, Present and Future. </w:t>
      </w:r>
      <w:r>
        <w:rPr>
          <w:rFonts w:ascii="Times New Roman" w:hAnsi="Times New Roman"/>
          <w:i/>
          <w:iCs/>
          <w:sz w:val="24"/>
          <w:szCs w:val="24"/>
        </w:rPr>
        <w:t>Systematic and Applied Microbiology, 32</w:t>
      </w:r>
      <w:r>
        <w:rPr>
          <w:rFonts w:ascii="Times New Roman" w:hAnsi="Times New Roman"/>
          <w:sz w:val="24"/>
          <w:szCs w:val="24"/>
        </w:rPr>
        <w:t>(8), 533-542.</w:t>
      </w:r>
    </w:p>
    <w:p w14:paraId="3C5A935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Smith, B. E., &amp; Jones, A. R. (2022). Horizontal gene transfer and bacterial adaptation: A phylogenetic approach. </w:t>
      </w:r>
      <w:r>
        <w:rPr>
          <w:rFonts w:ascii="Times New Roman" w:hAnsi="Times New Roman"/>
          <w:i/>
          <w:iCs/>
          <w:sz w:val="24"/>
          <w:szCs w:val="24"/>
        </w:rPr>
        <w:t>Evolutionary Biology</w:t>
      </w:r>
      <w:r>
        <w:rPr>
          <w:rFonts w:ascii="Times New Roman" w:hAnsi="Times New Roman"/>
          <w:sz w:val="24"/>
          <w:szCs w:val="24"/>
        </w:rPr>
        <w:t>, 39(3), 321-333.</w:t>
      </w:r>
    </w:p>
    <w:p w14:paraId="79D3D6B5"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Stackebrandt, E., &amp; Goebel, B. M. (1994). Taxonomic Note: A Place for DNA-DNA Reassociation and 16S rRNA Sequence Analysis in the Present Species Definition in Bacteriology. </w:t>
      </w:r>
      <w:r>
        <w:rPr>
          <w:rFonts w:ascii="Times New Roman" w:hAnsi="Times New Roman"/>
          <w:i/>
          <w:iCs/>
          <w:sz w:val="24"/>
          <w:szCs w:val="24"/>
        </w:rPr>
        <w:t>International Journal of Systematic and Evolutionary Microbiology, 44</w:t>
      </w:r>
      <w:r>
        <w:rPr>
          <w:rFonts w:ascii="Times New Roman" w:hAnsi="Times New Roman"/>
          <w:sz w:val="24"/>
          <w:szCs w:val="24"/>
        </w:rPr>
        <w:t>(4), 846-849.</w:t>
      </w:r>
    </w:p>
    <w:p w14:paraId="4EE0D6FD"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Sutton, S. (2011). Accuracy of plate counts. Journal of Validation Technology, 17(3), 42-46.</w:t>
      </w:r>
    </w:p>
    <w:p w14:paraId="22A47DDB"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Tan, L. S., Sueb, M. S. M., Chua, G. K., Shaarani, S. H. N., &amp; Jamek, S. (2020). Screening of microorganisms from pineapple waste for fructooligosaccharides production. IOP Conference Series: Materials Science and Engineering, 991(1). </w:t>
      </w:r>
      <w:hyperlink r:id="rId28" w:history="1">
        <w:r>
          <w:rPr>
            <w:rStyle w:val="Hyperlink"/>
            <w:rFonts w:ascii="Times New Roman" w:hAnsi="Times New Roman"/>
            <w:sz w:val="24"/>
            <w:szCs w:val="24"/>
          </w:rPr>
          <w:t>https://doi.org/10.1088/1757-899X/991/1/012056</w:t>
        </w:r>
      </w:hyperlink>
      <w:r>
        <w:rPr>
          <w:rFonts w:ascii="Times New Roman" w:hAnsi="Times New Roman"/>
          <w:sz w:val="24"/>
          <w:szCs w:val="24"/>
        </w:rPr>
        <w:t xml:space="preserve"> </w:t>
      </w:r>
    </w:p>
    <w:p w14:paraId="1B7CFB26"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Taylor, S. L., Wang, H. X., &amp; Jackson, D. L. (2020). Evolutionary dynamics of bacterial species: Insights from phylogenetic analyses. </w:t>
      </w:r>
      <w:r>
        <w:rPr>
          <w:rFonts w:ascii="Times New Roman" w:hAnsi="Times New Roman"/>
          <w:i/>
          <w:iCs/>
          <w:sz w:val="24"/>
          <w:szCs w:val="24"/>
        </w:rPr>
        <w:t>Nature Reviews Microbiology</w:t>
      </w:r>
      <w:r>
        <w:rPr>
          <w:rFonts w:ascii="Times New Roman" w:hAnsi="Times New Roman"/>
          <w:sz w:val="24"/>
          <w:szCs w:val="24"/>
        </w:rPr>
        <w:t>, 18(5), 305-317.</w:t>
      </w:r>
    </w:p>
    <w:p w14:paraId="24BBAA50"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Tindall, B. J., Rosselló-Móra, R., Busse, H. J., Ludwig, W., &amp; Kämpfer, P. (2010). Notes on the Characterization of Prokaryote Strains for Taxonomic Purposes. </w:t>
      </w:r>
      <w:r>
        <w:rPr>
          <w:rFonts w:ascii="Times New Roman" w:hAnsi="Times New Roman"/>
          <w:i/>
          <w:iCs/>
          <w:sz w:val="24"/>
          <w:szCs w:val="24"/>
        </w:rPr>
        <w:t>International Journal of Systematic and Evolutionary Microbiology, 60</w:t>
      </w:r>
      <w:r>
        <w:rPr>
          <w:rFonts w:ascii="Times New Roman" w:hAnsi="Times New Roman"/>
          <w:sz w:val="24"/>
          <w:szCs w:val="24"/>
        </w:rPr>
        <w:t>(1), 249-266.</w:t>
      </w:r>
    </w:p>
    <w:p w14:paraId="4E8179C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Tournas, V. H., Stack, M. E., Mislivec, P. B., Koch, H. A., &amp; Bandler, R. (2001). Yeasts, molds and mycotoxins. Bacteriological analytical manual, 18.</w:t>
      </w:r>
    </w:p>
    <w:p w14:paraId="582ABD42"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Vandamme, P., &amp; Peeters, C. (2014). Time to Reclassify the </w:t>
      </w:r>
      <w:r>
        <w:rPr>
          <w:rFonts w:ascii="Times New Roman" w:hAnsi="Times New Roman"/>
          <w:i/>
          <w:iCs/>
          <w:sz w:val="24"/>
          <w:szCs w:val="24"/>
        </w:rPr>
        <w:t>Proteobacteria</w:t>
      </w:r>
      <w:r>
        <w:rPr>
          <w:rFonts w:ascii="Times New Roman" w:hAnsi="Times New Roman"/>
          <w:sz w:val="24"/>
          <w:szCs w:val="24"/>
        </w:rPr>
        <w:t xml:space="preserve">: Proposal for a New Taxonomic Structure. </w:t>
      </w:r>
      <w:r>
        <w:rPr>
          <w:rFonts w:ascii="Times New Roman" w:hAnsi="Times New Roman"/>
          <w:i/>
          <w:iCs/>
          <w:sz w:val="24"/>
          <w:szCs w:val="24"/>
        </w:rPr>
        <w:t>Systematic and Applied Microbiology, 37</w:t>
      </w:r>
      <w:r>
        <w:rPr>
          <w:rFonts w:ascii="Times New Roman" w:hAnsi="Times New Roman"/>
          <w:sz w:val="24"/>
          <w:szCs w:val="24"/>
        </w:rPr>
        <w:t>(4), 272-279.</w:t>
      </w:r>
    </w:p>
    <w:p w14:paraId="7AAB7C9E"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lastRenderedPageBreak/>
        <w:t xml:space="preserve">Vandamme, P., Pot, B., Gillis, M., de Vos, P., Kersters, K., &amp; Swings, J. (1996). Polyphasic Taxonomy, a Consensus Approach to Bacterial Systematics. </w:t>
      </w:r>
      <w:r>
        <w:rPr>
          <w:rFonts w:ascii="Times New Roman" w:hAnsi="Times New Roman"/>
          <w:i/>
          <w:iCs/>
          <w:sz w:val="24"/>
          <w:szCs w:val="24"/>
        </w:rPr>
        <w:t>Microbiological Reviews, 60</w:t>
      </w:r>
      <w:r>
        <w:rPr>
          <w:rFonts w:ascii="Times New Roman" w:hAnsi="Times New Roman"/>
          <w:sz w:val="24"/>
          <w:szCs w:val="24"/>
        </w:rPr>
        <w:t>(2), 407-438.</w:t>
      </w:r>
    </w:p>
    <w:p w14:paraId="1FD8ABF7"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lang w:val="fr-FR"/>
        </w:rPr>
        <w:t xml:space="preserve">Wang, Y., Xu, Z., &amp; Chen, G. (2023). </w:t>
      </w:r>
      <w:r>
        <w:rPr>
          <w:rFonts w:ascii="Times New Roman" w:hAnsi="Times New Roman"/>
          <w:sz w:val="24"/>
          <w:szCs w:val="24"/>
        </w:rPr>
        <w:t xml:space="preserve">Genetic diversity of </w:t>
      </w:r>
      <w:r>
        <w:rPr>
          <w:rFonts w:ascii="Times New Roman" w:hAnsi="Times New Roman"/>
          <w:i/>
          <w:iCs/>
          <w:sz w:val="24"/>
          <w:szCs w:val="24"/>
        </w:rPr>
        <w:t>Escherichia coli</w:t>
      </w:r>
      <w:r>
        <w:rPr>
          <w:rFonts w:ascii="Times New Roman" w:hAnsi="Times New Roman"/>
          <w:sz w:val="24"/>
          <w:szCs w:val="24"/>
        </w:rPr>
        <w:t xml:space="preserve"> and its implications for public health. </w:t>
      </w:r>
      <w:r>
        <w:rPr>
          <w:rFonts w:ascii="Times New Roman" w:hAnsi="Times New Roman"/>
          <w:i/>
          <w:iCs/>
          <w:sz w:val="24"/>
          <w:szCs w:val="24"/>
        </w:rPr>
        <w:t>Microbial Genomics</w:t>
      </w:r>
      <w:r>
        <w:rPr>
          <w:rFonts w:ascii="Times New Roman" w:hAnsi="Times New Roman"/>
          <w:sz w:val="24"/>
          <w:szCs w:val="24"/>
        </w:rPr>
        <w:t>, 9(1), 45-58.</w:t>
      </w:r>
    </w:p>
    <w:p w14:paraId="5649F23A" w14:textId="77777777" w:rsidR="00D72F91" w:rsidRDefault="00D2263D">
      <w:pPr>
        <w:spacing w:line="480" w:lineRule="auto"/>
        <w:jc w:val="both"/>
        <w:rPr>
          <w:rFonts w:ascii="Times New Roman" w:hAnsi="Times New Roman"/>
          <w:sz w:val="24"/>
          <w:szCs w:val="24"/>
        </w:rPr>
      </w:pPr>
      <w:r>
        <w:rPr>
          <w:rFonts w:ascii="Times New Roman" w:hAnsi="Times New Roman"/>
          <w:sz w:val="24"/>
          <w:szCs w:val="24"/>
        </w:rPr>
        <w:t xml:space="preserve">Woese, C. R. (1987). Bacterial Evolution. </w:t>
      </w:r>
      <w:r>
        <w:rPr>
          <w:rFonts w:ascii="Times New Roman" w:hAnsi="Times New Roman"/>
          <w:i/>
          <w:iCs/>
          <w:sz w:val="24"/>
          <w:szCs w:val="24"/>
        </w:rPr>
        <w:t>Microbiological Reviews, 51</w:t>
      </w:r>
      <w:r>
        <w:rPr>
          <w:rFonts w:ascii="Times New Roman" w:hAnsi="Times New Roman"/>
          <w:sz w:val="24"/>
          <w:szCs w:val="24"/>
        </w:rPr>
        <w:t>(2), 221-271.</w:t>
      </w:r>
    </w:p>
    <w:sectPr w:rsidR="00D72F91">
      <w:pgSz w:w="12240" w:h="15840"/>
      <w:pgMar w:top="117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DE26" w14:textId="77777777" w:rsidR="00D2263D" w:rsidRDefault="00D2263D">
      <w:pPr>
        <w:spacing w:after="0" w:line="240" w:lineRule="auto"/>
      </w:pPr>
      <w:r>
        <w:separator/>
      </w:r>
    </w:p>
  </w:endnote>
  <w:endnote w:type="continuationSeparator" w:id="0">
    <w:p w14:paraId="663307B0" w14:textId="77777777" w:rsidR="00D2263D" w:rsidRDefault="00D2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B4D3" w14:textId="77777777" w:rsidR="00D72F91" w:rsidRDefault="00D7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A490" w14:textId="77777777" w:rsidR="00D72F91" w:rsidRDefault="00D7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22F20" w14:textId="77777777" w:rsidR="00D2263D" w:rsidRDefault="00D2263D">
      <w:pPr>
        <w:spacing w:after="0" w:line="240" w:lineRule="auto"/>
      </w:pPr>
      <w:r>
        <w:separator/>
      </w:r>
    </w:p>
  </w:footnote>
  <w:footnote w:type="continuationSeparator" w:id="0">
    <w:p w14:paraId="6815748E" w14:textId="77777777" w:rsidR="00D2263D" w:rsidRDefault="00D2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1203" w14:textId="77777777" w:rsidR="00D72F91" w:rsidRDefault="00D2263D">
    <w:pPr>
      <w:pStyle w:val="Header"/>
    </w:pPr>
    <w:r>
      <w:rPr>
        <w:noProof/>
      </w:rPr>
      <w:pict w14:anchorId="7D248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87.6pt;height:110.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F4E3" w14:textId="77777777" w:rsidR="00D72F91" w:rsidRDefault="00D2263D">
    <w:pPr>
      <w:pStyle w:val="Header"/>
    </w:pPr>
    <w:r>
      <w:rPr>
        <w:noProof/>
      </w:rPr>
      <w:pict w14:anchorId="7CF14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87.6pt;height:110.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0FDE" w14:textId="77777777" w:rsidR="00D72F91" w:rsidRDefault="00D2263D">
    <w:pPr>
      <w:pStyle w:val="Header"/>
    </w:pPr>
    <w:r>
      <w:rPr>
        <w:noProof/>
      </w:rPr>
      <w:pict w14:anchorId="4F88D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87.6pt;height:110.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CD84B8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BCA6ACA0"/>
    <w:lvl w:ilvl="0" w:tplc="26922860">
      <w:start w:val="1"/>
      <w:numFmt w:val="decimal"/>
      <w:lvlText w:val="%1."/>
      <w:lvlJc w:val="left"/>
      <w:pPr>
        <w:ind w:left="27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000002"/>
    <w:multiLevelType w:val="hybridMultilevel"/>
    <w:tmpl w:val="25D47AC4"/>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0000003"/>
    <w:multiLevelType w:val="hybridMultilevel"/>
    <w:tmpl w:val="1E02A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0000004"/>
    <w:multiLevelType w:val="multilevel"/>
    <w:tmpl w:val="A72A957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0000005"/>
    <w:multiLevelType w:val="hybridMultilevel"/>
    <w:tmpl w:val="96D0593C"/>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0000006"/>
    <w:multiLevelType w:val="hybridMultilevel"/>
    <w:tmpl w:val="FE1AC798"/>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0000007"/>
    <w:multiLevelType w:val="hybridMultilevel"/>
    <w:tmpl w:val="8280F45C"/>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0000008"/>
    <w:multiLevelType w:val="hybridMultilevel"/>
    <w:tmpl w:val="9F8079D8"/>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0000009"/>
    <w:multiLevelType w:val="hybridMultilevel"/>
    <w:tmpl w:val="21EA5022"/>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000000A"/>
    <w:multiLevelType w:val="hybridMultilevel"/>
    <w:tmpl w:val="24682A24"/>
    <w:lvl w:ilvl="0" w:tplc="26922860">
      <w:start w:val="1"/>
      <w:numFmt w:val="decimal"/>
      <w:lvlText w:val="%1."/>
      <w:lvlJc w:val="left"/>
      <w:pPr>
        <w:ind w:left="270" w:hanging="360"/>
      </w:pPr>
      <w:rPr>
        <w:rFonts w:hint="default"/>
        <w:vertAlign w:val="superscript"/>
      </w:rPr>
    </w:lvl>
    <w:lvl w:ilvl="1" w:tplc="040C0019" w:tentative="1">
      <w:start w:val="1"/>
      <w:numFmt w:val="lowerLetter"/>
      <w:lvlText w:val="%2."/>
      <w:lvlJc w:val="left"/>
      <w:pPr>
        <w:ind w:left="990" w:hanging="360"/>
      </w:pPr>
    </w:lvl>
    <w:lvl w:ilvl="2" w:tplc="040C001B" w:tentative="1">
      <w:start w:val="1"/>
      <w:numFmt w:val="lowerRoman"/>
      <w:lvlText w:val="%3."/>
      <w:lvlJc w:val="right"/>
      <w:pPr>
        <w:ind w:left="1710" w:hanging="180"/>
      </w:pPr>
    </w:lvl>
    <w:lvl w:ilvl="3" w:tplc="040C000F" w:tentative="1">
      <w:start w:val="1"/>
      <w:numFmt w:val="decimal"/>
      <w:lvlText w:val="%4."/>
      <w:lvlJc w:val="left"/>
      <w:pPr>
        <w:ind w:left="2430" w:hanging="360"/>
      </w:pPr>
    </w:lvl>
    <w:lvl w:ilvl="4" w:tplc="040C0019" w:tentative="1">
      <w:start w:val="1"/>
      <w:numFmt w:val="lowerLetter"/>
      <w:lvlText w:val="%5."/>
      <w:lvlJc w:val="left"/>
      <w:pPr>
        <w:ind w:left="3150" w:hanging="360"/>
      </w:pPr>
    </w:lvl>
    <w:lvl w:ilvl="5" w:tplc="040C001B" w:tentative="1">
      <w:start w:val="1"/>
      <w:numFmt w:val="lowerRoman"/>
      <w:lvlText w:val="%6."/>
      <w:lvlJc w:val="right"/>
      <w:pPr>
        <w:ind w:left="3870" w:hanging="180"/>
      </w:pPr>
    </w:lvl>
    <w:lvl w:ilvl="6" w:tplc="040C000F" w:tentative="1">
      <w:start w:val="1"/>
      <w:numFmt w:val="decimal"/>
      <w:lvlText w:val="%7."/>
      <w:lvlJc w:val="left"/>
      <w:pPr>
        <w:ind w:left="4590" w:hanging="360"/>
      </w:pPr>
    </w:lvl>
    <w:lvl w:ilvl="7" w:tplc="040C0019" w:tentative="1">
      <w:start w:val="1"/>
      <w:numFmt w:val="lowerLetter"/>
      <w:lvlText w:val="%8."/>
      <w:lvlJc w:val="left"/>
      <w:pPr>
        <w:ind w:left="5310" w:hanging="360"/>
      </w:pPr>
    </w:lvl>
    <w:lvl w:ilvl="8" w:tplc="040C001B" w:tentative="1">
      <w:start w:val="1"/>
      <w:numFmt w:val="lowerRoman"/>
      <w:lvlText w:val="%9."/>
      <w:lvlJc w:val="right"/>
      <w:pPr>
        <w:ind w:left="6030" w:hanging="180"/>
      </w:pPr>
    </w:lvl>
  </w:abstractNum>
  <w:abstractNum w:abstractNumId="11" w15:restartNumberingAfterBreak="0">
    <w:nsid w:val="0000000B"/>
    <w:multiLevelType w:val="hybridMultilevel"/>
    <w:tmpl w:val="07CEBFD6"/>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328693F8"/>
    <w:lvl w:ilvl="0" w:tplc="155CE31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78100838">
    <w:abstractNumId w:val="4"/>
  </w:num>
  <w:num w:numId="2" w16cid:durableId="379599818">
    <w:abstractNumId w:val="12"/>
  </w:num>
  <w:num w:numId="3" w16cid:durableId="1173185355">
    <w:abstractNumId w:val="10"/>
  </w:num>
  <w:num w:numId="4" w16cid:durableId="520513795">
    <w:abstractNumId w:val="1"/>
  </w:num>
  <w:num w:numId="5" w16cid:durableId="1305041925">
    <w:abstractNumId w:val="5"/>
  </w:num>
  <w:num w:numId="6" w16cid:durableId="656417593">
    <w:abstractNumId w:val="7"/>
  </w:num>
  <w:num w:numId="7" w16cid:durableId="1653021917">
    <w:abstractNumId w:val="11"/>
  </w:num>
  <w:num w:numId="8" w16cid:durableId="990720180">
    <w:abstractNumId w:val="2"/>
  </w:num>
  <w:num w:numId="9" w16cid:durableId="608198282">
    <w:abstractNumId w:val="6"/>
  </w:num>
  <w:num w:numId="10" w16cid:durableId="1000498421">
    <w:abstractNumId w:val="8"/>
  </w:num>
  <w:num w:numId="11" w16cid:durableId="293873899">
    <w:abstractNumId w:val="13"/>
  </w:num>
  <w:num w:numId="12" w16cid:durableId="1059015588">
    <w:abstractNumId w:val="9"/>
  </w:num>
  <w:num w:numId="13" w16cid:durableId="1358118126">
    <w:abstractNumId w:val="0"/>
  </w:num>
  <w:num w:numId="14" w16cid:durableId="2053536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hyphenationZone w:val="425"/>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91"/>
    <w:rsid w:val="001C69C7"/>
    <w:rsid w:val="002748FC"/>
    <w:rsid w:val="002F2822"/>
    <w:rsid w:val="0033795B"/>
    <w:rsid w:val="003D467C"/>
    <w:rsid w:val="004D018C"/>
    <w:rsid w:val="00586648"/>
    <w:rsid w:val="006E5F1B"/>
    <w:rsid w:val="008007DC"/>
    <w:rsid w:val="008E6061"/>
    <w:rsid w:val="00D2263D"/>
    <w:rsid w:val="00D22F02"/>
    <w:rsid w:val="00D72F91"/>
    <w:rsid w:val="00D87D67"/>
    <w:rsid w:val="00E8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BD75EC"/>
  <w15:docId w15:val="{F40FD23F-FA6C-4866-9917-6E4BDA6F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paragraph" w:styleId="Heading2">
    <w:name w:val="heading 2"/>
    <w:basedOn w:val="Normal"/>
    <w:next w:val="Normal"/>
    <w:link w:val="Heading2Char"/>
    <w:uiPriority w:val="9"/>
    <w:unhideWhenUsed/>
    <w:qFormat/>
    <w:pPr>
      <w:keepNext/>
      <w:keepLines/>
      <w:spacing w:before="40" w:after="0" w:line="259" w:lineRule="auto"/>
      <w:outlineLvl w:val="1"/>
    </w:pPr>
    <w:rPr>
      <w:rFonts w:ascii="Cambria" w:hAnsi="Cambria" w:cs="SimSun"/>
      <w:color w:val="365F91"/>
      <w:sz w:val="26"/>
      <w:szCs w:val="26"/>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uiPriority w:val="99"/>
    <w:rPr>
      <w:color w:val="0000FF"/>
      <w:u w:val="single"/>
    </w:rPr>
  </w:style>
  <w:style w:type="character" w:customStyle="1" w:styleId="UnresolvedMention1">
    <w:name w:val="Unresolved Mention1"/>
    <w:uiPriority w:val="99"/>
    <w:rPr>
      <w:color w:val="605E5C"/>
      <w:shd w:val="clear" w:color="auto" w:fill="E1DFDD"/>
    </w:rPr>
  </w:style>
  <w:style w:type="character" w:styleId="PlaceholderText">
    <w:name w:val="Placeholder Text"/>
    <w:uiPriority w:val="99"/>
    <w:rPr>
      <w:color w:val="666666"/>
    </w:rPr>
  </w:style>
  <w:style w:type="table" w:styleId="TableGrid">
    <w:name w:val="Table Grid"/>
    <w:basedOn w:val="TableNormal"/>
    <w:uiPriority w:val="39"/>
    <w:rPr>
      <w:rFonts w:eastAsia="Calibri" w:cs="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pPr>
      <w:keepNext/>
      <w:spacing w:line="240" w:lineRule="exact"/>
      <w:ind w:firstLine="238"/>
      <w:jc w:val="both"/>
    </w:pPr>
    <w:rPr>
      <w:rFonts w:ascii="Times New Roman" w:eastAsia="Times New Roman" w:hAnsi="Times New Roman"/>
      <w:lang w:val="en-US" w:eastAsia="en-US"/>
    </w:rPr>
  </w:style>
  <w:style w:type="paragraph" w:styleId="Caption">
    <w:name w:val="caption"/>
    <w:basedOn w:val="Normal"/>
    <w:next w:val="Normal"/>
    <w:uiPriority w:val="35"/>
    <w:qFormat/>
    <w:pPr>
      <w:spacing w:line="240" w:lineRule="auto"/>
    </w:pPr>
    <w:rPr>
      <w:i/>
      <w:iCs/>
      <w:color w:val="1F497D"/>
      <w:sz w:val="18"/>
      <w:szCs w:val="18"/>
    </w:rPr>
  </w:style>
  <w:style w:type="character" w:customStyle="1" w:styleId="Heading2Char">
    <w:name w:val="Heading 2 Char"/>
    <w:basedOn w:val="DefaultParagraphFont"/>
    <w:link w:val="Heading2"/>
    <w:uiPriority w:val="99"/>
    <w:rPr>
      <w:rFonts w:ascii="Cambria" w:eastAsia="SimSun" w:hAnsi="Cambria" w:cs="SimSun"/>
      <w:color w:val="365F91"/>
      <w:sz w:val="26"/>
      <w:szCs w:val="26"/>
      <w:lang w:eastAsia="en-U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sz w:val="22"/>
      <w:szCs w:val="22"/>
      <w:lang w:val="en-US" w:eastAsia="zh-C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sz w:val="22"/>
      <w:szCs w:val="22"/>
      <w:lang w:val="en-US" w:eastAsia="zh-CN"/>
    </w:rPr>
  </w:style>
  <w:style w:type="character" w:styleId="Emphasis">
    <w:name w:val="Emphasis"/>
    <w:basedOn w:val="DefaultParagraphFont"/>
    <w:uiPriority w:val="20"/>
    <w:qFormat/>
    <w:rsid w:val="001C69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ciencearchives.org" TargetMode="External"/><Relationship Id="rId26" Type="http://schemas.openxmlformats.org/officeDocument/2006/relationships/hyperlink" Target="https://doi.org/10.36380/scil.2019.ojafr36" TargetMode="External"/><Relationship Id="rId3" Type="http://schemas.openxmlformats.org/officeDocument/2006/relationships/styles" Target="styles.xml"/><Relationship Id="rId21" Type="http://schemas.openxmlformats.org/officeDocument/2006/relationships/hyperlink" Target="http://www.thepharmajourna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16/j.foodchem.2020.127882" TargetMode="External"/><Relationship Id="rId25" Type="http://schemas.openxmlformats.org/officeDocument/2006/relationships/hyperlink" Target="https://doi.org/10.9734/mrji/2020/v30i330201" TargetMode="External"/><Relationship Id="rId2" Type="http://schemas.openxmlformats.org/officeDocument/2006/relationships/numbering" Target="numbering.xml"/><Relationship Id="rId16" Type="http://schemas.openxmlformats.org/officeDocument/2006/relationships/hyperlink" Target="https://doi.org/10.3389/fcimb.2021.771510" TargetMode="External"/><Relationship Id="rId20" Type="http://schemas.openxmlformats.org/officeDocument/2006/relationships/hyperlink" Target="https://doi.org/10.4236/oje.2021.1190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16/j.heliyon.2023.e14041"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3389/fsufs.2021.680924" TargetMode="External"/><Relationship Id="rId28" Type="http://schemas.openxmlformats.org/officeDocument/2006/relationships/hyperlink" Target="https://doi.org/10.1088/1757-899X/991/1/012056" TargetMode="External"/><Relationship Id="rId10" Type="http://schemas.openxmlformats.org/officeDocument/2006/relationships/header" Target="header1.xml"/><Relationship Id="rId19" Type="http://schemas.openxmlformats.org/officeDocument/2006/relationships/hyperlink" Target="https://doi.org/10.1016/j.gfs.2020.10043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doi.org/10.3390/fermentation8080361" TargetMode="External"/><Relationship Id="rId27" Type="http://schemas.openxmlformats.org/officeDocument/2006/relationships/hyperlink" Target="https://doi.org/10.1002/jps.2459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EC38F29-7B40-4D9D-8138-C0FFF339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22</Pages>
  <Words>5209</Words>
  <Characters>28652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KI7</dc:creator>
  <cp:lastModifiedBy>Maanicus Rodolpher Bez-bang Kotangou</cp:lastModifiedBy>
  <cp:revision>11</cp:revision>
  <dcterms:created xsi:type="dcterms:W3CDTF">2024-09-11T22:14:00Z</dcterms:created>
  <dcterms:modified xsi:type="dcterms:W3CDTF">2025-04-22T12:18:00Z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7f58e63e975f49bc84e08883a8814f3f</vt:lpwstr>
  </property>
</Properties>
</file>