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B80CA" w14:textId="39FA35C3" w:rsidR="009D4416" w:rsidRPr="009D4416" w:rsidRDefault="00451C03" w:rsidP="00017EBD">
      <w:pPr>
        <w:jc w:val="center"/>
        <w:rPr>
          <w:rFonts w:ascii="Arial" w:hAnsi="Arial" w:cs="Arial"/>
          <w:b/>
          <w:bCs/>
          <w:sz w:val="22"/>
          <w:szCs w:val="22"/>
        </w:rPr>
      </w:pPr>
      <w:bookmarkStart w:id="0" w:name="_Hlk198033038"/>
      <w:r>
        <w:rPr>
          <w:rFonts w:ascii="Arial" w:hAnsi="Arial" w:cs="Arial"/>
          <w:b/>
          <w:bCs/>
          <w:sz w:val="22"/>
          <w:szCs w:val="22"/>
        </w:rPr>
        <w:t xml:space="preserve">Management of </w:t>
      </w:r>
      <w:r w:rsidRPr="00451C03">
        <w:rPr>
          <w:rFonts w:ascii="Arial" w:hAnsi="Arial" w:cs="Arial"/>
          <w:b/>
          <w:bCs/>
          <w:sz w:val="22"/>
          <w:szCs w:val="22"/>
        </w:rPr>
        <w:t xml:space="preserve">Powdery mildew of </w:t>
      </w:r>
      <w:proofErr w:type="spellStart"/>
      <w:r w:rsidRPr="00451C03">
        <w:rPr>
          <w:rFonts w:ascii="Arial" w:hAnsi="Arial" w:cs="Arial"/>
          <w:b/>
          <w:bCs/>
          <w:sz w:val="22"/>
          <w:szCs w:val="22"/>
        </w:rPr>
        <w:t>Blackgram</w:t>
      </w:r>
      <w:proofErr w:type="spellEnd"/>
      <w:r>
        <w:rPr>
          <w:rFonts w:ascii="Arial" w:hAnsi="Arial" w:cs="Arial"/>
          <w:b/>
          <w:bCs/>
          <w:sz w:val="22"/>
          <w:szCs w:val="22"/>
        </w:rPr>
        <w:t xml:space="preserve"> Through</w:t>
      </w:r>
      <w:r w:rsidR="009D4416" w:rsidRPr="009D4416">
        <w:rPr>
          <w:rFonts w:ascii="Arial" w:hAnsi="Arial" w:cs="Arial"/>
          <w:b/>
          <w:bCs/>
          <w:sz w:val="22"/>
          <w:szCs w:val="22"/>
        </w:rPr>
        <w:t xml:space="preserve"> Novel fungicides and Bioagents </w:t>
      </w:r>
    </w:p>
    <w:bookmarkEnd w:id="0"/>
    <w:p w14:paraId="210F54CD" w14:textId="77777777" w:rsidR="00017EBD" w:rsidRPr="009D4416" w:rsidRDefault="00017EBD" w:rsidP="00F85833">
      <w:pPr>
        <w:jc w:val="center"/>
        <w:rPr>
          <w:rFonts w:ascii="Arial" w:hAnsi="Arial" w:cs="Arial"/>
          <w:b/>
          <w:bCs/>
          <w:sz w:val="22"/>
          <w:szCs w:val="22"/>
        </w:rPr>
      </w:pPr>
    </w:p>
    <w:p w14:paraId="69414638" w14:textId="6C7C7EE2" w:rsidR="00F85833" w:rsidRDefault="00F85833" w:rsidP="00F85833">
      <w:pPr>
        <w:rPr>
          <w:rFonts w:ascii="Arial" w:hAnsi="Arial" w:cs="Arial"/>
          <w:b/>
          <w:bCs/>
          <w:sz w:val="22"/>
          <w:szCs w:val="22"/>
        </w:rPr>
      </w:pPr>
      <w:r w:rsidRPr="009D4416">
        <w:rPr>
          <w:rFonts w:ascii="Arial" w:hAnsi="Arial" w:cs="Arial"/>
          <w:b/>
          <w:bCs/>
          <w:sz w:val="22"/>
          <w:szCs w:val="22"/>
        </w:rPr>
        <w:t>ABSTRACT</w:t>
      </w:r>
    </w:p>
    <w:p w14:paraId="7DADB236" w14:textId="21DE25E5" w:rsidR="00C8095C" w:rsidRPr="00C8095C" w:rsidRDefault="009D4416" w:rsidP="00C8095C">
      <w:pPr>
        <w:jc w:val="both"/>
        <w:rPr>
          <w:rFonts w:ascii="Arial" w:hAnsi="Arial" w:cs="Arial"/>
          <w:sz w:val="22"/>
          <w:szCs w:val="22"/>
        </w:rPr>
      </w:pPr>
      <w:r>
        <w:rPr>
          <w:rFonts w:ascii="Arial" w:hAnsi="Arial" w:cs="Arial"/>
          <w:b/>
          <w:bCs/>
          <w:sz w:val="22"/>
          <w:szCs w:val="22"/>
        </w:rPr>
        <w:t xml:space="preserve">Aim: </w:t>
      </w:r>
      <w:r w:rsidR="00C8095C" w:rsidRPr="00C8095C">
        <w:rPr>
          <w:rFonts w:ascii="Arial" w:hAnsi="Arial" w:cs="Arial"/>
          <w:sz w:val="22"/>
          <w:szCs w:val="22"/>
        </w:rPr>
        <w:t xml:space="preserve">Powdery mildew, caused by obligate biotrophic fungi of the order </w:t>
      </w:r>
      <w:proofErr w:type="spellStart"/>
      <w:r w:rsidR="00C8095C" w:rsidRPr="00C8095C">
        <w:rPr>
          <w:rFonts w:ascii="Arial" w:hAnsi="Arial" w:cs="Arial"/>
          <w:i/>
          <w:iCs/>
          <w:sz w:val="22"/>
          <w:szCs w:val="22"/>
        </w:rPr>
        <w:t>Erysiphales</w:t>
      </w:r>
      <w:proofErr w:type="spellEnd"/>
      <w:r w:rsidR="00C8095C" w:rsidRPr="00C8095C">
        <w:rPr>
          <w:rFonts w:ascii="Arial" w:hAnsi="Arial" w:cs="Arial"/>
          <w:sz w:val="22"/>
          <w:szCs w:val="22"/>
        </w:rPr>
        <w:t xml:space="preserve">, is a major yield-limiting disease in </w:t>
      </w:r>
      <w:proofErr w:type="spellStart"/>
      <w:r w:rsidR="00C8095C" w:rsidRPr="00C8095C">
        <w:rPr>
          <w:rFonts w:ascii="Arial" w:hAnsi="Arial" w:cs="Arial"/>
          <w:sz w:val="22"/>
          <w:szCs w:val="22"/>
        </w:rPr>
        <w:t>blackgram</w:t>
      </w:r>
      <w:proofErr w:type="spellEnd"/>
      <w:r w:rsidR="00C8095C" w:rsidRPr="00C8095C">
        <w:rPr>
          <w:rFonts w:ascii="Arial" w:hAnsi="Arial" w:cs="Arial"/>
          <w:sz w:val="22"/>
          <w:szCs w:val="22"/>
        </w:rPr>
        <w:t xml:space="preserve">, leading to losses of 20–30%. While cultural and biological methods offer partial control, they are often insufficient and reliance on conventional fungicides poses risks of resistance development. This study aims to evaluate the efficacy of novel fungicides and bioagents against powdery mildew in </w:t>
      </w:r>
      <w:proofErr w:type="spellStart"/>
      <w:r w:rsidR="00C8095C" w:rsidRPr="00C8095C">
        <w:rPr>
          <w:rFonts w:ascii="Arial" w:hAnsi="Arial" w:cs="Arial"/>
          <w:sz w:val="22"/>
          <w:szCs w:val="22"/>
        </w:rPr>
        <w:t>blackgram</w:t>
      </w:r>
      <w:proofErr w:type="spellEnd"/>
      <w:r w:rsidR="00C8095C" w:rsidRPr="00C8095C">
        <w:rPr>
          <w:rFonts w:ascii="Arial" w:hAnsi="Arial" w:cs="Arial"/>
          <w:sz w:val="22"/>
          <w:szCs w:val="22"/>
        </w:rPr>
        <w:t>, in comparison with a standard recommended fungicide and to identify effective and sustainable management strategies.</w:t>
      </w:r>
    </w:p>
    <w:p w14:paraId="0D7AAE51" w14:textId="51C8E0C6" w:rsidR="009D4416" w:rsidRDefault="009D4416" w:rsidP="009D4416">
      <w:pPr>
        <w:jc w:val="both"/>
        <w:rPr>
          <w:rFonts w:ascii="Arial" w:hAnsi="Arial" w:cs="Arial"/>
          <w:sz w:val="22"/>
          <w:szCs w:val="22"/>
        </w:rPr>
      </w:pPr>
      <w:r w:rsidRPr="009D4416">
        <w:rPr>
          <w:rFonts w:ascii="Arial" w:hAnsi="Arial" w:cs="Arial"/>
          <w:b/>
          <w:bCs/>
          <w:sz w:val="22"/>
          <w:szCs w:val="22"/>
        </w:rPr>
        <w:t>Methodology:</w:t>
      </w:r>
      <w:r>
        <w:rPr>
          <w:rFonts w:ascii="Arial" w:hAnsi="Arial" w:cs="Arial"/>
          <w:sz w:val="22"/>
          <w:szCs w:val="22"/>
        </w:rPr>
        <w:t xml:space="preserve"> </w:t>
      </w:r>
      <w:r w:rsidR="00276CD2">
        <w:rPr>
          <w:rFonts w:ascii="Arial" w:hAnsi="Arial" w:cs="Arial"/>
          <w:sz w:val="22"/>
          <w:szCs w:val="22"/>
        </w:rPr>
        <w:t>F</w:t>
      </w:r>
      <w:r w:rsidR="00F36159" w:rsidRPr="009D4416">
        <w:rPr>
          <w:rFonts w:ascii="Arial" w:hAnsi="Arial" w:cs="Arial"/>
          <w:sz w:val="22"/>
          <w:szCs w:val="22"/>
        </w:rPr>
        <w:t>ield experiment</w:t>
      </w:r>
      <w:r w:rsidR="00BE5B0E" w:rsidRPr="009D4416">
        <w:rPr>
          <w:rFonts w:ascii="Arial" w:hAnsi="Arial" w:cs="Arial"/>
          <w:sz w:val="22"/>
          <w:szCs w:val="22"/>
        </w:rPr>
        <w:t>s</w:t>
      </w:r>
      <w:r w:rsidR="00F36159" w:rsidRPr="009D4416">
        <w:rPr>
          <w:rFonts w:ascii="Arial" w:hAnsi="Arial" w:cs="Arial"/>
          <w:sz w:val="22"/>
          <w:szCs w:val="22"/>
        </w:rPr>
        <w:t xml:space="preserve"> w</w:t>
      </w:r>
      <w:r w:rsidR="00BE5B0E" w:rsidRPr="009D4416">
        <w:rPr>
          <w:rFonts w:ascii="Arial" w:hAnsi="Arial" w:cs="Arial"/>
          <w:sz w:val="22"/>
          <w:szCs w:val="22"/>
        </w:rPr>
        <w:t>ere</w:t>
      </w:r>
      <w:r w:rsidR="00F36159" w:rsidRPr="009D4416">
        <w:rPr>
          <w:rFonts w:ascii="Arial" w:hAnsi="Arial" w:cs="Arial"/>
          <w:sz w:val="22"/>
          <w:szCs w:val="22"/>
        </w:rPr>
        <w:t xml:space="preserve"> conducted during t</w:t>
      </w:r>
      <w:r w:rsidR="00276CD2">
        <w:rPr>
          <w:rFonts w:ascii="Arial" w:hAnsi="Arial" w:cs="Arial"/>
          <w:sz w:val="22"/>
          <w:szCs w:val="22"/>
        </w:rPr>
        <w:t>wo</w:t>
      </w:r>
      <w:r w:rsidR="00F36159" w:rsidRPr="009D4416">
        <w:rPr>
          <w:rFonts w:ascii="Arial" w:hAnsi="Arial" w:cs="Arial"/>
          <w:sz w:val="22"/>
          <w:szCs w:val="22"/>
        </w:rPr>
        <w:t xml:space="preserve"> consecutive years </w:t>
      </w:r>
      <w:r w:rsidR="00164B75" w:rsidRPr="009D4416">
        <w:rPr>
          <w:rFonts w:ascii="Arial" w:hAnsi="Arial" w:cs="Arial"/>
          <w:sz w:val="22"/>
          <w:szCs w:val="22"/>
        </w:rPr>
        <w:t xml:space="preserve">of </w:t>
      </w:r>
      <w:r w:rsidR="00164B75" w:rsidRPr="009D4416">
        <w:rPr>
          <w:rFonts w:ascii="Arial" w:hAnsi="Arial" w:cs="Arial"/>
          <w:i/>
          <w:iCs/>
          <w:sz w:val="22"/>
          <w:szCs w:val="22"/>
        </w:rPr>
        <w:t xml:space="preserve">rabi </w:t>
      </w:r>
      <w:r w:rsidR="00F36159" w:rsidRPr="009D4416">
        <w:rPr>
          <w:rFonts w:ascii="Arial" w:hAnsi="Arial" w:cs="Arial"/>
          <w:sz w:val="22"/>
          <w:szCs w:val="22"/>
        </w:rPr>
        <w:t xml:space="preserve">2023–2024 and 2024–2025 to evaluate the efficacy of novel fungicides and biocontrol agents in managing powdery mildew disease </w:t>
      </w:r>
      <w:r>
        <w:rPr>
          <w:rFonts w:ascii="Arial" w:hAnsi="Arial" w:cs="Arial"/>
          <w:sz w:val="22"/>
          <w:szCs w:val="22"/>
        </w:rPr>
        <w:t xml:space="preserve">of </w:t>
      </w:r>
      <w:proofErr w:type="spellStart"/>
      <w:r>
        <w:rPr>
          <w:rFonts w:ascii="Arial" w:hAnsi="Arial" w:cs="Arial"/>
          <w:sz w:val="22"/>
          <w:szCs w:val="22"/>
        </w:rPr>
        <w:t>blackgram</w:t>
      </w:r>
      <w:proofErr w:type="spellEnd"/>
      <w:r>
        <w:rPr>
          <w:rFonts w:ascii="Arial" w:hAnsi="Arial" w:cs="Arial"/>
          <w:sz w:val="22"/>
          <w:szCs w:val="22"/>
        </w:rPr>
        <w:t xml:space="preserve"> at RARS, Lam, Guntur</w:t>
      </w:r>
      <w:r w:rsidR="002D0637">
        <w:rPr>
          <w:rFonts w:ascii="Arial" w:hAnsi="Arial" w:cs="Arial"/>
          <w:sz w:val="22"/>
          <w:szCs w:val="22"/>
        </w:rPr>
        <w:t>, India</w:t>
      </w:r>
      <w:r>
        <w:rPr>
          <w:rFonts w:ascii="Arial" w:hAnsi="Arial" w:cs="Arial"/>
          <w:sz w:val="22"/>
          <w:szCs w:val="22"/>
        </w:rPr>
        <w:t>.</w:t>
      </w:r>
    </w:p>
    <w:p w14:paraId="005F11F7" w14:textId="5A9ACF49" w:rsidR="00F36159" w:rsidRDefault="009D4416" w:rsidP="009D4416">
      <w:pPr>
        <w:jc w:val="both"/>
        <w:rPr>
          <w:rFonts w:ascii="Arial" w:hAnsi="Arial" w:cs="Arial"/>
          <w:sz w:val="22"/>
          <w:szCs w:val="22"/>
        </w:rPr>
      </w:pPr>
      <w:r w:rsidRPr="009D4416">
        <w:rPr>
          <w:rFonts w:ascii="Arial" w:hAnsi="Arial" w:cs="Arial"/>
          <w:b/>
          <w:bCs/>
          <w:sz w:val="22"/>
          <w:szCs w:val="22"/>
        </w:rPr>
        <w:t>Results:</w:t>
      </w:r>
      <w:r>
        <w:rPr>
          <w:rFonts w:ascii="Arial" w:hAnsi="Arial" w:cs="Arial"/>
          <w:sz w:val="22"/>
          <w:szCs w:val="22"/>
        </w:rPr>
        <w:t xml:space="preserve"> </w:t>
      </w:r>
      <w:r w:rsidR="00602EA8" w:rsidRPr="009D4416">
        <w:rPr>
          <w:rFonts w:ascii="Arial" w:hAnsi="Arial" w:cs="Arial"/>
          <w:sz w:val="22"/>
          <w:szCs w:val="22"/>
        </w:rPr>
        <w:t>The pooled analysis of both the years resulted that</w:t>
      </w:r>
      <w:r w:rsidR="002D0637">
        <w:rPr>
          <w:rFonts w:ascii="Arial" w:hAnsi="Arial" w:cs="Arial"/>
          <w:sz w:val="22"/>
          <w:szCs w:val="22"/>
        </w:rPr>
        <w:t>,</w:t>
      </w:r>
      <w:r w:rsidR="00602EA8" w:rsidRPr="009D4416">
        <w:rPr>
          <w:rFonts w:ascii="Arial" w:hAnsi="Arial" w:cs="Arial"/>
          <w:sz w:val="22"/>
          <w:szCs w:val="22"/>
        </w:rPr>
        <w:t xml:space="preserve"> a</w:t>
      </w:r>
      <w:r w:rsidR="00F36159" w:rsidRPr="009D4416">
        <w:rPr>
          <w:rFonts w:ascii="Arial" w:hAnsi="Arial" w:cs="Arial"/>
          <w:sz w:val="22"/>
          <w:szCs w:val="22"/>
        </w:rPr>
        <w:t xml:space="preserve">mong the </w:t>
      </w:r>
      <w:r w:rsidR="00B03364" w:rsidRPr="009D4416">
        <w:rPr>
          <w:rFonts w:ascii="Arial" w:hAnsi="Arial" w:cs="Arial"/>
          <w:sz w:val="22"/>
          <w:szCs w:val="22"/>
        </w:rPr>
        <w:t xml:space="preserve">tested </w:t>
      </w:r>
      <w:r w:rsidR="00F36159" w:rsidRPr="009D4416">
        <w:rPr>
          <w:rFonts w:ascii="Arial" w:hAnsi="Arial" w:cs="Arial"/>
          <w:sz w:val="22"/>
          <w:szCs w:val="22"/>
        </w:rPr>
        <w:t>treatments,</w:t>
      </w:r>
      <w:r w:rsidR="00B03364" w:rsidRPr="009D4416">
        <w:rPr>
          <w:rFonts w:ascii="Arial" w:hAnsi="Arial" w:cs="Arial"/>
          <w:sz w:val="22"/>
          <w:szCs w:val="22"/>
        </w:rPr>
        <w:t xml:space="preserve"> the novel fungicide</w:t>
      </w:r>
      <w:r w:rsidR="00ED3CD9">
        <w:rPr>
          <w:rFonts w:ascii="Arial" w:hAnsi="Arial" w:cs="Arial"/>
          <w:sz w:val="22"/>
          <w:szCs w:val="22"/>
        </w:rPr>
        <w:t>,</w:t>
      </w:r>
      <w:r w:rsidR="00164B75" w:rsidRPr="009D4416">
        <w:rPr>
          <w:rFonts w:ascii="Arial" w:hAnsi="Arial" w:cs="Arial"/>
          <w:sz w:val="22"/>
          <w:szCs w:val="22"/>
        </w:rPr>
        <w:t xml:space="preserve"> </w:t>
      </w:r>
      <w:r w:rsidR="00F36159" w:rsidRPr="009D4416">
        <w:rPr>
          <w:rFonts w:ascii="Arial" w:hAnsi="Arial" w:cs="Arial"/>
          <w:sz w:val="22"/>
          <w:szCs w:val="22"/>
        </w:rPr>
        <w:t>Cyflufenamid</w:t>
      </w:r>
      <w:r w:rsidR="00481AE5" w:rsidRPr="009D4416">
        <w:rPr>
          <w:rFonts w:ascii="Arial" w:hAnsi="Arial" w:cs="Arial"/>
          <w:sz w:val="22"/>
          <w:szCs w:val="22"/>
        </w:rPr>
        <w:t xml:space="preserve"> @1</w:t>
      </w:r>
      <w:r w:rsidR="00603F95">
        <w:rPr>
          <w:rFonts w:ascii="Arial" w:hAnsi="Arial" w:cs="Arial"/>
          <w:sz w:val="22"/>
          <w:szCs w:val="22"/>
        </w:rPr>
        <w:t xml:space="preserve">.0 </w:t>
      </w:r>
      <w:r w:rsidR="00481AE5" w:rsidRPr="009D4416">
        <w:rPr>
          <w:rFonts w:ascii="Arial" w:hAnsi="Arial" w:cs="Arial"/>
          <w:sz w:val="22"/>
          <w:szCs w:val="22"/>
        </w:rPr>
        <w:t>ml l</w:t>
      </w:r>
      <w:r w:rsidR="00481AE5" w:rsidRPr="009D4416">
        <w:rPr>
          <w:rFonts w:ascii="Arial" w:hAnsi="Arial" w:cs="Arial"/>
          <w:sz w:val="22"/>
          <w:szCs w:val="22"/>
          <w:vertAlign w:val="superscript"/>
        </w:rPr>
        <w:t>-1</w:t>
      </w:r>
      <w:r w:rsidR="00F36159" w:rsidRPr="009D4416">
        <w:rPr>
          <w:rFonts w:ascii="Arial" w:hAnsi="Arial" w:cs="Arial"/>
          <w:sz w:val="22"/>
          <w:szCs w:val="22"/>
        </w:rPr>
        <w:t xml:space="preserve"> exhibited the highest reduction in disease severity (70.81%) followed by Hexaconazole </w:t>
      </w:r>
      <w:r w:rsidR="00A14DE0" w:rsidRPr="009D4416">
        <w:rPr>
          <w:rFonts w:ascii="Arial" w:hAnsi="Arial" w:cs="Arial"/>
          <w:sz w:val="22"/>
          <w:szCs w:val="22"/>
        </w:rPr>
        <w:t>@</w:t>
      </w:r>
      <w:r w:rsidR="00F36159" w:rsidRPr="009D4416">
        <w:rPr>
          <w:rFonts w:ascii="Arial" w:hAnsi="Arial" w:cs="Arial"/>
          <w:sz w:val="22"/>
          <w:szCs w:val="22"/>
        </w:rPr>
        <w:t xml:space="preserve"> 2</w:t>
      </w:r>
      <w:r w:rsidR="00603F95">
        <w:rPr>
          <w:rFonts w:ascii="Arial" w:hAnsi="Arial" w:cs="Arial"/>
          <w:sz w:val="22"/>
          <w:szCs w:val="22"/>
        </w:rPr>
        <w:t>.0</w:t>
      </w:r>
      <w:r w:rsidR="00F36159" w:rsidRPr="009D4416">
        <w:rPr>
          <w:rFonts w:ascii="Arial" w:hAnsi="Arial" w:cs="Arial"/>
          <w:sz w:val="22"/>
          <w:szCs w:val="22"/>
        </w:rPr>
        <w:t xml:space="preserve"> m</w:t>
      </w:r>
      <w:r w:rsidR="00164B75" w:rsidRPr="009D4416">
        <w:rPr>
          <w:rFonts w:ascii="Arial" w:hAnsi="Arial" w:cs="Arial"/>
          <w:sz w:val="22"/>
          <w:szCs w:val="22"/>
        </w:rPr>
        <w:t>l</w:t>
      </w:r>
      <w:r w:rsidR="00481AE5" w:rsidRPr="009D4416">
        <w:rPr>
          <w:rFonts w:ascii="Arial" w:hAnsi="Arial" w:cs="Arial"/>
          <w:sz w:val="22"/>
          <w:szCs w:val="22"/>
        </w:rPr>
        <w:t xml:space="preserve"> l</w:t>
      </w:r>
      <w:r w:rsidR="00164B75" w:rsidRPr="009D4416">
        <w:rPr>
          <w:rFonts w:ascii="Arial" w:hAnsi="Arial" w:cs="Arial"/>
          <w:sz w:val="22"/>
          <w:szCs w:val="22"/>
          <w:vertAlign w:val="superscript"/>
        </w:rPr>
        <w:t>-1</w:t>
      </w:r>
      <w:r w:rsidR="00164B75" w:rsidRPr="009D4416">
        <w:rPr>
          <w:rFonts w:ascii="Arial" w:hAnsi="Arial" w:cs="Arial"/>
          <w:sz w:val="22"/>
          <w:szCs w:val="22"/>
        </w:rPr>
        <w:t xml:space="preserve"> (chemical check) with </w:t>
      </w:r>
      <w:r w:rsidR="00F36159" w:rsidRPr="009D4416">
        <w:rPr>
          <w:rFonts w:ascii="Arial" w:hAnsi="Arial" w:cs="Arial"/>
          <w:sz w:val="22"/>
          <w:szCs w:val="22"/>
        </w:rPr>
        <w:t xml:space="preserve">40.77% </w:t>
      </w:r>
      <w:r w:rsidR="0046597B" w:rsidRPr="009D4416">
        <w:rPr>
          <w:rFonts w:ascii="Arial" w:hAnsi="Arial" w:cs="Arial"/>
          <w:sz w:val="22"/>
          <w:szCs w:val="22"/>
        </w:rPr>
        <w:t xml:space="preserve">when </w:t>
      </w:r>
      <w:r w:rsidR="00F36159" w:rsidRPr="009D4416">
        <w:rPr>
          <w:rFonts w:ascii="Arial" w:hAnsi="Arial" w:cs="Arial"/>
          <w:sz w:val="22"/>
          <w:szCs w:val="22"/>
        </w:rPr>
        <w:t>compared to the untreated control</w:t>
      </w:r>
      <w:r w:rsidR="0046597B" w:rsidRPr="009D4416">
        <w:rPr>
          <w:rFonts w:ascii="Arial" w:hAnsi="Arial" w:cs="Arial"/>
          <w:sz w:val="22"/>
          <w:szCs w:val="22"/>
        </w:rPr>
        <w:t>.</w:t>
      </w:r>
      <w:r w:rsidR="002D0637">
        <w:rPr>
          <w:rFonts w:ascii="Arial" w:hAnsi="Arial" w:cs="Arial"/>
          <w:sz w:val="22"/>
          <w:szCs w:val="22"/>
        </w:rPr>
        <w:t xml:space="preserve"> </w:t>
      </w:r>
      <w:r w:rsidR="0046597B" w:rsidRPr="009D4416">
        <w:rPr>
          <w:rFonts w:ascii="Arial" w:hAnsi="Arial" w:cs="Arial"/>
          <w:sz w:val="22"/>
          <w:szCs w:val="22"/>
        </w:rPr>
        <w:t>W</w:t>
      </w:r>
      <w:r w:rsidR="00602EA8" w:rsidRPr="009D4416">
        <w:rPr>
          <w:rFonts w:ascii="Arial" w:hAnsi="Arial" w:cs="Arial"/>
          <w:sz w:val="22"/>
          <w:szCs w:val="22"/>
        </w:rPr>
        <w:t>hereas,</w:t>
      </w:r>
      <w:r w:rsidR="002D0637">
        <w:rPr>
          <w:rFonts w:ascii="Arial" w:hAnsi="Arial" w:cs="Arial"/>
          <w:sz w:val="22"/>
          <w:szCs w:val="22"/>
        </w:rPr>
        <w:t xml:space="preserve"> </w:t>
      </w:r>
      <w:r w:rsidR="00276CD2">
        <w:rPr>
          <w:rFonts w:ascii="Arial" w:hAnsi="Arial" w:cs="Arial"/>
          <w:sz w:val="22"/>
          <w:szCs w:val="22"/>
        </w:rPr>
        <w:t>t</w:t>
      </w:r>
      <w:r w:rsidR="00F36159" w:rsidRPr="009D4416">
        <w:rPr>
          <w:rFonts w:ascii="Arial" w:hAnsi="Arial" w:cs="Arial"/>
          <w:sz w:val="22"/>
          <w:szCs w:val="22"/>
        </w:rPr>
        <w:t xml:space="preserve">he biocontrol agents </w:t>
      </w:r>
      <w:proofErr w:type="spellStart"/>
      <w:r w:rsidR="00F36159" w:rsidRPr="009D4416">
        <w:rPr>
          <w:rFonts w:ascii="Arial" w:hAnsi="Arial" w:cs="Arial"/>
          <w:i/>
          <w:iCs/>
          <w:sz w:val="22"/>
          <w:szCs w:val="22"/>
        </w:rPr>
        <w:t>Ampelomyces</w:t>
      </w:r>
      <w:proofErr w:type="spellEnd"/>
      <w:r w:rsidR="00603F95">
        <w:rPr>
          <w:rFonts w:ascii="Arial" w:hAnsi="Arial" w:cs="Arial"/>
          <w:i/>
          <w:iCs/>
          <w:sz w:val="22"/>
          <w:szCs w:val="22"/>
        </w:rPr>
        <w:t xml:space="preserve"> </w:t>
      </w:r>
      <w:proofErr w:type="spellStart"/>
      <w:r w:rsidR="002C1FC5">
        <w:rPr>
          <w:rFonts w:ascii="Arial" w:hAnsi="Arial" w:cs="Arial"/>
          <w:i/>
          <w:iCs/>
          <w:sz w:val="22"/>
          <w:szCs w:val="22"/>
        </w:rPr>
        <w:t>q</w:t>
      </w:r>
      <w:r w:rsidR="00064EDA">
        <w:rPr>
          <w:rFonts w:ascii="Arial" w:hAnsi="Arial" w:cs="Arial"/>
          <w:i/>
          <w:iCs/>
          <w:sz w:val="22"/>
          <w:szCs w:val="22"/>
        </w:rPr>
        <w:t>uisqualis</w:t>
      </w:r>
      <w:proofErr w:type="spellEnd"/>
      <w:r w:rsidR="00064EDA">
        <w:rPr>
          <w:rFonts w:ascii="Arial" w:hAnsi="Arial" w:cs="Arial"/>
          <w:i/>
          <w:iCs/>
          <w:sz w:val="22"/>
          <w:szCs w:val="22"/>
        </w:rPr>
        <w:t xml:space="preserve"> </w:t>
      </w:r>
      <w:r w:rsidR="00064EDA" w:rsidRPr="00064EDA">
        <w:rPr>
          <w:rFonts w:ascii="Arial" w:hAnsi="Arial" w:cs="Arial"/>
          <w:sz w:val="22"/>
          <w:szCs w:val="22"/>
        </w:rPr>
        <w:t xml:space="preserve">@ </w:t>
      </w:r>
      <w:r w:rsidR="00064EDA">
        <w:rPr>
          <w:rFonts w:ascii="Arial" w:hAnsi="Arial" w:cs="Arial"/>
          <w:sz w:val="22"/>
          <w:szCs w:val="22"/>
        </w:rPr>
        <w:t>5</w:t>
      </w:r>
      <w:r w:rsidR="00064EDA" w:rsidRPr="00064EDA">
        <w:rPr>
          <w:rFonts w:ascii="Arial" w:hAnsi="Arial" w:cs="Arial"/>
          <w:sz w:val="22"/>
          <w:szCs w:val="22"/>
        </w:rPr>
        <w:t>.0 ml l</w:t>
      </w:r>
      <w:r w:rsidR="00064EDA" w:rsidRPr="00064EDA">
        <w:rPr>
          <w:rFonts w:ascii="Arial" w:hAnsi="Arial" w:cs="Arial"/>
          <w:sz w:val="22"/>
          <w:szCs w:val="22"/>
          <w:vertAlign w:val="superscript"/>
        </w:rPr>
        <w:t>-1</w:t>
      </w:r>
      <w:r w:rsidR="00064EDA" w:rsidRPr="00064EDA">
        <w:rPr>
          <w:rFonts w:ascii="Arial" w:hAnsi="Arial" w:cs="Arial"/>
          <w:i/>
          <w:iCs/>
          <w:sz w:val="22"/>
          <w:szCs w:val="22"/>
        </w:rPr>
        <w:t xml:space="preserve"> </w:t>
      </w:r>
      <w:r w:rsidR="00F36159" w:rsidRPr="009D4416">
        <w:rPr>
          <w:rFonts w:ascii="Arial" w:hAnsi="Arial" w:cs="Arial"/>
          <w:sz w:val="22"/>
          <w:szCs w:val="22"/>
        </w:rPr>
        <w:t xml:space="preserve">and </w:t>
      </w:r>
      <w:r w:rsidR="00F36159" w:rsidRPr="009D4416">
        <w:rPr>
          <w:rFonts w:ascii="Arial" w:hAnsi="Arial" w:cs="Arial"/>
          <w:i/>
          <w:iCs/>
          <w:sz w:val="22"/>
          <w:szCs w:val="22"/>
        </w:rPr>
        <w:t>Bacillus subtilis</w:t>
      </w:r>
      <w:r w:rsidR="00064EDA">
        <w:rPr>
          <w:rFonts w:ascii="Arial" w:hAnsi="Arial" w:cs="Arial"/>
          <w:sz w:val="22"/>
          <w:szCs w:val="22"/>
        </w:rPr>
        <w:t xml:space="preserve"> </w:t>
      </w:r>
      <w:r w:rsidR="00064EDA" w:rsidRPr="00064EDA">
        <w:rPr>
          <w:rFonts w:ascii="Arial" w:hAnsi="Arial" w:cs="Arial"/>
          <w:sz w:val="22"/>
          <w:szCs w:val="22"/>
        </w:rPr>
        <w:t>@ 5.0 ml l</w:t>
      </w:r>
      <w:r w:rsidR="00064EDA" w:rsidRPr="00064EDA">
        <w:rPr>
          <w:rFonts w:ascii="Arial" w:hAnsi="Arial" w:cs="Arial"/>
          <w:sz w:val="22"/>
          <w:szCs w:val="22"/>
          <w:vertAlign w:val="superscript"/>
        </w:rPr>
        <w:t>-1</w:t>
      </w:r>
      <w:r w:rsidR="00064EDA" w:rsidRPr="00064EDA">
        <w:rPr>
          <w:rFonts w:ascii="Arial" w:hAnsi="Arial" w:cs="Arial"/>
          <w:i/>
          <w:iCs/>
          <w:sz w:val="22"/>
          <w:szCs w:val="22"/>
        </w:rPr>
        <w:t xml:space="preserve"> </w:t>
      </w:r>
      <w:r w:rsidR="00F36159" w:rsidRPr="009D4416">
        <w:rPr>
          <w:rFonts w:ascii="Arial" w:hAnsi="Arial" w:cs="Arial"/>
          <w:sz w:val="22"/>
          <w:szCs w:val="22"/>
        </w:rPr>
        <w:t xml:space="preserve"> were statistically on par, reducing disease severity by 31.89% over the control. </w:t>
      </w:r>
      <w:r w:rsidR="00DB3F86">
        <w:rPr>
          <w:rFonts w:ascii="Arial" w:hAnsi="Arial" w:cs="Arial"/>
          <w:sz w:val="22"/>
          <w:szCs w:val="22"/>
        </w:rPr>
        <w:t xml:space="preserve">The lower AUDPC values were recorded in the chemical and bioagent treated plots when compared with the untreated control. </w:t>
      </w:r>
      <w:r w:rsidR="00F36159" w:rsidRPr="009D4416">
        <w:rPr>
          <w:rFonts w:ascii="Arial" w:hAnsi="Arial" w:cs="Arial"/>
          <w:sz w:val="22"/>
          <w:szCs w:val="22"/>
        </w:rPr>
        <w:t>Yield enhancement was significantly higher in Cyflufenamid-treated plots, recording a 60.19% increase over the control with a maximum cost-benefit ratio of 2.3</w:t>
      </w:r>
      <w:r w:rsidR="00276CD2">
        <w:rPr>
          <w:rFonts w:ascii="Arial" w:hAnsi="Arial" w:cs="Arial"/>
          <w:sz w:val="22"/>
          <w:szCs w:val="22"/>
        </w:rPr>
        <w:t>6</w:t>
      </w:r>
      <w:r w:rsidR="00F36159" w:rsidRPr="009D4416">
        <w:rPr>
          <w:rFonts w:ascii="Arial" w:hAnsi="Arial" w:cs="Arial"/>
          <w:sz w:val="22"/>
          <w:szCs w:val="22"/>
        </w:rPr>
        <w:t xml:space="preserve">. </w:t>
      </w:r>
    </w:p>
    <w:p w14:paraId="375CDFD7" w14:textId="2D4CB376" w:rsidR="00C8095C" w:rsidRDefault="00C8095C" w:rsidP="009D4416">
      <w:pPr>
        <w:jc w:val="both"/>
        <w:rPr>
          <w:rFonts w:ascii="Arial" w:hAnsi="Arial" w:cs="Arial"/>
          <w:sz w:val="22"/>
          <w:szCs w:val="22"/>
        </w:rPr>
      </w:pPr>
      <w:r w:rsidRPr="00C8095C">
        <w:rPr>
          <w:rFonts w:ascii="Arial" w:hAnsi="Arial" w:cs="Arial"/>
          <w:b/>
          <w:bCs/>
          <w:sz w:val="22"/>
          <w:szCs w:val="22"/>
        </w:rPr>
        <w:t>Conclusion:</w:t>
      </w:r>
      <w:r>
        <w:rPr>
          <w:rFonts w:ascii="Arial" w:hAnsi="Arial" w:cs="Arial"/>
          <w:sz w:val="22"/>
          <w:szCs w:val="22"/>
        </w:rPr>
        <w:t xml:space="preserve"> </w:t>
      </w:r>
      <w:r w:rsidRPr="00C8095C">
        <w:rPr>
          <w:rFonts w:ascii="Arial" w:hAnsi="Arial" w:cs="Arial"/>
          <w:sz w:val="22"/>
          <w:szCs w:val="22"/>
        </w:rPr>
        <w:t>The study highlights the growing need for novel fungicides due to rising resistance in powdery mildew pathogens and combining novel fungicides and bioagents as an integrated approach for ensuring sustainable disease management.</w:t>
      </w:r>
    </w:p>
    <w:p w14:paraId="35C44877" w14:textId="5F53B6EF" w:rsidR="00C8095C" w:rsidRPr="00C8095C" w:rsidRDefault="00C8095C" w:rsidP="009D4416">
      <w:pPr>
        <w:jc w:val="both"/>
        <w:rPr>
          <w:rFonts w:ascii="Arial" w:hAnsi="Arial" w:cs="Arial"/>
          <w:i/>
          <w:iCs/>
          <w:sz w:val="22"/>
          <w:szCs w:val="22"/>
        </w:rPr>
      </w:pPr>
      <w:r w:rsidRPr="00C8095C">
        <w:rPr>
          <w:rFonts w:ascii="Arial" w:hAnsi="Arial" w:cs="Arial"/>
          <w:b/>
          <w:bCs/>
          <w:sz w:val="22"/>
          <w:szCs w:val="22"/>
        </w:rPr>
        <w:t>Keywords:</w:t>
      </w:r>
      <w:r>
        <w:rPr>
          <w:rFonts w:ascii="Arial" w:hAnsi="Arial" w:cs="Arial"/>
          <w:sz w:val="22"/>
          <w:szCs w:val="22"/>
        </w:rPr>
        <w:t xml:space="preserve"> Powdery mildew, </w:t>
      </w:r>
      <w:proofErr w:type="spellStart"/>
      <w:r>
        <w:rPr>
          <w:rFonts w:ascii="Arial" w:hAnsi="Arial" w:cs="Arial"/>
          <w:sz w:val="22"/>
          <w:szCs w:val="22"/>
        </w:rPr>
        <w:t>Cyflufenamid</w:t>
      </w:r>
      <w:proofErr w:type="spellEnd"/>
      <w:r>
        <w:rPr>
          <w:rFonts w:ascii="Arial" w:hAnsi="Arial" w:cs="Arial"/>
          <w:sz w:val="22"/>
          <w:szCs w:val="22"/>
        </w:rPr>
        <w:t xml:space="preserve">, </w:t>
      </w:r>
      <w:proofErr w:type="spellStart"/>
      <w:r>
        <w:rPr>
          <w:rFonts w:ascii="Arial" w:hAnsi="Arial" w:cs="Arial"/>
          <w:sz w:val="22"/>
          <w:szCs w:val="22"/>
        </w:rPr>
        <w:t>Hexaconazole</w:t>
      </w:r>
      <w:proofErr w:type="spellEnd"/>
      <w:r>
        <w:rPr>
          <w:rFonts w:ascii="Arial" w:hAnsi="Arial" w:cs="Arial"/>
          <w:sz w:val="22"/>
          <w:szCs w:val="22"/>
        </w:rPr>
        <w:t xml:space="preserve">, </w:t>
      </w:r>
      <w:proofErr w:type="spellStart"/>
      <w:r w:rsidRPr="00C8095C">
        <w:rPr>
          <w:rFonts w:ascii="Arial" w:hAnsi="Arial" w:cs="Arial"/>
          <w:i/>
          <w:iCs/>
          <w:sz w:val="22"/>
          <w:szCs w:val="22"/>
        </w:rPr>
        <w:t>Ampelomyces</w:t>
      </w:r>
      <w:proofErr w:type="spellEnd"/>
      <w:r w:rsidRPr="00C8095C">
        <w:rPr>
          <w:rFonts w:ascii="Arial" w:hAnsi="Arial" w:cs="Arial"/>
          <w:i/>
          <w:iCs/>
          <w:sz w:val="22"/>
          <w:szCs w:val="22"/>
        </w:rPr>
        <w:t xml:space="preserve"> </w:t>
      </w:r>
      <w:proofErr w:type="spellStart"/>
      <w:r w:rsidRPr="00C8095C">
        <w:rPr>
          <w:rFonts w:ascii="Arial" w:hAnsi="Arial" w:cs="Arial"/>
          <w:i/>
          <w:iCs/>
          <w:sz w:val="22"/>
          <w:szCs w:val="22"/>
        </w:rPr>
        <w:t>quisqualis</w:t>
      </w:r>
      <w:proofErr w:type="spellEnd"/>
      <w:r w:rsidRPr="00C8095C">
        <w:rPr>
          <w:rFonts w:ascii="Arial" w:hAnsi="Arial" w:cs="Arial"/>
          <w:i/>
          <w:iCs/>
          <w:sz w:val="22"/>
          <w:szCs w:val="22"/>
        </w:rPr>
        <w:t>, Bacillus subtilis</w:t>
      </w:r>
    </w:p>
    <w:p w14:paraId="7BBCBE79" w14:textId="5B6981AE" w:rsidR="00F85833" w:rsidRPr="00C8095C" w:rsidRDefault="00F85833" w:rsidP="00C8095C">
      <w:pPr>
        <w:pStyle w:val="ListParagraph"/>
        <w:numPr>
          <w:ilvl w:val="0"/>
          <w:numId w:val="1"/>
        </w:numPr>
        <w:jc w:val="both"/>
        <w:rPr>
          <w:rFonts w:ascii="Arial" w:hAnsi="Arial" w:cs="Arial"/>
          <w:b/>
          <w:bCs/>
          <w:sz w:val="22"/>
          <w:szCs w:val="22"/>
        </w:rPr>
      </w:pPr>
      <w:r w:rsidRPr="00C8095C">
        <w:rPr>
          <w:rFonts w:ascii="Arial" w:hAnsi="Arial" w:cs="Arial"/>
          <w:b/>
          <w:bCs/>
          <w:sz w:val="22"/>
          <w:szCs w:val="22"/>
        </w:rPr>
        <w:t>INTRODUCTION</w:t>
      </w:r>
    </w:p>
    <w:p w14:paraId="6348081B" w14:textId="75F69708" w:rsidR="00671B48" w:rsidRPr="00C8095C" w:rsidRDefault="00671B48" w:rsidP="002C1FC5">
      <w:pPr>
        <w:ind w:firstLine="720"/>
        <w:jc w:val="both"/>
        <w:rPr>
          <w:rFonts w:ascii="Arial" w:hAnsi="Arial" w:cs="Arial"/>
          <w:sz w:val="20"/>
          <w:szCs w:val="20"/>
        </w:rPr>
      </w:pPr>
      <w:r w:rsidRPr="00C8095C">
        <w:rPr>
          <w:rFonts w:ascii="Arial" w:hAnsi="Arial" w:cs="Arial"/>
          <w:sz w:val="20"/>
          <w:szCs w:val="20"/>
        </w:rPr>
        <w:t>Black gram (</w:t>
      </w:r>
      <w:r w:rsidRPr="00C8095C">
        <w:rPr>
          <w:rFonts w:ascii="Arial" w:hAnsi="Arial" w:cs="Arial"/>
          <w:i/>
          <w:iCs/>
          <w:sz w:val="20"/>
          <w:szCs w:val="20"/>
        </w:rPr>
        <w:t>Vigna mungo</w:t>
      </w:r>
      <w:r w:rsidRPr="00C8095C">
        <w:rPr>
          <w:rFonts w:ascii="Arial" w:hAnsi="Arial" w:cs="Arial"/>
          <w:sz w:val="20"/>
          <w:szCs w:val="20"/>
        </w:rPr>
        <w:t xml:space="preserve"> L.) is a vital short-duration pulse crop cultivated year-round across diverse agro-climatic zones in India. The country contributes approximately 70% to global black gram production, with an estimated output of 20.55 lakh tonnes in 2023–24</w:t>
      </w:r>
      <w:r w:rsidR="00602EA8" w:rsidRPr="00C8095C">
        <w:rPr>
          <w:rFonts w:ascii="Arial" w:hAnsi="Arial" w:cs="Arial"/>
          <w:sz w:val="20"/>
          <w:szCs w:val="20"/>
        </w:rPr>
        <w:t xml:space="preserve"> and </w:t>
      </w:r>
      <w:r w:rsidRPr="00C8095C">
        <w:rPr>
          <w:rFonts w:ascii="Arial" w:hAnsi="Arial" w:cs="Arial"/>
          <w:sz w:val="20"/>
          <w:szCs w:val="20"/>
        </w:rPr>
        <w:t xml:space="preserve">yielding 598 kg/ha from 4 million hectares. Of the total area, about 80% is cultivated during the </w:t>
      </w:r>
      <w:r w:rsidR="00602EA8" w:rsidRPr="00C8095C">
        <w:rPr>
          <w:rFonts w:ascii="Arial" w:hAnsi="Arial" w:cs="Arial"/>
          <w:i/>
          <w:iCs/>
          <w:sz w:val="20"/>
          <w:szCs w:val="20"/>
        </w:rPr>
        <w:t>k</w:t>
      </w:r>
      <w:r w:rsidRPr="00C8095C">
        <w:rPr>
          <w:rFonts w:ascii="Arial" w:hAnsi="Arial" w:cs="Arial"/>
          <w:i/>
          <w:iCs/>
          <w:sz w:val="20"/>
          <w:szCs w:val="20"/>
        </w:rPr>
        <w:t xml:space="preserve">harif </w:t>
      </w:r>
      <w:r w:rsidRPr="00C8095C">
        <w:rPr>
          <w:rFonts w:ascii="Arial" w:hAnsi="Arial" w:cs="Arial"/>
          <w:sz w:val="20"/>
          <w:szCs w:val="20"/>
        </w:rPr>
        <w:t xml:space="preserve">season and 20% during </w:t>
      </w:r>
      <w:r w:rsidR="00602EA8" w:rsidRPr="00C8095C">
        <w:rPr>
          <w:rFonts w:ascii="Arial" w:hAnsi="Arial" w:cs="Arial"/>
          <w:i/>
          <w:iCs/>
          <w:sz w:val="20"/>
          <w:szCs w:val="20"/>
        </w:rPr>
        <w:t>r</w:t>
      </w:r>
      <w:r w:rsidRPr="00C8095C">
        <w:rPr>
          <w:rFonts w:ascii="Arial" w:hAnsi="Arial" w:cs="Arial"/>
          <w:i/>
          <w:iCs/>
          <w:sz w:val="20"/>
          <w:szCs w:val="20"/>
        </w:rPr>
        <w:t>abi</w:t>
      </w:r>
      <w:r w:rsidR="00602EA8" w:rsidRPr="00C8095C">
        <w:rPr>
          <w:rFonts w:ascii="Arial" w:hAnsi="Arial" w:cs="Arial"/>
          <w:sz w:val="20"/>
          <w:szCs w:val="20"/>
        </w:rPr>
        <w:t xml:space="preserve"> </w:t>
      </w:r>
      <w:r w:rsidRPr="00C8095C">
        <w:rPr>
          <w:rFonts w:ascii="Arial" w:hAnsi="Arial" w:cs="Arial"/>
          <w:sz w:val="20"/>
          <w:szCs w:val="20"/>
        </w:rPr>
        <w:t>with ten states accounting for over 90% of national production. Overall, black gram contributes 10.25% to India’s total pulse production and occupies 29% of the pulse-growing area (ANGRAU, 202</w:t>
      </w:r>
      <w:r w:rsidR="00276B06" w:rsidRPr="00C8095C">
        <w:rPr>
          <w:rFonts w:ascii="Arial" w:hAnsi="Arial" w:cs="Arial"/>
          <w:sz w:val="20"/>
          <w:szCs w:val="20"/>
        </w:rPr>
        <w:t>4</w:t>
      </w:r>
      <w:r w:rsidRPr="00C8095C">
        <w:rPr>
          <w:rFonts w:ascii="Arial" w:hAnsi="Arial" w:cs="Arial"/>
          <w:sz w:val="20"/>
          <w:szCs w:val="20"/>
        </w:rPr>
        <w:t>).</w:t>
      </w:r>
      <w:r w:rsidR="00602EA8" w:rsidRPr="00C8095C">
        <w:rPr>
          <w:rFonts w:ascii="Arial" w:hAnsi="Arial" w:cs="Arial"/>
          <w:sz w:val="20"/>
          <w:szCs w:val="20"/>
        </w:rPr>
        <w:t xml:space="preserve"> </w:t>
      </w:r>
      <w:r w:rsidRPr="00C8095C">
        <w:rPr>
          <w:rFonts w:ascii="Arial" w:hAnsi="Arial" w:cs="Arial"/>
          <w:sz w:val="20"/>
          <w:szCs w:val="20"/>
        </w:rPr>
        <w:t xml:space="preserve">Despite its widespread cultivation and significance as a rich dietary protein source, black gram productivity remains suboptimal, primarily due to various biotic and abiotic stresses. Among the biotic factors, </w:t>
      </w:r>
      <w:r w:rsidR="00602EA8" w:rsidRPr="00C8095C">
        <w:rPr>
          <w:rFonts w:ascii="Arial" w:hAnsi="Arial" w:cs="Arial"/>
          <w:sz w:val="20"/>
          <w:szCs w:val="20"/>
        </w:rPr>
        <w:t xml:space="preserve">Powdery mildew </w:t>
      </w:r>
      <w:r w:rsidRPr="00C8095C">
        <w:rPr>
          <w:rFonts w:ascii="Arial" w:hAnsi="Arial" w:cs="Arial"/>
          <w:sz w:val="20"/>
          <w:szCs w:val="20"/>
        </w:rPr>
        <w:t>disease play</w:t>
      </w:r>
      <w:r w:rsidR="00276CD2">
        <w:rPr>
          <w:rFonts w:ascii="Arial" w:hAnsi="Arial" w:cs="Arial"/>
          <w:sz w:val="20"/>
          <w:szCs w:val="20"/>
        </w:rPr>
        <w:t>s</w:t>
      </w:r>
      <w:r w:rsidRPr="00C8095C">
        <w:rPr>
          <w:rFonts w:ascii="Arial" w:hAnsi="Arial" w:cs="Arial"/>
          <w:sz w:val="20"/>
          <w:szCs w:val="20"/>
        </w:rPr>
        <w:t xml:space="preserve"> a major role in yield reduction, causing estimated losses of 20–30%</w:t>
      </w:r>
      <w:r w:rsidR="00ED3CD9">
        <w:rPr>
          <w:rFonts w:ascii="Arial" w:hAnsi="Arial" w:cs="Arial"/>
          <w:sz w:val="20"/>
          <w:szCs w:val="20"/>
        </w:rPr>
        <w:t xml:space="preserve"> (Reddy </w:t>
      </w:r>
      <w:r w:rsidR="00ED3CD9" w:rsidRPr="00ED3CD9">
        <w:rPr>
          <w:rFonts w:ascii="Arial" w:hAnsi="Arial" w:cs="Arial"/>
          <w:i/>
          <w:iCs/>
          <w:sz w:val="20"/>
          <w:szCs w:val="20"/>
        </w:rPr>
        <w:t>et al.,</w:t>
      </w:r>
      <w:r w:rsidR="00ED3CD9">
        <w:rPr>
          <w:rFonts w:ascii="Arial" w:hAnsi="Arial" w:cs="Arial"/>
          <w:sz w:val="20"/>
          <w:szCs w:val="20"/>
        </w:rPr>
        <w:t xml:space="preserve"> 2023)</w:t>
      </w:r>
      <w:r w:rsidRPr="00C8095C">
        <w:rPr>
          <w:rFonts w:ascii="Arial" w:hAnsi="Arial" w:cs="Arial"/>
          <w:sz w:val="20"/>
          <w:szCs w:val="20"/>
        </w:rPr>
        <w:t xml:space="preserve">. </w:t>
      </w:r>
      <w:r w:rsidR="00602EA8" w:rsidRPr="00C8095C">
        <w:rPr>
          <w:rFonts w:ascii="Arial" w:hAnsi="Arial" w:cs="Arial"/>
          <w:sz w:val="20"/>
          <w:szCs w:val="20"/>
        </w:rPr>
        <w:t xml:space="preserve">It is </w:t>
      </w:r>
      <w:r w:rsidRPr="00C8095C">
        <w:rPr>
          <w:rFonts w:ascii="Arial" w:hAnsi="Arial" w:cs="Arial"/>
          <w:sz w:val="20"/>
          <w:szCs w:val="20"/>
        </w:rPr>
        <w:t xml:space="preserve">caused by </w:t>
      </w:r>
      <w:r w:rsidR="00276CD2">
        <w:rPr>
          <w:rFonts w:ascii="Arial" w:hAnsi="Arial" w:cs="Arial"/>
          <w:sz w:val="20"/>
          <w:szCs w:val="20"/>
        </w:rPr>
        <w:t xml:space="preserve">an </w:t>
      </w:r>
      <w:r w:rsidRPr="00C8095C">
        <w:rPr>
          <w:rFonts w:ascii="Arial" w:hAnsi="Arial" w:cs="Arial"/>
          <w:sz w:val="20"/>
          <w:szCs w:val="20"/>
        </w:rPr>
        <w:t>obligate biotrophic fung</w:t>
      </w:r>
      <w:r w:rsidR="00276CD2">
        <w:rPr>
          <w:rFonts w:ascii="Arial" w:hAnsi="Arial" w:cs="Arial"/>
          <w:sz w:val="20"/>
          <w:szCs w:val="20"/>
        </w:rPr>
        <w:t>us</w:t>
      </w:r>
      <w:r w:rsidRPr="00C8095C">
        <w:rPr>
          <w:rFonts w:ascii="Arial" w:hAnsi="Arial" w:cs="Arial"/>
          <w:sz w:val="20"/>
          <w:szCs w:val="20"/>
        </w:rPr>
        <w:t xml:space="preserve"> in the order </w:t>
      </w:r>
      <w:proofErr w:type="spellStart"/>
      <w:r w:rsidRPr="00C8095C">
        <w:rPr>
          <w:rFonts w:ascii="Arial" w:hAnsi="Arial" w:cs="Arial"/>
          <w:i/>
          <w:iCs/>
          <w:sz w:val="20"/>
          <w:szCs w:val="20"/>
        </w:rPr>
        <w:t>Erysiphales</w:t>
      </w:r>
      <w:proofErr w:type="spellEnd"/>
      <w:r w:rsidR="00481AE5" w:rsidRPr="00C8095C">
        <w:rPr>
          <w:rFonts w:ascii="Arial" w:hAnsi="Arial" w:cs="Arial"/>
          <w:sz w:val="20"/>
          <w:szCs w:val="20"/>
        </w:rPr>
        <w:t xml:space="preserve"> (Braun, 2011)</w:t>
      </w:r>
      <w:r w:rsidR="002D0637">
        <w:rPr>
          <w:rFonts w:ascii="Arial" w:hAnsi="Arial" w:cs="Arial"/>
          <w:sz w:val="20"/>
          <w:szCs w:val="20"/>
        </w:rPr>
        <w:t xml:space="preserve">. </w:t>
      </w:r>
      <w:r w:rsidRPr="00C8095C">
        <w:rPr>
          <w:rFonts w:ascii="Arial" w:hAnsi="Arial" w:cs="Arial"/>
          <w:sz w:val="20"/>
          <w:szCs w:val="20"/>
        </w:rPr>
        <w:t>Th</w:t>
      </w:r>
      <w:r w:rsidR="00602EA8" w:rsidRPr="00C8095C">
        <w:rPr>
          <w:rFonts w:ascii="Arial" w:hAnsi="Arial" w:cs="Arial"/>
          <w:sz w:val="20"/>
          <w:szCs w:val="20"/>
        </w:rPr>
        <w:t>is</w:t>
      </w:r>
      <w:r w:rsidR="00481AE5" w:rsidRPr="00C8095C">
        <w:rPr>
          <w:rFonts w:ascii="Arial" w:hAnsi="Arial" w:cs="Arial"/>
          <w:sz w:val="20"/>
          <w:szCs w:val="20"/>
        </w:rPr>
        <w:t xml:space="preserve"> </w:t>
      </w:r>
      <w:r w:rsidRPr="00C8095C">
        <w:rPr>
          <w:rFonts w:ascii="Arial" w:hAnsi="Arial" w:cs="Arial"/>
          <w:sz w:val="20"/>
          <w:szCs w:val="20"/>
        </w:rPr>
        <w:t>fung</w:t>
      </w:r>
      <w:r w:rsidR="00276CD2">
        <w:rPr>
          <w:rFonts w:ascii="Arial" w:hAnsi="Arial" w:cs="Arial"/>
          <w:sz w:val="20"/>
          <w:szCs w:val="20"/>
        </w:rPr>
        <w:t>us</w:t>
      </w:r>
      <w:r w:rsidRPr="00C8095C">
        <w:rPr>
          <w:rFonts w:ascii="Arial" w:hAnsi="Arial" w:cs="Arial"/>
          <w:sz w:val="20"/>
          <w:szCs w:val="20"/>
        </w:rPr>
        <w:t xml:space="preserve"> infect</w:t>
      </w:r>
      <w:r w:rsidR="00602EA8" w:rsidRPr="00C8095C">
        <w:rPr>
          <w:rFonts w:ascii="Arial" w:hAnsi="Arial" w:cs="Arial"/>
          <w:sz w:val="20"/>
          <w:szCs w:val="20"/>
        </w:rPr>
        <w:t>s</w:t>
      </w:r>
      <w:r w:rsidRPr="00C8095C">
        <w:rPr>
          <w:rFonts w:ascii="Arial" w:hAnsi="Arial" w:cs="Arial"/>
          <w:sz w:val="20"/>
          <w:szCs w:val="20"/>
        </w:rPr>
        <w:t xml:space="preserve"> nearly 10,000 angiosperm species, including economically important crops like cereals and grapes</w:t>
      </w:r>
      <w:r w:rsidR="00481AE5" w:rsidRPr="00C8095C">
        <w:rPr>
          <w:rFonts w:ascii="Arial" w:hAnsi="Arial" w:cs="Arial"/>
          <w:sz w:val="20"/>
          <w:szCs w:val="20"/>
        </w:rPr>
        <w:t xml:space="preserve"> (Green </w:t>
      </w:r>
      <w:r w:rsidR="00481AE5" w:rsidRPr="00C8095C">
        <w:rPr>
          <w:rFonts w:ascii="Arial" w:hAnsi="Arial" w:cs="Arial"/>
          <w:i/>
          <w:iCs/>
          <w:sz w:val="20"/>
          <w:szCs w:val="20"/>
        </w:rPr>
        <w:t>et al</w:t>
      </w:r>
      <w:r w:rsidR="00481AE5" w:rsidRPr="00C8095C">
        <w:rPr>
          <w:rFonts w:ascii="Arial" w:hAnsi="Arial" w:cs="Arial"/>
          <w:sz w:val="20"/>
          <w:szCs w:val="20"/>
        </w:rPr>
        <w:t>., 2002)</w:t>
      </w:r>
      <w:r w:rsidR="00EE2E39" w:rsidRPr="00C8095C">
        <w:rPr>
          <w:rFonts w:ascii="Arial" w:hAnsi="Arial" w:cs="Arial"/>
          <w:sz w:val="20"/>
          <w:szCs w:val="20"/>
        </w:rPr>
        <w:t xml:space="preserve"> whereas i</w:t>
      </w:r>
      <w:r w:rsidRPr="00C8095C">
        <w:rPr>
          <w:rFonts w:ascii="Arial" w:hAnsi="Arial" w:cs="Arial"/>
          <w:sz w:val="20"/>
          <w:szCs w:val="20"/>
        </w:rPr>
        <w:t>n black gram, powdery mildew symptoms typically emerge around 45 days after sowing</w:t>
      </w:r>
      <w:r w:rsidR="00164B75" w:rsidRPr="00C8095C">
        <w:rPr>
          <w:rFonts w:ascii="Arial" w:hAnsi="Arial" w:cs="Arial"/>
          <w:sz w:val="20"/>
          <w:szCs w:val="20"/>
        </w:rPr>
        <w:t xml:space="preserve"> </w:t>
      </w:r>
      <w:r w:rsidRPr="00C8095C">
        <w:rPr>
          <w:rFonts w:ascii="Arial" w:hAnsi="Arial" w:cs="Arial"/>
          <w:sz w:val="20"/>
          <w:szCs w:val="20"/>
        </w:rPr>
        <w:t>(</w:t>
      </w:r>
      <w:proofErr w:type="spellStart"/>
      <w:r w:rsidRPr="00C8095C">
        <w:rPr>
          <w:rFonts w:ascii="Arial" w:hAnsi="Arial" w:cs="Arial"/>
          <w:sz w:val="20"/>
          <w:szCs w:val="20"/>
        </w:rPr>
        <w:t>Abbaiah</w:t>
      </w:r>
      <w:proofErr w:type="spellEnd"/>
      <w:r w:rsidRPr="00C8095C">
        <w:rPr>
          <w:rFonts w:ascii="Arial" w:hAnsi="Arial" w:cs="Arial"/>
          <w:sz w:val="20"/>
          <w:szCs w:val="20"/>
        </w:rPr>
        <w:t xml:space="preserve">, 1993) </w:t>
      </w:r>
      <w:r w:rsidR="00EE2E39" w:rsidRPr="00C8095C">
        <w:rPr>
          <w:rFonts w:ascii="Arial" w:hAnsi="Arial" w:cs="Arial"/>
          <w:sz w:val="20"/>
          <w:szCs w:val="20"/>
        </w:rPr>
        <w:t xml:space="preserve">and </w:t>
      </w:r>
      <w:r w:rsidRPr="00C8095C">
        <w:rPr>
          <w:rFonts w:ascii="Arial" w:hAnsi="Arial" w:cs="Arial"/>
          <w:sz w:val="20"/>
          <w:szCs w:val="20"/>
        </w:rPr>
        <w:t>can lead to yield losses up to 20% (</w:t>
      </w:r>
      <w:proofErr w:type="spellStart"/>
      <w:r w:rsidRPr="00C8095C">
        <w:rPr>
          <w:rFonts w:ascii="Arial" w:hAnsi="Arial" w:cs="Arial"/>
          <w:sz w:val="20"/>
          <w:szCs w:val="20"/>
        </w:rPr>
        <w:t>Jayasekhar</w:t>
      </w:r>
      <w:proofErr w:type="spellEnd"/>
      <w:r w:rsidRPr="00C8095C">
        <w:rPr>
          <w:rFonts w:ascii="Arial" w:hAnsi="Arial" w:cs="Arial"/>
          <w:sz w:val="20"/>
          <w:szCs w:val="20"/>
        </w:rPr>
        <w:t xml:space="preserve"> and </w:t>
      </w:r>
      <w:proofErr w:type="spellStart"/>
      <w:r w:rsidRPr="00C8095C">
        <w:rPr>
          <w:rFonts w:ascii="Arial" w:hAnsi="Arial" w:cs="Arial"/>
          <w:sz w:val="20"/>
          <w:szCs w:val="20"/>
        </w:rPr>
        <w:t>Ebenezar</w:t>
      </w:r>
      <w:proofErr w:type="spellEnd"/>
      <w:r w:rsidRPr="00C8095C">
        <w:rPr>
          <w:rFonts w:ascii="Arial" w:hAnsi="Arial" w:cs="Arial"/>
          <w:sz w:val="20"/>
          <w:szCs w:val="20"/>
        </w:rPr>
        <w:t xml:space="preserve">, 2016). If the disease appears at the seedling stage, it may even result in complete crop failure. </w:t>
      </w:r>
    </w:p>
    <w:p w14:paraId="0E9D09DF" w14:textId="20203C4E" w:rsidR="00671B48" w:rsidRPr="00C8095C" w:rsidRDefault="00481AE5" w:rsidP="00481AE5">
      <w:pPr>
        <w:ind w:firstLine="720"/>
        <w:jc w:val="both"/>
        <w:rPr>
          <w:rFonts w:ascii="Arial" w:hAnsi="Arial" w:cs="Arial"/>
          <w:sz w:val="20"/>
          <w:szCs w:val="20"/>
        </w:rPr>
      </w:pPr>
      <w:r w:rsidRPr="00C8095C">
        <w:rPr>
          <w:rFonts w:ascii="Arial" w:hAnsi="Arial" w:cs="Arial"/>
          <w:sz w:val="20"/>
          <w:szCs w:val="20"/>
        </w:rPr>
        <w:lastRenderedPageBreak/>
        <w:t>The</w:t>
      </w:r>
      <w:r w:rsidR="00671B48" w:rsidRPr="00C8095C">
        <w:rPr>
          <w:rFonts w:ascii="Arial" w:hAnsi="Arial" w:cs="Arial"/>
          <w:sz w:val="20"/>
          <w:szCs w:val="20"/>
        </w:rPr>
        <w:t xml:space="preserve"> cultural and biological methods can reduce the incidence of powdery mildew, they often fall short of providing effective protection. Consequently, chemical control using </w:t>
      </w:r>
      <w:r w:rsidR="00EE2E39" w:rsidRPr="00C8095C">
        <w:rPr>
          <w:rFonts w:ascii="Arial" w:hAnsi="Arial" w:cs="Arial"/>
          <w:sz w:val="20"/>
          <w:szCs w:val="20"/>
        </w:rPr>
        <w:t xml:space="preserve">conventional </w:t>
      </w:r>
      <w:r w:rsidR="00671B48" w:rsidRPr="00C8095C">
        <w:rPr>
          <w:rFonts w:ascii="Arial" w:hAnsi="Arial" w:cs="Arial"/>
          <w:sz w:val="20"/>
          <w:szCs w:val="20"/>
        </w:rPr>
        <w:t>fungicides remains the most widely adopted strategy. However, frequent fungicide applications increase the risk of resistance development, especially against high-risk powdery mildew pathogens. These fungi have rapidly developed resistance to several major fungicide classes, including sterol demethylation inhibitors (DMIs), quinone outside inhibitors (</w:t>
      </w:r>
      <w:proofErr w:type="spellStart"/>
      <w:r w:rsidR="00671B48" w:rsidRPr="00C8095C">
        <w:rPr>
          <w:rFonts w:ascii="Arial" w:hAnsi="Arial" w:cs="Arial"/>
          <w:sz w:val="20"/>
          <w:szCs w:val="20"/>
        </w:rPr>
        <w:t>QoIs</w:t>
      </w:r>
      <w:proofErr w:type="spellEnd"/>
      <w:r w:rsidR="00671B48" w:rsidRPr="00C8095C">
        <w:rPr>
          <w:rFonts w:ascii="Arial" w:hAnsi="Arial" w:cs="Arial"/>
          <w:sz w:val="20"/>
          <w:szCs w:val="20"/>
        </w:rPr>
        <w:t>) and succinate dehydrogenase inhibitors (SDHIs) reducing the long-term efficacy of chemical control.</w:t>
      </w:r>
      <w:r w:rsidRPr="00C8095C">
        <w:rPr>
          <w:rFonts w:ascii="Arial" w:hAnsi="Arial" w:cs="Arial"/>
          <w:sz w:val="20"/>
          <w:szCs w:val="20"/>
        </w:rPr>
        <w:t xml:space="preserve"> </w:t>
      </w:r>
      <w:r w:rsidR="00671B48" w:rsidRPr="00C8095C">
        <w:rPr>
          <w:rFonts w:ascii="Arial" w:hAnsi="Arial" w:cs="Arial"/>
          <w:sz w:val="20"/>
          <w:szCs w:val="20"/>
        </w:rPr>
        <w:t>Given the nutritional and economic importance of black gram, relying solely on conventional fungicides is not a sustainable approach. Therefore, the present study aims to evaluate the efficacy of novel fungicides and bioagents, comparing their performance with a standard recommended fungicide, to identify alternative and integrated management strategies for powdery mildew control.</w:t>
      </w:r>
    </w:p>
    <w:p w14:paraId="5A86D17B" w14:textId="698AFB7B" w:rsidR="00F1301B" w:rsidRPr="00CA31A7" w:rsidRDefault="00F1301B" w:rsidP="00CA31A7">
      <w:pPr>
        <w:pStyle w:val="ListParagraph"/>
        <w:numPr>
          <w:ilvl w:val="0"/>
          <w:numId w:val="1"/>
        </w:numPr>
        <w:jc w:val="both"/>
        <w:rPr>
          <w:rFonts w:ascii="Arial" w:hAnsi="Arial" w:cs="Arial"/>
          <w:b/>
          <w:bCs/>
          <w:sz w:val="22"/>
          <w:szCs w:val="22"/>
        </w:rPr>
      </w:pPr>
      <w:r w:rsidRPr="00CA31A7">
        <w:rPr>
          <w:rFonts w:ascii="Arial" w:hAnsi="Arial" w:cs="Arial"/>
          <w:b/>
          <w:bCs/>
          <w:sz w:val="22"/>
          <w:szCs w:val="22"/>
        </w:rPr>
        <w:t>MATERIAL AND METHODS</w:t>
      </w:r>
    </w:p>
    <w:p w14:paraId="2EDA7AB6" w14:textId="5D4BF3B1" w:rsidR="00024267" w:rsidRPr="00C037E3" w:rsidRDefault="00024267" w:rsidP="00EC17A9">
      <w:pPr>
        <w:ind w:firstLine="720"/>
        <w:jc w:val="both"/>
        <w:rPr>
          <w:rFonts w:ascii="Arial" w:hAnsi="Arial" w:cs="Arial"/>
          <w:sz w:val="20"/>
          <w:szCs w:val="20"/>
        </w:rPr>
      </w:pPr>
      <w:r w:rsidRPr="00C037E3">
        <w:rPr>
          <w:rFonts w:ascii="Arial" w:hAnsi="Arial" w:cs="Arial"/>
          <w:sz w:val="20"/>
          <w:szCs w:val="20"/>
        </w:rPr>
        <w:t xml:space="preserve">Two field trials were conducted during </w:t>
      </w:r>
      <w:r w:rsidR="00F1301B" w:rsidRPr="00C037E3">
        <w:rPr>
          <w:rFonts w:ascii="Arial" w:hAnsi="Arial" w:cs="Arial"/>
          <w:i/>
          <w:iCs/>
          <w:sz w:val="20"/>
          <w:szCs w:val="20"/>
        </w:rPr>
        <w:t>r</w:t>
      </w:r>
      <w:r w:rsidRPr="00C037E3">
        <w:rPr>
          <w:rFonts w:ascii="Arial" w:hAnsi="Arial" w:cs="Arial"/>
          <w:i/>
          <w:iCs/>
          <w:sz w:val="20"/>
          <w:szCs w:val="20"/>
        </w:rPr>
        <w:t>abi</w:t>
      </w:r>
      <w:r w:rsidRPr="00C037E3">
        <w:rPr>
          <w:rFonts w:ascii="Arial" w:hAnsi="Arial" w:cs="Arial"/>
          <w:sz w:val="20"/>
          <w:szCs w:val="20"/>
        </w:rPr>
        <w:t xml:space="preserve"> 2023–24 and 2024–25 at the Regional Agricultural Research Station, Lam, Guntur, to assess the efficacy of novel fungicides and biocontrol agents against powdery mildew in Black gram. The experiments were laid out in a randomized block design (RBD) with </w:t>
      </w:r>
      <w:r w:rsidR="00276CD2">
        <w:rPr>
          <w:rFonts w:ascii="Arial" w:hAnsi="Arial" w:cs="Arial"/>
          <w:sz w:val="20"/>
          <w:szCs w:val="20"/>
        </w:rPr>
        <w:t>six</w:t>
      </w:r>
      <w:r w:rsidRPr="00C037E3">
        <w:rPr>
          <w:rFonts w:ascii="Arial" w:hAnsi="Arial" w:cs="Arial"/>
          <w:sz w:val="20"/>
          <w:szCs w:val="20"/>
        </w:rPr>
        <w:t xml:space="preserve"> treatments, including an untreated control and each treatment was replicated four times with a plot size of 25 m².</w:t>
      </w:r>
      <w:r w:rsidR="00695F89" w:rsidRPr="00C037E3">
        <w:rPr>
          <w:rFonts w:ascii="Arial" w:hAnsi="Arial" w:cs="Arial"/>
          <w:sz w:val="20"/>
          <w:szCs w:val="20"/>
        </w:rPr>
        <w:t xml:space="preserve"> </w:t>
      </w:r>
      <w:r w:rsidRPr="00C037E3">
        <w:rPr>
          <w:rFonts w:ascii="Arial" w:hAnsi="Arial" w:cs="Arial"/>
          <w:sz w:val="20"/>
          <w:szCs w:val="20"/>
        </w:rPr>
        <w:t xml:space="preserve">The study utilized PU31, a powdery mildew-susceptible </w:t>
      </w:r>
      <w:proofErr w:type="spellStart"/>
      <w:r w:rsidRPr="00C037E3">
        <w:rPr>
          <w:rFonts w:ascii="Arial" w:hAnsi="Arial" w:cs="Arial"/>
          <w:sz w:val="20"/>
          <w:szCs w:val="20"/>
        </w:rPr>
        <w:t>Blackgram</w:t>
      </w:r>
      <w:proofErr w:type="spellEnd"/>
      <w:r w:rsidRPr="00C037E3">
        <w:rPr>
          <w:rFonts w:ascii="Arial" w:hAnsi="Arial" w:cs="Arial"/>
          <w:sz w:val="20"/>
          <w:szCs w:val="20"/>
        </w:rPr>
        <w:t xml:space="preserve"> variety, sown in the second fortnight of November at a spacing of 30 × 10 cm. Standard agronomic practices recommended by ANGRAU's Crop Production Guide were followed, except for fungicide application. The first spray was applied at the initial appearance of the disease, followed by a second </w:t>
      </w:r>
      <w:r w:rsidR="00EC17A9" w:rsidRPr="00C037E3">
        <w:rPr>
          <w:rFonts w:ascii="Arial" w:hAnsi="Arial" w:cs="Arial"/>
          <w:sz w:val="20"/>
          <w:szCs w:val="20"/>
        </w:rPr>
        <w:t xml:space="preserve">and third </w:t>
      </w:r>
      <w:r w:rsidRPr="00C037E3">
        <w:rPr>
          <w:rFonts w:ascii="Arial" w:hAnsi="Arial" w:cs="Arial"/>
          <w:sz w:val="20"/>
          <w:szCs w:val="20"/>
        </w:rPr>
        <w:t>spray at a 15-day interval.</w:t>
      </w:r>
      <w:r w:rsidR="00EC17A9" w:rsidRPr="00C037E3">
        <w:rPr>
          <w:rFonts w:ascii="Arial" w:hAnsi="Arial" w:cs="Arial"/>
          <w:sz w:val="20"/>
          <w:szCs w:val="20"/>
        </w:rPr>
        <w:t xml:space="preserve"> </w:t>
      </w:r>
      <w:r w:rsidRPr="00C037E3">
        <w:rPr>
          <w:rFonts w:ascii="Arial" w:hAnsi="Arial" w:cs="Arial"/>
          <w:sz w:val="20"/>
          <w:szCs w:val="20"/>
        </w:rPr>
        <w:t>Disease severity was assessed using a 0–5 scale (</w:t>
      </w:r>
      <w:r w:rsidR="00EC17A9" w:rsidRPr="00C037E3">
        <w:rPr>
          <w:rFonts w:ascii="Arial" w:hAnsi="Arial" w:cs="Arial"/>
          <w:sz w:val="20"/>
          <w:szCs w:val="20"/>
        </w:rPr>
        <w:t>AICRP-</w:t>
      </w:r>
      <w:proofErr w:type="spellStart"/>
      <w:r w:rsidR="00EC17A9" w:rsidRPr="00C037E3">
        <w:rPr>
          <w:rFonts w:ascii="Arial" w:hAnsi="Arial" w:cs="Arial"/>
          <w:sz w:val="20"/>
          <w:szCs w:val="20"/>
        </w:rPr>
        <w:t>MULLaRP</w:t>
      </w:r>
      <w:proofErr w:type="spellEnd"/>
      <w:r w:rsidR="00EC17A9" w:rsidRPr="00C037E3">
        <w:rPr>
          <w:rFonts w:ascii="Arial" w:hAnsi="Arial" w:cs="Arial"/>
          <w:sz w:val="20"/>
          <w:szCs w:val="20"/>
        </w:rPr>
        <w:t>, 2013</w:t>
      </w:r>
      <w:r w:rsidRPr="00C037E3">
        <w:rPr>
          <w:rFonts w:ascii="Arial" w:hAnsi="Arial" w:cs="Arial"/>
          <w:sz w:val="20"/>
          <w:szCs w:val="20"/>
        </w:rPr>
        <w:t>)</w:t>
      </w:r>
      <w:r w:rsidR="00BE01F0">
        <w:rPr>
          <w:rFonts w:ascii="Arial" w:hAnsi="Arial" w:cs="Arial"/>
          <w:sz w:val="20"/>
          <w:szCs w:val="20"/>
        </w:rPr>
        <w:t xml:space="preserve"> </w:t>
      </w:r>
      <w:r w:rsidRPr="00C037E3">
        <w:rPr>
          <w:rFonts w:ascii="Arial" w:hAnsi="Arial" w:cs="Arial"/>
          <w:sz w:val="20"/>
          <w:szCs w:val="20"/>
        </w:rPr>
        <w:t xml:space="preserve">the percent disease index (PDI) </w:t>
      </w:r>
      <w:r w:rsidR="00BE01F0">
        <w:rPr>
          <w:rFonts w:ascii="Arial" w:hAnsi="Arial" w:cs="Arial"/>
          <w:sz w:val="20"/>
          <w:szCs w:val="20"/>
        </w:rPr>
        <w:t xml:space="preserve">and AUDPC </w:t>
      </w:r>
      <w:r w:rsidRPr="00C037E3">
        <w:rPr>
          <w:rFonts w:ascii="Arial" w:hAnsi="Arial" w:cs="Arial"/>
          <w:sz w:val="20"/>
          <w:szCs w:val="20"/>
        </w:rPr>
        <w:t>was calculated</w:t>
      </w:r>
      <w:r w:rsidR="00C037E3" w:rsidRPr="00C037E3">
        <w:rPr>
          <w:rFonts w:ascii="Arial" w:hAnsi="Arial" w:cs="Arial"/>
          <w:sz w:val="20"/>
          <w:szCs w:val="20"/>
        </w:rPr>
        <w:t xml:space="preserve"> (</w:t>
      </w:r>
      <w:r w:rsidR="00C037E3" w:rsidRPr="00C037E3">
        <w:rPr>
          <w:rFonts w:ascii="Arial" w:hAnsi="Arial" w:cs="Arial"/>
          <w:color w:val="000000" w:themeColor="text1"/>
          <w:sz w:val="20"/>
          <w:szCs w:val="20"/>
        </w:rPr>
        <w:t>Townsend</w:t>
      </w:r>
      <w:r w:rsidR="00C037E3">
        <w:rPr>
          <w:rFonts w:ascii="Arial" w:hAnsi="Arial" w:cs="Arial"/>
          <w:color w:val="000000" w:themeColor="text1"/>
          <w:sz w:val="20"/>
          <w:szCs w:val="20"/>
        </w:rPr>
        <w:t xml:space="preserve"> and</w:t>
      </w:r>
      <w:r w:rsidR="00C037E3" w:rsidRPr="00C037E3">
        <w:rPr>
          <w:rFonts w:ascii="Arial" w:hAnsi="Arial" w:cs="Arial"/>
          <w:color w:val="000000" w:themeColor="text1"/>
          <w:sz w:val="20"/>
          <w:szCs w:val="20"/>
        </w:rPr>
        <w:t xml:space="preserve"> Heuberger, 1943)</w:t>
      </w:r>
      <w:r w:rsidRPr="00C037E3">
        <w:rPr>
          <w:rFonts w:ascii="Arial" w:hAnsi="Arial" w:cs="Arial"/>
          <w:sz w:val="20"/>
          <w:szCs w:val="20"/>
        </w:rPr>
        <w:t>. Yield data were recorded from each plot and expressed in kg/ha to evaluate the treatment effects on crop productivity.</w:t>
      </w:r>
    </w:p>
    <w:p w14:paraId="469412D6" w14:textId="7351995C" w:rsidR="00CA31A7" w:rsidRDefault="00CA31A7" w:rsidP="00C037E3">
      <w:pPr>
        <w:spacing w:after="0" w:line="360" w:lineRule="auto"/>
        <w:jc w:val="center"/>
        <w:rPr>
          <w:rFonts w:ascii="Times New Roman" w:eastAsiaTheme="minorEastAsia" w:hAnsi="Times New Roman" w:cs="Times New Roman"/>
          <w:color w:val="000000" w:themeColor="text1"/>
        </w:rPr>
      </w:pPr>
      <w:r>
        <w:rPr>
          <w:rFonts w:ascii="Times New Roman" w:hAnsi="Times New Roman" w:cs="Times New Roman"/>
          <w:color w:val="000000" w:themeColor="text1"/>
        </w:rPr>
        <w:t>PDI</w:t>
      </w:r>
      <m:oMath>
        <m:r>
          <w:rPr>
            <w:rFonts w:ascii="Cambria Math" w:hAnsi="Cambria Math" w:cs="Times New Roman"/>
            <w:color w:val="000000" w:themeColor="text1"/>
          </w:rPr>
          <m:t xml:space="preserve">= </m:t>
        </m:r>
        <m:f>
          <m:fPr>
            <m:ctrlPr>
              <w:rPr>
                <w:rFonts w:ascii="Cambria Math" w:hAnsi="Cambria Math" w:cs="Times New Roman"/>
                <w:i/>
                <w:iCs/>
                <w:color w:val="000000" w:themeColor="text1"/>
              </w:rPr>
            </m:ctrlPr>
          </m:fPr>
          <m:num>
            <m:nary>
              <m:naryPr>
                <m:chr m:val="∑"/>
                <m:subHide m:val="1"/>
                <m:supHide m:val="1"/>
                <m:ctrlPr>
                  <w:rPr>
                    <w:rFonts w:ascii="Cambria Math" w:hAnsi="Cambria Math" w:cs="Times New Roman"/>
                    <w:i/>
                    <w:iCs/>
                    <w:color w:val="000000" w:themeColor="text1"/>
                  </w:rPr>
                </m:ctrlPr>
              </m:naryPr>
              <m:sub/>
              <m:sup/>
              <m:e>
                <m:d>
                  <m:dPr>
                    <m:ctrlPr>
                      <w:rPr>
                        <w:rFonts w:ascii="Cambria Math" w:hAnsi="Cambria Math" w:cs="Times New Roman"/>
                        <w:i/>
                        <w:color w:val="000000" w:themeColor="text1"/>
                        <w:lang w:val="en-US"/>
                      </w:rPr>
                    </m:ctrlPr>
                  </m:dPr>
                  <m:e>
                    <m:r>
                      <w:rPr>
                        <w:rFonts w:ascii="Cambria Math" w:hAnsi="Cambria Math" w:cs="Times New Roman"/>
                        <w:color w:val="000000" w:themeColor="text1"/>
                        <w:lang w:val="en-US"/>
                      </w:rPr>
                      <m:t>score*number of plants with score</m:t>
                    </m:r>
                  </m:e>
                </m:d>
              </m:e>
            </m:nary>
            <m:ctrlPr>
              <w:rPr>
                <w:rFonts w:ascii="Cambria Math" w:hAnsi="Cambria Math" w:cs="Times New Roman"/>
                <w:i/>
                <w:color w:val="000000" w:themeColor="text1"/>
                <w:lang w:val="en-US"/>
              </w:rPr>
            </m:ctrlPr>
          </m:num>
          <m:den>
            <m:d>
              <m:dPr>
                <m:ctrlPr>
                  <w:rPr>
                    <w:rFonts w:ascii="Cambria Math" w:hAnsi="Cambria Math" w:cs="Times New Roman"/>
                    <w:i/>
                    <w:iCs/>
                    <w:color w:val="000000" w:themeColor="text1"/>
                  </w:rPr>
                </m:ctrlPr>
              </m:dPr>
              <m:e>
                <m:r>
                  <w:rPr>
                    <w:rFonts w:ascii="Cambria Math" w:hAnsi="Cambria Math" w:cs="Times New Roman"/>
                    <w:color w:val="000000" w:themeColor="text1"/>
                  </w:rPr>
                  <m:t>total number of plants*highest score</m:t>
                </m:r>
              </m:e>
            </m:d>
          </m:den>
        </m:f>
        <m:r>
          <w:rPr>
            <w:rFonts w:ascii="Cambria Math" w:hAnsi="Cambria Math" w:cs="Times New Roman"/>
            <w:color w:val="000000" w:themeColor="text1"/>
          </w:rPr>
          <m:t xml:space="preserve"> ×100</m:t>
        </m:r>
      </m:oMath>
    </w:p>
    <w:p w14:paraId="3E695A3D" w14:textId="26166286" w:rsidR="00BE01F0" w:rsidRDefault="00BE01F0" w:rsidP="00C037E3">
      <w:pPr>
        <w:spacing w:after="0" w:line="360" w:lineRule="auto"/>
        <w:jc w:val="center"/>
        <w:rPr>
          <w:rFonts w:ascii="Times New Roman" w:eastAsiaTheme="minorEastAsia" w:hAnsi="Times New Roman" w:cs="Times New Roman"/>
          <w:color w:val="000000" w:themeColor="text1"/>
        </w:rPr>
      </w:pPr>
      <w:r w:rsidRPr="00BE01F0">
        <w:rPr>
          <w:rFonts w:ascii="Times New Roman" w:eastAsiaTheme="minorEastAsia" w:hAnsi="Times New Roman" w:cs="Times New Roman"/>
          <w:noProof/>
          <w:color w:val="000000" w:themeColor="text1"/>
          <w:lang w:val="en-US"/>
        </w:rPr>
        <w:drawing>
          <wp:inline distT="0" distB="0" distL="0" distR="0" wp14:anchorId="43CE7051" wp14:editId="6ABB6876">
            <wp:extent cx="2849880" cy="538206"/>
            <wp:effectExtent l="0" t="0" r="0" b="0"/>
            <wp:docPr id="639483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83366" name=""/>
                    <pic:cNvPicPr/>
                  </pic:nvPicPr>
                  <pic:blipFill>
                    <a:blip r:embed="rId7"/>
                    <a:stretch>
                      <a:fillRect/>
                    </a:stretch>
                  </pic:blipFill>
                  <pic:spPr>
                    <a:xfrm>
                      <a:off x="0" y="0"/>
                      <a:ext cx="2892010" cy="546162"/>
                    </a:xfrm>
                    <a:prstGeom prst="rect">
                      <a:avLst/>
                    </a:prstGeom>
                  </pic:spPr>
                </pic:pic>
              </a:graphicData>
            </a:graphic>
          </wp:inline>
        </w:drawing>
      </w:r>
    </w:p>
    <w:p w14:paraId="36B13B79" w14:textId="7F34BA3B" w:rsidR="00F1301B" w:rsidRPr="00C037E3" w:rsidRDefault="00F1301B" w:rsidP="00C037E3">
      <w:pPr>
        <w:pStyle w:val="ListParagraph"/>
        <w:numPr>
          <w:ilvl w:val="0"/>
          <w:numId w:val="1"/>
        </w:numPr>
        <w:rPr>
          <w:rFonts w:ascii="Arial" w:hAnsi="Arial" w:cs="Arial"/>
          <w:b/>
          <w:bCs/>
          <w:sz w:val="22"/>
          <w:szCs w:val="22"/>
        </w:rPr>
      </w:pPr>
      <w:r w:rsidRPr="00C037E3">
        <w:rPr>
          <w:rFonts w:ascii="Arial" w:hAnsi="Arial" w:cs="Arial"/>
          <w:b/>
          <w:bCs/>
          <w:sz w:val="22"/>
          <w:szCs w:val="22"/>
        </w:rPr>
        <w:t xml:space="preserve">RESULTS </w:t>
      </w:r>
      <w:r w:rsidR="00C037E3">
        <w:rPr>
          <w:rFonts w:ascii="Arial" w:hAnsi="Arial" w:cs="Arial"/>
          <w:b/>
          <w:bCs/>
          <w:sz w:val="22"/>
          <w:szCs w:val="22"/>
        </w:rPr>
        <w:t xml:space="preserve">AND </w:t>
      </w:r>
      <w:r w:rsidR="00C037E3" w:rsidRPr="00C037E3">
        <w:rPr>
          <w:rFonts w:ascii="Arial" w:hAnsi="Arial" w:cs="Arial"/>
          <w:b/>
          <w:bCs/>
          <w:sz w:val="22"/>
          <w:szCs w:val="22"/>
        </w:rPr>
        <w:t>DISCUSSION</w:t>
      </w:r>
    </w:p>
    <w:p w14:paraId="33354673" w14:textId="1518481D" w:rsidR="00EE2E39" w:rsidRDefault="00695F89" w:rsidP="00CF5CDC">
      <w:pPr>
        <w:ind w:firstLine="720"/>
        <w:jc w:val="both"/>
        <w:rPr>
          <w:rFonts w:ascii="Arial" w:hAnsi="Arial" w:cs="Arial"/>
          <w:sz w:val="20"/>
          <w:szCs w:val="20"/>
        </w:rPr>
      </w:pPr>
      <w:r w:rsidRPr="00C037E3">
        <w:rPr>
          <w:rFonts w:ascii="Arial" w:hAnsi="Arial" w:cs="Arial"/>
          <w:sz w:val="20"/>
          <w:szCs w:val="20"/>
        </w:rPr>
        <w:t xml:space="preserve">The mean percent disease Index was recorded highest in 2024-2025 of untreated control (92.00) when compared </w:t>
      </w:r>
      <w:r w:rsidR="00276CD2">
        <w:rPr>
          <w:rFonts w:ascii="Arial" w:hAnsi="Arial" w:cs="Arial"/>
          <w:sz w:val="20"/>
          <w:szCs w:val="20"/>
        </w:rPr>
        <w:t>to</w:t>
      </w:r>
      <w:r w:rsidRPr="00C037E3">
        <w:rPr>
          <w:rFonts w:ascii="Arial" w:hAnsi="Arial" w:cs="Arial"/>
          <w:sz w:val="20"/>
          <w:szCs w:val="20"/>
        </w:rPr>
        <w:t xml:space="preserve"> 2023-2024 (90.00). The results showed that all the novel fungicides</w:t>
      </w:r>
      <w:r w:rsidR="00EE2E39" w:rsidRPr="00C037E3">
        <w:rPr>
          <w:rFonts w:ascii="Arial" w:hAnsi="Arial" w:cs="Arial"/>
          <w:sz w:val="20"/>
          <w:szCs w:val="20"/>
        </w:rPr>
        <w:t xml:space="preserve">, conventional fungicide </w:t>
      </w:r>
      <w:r w:rsidRPr="00C037E3">
        <w:rPr>
          <w:rFonts w:ascii="Arial" w:hAnsi="Arial" w:cs="Arial"/>
          <w:sz w:val="20"/>
          <w:szCs w:val="20"/>
        </w:rPr>
        <w:t xml:space="preserve">and bioagents were tested effective in controlling the disease severity when compared with untreated control. </w:t>
      </w:r>
      <w:r w:rsidR="00EE4BBB" w:rsidRPr="00C037E3">
        <w:rPr>
          <w:rFonts w:ascii="Arial" w:hAnsi="Arial" w:cs="Arial"/>
          <w:sz w:val="20"/>
          <w:szCs w:val="20"/>
        </w:rPr>
        <w:t xml:space="preserve">The pooled analysis from </w:t>
      </w:r>
      <w:r w:rsidR="00EE4BBB" w:rsidRPr="00C037E3">
        <w:rPr>
          <w:rFonts w:ascii="Arial" w:hAnsi="Arial" w:cs="Arial"/>
          <w:i/>
          <w:iCs/>
          <w:sz w:val="20"/>
          <w:szCs w:val="20"/>
        </w:rPr>
        <w:t>rabi</w:t>
      </w:r>
      <w:r w:rsidR="00EE4BBB" w:rsidRPr="00C037E3">
        <w:rPr>
          <w:rFonts w:ascii="Arial" w:hAnsi="Arial" w:cs="Arial"/>
          <w:sz w:val="20"/>
          <w:szCs w:val="20"/>
        </w:rPr>
        <w:t xml:space="preserve"> 2023-2025 re</w:t>
      </w:r>
      <w:r w:rsidR="00276CD2">
        <w:rPr>
          <w:rFonts w:ascii="Arial" w:hAnsi="Arial" w:cs="Arial"/>
          <w:sz w:val="20"/>
          <w:szCs w:val="20"/>
        </w:rPr>
        <w:t>vealed</w:t>
      </w:r>
      <w:r w:rsidR="00EE4BBB" w:rsidRPr="00C037E3">
        <w:rPr>
          <w:rFonts w:ascii="Arial" w:hAnsi="Arial" w:cs="Arial"/>
          <w:sz w:val="20"/>
          <w:szCs w:val="20"/>
        </w:rPr>
        <w:t xml:space="preserve"> that a</w:t>
      </w:r>
      <w:r w:rsidRPr="00C037E3">
        <w:rPr>
          <w:rFonts w:ascii="Arial" w:hAnsi="Arial" w:cs="Arial"/>
          <w:sz w:val="20"/>
          <w:szCs w:val="20"/>
        </w:rPr>
        <w:t>mong all the tested treatments</w:t>
      </w:r>
      <w:r w:rsidR="00EE4BBB" w:rsidRPr="00C037E3">
        <w:rPr>
          <w:rFonts w:ascii="Arial" w:hAnsi="Arial" w:cs="Arial"/>
          <w:sz w:val="20"/>
          <w:szCs w:val="20"/>
        </w:rPr>
        <w:t>,</w:t>
      </w:r>
      <w:r w:rsidRPr="00C037E3">
        <w:rPr>
          <w:rFonts w:ascii="Arial" w:hAnsi="Arial" w:cs="Arial"/>
          <w:sz w:val="20"/>
          <w:szCs w:val="20"/>
        </w:rPr>
        <w:t xml:space="preserve"> </w:t>
      </w:r>
      <w:proofErr w:type="spellStart"/>
      <w:r w:rsidRPr="00C037E3">
        <w:rPr>
          <w:rFonts w:ascii="Arial" w:hAnsi="Arial" w:cs="Arial"/>
          <w:sz w:val="20"/>
          <w:szCs w:val="20"/>
        </w:rPr>
        <w:t>Cyfluflenamid</w:t>
      </w:r>
      <w:proofErr w:type="spellEnd"/>
      <w:r w:rsidR="00EE2E39" w:rsidRPr="00C037E3">
        <w:rPr>
          <w:rFonts w:ascii="Arial" w:hAnsi="Arial" w:cs="Arial"/>
          <w:sz w:val="20"/>
          <w:szCs w:val="20"/>
        </w:rPr>
        <w:t xml:space="preserve"> @1</w:t>
      </w:r>
      <w:r w:rsidR="002D4225">
        <w:rPr>
          <w:rFonts w:ascii="Arial" w:hAnsi="Arial" w:cs="Arial"/>
          <w:sz w:val="20"/>
          <w:szCs w:val="20"/>
        </w:rPr>
        <w:t xml:space="preserve">.0 </w:t>
      </w:r>
      <w:r w:rsidR="00EE2E39" w:rsidRPr="00C037E3">
        <w:rPr>
          <w:rFonts w:ascii="Arial" w:hAnsi="Arial" w:cs="Arial"/>
          <w:sz w:val="20"/>
          <w:szCs w:val="20"/>
        </w:rPr>
        <w:t>ml l</w:t>
      </w:r>
      <w:r w:rsidR="00EE2E39" w:rsidRPr="00C037E3">
        <w:rPr>
          <w:rFonts w:ascii="Arial" w:hAnsi="Arial" w:cs="Arial"/>
          <w:sz w:val="20"/>
          <w:szCs w:val="20"/>
          <w:vertAlign w:val="superscript"/>
        </w:rPr>
        <w:t>-1</w:t>
      </w:r>
      <w:r w:rsidRPr="00C037E3">
        <w:rPr>
          <w:rFonts w:ascii="Arial" w:hAnsi="Arial" w:cs="Arial"/>
          <w:sz w:val="20"/>
          <w:szCs w:val="20"/>
        </w:rPr>
        <w:t xml:space="preserve"> </w:t>
      </w:r>
      <w:r w:rsidR="007509C2" w:rsidRPr="00C037E3">
        <w:rPr>
          <w:rFonts w:ascii="Arial" w:hAnsi="Arial" w:cs="Arial"/>
          <w:sz w:val="20"/>
          <w:szCs w:val="20"/>
        </w:rPr>
        <w:t>consistently outperformed with the rest of the treatments and emerg</w:t>
      </w:r>
      <w:r w:rsidR="00EE4BBB" w:rsidRPr="00C037E3">
        <w:rPr>
          <w:rFonts w:ascii="Arial" w:hAnsi="Arial" w:cs="Arial"/>
          <w:sz w:val="20"/>
          <w:szCs w:val="20"/>
        </w:rPr>
        <w:t>ed</w:t>
      </w:r>
      <w:r w:rsidR="007509C2" w:rsidRPr="00C037E3">
        <w:rPr>
          <w:rFonts w:ascii="Arial" w:hAnsi="Arial" w:cs="Arial"/>
          <w:sz w:val="20"/>
          <w:szCs w:val="20"/>
        </w:rPr>
        <w:t xml:space="preserve"> as the most effective fungicidal treatment in both years </w:t>
      </w:r>
      <w:r w:rsidR="00062433" w:rsidRPr="00C037E3">
        <w:rPr>
          <w:rFonts w:ascii="Arial" w:hAnsi="Arial" w:cs="Arial"/>
          <w:sz w:val="20"/>
          <w:szCs w:val="20"/>
        </w:rPr>
        <w:t>with</w:t>
      </w:r>
      <w:r w:rsidRPr="00C037E3">
        <w:rPr>
          <w:rFonts w:ascii="Arial" w:hAnsi="Arial" w:cs="Arial"/>
          <w:sz w:val="20"/>
          <w:szCs w:val="20"/>
        </w:rPr>
        <w:t xml:space="preserve"> </w:t>
      </w:r>
      <w:r w:rsidR="007509C2" w:rsidRPr="00C037E3">
        <w:rPr>
          <w:rFonts w:ascii="Arial" w:hAnsi="Arial" w:cs="Arial"/>
          <w:sz w:val="20"/>
          <w:szCs w:val="20"/>
        </w:rPr>
        <w:t>70.8</w:t>
      </w:r>
      <w:r w:rsidR="00EE2E39" w:rsidRPr="00C037E3">
        <w:rPr>
          <w:rFonts w:ascii="Arial" w:hAnsi="Arial" w:cs="Arial"/>
          <w:sz w:val="20"/>
          <w:szCs w:val="20"/>
        </w:rPr>
        <w:t xml:space="preserve">1 </w:t>
      </w:r>
      <w:r w:rsidR="00A14DE0" w:rsidRPr="00C037E3">
        <w:rPr>
          <w:rFonts w:ascii="Arial" w:hAnsi="Arial" w:cs="Arial"/>
          <w:sz w:val="20"/>
          <w:szCs w:val="20"/>
        </w:rPr>
        <w:t>percent disease reduction over control followed by Hexaconazole with 64.05%</w:t>
      </w:r>
      <w:r w:rsidR="00EE2E39" w:rsidRPr="00C037E3">
        <w:rPr>
          <w:rFonts w:ascii="Arial" w:hAnsi="Arial" w:cs="Arial"/>
          <w:sz w:val="20"/>
          <w:szCs w:val="20"/>
        </w:rPr>
        <w:t xml:space="preserve"> (Table 1)</w:t>
      </w:r>
      <w:r w:rsidR="00A14DE0" w:rsidRPr="00C037E3">
        <w:rPr>
          <w:rFonts w:ascii="Arial" w:hAnsi="Arial" w:cs="Arial"/>
          <w:sz w:val="20"/>
          <w:szCs w:val="20"/>
        </w:rPr>
        <w:t xml:space="preserve">. </w:t>
      </w:r>
      <w:r w:rsidR="00062433" w:rsidRPr="00C037E3">
        <w:rPr>
          <w:rFonts w:ascii="Arial" w:hAnsi="Arial" w:cs="Arial"/>
          <w:sz w:val="20"/>
          <w:szCs w:val="20"/>
        </w:rPr>
        <w:t xml:space="preserve">Both the </w:t>
      </w:r>
      <w:r w:rsidR="00A14DE0" w:rsidRPr="00C037E3">
        <w:rPr>
          <w:rFonts w:ascii="Arial" w:hAnsi="Arial" w:cs="Arial"/>
          <w:sz w:val="20"/>
          <w:szCs w:val="20"/>
        </w:rPr>
        <w:t xml:space="preserve">bioagents were performed </w:t>
      </w:r>
      <w:r w:rsidR="00062433" w:rsidRPr="00C037E3">
        <w:rPr>
          <w:rFonts w:ascii="Arial" w:hAnsi="Arial" w:cs="Arial"/>
          <w:sz w:val="20"/>
          <w:szCs w:val="20"/>
        </w:rPr>
        <w:t>better than the untreated control exhibiting comparable performance with each other and recording a per cent disease index of 61.00</w:t>
      </w:r>
      <w:r w:rsidR="00A14DE0" w:rsidRPr="00C037E3">
        <w:rPr>
          <w:rFonts w:ascii="Arial" w:hAnsi="Arial" w:cs="Arial"/>
          <w:sz w:val="20"/>
          <w:szCs w:val="20"/>
        </w:rPr>
        <w:t>.</w:t>
      </w:r>
      <w:r w:rsidR="00EE4BBB" w:rsidRPr="00C037E3">
        <w:rPr>
          <w:rFonts w:ascii="Arial" w:hAnsi="Arial" w:cs="Arial"/>
          <w:sz w:val="20"/>
          <w:szCs w:val="20"/>
        </w:rPr>
        <w:t xml:space="preserve"> </w:t>
      </w:r>
      <w:r w:rsidR="00F1301B" w:rsidRPr="00C037E3">
        <w:rPr>
          <w:rFonts w:ascii="Arial" w:hAnsi="Arial" w:cs="Arial"/>
          <w:sz w:val="20"/>
          <w:szCs w:val="20"/>
        </w:rPr>
        <w:t>In terms of yield performance,</w:t>
      </w:r>
      <w:r w:rsidR="002D4225">
        <w:rPr>
          <w:rFonts w:ascii="Arial" w:hAnsi="Arial" w:cs="Arial"/>
          <w:sz w:val="20"/>
          <w:szCs w:val="20"/>
        </w:rPr>
        <w:t xml:space="preserve"> </w:t>
      </w:r>
      <w:r w:rsidR="00F1301B" w:rsidRPr="00C037E3">
        <w:rPr>
          <w:rFonts w:ascii="Arial" w:hAnsi="Arial" w:cs="Arial"/>
          <w:sz w:val="20"/>
          <w:szCs w:val="20"/>
        </w:rPr>
        <w:t>Cyflufenamid</w:t>
      </w:r>
      <w:r w:rsidR="00322EFE" w:rsidRPr="00C037E3">
        <w:rPr>
          <w:rFonts w:ascii="Arial" w:hAnsi="Arial" w:cs="Arial"/>
          <w:sz w:val="20"/>
          <w:szCs w:val="20"/>
        </w:rPr>
        <w:t xml:space="preserve"> @1</w:t>
      </w:r>
      <w:r w:rsidR="002D4225">
        <w:rPr>
          <w:rFonts w:ascii="Arial" w:hAnsi="Arial" w:cs="Arial"/>
          <w:sz w:val="20"/>
          <w:szCs w:val="20"/>
        </w:rPr>
        <w:t xml:space="preserve">.0                 </w:t>
      </w:r>
      <w:r w:rsidR="00322EFE" w:rsidRPr="00C037E3">
        <w:rPr>
          <w:rFonts w:ascii="Arial" w:hAnsi="Arial" w:cs="Arial"/>
          <w:sz w:val="20"/>
          <w:szCs w:val="20"/>
        </w:rPr>
        <w:t>ml l</w:t>
      </w:r>
      <w:r w:rsidR="00322EFE" w:rsidRPr="00C037E3">
        <w:rPr>
          <w:rFonts w:ascii="Arial" w:hAnsi="Arial" w:cs="Arial"/>
          <w:sz w:val="20"/>
          <w:szCs w:val="20"/>
          <w:vertAlign w:val="superscript"/>
        </w:rPr>
        <w:t>-1</w:t>
      </w:r>
      <w:r w:rsidR="00F1301B" w:rsidRPr="00C037E3">
        <w:rPr>
          <w:rFonts w:ascii="Arial" w:hAnsi="Arial" w:cs="Arial"/>
          <w:sz w:val="20"/>
          <w:szCs w:val="20"/>
        </w:rPr>
        <w:t>(T</w:t>
      </w:r>
      <w:r w:rsidR="00F1301B" w:rsidRPr="00C037E3">
        <w:rPr>
          <w:rFonts w:ascii="Arial" w:hAnsi="Arial" w:cs="Arial"/>
          <w:sz w:val="20"/>
          <w:szCs w:val="20"/>
          <w:vertAlign w:val="subscript"/>
        </w:rPr>
        <w:t>1</w:t>
      </w:r>
      <w:r w:rsidR="00F1301B" w:rsidRPr="00C037E3">
        <w:rPr>
          <w:rFonts w:ascii="Arial" w:hAnsi="Arial" w:cs="Arial"/>
          <w:sz w:val="20"/>
          <w:szCs w:val="20"/>
        </w:rPr>
        <w:t xml:space="preserve">) again led with a 94.41% increase in yield over control, reflecting its excellent disease control and plant health benefits. </w:t>
      </w:r>
      <w:r w:rsidR="00A440AB" w:rsidRPr="00C037E3">
        <w:rPr>
          <w:rFonts w:ascii="Arial" w:hAnsi="Arial" w:cs="Arial"/>
          <w:sz w:val="20"/>
          <w:szCs w:val="20"/>
        </w:rPr>
        <w:t xml:space="preserve">Further, </w:t>
      </w:r>
      <w:r w:rsidR="00F1301B" w:rsidRPr="00C037E3">
        <w:rPr>
          <w:rFonts w:ascii="Arial" w:hAnsi="Arial" w:cs="Arial"/>
          <w:sz w:val="20"/>
          <w:szCs w:val="20"/>
        </w:rPr>
        <w:t>Hexaconazole</w:t>
      </w:r>
      <w:r w:rsidR="00A440AB" w:rsidRPr="00C037E3">
        <w:rPr>
          <w:rFonts w:ascii="Arial" w:hAnsi="Arial" w:cs="Arial"/>
          <w:sz w:val="20"/>
          <w:szCs w:val="20"/>
        </w:rPr>
        <w:t xml:space="preserve"> @2</w:t>
      </w:r>
      <w:r w:rsidR="002D4225">
        <w:rPr>
          <w:rFonts w:ascii="Arial" w:hAnsi="Arial" w:cs="Arial"/>
          <w:sz w:val="20"/>
          <w:szCs w:val="20"/>
        </w:rPr>
        <w:t xml:space="preserve">.0 </w:t>
      </w:r>
      <w:r w:rsidR="00A440AB" w:rsidRPr="00C037E3">
        <w:rPr>
          <w:rFonts w:ascii="Arial" w:hAnsi="Arial" w:cs="Arial"/>
          <w:sz w:val="20"/>
          <w:szCs w:val="20"/>
        </w:rPr>
        <w:t>ml l</w:t>
      </w:r>
      <w:r w:rsidR="00A440AB" w:rsidRPr="00C037E3">
        <w:rPr>
          <w:rFonts w:ascii="Arial" w:hAnsi="Arial" w:cs="Arial"/>
          <w:sz w:val="20"/>
          <w:szCs w:val="20"/>
          <w:vertAlign w:val="superscript"/>
        </w:rPr>
        <w:t>-1</w:t>
      </w:r>
      <w:r w:rsidR="00603F95">
        <w:rPr>
          <w:rFonts w:ascii="Arial" w:hAnsi="Arial" w:cs="Arial"/>
          <w:sz w:val="20"/>
          <w:szCs w:val="20"/>
        </w:rPr>
        <w:t xml:space="preserve"> </w:t>
      </w:r>
      <w:r w:rsidR="00F1301B" w:rsidRPr="00C037E3">
        <w:rPr>
          <w:rFonts w:ascii="Arial" w:hAnsi="Arial" w:cs="Arial"/>
          <w:sz w:val="20"/>
          <w:szCs w:val="20"/>
        </w:rPr>
        <w:t>(T</w:t>
      </w:r>
      <w:r w:rsidR="00F1301B" w:rsidRPr="00C037E3">
        <w:rPr>
          <w:rFonts w:ascii="Arial" w:hAnsi="Arial" w:cs="Arial"/>
          <w:sz w:val="20"/>
          <w:szCs w:val="20"/>
          <w:vertAlign w:val="subscript"/>
        </w:rPr>
        <w:t>5</w:t>
      </w:r>
      <w:r w:rsidR="00F1301B" w:rsidRPr="00C037E3">
        <w:rPr>
          <w:rFonts w:ascii="Arial" w:hAnsi="Arial" w:cs="Arial"/>
          <w:sz w:val="20"/>
          <w:szCs w:val="20"/>
        </w:rPr>
        <w:t xml:space="preserve">) also performed well with a 73.84% yield increase, followed by </w:t>
      </w:r>
      <w:proofErr w:type="spellStart"/>
      <w:r w:rsidR="00F1301B" w:rsidRPr="00C037E3">
        <w:rPr>
          <w:rFonts w:ascii="Arial" w:hAnsi="Arial" w:cs="Arial"/>
          <w:sz w:val="20"/>
          <w:szCs w:val="20"/>
        </w:rPr>
        <w:t>Fluopyram</w:t>
      </w:r>
      <w:proofErr w:type="spellEnd"/>
      <w:r w:rsidR="00F1301B" w:rsidRPr="00C037E3">
        <w:rPr>
          <w:rFonts w:ascii="Arial" w:hAnsi="Arial" w:cs="Arial"/>
          <w:sz w:val="20"/>
          <w:szCs w:val="20"/>
        </w:rPr>
        <w:t xml:space="preserve"> + </w:t>
      </w:r>
      <w:proofErr w:type="spellStart"/>
      <w:r w:rsidR="00F1301B" w:rsidRPr="00C037E3">
        <w:rPr>
          <w:rFonts w:ascii="Arial" w:hAnsi="Arial" w:cs="Arial"/>
          <w:sz w:val="20"/>
          <w:szCs w:val="20"/>
        </w:rPr>
        <w:t>Tebuconazole</w:t>
      </w:r>
      <w:proofErr w:type="spellEnd"/>
      <w:r w:rsidR="00A440AB" w:rsidRPr="00C037E3">
        <w:rPr>
          <w:rFonts w:ascii="Arial" w:hAnsi="Arial" w:cs="Arial"/>
          <w:sz w:val="20"/>
          <w:szCs w:val="20"/>
        </w:rPr>
        <w:t xml:space="preserve"> 17.7% w/w SC @1</w:t>
      </w:r>
      <w:r w:rsidR="002D4225">
        <w:rPr>
          <w:rFonts w:ascii="Arial" w:hAnsi="Arial" w:cs="Arial"/>
          <w:sz w:val="20"/>
          <w:szCs w:val="20"/>
        </w:rPr>
        <w:t xml:space="preserve">.0 </w:t>
      </w:r>
      <w:r w:rsidR="00A440AB" w:rsidRPr="00C037E3">
        <w:rPr>
          <w:rFonts w:ascii="Arial" w:hAnsi="Arial" w:cs="Arial"/>
          <w:sz w:val="20"/>
          <w:szCs w:val="20"/>
        </w:rPr>
        <w:t>ml l</w:t>
      </w:r>
      <w:r w:rsidR="00A440AB" w:rsidRPr="00C037E3">
        <w:rPr>
          <w:rFonts w:ascii="Arial" w:hAnsi="Arial" w:cs="Arial"/>
          <w:sz w:val="20"/>
          <w:szCs w:val="20"/>
          <w:vertAlign w:val="superscript"/>
        </w:rPr>
        <w:t>-1</w:t>
      </w:r>
      <w:r w:rsidR="00F1301B" w:rsidRPr="00C037E3">
        <w:rPr>
          <w:rFonts w:ascii="Arial" w:hAnsi="Arial" w:cs="Arial"/>
          <w:sz w:val="20"/>
          <w:szCs w:val="20"/>
        </w:rPr>
        <w:t xml:space="preserve"> (T</w:t>
      </w:r>
      <w:r w:rsidR="00F1301B" w:rsidRPr="00C037E3">
        <w:rPr>
          <w:rFonts w:ascii="Arial" w:hAnsi="Arial" w:cs="Arial"/>
          <w:sz w:val="20"/>
          <w:szCs w:val="20"/>
          <w:vertAlign w:val="subscript"/>
        </w:rPr>
        <w:t>2</w:t>
      </w:r>
      <w:r w:rsidR="00F1301B" w:rsidRPr="00C037E3">
        <w:rPr>
          <w:rFonts w:ascii="Arial" w:hAnsi="Arial" w:cs="Arial"/>
          <w:sz w:val="20"/>
          <w:szCs w:val="20"/>
        </w:rPr>
        <w:t xml:space="preserve">) at 46.48%. The </w:t>
      </w:r>
      <w:proofErr w:type="spellStart"/>
      <w:r w:rsidR="00F1301B" w:rsidRPr="00C037E3">
        <w:rPr>
          <w:rFonts w:ascii="Arial" w:hAnsi="Arial" w:cs="Arial"/>
          <w:sz w:val="20"/>
          <w:szCs w:val="20"/>
        </w:rPr>
        <w:t>bioagents</w:t>
      </w:r>
      <w:proofErr w:type="spellEnd"/>
      <w:r w:rsidR="00F1301B" w:rsidRPr="00C037E3">
        <w:rPr>
          <w:rFonts w:ascii="Arial" w:hAnsi="Arial" w:cs="Arial"/>
          <w:sz w:val="20"/>
          <w:szCs w:val="20"/>
        </w:rPr>
        <w:t xml:space="preserve"> </w:t>
      </w:r>
      <w:proofErr w:type="spellStart"/>
      <w:r w:rsidR="00322EFE" w:rsidRPr="00C037E3">
        <w:rPr>
          <w:rFonts w:ascii="Arial" w:hAnsi="Arial" w:cs="Arial"/>
          <w:i/>
          <w:iCs/>
          <w:sz w:val="20"/>
          <w:szCs w:val="20"/>
        </w:rPr>
        <w:t>Ampelomyces</w:t>
      </w:r>
      <w:proofErr w:type="spellEnd"/>
      <w:r w:rsidR="00322EFE" w:rsidRPr="00C037E3">
        <w:rPr>
          <w:rFonts w:ascii="Arial" w:hAnsi="Arial" w:cs="Arial"/>
          <w:i/>
          <w:iCs/>
          <w:sz w:val="20"/>
          <w:szCs w:val="20"/>
        </w:rPr>
        <w:t xml:space="preserve"> </w:t>
      </w:r>
      <w:proofErr w:type="spellStart"/>
      <w:r w:rsidR="00322EFE" w:rsidRPr="00C037E3">
        <w:rPr>
          <w:rFonts w:ascii="Arial" w:hAnsi="Arial" w:cs="Arial"/>
          <w:i/>
          <w:iCs/>
          <w:sz w:val="20"/>
          <w:szCs w:val="20"/>
        </w:rPr>
        <w:t>quisqualis</w:t>
      </w:r>
      <w:proofErr w:type="spellEnd"/>
      <w:r w:rsidR="00322EFE" w:rsidRPr="00C037E3">
        <w:rPr>
          <w:rFonts w:ascii="Arial" w:hAnsi="Arial" w:cs="Arial"/>
          <w:sz w:val="20"/>
          <w:szCs w:val="20"/>
        </w:rPr>
        <w:t xml:space="preserve"> @ 5</w:t>
      </w:r>
      <w:r w:rsidR="002D4225">
        <w:rPr>
          <w:rFonts w:ascii="Arial" w:hAnsi="Arial" w:cs="Arial"/>
          <w:sz w:val="20"/>
          <w:szCs w:val="20"/>
        </w:rPr>
        <w:t xml:space="preserve">.0 </w:t>
      </w:r>
      <w:r w:rsidR="00322EFE" w:rsidRPr="00C037E3">
        <w:rPr>
          <w:rFonts w:ascii="Arial" w:hAnsi="Arial" w:cs="Arial"/>
          <w:sz w:val="20"/>
          <w:szCs w:val="20"/>
        </w:rPr>
        <w:t>ml l</w:t>
      </w:r>
      <w:r w:rsidR="00322EFE" w:rsidRPr="00C037E3">
        <w:rPr>
          <w:rFonts w:ascii="Arial" w:hAnsi="Arial" w:cs="Arial"/>
          <w:sz w:val="20"/>
          <w:szCs w:val="20"/>
          <w:vertAlign w:val="superscript"/>
        </w:rPr>
        <w:t>-1</w:t>
      </w:r>
      <w:r w:rsidR="00603F95">
        <w:rPr>
          <w:rFonts w:ascii="Arial" w:hAnsi="Arial" w:cs="Arial"/>
          <w:sz w:val="20"/>
          <w:szCs w:val="20"/>
        </w:rPr>
        <w:t xml:space="preserve"> </w:t>
      </w:r>
      <w:r w:rsidR="00322EFE" w:rsidRPr="00C037E3">
        <w:rPr>
          <w:rFonts w:ascii="Arial" w:hAnsi="Arial" w:cs="Arial"/>
          <w:sz w:val="20"/>
          <w:szCs w:val="20"/>
        </w:rPr>
        <w:t>(</w:t>
      </w:r>
      <w:r w:rsidR="00F1301B" w:rsidRPr="00C037E3">
        <w:rPr>
          <w:rFonts w:ascii="Arial" w:hAnsi="Arial" w:cs="Arial"/>
          <w:sz w:val="20"/>
          <w:szCs w:val="20"/>
        </w:rPr>
        <w:t>T</w:t>
      </w:r>
      <w:r w:rsidR="00F1301B" w:rsidRPr="00C037E3">
        <w:rPr>
          <w:rFonts w:ascii="Arial" w:hAnsi="Arial" w:cs="Arial"/>
          <w:sz w:val="20"/>
          <w:szCs w:val="20"/>
          <w:vertAlign w:val="subscript"/>
        </w:rPr>
        <w:t>3</w:t>
      </w:r>
      <w:r w:rsidR="00322EFE" w:rsidRPr="00C037E3">
        <w:rPr>
          <w:rFonts w:ascii="Arial" w:hAnsi="Arial" w:cs="Arial"/>
          <w:sz w:val="20"/>
          <w:szCs w:val="20"/>
        </w:rPr>
        <w:t>)</w:t>
      </w:r>
      <w:r w:rsidR="00F1301B" w:rsidRPr="00C037E3">
        <w:rPr>
          <w:rFonts w:ascii="Arial" w:hAnsi="Arial" w:cs="Arial"/>
          <w:sz w:val="20"/>
          <w:szCs w:val="20"/>
        </w:rPr>
        <w:t xml:space="preserve"> and</w:t>
      </w:r>
      <w:r w:rsidR="00603F95">
        <w:rPr>
          <w:rFonts w:ascii="Arial" w:hAnsi="Arial" w:cs="Arial"/>
          <w:sz w:val="20"/>
          <w:szCs w:val="20"/>
        </w:rPr>
        <w:t xml:space="preserve"> </w:t>
      </w:r>
      <w:r w:rsidR="00322EFE" w:rsidRPr="00C037E3">
        <w:rPr>
          <w:rFonts w:ascii="Arial" w:hAnsi="Arial" w:cs="Arial"/>
          <w:i/>
          <w:iCs/>
          <w:sz w:val="20"/>
          <w:szCs w:val="20"/>
        </w:rPr>
        <w:t>Bacillus subtilis</w:t>
      </w:r>
      <w:r w:rsidR="00322EFE" w:rsidRPr="00C037E3">
        <w:rPr>
          <w:rFonts w:ascii="Arial" w:hAnsi="Arial" w:cs="Arial"/>
          <w:sz w:val="20"/>
          <w:szCs w:val="20"/>
        </w:rPr>
        <w:t xml:space="preserve"> @ 5</w:t>
      </w:r>
      <w:r w:rsidR="002D4225">
        <w:rPr>
          <w:rFonts w:ascii="Arial" w:hAnsi="Arial" w:cs="Arial"/>
          <w:sz w:val="20"/>
          <w:szCs w:val="20"/>
        </w:rPr>
        <w:t xml:space="preserve">.0 </w:t>
      </w:r>
      <w:r w:rsidR="00322EFE" w:rsidRPr="00C037E3">
        <w:rPr>
          <w:rFonts w:ascii="Arial" w:hAnsi="Arial" w:cs="Arial"/>
          <w:sz w:val="20"/>
          <w:szCs w:val="20"/>
        </w:rPr>
        <w:t>ml l</w:t>
      </w:r>
      <w:r w:rsidR="00322EFE" w:rsidRPr="00C037E3">
        <w:rPr>
          <w:rFonts w:ascii="Arial" w:hAnsi="Arial" w:cs="Arial"/>
          <w:sz w:val="20"/>
          <w:szCs w:val="20"/>
          <w:vertAlign w:val="superscript"/>
        </w:rPr>
        <w:t>-1</w:t>
      </w:r>
      <w:r w:rsidR="00603F95">
        <w:rPr>
          <w:rFonts w:ascii="Arial" w:hAnsi="Arial" w:cs="Arial"/>
          <w:sz w:val="20"/>
          <w:szCs w:val="20"/>
        </w:rPr>
        <w:t xml:space="preserve"> </w:t>
      </w:r>
      <w:r w:rsidR="00322EFE" w:rsidRPr="00C037E3">
        <w:rPr>
          <w:rFonts w:ascii="Arial" w:hAnsi="Arial" w:cs="Arial"/>
          <w:sz w:val="20"/>
          <w:szCs w:val="20"/>
        </w:rPr>
        <w:t>(</w:t>
      </w:r>
      <w:r w:rsidR="00F1301B" w:rsidRPr="00C037E3">
        <w:rPr>
          <w:rFonts w:ascii="Arial" w:hAnsi="Arial" w:cs="Arial"/>
          <w:sz w:val="20"/>
          <w:szCs w:val="20"/>
        </w:rPr>
        <w:t>T</w:t>
      </w:r>
      <w:r w:rsidR="00F1301B" w:rsidRPr="00C037E3">
        <w:rPr>
          <w:rFonts w:ascii="Arial" w:hAnsi="Arial" w:cs="Arial"/>
          <w:sz w:val="20"/>
          <w:szCs w:val="20"/>
          <w:vertAlign w:val="subscript"/>
        </w:rPr>
        <w:t>4</w:t>
      </w:r>
      <w:r w:rsidR="00322EFE" w:rsidRPr="00C037E3">
        <w:rPr>
          <w:rFonts w:ascii="Arial" w:hAnsi="Arial" w:cs="Arial"/>
          <w:sz w:val="20"/>
          <w:szCs w:val="20"/>
        </w:rPr>
        <w:t>)</w:t>
      </w:r>
      <w:r w:rsidR="00F1301B" w:rsidRPr="00C037E3">
        <w:rPr>
          <w:rFonts w:ascii="Arial" w:hAnsi="Arial" w:cs="Arial"/>
          <w:sz w:val="20"/>
          <w:szCs w:val="20"/>
        </w:rPr>
        <w:t xml:space="preserve"> showed yield increases of 20.94% and 17.19%, respectively, indicating moderate improvement but still significantly lower than chemical treatments. The untreated control remained the lowest in yield underscoring the substantial loss due to lack of management practices.</w:t>
      </w:r>
      <w:r w:rsidR="00EE4BBB" w:rsidRPr="00C037E3">
        <w:rPr>
          <w:rFonts w:ascii="Arial" w:hAnsi="Arial" w:cs="Arial"/>
          <w:sz w:val="20"/>
          <w:szCs w:val="20"/>
        </w:rPr>
        <w:t xml:space="preserve"> However, the CBR of 1: 2.36 was recorded in</w:t>
      </w:r>
      <w:r w:rsidR="00A440AB" w:rsidRPr="00C037E3">
        <w:rPr>
          <w:rFonts w:ascii="Arial" w:hAnsi="Arial" w:cs="Arial"/>
          <w:sz w:val="20"/>
          <w:szCs w:val="20"/>
        </w:rPr>
        <w:t xml:space="preserve"> </w:t>
      </w:r>
      <w:r w:rsidR="00EE4BBB" w:rsidRPr="00C037E3">
        <w:rPr>
          <w:rFonts w:ascii="Arial" w:hAnsi="Arial" w:cs="Arial"/>
          <w:sz w:val="20"/>
          <w:szCs w:val="20"/>
        </w:rPr>
        <w:t xml:space="preserve">Cyflufenamid </w:t>
      </w:r>
      <w:r w:rsidR="00322EFE" w:rsidRPr="00C037E3">
        <w:rPr>
          <w:rFonts w:ascii="Arial" w:hAnsi="Arial" w:cs="Arial"/>
          <w:sz w:val="20"/>
          <w:szCs w:val="20"/>
        </w:rPr>
        <w:t>@1</w:t>
      </w:r>
      <w:r w:rsidR="002D4225">
        <w:rPr>
          <w:rFonts w:ascii="Arial" w:hAnsi="Arial" w:cs="Arial"/>
          <w:sz w:val="20"/>
          <w:szCs w:val="20"/>
        </w:rPr>
        <w:t xml:space="preserve">.0 </w:t>
      </w:r>
      <w:r w:rsidR="00322EFE" w:rsidRPr="00C037E3">
        <w:rPr>
          <w:rFonts w:ascii="Arial" w:hAnsi="Arial" w:cs="Arial"/>
          <w:sz w:val="20"/>
          <w:szCs w:val="20"/>
        </w:rPr>
        <w:t>ml l</w:t>
      </w:r>
      <w:r w:rsidR="00322EFE" w:rsidRPr="00C037E3">
        <w:rPr>
          <w:rFonts w:ascii="Arial" w:hAnsi="Arial" w:cs="Arial"/>
          <w:sz w:val="20"/>
          <w:szCs w:val="20"/>
          <w:vertAlign w:val="superscript"/>
        </w:rPr>
        <w:t>-1</w:t>
      </w:r>
      <w:r w:rsidR="00603F95">
        <w:rPr>
          <w:rFonts w:ascii="Arial" w:hAnsi="Arial" w:cs="Arial"/>
          <w:sz w:val="20"/>
          <w:szCs w:val="20"/>
        </w:rPr>
        <w:t xml:space="preserve"> </w:t>
      </w:r>
      <w:r w:rsidR="00EE4BBB" w:rsidRPr="00C037E3">
        <w:rPr>
          <w:rFonts w:ascii="Arial" w:hAnsi="Arial" w:cs="Arial"/>
          <w:sz w:val="20"/>
          <w:szCs w:val="20"/>
        </w:rPr>
        <w:t>(T</w:t>
      </w:r>
      <w:r w:rsidR="00EE4BBB" w:rsidRPr="00C037E3">
        <w:rPr>
          <w:rFonts w:ascii="Arial" w:hAnsi="Arial" w:cs="Arial"/>
          <w:sz w:val="20"/>
          <w:szCs w:val="20"/>
          <w:vertAlign w:val="subscript"/>
        </w:rPr>
        <w:t>1</w:t>
      </w:r>
      <w:r w:rsidR="00EE4BBB" w:rsidRPr="00C037E3">
        <w:rPr>
          <w:rFonts w:ascii="Arial" w:hAnsi="Arial" w:cs="Arial"/>
          <w:sz w:val="20"/>
          <w:szCs w:val="20"/>
        </w:rPr>
        <w:t xml:space="preserve">) </w:t>
      </w:r>
      <w:r w:rsidR="00A440AB" w:rsidRPr="00C037E3">
        <w:rPr>
          <w:rFonts w:ascii="Arial" w:hAnsi="Arial" w:cs="Arial"/>
          <w:sz w:val="20"/>
          <w:szCs w:val="20"/>
        </w:rPr>
        <w:t xml:space="preserve">and </w:t>
      </w:r>
      <w:r w:rsidR="00EE4BBB" w:rsidRPr="00C037E3">
        <w:rPr>
          <w:rFonts w:ascii="Arial" w:hAnsi="Arial" w:cs="Arial"/>
          <w:sz w:val="20"/>
          <w:szCs w:val="20"/>
        </w:rPr>
        <w:t>denoting that this novel fungicide is not only biologically effective but also economically profitable.</w:t>
      </w:r>
    </w:p>
    <w:p w14:paraId="4C9947CD" w14:textId="7E0C42FF" w:rsidR="00BE01F0" w:rsidRPr="00C037E3" w:rsidRDefault="00BE01F0" w:rsidP="00CF5CDC">
      <w:pPr>
        <w:ind w:firstLine="720"/>
        <w:jc w:val="both"/>
        <w:rPr>
          <w:rFonts w:ascii="Arial" w:hAnsi="Arial" w:cs="Arial"/>
          <w:sz w:val="20"/>
          <w:szCs w:val="20"/>
        </w:rPr>
      </w:pPr>
      <w:r>
        <w:rPr>
          <w:rFonts w:ascii="Arial" w:hAnsi="Arial" w:cs="Arial"/>
          <w:sz w:val="20"/>
          <w:szCs w:val="20"/>
        </w:rPr>
        <w:lastRenderedPageBreak/>
        <w:t>T</w:t>
      </w:r>
      <w:r w:rsidRPr="00BE01F0">
        <w:rPr>
          <w:rFonts w:ascii="Arial" w:hAnsi="Arial" w:cs="Arial"/>
          <w:sz w:val="20"/>
          <w:szCs w:val="20"/>
        </w:rPr>
        <w:t>he lowest AUDPC value of 420</w:t>
      </w:r>
      <w:r>
        <w:rPr>
          <w:rFonts w:ascii="Arial" w:hAnsi="Arial" w:cs="Arial"/>
          <w:sz w:val="20"/>
          <w:szCs w:val="20"/>
        </w:rPr>
        <w:t xml:space="preserve"> was recorded in </w:t>
      </w:r>
      <w:r w:rsidR="00275A13" w:rsidRPr="00275A13">
        <w:rPr>
          <w:rFonts w:ascii="Arial" w:hAnsi="Arial" w:cs="Arial"/>
          <w:sz w:val="20"/>
          <w:szCs w:val="20"/>
        </w:rPr>
        <w:t>Cyflufenamid @1</w:t>
      </w:r>
      <w:r w:rsidR="002D4225">
        <w:rPr>
          <w:rFonts w:ascii="Arial" w:hAnsi="Arial" w:cs="Arial"/>
          <w:sz w:val="20"/>
          <w:szCs w:val="20"/>
        </w:rPr>
        <w:t xml:space="preserve">.0 </w:t>
      </w:r>
      <w:r w:rsidR="00275A13" w:rsidRPr="00275A13">
        <w:rPr>
          <w:rFonts w:ascii="Arial" w:hAnsi="Arial" w:cs="Arial"/>
          <w:sz w:val="20"/>
          <w:szCs w:val="20"/>
        </w:rPr>
        <w:t>ml l</w:t>
      </w:r>
      <w:r w:rsidR="00275A13" w:rsidRPr="00275A13">
        <w:rPr>
          <w:rFonts w:ascii="Arial" w:hAnsi="Arial" w:cs="Arial"/>
          <w:sz w:val="20"/>
          <w:szCs w:val="20"/>
          <w:vertAlign w:val="superscript"/>
        </w:rPr>
        <w:t>-1</w:t>
      </w:r>
      <w:r w:rsidR="00603F95">
        <w:rPr>
          <w:rFonts w:ascii="Arial" w:hAnsi="Arial" w:cs="Arial"/>
          <w:sz w:val="20"/>
          <w:szCs w:val="20"/>
        </w:rPr>
        <w:t xml:space="preserve"> </w:t>
      </w:r>
      <w:r w:rsidR="00275A13" w:rsidRPr="00275A13">
        <w:rPr>
          <w:rFonts w:ascii="Arial" w:hAnsi="Arial" w:cs="Arial"/>
          <w:sz w:val="20"/>
          <w:szCs w:val="20"/>
        </w:rPr>
        <w:t>(T</w:t>
      </w:r>
      <w:r w:rsidR="00275A13" w:rsidRPr="00275A13">
        <w:rPr>
          <w:rFonts w:ascii="Arial" w:hAnsi="Arial" w:cs="Arial"/>
          <w:sz w:val="20"/>
          <w:szCs w:val="20"/>
          <w:vertAlign w:val="subscript"/>
        </w:rPr>
        <w:t>1</w:t>
      </w:r>
      <w:r w:rsidR="00275A13" w:rsidRPr="00275A13">
        <w:rPr>
          <w:rFonts w:ascii="Arial" w:hAnsi="Arial" w:cs="Arial"/>
          <w:sz w:val="20"/>
          <w:szCs w:val="20"/>
        </w:rPr>
        <w:t xml:space="preserve">) </w:t>
      </w:r>
      <w:r w:rsidRPr="00BE01F0">
        <w:rPr>
          <w:rFonts w:ascii="Arial" w:hAnsi="Arial" w:cs="Arial"/>
          <w:sz w:val="20"/>
          <w:szCs w:val="20"/>
        </w:rPr>
        <w:t xml:space="preserve">indicating the highest efficacy in managing powdery mildew in </w:t>
      </w:r>
      <w:proofErr w:type="spellStart"/>
      <w:r w:rsidRPr="00BE01F0">
        <w:rPr>
          <w:rFonts w:ascii="Arial" w:hAnsi="Arial" w:cs="Arial"/>
          <w:sz w:val="20"/>
          <w:szCs w:val="20"/>
        </w:rPr>
        <w:t>blackgram</w:t>
      </w:r>
      <w:proofErr w:type="spellEnd"/>
      <w:r w:rsidRPr="00BE01F0">
        <w:rPr>
          <w:rFonts w:ascii="Arial" w:hAnsi="Arial" w:cs="Arial"/>
          <w:sz w:val="20"/>
          <w:szCs w:val="20"/>
        </w:rPr>
        <w:t xml:space="preserve">. This was followed by </w:t>
      </w:r>
      <w:r w:rsidR="00275A13" w:rsidRPr="00275A13">
        <w:rPr>
          <w:rFonts w:ascii="Arial" w:hAnsi="Arial" w:cs="Arial"/>
          <w:sz w:val="20"/>
          <w:szCs w:val="20"/>
        </w:rPr>
        <w:t>Hexaconazole @2</w:t>
      </w:r>
      <w:r w:rsidR="002D4225">
        <w:rPr>
          <w:rFonts w:ascii="Arial" w:hAnsi="Arial" w:cs="Arial"/>
          <w:sz w:val="20"/>
          <w:szCs w:val="20"/>
        </w:rPr>
        <w:t xml:space="preserve">.0 </w:t>
      </w:r>
      <w:r w:rsidR="00275A13" w:rsidRPr="00275A13">
        <w:rPr>
          <w:rFonts w:ascii="Arial" w:hAnsi="Arial" w:cs="Arial"/>
          <w:sz w:val="20"/>
          <w:szCs w:val="20"/>
        </w:rPr>
        <w:t>ml l</w:t>
      </w:r>
      <w:r w:rsidR="00275A13" w:rsidRPr="00275A13">
        <w:rPr>
          <w:rFonts w:ascii="Arial" w:hAnsi="Arial" w:cs="Arial"/>
          <w:sz w:val="20"/>
          <w:szCs w:val="20"/>
          <w:vertAlign w:val="superscript"/>
        </w:rPr>
        <w:t>-1</w:t>
      </w:r>
      <w:r w:rsidR="00603F95">
        <w:rPr>
          <w:rFonts w:ascii="Arial" w:hAnsi="Arial" w:cs="Arial"/>
          <w:sz w:val="20"/>
          <w:szCs w:val="20"/>
        </w:rPr>
        <w:t xml:space="preserve"> </w:t>
      </w:r>
      <w:r w:rsidR="00275A13" w:rsidRPr="00275A13">
        <w:rPr>
          <w:rFonts w:ascii="Arial" w:hAnsi="Arial" w:cs="Arial"/>
          <w:sz w:val="20"/>
          <w:szCs w:val="20"/>
        </w:rPr>
        <w:t>(T</w:t>
      </w:r>
      <w:r w:rsidR="00275A13" w:rsidRPr="00275A13">
        <w:rPr>
          <w:rFonts w:ascii="Arial" w:hAnsi="Arial" w:cs="Arial"/>
          <w:sz w:val="20"/>
          <w:szCs w:val="20"/>
          <w:vertAlign w:val="subscript"/>
        </w:rPr>
        <w:t>5</w:t>
      </w:r>
      <w:r w:rsidR="00275A13" w:rsidRPr="00275A13">
        <w:rPr>
          <w:rFonts w:ascii="Arial" w:hAnsi="Arial" w:cs="Arial"/>
          <w:sz w:val="20"/>
          <w:szCs w:val="20"/>
        </w:rPr>
        <w:t>)</w:t>
      </w:r>
      <w:r w:rsidRPr="00BE01F0">
        <w:rPr>
          <w:rFonts w:ascii="Arial" w:hAnsi="Arial" w:cs="Arial"/>
          <w:sz w:val="20"/>
          <w:szCs w:val="20"/>
        </w:rPr>
        <w:t xml:space="preserve"> and </w:t>
      </w:r>
      <w:proofErr w:type="spellStart"/>
      <w:r w:rsidRPr="00BE01F0">
        <w:rPr>
          <w:rFonts w:ascii="Arial" w:hAnsi="Arial" w:cs="Arial"/>
          <w:sz w:val="20"/>
          <w:szCs w:val="20"/>
        </w:rPr>
        <w:t>Fluopyram</w:t>
      </w:r>
      <w:proofErr w:type="spellEnd"/>
      <w:r w:rsidRPr="00BE01F0">
        <w:rPr>
          <w:rFonts w:ascii="Arial" w:hAnsi="Arial" w:cs="Arial"/>
          <w:sz w:val="20"/>
          <w:szCs w:val="20"/>
        </w:rPr>
        <w:t xml:space="preserve"> + </w:t>
      </w:r>
      <w:proofErr w:type="spellStart"/>
      <w:r w:rsidRPr="00BE01F0">
        <w:rPr>
          <w:rFonts w:ascii="Arial" w:hAnsi="Arial" w:cs="Arial"/>
          <w:sz w:val="20"/>
          <w:szCs w:val="20"/>
        </w:rPr>
        <w:t>Tebuconazole</w:t>
      </w:r>
      <w:proofErr w:type="spellEnd"/>
      <w:r w:rsidRPr="00BE01F0">
        <w:rPr>
          <w:rFonts w:ascii="Arial" w:hAnsi="Arial" w:cs="Arial"/>
          <w:sz w:val="20"/>
          <w:szCs w:val="20"/>
        </w:rPr>
        <w:t xml:space="preserve"> 17.7% w/w SC @</w:t>
      </w:r>
      <w:r w:rsidR="00275A13">
        <w:rPr>
          <w:rFonts w:ascii="Arial" w:hAnsi="Arial" w:cs="Arial"/>
          <w:sz w:val="20"/>
          <w:szCs w:val="20"/>
        </w:rPr>
        <w:t xml:space="preserve"> </w:t>
      </w:r>
      <w:r w:rsidRPr="00BE01F0">
        <w:rPr>
          <w:rFonts w:ascii="Arial" w:hAnsi="Arial" w:cs="Arial"/>
          <w:sz w:val="20"/>
          <w:szCs w:val="20"/>
        </w:rPr>
        <w:t>1ml l</w:t>
      </w:r>
      <w:r w:rsidRPr="00BE01F0">
        <w:rPr>
          <w:rFonts w:ascii="Arial" w:hAnsi="Arial" w:cs="Arial"/>
          <w:sz w:val="20"/>
          <w:szCs w:val="20"/>
          <w:vertAlign w:val="superscript"/>
        </w:rPr>
        <w:t>-1</w:t>
      </w:r>
      <w:r w:rsidRPr="00BE01F0">
        <w:rPr>
          <w:rFonts w:ascii="Arial" w:hAnsi="Arial" w:cs="Arial"/>
          <w:sz w:val="20"/>
          <w:szCs w:val="20"/>
        </w:rPr>
        <w:t xml:space="preserve"> (T</w:t>
      </w:r>
      <w:r w:rsidRPr="00BE01F0">
        <w:rPr>
          <w:rFonts w:ascii="Arial" w:hAnsi="Arial" w:cs="Arial"/>
          <w:sz w:val="20"/>
          <w:szCs w:val="20"/>
          <w:vertAlign w:val="subscript"/>
        </w:rPr>
        <w:t>2</w:t>
      </w:r>
      <w:r w:rsidRPr="00BE01F0">
        <w:rPr>
          <w:rFonts w:ascii="Arial" w:hAnsi="Arial" w:cs="Arial"/>
          <w:sz w:val="20"/>
          <w:szCs w:val="20"/>
        </w:rPr>
        <w:t>) with AUDPC values of 598.13 and 896.25</w:t>
      </w:r>
      <w:r w:rsidR="00275A13">
        <w:rPr>
          <w:rFonts w:ascii="Arial" w:hAnsi="Arial" w:cs="Arial"/>
          <w:sz w:val="20"/>
          <w:szCs w:val="20"/>
        </w:rPr>
        <w:t xml:space="preserve"> </w:t>
      </w:r>
      <w:r w:rsidRPr="00BE01F0">
        <w:rPr>
          <w:rFonts w:ascii="Arial" w:hAnsi="Arial" w:cs="Arial"/>
          <w:sz w:val="20"/>
          <w:szCs w:val="20"/>
        </w:rPr>
        <w:t xml:space="preserve">respectively, demonstrating substantial disease suppression. Biological control agents </w:t>
      </w:r>
      <w:proofErr w:type="spellStart"/>
      <w:r w:rsidR="00275A13" w:rsidRPr="00275A13">
        <w:rPr>
          <w:rFonts w:ascii="Arial" w:hAnsi="Arial" w:cs="Arial"/>
          <w:i/>
          <w:iCs/>
          <w:sz w:val="20"/>
          <w:szCs w:val="20"/>
        </w:rPr>
        <w:t>Ampelomyces</w:t>
      </w:r>
      <w:proofErr w:type="spellEnd"/>
      <w:r w:rsidR="00275A13" w:rsidRPr="00275A13">
        <w:rPr>
          <w:rFonts w:ascii="Arial" w:hAnsi="Arial" w:cs="Arial"/>
          <w:i/>
          <w:iCs/>
          <w:sz w:val="20"/>
          <w:szCs w:val="20"/>
        </w:rPr>
        <w:t xml:space="preserve"> </w:t>
      </w:r>
      <w:proofErr w:type="spellStart"/>
      <w:r w:rsidR="002D4225">
        <w:rPr>
          <w:rFonts w:ascii="Arial" w:hAnsi="Arial" w:cs="Arial"/>
          <w:i/>
          <w:iCs/>
          <w:sz w:val="20"/>
          <w:szCs w:val="20"/>
        </w:rPr>
        <w:t>quisqualis</w:t>
      </w:r>
      <w:proofErr w:type="spellEnd"/>
      <w:r w:rsidR="002D4225">
        <w:rPr>
          <w:rFonts w:ascii="Arial" w:hAnsi="Arial" w:cs="Arial"/>
          <w:sz w:val="20"/>
          <w:szCs w:val="20"/>
        </w:rPr>
        <w:t xml:space="preserve"> </w:t>
      </w:r>
      <w:r w:rsidR="00275A13" w:rsidRPr="00275A13">
        <w:rPr>
          <w:rFonts w:ascii="Arial" w:hAnsi="Arial" w:cs="Arial"/>
          <w:sz w:val="20"/>
          <w:szCs w:val="20"/>
        </w:rPr>
        <w:t>@5</w:t>
      </w:r>
      <w:r w:rsidR="002D4225">
        <w:rPr>
          <w:rFonts w:ascii="Arial" w:hAnsi="Arial" w:cs="Arial"/>
          <w:sz w:val="20"/>
          <w:szCs w:val="20"/>
        </w:rPr>
        <w:t xml:space="preserve">.0 </w:t>
      </w:r>
      <w:r w:rsidR="00275A13" w:rsidRPr="00275A13">
        <w:rPr>
          <w:rFonts w:ascii="Arial" w:hAnsi="Arial" w:cs="Arial"/>
          <w:sz w:val="20"/>
          <w:szCs w:val="20"/>
        </w:rPr>
        <w:t>ml l</w:t>
      </w:r>
      <w:r w:rsidR="00275A13" w:rsidRPr="00275A13">
        <w:rPr>
          <w:rFonts w:ascii="Arial" w:hAnsi="Arial" w:cs="Arial"/>
          <w:sz w:val="20"/>
          <w:szCs w:val="20"/>
          <w:vertAlign w:val="superscript"/>
        </w:rPr>
        <w:t>-1</w:t>
      </w:r>
      <w:r w:rsidR="00603F95">
        <w:rPr>
          <w:rFonts w:ascii="Arial" w:hAnsi="Arial" w:cs="Arial"/>
          <w:sz w:val="20"/>
          <w:szCs w:val="20"/>
        </w:rPr>
        <w:t xml:space="preserve"> </w:t>
      </w:r>
      <w:r w:rsidR="00275A13" w:rsidRPr="00275A13">
        <w:rPr>
          <w:rFonts w:ascii="Arial" w:hAnsi="Arial" w:cs="Arial"/>
          <w:sz w:val="20"/>
          <w:szCs w:val="20"/>
        </w:rPr>
        <w:t>(T</w:t>
      </w:r>
      <w:r w:rsidR="00275A13" w:rsidRPr="00275A13">
        <w:rPr>
          <w:rFonts w:ascii="Arial" w:hAnsi="Arial" w:cs="Arial"/>
          <w:sz w:val="20"/>
          <w:szCs w:val="20"/>
          <w:vertAlign w:val="subscript"/>
        </w:rPr>
        <w:t>3</w:t>
      </w:r>
      <w:r w:rsidR="00275A13" w:rsidRPr="00275A13">
        <w:rPr>
          <w:rFonts w:ascii="Arial" w:hAnsi="Arial" w:cs="Arial"/>
          <w:sz w:val="20"/>
          <w:szCs w:val="20"/>
        </w:rPr>
        <w:t xml:space="preserve">) and </w:t>
      </w:r>
      <w:r w:rsidR="00275A13" w:rsidRPr="00275A13">
        <w:rPr>
          <w:rFonts w:ascii="Arial" w:hAnsi="Arial" w:cs="Arial"/>
          <w:i/>
          <w:iCs/>
          <w:sz w:val="20"/>
          <w:szCs w:val="20"/>
        </w:rPr>
        <w:t>Bacillus subtilis</w:t>
      </w:r>
      <w:r w:rsidR="00275A13" w:rsidRPr="00275A13">
        <w:rPr>
          <w:rFonts w:ascii="Arial" w:hAnsi="Arial" w:cs="Arial"/>
          <w:sz w:val="20"/>
          <w:szCs w:val="20"/>
        </w:rPr>
        <w:t xml:space="preserve"> @5</w:t>
      </w:r>
      <w:r w:rsidR="002D4225">
        <w:rPr>
          <w:rFonts w:ascii="Arial" w:hAnsi="Arial" w:cs="Arial"/>
          <w:sz w:val="20"/>
          <w:szCs w:val="20"/>
        </w:rPr>
        <w:t xml:space="preserve">.0 </w:t>
      </w:r>
      <w:r w:rsidR="00275A13" w:rsidRPr="00275A13">
        <w:rPr>
          <w:rFonts w:ascii="Arial" w:hAnsi="Arial" w:cs="Arial"/>
          <w:sz w:val="20"/>
          <w:szCs w:val="20"/>
        </w:rPr>
        <w:t>ml l</w:t>
      </w:r>
      <w:r w:rsidR="00275A13" w:rsidRPr="00275A13">
        <w:rPr>
          <w:rFonts w:ascii="Arial" w:hAnsi="Arial" w:cs="Arial"/>
          <w:sz w:val="20"/>
          <w:szCs w:val="20"/>
          <w:vertAlign w:val="superscript"/>
        </w:rPr>
        <w:t>-1</w:t>
      </w:r>
      <w:r w:rsidR="00603F95">
        <w:rPr>
          <w:rFonts w:ascii="Arial" w:hAnsi="Arial" w:cs="Arial"/>
          <w:sz w:val="20"/>
          <w:szCs w:val="20"/>
        </w:rPr>
        <w:t xml:space="preserve"> </w:t>
      </w:r>
      <w:r w:rsidR="00275A13" w:rsidRPr="00275A13">
        <w:rPr>
          <w:rFonts w:ascii="Arial" w:hAnsi="Arial" w:cs="Arial"/>
          <w:sz w:val="20"/>
          <w:szCs w:val="20"/>
        </w:rPr>
        <w:t>(T</w:t>
      </w:r>
      <w:r w:rsidR="00275A13" w:rsidRPr="00275A13">
        <w:rPr>
          <w:rFonts w:ascii="Arial" w:hAnsi="Arial" w:cs="Arial"/>
          <w:sz w:val="20"/>
          <w:szCs w:val="20"/>
          <w:vertAlign w:val="subscript"/>
        </w:rPr>
        <w:t>4</w:t>
      </w:r>
      <w:r w:rsidR="00275A13" w:rsidRPr="00275A13">
        <w:rPr>
          <w:rFonts w:ascii="Arial" w:hAnsi="Arial" w:cs="Arial"/>
          <w:sz w:val="20"/>
          <w:szCs w:val="20"/>
        </w:rPr>
        <w:t xml:space="preserve">) </w:t>
      </w:r>
      <w:r w:rsidRPr="00BE01F0">
        <w:rPr>
          <w:rFonts w:ascii="Arial" w:hAnsi="Arial" w:cs="Arial"/>
          <w:sz w:val="20"/>
          <w:szCs w:val="20"/>
        </w:rPr>
        <w:t>showed moderate effectiveness, while the untreated control (T</w:t>
      </w:r>
      <w:r w:rsidRPr="00275A13">
        <w:rPr>
          <w:rFonts w:ascii="Arial" w:hAnsi="Arial" w:cs="Arial"/>
          <w:sz w:val="20"/>
          <w:szCs w:val="20"/>
          <w:vertAlign w:val="subscript"/>
        </w:rPr>
        <w:t>6</w:t>
      </w:r>
      <w:r w:rsidRPr="00BE01F0">
        <w:rPr>
          <w:rFonts w:ascii="Arial" w:hAnsi="Arial" w:cs="Arial"/>
          <w:sz w:val="20"/>
          <w:szCs w:val="20"/>
        </w:rPr>
        <w:t>) recorded the highest AUDPC of 1841.25</w:t>
      </w:r>
      <w:r w:rsidR="00275A13">
        <w:rPr>
          <w:rFonts w:ascii="Arial" w:hAnsi="Arial" w:cs="Arial"/>
          <w:sz w:val="20"/>
          <w:szCs w:val="20"/>
        </w:rPr>
        <w:t xml:space="preserve"> demonstrating</w:t>
      </w:r>
      <w:r w:rsidRPr="00BE01F0">
        <w:rPr>
          <w:rFonts w:ascii="Arial" w:hAnsi="Arial" w:cs="Arial"/>
          <w:sz w:val="20"/>
          <w:szCs w:val="20"/>
        </w:rPr>
        <w:t xml:space="preserve"> severe disease progression</w:t>
      </w:r>
      <w:r w:rsidR="00275A13">
        <w:rPr>
          <w:rFonts w:ascii="Arial" w:hAnsi="Arial" w:cs="Arial"/>
          <w:sz w:val="20"/>
          <w:szCs w:val="20"/>
        </w:rPr>
        <w:t xml:space="preserve"> (Fig. 1)</w:t>
      </w:r>
      <w:r w:rsidRPr="00BE01F0">
        <w:rPr>
          <w:rFonts w:ascii="Arial" w:hAnsi="Arial" w:cs="Arial"/>
          <w:sz w:val="20"/>
          <w:szCs w:val="20"/>
        </w:rPr>
        <w:t>.</w:t>
      </w:r>
    </w:p>
    <w:p w14:paraId="49AF3964" w14:textId="20AA785B" w:rsidR="00B03364" w:rsidRPr="00C037E3" w:rsidRDefault="00B03364" w:rsidP="00B03364">
      <w:pPr>
        <w:ind w:firstLine="720"/>
        <w:jc w:val="both"/>
        <w:rPr>
          <w:rFonts w:ascii="Arial" w:hAnsi="Arial" w:cs="Arial"/>
          <w:sz w:val="20"/>
          <w:szCs w:val="20"/>
        </w:rPr>
      </w:pPr>
      <w:r w:rsidRPr="00C037E3">
        <w:rPr>
          <w:rFonts w:ascii="Arial" w:hAnsi="Arial" w:cs="Arial"/>
          <w:sz w:val="20"/>
          <w:szCs w:val="20"/>
        </w:rPr>
        <w:t xml:space="preserve">Currently, the management of powdery mildew in crops largely depends on two primary strategies: the use of resistant cultivars and the application of fungicides. While resistant commercial varieties and breeding lines have been successfully developed for some crops (Tetteh </w:t>
      </w:r>
      <w:r w:rsidRPr="00C037E3">
        <w:rPr>
          <w:rFonts w:ascii="Arial" w:hAnsi="Arial" w:cs="Arial"/>
          <w:i/>
          <w:iCs/>
          <w:sz w:val="20"/>
          <w:szCs w:val="20"/>
        </w:rPr>
        <w:t>et al</w:t>
      </w:r>
      <w:r w:rsidRPr="00C037E3">
        <w:rPr>
          <w:rFonts w:ascii="Arial" w:hAnsi="Arial" w:cs="Arial"/>
          <w:sz w:val="20"/>
          <w:szCs w:val="20"/>
        </w:rPr>
        <w:t xml:space="preserve">., 2010), </w:t>
      </w:r>
      <w:r w:rsidR="00276CD2">
        <w:rPr>
          <w:rFonts w:ascii="Arial" w:hAnsi="Arial" w:cs="Arial"/>
          <w:sz w:val="20"/>
          <w:szCs w:val="20"/>
        </w:rPr>
        <w:t>t</w:t>
      </w:r>
      <w:r w:rsidRPr="00C037E3">
        <w:rPr>
          <w:rFonts w:ascii="Arial" w:hAnsi="Arial" w:cs="Arial"/>
          <w:sz w:val="20"/>
          <w:szCs w:val="20"/>
        </w:rPr>
        <w:t xml:space="preserve">he durability of such resistance is often compromised by the emergence of new pathogen races (Pérez-García </w:t>
      </w:r>
      <w:r w:rsidRPr="00C037E3">
        <w:rPr>
          <w:rFonts w:ascii="Arial" w:hAnsi="Arial" w:cs="Arial"/>
          <w:i/>
          <w:iCs/>
          <w:sz w:val="20"/>
          <w:szCs w:val="20"/>
        </w:rPr>
        <w:t>et al.,</w:t>
      </w:r>
      <w:r w:rsidRPr="00C037E3">
        <w:rPr>
          <w:rFonts w:ascii="Arial" w:hAnsi="Arial" w:cs="Arial"/>
          <w:sz w:val="20"/>
          <w:szCs w:val="20"/>
        </w:rPr>
        <w:t xml:space="preserve"> 2009). In response, alternative approaches</w:t>
      </w:r>
      <w:r w:rsidR="00322EFE" w:rsidRPr="00C037E3">
        <w:rPr>
          <w:rFonts w:ascii="Arial" w:hAnsi="Arial" w:cs="Arial"/>
          <w:sz w:val="20"/>
          <w:szCs w:val="20"/>
        </w:rPr>
        <w:t xml:space="preserve"> like using </w:t>
      </w:r>
      <w:r w:rsidRPr="00C037E3">
        <w:rPr>
          <w:rFonts w:ascii="Arial" w:hAnsi="Arial" w:cs="Arial"/>
          <w:sz w:val="20"/>
          <w:szCs w:val="20"/>
        </w:rPr>
        <w:t>inorganic, organic and biological control agents</w:t>
      </w:r>
      <w:r w:rsidR="00322EFE" w:rsidRPr="00C037E3">
        <w:rPr>
          <w:rFonts w:ascii="Arial" w:hAnsi="Arial" w:cs="Arial"/>
          <w:sz w:val="20"/>
          <w:szCs w:val="20"/>
        </w:rPr>
        <w:t xml:space="preserve"> </w:t>
      </w:r>
      <w:r w:rsidRPr="00C037E3">
        <w:rPr>
          <w:rFonts w:ascii="Arial" w:hAnsi="Arial" w:cs="Arial"/>
          <w:sz w:val="20"/>
          <w:szCs w:val="20"/>
        </w:rPr>
        <w:t>have been explored for their potential efficacy</w:t>
      </w:r>
      <w:r w:rsidR="00322EFE" w:rsidRPr="00C037E3">
        <w:rPr>
          <w:rFonts w:ascii="Arial" w:hAnsi="Arial" w:cs="Arial"/>
          <w:sz w:val="20"/>
          <w:szCs w:val="20"/>
        </w:rPr>
        <w:t xml:space="preserve"> in controlling the disease</w:t>
      </w:r>
      <w:r w:rsidRPr="00C037E3">
        <w:rPr>
          <w:rFonts w:ascii="Arial" w:hAnsi="Arial" w:cs="Arial"/>
          <w:sz w:val="20"/>
          <w:szCs w:val="20"/>
        </w:rPr>
        <w:t xml:space="preserve"> (Romero </w:t>
      </w:r>
      <w:r w:rsidRPr="00C037E3">
        <w:rPr>
          <w:rFonts w:ascii="Arial" w:hAnsi="Arial" w:cs="Arial"/>
          <w:i/>
          <w:iCs/>
          <w:sz w:val="20"/>
          <w:szCs w:val="20"/>
        </w:rPr>
        <w:t>et al.,</w:t>
      </w:r>
      <w:r w:rsidRPr="00C037E3">
        <w:rPr>
          <w:rFonts w:ascii="Arial" w:hAnsi="Arial" w:cs="Arial"/>
          <w:sz w:val="20"/>
          <w:szCs w:val="20"/>
        </w:rPr>
        <w:t xml:space="preserve"> 2007). However, despite these efforts, practical field control of powdery mildew continues to rely heavily on fungicide applications, with growers making substantial annual investments in chemical control measures.</w:t>
      </w:r>
    </w:p>
    <w:p w14:paraId="5F106F7D" w14:textId="58AC2A3A" w:rsidR="00C8095C" w:rsidRPr="00C037E3" w:rsidRDefault="00B03364" w:rsidP="002C1FC5">
      <w:pPr>
        <w:ind w:firstLine="720"/>
        <w:jc w:val="both"/>
        <w:rPr>
          <w:rFonts w:ascii="Arial" w:hAnsi="Arial" w:cs="Arial"/>
          <w:sz w:val="20"/>
          <w:szCs w:val="20"/>
        </w:rPr>
      </w:pPr>
      <w:r w:rsidRPr="00C037E3">
        <w:rPr>
          <w:rFonts w:ascii="Arial" w:hAnsi="Arial" w:cs="Arial"/>
          <w:sz w:val="20"/>
          <w:szCs w:val="20"/>
        </w:rPr>
        <w:t xml:space="preserve">Unfortunately, this dependency on fungicides has led to the emergence of resistant </w:t>
      </w:r>
      <w:r w:rsidR="00322EFE" w:rsidRPr="00C037E3">
        <w:rPr>
          <w:rFonts w:ascii="Arial" w:hAnsi="Arial" w:cs="Arial"/>
          <w:sz w:val="20"/>
          <w:szCs w:val="20"/>
        </w:rPr>
        <w:t xml:space="preserve">races of </w:t>
      </w:r>
      <w:r w:rsidRPr="00C037E3">
        <w:rPr>
          <w:rFonts w:ascii="Arial" w:hAnsi="Arial" w:cs="Arial"/>
          <w:sz w:val="20"/>
          <w:szCs w:val="20"/>
        </w:rPr>
        <w:t xml:space="preserve">pathogen, diminishing the effectiveness of conventional chemical treatments. Fungicide resistance in powdery mildew pathogens presents a significant global challenge, especially with site-specific fungicides. Two distinct types of resistance </w:t>
      </w:r>
      <w:r w:rsidR="00322EFE" w:rsidRPr="00C037E3">
        <w:rPr>
          <w:rFonts w:ascii="Arial" w:hAnsi="Arial" w:cs="Arial"/>
          <w:sz w:val="20"/>
          <w:szCs w:val="20"/>
        </w:rPr>
        <w:t>were characterized</w:t>
      </w:r>
      <w:r w:rsidR="00835CEE" w:rsidRPr="00C037E3">
        <w:rPr>
          <w:rFonts w:ascii="Arial" w:hAnsi="Arial" w:cs="Arial"/>
          <w:sz w:val="20"/>
          <w:szCs w:val="20"/>
        </w:rPr>
        <w:t xml:space="preserve"> </w:t>
      </w:r>
      <w:r w:rsidR="00322EFE" w:rsidRPr="00C037E3">
        <w:rPr>
          <w:rFonts w:ascii="Arial" w:hAnsi="Arial" w:cs="Arial"/>
          <w:sz w:val="20"/>
          <w:szCs w:val="20"/>
        </w:rPr>
        <w:t>like</w:t>
      </w:r>
      <w:r w:rsidR="00C037E3">
        <w:rPr>
          <w:rFonts w:ascii="Arial" w:hAnsi="Arial" w:cs="Arial"/>
          <w:sz w:val="20"/>
          <w:szCs w:val="20"/>
        </w:rPr>
        <w:t xml:space="preserve"> </w:t>
      </w:r>
      <w:r w:rsidRPr="00C037E3">
        <w:rPr>
          <w:rFonts w:ascii="Arial" w:hAnsi="Arial" w:cs="Arial"/>
          <w:sz w:val="20"/>
          <w:szCs w:val="20"/>
        </w:rPr>
        <w:t>qualitative resistance</w:t>
      </w:r>
      <w:r w:rsidR="00322EFE" w:rsidRPr="00C037E3">
        <w:rPr>
          <w:rFonts w:ascii="Arial" w:hAnsi="Arial" w:cs="Arial"/>
          <w:sz w:val="20"/>
          <w:szCs w:val="20"/>
        </w:rPr>
        <w:t xml:space="preserve"> which is </w:t>
      </w:r>
      <w:r w:rsidRPr="00C037E3">
        <w:rPr>
          <w:rFonts w:ascii="Arial" w:hAnsi="Arial" w:cs="Arial"/>
          <w:sz w:val="20"/>
          <w:szCs w:val="20"/>
        </w:rPr>
        <w:t xml:space="preserve">marked by a sudden and complete loss of fungicide efficacy resulting in clearly separated sensitive and resistant isolates and </w:t>
      </w:r>
      <w:r w:rsidR="00322EFE" w:rsidRPr="00C037E3">
        <w:rPr>
          <w:rFonts w:ascii="Arial" w:hAnsi="Arial" w:cs="Arial"/>
          <w:sz w:val="20"/>
          <w:szCs w:val="20"/>
        </w:rPr>
        <w:t xml:space="preserve">the other is </w:t>
      </w:r>
      <w:r w:rsidRPr="00C037E3">
        <w:rPr>
          <w:rFonts w:ascii="Arial" w:hAnsi="Arial" w:cs="Arial"/>
          <w:sz w:val="20"/>
          <w:szCs w:val="20"/>
        </w:rPr>
        <w:t>quantitative</w:t>
      </w:r>
      <w:r w:rsidR="00322EFE" w:rsidRPr="00C037E3">
        <w:rPr>
          <w:rFonts w:ascii="Arial" w:hAnsi="Arial" w:cs="Arial"/>
          <w:sz w:val="20"/>
          <w:szCs w:val="20"/>
        </w:rPr>
        <w:t xml:space="preserve"> </w:t>
      </w:r>
      <w:r w:rsidRPr="00C037E3">
        <w:rPr>
          <w:rFonts w:ascii="Arial" w:hAnsi="Arial" w:cs="Arial"/>
          <w:sz w:val="20"/>
          <w:szCs w:val="20"/>
        </w:rPr>
        <w:t>resistance</w:t>
      </w:r>
      <w:r w:rsidR="00322EFE" w:rsidRPr="00C037E3">
        <w:rPr>
          <w:rFonts w:ascii="Arial" w:hAnsi="Arial" w:cs="Arial"/>
          <w:sz w:val="20"/>
          <w:szCs w:val="20"/>
        </w:rPr>
        <w:t xml:space="preserve"> in which</w:t>
      </w:r>
      <w:r w:rsidRPr="00C037E3">
        <w:rPr>
          <w:rFonts w:ascii="Arial" w:hAnsi="Arial" w:cs="Arial"/>
          <w:sz w:val="20"/>
          <w:szCs w:val="20"/>
        </w:rPr>
        <w:t xml:space="preserve"> control efficacy declines gradually due to varying levels of resistance within the pathogen population</w:t>
      </w:r>
      <w:r w:rsidR="00322EFE" w:rsidRPr="00C037E3">
        <w:rPr>
          <w:rFonts w:ascii="Arial" w:hAnsi="Arial" w:cs="Arial"/>
          <w:sz w:val="20"/>
          <w:szCs w:val="20"/>
        </w:rPr>
        <w:t xml:space="preserve"> (De Miccolis </w:t>
      </w:r>
      <w:r w:rsidR="00322EFE" w:rsidRPr="002C1FC5">
        <w:rPr>
          <w:rFonts w:ascii="Arial" w:hAnsi="Arial" w:cs="Arial"/>
          <w:i/>
          <w:iCs/>
          <w:sz w:val="20"/>
          <w:szCs w:val="20"/>
        </w:rPr>
        <w:t>et al.,</w:t>
      </w:r>
      <w:r w:rsidR="00322EFE" w:rsidRPr="00C037E3">
        <w:rPr>
          <w:rFonts w:ascii="Arial" w:hAnsi="Arial" w:cs="Arial"/>
          <w:sz w:val="20"/>
          <w:szCs w:val="20"/>
        </w:rPr>
        <w:t xml:space="preserve"> 2015)</w:t>
      </w:r>
      <w:r w:rsidRPr="00C037E3">
        <w:rPr>
          <w:rFonts w:ascii="Arial" w:hAnsi="Arial" w:cs="Arial"/>
          <w:sz w:val="20"/>
          <w:szCs w:val="20"/>
        </w:rPr>
        <w:t>.</w:t>
      </w:r>
      <w:r w:rsidR="002C1FC5">
        <w:rPr>
          <w:rFonts w:ascii="Arial" w:hAnsi="Arial" w:cs="Arial"/>
          <w:sz w:val="20"/>
          <w:szCs w:val="20"/>
        </w:rPr>
        <w:t xml:space="preserve"> </w:t>
      </w:r>
      <w:r w:rsidRPr="00C037E3">
        <w:rPr>
          <w:rFonts w:ascii="Arial" w:hAnsi="Arial" w:cs="Arial"/>
          <w:sz w:val="20"/>
          <w:szCs w:val="20"/>
        </w:rPr>
        <w:t xml:space="preserve">This growing concern over fungicide resistance necessitates the evaluation and adoption of novel fungicides with different modes of action. In line with this, the present investigation explores the potential of new fungicides for effective powdery mildew management. Our findings are consistent with those of </w:t>
      </w:r>
      <w:proofErr w:type="spellStart"/>
      <w:r w:rsidRPr="00C037E3">
        <w:rPr>
          <w:rFonts w:ascii="Arial" w:hAnsi="Arial" w:cs="Arial"/>
          <w:sz w:val="20"/>
          <w:szCs w:val="20"/>
        </w:rPr>
        <w:t>Vielba-Fernández</w:t>
      </w:r>
      <w:proofErr w:type="spellEnd"/>
      <w:r w:rsidRPr="00C037E3">
        <w:rPr>
          <w:rFonts w:ascii="Arial" w:hAnsi="Arial" w:cs="Arial"/>
          <w:sz w:val="20"/>
          <w:szCs w:val="20"/>
        </w:rPr>
        <w:t xml:space="preserve"> </w:t>
      </w:r>
      <w:r w:rsidRPr="002C1FC5">
        <w:rPr>
          <w:rFonts w:ascii="Arial" w:hAnsi="Arial" w:cs="Arial"/>
          <w:i/>
          <w:iCs/>
          <w:sz w:val="20"/>
          <w:szCs w:val="20"/>
        </w:rPr>
        <w:t>et al</w:t>
      </w:r>
      <w:r w:rsidRPr="00C037E3">
        <w:rPr>
          <w:rFonts w:ascii="Arial" w:hAnsi="Arial" w:cs="Arial"/>
          <w:sz w:val="20"/>
          <w:szCs w:val="20"/>
        </w:rPr>
        <w:t>. (2020), who highlighted the effectiveness of Cyflufenamid</w:t>
      </w:r>
      <w:r w:rsidR="00835CEE" w:rsidRPr="00C037E3">
        <w:rPr>
          <w:rFonts w:ascii="Arial" w:hAnsi="Arial" w:cs="Arial"/>
          <w:sz w:val="20"/>
          <w:szCs w:val="20"/>
        </w:rPr>
        <w:t xml:space="preserve">, </w:t>
      </w:r>
      <w:r w:rsidRPr="00C037E3">
        <w:rPr>
          <w:rFonts w:ascii="Arial" w:hAnsi="Arial" w:cs="Arial"/>
          <w:sz w:val="20"/>
          <w:szCs w:val="20"/>
        </w:rPr>
        <w:t>a phenyl-acetamide fungicide (FRAC U06)</w:t>
      </w:r>
      <w:r w:rsidR="00835CEE" w:rsidRPr="00C037E3">
        <w:rPr>
          <w:rFonts w:ascii="Arial" w:hAnsi="Arial" w:cs="Arial"/>
          <w:sz w:val="20"/>
          <w:szCs w:val="20"/>
        </w:rPr>
        <w:t xml:space="preserve"> </w:t>
      </w:r>
      <w:r w:rsidRPr="00C037E3">
        <w:rPr>
          <w:rFonts w:ascii="Arial" w:hAnsi="Arial" w:cs="Arial"/>
          <w:sz w:val="20"/>
          <w:szCs w:val="20"/>
        </w:rPr>
        <w:t xml:space="preserve">has been registered for powdery mildew control in </w:t>
      </w:r>
      <w:r w:rsidR="00835CEE" w:rsidRPr="00C037E3">
        <w:rPr>
          <w:rFonts w:ascii="Arial" w:hAnsi="Arial" w:cs="Arial"/>
          <w:sz w:val="20"/>
          <w:szCs w:val="20"/>
        </w:rPr>
        <w:t>various crops at many</w:t>
      </w:r>
      <w:r w:rsidRPr="00C037E3">
        <w:rPr>
          <w:rFonts w:ascii="Arial" w:hAnsi="Arial" w:cs="Arial"/>
          <w:sz w:val="20"/>
          <w:szCs w:val="20"/>
        </w:rPr>
        <w:t xml:space="preserve"> countries</w:t>
      </w:r>
      <w:r w:rsidR="00835CEE" w:rsidRPr="00C037E3">
        <w:rPr>
          <w:rFonts w:ascii="Arial" w:hAnsi="Arial" w:cs="Arial"/>
          <w:sz w:val="20"/>
          <w:szCs w:val="20"/>
        </w:rPr>
        <w:t xml:space="preserve"> such as </w:t>
      </w:r>
      <w:r w:rsidRPr="00C037E3">
        <w:rPr>
          <w:rFonts w:ascii="Arial" w:hAnsi="Arial" w:cs="Arial"/>
          <w:sz w:val="20"/>
          <w:szCs w:val="20"/>
        </w:rPr>
        <w:t xml:space="preserve">Japan (2002), the UK (2005), Europe (2010), the US (2012) and India. </w:t>
      </w:r>
      <w:r w:rsidR="00835CEE" w:rsidRPr="00C037E3">
        <w:rPr>
          <w:rFonts w:ascii="Arial" w:hAnsi="Arial" w:cs="Arial"/>
          <w:sz w:val="20"/>
          <w:szCs w:val="20"/>
        </w:rPr>
        <w:t xml:space="preserve">Whereas, Hexaconazole, a systemic fungicide from the demethylation inhibitor (DMI) class (FRAC 03), works by inhibiting C14-demethylase in the ergosterol biosynthesis pathway, thereby effectively reducing disease progression. The use of chemical fungicides </w:t>
      </w:r>
      <w:r w:rsidR="00276CD2">
        <w:rPr>
          <w:rFonts w:ascii="Arial" w:hAnsi="Arial" w:cs="Arial"/>
          <w:sz w:val="20"/>
          <w:szCs w:val="20"/>
        </w:rPr>
        <w:t xml:space="preserve">for reduction of </w:t>
      </w:r>
      <w:r w:rsidR="00835CEE" w:rsidRPr="00C037E3">
        <w:rPr>
          <w:rFonts w:ascii="Arial" w:hAnsi="Arial" w:cs="Arial"/>
          <w:sz w:val="20"/>
          <w:szCs w:val="20"/>
        </w:rPr>
        <w:t xml:space="preserve">disease </w:t>
      </w:r>
      <w:r w:rsidR="00276CD2">
        <w:rPr>
          <w:rFonts w:ascii="Arial" w:hAnsi="Arial" w:cs="Arial"/>
          <w:sz w:val="20"/>
          <w:szCs w:val="20"/>
        </w:rPr>
        <w:t xml:space="preserve">severity </w:t>
      </w:r>
      <w:r w:rsidR="00835CEE" w:rsidRPr="00C037E3">
        <w:rPr>
          <w:rFonts w:ascii="Arial" w:hAnsi="Arial" w:cs="Arial"/>
          <w:sz w:val="20"/>
          <w:szCs w:val="20"/>
        </w:rPr>
        <w:t xml:space="preserve">were reported by earlier studies conducted by </w:t>
      </w:r>
      <w:proofErr w:type="spellStart"/>
      <w:r w:rsidR="00BC55AB">
        <w:rPr>
          <w:rFonts w:ascii="Arial" w:hAnsi="Arial" w:cs="Arial"/>
          <w:sz w:val="20"/>
          <w:szCs w:val="20"/>
        </w:rPr>
        <w:t>Vengadeshkumar</w:t>
      </w:r>
      <w:proofErr w:type="spellEnd"/>
      <w:r w:rsidR="00BC55AB">
        <w:rPr>
          <w:rFonts w:ascii="Arial" w:hAnsi="Arial" w:cs="Arial"/>
          <w:sz w:val="20"/>
          <w:szCs w:val="20"/>
        </w:rPr>
        <w:t xml:space="preserve"> </w:t>
      </w:r>
      <w:r w:rsidR="00BC55AB" w:rsidRPr="002C1FC5">
        <w:rPr>
          <w:rFonts w:ascii="Arial" w:hAnsi="Arial" w:cs="Arial"/>
          <w:i/>
          <w:iCs/>
          <w:sz w:val="20"/>
          <w:szCs w:val="20"/>
        </w:rPr>
        <w:t>et al.</w:t>
      </w:r>
      <w:r w:rsidR="00BC55AB">
        <w:rPr>
          <w:rFonts w:ascii="Arial" w:hAnsi="Arial" w:cs="Arial"/>
          <w:sz w:val="20"/>
          <w:szCs w:val="20"/>
        </w:rPr>
        <w:t xml:space="preserve"> (2023) </w:t>
      </w:r>
      <w:r w:rsidR="00835CEE" w:rsidRPr="00C037E3">
        <w:rPr>
          <w:rFonts w:ascii="Arial" w:hAnsi="Arial" w:cs="Arial"/>
          <w:sz w:val="20"/>
          <w:szCs w:val="20"/>
        </w:rPr>
        <w:t xml:space="preserve">and Singh and Sharma (2009). </w:t>
      </w:r>
      <w:r w:rsidRPr="00C037E3">
        <w:rPr>
          <w:rFonts w:ascii="Arial" w:hAnsi="Arial" w:cs="Arial"/>
          <w:sz w:val="20"/>
          <w:szCs w:val="20"/>
        </w:rPr>
        <w:t xml:space="preserve">Similarly, </w:t>
      </w:r>
      <w:r w:rsidR="00275A13">
        <w:rPr>
          <w:rFonts w:ascii="Arial" w:hAnsi="Arial" w:cs="Arial"/>
          <w:sz w:val="20"/>
          <w:szCs w:val="20"/>
        </w:rPr>
        <w:t>t</w:t>
      </w:r>
      <w:r w:rsidR="00835CEE" w:rsidRPr="00C037E3">
        <w:rPr>
          <w:rFonts w:ascii="Arial" w:hAnsi="Arial" w:cs="Arial"/>
          <w:sz w:val="20"/>
          <w:szCs w:val="20"/>
        </w:rPr>
        <w:t xml:space="preserve">hese findings are further supported by </w:t>
      </w:r>
      <w:r w:rsidRPr="00C037E3">
        <w:rPr>
          <w:rFonts w:ascii="Arial" w:hAnsi="Arial" w:cs="Arial"/>
          <w:sz w:val="20"/>
          <w:szCs w:val="20"/>
        </w:rPr>
        <w:t xml:space="preserve">Kumari </w:t>
      </w:r>
      <w:r w:rsidRPr="00C037E3">
        <w:rPr>
          <w:rFonts w:ascii="Arial" w:hAnsi="Arial" w:cs="Arial"/>
          <w:i/>
          <w:iCs/>
          <w:sz w:val="20"/>
          <w:szCs w:val="20"/>
        </w:rPr>
        <w:t>et al.</w:t>
      </w:r>
      <w:r w:rsidRPr="00C037E3">
        <w:rPr>
          <w:rFonts w:ascii="Arial" w:hAnsi="Arial" w:cs="Arial"/>
          <w:sz w:val="20"/>
          <w:szCs w:val="20"/>
        </w:rPr>
        <w:t xml:space="preserve"> (2024) </w:t>
      </w:r>
      <w:r w:rsidR="00835CEE" w:rsidRPr="00C037E3">
        <w:rPr>
          <w:rFonts w:ascii="Arial" w:hAnsi="Arial" w:cs="Arial"/>
          <w:sz w:val="20"/>
          <w:szCs w:val="20"/>
        </w:rPr>
        <w:t>concluded</w:t>
      </w:r>
      <w:r w:rsidRPr="00C037E3">
        <w:rPr>
          <w:rFonts w:ascii="Arial" w:hAnsi="Arial" w:cs="Arial"/>
          <w:sz w:val="20"/>
          <w:szCs w:val="20"/>
        </w:rPr>
        <w:t xml:space="preserve"> that </w:t>
      </w:r>
      <w:proofErr w:type="spellStart"/>
      <w:r w:rsidRPr="00C037E3">
        <w:rPr>
          <w:rFonts w:ascii="Arial" w:hAnsi="Arial" w:cs="Arial"/>
          <w:sz w:val="20"/>
          <w:szCs w:val="20"/>
        </w:rPr>
        <w:t>Karathane</w:t>
      </w:r>
      <w:proofErr w:type="spellEnd"/>
      <w:r w:rsidRPr="00C037E3">
        <w:rPr>
          <w:rFonts w:ascii="Arial" w:hAnsi="Arial" w:cs="Arial"/>
          <w:sz w:val="20"/>
          <w:szCs w:val="20"/>
        </w:rPr>
        <w:t xml:space="preserve"> showed the highest disease suppression (61.53%) against powdery mildew in peas, followed closely by Hexaconazole (57.69%). </w:t>
      </w:r>
      <w:r w:rsidR="00835CEE" w:rsidRPr="00C037E3">
        <w:rPr>
          <w:rFonts w:ascii="Arial" w:hAnsi="Arial" w:cs="Arial"/>
          <w:sz w:val="20"/>
          <w:szCs w:val="20"/>
        </w:rPr>
        <w:t>In addition to chemical methods, biological control exhibited promising results in the current investigation. Our findings were align</w:t>
      </w:r>
      <w:r w:rsidR="00276CD2">
        <w:rPr>
          <w:rFonts w:ascii="Arial" w:hAnsi="Arial" w:cs="Arial"/>
          <w:sz w:val="20"/>
          <w:szCs w:val="20"/>
        </w:rPr>
        <w:t>ing</w:t>
      </w:r>
      <w:r w:rsidR="00835CEE" w:rsidRPr="00C037E3">
        <w:rPr>
          <w:rFonts w:ascii="Arial" w:hAnsi="Arial" w:cs="Arial"/>
          <w:sz w:val="20"/>
          <w:szCs w:val="20"/>
        </w:rPr>
        <w:t xml:space="preserve"> with </w:t>
      </w:r>
      <w:proofErr w:type="spellStart"/>
      <w:r w:rsidRPr="00C037E3">
        <w:rPr>
          <w:rFonts w:ascii="Arial" w:hAnsi="Arial" w:cs="Arial"/>
          <w:sz w:val="20"/>
          <w:szCs w:val="20"/>
        </w:rPr>
        <w:t>Jayasekhar</w:t>
      </w:r>
      <w:proofErr w:type="spellEnd"/>
      <w:r w:rsidRPr="00C037E3">
        <w:rPr>
          <w:rFonts w:ascii="Arial" w:hAnsi="Arial" w:cs="Arial"/>
          <w:sz w:val="20"/>
          <w:szCs w:val="20"/>
        </w:rPr>
        <w:t xml:space="preserve"> and </w:t>
      </w:r>
      <w:proofErr w:type="spellStart"/>
      <w:r w:rsidRPr="00C037E3">
        <w:rPr>
          <w:rFonts w:ascii="Arial" w:hAnsi="Arial" w:cs="Arial"/>
          <w:sz w:val="20"/>
          <w:szCs w:val="20"/>
        </w:rPr>
        <w:t>Ebenezar</w:t>
      </w:r>
      <w:proofErr w:type="spellEnd"/>
      <w:r w:rsidRPr="00C037E3">
        <w:rPr>
          <w:rFonts w:ascii="Arial" w:hAnsi="Arial" w:cs="Arial"/>
          <w:sz w:val="20"/>
          <w:szCs w:val="20"/>
        </w:rPr>
        <w:t xml:space="preserve"> (2016) </w:t>
      </w:r>
      <w:r w:rsidR="00835CEE" w:rsidRPr="00C037E3">
        <w:rPr>
          <w:rFonts w:ascii="Arial" w:hAnsi="Arial" w:cs="Arial"/>
          <w:sz w:val="20"/>
          <w:szCs w:val="20"/>
        </w:rPr>
        <w:t xml:space="preserve">who </w:t>
      </w:r>
      <w:r w:rsidRPr="00C037E3">
        <w:rPr>
          <w:rFonts w:ascii="Arial" w:hAnsi="Arial" w:cs="Arial"/>
          <w:sz w:val="20"/>
          <w:szCs w:val="20"/>
        </w:rPr>
        <w:t xml:space="preserve">reported significant disease reduction using </w:t>
      </w:r>
      <w:proofErr w:type="spellStart"/>
      <w:r w:rsidRPr="00C037E3">
        <w:rPr>
          <w:rFonts w:ascii="Arial" w:hAnsi="Arial" w:cs="Arial"/>
          <w:i/>
          <w:iCs/>
          <w:sz w:val="20"/>
          <w:szCs w:val="20"/>
        </w:rPr>
        <w:t>Ampelomyces</w:t>
      </w:r>
      <w:proofErr w:type="spellEnd"/>
      <w:r w:rsidRPr="00C037E3">
        <w:rPr>
          <w:rFonts w:ascii="Arial" w:hAnsi="Arial" w:cs="Arial"/>
          <w:i/>
          <w:iCs/>
          <w:sz w:val="20"/>
          <w:szCs w:val="20"/>
        </w:rPr>
        <w:t xml:space="preserve"> </w:t>
      </w:r>
      <w:proofErr w:type="spellStart"/>
      <w:r w:rsidRPr="00C037E3">
        <w:rPr>
          <w:rFonts w:ascii="Arial" w:hAnsi="Arial" w:cs="Arial"/>
          <w:i/>
          <w:iCs/>
          <w:sz w:val="20"/>
          <w:szCs w:val="20"/>
        </w:rPr>
        <w:t>quisqualis</w:t>
      </w:r>
      <w:proofErr w:type="spellEnd"/>
      <w:r w:rsidRPr="00C037E3">
        <w:rPr>
          <w:rFonts w:ascii="Arial" w:hAnsi="Arial" w:cs="Arial"/>
          <w:sz w:val="20"/>
          <w:szCs w:val="20"/>
        </w:rPr>
        <w:t xml:space="preserve">, a </w:t>
      </w:r>
      <w:proofErr w:type="spellStart"/>
      <w:r w:rsidRPr="00C037E3">
        <w:rPr>
          <w:rFonts w:ascii="Arial" w:hAnsi="Arial" w:cs="Arial"/>
          <w:sz w:val="20"/>
          <w:szCs w:val="20"/>
        </w:rPr>
        <w:t>mycoparasite</w:t>
      </w:r>
      <w:proofErr w:type="spellEnd"/>
      <w:r w:rsidRPr="00C037E3">
        <w:rPr>
          <w:rFonts w:ascii="Arial" w:hAnsi="Arial" w:cs="Arial"/>
          <w:sz w:val="20"/>
          <w:szCs w:val="20"/>
        </w:rPr>
        <w:t xml:space="preserve"> of powdery mildew, when compared to untreated controls. </w:t>
      </w:r>
      <w:r w:rsidR="00E0152D" w:rsidRPr="00C037E3">
        <w:rPr>
          <w:rFonts w:ascii="Arial" w:hAnsi="Arial" w:cs="Arial"/>
          <w:sz w:val="20"/>
          <w:szCs w:val="20"/>
        </w:rPr>
        <w:t xml:space="preserve">The effectiveness of novel fungicides is quite good </w:t>
      </w:r>
      <w:r w:rsidR="00301662" w:rsidRPr="00C037E3">
        <w:rPr>
          <w:rFonts w:ascii="Arial" w:hAnsi="Arial" w:cs="Arial"/>
          <w:sz w:val="20"/>
          <w:szCs w:val="20"/>
        </w:rPr>
        <w:t>but along with chemical control, the use of resistant crop varieties, biological control agents and appropriate cultural practices can be helpful in managing the disease</w:t>
      </w:r>
      <w:r w:rsidR="000739A3" w:rsidRPr="00C037E3">
        <w:rPr>
          <w:rFonts w:ascii="Arial" w:hAnsi="Arial" w:cs="Arial"/>
          <w:sz w:val="20"/>
          <w:szCs w:val="20"/>
        </w:rPr>
        <w:t>.</w:t>
      </w:r>
    </w:p>
    <w:p w14:paraId="5A74D151" w14:textId="77777777" w:rsidR="002C1FC5" w:rsidRDefault="002C1FC5" w:rsidP="00E0152D">
      <w:pPr>
        <w:jc w:val="both"/>
        <w:rPr>
          <w:rFonts w:ascii="Arial" w:hAnsi="Arial" w:cs="Arial"/>
          <w:b/>
          <w:bCs/>
          <w:sz w:val="22"/>
          <w:szCs w:val="22"/>
        </w:rPr>
      </w:pPr>
    </w:p>
    <w:p w14:paraId="58BE7D25" w14:textId="77777777" w:rsidR="002C1FC5" w:rsidRDefault="002C1FC5" w:rsidP="00E0152D">
      <w:pPr>
        <w:jc w:val="both"/>
        <w:rPr>
          <w:rFonts w:ascii="Arial" w:hAnsi="Arial" w:cs="Arial"/>
          <w:b/>
          <w:bCs/>
          <w:sz w:val="22"/>
          <w:szCs w:val="22"/>
        </w:rPr>
      </w:pPr>
    </w:p>
    <w:p w14:paraId="68998814" w14:textId="771416E0" w:rsidR="00E0152D" w:rsidRPr="009D4416" w:rsidRDefault="00E0152D" w:rsidP="00E0152D">
      <w:pPr>
        <w:jc w:val="both"/>
        <w:rPr>
          <w:rFonts w:ascii="Arial" w:hAnsi="Arial" w:cs="Arial"/>
          <w:b/>
          <w:bCs/>
          <w:sz w:val="22"/>
          <w:szCs w:val="22"/>
        </w:rPr>
      </w:pPr>
      <w:r w:rsidRPr="009D4416">
        <w:rPr>
          <w:rFonts w:ascii="Arial" w:hAnsi="Arial" w:cs="Arial"/>
          <w:b/>
          <w:bCs/>
          <w:sz w:val="22"/>
          <w:szCs w:val="22"/>
        </w:rPr>
        <w:t>CONCLUSION</w:t>
      </w:r>
    </w:p>
    <w:p w14:paraId="3EC9A3E7" w14:textId="094BDAF3" w:rsidR="00DB3F86" w:rsidRDefault="00DB3F86" w:rsidP="00DB3F86">
      <w:pPr>
        <w:ind w:firstLine="720"/>
        <w:jc w:val="both"/>
        <w:rPr>
          <w:rFonts w:ascii="Arial" w:hAnsi="Arial" w:cs="Arial"/>
          <w:sz w:val="20"/>
          <w:szCs w:val="20"/>
        </w:rPr>
      </w:pPr>
      <w:r w:rsidRPr="00DB3F86">
        <w:rPr>
          <w:rFonts w:ascii="Arial" w:hAnsi="Arial" w:cs="Arial"/>
          <w:sz w:val="20"/>
          <w:szCs w:val="20"/>
        </w:rPr>
        <w:t xml:space="preserve">The present study highlights the urgent need for novel fungicides to manage powdery mildew in </w:t>
      </w:r>
      <w:proofErr w:type="spellStart"/>
      <w:r w:rsidRPr="00DB3F86">
        <w:rPr>
          <w:rFonts w:ascii="Arial" w:hAnsi="Arial" w:cs="Arial"/>
          <w:sz w:val="20"/>
          <w:szCs w:val="20"/>
        </w:rPr>
        <w:t>blackgram</w:t>
      </w:r>
      <w:proofErr w:type="spellEnd"/>
      <w:r w:rsidRPr="00DB3F86">
        <w:rPr>
          <w:rFonts w:ascii="Arial" w:hAnsi="Arial" w:cs="Arial"/>
          <w:sz w:val="20"/>
          <w:szCs w:val="20"/>
        </w:rPr>
        <w:t xml:space="preserve">, as resistance to conventional chemicals is </w:t>
      </w:r>
      <w:r>
        <w:rPr>
          <w:rFonts w:ascii="Arial" w:hAnsi="Arial" w:cs="Arial"/>
          <w:sz w:val="20"/>
          <w:szCs w:val="20"/>
        </w:rPr>
        <w:t xml:space="preserve">commonly increasing. </w:t>
      </w:r>
      <w:r w:rsidRPr="00DB3F86">
        <w:rPr>
          <w:rFonts w:ascii="Arial" w:hAnsi="Arial" w:cs="Arial"/>
          <w:sz w:val="20"/>
          <w:szCs w:val="20"/>
        </w:rPr>
        <w:t xml:space="preserve">While traditional fungicides still offer short-term control, their repeated use may reduce effectiveness over time. Integrating novel fungicides with effective bioagents presents a more sustainable solution. This </w:t>
      </w:r>
      <w:r w:rsidRPr="00DB3F86">
        <w:rPr>
          <w:rFonts w:ascii="Arial" w:hAnsi="Arial" w:cs="Arial"/>
          <w:sz w:val="20"/>
          <w:szCs w:val="20"/>
        </w:rPr>
        <w:lastRenderedPageBreak/>
        <w:t>approach not only improves disease management but also helps delay resistance development and reduces environmental impact. Promoting such integrated disease management strategies is vital to minimizing chemical use, protecting crop productivity and preserving the long-term health of agro-ecosystems.</w:t>
      </w:r>
    </w:p>
    <w:p w14:paraId="3CA70A5D" w14:textId="77777777" w:rsidR="00064EDA" w:rsidRDefault="00064EDA" w:rsidP="00064EDA">
      <w:pPr>
        <w:jc w:val="both"/>
        <w:rPr>
          <w:rFonts w:ascii="Arial" w:hAnsi="Arial" w:cs="Arial"/>
          <w:sz w:val="20"/>
          <w:szCs w:val="20"/>
        </w:rPr>
      </w:pPr>
      <w:r w:rsidRPr="00064EDA">
        <w:rPr>
          <w:rFonts w:ascii="Arial" w:hAnsi="Arial" w:cs="Arial"/>
          <w:b/>
          <w:bCs/>
          <w:sz w:val="22"/>
          <w:szCs w:val="22"/>
        </w:rPr>
        <w:t>DISCLAIMER</w:t>
      </w:r>
      <w:r w:rsidRPr="00064EDA">
        <w:rPr>
          <w:rFonts w:ascii="Arial" w:hAnsi="Arial" w:cs="Arial"/>
          <w:b/>
          <w:bCs/>
          <w:sz w:val="20"/>
          <w:szCs w:val="20"/>
        </w:rPr>
        <w:t xml:space="preserve"> </w:t>
      </w:r>
      <w:r w:rsidRPr="00064EDA">
        <w:rPr>
          <w:rFonts w:ascii="Arial" w:hAnsi="Arial" w:cs="Arial"/>
          <w:b/>
          <w:bCs/>
          <w:sz w:val="22"/>
          <w:szCs w:val="22"/>
        </w:rPr>
        <w:t>(ARTIFICIAL INTELLIGENCE)</w:t>
      </w:r>
      <w:r w:rsidRPr="00064EDA">
        <w:rPr>
          <w:rFonts w:ascii="Arial" w:hAnsi="Arial" w:cs="Arial"/>
          <w:sz w:val="22"/>
          <w:szCs w:val="22"/>
        </w:rPr>
        <w:t xml:space="preserve"> </w:t>
      </w:r>
    </w:p>
    <w:p w14:paraId="5E26311F" w14:textId="1E65A63C" w:rsidR="00064EDA" w:rsidRPr="00064EDA" w:rsidRDefault="00064EDA" w:rsidP="00064EDA">
      <w:pPr>
        <w:jc w:val="both"/>
        <w:rPr>
          <w:rFonts w:ascii="Arial" w:hAnsi="Arial" w:cs="Arial"/>
          <w:b/>
          <w:bCs/>
          <w:sz w:val="20"/>
          <w:szCs w:val="20"/>
        </w:rPr>
      </w:pPr>
      <w:r w:rsidRPr="00064EDA">
        <w:rPr>
          <w:rFonts w:ascii="Arial" w:hAnsi="Arial" w:cs="Arial"/>
          <w:sz w:val="20"/>
          <w:szCs w:val="20"/>
        </w:rPr>
        <w:t>Author(s) hereby declare that NO generative AI technologies such as Large Language Models (ChatGPT, COPILOT, etc) and text-to-image generators have been used during writing or editing of this manuscript.</w:t>
      </w:r>
    </w:p>
    <w:p w14:paraId="1EF50F1C" w14:textId="2B999A85" w:rsidR="000739A3" w:rsidRPr="009D4416" w:rsidRDefault="000739A3" w:rsidP="000739A3">
      <w:pPr>
        <w:jc w:val="both"/>
        <w:rPr>
          <w:rFonts w:ascii="Arial" w:hAnsi="Arial" w:cs="Arial"/>
          <w:b/>
          <w:bCs/>
          <w:sz w:val="22"/>
          <w:szCs w:val="22"/>
        </w:rPr>
      </w:pPr>
      <w:r w:rsidRPr="009D4416">
        <w:rPr>
          <w:rFonts w:ascii="Arial" w:hAnsi="Arial" w:cs="Arial"/>
          <w:b/>
          <w:bCs/>
          <w:sz w:val="22"/>
          <w:szCs w:val="22"/>
        </w:rPr>
        <w:t xml:space="preserve">ACKNOWLEDGEMENT </w:t>
      </w:r>
    </w:p>
    <w:p w14:paraId="7906D2F6" w14:textId="093CA5B5" w:rsidR="00322EFE" w:rsidRPr="00C037E3" w:rsidRDefault="00017EBD" w:rsidP="00EC17A9">
      <w:pPr>
        <w:ind w:firstLine="720"/>
        <w:jc w:val="both"/>
        <w:rPr>
          <w:rFonts w:ascii="Arial" w:hAnsi="Arial" w:cs="Arial"/>
          <w:sz w:val="20"/>
          <w:szCs w:val="20"/>
        </w:rPr>
      </w:pPr>
      <w:r w:rsidRPr="00C037E3">
        <w:rPr>
          <w:rFonts w:ascii="Arial" w:hAnsi="Arial" w:cs="Arial"/>
          <w:sz w:val="20"/>
          <w:szCs w:val="20"/>
        </w:rPr>
        <w:t xml:space="preserve">The study was carried out as part of the Ph.D. research program at RARS, Lam, under ANGRAU. The authors sincerely thank the Associate Director of Research, Farm </w:t>
      </w:r>
      <w:r w:rsidR="00276CD2">
        <w:rPr>
          <w:rFonts w:ascii="Arial" w:hAnsi="Arial" w:cs="Arial"/>
          <w:sz w:val="20"/>
          <w:szCs w:val="20"/>
        </w:rPr>
        <w:t>Superintendent</w:t>
      </w:r>
      <w:r w:rsidRPr="00C037E3">
        <w:rPr>
          <w:rFonts w:ascii="Arial" w:hAnsi="Arial" w:cs="Arial"/>
          <w:sz w:val="20"/>
          <w:szCs w:val="20"/>
        </w:rPr>
        <w:t xml:space="preserve"> of RARS, Lam for providing field allotment and timely </w:t>
      </w:r>
      <w:proofErr w:type="spellStart"/>
      <w:r w:rsidRPr="00C037E3">
        <w:rPr>
          <w:rFonts w:ascii="Arial" w:hAnsi="Arial" w:cs="Arial"/>
          <w:sz w:val="20"/>
          <w:szCs w:val="20"/>
        </w:rPr>
        <w:t>labor</w:t>
      </w:r>
      <w:proofErr w:type="spellEnd"/>
      <w:r w:rsidRPr="00C037E3">
        <w:rPr>
          <w:rFonts w:ascii="Arial" w:hAnsi="Arial" w:cs="Arial"/>
          <w:sz w:val="20"/>
          <w:szCs w:val="20"/>
        </w:rPr>
        <w:t xml:space="preserve"> support throughout the course of the research.</w:t>
      </w:r>
    </w:p>
    <w:p w14:paraId="7429EA29" w14:textId="30FDE2B3" w:rsidR="00017EBD" w:rsidRPr="009D4416" w:rsidRDefault="00017EBD" w:rsidP="00017EBD">
      <w:pPr>
        <w:jc w:val="both"/>
        <w:rPr>
          <w:rFonts w:ascii="Arial" w:hAnsi="Arial" w:cs="Arial"/>
          <w:b/>
          <w:bCs/>
          <w:sz w:val="22"/>
          <w:szCs w:val="22"/>
        </w:rPr>
      </w:pPr>
      <w:r w:rsidRPr="009D4416">
        <w:rPr>
          <w:rFonts w:ascii="Arial" w:hAnsi="Arial" w:cs="Arial"/>
          <w:b/>
          <w:bCs/>
          <w:sz w:val="22"/>
          <w:szCs w:val="22"/>
        </w:rPr>
        <w:t>COMPLIANCE WITH ETHICAL STANDARDS</w:t>
      </w:r>
    </w:p>
    <w:p w14:paraId="2922A722" w14:textId="10C517AC" w:rsidR="00017EBD" w:rsidRPr="00C037E3" w:rsidRDefault="00017EBD" w:rsidP="00017EBD">
      <w:pPr>
        <w:jc w:val="both"/>
        <w:rPr>
          <w:rFonts w:ascii="Arial" w:hAnsi="Arial" w:cs="Arial"/>
          <w:b/>
          <w:bCs/>
          <w:sz w:val="20"/>
          <w:szCs w:val="20"/>
        </w:rPr>
      </w:pPr>
      <w:r w:rsidRPr="00C037E3">
        <w:rPr>
          <w:rFonts w:ascii="Arial" w:hAnsi="Arial" w:cs="Arial"/>
          <w:sz w:val="20"/>
          <w:szCs w:val="20"/>
        </w:rPr>
        <w:t>Conflict of interest. The authors declares that they have no conflict of interest</w:t>
      </w:r>
      <w:r w:rsidRPr="00C037E3">
        <w:rPr>
          <w:rFonts w:ascii="Arial" w:hAnsi="Arial" w:cs="Arial"/>
          <w:b/>
          <w:bCs/>
          <w:sz w:val="20"/>
          <w:szCs w:val="20"/>
        </w:rPr>
        <w:t>.</w:t>
      </w:r>
    </w:p>
    <w:p w14:paraId="1EE690A8" w14:textId="77777777" w:rsidR="00017EBD" w:rsidRPr="009D4416" w:rsidRDefault="00017EBD" w:rsidP="00017EBD">
      <w:pPr>
        <w:jc w:val="both"/>
        <w:rPr>
          <w:rFonts w:ascii="Arial" w:hAnsi="Arial" w:cs="Arial"/>
          <w:b/>
          <w:bCs/>
          <w:sz w:val="22"/>
          <w:szCs w:val="22"/>
          <w:lang w:val="en-US"/>
        </w:rPr>
      </w:pPr>
      <w:r w:rsidRPr="009D4416">
        <w:rPr>
          <w:rFonts w:ascii="Arial" w:hAnsi="Arial" w:cs="Arial"/>
          <w:b/>
          <w:bCs/>
          <w:sz w:val="22"/>
          <w:szCs w:val="22"/>
          <w:lang w:val="en-US"/>
        </w:rPr>
        <w:t>AUTHORS’ CONTRIBUTIONS</w:t>
      </w:r>
    </w:p>
    <w:p w14:paraId="63F9A765" w14:textId="77777777" w:rsidR="00972B7A" w:rsidRDefault="00017EBD" w:rsidP="00017EBD">
      <w:pPr>
        <w:ind w:firstLine="720"/>
        <w:jc w:val="both"/>
        <w:rPr>
          <w:rFonts w:ascii="Arial" w:hAnsi="Arial" w:cs="Arial"/>
          <w:b/>
          <w:bCs/>
          <w:sz w:val="20"/>
          <w:szCs w:val="20"/>
          <w:lang w:val="en-US"/>
        </w:rPr>
      </w:pPr>
      <w:r w:rsidRPr="00C037E3">
        <w:rPr>
          <w:rFonts w:ascii="Arial" w:hAnsi="Arial" w:cs="Arial"/>
          <w:sz w:val="20"/>
          <w:szCs w:val="20"/>
        </w:rPr>
        <w:t>Vasanthi. V authored experimental design, executed statistical analyses, data tabulation, interpretation and manuscript drafting. Kishore Varma P contributed to the conceptualization of experiments, ideation, Funding acquisition and manuscript revisions. Throughout the data collection phases</w:t>
      </w:r>
      <w:r w:rsidR="00CF5CDC" w:rsidRPr="00C037E3">
        <w:rPr>
          <w:rFonts w:ascii="Arial" w:hAnsi="Arial" w:cs="Arial"/>
          <w:sz w:val="20"/>
          <w:szCs w:val="20"/>
        </w:rPr>
        <w:t xml:space="preserve"> Suresh. M, Kamakshi. N, Rani. Ch, Ramesh. D, </w:t>
      </w:r>
      <w:proofErr w:type="spellStart"/>
      <w:r w:rsidRPr="00C037E3">
        <w:rPr>
          <w:rFonts w:ascii="Arial" w:hAnsi="Arial" w:cs="Arial"/>
          <w:sz w:val="20"/>
          <w:szCs w:val="20"/>
        </w:rPr>
        <w:t>Pushpa</w:t>
      </w:r>
      <w:proofErr w:type="spellEnd"/>
      <w:r w:rsidR="00CF5CDC" w:rsidRPr="00C037E3">
        <w:rPr>
          <w:rFonts w:ascii="Arial" w:hAnsi="Arial" w:cs="Arial"/>
          <w:sz w:val="20"/>
          <w:szCs w:val="20"/>
        </w:rPr>
        <w:t xml:space="preserve"> </w:t>
      </w:r>
      <w:proofErr w:type="spellStart"/>
      <w:r w:rsidRPr="00C037E3">
        <w:rPr>
          <w:rFonts w:ascii="Arial" w:hAnsi="Arial" w:cs="Arial"/>
          <w:sz w:val="20"/>
          <w:szCs w:val="20"/>
        </w:rPr>
        <w:t>rajyam</w:t>
      </w:r>
      <w:proofErr w:type="spellEnd"/>
      <w:r w:rsidRPr="00C037E3">
        <w:rPr>
          <w:rFonts w:ascii="Arial" w:hAnsi="Arial" w:cs="Arial"/>
          <w:sz w:val="20"/>
          <w:szCs w:val="20"/>
        </w:rPr>
        <w:t>.</w:t>
      </w:r>
      <w:r w:rsidR="00CF5CDC" w:rsidRPr="00C037E3">
        <w:rPr>
          <w:rFonts w:ascii="Arial" w:hAnsi="Arial" w:cs="Arial"/>
          <w:sz w:val="20"/>
          <w:szCs w:val="20"/>
        </w:rPr>
        <w:t xml:space="preserve"> B</w:t>
      </w:r>
      <w:r w:rsidRPr="00C037E3">
        <w:rPr>
          <w:rFonts w:ascii="Arial" w:hAnsi="Arial" w:cs="Arial"/>
          <w:sz w:val="20"/>
          <w:szCs w:val="20"/>
        </w:rPr>
        <w:t xml:space="preserve"> and </w:t>
      </w:r>
      <w:r w:rsidR="00CF5CDC" w:rsidRPr="00C037E3">
        <w:rPr>
          <w:rFonts w:ascii="Arial" w:hAnsi="Arial" w:cs="Arial"/>
          <w:sz w:val="20"/>
          <w:szCs w:val="20"/>
        </w:rPr>
        <w:t xml:space="preserve">Vasanthi. </w:t>
      </w:r>
      <w:r w:rsidRPr="00C037E3">
        <w:rPr>
          <w:rFonts w:ascii="Arial" w:hAnsi="Arial" w:cs="Arial"/>
          <w:sz w:val="20"/>
          <w:szCs w:val="20"/>
        </w:rPr>
        <w:t>J helped with the experiment’s execution and logistical support</w:t>
      </w:r>
      <w:r w:rsidRPr="00C037E3">
        <w:rPr>
          <w:rFonts w:ascii="Arial" w:hAnsi="Arial" w:cs="Arial"/>
          <w:b/>
          <w:bCs/>
          <w:sz w:val="20"/>
          <w:szCs w:val="20"/>
          <w:lang w:val="en-US"/>
        </w:rPr>
        <w:t>.</w:t>
      </w:r>
    </w:p>
    <w:p w14:paraId="6FACD9E9" w14:textId="77777777" w:rsidR="00AC734D" w:rsidRDefault="00AC734D" w:rsidP="00017EBD">
      <w:pPr>
        <w:ind w:firstLine="720"/>
        <w:jc w:val="both"/>
        <w:rPr>
          <w:rFonts w:ascii="Arial" w:hAnsi="Arial" w:cs="Arial"/>
          <w:b/>
          <w:bCs/>
          <w:sz w:val="20"/>
          <w:szCs w:val="20"/>
          <w:lang w:val="en-US"/>
        </w:rPr>
      </w:pPr>
    </w:p>
    <w:p w14:paraId="4C568D2D" w14:textId="48E8D3ED" w:rsidR="00AC734D" w:rsidRDefault="00AC734D" w:rsidP="00017EBD">
      <w:pPr>
        <w:ind w:firstLine="720"/>
        <w:jc w:val="both"/>
        <w:rPr>
          <w:rFonts w:ascii="Arial" w:hAnsi="Arial" w:cs="Arial"/>
          <w:b/>
          <w:bCs/>
          <w:sz w:val="20"/>
          <w:szCs w:val="20"/>
          <w:lang w:val="en-US"/>
        </w:rPr>
      </w:pPr>
      <w:r>
        <w:rPr>
          <w:rFonts w:ascii="Arial" w:hAnsi="Arial" w:cs="Arial"/>
          <w:b/>
          <w:bCs/>
          <w:noProof/>
          <w:sz w:val="20"/>
          <w:szCs w:val="20"/>
          <w:lang w:val="en-US"/>
        </w:rPr>
        <w:drawing>
          <wp:inline distT="0" distB="0" distL="0" distR="0" wp14:anchorId="779E0FCE" wp14:editId="3202FBB3">
            <wp:extent cx="5447390" cy="2667000"/>
            <wp:effectExtent l="0" t="0" r="1270" b="0"/>
            <wp:docPr id="286330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7446" cy="2681715"/>
                    </a:xfrm>
                    <a:prstGeom prst="rect">
                      <a:avLst/>
                    </a:prstGeom>
                    <a:noFill/>
                  </pic:spPr>
                </pic:pic>
              </a:graphicData>
            </a:graphic>
          </wp:inline>
        </w:drawing>
      </w:r>
    </w:p>
    <w:p w14:paraId="0478B8C8" w14:textId="76AC0711" w:rsidR="00972B7A" w:rsidRDefault="00AC734D" w:rsidP="00017EBD">
      <w:pPr>
        <w:ind w:firstLine="720"/>
        <w:jc w:val="both"/>
        <w:rPr>
          <w:rFonts w:ascii="Arial" w:hAnsi="Arial" w:cs="Arial"/>
          <w:b/>
          <w:bCs/>
          <w:sz w:val="20"/>
          <w:szCs w:val="20"/>
          <w:lang w:val="en-US"/>
        </w:rPr>
      </w:pPr>
      <w:r>
        <w:rPr>
          <w:rFonts w:ascii="Arial" w:hAnsi="Arial" w:cs="Arial"/>
          <w:b/>
          <w:bCs/>
          <w:sz w:val="20"/>
          <w:szCs w:val="20"/>
          <w:lang w:val="en-US"/>
        </w:rPr>
        <w:t xml:space="preserve">Fig 1. Pooled AUDPC analysis of </w:t>
      </w:r>
      <w:proofErr w:type="spellStart"/>
      <w:r>
        <w:rPr>
          <w:rFonts w:ascii="Arial" w:hAnsi="Arial" w:cs="Arial"/>
          <w:b/>
          <w:bCs/>
          <w:sz w:val="20"/>
          <w:szCs w:val="20"/>
          <w:lang w:val="en-US"/>
        </w:rPr>
        <w:t>blackgram</w:t>
      </w:r>
      <w:proofErr w:type="spellEnd"/>
      <w:r>
        <w:rPr>
          <w:rFonts w:ascii="Arial" w:hAnsi="Arial" w:cs="Arial"/>
          <w:b/>
          <w:bCs/>
          <w:sz w:val="20"/>
          <w:szCs w:val="20"/>
          <w:lang w:val="en-US"/>
        </w:rPr>
        <w:t xml:space="preserve"> powdery mildew during </w:t>
      </w:r>
      <w:r w:rsidRPr="00AC734D">
        <w:rPr>
          <w:rFonts w:ascii="Arial" w:hAnsi="Arial" w:cs="Arial"/>
          <w:b/>
          <w:bCs/>
          <w:i/>
          <w:iCs/>
          <w:sz w:val="20"/>
          <w:szCs w:val="20"/>
          <w:lang w:val="en-US"/>
        </w:rPr>
        <w:t xml:space="preserve">rabi </w:t>
      </w:r>
      <w:r>
        <w:rPr>
          <w:rFonts w:ascii="Arial" w:hAnsi="Arial" w:cs="Arial"/>
          <w:b/>
          <w:bCs/>
          <w:sz w:val="20"/>
          <w:szCs w:val="20"/>
          <w:lang w:val="en-US"/>
        </w:rPr>
        <w:t>2023-2025</w:t>
      </w:r>
    </w:p>
    <w:p w14:paraId="37597971" w14:textId="77777777" w:rsidR="00972B7A" w:rsidRDefault="00972B7A" w:rsidP="00017EBD">
      <w:pPr>
        <w:ind w:firstLine="720"/>
        <w:jc w:val="both"/>
        <w:rPr>
          <w:rFonts w:ascii="Arial" w:hAnsi="Arial" w:cs="Arial"/>
          <w:b/>
          <w:bCs/>
          <w:sz w:val="20"/>
          <w:szCs w:val="20"/>
          <w:lang w:val="en-US"/>
        </w:rPr>
      </w:pPr>
    </w:p>
    <w:p w14:paraId="25ABA373" w14:textId="503F82E7" w:rsidR="00BC55AB" w:rsidRPr="00BC55AB" w:rsidRDefault="00BC55AB" w:rsidP="002C1FC5">
      <w:pPr>
        <w:spacing w:line="240" w:lineRule="auto"/>
        <w:ind w:left="851" w:hanging="851"/>
        <w:rPr>
          <w:rFonts w:ascii="Arial" w:hAnsi="Arial" w:cs="Arial"/>
          <w:b/>
          <w:bCs/>
          <w:sz w:val="20"/>
          <w:szCs w:val="20"/>
        </w:rPr>
      </w:pPr>
      <w:bookmarkStart w:id="1" w:name="_GoBack"/>
      <w:r w:rsidRPr="00BC55AB">
        <w:rPr>
          <w:rFonts w:ascii="Arial" w:hAnsi="Arial" w:cs="Arial"/>
          <w:b/>
          <w:bCs/>
          <w:sz w:val="20"/>
          <w:szCs w:val="20"/>
        </w:rPr>
        <w:t>Table</w:t>
      </w:r>
      <w:bookmarkEnd w:id="1"/>
      <w:r w:rsidRPr="00BC55AB">
        <w:rPr>
          <w:rFonts w:ascii="Arial" w:hAnsi="Arial" w:cs="Arial"/>
          <w:b/>
          <w:bCs/>
          <w:sz w:val="20"/>
          <w:szCs w:val="20"/>
        </w:rPr>
        <w:t xml:space="preserve"> 1:  EVALUATION OF POWDERY MILDEW MANAGEMENT IN BLACKGRAM: POOLED PERCENT DISEASE INDEX FROM 2023-2025</w:t>
      </w:r>
    </w:p>
    <w:tbl>
      <w:tblPr>
        <w:tblStyle w:val="TableGrid"/>
        <w:tblpPr w:leftFromText="180" w:rightFromText="180" w:vertAnchor="page" w:horzAnchor="margin" w:tblpXSpec="center" w:tblpY="2137"/>
        <w:tblW w:w="10485" w:type="dxa"/>
        <w:tblLayout w:type="fixed"/>
        <w:tblLook w:val="04A0" w:firstRow="1" w:lastRow="0" w:firstColumn="1" w:lastColumn="0" w:noHBand="0" w:noVBand="1"/>
      </w:tblPr>
      <w:tblGrid>
        <w:gridCol w:w="562"/>
        <w:gridCol w:w="2552"/>
        <w:gridCol w:w="992"/>
        <w:gridCol w:w="1134"/>
        <w:gridCol w:w="992"/>
        <w:gridCol w:w="1134"/>
        <w:gridCol w:w="993"/>
        <w:gridCol w:w="1134"/>
        <w:gridCol w:w="992"/>
      </w:tblGrid>
      <w:tr w:rsidR="00BC55AB" w:rsidRPr="00C717FF" w14:paraId="1F583CB3" w14:textId="77777777" w:rsidTr="00BC55AB">
        <w:trPr>
          <w:trHeight w:val="420"/>
        </w:trPr>
        <w:tc>
          <w:tcPr>
            <w:tcW w:w="562" w:type="dxa"/>
            <w:vMerge w:val="restart"/>
            <w:vAlign w:val="center"/>
          </w:tcPr>
          <w:p w14:paraId="4A5168EE" w14:textId="77777777" w:rsidR="00BC55AB" w:rsidRPr="00C717FF" w:rsidRDefault="00BC55AB" w:rsidP="00BC55AB">
            <w:pPr>
              <w:spacing w:after="160" w:line="278" w:lineRule="auto"/>
              <w:jc w:val="center"/>
              <w:rPr>
                <w:rFonts w:ascii="Arial" w:hAnsi="Arial" w:cs="Arial"/>
                <w:b/>
                <w:bCs/>
                <w:sz w:val="20"/>
                <w:szCs w:val="20"/>
              </w:rPr>
            </w:pPr>
          </w:p>
          <w:p w14:paraId="30335C69" w14:textId="77777777" w:rsidR="00BC55AB" w:rsidRPr="00C717FF" w:rsidRDefault="00BC55AB" w:rsidP="00BC55AB">
            <w:pPr>
              <w:spacing w:after="160" w:line="278" w:lineRule="auto"/>
              <w:jc w:val="center"/>
              <w:rPr>
                <w:rFonts w:ascii="Arial" w:hAnsi="Arial" w:cs="Arial"/>
                <w:b/>
                <w:bCs/>
                <w:sz w:val="20"/>
                <w:szCs w:val="20"/>
              </w:rPr>
            </w:pPr>
            <w:proofErr w:type="spellStart"/>
            <w:r w:rsidRPr="00C717FF">
              <w:rPr>
                <w:rFonts w:ascii="Arial" w:hAnsi="Arial" w:cs="Arial"/>
                <w:b/>
                <w:bCs/>
                <w:sz w:val="20"/>
                <w:szCs w:val="20"/>
              </w:rPr>
              <w:t>Trt</w:t>
            </w:r>
            <w:proofErr w:type="spellEnd"/>
            <w:r w:rsidRPr="00C717FF">
              <w:rPr>
                <w:rFonts w:ascii="Arial" w:hAnsi="Arial" w:cs="Arial"/>
                <w:b/>
                <w:bCs/>
                <w:sz w:val="20"/>
                <w:szCs w:val="20"/>
              </w:rPr>
              <w:t xml:space="preserve"> No</w:t>
            </w:r>
          </w:p>
        </w:tc>
        <w:tc>
          <w:tcPr>
            <w:tcW w:w="2552" w:type="dxa"/>
            <w:vMerge w:val="restart"/>
            <w:vAlign w:val="center"/>
          </w:tcPr>
          <w:p w14:paraId="3D6CFBD7" w14:textId="77777777" w:rsidR="00BC55AB" w:rsidRPr="00C717FF" w:rsidRDefault="00BC55AB" w:rsidP="00BC55AB">
            <w:pPr>
              <w:spacing w:after="160" w:line="278" w:lineRule="auto"/>
              <w:jc w:val="center"/>
              <w:rPr>
                <w:rFonts w:ascii="Arial" w:hAnsi="Arial" w:cs="Arial"/>
                <w:b/>
                <w:bCs/>
                <w:sz w:val="20"/>
                <w:szCs w:val="20"/>
              </w:rPr>
            </w:pPr>
            <w:r w:rsidRPr="00C717FF">
              <w:rPr>
                <w:rFonts w:ascii="Arial" w:hAnsi="Arial" w:cs="Arial"/>
                <w:b/>
                <w:bCs/>
                <w:sz w:val="20"/>
                <w:szCs w:val="20"/>
              </w:rPr>
              <w:t>Treatments</w:t>
            </w:r>
          </w:p>
        </w:tc>
        <w:tc>
          <w:tcPr>
            <w:tcW w:w="7371" w:type="dxa"/>
            <w:gridSpan w:val="7"/>
            <w:vAlign w:val="bottom"/>
          </w:tcPr>
          <w:p w14:paraId="19063CD3" w14:textId="77777777" w:rsidR="00BC55AB" w:rsidRPr="00C717FF" w:rsidRDefault="00BC55AB" w:rsidP="00BC55AB">
            <w:pPr>
              <w:spacing w:after="160" w:line="278" w:lineRule="auto"/>
              <w:jc w:val="center"/>
              <w:rPr>
                <w:rFonts w:ascii="Arial" w:hAnsi="Arial" w:cs="Arial"/>
                <w:b/>
                <w:bCs/>
                <w:sz w:val="20"/>
                <w:szCs w:val="20"/>
              </w:rPr>
            </w:pPr>
            <w:r w:rsidRPr="00C717FF">
              <w:rPr>
                <w:rFonts w:ascii="Arial" w:hAnsi="Arial" w:cs="Arial"/>
                <w:b/>
                <w:bCs/>
                <w:sz w:val="20"/>
                <w:szCs w:val="20"/>
              </w:rPr>
              <w:t>Pooled Data (2023-2025)</w:t>
            </w:r>
          </w:p>
        </w:tc>
      </w:tr>
      <w:tr w:rsidR="00BC55AB" w:rsidRPr="00C717FF" w14:paraId="077B80AE" w14:textId="77777777" w:rsidTr="00BC55AB">
        <w:trPr>
          <w:trHeight w:val="540"/>
        </w:trPr>
        <w:tc>
          <w:tcPr>
            <w:tcW w:w="562" w:type="dxa"/>
            <w:vMerge/>
            <w:vAlign w:val="center"/>
          </w:tcPr>
          <w:p w14:paraId="171D74E6" w14:textId="77777777" w:rsidR="00BC55AB" w:rsidRPr="00C717FF" w:rsidRDefault="00BC55AB" w:rsidP="00BC55AB">
            <w:pPr>
              <w:spacing w:after="160" w:line="278" w:lineRule="auto"/>
              <w:jc w:val="center"/>
              <w:rPr>
                <w:rFonts w:ascii="Arial" w:hAnsi="Arial" w:cs="Arial"/>
                <w:b/>
                <w:bCs/>
                <w:sz w:val="20"/>
                <w:szCs w:val="20"/>
              </w:rPr>
            </w:pPr>
          </w:p>
        </w:tc>
        <w:tc>
          <w:tcPr>
            <w:tcW w:w="2552" w:type="dxa"/>
            <w:vMerge/>
            <w:vAlign w:val="center"/>
          </w:tcPr>
          <w:p w14:paraId="601A552C" w14:textId="77777777" w:rsidR="00BC55AB" w:rsidRPr="00C717FF" w:rsidRDefault="00BC55AB" w:rsidP="00BC55AB">
            <w:pPr>
              <w:spacing w:after="160" w:line="278" w:lineRule="auto"/>
              <w:jc w:val="center"/>
              <w:rPr>
                <w:rFonts w:ascii="Arial" w:hAnsi="Arial" w:cs="Arial"/>
                <w:b/>
                <w:bCs/>
                <w:sz w:val="20"/>
                <w:szCs w:val="20"/>
              </w:rPr>
            </w:pPr>
          </w:p>
        </w:tc>
        <w:tc>
          <w:tcPr>
            <w:tcW w:w="3118" w:type="dxa"/>
            <w:gridSpan w:val="3"/>
            <w:vAlign w:val="center"/>
          </w:tcPr>
          <w:p w14:paraId="6D426CF9" w14:textId="77777777" w:rsidR="00BC55AB" w:rsidRPr="00C717FF" w:rsidRDefault="00BC55AB" w:rsidP="00BC55AB">
            <w:pPr>
              <w:spacing w:after="160" w:line="278" w:lineRule="auto"/>
              <w:jc w:val="center"/>
              <w:rPr>
                <w:rFonts w:ascii="Arial" w:hAnsi="Arial" w:cs="Arial"/>
                <w:b/>
                <w:bCs/>
                <w:sz w:val="20"/>
                <w:szCs w:val="20"/>
              </w:rPr>
            </w:pPr>
          </w:p>
          <w:p w14:paraId="285B6D31" w14:textId="77777777" w:rsidR="00BC55AB" w:rsidRPr="00C717FF" w:rsidRDefault="00BC55AB" w:rsidP="00BC55AB">
            <w:pPr>
              <w:spacing w:after="160" w:line="278" w:lineRule="auto"/>
              <w:jc w:val="center"/>
              <w:rPr>
                <w:rFonts w:ascii="Arial" w:hAnsi="Arial" w:cs="Arial"/>
                <w:b/>
                <w:bCs/>
                <w:sz w:val="20"/>
                <w:szCs w:val="20"/>
              </w:rPr>
            </w:pPr>
            <w:r w:rsidRPr="00C717FF">
              <w:rPr>
                <w:rFonts w:ascii="Arial" w:hAnsi="Arial" w:cs="Arial"/>
                <w:b/>
                <w:bCs/>
                <w:sz w:val="20"/>
                <w:szCs w:val="20"/>
              </w:rPr>
              <w:t>Percent Disease Index</w:t>
            </w:r>
          </w:p>
        </w:tc>
        <w:tc>
          <w:tcPr>
            <w:tcW w:w="1134" w:type="dxa"/>
            <w:vMerge w:val="restart"/>
            <w:vAlign w:val="center"/>
          </w:tcPr>
          <w:p w14:paraId="5678B775" w14:textId="77777777" w:rsidR="00BC55AB" w:rsidRPr="00C717FF" w:rsidRDefault="00BC55AB" w:rsidP="00BC55AB">
            <w:pPr>
              <w:spacing w:after="160" w:line="278" w:lineRule="auto"/>
              <w:jc w:val="center"/>
              <w:rPr>
                <w:rFonts w:ascii="Arial" w:hAnsi="Arial" w:cs="Arial"/>
                <w:b/>
                <w:bCs/>
                <w:sz w:val="20"/>
                <w:szCs w:val="20"/>
              </w:rPr>
            </w:pPr>
            <w:r w:rsidRPr="00C717FF">
              <w:rPr>
                <w:rFonts w:ascii="Arial" w:hAnsi="Arial" w:cs="Arial"/>
                <w:b/>
                <w:bCs/>
                <w:sz w:val="20"/>
                <w:szCs w:val="20"/>
              </w:rPr>
              <w:t>Disease reduction Over Control (%)</w:t>
            </w:r>
          </w:p>
        </w:tc>
        <w:tc>
          <w:tcPr>
            <w:tcW w:w="993" w:type="dxa"/>
            <w:vMerge w:val="restart"/>
            <w:vAlign w:val="center"/>
          </w:tcPr>
          <w:p w14:paraId="7022E85B" w14:textId="77777777" w:rsidR="00BC55AB" w:rsidRPr="00C717FF" w:rsidRDefault="00BC55AB" w:rsidP="00BC55AB">
            <w:pPr>
              <w:spacing w:after="160" w:line="278" w:lineRule="auto"/>
              <w:jc w:val="center"/>
              <w:rPr>
                <w:rFonts w:ascii="Arial" w:hAnsi="Arial" w:cs="Arial"/>
                <w:b/>
                <w:bCs/>
                <w:sz w:val="20"/>
                <w:szCs w:val="20"/>
              </w:rPr>
            </w:pPr>
            <w:r w:rsidRPr="00C717FF">
              <w:rPr>
                <w:rFonts w:ascii="Arial" w:hAnsi="Arial" w:cs="Arial"/>
                <w:b/>
                <w:bCs/>
                <w:sz w:val="20"/>
                <w:szCs w:val="20"/>
              </w:rPr>
              <w:t>Yield</w:t>
            </w:r>
          </w:p>
          <w:p w14:paraId="0638D7A2" w14:textId="77777777" w:rsidR="00BC55AB" w:rsidRPr="00C717FF" w:rsidRDefault="00BC55AB" w:rsidP="00BC55AB">
            <w:pPr>
              <w:spacing w:after="160" w:line="278" w:lineRule="auto"/>
              <w:jc w:val="center"/>
              <w:rPr>
                <w:rFonts w:ascii="Arial" w:hAnsi="Arial" w:cs="Arial"/>
                <w:b/>
                <w:bCs/>
                <w:sz w:val="20"/>
                <w:szCs w:val="20"/>
              </w:rPr>
            </w:pPr>
            <w:r w:rsidRPr="00C717FF">
              <w:rPr>
                <w:rFonts w:ascii="Arial" w:hAnsi="Arial" w:cs="Arial"/>
                <w:b/>
                <w:bCs/>
                <w:sz w:val="20"/>
                <w:szCs w:val="20"/>
              </w:rPr>
              <w:t>(q/ha)</w:t>
            </w:r>
          </w:p>
        </w:tc>
        <w:tc>
          <w:tcPr>
            <w:tcW w:w="1134" w:type="dxa"/>
            <w:vMerge w:val="restart"/>
            <w:vAlign w:val="center"/>
          </w:tcPr>
          <w:p w14:paraId="4DB51CF8" w14:textId="77777777" w:rsidR="00BC55AB" w:rsidRPr="00C717FF" w:rsidRDefault="00BC55AB" w:rsidP="00BC55AB">
            <w:pPr>
              <w:spacing w:after="160" w:line="278" w:lineRule="auto"/>
              <w:jc w:val="center"/>
              <w:rPr>
                <w:rFonts w:ascii="Arial" w:hAnsi="Arial" w:cs="Arial"/>
                <w:b/>
                <w:bCs/>
                <w:sz w:val="20"/>
                <w:szCs w:val="20"/>
              </w:rPr>
            </w:pPr>
            <w:r w:rsidRPr="00C717FF">
              <w:rPr>
                <w:rFonts w:ascii="Arial" w:hAnsi="Arial" w:cs="Arial"/>
                <w:b/>
                <w:bCs/>
                <w:sz w:val="20"/>
                <w:szCs w:val="20"/>
              </w:rPr>
              <w:t>Yield increase Over Control (%)</w:t>
            </w:r>
          </w:p>
        </w:tc>
        <w:tc>
          <w:tcPr>
            <w:tcW w:w="992" w:type="dxa"/>
            <w:vMerge w:val="restart"/>
            <w:vAlign w:val="center"/>
          </w:tcPr>
          <w:p w14:paraId="38253BFF" w14:textId="77777777" w:rsidR="00BC55AB" w:rsidRPr="00C717FF" w:rsidRDefault="00BC55AB" w:rsidP="00BC55AB">
            <w:pPr>
              <w:spacing w:after="160" w:line="278" w:lineRule="auto"/>
              <w:jc w:val="center"/>
              <w:rPr>
                <w:rFonts w:ascii="Arial" w:hAnsi="Arial" w:cs="Arial"/>
                <w:b/>
                <w:bCs/>
                <w:sz w:val="20"/>
                <w:szCs w:val="20"/>
              </w:rPr>
            </w:pPr>
            <w:r w:rsidRPr="00C717FF">
              <w:rPr>
                <w:rFonts w:ascii="Arial" w:hAnsi="Arial" w:cs="Arial"/>
                <w:b/>
                <w:bCs/>
                <w:sz w:val="20"/>
                <w:szCs w:val="20"/>
              </w:rPr>
              <w:t>Cost Benefit Ratio</w:t>
            </w:r>
          </w:p>
        </w:tc>
      </w:tr>
      <w:tr w:rsidR="00BC55AB" w:rsidRPr="00C717FF" w14:paraId="50FAEC1F" w14:textId="77777777" w:rsidTr="00BC55AB">
        <w:trPr>
          <w:trHeight w:val="100"/>
        </w:trPr>
        <w:tc>
          <w:tcPr>
            <w:tcW w:w="562" w:type="dxa"/>
            <w:vMerge/>
            <w:vAlign w:val="center"/>
          </w:tcPr>
          <w:p w14:paraId="28043AED" w14:textId="77777777" w:rsidR="00BC55AB" w:rsidRPr="00C717FF" w:rsidRDefault="00BC55AB" w:rsidP="00BC55AB">
            <w:pPr>
              <w:spacing w:after="160" w:line="278" w:lineRule="auto"/>
              <w:jc w:val="center"/>
              <w:rPr>
                <w:rFonts w:ascii="Arial" w:hAnsi="Arial" w:cs="Arial"/>
                <w:sz w:val="20"/>
                <w:szCs w:val="20"/>
              </w:rPr>
            </w:pPr>
          </w:p>
        </w:tc>
        <w:tc>
          <w:tcPr>
            <w:tcW w:w="2552" w:type="dxa"/>
            <w:vMerge/>
            <w:vAlign w:val="center"/>
          </w:tcPr>
          <w:p w14:paraId="455553EA" w14:textId="77777777" w:rsidR="00BC55AB" w:rsidRPr="00C717FF" w:rsidRDefault="00BC55AB" w:rsidP="00BC55AB">
            <w:pPr>
              <w:spacing w:after="160" w:line="278" w:lineRule="auto"/>
              <w:jc w:val="center"/>
              <w:rPr>
                <w:rFonts w:ascii="Arial" w:hAnsi="Arial" w:cs="Arial"/>
                <w:sz w:val="20"/>
                <w:szCs w:val="20"/>
              </w:rPr>
            </w:pPr>
          </w:p>
        </w:tc>
        <w:tc>
          <w:tcPr>
            <w:tcW w:w="992" w:type="dxa"/>
            <w:vAlign w:val="center"/>
          </w:tcPr>
          <w:p w14:paraId="75810C39" w14:textId="77777777" w:rsidR="00BC55AB" w:rsidRPr="00C717FF" w:rsidRDefault="00BC55AB" w:rsidP="00BC55AB">
            <w:pPr>
              <w:spacing w:after="160" w:line="278" w:lineRule="auto"/>
              <w:jc w:val="center"/>
              <w:rPr>
                <w:rFonts w:ascii="Arial" w:hAnsi="Arial" w:cs="Arial"/>
                <w:b/>
                <w:bCs/>
                <w:sz w:val="20"/>
                <w:szCs w:val="20"/>
              </w:rPr>
            </w:pPr>
            <w:r w:rsidRPr="00C717FF">
              <w:rPr>
                <w:rFonts w:ascii="Arial" w:hAnsi="Arial" w:cs="Arial"/>
                <w:b/>
                <w:bCs/>
                <w:sz w:val="20"/>
                <w:szCs w:val="20"/>
              </w:rPr>
              <w:t>After 1</w:t>
            </w:r>
            <w:r w:rsidRPr="00C717FF">
              <w:rPr>
                <w:rFonts w:ascii="Arial" w:hAnsi="Arial" w:cs="Arial"/>
                <w:b/>
                <w:bCs/>
                <w:sz w:val="20"/>
                <w:szCs w:val="20"/>
                <w:vertAlign w:val="superscript"/>
              </w:rPr>
              <w:t>st</w:t>
            </w:r>
            <w:r w:rsidRPr="00C717FF">
              <w:rPr>
                <w:rFonts w:ascii="Arial" w:hAnsi="Arial" w:cs="Arial"/>
                <w:b/>
                <w:bCs/>
                <w:sz w:val="20"/>
                <w:szCs w:val="20"/>
              </w:rPr>
              <w:t xml:space="preserve"> Spray</w:t>
            </w:r>
          </w:p>
        </w:tc>
        <w:tc>
          <w:tcPr>
            <w:tcW w:w="1134" w:type="dxa"/>
            <w:vAlign w:val="center"/>
          </w:tcPr>
          <w:p w14:paraId="72BEED33" w14:textId="77777777" w:rsidR="00BC55AB" w:rsidRPr="00C717FF" w:rsidRDefault="00BC55AB" w:rsidP="00BC55AB">
            <w:pPr>
              <w:spacing w:after="160" w:line="278" w:lineRule="auto"/>
              <w:jc w:val="center"/>
              <w:rPr>
                <w:rFonts w:ascii="Arial" w:hAnsi="Arial" w:cs="Arial"/>
                <w:b/>
                <w:bCs/>
                <w:sz w:val="20"/>
                <w:szCs w:val="20"/>
              </w:rPr>
            </w:pPr>
            <w:r w:rsidRPr="00C717FF">
              <w:rPr>
                <w:rFonts w:ascii="Arial" w:hAnsi="Arial" w:cs="Arial"/>
                <w:b/>
                <w:bCs/>
                <w:sz w:val="20"/>
                <w:szCs w:val="20"/>
              </w:rPr>
              <w:t>After 2</w:t>
            </w:r>
            <w:r w:rsidRPr="00C717FF">
              <w:rPr>
                <w:rFonts w:ascii="Arial" w:hAnsi="Arial" w:cs="Arial"/>
                <w:b/>
                <w:bCs/>
                <w:sz w:val="20"/>
                <w:szCs w:val="20"/>
                <w:vertAlign w:val="superscript"/>
              </w:rPr>
              <w:t>nd</w:t>
            </w:r>
            <w:r w:rsidRPr="00C717FF">
              <w:rPr>
                <w:rFonts w:ascii="Arial" w:hAnsi="Arial" w:cs="Arial"/>
                <w:b/>
                <w:bCs/>
                <w:sz w:val="20"/>
                <w:szCs w:val="20"/>
              </w:rPr>
              <w:t xml:space="preserve"> Spray</w:t>
            </w:r>
          </w:p>
        </w:tc>
        <w:tc>
          <w:tcPr>
            <w:tcW w:w="992" w:type="dxa"/>
            <w:vAlign w:val="center"/>
          </w:tcPr>
          <w:p w14:paraId="219EBF88" w14:textId="77777777" w:rsidR="00BC55AB" w:rsidRPr="00C717FF" w:rsidRDefault="00BC55AB" w:rsidP="00BC55AB">
            <w:pPr>
              <w:spacing w:after="160" w:line="278" w:lineRule="auto"/>
              <w:jc w:val="center"/>
              <w:rPr>
                <w:rFonts w:ascii="Arial" w:hAnsi="Arial" w:cs="Arial"/>
                <w:b/>
                <w:bCs/>
                <w:sz w:val="20"/>
                <w:szCs w:val="20"/>
              </w:rPr>
            </w:pPr>
            <w:r w:rsidRPr="00C717FF">
              <w:rPr>
                <w:rFonts w:ascii="Arial" w:hAnsi="Arial" w:cs="Arial"/>
                <w:b/>
                <w:bCs/>
                <w:sz w:val="20"/>
                <w:szCs w:val="20"/>
              </w:rPr>
              <w:t>After 3</w:t>
            </w:r>
            <w:r w:rsidRPr="00C717FF">
              <w:rPr>
                <w:rFonts w:ascii="Arial" w:hAnsi="Arial" w:cs="Arial"/>
                <w:b/>
                <w:bCs/>
                <w:sz w:val="20"/>
                <w:szCs w:val="20"/>
                <w:vertAlign w:val="superscript"/>
              </w:rPr>
              <w:t>rd</w:t>
            </w:r>
            <w:r w:rsidRPr="00C717FF">
              <w:rPr>
                <w:rFonts w:ascii="Arial" w:hAnsi="Arial" w:cs="Arial"/>
                <w:b/>
                <w:bCs/>
                <w:sz w:val="20"/>
                <w:szCs w:val="20"/>
              </w:rPr>
              <w:t xml:space="preserve">  Spray</w:t>
            </w:r>
          </w:p>
        </w:tc>
        <w:tc>
          <w:tcPr>
            <w:tcW w:w="1134" w:type="dxa"/>
            <w:vMerge/>
            <w:vAlign w:val="center"/>
          </w:tcPr>
          <w:p w14:paraId="62267D93" w14:textId="77777777" w:rsidR="00BC55AB" w:rsidRPr="00C717FF" w:rsidRDefault="00BC55AB" w:rsidP="00BC55AB">
            <w:pPr>
              <w:spacing w:after="160" w:line="278" w:lineRule="auto"/>
              <w:jc w:val="center"/>
              <w:rPr>
                <w:rFonts w:ascii="Arial" w:hAnsi="Arial" w:cs="Arial"/>
                <w:sz w:val="20"/>
                <w:szCs w:val="20"/>
              </w:rPr>
            </w:pPr>
          </w:p>
        </w:tc>
        <w:tc>
          <w:tcPr>
            <w:tcW w:w="993" w:type="dxa"/>
            <w:vMerge/>
            <w:vAlign w:val="center"/>
          </w:tcPr>
          <w:p w14:paraId="79AC60F1" w14:textId="77777777" w:rsidR="00BC55AB" w:rsidRPr="00C717FF" w:rsidRDefault="00BC55AB" w:rsidP="00BC55AB">
            <w:pPr>
              <w:spacing w:after="160" w:line="278" w:lineRule="auto"/>
              <w:jc w:val="center"/>
              <w:rPr>
                <w:rFonts w:ascii="Arial" w:hAnsi="Arial" w:cs="Arial"/>
                <w:sz w:val="20"/>
                <w:szCs w:val="20"/>
              </w:rPr>
            </w:pPr>
          </w:p>
        </w:tc>
        <w:tc>
          <w:tcPr>
            <w:tcW w:w="1134" w:type="dxa"/>
            <w:vMerge/>
            <w:vAlign w:val="center"/>
          </w:tcPr>
          <w:p w14:paraId="650FF702" w14:textId="77777777" w:rsidR="00BC55AB" w:rsidRPr="00C717FF" w:rsidRDefault="00BC55AB" w:rsidP="00BC55AB">
            <w:pPr>
              <w:spacing w:after="160" w:line="278" w:lineRule="auto"/>
              <w:jc w:val="center"/>
              <w:rPr>
                <w:rFonts w:ascii="Arial" w:hAnsi="Arial" w:cs="Arial"/>
                <w:sz w:val="20"/>
                <w:szCs w:val="20"/>
              </w:rPr>
            </w:pPr>
          </w:p>
        </w:tc>
        <w:tc>
          <w:tcPr>
            <w:tcW w:w="992" w:type="dxa"/>
            <w:vMerge/>
            <w:vAlign w:val="center"/>
          </w:tcPr>
          <w:p w14:paraId="3083F280" w14:textId="77777777" w:rsidR="00BC55AB" w:rsidRPr="00C717FF" w:rsidRDefault="00BC55AB" w:rsidP="00BC55AB">
            <w:pPr>
              <w:spacing w:after="160" w:line="278" w:lineRule="auto"/>
              <w:jc w:val="center"/>
              <w:rPr>
                <w:rFonts w:ascii="Arial" w:hAnsi="Arial" w:cs="Arial"/>
                <w:sz w:val="20"/>
                <w:szCs w:val="20"/>
              </w:rPr>
            </w:pPr>
          </w:p>
        </w:tc>
      </w:tr>
      <w:tr w:rsidR="00BC55AB" w:rsidRPr="00C717FF" w14:paraId="2AE8A445" w14:textId="77777777" w:rsidTr="00BC55AB">
        <w:trPr>
          <w:trHeight w:val="417"/>
        </w:trPr>
        <w:tc>
          <w:tcPr>
            <w:tcW w:w="562" w:type="dxa"/>
            <w:vAlign w:val="center"/>
          </w:tcPr>
          <w:p w14:paraId="45413003"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T</w:t>
            </w:r>
            <w:r w:rsidRPr="00C717FF">
              <w:rPr>
                <w:rFonts w:ascii="Arial" w:hAnsi="Arial" w:cs="Arial"/>
                <w:sz w:val="20"/>
                <w:szCs w:val="20"/>
                <w:vertAlign w:val="subscript"/>
              </w:rPr>
              <w:t>1</w:t>
            </w:r>
          </w:p>
        </w:tc>
        <w:tc>
          <w:tcPr>
            <w:tcW w:w="2552" w:type="dxa"/>
            <w:vAlign w:val="center"/>
          </w:tcPr>
          <w:p w14:paraId="70DBB941" w14:textId="77777777" w:rsidR="00BC55AB" w:rsidRPr="00C717FF" w:rsidRDefault="00593A2E" w:rsidP="00BC55AB">
            <w:pPr>
              <w:spacing w:line="278" w:lineRule="auto"/>
              <w:jc w:val="center"/>
              <w:rPr>
                <w:rFonts w:ascii="Arial" w:hAnsi="Arial" w:cs="Arial"/>
                <w:sz w:val="20"/>
                <w:szCs w:val="20"/>
              </w:rPr>
            </w:pPr>
            <w:hyperlink r:id="rId9" w:history="1">
              <w:r w:rsidR="00BC55AB" w:rsidRPr="00C717FF">
                <w:rPr>
                  <w:rStyle w:val="Hyperlink"/>
                  <w:rFonts w:ascii="Arial" w:hAnsi="Arial" w:cs="Arial"/>
                  <w:color w:val="auto"/>
                  <w:sz w:val="20"/>
                  <w:szCs w:val="20"/>
                  <w:u w:val="none"/>
                </w:rPr>
                <w:t>Cyflufenamid</w:t>
              </w:r>
              <w:r w:rsidR="00BC55AB" w:rsidRPr="002D4225">
                <w:rPr>
                  <w:rStyle w:val="Hyperlink"/>
                  <w:rFonts w:ascii="Arial" w:hAnsi="Arial" w:cs="Arial"/>
                  <w:color w:val="auto"/>
                  <w:sz w:val="20"/>
                  <w:szCs w:val="20"/>
                  <w:u w:val="none"/>
                </w:rPr>
                <w:t xml:space="preserve"> </w:t>
              </w:r>
              <w:r w:rsidR="00BC55AB" w:rsidRPr="00C717FF">
                <w:rPr>
                  <w:rStyle w:val="Hyperlink"/>
                  <w:rFonts w:ascii="Arial" w:hAnsi="Arial" w:cs="Arial"/>
                  <w:color w:val="auto"/>
                  <w:sz w:val="20"/>
                  <w:szCs w:val="20"/>
                  <w:u w:val="none"/>
                </w:rPr>
                <w:t>@1</w:t>
              </w:r>
              <w:r w:rsidR="00BC55AB" w:rsidRPr="002D4225">
                <w:rPr>
                  <w:rStyle w:val="Hyperlink"/>
                  <w:rFonts w:ascii="Arial" w:hAnsi="Arial" w:cs="Arial"/>
                  <w:color w:val="auto"/>
                  <w:sz w:val="20"/>
                  <w:szCs w:val="20"/>
                  <w:u w:val="none"/>
                </w:rPr>
                <w:t>.0</w:t>
              </w:r>
            </w:hyperlink>
            <w:r w:rsidR="00BC55AB" w:rsidRPr="002D4225">
              <w:rPr>
                <w:rFonts w:ascii="Arial" w:hAnsi="Arial" w:cs="Arial"/>
                <w:sz w:val="20"/>
                <w:szCs w:val="20"/>
              </w:rPr>
              <w:t xml:space="preserve"> </w:t>
            </w:r>
            <w:r w:rsidR="00BC55AB" w:rsidRPr="00C717FF">
              <w:rPr>
                <w:rFonts w:ascii="Arial" w:hAnsi="Arial" w:cs="Arial"/>
                <w:sz w:val="20"/>
                <w:szCs w:val="20"/>
              </w:rPr>
              <w:t>ml l</w:t>
            </w:r>
            <w:r w:rsidR="00BC55AB" w:rsidRPr="00C717FF">
              <w:rPr>
                <w:rFonts w:ascii="Arial" w:hAnsi="Arial" w:cs="Arial"/>
                <w:sz w:val="20"/>
                <w:szCs w:val="20"/>
                <w:vertAlign w:val="superscript"/>
              </w:rPr>
              <w:t>-1</w:t>
            </w:r>
          </w:p>
        </w:tc>
        <w:tc>
          <w:tcPr>
            <w:tcW w:w="992" w:type="dxa"/>
            <w:vAlign w:val="center"/>
          </w:tcPr>
          <w:p w14:paraId="385EEE78" w14:textId="77777777" w:rsidR="00BC55AB" w:rsidRPr="00C717FF" w:rsidRDefault="00BC55AB" w:rsidP="00BC55AB">
            <w:pPr>
              <w:jc w:val="center"/>
              <w:rPr>
                <w:rFonts w:ascii="Arial" w:hAnsi="Arial" w:cs="Arial"/>
                <w:sz w:val="20"/>
                <w:szCs w:val="20"/>
              </w:rPr>
            </w:pPr>
            <w:r w:rsidRPr="00C717FF">
              <w:rPr>
                <w:rFonts w:ascii="Arial" w:hAnsi="Arial" w:cs="Arial"/>
                <w:sz w:val="20"/>
                <w:szCs w:val="20"/>
              </w:rPr>
              <w:t>8.50</w:t>
            </w:r>
          </w:p>
          <w:p w14:paraId="2CEF552D" w14:textId="77777777" w:rsidR="00BC55AB" w:rsidRPr="00C717FF" w:rsidRDefault="00BC55AB" w:rsidP="00BC55AB">
            <w:pPr>
              <w:jc w:val="center"/>
              <w:rPr>
                <w:rFonts w:ascii="Arial" w:hAnsi="Arial" w:cs="Arial"/>
                <w:sz w:val="20"/>
                <w:szCs w:val="20"/>
                <w:vertAlign w:val="superscript"/>
              </w:rPr>
            </w:pPr>
            <w:r w:rsidRPr="00C717FF">
              <w:rPr>
                <w:rFonts w:ascii="Arial" w:hAnsi="Arial" w:cs="Arial"/>
                <w:sz w:val="20"/>
                <w:szCs w:val="20"/>
              </w:rPr>
              <w:t>(2.90)</w:t>
            </w:r>
            <w:r w:rsidRPr="00C717FF">
              <w:rPr>
                <w:rFonts w:ascii="Arial" w:hAnsi="Arial" w:cs="Arial"/>
                <w:sz w:val="20"/>
                <w:szCs w:val="20"/>
                <w:vertAlign w:val="superscript"/>
              </w:rPr>
              <w:t>e</w:t>
            </w:r>
          </w:p>
        </w:tc>
        <w:tc>
          <w:tcPr>
            <w:tcW w:w="1134" w:type="dxa"/>
            <w:vAlign w:val="center"/>
          </w:tcPr>
          <w:p w14:paraId="74A3622E"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11.25</w:t>
            </w:r>
          </w:p>
          <w:p w14:paraId="3AFA7FD0"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(19.54)</w:t>
            </w:r>
            <w:r w:rsidRPr="00C717FF">
              <w:rPr>
                <w:rFonts w:ascii="Arial" w:hAnsi="Arial" w:cs="Arial"/>
                <w:sz w:val="20"/>
                <w:szCs w:val="20"/>
                <w:vertAlign w:val="superscript"/>
              </w:rPr>
              <w:t>e</w:t>
            </w:r>
          </w:p>
        </w:tc>
        <w:tc>
          <w:tcPr>
            <w:tcW w:w="992" w:type="dxa"/>
            <w:vAlign w:val="center"/>
          </w:tcPr>
          <w:p w14:paraId="37062734"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25.00</w:t>
            </w:r>
          </w:p>
          <w:p w14:paraId="021ACB2A"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(29.97)</w:t>
            </w:r>
            <w:r w:rsidRPr="00C717FF">
              <w:rPr>
                <w:rFonts w:ascii="Arial" w:hAnsi="Arial" w:cs="Arial"/>
                <w:sz w:val="20"/>
                <w:szCs w:val="20"/>
                <w:vertAlign w:val="superscript"/>
              </w:rPr>
              <w:t>e</w:t>
            </w:r>
          </w:p>
        </w:tc>
        <w:tc>
          <w:tcPr>
            <w:tcW w:w="1134" w:type="dxa"/>
            <w:vAlign w:val="center"/>
          </w:tcPr>
          <w:p w14:paraId="58F0B27E"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70.81</w:t>
            </w:r>
          </w:p>
        </w:tc>
        <w:tc>
          <w:tcPr>
            <w:tcW w:w="993" w:type="dxa"/>
            <w:vAlign w:val="center"/>
          </w:tcPr>
          <w:p w14:paraId="24FC7A5F"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10.03</w:t>
            </w:r>
            <w:r w:rsidRPr="00C717FF">
              <w:rPr>
                <w:rFonts w:ascii="Arial" w:hAnsi="Arial" w:cs="Arial"/>
                <w:sz w:val="20"/>
                <w:szCs w:val="20"/>
                <w:vertAlign w:val="superscript"/>
              </w:rPr>
              <w:t>a</w:t>
            </w:r>
          </w:p>
        </w:tc>
        <w:tc>
          <w:tcPr>
            <w:tcW w:w="1134" w:type="dxa"/>
            <w:vAlign w:val="center"/>
          </w:tcPr>
          <w:p w14:paraId="04EF5CE4"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94.41</w:t>
            </w:r>
          </w:p>
        </w:tc>
        <w:tc>
          <w:tcPr>
            <w:tcW w:w="992" w:type="dxa"/>
            <w:vAlign w:val="center"/>
          </w:tcPr>
          <w:p w14:paraId="6DCB4A27"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2.36</w:t>
            </w:r>
          </w:p>
        </w:tc>
      </w:tr>
      <w:tr w:rsidR="00BC55AB" w:rsidRPr="00C717FF" w14:paraId="36B8B633" w14:textId="77777777" w:rsidTr="00BC55AB">
        <w:trPr>
          <w:trHeight w:val="442"/>
        </w:trPr>
        <w:tc>
          <w:tcPr>
            <w:tcW w:w="562" w:type="dxa"/>
            <w:vAlign w:val="center"/>
          </w:tcPr>
          <w:p w14:paraId="39F2A656"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T</w:t>
            </w:r>
            <w:r w:rsidRPr="00C717FF">
              <w:rPr>
                <w:rFonts w:ascii="Arial" w:hAnsi="Arial" w:cs="Arial"/>
                <w:sz w:val="20"/>
                <w:szCs w:val="20"/>
                <w:vertAlign w:val="subscript"/>
              </w:rPr>
              <w:t>2</w:t>
            </w:r>
          </w:p>
        </w:tc>
        <w:tc>
          <w:tcPr>
            <w:tcW w:w="2552" w:type="dxa"/>
            <w:vAlign w:val="center"/>
          </w:tcPr>
          <w:p w14:paraId="2CE3FEB8" w14:textId="77777777" w:rsidR="00BC55AB" w:rsidRPr="00C717FF" w:rsidRDefault="00BC55AB" w:rsidP="00BC55AB">
            <w:pPr>
              <w:spacing w:line="278" w:lineRule="auto"/>
              <w:jc w:val="center"/>
              <w:rPr>
                <w:rFonts w:ascii="Arial" w:hAnsi="Arial" w:cs="Arial"/>
                <w:sz w:val="20"/>
                <w:szCs w:val="20"/>
              </w:rPr>
            </w:pPr>
            <w:proofErr w:type="spellStart"/>
            <w:r w:rsidRPr="00C717FF">
              <w:rPr>
                <w:rFonts w:ascii="Arial" w:hAnsi="Arial" w:cs="Arial"/>
                <w:sz w:val="20"/>
                <w:szCs w:val="20"/>
              </w:rPr>
              <w:t>Fluopyram</w:t>
            </w:r>
            <w:proofErr w:type="spellEnd"/>
            <w:r w:rsidRPr="00C717FF">
              <w:rPr>
                <w:rFonts w:ascii="Arial" w:hAnsi="Arial" w:cs="Arial"/>
                <w:sz w:val="20"/>
                <w:szCs w:val="20"/>
              </w:rPr>
              <w:t xml:space="preserve"> 17.7% + </w:t>
            </w:r>
            <w:proofErr w:type="spellStart"/>
            <w:r w:rsidRPr="00C717FF">
              <w:rPr>
                <w:rFonts w:ascii="Arial" w:hAnsi="Arial" w:cs="Arial"/>
                <w:sz w:val="20"/>
                <w:szCs w:val="20"/>
              </w:rPr>
              <w:t>Tebuconazole</w:t>
            </w:r>
            <w:proofErr w:type="spellEnd"/>
            <w:r w:rsidRPr="00C717FF">
              <w:rPr>
                <w:rFonts w:ascii="Arial" w:hAnsi="Arial" w:cs="Arial"/>
                <w:sz w:val="20"/>
                <w:szCs w:val="20"/>
              </w:rPr>
              <w:t xml:space="preserve"> 17.7% w/w SC @1ml l</w:t>
            </w:r>
            <w:r w:rsidRPr="00C717FF">
              <w:rPr>
                <w:rFonts w:ascii="Arial" w:hAnsi="Arial" w:cs="Arial"/>
                <w:sz w:val="20"/>
                <w:szCs w:val="20"/>
                <w:vertAlign w:val="superscript"/>
              </w:rPr>
              <w:t>-1</w:t>
            </w:r>
          </w:p>
        </w:tc>
        <w:tc>
          <w:tcPr>
            <w:tcW w:w="992" w:type="dxa"/>
            <w:vAlign w:val="center"/>
          </w:tcPr>
          <w:p w14:paraId="41AFABA4"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18.00</w:t>
            </w:r>
          </w:p>
          <w:p w14:paraId="0B588168"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(4.23)</w:t>
            </w:r>
            <w:r w:rsidRPr="00C717FF">
              <w:rPr>
                <w:rFonts w:ascii="Arial" w:hAnsi="Arial" w:cs="Arial"/>
                <w:sz w:val="20"/>
                <w:szCs w:val="20"/>
                <w:vertAlign w:val="superscript"/>
              </w:rPr>
              <w:t>c</w:t>
            </w:r>
          </w:p>
        </w:tc>
        <w:tc>
          <w:tcPr>
            <w:tcW w:w="1134" w:type="dxa"/>
            <w:vAlign w:val="center"/>
          </w:tcPr>
          <w:p w14:paraId="5D69298D"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27.50</w:t>
            </w:r>
          </w:p>
          <w:p w14:paraId="266BFDF6"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(31.59)</w:t>
            </w:r>
            <w:r w:rsidRPr="00C717FF">
              <w:rPr>
                <w:rFonts w:ascii="Arial" w:hAnsi="Arial" w:cs="Arial"/>
                <w:sz w:val="20"/>
                <w:szCs w:val="20"/>
                <w:vertAlign w:val="superscript"/>
              </w:rPr>
              <w:t>c</w:t>
            </w:r>
          </w:p>
        </w:tc>
        <w:tc>
          <w:tcPr>
            <w:tcW w:w="992" w:type="dxa"/>
            <w:vAlign w:val="center"/>
          </w:tcPr>
          <w:p w14:paraId="17FA83E3"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46.50</w:t>
            </w:r>
          </w:p>
          <w:p w14:paraId="00A253D1"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(42.99)</w:t>
            </w:r>
            <w:r w:rsidRPr="00C717FF">
              <w:rPr>
                <w:rFonts w:ascii="Arial" w:hAnsi="Arial" w:cs="Arial"/>
                <w:sz w:val="20"/>
                <w:szCs w:val="20"/>
                <w:vertAlign w:val="superscript"/>
              </w:rPr>
              <w:t>c</w:t>
            </w:r>
          </w:p>
        </w:tc>
        <w:tc>
          <w:tcPr>
            <w:tcW w:w="1134" w:type="dxa"/>
            <w:vAlign w:val="center"/>
          </w:tcPr>
          <w:p w14:paraId="6E761CD0"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47.56</w:t>
            </w:r>
          </w:p>
        </w:tc>
        <w:tc>
          <w:tcPr>
            <w:tcW w:w="993" w:type="dxa"/>
            <w:vAlign w:val="center"/>
          </w:tcPr>
          <w:p w14:paraId="443C57FE"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7.56</w:t>
            </w:r>
            <w:r w:rsidRPr="00C717FF">
              <w:rPr>
                <w:rFonts w:ascii="Arial" w:hAnsi="Arial" w:cs="Arial"/>
                <w:sz w:val="20"/>
                <w:szCs w:val="20"/>
                <w:vertAlign w:val="superscript"/>
              </w:rPr>
              <w:t>c</w:t>
            </w:r>
          </w:p>
        </w:tc>
        <w:tc>
          <w:tcPr>
            <w:tcW w:w="1134" w:type="dxa"/>
            <w:vAlign w:val="center"/>
          </w:tcPr>
          <w:p w14:paraId="5A087706"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46.47</w:t>
            </w:r>
          </w:p>
        </w:tc>
        <w:tc>
          <w:tcPr>
            <w:tcW w:w="992" w:type="dxa"/>
            <w:vAlign w:val="center"/>
          </w:tcPr>
          <w:p w14:paraId="11CB1386"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1.64</w:t>
            </w:r>
          </w:p>
        </w:tc>
      </w:tr>
      <w:tr w:rsidR="00BC55AB" w:rsidRPr="00C717FF" w14:paraId="3F810F42" w14:textId="77777777" w:rsidTr="00BC55AB">
        <w:trPr>
          <w:trHeight w:val="442"/>
        </w:trPr>
        <w:tc>
          <w:tcPr>
            <w:tcW w:w="562" w:type="dxa"/>
            <w:vAlign w:val="center"/>
          </w:tcPr>
          <w:p w14:paraId="6732970B"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T</w:t>
            </w:r>
            <w:r w:rsidRPr="00C717FF">
              <w:rPr>
                <w:rFonts w:ascii="Arial" w:hAnsi="Arial" w:cs="Arial"/>
                <w:sz w:val="20"/>
                <w:szCs w:val="20"/>
                <w:vertAlign w:val="subscript"/>
              </w:rPr>
              <w:t>3</w:t>
            </w:r>
          </w:p>
        </w:tc>
        <w:tc>
          <w:tcPr>
            <w:tcW w:w="2552" w:type="dxa"/>
            <w:vAlign w:val="center"/>
          </w:tcPr>
          <w:p w14:paraId="1AD97D01" w14:textId="77777777" w:rsidR="00BC55AB" w:rsidRPr="00C717FF" w:rsidRDefault="00BC55AB" w:rsidP="00BC55AB">
            <w:pPr>
              <w:spacing w:line="278" w:lineRule="auto"/>
              <w:jc w:val="center"/>
              <w:rPr>
                <w:rFonts w:ascii="Arial" w:hAnsi="Arial" w:cs="Arial"/>
                <w:sz w:val="20"/>
                <w:szCs w:val="20"/>
              </w:rPr>
            </w:pPr>
            <w:proofErr w:type="spellStart"/>
            <w:r w:rsidRPr="00C717FF">
              <w:rPr>
                <w:rFonts w:ascii="Arial" w:hAnsi="Arial" w:cs="Arial"/>
                <w:i/>
                <w:iCs/>
                <w:sz w:val="20"/>
                <w:szCs w:val="20"/>
              </w:rPr>
              <w:t>Ampelomyces</w:t>
            </w:r>
            <w:proofErr w:type="spellEnd"/>
            <w:r w:rsidRPr="00C717FF">
              <w:rPr>
                <w:rFonts w:ascii="Arial" w:hAnsi="Arial" w:cs="Arial"/>
                <w:i/>
                <w:iCs/>
                <w:sz w:val="20"/>
                <w:szCs w:val="20"/>
              </w:rPr>
              <w:t xml:space="preserve"> </w:t>
            </w:r>
            <w:proofErr w:type="spellStart"/>
            <w:r w:rsidRPr="00C717FF">
              <w:rPr>
                <w:rFonts w:ascii="Arial" w:hAnsi="Arial" w:cs="Arial"/>
                <w:i/>
                <w:iCs/>
                <w:sz w:val="20"/>
                <w:szCs w:val="20"/>
              </w:rPr>
              <w:t>quisqualis</w:t>
            </w:r>
            <w:proofErr w:type="spellEnd"/>
            <w:r w:rsidRPr="00C717FF">
              <w:rPr>
                <w:rFonts w:ascii="Arial" w:hAnsi="Arial" w:cs="Arial"/>
                <w:sz w:val="20"/>
                <w:szCs w:val="20"/>
              </w:rPr>
              <w:t xml:space="preserve"> @ 5</w:t>
            </w:r>
            <w:r>
              <w:rPr>
                <w:rFonts w:ascii="Arial" w:hAnsi="Arial" w:cs="Arial"/>
                <w:sz w:val="20"/>
                <w:szCs w:val="20"/>
              </w:rPr>
              <w:t xml:space="preserve">.0 </w:t>
            </w:r>
            <w:r w:rsidRPr="00C717FF">
              <w:rPr>
                <w:rFonts w:ascii="Arial" w:hAnsi="Arial" w:cs="Arial"/>
                <w:sz w:val="20"/>
                <w:szCs w:val="20"/>
              </w:rPr>
              <w:t>ml l</w:t>
            </w:r>
            <w:r w:rsidRPr="00C717FF">
              <w:rPr>
                <w:rFonts w:ascii="Arial" w:hAnsi="Arial" w:cs="Arial"/>
                <w:sz w:val="20"/>
                <w:szCs w:val="20"/>
                <w:vertAlign w:val="superscript"/>
              </w:rPr>
              <w:t>-1</w:t>
            </w:r>
          </w:p>
        </w:tc>
        <w:tc>
          <w:tcPr>
            <w:tcW w:w="992" w:type="dxa"/>
            <w:vAlign w:val="center"/>
          </w:tcPr>
          <w:p w14:paraId="249D5A72"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20.00</w:t>
            </w:r>
          </w:p>
          <w:p w14:paraId="43A37B0A"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(4.47)</w:t>
            </w:r>
            <w:r w:rsidRPr="00C717FF">
              <w:rPr>
                <w:rFonts w:ascii="Arial" w:hAnsi="Arial" w:cs="Arial"/>
                <w:sz w:val="20"/>
                <w:szCs w:val="20"/>
                <w:vertAlign w:val="superscript"/>
              </w:rPr>
              <w:t>c</w:t>
            </w:r>
          </w:p>
        </w:tc>
        <w:tc>
          <w:tcPr>
            <w:tcW w:w="1134" w:type="dxa"/>
            <w:vAlign w:val="center"/>
          </w:tcPr>
          <w:p w14:paraId="71B40E3D"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40.25</w:t>
            </w:r>
          </w:p>
          <w:p w14:paraId="239331AC"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(39.38)</w:t>
            </w:r>
            <w:r w:rsidRPr="00C717FF">
              <w:rPr>
                <w:rFonts w:ascii="Arial" w:hAnsi="Arial" w:cs="Arial"/>
                <w:sz w:val="20"/>
                <w:szCs w:val="20"/>
                <w:vertAlign w:val="superscript"/>
              </w:rPr>
              <w:t>b</w:t>
            </w:r>
          </w:p>
        </w:tc>
        <w:tc>
          <w:tcPr>
            <w:tcW w:w="992" w:type="dxa"/>
            <w:vAlign w:val="center"/>
          </w:tcPr>
          <w:p w14:paraId="60E56288"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61.00</w:t>
            </w:r>
          </w:p>
          <w:p w14:paraId="5B01ED72"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(51.33)</w:t>
            </w:r>
            <w:r w:rsidRPr="00C717FF">
              <w:rPr>
                <w:rFonts w:ascii="Arial" w:hAnsi="Arial" w:cs="Arial"/>
                <w:sz w:val="20"/>
                <w:szCs w:val="20"/>
                <w:vertAlign w:val="superscript"/>
              </w:rPr>
              <w:t>b</w:t>
            </w:r>
          </w:p>
        </w:tc>
        <w:tc>
          <w:tcPr>
            <w:tcW w:w="1134" w:type="dxa"/>
            <w:vAlign w:val="center"/>
          </w:tcPr>
          <w:p w14:paraId="73FF19C9"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31.89</w:t>
            </w:r>
          </w:p>
        </w:tc>
        <w:tc>
          <w:tcPr>
            <w:tcW w:w="993" w:type="dxa"/>
            <w:vAlign w:val="center"/>
          </w:tcPr>
          <w:p w14:paraId="1C8D1906"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6.28</w:t>
            </w:r>
            <w:r w:rsidRPr="00C717FF">
              <w:rPr>
                <w:rFonts w:ascii="Arial" w:hAnsi="Arial" w:cs="Arial"/>
                <w:sz w:val="20"/>
                <w:szCs w:val="20"/>
                <w:vertAlign w:val="superscript"/>
              </w:rPr>
              <w:t>d</w:t>
            </w:r>
          </w:p>
        </w:tc>
        <w:tc>
          <w:tcPr>
            <w:tcW w:w="1134" w:type="dxa"/>
            <w:vAlign w:val="center"/>
          </w:tcPr>
          <w:p w14:paraId="6C05CF52"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20.94</w:t>
            </w:r>
          </w:p>
        </w:tc>
        <w:tc>
          <w:tcPr>
            <w:tcW w:w="992" w:type="dxa"/>
            <w:vAlign w:val="center"/>
          </w:tcPr>
          <w:p w14:paraId="35EF7C51"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1.29</w:t>
            </w:r>
          </w:p>
        </w:tc>
      </w:tr>
      <w:tr w:rsidR="00BC55AB" w:rsidRPr="00C717FF" w14:paraId="25A7467F" w14:textId="77777777" w:rsidTr="00BC55AB">
        <w:trPr>
          <w:trHeight w:val="408"/>
        </w:trPr>
        <w:tc>
          <w:tcPr>
            <w:tcW w:w="562" w:type="dxa"/>
            <w:vAlign w:val="center"/>
          </w:tcPr>
          <w:p w14:paraId="55333D07"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T</w:t>
            </w:r>
            <w:r w:rsidRPr="00C717FF">
              <w:rPr>
                <w:rFonts w:ascii="Arial" w:hAnsi="Arial" w:cs="Arial"/>
                <w:sz w:val="20"/>
                <w:szCs w:val="20"/>
                <w:vertAlign w:val="subscript"/>
              </w:rPr>
              <w:t>4</w:t>
            </w:r>
          </w:p>
        </w:tc>
        <w:tc>
          <w:tcPr>
            <w:tcW w:w="2552" w:type="dxa"/>
            <w:vAlign w:val="center"/>
          </w:tcPr>
          <w:p w14:paraId="29B91E85"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i/>
                <w:iCs/>
                <w:sz w:val="20"/>
                <w:szCs w:val="20"/>
              </w:rPr>
              <w:t>Bacillus subtilis</w:t>
            </w:r>
            <w:r w:rsidRPr="00C717FF">
              <w:rPr>
                <w:rFonts w:ascii="Arial" w:hAnsi="Arial" w:cs="Arial"/>
                <w:sz w:val="20"/>
                <w:szCs w:val="20"/>
              </w:rPr>
              <w:t xml:space="preserve"> @5</w:t>
            </w:r>
            <w:r>
              <w:rPr>
                <w:rFonts w:ascii="Arial" w:hAnsi="Arial" w:cs="Arial"/>
                <w:sz w:val="20"/>
                <w:szCs w:val="20"/>
              </w:rPr>
              <w:t>.0</w:t>
            </w:r>
            <w:r w:rsidRPr="00C717FF">
              <w:rPr>
                <w:rFonts w:ascii="Arial" w:hAnsi="Arial" w:cs="Arial"/>
                <w:sz w:val="20"/>
                <w:szCs w:val="20"/>
              </w:rPr>
              <w:t>ml l</w:t>
            </w:r>
            <w:r w:rsidRPr="00C717FF">
              <w:rPr>
                <w:rFonts w:ascii="Arial" w:hAnsi="Arial" w:cs="Arial"/>
                <w:sz w:val="20"/>
                <w:szCs w:val="20"/>
                <w:vertAlign w:val="superscript"/>
              </w:rPr>
              <w:t>-1</w:t>
            </w:r>
          </w:p>
        </w:tc>
        <w:tc>
          <w:tcPr>
            <w:tcW w:w="992" w:type="dxa"/>
            <w:vAlign w:val="center"/>
          </w:tcPr>
          <w:p w14:paraId="3DD49A26"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24.75</w:t>
            </w:r>
          </w:p>
          <w:p w14:paraId="202A88BC"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(4.99)</w:t>
            </w:r>
            <w:r w:rsidRPr="00C717FF">
              <w:rPr>
                <w:rFonts w:ascii="Arial" w:hAnsi="Arial" w:cs="Arial"/>
                <w:sz w:val="20"/>
                <w:szCs w:val="20"/>
                <w:vertAlign w:val="superscript"/>
              </w:rPr>
              <w:t>b</w:t>
            </w:r>
          </w:p>
        </w:tc>
        <w:tc>
          <w:tcPr>
            <w:tcW w:w="1134" w:type="dxa"/>
            <w:vAlign w:val="center"/>
          </w:tcPr>
          <w:p w14:paraId="1ACC617A"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44.50</w:t>
            </w:r>
          </w:p>
          <w:p w14:paraId="2DC43C3F"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(41.84)</w:t>
            </w:r>
            <w:r w:rsidRPr="00C717FF">
              <w:rPr>
                <w:rFonts w:ascii="Arial" w:hAnsi="Arial" w:cs="Arial"/>
                <w:sz w:val="20"/>
                <w:szCs w:val="20"/>
                <w:vertAlign w:val="superscript"/>
              </w:rPr>
              <w:t>b</w:t>
            </w:r>
          </w:p>
        </w:tc>
        <w:tc>
          <w:tcPr>
            <w:tcW w:w="992" w:type="dxa"/>
            <w:vAlign w:val="center"/>
          </w:tcPr>
          <w:p w14:paraId="5C47F5D5"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61.00</w:t>
            </w:r>
          </w:p>
          <w:p w14:paraId="4FAEC804"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(51.41)</w:t>
            </w:r>
            <w:r w:rsidRPr="00C717FF">
              <w:rPr>
                <w:rFonts w:ascii="Arial" w:hAnsi="Arial" w:cs="Arial"/>
                <w:sz w:val="20"/>
                <w:szCs w:val="20"/>
                <w:vertAlign w:val="superscript"/>
              </w:rPr>
              <w:t>d</w:t>
            </w:r>
          </w:p>
        </w:tc>
        <w:tc>
          <w:tcPr>
            <w:tcW w:w="1134" w:type="dxa"/>
            <w:vAlign w:val="center"/>
          </w:tcPr>
          <w:p w14:paraId="7F3C20E9"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31.89</w:t>
            </w:r>
          </w:p>
        </w:tc>
        <w:tc>
          <w:tcPr>
            <w:tcW w:w="993" w:type="dxa"/>
            <w:vAlign w:val="center"/>
          </w:tcPr>
          <w:p w14:paraId="40C77438"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6.08</w:t>
            </w:r>
            <w:r w:rsidRPr="00C717FF">
              <w:rPr>
                <w:rFonts w:ascii="Arial" w:hAnsi="Arial" w:cs="Arial"/>
                <w:sz w:val="20"/>
                <w:szCs w:val="20"/>
                <w:vertAlign w:val="superscript"/>
              </w:rPr>
              <w:t>d</w:t>
            </w:r>
          </w:p>
        </w:tc>
        <w:tc>
          <w:tcPr>
            <w:tcW w:w="1134" w:type="dxa"/>
            <w:vAlign w:val="center"/>
          </w:tcPr>
          <w:p w14:paraId="3EC25FA3"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17.19</w:t>
            </w:r>
          </w:p>
        </w:tc>
        <w:tc>
          <w:tcPr>
            <w:tcW w:w="992" w:type="dxa"/>
            <w:vAlign w:val="center"/>
          </w:tcPr>
          <w:p w14:paraId="41DBBB25"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1.22</w:t>
            </w:r>
          </w:p>
        </w:tc>
      </w:tr>
      <w:tr w:rsidR="00BC55AB" w:rsidRPr="00C717FF" w14:paraId="5ABEFB16" w14:textId="77777777" w:rsidTr="00BC55AB">
        <w:trPr>
          <w:trHeight w:val="408"/>
        </w:trPr>
        <w:tc>
          <w:tcPr>
            <w:tcW w:w="562" w:type="dxa"/>
            <w:vAlign w:val="center"/>
          </w:tcPr>
          <w:p w14:paraId="1D4837A0"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T</w:t>
            </w:r>
            <w:r w:rsidRPr="00C717FF">
              <w:rPr>
                <w:rFonts w:ascii="Arial" w:hAnsi="Arial" w:cs="Arial"/>
                <w:sz w:val="20"/>
                <w:szCs w:val="20"/>
                <w:vertAlign w:val="subscript"/>
              </w:rPr>
              <w:t>5</w:t>
            </w:r>
          </w:p>
        </w:tc>
        <w:tc>
          <w:tcPr>
            <w:tcW w:w="2552" w:type="dxa"/>
            <w:vAlign w:val="center"/>
          </w:tcPr>
          <w:p w14:paraId="768AC585"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Hexaconazole @2</w:t>
            </w:r>
            <w:r>
              <w:rPr>
                <w:rFonts w:ascii="Arial" w:hAnsi="Arial" w:cs="Arial"/>
                <w:sz w:val="20"/>
                <w:szCs w:val="20"/>
              </w:rPr>
              <w:t xml:space="preserve">.0 </w:t>
            </w:r>
            <w:r w:rsidRPr="00C717FF">
              <w:rPr>
                <w:rFonts w:ascii="Arial" w:hAnsi="Arial" w:cs="Arial"/>
                <w:sz w:val="20"/>
                <w:szCs w:val="20"/>
              </w:rPr>
              <w:t>ml l</w:t>
            </w:r>
            <w:r w:rsidRPr="00C717FF">
              <w:rPr>
                <w:rFonts w:ascii="Arial" w:hAnsi="Arial" w:cs="Arial"/>
                <w:sz w:val="20"/>
                <w:szCs w:val="20"/>
                <w:vertAlign w:val="superscript"/>
              </w:rPr>
              <w:t>-1</w:t>
            </w:r>
          </w:p>
        </w:tc>
        <w:tc>
          <w:tcPr>
            <w:tcW w:w="992" w:type="dxa"/>
            <w:vAlign w:val="center"/>
          </w:tcPr>
          <w:p w14:paraId="44C87BB3"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11.00</w:t>
            </w:r>
          </w:p>
          <w:p w14:paraId="5A3E4995"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(3.31)</w:t>
            </w:r>
            <w:r w:rsidRPr="00C717FF">
              <w:rPr>
                <w:rFonts w:ascii="Arial" w:hAnsi="Arial" w:cs="Arial"/>
                <w:sz w:val="20"/>
                <w:szCs w:val="20"/>
                <w:vertAlign w:val="superscript"/>
              </w:rPr>
              <w:t>d</w:t>
            </w:r>
          </w:p>
        </w:tc>
        <w:tc>
          <w:tcPr>
            <w:tcW w:w="1134" w:type="dxa"/>
            <w:vAlign w:val="center"/>
          </w:tcPr>
          <w:p w14:paraId="2299C4E1"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18.75</w:t>
            </w:r>
          </w:p>
          <w:p w14:paraId="0022A6DC"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(25.59)</w:t>
            </w:r>
            <w:r w:rsidRPr="00C717FF">
              <w:rPr>
                <w:rFonts w:ascii="Arial" w:hAnsi="Arial" w:cs="Arial"/>
                <w:sz w:val="20"/>
                <w:szCs w:val="20"/>
                <w:vertAlign w:val="superscript"/>
              </w:rPr>
              <w:t>d</w:t>
            </w:r>
          </w:p>
        </w:tc>
        <w:tc>
          <w:tcPr>
            <w:tcW w:w="992" w:type="dxa"/>
            <w:vAlign w:val="center"/>
          </w:tcPr>
          <w:p w14:paraId="4C680576"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31.25</w:t>
            </w:r>
          </w:p>
          <w:p w14:paraId="4DA65AE8"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(33.92)</w:t>
            </w:r>
            <w:r w:rsidRPr="00C717FF">
              <w:rPr>
                <w:rFonts w:ascii="Arial" w:hAnsi="Arial" w:cs="Arial"/>
                <w:sz w:val="20"/>
                <w:szCs w:val="20"/>
                <w:vertAlign w:val="superscript"/>
              </w:rPr>
              <w:t>d</w:t>
            </w:r>
          </w:p>
        </w:tc>
        <w:tc>
          <w:tcPr>
            <w:tcW w:w="1134" w:type="dxa"/>
            <w:vAlign w:val="center"/>
          </w:tcPr>
          <w:p w14:paraId="01FA52BF"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64.05</w:t>
            </w:r>
          </w:p>
        </w:tc>
        <w:tc>
          <w:tcPr>
            <w:tcW w:w="993" w:type="dxa"/>
            <w:vAlign w:val="center"/>
          </w:tcPr>
          <w:p w14:paraId="7B452267"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9.01</w:t>
            </w:r>
            <w:r w:rsidRPr="00C717FF">
              <w:rPr>
                <w:rFonts w:ascii="Arial" w:hAnsi="Arial" w:cs="Arial"/>
                <w:sz w:val="20"/>
                <w:szCs w:val="20"/>
                <w:vertAlign w:val="superscript"/>
              </w:rPr>
              <w:t>b</w:t>
            </w:r>
          </w:p>
        </w:tc>
        <w:tc>
          <w:tcPr>
            <w:tcW w:w="1134" w:type="dxa"/>
            <w:vAlign w:val="center"/>
          </w:tcPr>
          <w:p w14:paraId="2645D264"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73.84</w:t>
            </w:r>
          </w:p>
        </w:tc>
        <w:tc>
          <w:tcPr>
            <w:tcW w:w="992" w:type="dxa"/>
            <w:vAlign w:val="center"/>
          </w:tcPr>
          <w:p w14:paraId="5FA51261"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2.11</w:t>
            </w:r>
          </w:p>
        </w:tc>
      </w:tr>
      <w:tr w:rsidR="00BC55AB" w:rsidRPr="00C717FF" w14:paraId="2D9302A5" w14:textId="77777777" w:rsidTr="00BC55AB">
        <w:trPr>
          <w:trHeight w:val="417"/>
        </w:trPr>
        <w:tc>
          <w:tcPr>
            <w:tcW w:w="562" w:type="dxa"/>
            <w:vAlign w:val="center"/>
          </w:tcPr>
          <w:p w14:paraId="6BB371C0"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T</w:t>
            </w:r>
            <w:r w:rsidRPr="00C717FF">
              <w:rPr>
                <w:rFonts w:ascii="Arial" w:hAnsi="Arial" w:cs="Arial"/>
                <w:sz w:val="20"/>
                <w:szCs w:val="20"/>
                <w:vertAlign w:val="subscript"/>
              </w:rPr>
              <w:t>6</w:t>
            </w:r>
          </w:p>
        </w:tc>
        <w:tc>
          <w:tcPr>
            <w:tcW w:w="2552" w:type="dxa"/>
            <w:vAlign w:val="center"/>
          </w:tcPr>
          <w:p w14:paraId="5E1FCF21"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Untreated control</w:t>
            </w:r>
          </w:p>
        </w:tc>
        <w:tc>
          <w:tcPr>
            <w:tcW w:w="992" w:type="dxa"/>
            <w:vAlign w:val="center"/>
          </w:tcPr>
          <w:p w14:paraId="055A12E9"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31.00</w:t>
            </w:r>
          </w:p>
          <w:p w14:paraId="6B943A07"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(5.56)</w:t>
            </w:r>
            <w:r w:rsidRPr="00C717FF">
              <w:rPr>
                <w:rFonts w:ascii="Arial" w:hAnsi="Arial" w:cs="Arial"/>
                <w:sz w:val="20"/>
                <w:szCs w:val="20"/>
                <w:vertAlign w:val="superscript"/>
              </w:rPr>
              <w:t>a</w:t>
            </w:r>
          </w:p>
        </w:tc>
        <w:tc>
          <w:tcPr>
            <w:tcW w:w="1134" w:type="dxa"/>
            <w:vAlign w:val="center"/>
          </w:tcPr>
          <w:p w14:paraId="30830007"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61.00</w:t>
            </w:r>
          </w:p>
          <w:p w14:paraId="2CA4CC29"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(50.37)</w:t>
            </w:r>
            <w:r w:rsidRPr="00C717FF">
              <w:rPr>
                <w:rFonts w:ascii="Arial" w:hAnsi="Arial" w:cs="Arial"/>
                <w:sz w:val="20"/>
                <w:szCs w:val="20"/>
                <w:vertAlign w:val="superscript"/>
              </w:rPr>
              <w:t>a</w:t>
            </w:r>
          </w:p>
        </w:tc>
        <w:tc>
          <w:tcPr>
            <w:tcW w:w="992" w:type="dxa"/>
            <w:vAlign w:val="center"/>
          </w:tcPr>
          <w:p w14:paraId="4938FC8A"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91.00</w:t>
            </w:r>
          </w:p>
          <w:p w14:paraId="2A3D0417" w14:textId="77777777" w:rsidR="00BC55AB" w:rsidRPr="00C717FF" w:rsidRDefault="00BC55AB" w:rsidP="00BC55AB">
            <w:pPr>
              <w:spacing w:line="278" w:lineRule="auto"/>
              <w:jc w:val="center"/>
              <w:rPr>
                <w:rFonts w:ascii="Arial" w:hAnsi="Arial" w:cs="Arial"/>
                <w:sz w:val="20"/>
                <w:szCs w:val="20"/>
                <w:vertAlign w:val="superscript"/>
              </w:rPr>
            </w:pPr>
            <w:r w:rsidRPr="00C717FF">
              <w:rPr>
                <w:rFonts w:ascii="Arial" w:hAnsi="Arial" w:cs="Arial"/>
                <w:sz w:val="20"/>
                <w:szCs w:val="20"/>
              </w:rPr>
              <w:t>(74.16)</w:t>
            </w:r>
            <w:r w:rsidRPr="00C717FF">
              <w:rPr>
                <w:rFonts w:ascii="Arial" w:hAnsi="Arial" w:cs="Arial"/>
                <w:sz w:val="20"/>
                <w:szCs w:val="20"/>
                <w:vertAlign w:val="superscript"/>
              </w:rPr>
              <w:t>a</w:t>
            </w:r>
          </w:p>
        </w:tc>
        <w:tc>
          <w:tcPr>
            <w:tcW w:w="1134" w:type="dxa"/>
            <w:vAlign w:val="center"/>
          </w:tcPr>
          <w:p w14:paraId="01D2A48D" w14:textId="77777777" w:rsidR="00BC55AB" w:rsidRPr="00C717FF" w:rsidRDefault="00BC55AB" w:rsidP="00BC55AB">
            <w:pPr>
              <w:spacing w:line="278" w:lineRule="auto"/>
              <w:jc w:val="center"/>
              <w:rPr>
                <w:rFonts w:ascii="Arial" w:hAnsi="Arial" w:cs="Arial"/>
                <w:sz w:val="20"/>
                <w:szCs w:val="20"/>
                <w:vertAlign w:val="superscript"/>
              </w:rPr>
            </w:pPr>
          </w:p>
        </w:tc>
        <w:tc>
          <w:tcPr>
            <w:tcW w:w="993" w:type="dxa"/>
            <w:vAlign w:val="center"/>
          </w:tcPr>
          <w:p w14:paraId="08FF5F90"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5.20</w:t>
            </w:r>
            <w:r w:rsidRPr="00C717FF">
              <w:rPr>
                <w:rFonts w:ascii="Arial" w:hAnsi="Arial" w:cs="Arial"/>
                <w:sz w:val="20"/>
                <w:szCs w:val="20"/>
                <w:vertAlign w:val="superscript"/>
              </w:rPr>
              <w:t>e</w:t>
            </w:r>
          </w:p>
        </w:tc>
        <w:tc>
          <w:tcPr>
            <w:tcW w:w="1134" w:type="dxa"/>
            <w:vAlign w:val="center"/>
          </w:tcPr>
          <w:p w14:paraId="4801BC7B" w14:textId="77777777" w:rsidR="00BC55AB" w:rsidRPr="00C717FF" w:rsidRDefault="00BC55AB" w:rsidP="00BC55AB">
            <w:pPr>
              <w:spacing w:line="278" w:lineRule="auto"/>
              <w:jc w:val="center"/>
              <w:rPr>
                <w:rFonts w:ascii="Arial" w:hAnsi="Arial" w:cs="Arial"/>
                <w:sz w:val="20"/>
                <w:szCs w:val="20"/>
              </w:rPr>
            </w:pPr>
          </w:p>
        </w:tc>
        <w:tc>
          <w:tcPr>
            <w:tcW w:w="992" w:type="dxa"/>
            <w:vAlign w:val="center"/>
          </w:tcPr>
          <w:p w14:paraId="05A888C1" w14:textId="77777777" w:rsidR="00BC55AB" w:rsidRPr="00C717FF" w:rsidRDefault="00BC55AB" w:rsidP="00BC55AB">
            <w:pPr>
              <w:spacing w:line="278" w:lineRule="auto"/>
              <w:jc w:val="center"/>
              <w:rPr>
                <w:rFonts w:ascii="Arial" w:hAnsi="Arial" w:cs="Arial"/>
                <w:sz w:val="20"/>
                <w:szCs w:val="20"/>
              </w:rPr>
            </w:pPr>
            <w:r w:rsidRPr="00C717FF">
              <w:rPr>
                <w:rFonts w:ascii="Arial" w:hAnsi="Arial" w:cs="Arial"/>
                <w:sz w:val="20"/>
                <w:szCs w:val="20"/>
              </w:rPr>
              <w:t>1.03</w:t>
            </w:r>
          </w:p>
        </w:tc>
      </w:tr>
      <w:tr w:rsidR="00BC55AB" w:rsidRPr="00C717FF" w14:paraId="40A0774A" w14:textId="77777777" w:rsidTr="00BC55AB">
        <w:trPr>
          <w:trHeight w:val="451"/>
        </w:trPr>
        <w:tc>
          <w:tcPr>
            <w:tcW w:w="562" w:type="dxa"/>
            <w:vAlign w:val="center"/>
          </w:tcPr>
          <w:p w14:paraId="7BD9460F" w14:textId="77777777" w:rsidR="00BC55AB" w:rsidRPr="00C717FF" w:rsidRDefault="00BC55AB" w:rsidP="00BC55AB">
            <w:pPr>
              <w:spacing w:after="160" w:line="278" w:lineRule="auto"/>
              <w:jc w:val="center"/>
              <w:rPr>
                <w:rFonts w:ascii="Arial" w:hAnsi="Arial" w:cs="Arial"/>
                <w:sz w:val="20"/>
                <w:szCs w:val="20"/>
              </w:rPr>
            </w:pPr>
          </w:p>
        </w:tc>
        <w:tc>
          <w:tcPr>
            <w:tcW w:w="2552" w:type="dxa"/>
            <w:vAlign w:val="center"/>
          </w:tcPr>
          <w:p w14:paraId="5961B0A6" w14:textId="77777777" w:rsidR="00BC55AB" w:rsidRPr="00C717FF" w:rsidRDefault="00BC55AB" w:rsidP="00BC55AB">
            <w:pPr>
              <w:spacing w:after="160" w:line="278" w:lineRule="auto"/>
              <w:jc w:val="center"/>
              <w:rPr>
                <w:rFonts w:ascii="Arial" w:hAnsi="Arial" w:cs="Arial"/>
                <w:sz w:val="20"/>
                <w:szCs w:val="20"/>
              </w:rPr>
            </w:pPr>
            <w:proofErr w:type="spellStart"/>
            <w:r w:rsidRPr="00C717FF">
              <w:rPr>
                <w:rFonts w:ascii="Arial" w:hAnsi="Arial" w:cs="Arial"/>
                <w:sz w:val="20"/>
                <w:szCs w:val="20"/>
              </w:rPr>
              <w:t>SEm</w:t>
            </w:r>
            <w:proofErr w:type="spellEnd"/>
            <w:r w:rsidRPr="00C717FF">
              <w:rPr>
                <w:rFonts w:ascii="Arial" w:hAnsi="Arial" w:cs="Arial"/>
                <w:sz w:val="20"/>
                <w:szCs w:val="20"/>
              </w:rPr>
              <w:t xml:space="preserve"> ±</w:t>
            </w:r>
          </w:p>
        </w:tc>
        <w:tc>
          <w:tcPr>
            <w:tcW w:w="992" w:type="dxa"/>
            <w:vAlign w:val="center"/>
          </w:tcPr>
          <w:p w14:paraId="13C2AC3F" w14:textId="77777777" w:rsidR="00BC55AB" w:rsidRPr="00C717FF" w:rsidRDefault="00BC55AB" w:rsidP="00BC55AB">
            <w:pPr>
              <w:spacing w:after="160" w:line="278" w:lineRule="auto"/>
              <w:jc w:val="center"/>
              <w:rPr>
                <w:rFonts w:ascii="Arial" w:hAnsi="Arial" w:cs="Arial"/>
                <w:sz w:val="20"/>
                <w:szCs w:val="20"/>
              </w:rPr>
            </w:pPr>
            <w:r w:rsidRPr="00C717FF">
              <w:rPr>
                <w:rFonts w:ascii="Arial" w:hAnsi="Arial" w:cs="Arial"/>
                <w:sz w:val="20"/>
                <w:szCs w:val="20"/>
              </w:rPr>
              <w:t>0.110</w:t>
            </w:r>
          </w:p>
        </w:tc>
        <w:tc>
          <w:tcPr>
            <w:tcW w:w="1134" w:type="dxa"/>
            <w:vAlign w:val="center"/>
          </w:tcPr>
          <w:p w14:paraId="2E569B7E" w14:textId="77777777" w:rsidR="00BC55AB" w:rsidRPr="00C717FF" w:rsidRDefault="00BC55AB" w:rsidP="00BC55AB">
            <w:pPr>
              <w:spacing w:after="160" w:line="278" w:lineRule="auto"/>
              <w:jc w:val="center"/>
              <w:rPr>
                <w:rFonts w:ascii="Arial" w:hAnsi="Arial" w:cs="Arial"/>
                <w:sz w:val="20"/>
                <w:szCs w:val="20"/>
              </w:rPr>
            </w:pPr>
            <w:r w:rsidRPr="00C717FF">
              <w:rPr>
                <w:rFonts w:ascii="Arial" w:hAnsi="Arial" w:cs="Arial"/>
                <w:sz w:val="20"/>
                <w:szCs w:val="20"/>
              </w:rPr>
              <w:t>1.180</w:t>
            </w:r>
          </w:p>
        </w:tc>
        <w:tc>
          <w:tcPr>
            <w:tcW w:w="992" w:type="dxa"/>
            <w:vAlign w:val="center"/>
          </w:tcPr>
          <w:p w14:paraId="4B9809DD" w14:textId="77777777" w:rsidR="00BC55AB" w:rsidRPr="00C717FF" w:rsidRDefault="00BC55AB" w:rsidP="00BC55AB">
            <w:pPr>
              <w:spacing w:after="160" w:line="278" w:lineRule="auto"/>
              <w:jc w:val="center"/>
              <w:rPr>
                <w:rFonts w:ascii="Arial" w:hAnsi="Arial" w:cs="Arial"/>
                <w:sz w:val="20"/>
                <w:szCs w:val="20"/>
              </w:rPr>
            </w:pPr>
            <w:r w:rsidRPr="00C717FF">
              <w:rPr>
                <w:rFonts w:ascii="Arial" w:hAnsi="Arial" w:cs="Arial"/>
                <w:sz w:val="20"/>
                <w:szCs w:val="20"/>
              </w:rPr>
              <w:t>0.792</w:t>
            </w:r>
          </w:p>
        </w:tc>
        <w:tc>
          <w:tcPr>
            <w:tcW w:w="1134" w:type="dxa"/>
            <w:vAlign w:val="center"/>
          </w:tcPr>
          <w:p w14:paraId="22BF3C01" w14:textId="77777777" w:rsidR="00BC55AB" w:rsidRPr="00C717FF" w:rsidRDefault="00BC55AB" w:rsidP="00BC55AB">
            <w:pPr>
              <w:spacing w:after="160" w:line="278" w:lineRule="auto"/>
              <w:jc w:val="center"/>
              <w:rPr>
                <w:rFonts w:ascii="Arial" w:hAnsi="Arial" w:cs="Arial"/>
                <w:sz w:val="20"/>
                <w:szCs w:val="20"/>
              </w:rPr>
            </w:pPr>
          </w:p>
        </w:tc>
        <w:tc>
          <w:tcPr>
            <w:tcW w:w="993" w:type="dxa"/>
            <w:vAlign w:val="center"/>
          </w:tcPr>
          <w:p w14:paraId="1D6DA83D" w14:textId="77777777" w:rsidR="00BC55AB" w:rsidRPr="00C717FF" w:rsidRDefault="00BC55AB" w:rsidP="00BC55AB">
            <w:pPr>
              <w:spacing w:after="160" w:line="278" w:lineRule="auto"/>
              <w:jc w:val="center"/>
              <w:rPr>
                <w:rFonts w:ascii="Arial" w:hAnsi="Arial" w:cs="Arial"/>
                <w:sz w:val="20"/>
                <w:szCs w:val="20"/>
              </w:rPr>
            </w:pPr>
            <w:r w:rsidRPr="00C717FF">
              <w:rPr>
                <w:rFonts w:ascii="Arial" w:hAnsi="Arial" w:cs="Arial"/>
                <w:sz w:val="20"/>
                <w:szCs w:val="20"/>
              </w:rPr>
              <w:t>0.390</w:t>
            </w:r>
          </w:p>
        </w:tc>
        <w:tc>
          <w:tcPr>
            <w:tcW w:w="1134" w:type="dxa"/>
            <w:vAlign w:val="center"/>
          </w:tcPr>
          <w:p w14:paraId="12DBF6A4" w14:textId="77777777" w:rsidR="00BC55AB" w:rsidRPr="00C717FF" w:rsidRDefault="00BC55AB" w:rsidP="00BC55AB">
            <w:pPr>
              <w:spacing w:after="160" w:line="278" w:lineRule="auto"/>
              <w:jc w:val="center"/>
              <w:rPr>
                <w:rFonts w:ascii="Arial" w:hAnsi="Arial" w:cs="Arial"/>
                <w:sz w:val="20"/>
                <w:szCs w:val="20"/>
              </w:rPr>
            </w:pPr>
          </w:p>
        </w:tc>
        <w:tc>
          <w:tcPr>
            <w:tcW w:w="992" w:type="dxa"/>
            <w:vAlign w:val="center"/>
          </w:tcPr>
          <w:p w14:paraId="1B91BA30" w14:textId="77777777" w:rsidR="00BC55AB" w:rsidRPr="00C717FF" w:rsidRDefault="00BC55AB" w:rsidP="00BC55AB">
            <w:pPr>
              <w:spacing w:after="160" w:line="278" w:lineRule="auto"/>
              <w:jc w:val="center"/>
              <w:rPr>
                <w:rFonts w:ascii="Arial" w:hAnsi="Arial" w:cs="Arial"/>
                <w:sz w:val="20"/>
                <w:szCs w:val="20"/>
              </w:rPr>
            </w:pPr>
          </w:p>
        </w:tc>
      </w:tr>
      <w:tr w:rsidR="00BC55AB" w:rsidRPr="00C717FF" w14:paraId="33C0CD59" w14:textId="77777777" w:rsidTr="00BC55AB">
        <w:trPr>
          <w:trHeight w:val="451"/>
        </w:trPr>
        <w:tc>
          <w:tcPr>
            <w:tcW w:w="562" w:type="dxa"/>
            <w:vAlign w:val="center"/>
          </w:tcPr>
          <w:p w14:paraId="670D2008" w14:textId="77777777" w:rsidR="00BC55AB" w:rsidRPr="00C717FF" w:rsidRDefault="00BC55AB" w:rsidP="00BC55AB">
            <w:pPr>
              <w:spacing w:after="160" w:line="278" w:lineRule="auto"/>
              <w:jc w:val="center"/>
              <w:rPr>
                <w:rFonts w:ascii="Arial" w:hAnsi="Arial" w:cs="Arial"/>
                <w:sz w:val="20"/>
                <w:szCs w:val="20"/>
              </w:rPr>
            </w:pPr>
          </w:p>
        </w:tc>
        <w:tc>
          <w:tcPr>
            <w:tcW w:w="2552" w:type="dxa"/>
            <w:vAlign w:val="center"/>
          </w:tcPr>
          <w:p w14:paraId="7D92BE0D" w14:textId="77777777" w:rsidR="00BC55AB" w:rsidRPr="00C717FF" w:rsidRDefault="00BC55AB" w:rsidP="00BC55AB">
            <w:pPr>
              <w:spacing w:after="160" w:line="278" w:lineRule="auto"/>
              <w:jc w:val="center"/>
              <w:rPr>
                <w:rFonts w:ascii="Arial" w:hAnsi="Arial" w:cs="Arial"/>
                <w:sz w:val="20"/>
                <w:szCs w:val="20"/>
              </w:rPr>
            </w:pPr>
            <w:r w:rsidRPr="00C717FF">
              <w:rPr>
                <w:rFonts w:ascii="Arial" w:hAnsi="Arial" w:cs="Arial"/>
                <w:sz w:val="20"/>
                <w:szCs w:val="20"/>
              </w:rPr>
              <w:t>CD (P≤ 0.05)</w:t>
            </w:r>
          </w:p>
        </w:tc>
        <w:tc>
          <w:tcPr>
            <w:tcW w:w="992" w:type="dxa"/>
            <w:vAlign w:val="center"/>
          </w:tcPr>
          <w:p w14:paraId="0191EF30" w14:textId="77777777" w:rsidR="00BC55AB" w:rsidRPr="00C717FF" w:rsidRDefault="00BC55AB" w:rsidP="00BC55AB">
            <w:pPr>
              <w:spacing w:after="160" w:line="278" w:lineRule="auto"/>
              <w:jc w:val="center"/>
              <w:rPr>
                <w:rFonts w:ascii="Arial" w:hAnsi="Arial" w:cs="Arial"/>
                <w:sz w:val="20"/>
                <w:szCs w:val="20"/>
              </w:rPr>
            </w:pPr>
            <w:r w:rsidRPr="00C717FF">
              <w:rPr>
                <w:rFonts w:ascii="Arial" w:hAnsi="Arial" w:cs="Arial"/>
                <w:sz w:val="20"/>
                <w:szCs w:val="20"/>
              </w:rPr>
              <w:t>0.337</w:t>
            </w:r>
          </w:p>
        </w:tc>
        <w:tc>
          <w:tcPr>
            <w:tcW w:w="1134" w:type="dxa"/>
            <w:vAlign w:val="center"/>
          </w:tcPr>
          <w:p w14:paraId="5691BEA8" w14:textId="77777777" w:rsidR="00BC55AB" w:rsidRPr="00C717FF" w:rsidRDefault="00BC55AB" w:rsidP="00BC55AB">
            <w:pPr>
              <w:spacing w:after="160" w:line="278" w:lineRule="auto"/>
              <w:jc w:val="center"/>
              <w:rPr>
                <w:rFonts w:ascii="Arial" w:hAnsi="Arial" w:cs="Arial"/>
                <w:sz w:val="20"/>
                <w:szCs w:val="20"/>
              </w:rPr>
            </w:pPr>
            <w:r w:rsidRPr="00C717FF">
              <w:rPr>
                <w:rFonts w:ascii="Arial" w:hAnsi="Arial" w:cs="Arial"/>
                <w:sz w:val="20"/>
                <w:szCs w:val="20"/>
              </w:rPr>
              <w:t>3.557</w:t>
            </w:r>
          </w:p>
        </w:tc>
        <w:tc>
          <w:tcPr>
            <w:tcW w:w="992" w:type="dxa"/>
            <w:vAlign w:val="center"/>
          </w:tcPr>
          <w:p w14:paraId="304C120B" w14:textId="77777777" w:rsidR="00BC55AB" w:rsidRPr="00C717FF" w:rsidRDefault="00BC55AB" w:rsidP="00BC55AB">
            <w:pPr>
              <w:spacing w:after="160" w:line="278" w:lineRule="auto"/>
              <w:jc w:val="center"/>
              <w:rPr>
                <w:rFonts w:ascii="Arial" w:hAnsi="Arial" w:cs="Arial"/>
                <w:sz w:val="20"/>
                <w:szCs w:val="20"/>
              </w:rPr>
            </w:pPr>
            <w:r w:rsidRPr="00C717FF">
              <w:rPr>
                <w:rFonts w:ascii="Arial" w:hAnsi="Arial" w:cs="Arial"/>
                <w:sz w:val="20"/>
                <w:szCs w:val="20"/>
              </w:rPr>
              <w:t>2.378</w:t>
            </w:r>
          </w:p>
        </w:tc>
        <w:tc>
          <w:tcPr>
            <w:tcW w:w="1134" w:type="dxa"/>
            <w:vAlign w:val="center"/>
          </w:tcPr>
          <w:p w14:paraId="715CFB39" w14:textId="77777777" w:rsidR="00BC55AB" w:rsidRPr="00C717FF" w:rsidRDefault="00BC55AB" w:rsidP="00BC55AB">
            <w:pPr>
              <w:spacing w:after="160" w:line="278" w:lineRule="auto"/>
              <w:jc w:val="center"/>
              <w:rPr>
                <w:rFonts w:ascii="Arial" w:hAnsi="Arial" w:cs="Arial"/>
                <w:sz w:val="20"/>
                <w:szCs w:val="20"/>
              </w:rPr>
            </w:pPr>
          </w:p>
        </w:tc>
        <w:tc>
          <w:tcPr>
            <w:tcW w:w="993" w:type="dxa"/>
            <w:vAlign w:val="center"/>
          </w:tcPr>
          <w:p w14:paraId="171EA1A3" w14:textId="77777777" w:rsidR="00BC55AB" w:rsidRPr="00C717FF" w:rsidRDefault="00BC55AB" w:rsidP="00BC55AB">
            <w:pPr>
              <w:spacing w:after="160" w:line="278" w:lineRule="auto"/>
              <w:jc w:val="center"/>
              <w:rPr>
                <w:rFonts w:ascii="Arial" w:hAnsi="Arial" w:cs="Arial"/>
                <w:sz w:val="20"/>
                <w:szCs w:val="20"/>
              </w:rPr>
            </w:pPr>
            <w:r w:rsidRPr="00C717FF">
              <w:rPr>
                <w:rFonts w:ascii="Arial" w:hAnsi="Arial" w:cs="Arial"/>
                <w:sz w:val="20"/>
                <w:szCs w:val="20"/>
              </w:rPr>
              <w:t>1.188</w:t>
            </w:r>
          </w:p>
        </w:tc>
        <w:tc>
          <w:tcPr>
            <w:tcW w:w="1134" w:type="dxa"/>
            <w:vAlign w:val="center"/>
          </w:tcPr>
          <w:p w14:paraId="0D2B9B4C" w14:textId="77777777" w:rsidR="00BC55AB" w:rsidRPr="00C717FF" w:rsidRDefault="00BC55AB" w:rsidP="00BC55AB">
            <w:pPr>
              <w:spacing w:after="160" w:line="278" w:lineRule="auto"/>
              <w:jc w:val="center"/>
              <w:rPr>
                <w:rFonts w:ascii="Arial" w:hAnsi="Arial" w:cs="Arial"/>
                <w:sz w:val="20"/>
                <w:szCs w:val="20"/>
              </w:rPr>
            </w:pPr>
          </w:p>
        </w:tc>
        <w:tc>
          <w:tcPr>
            <w:tcW w:w="992" w:type="dxa"/>
            <w:vAlign w:val="center"/>
          </w:tcPr>
          <w:p w14:paraId="5CF1651C" w14:textId="77777777" w:rsidR="00BC55AB" w:rsidRPr="00C717FF" w:rsidRDefault="00BC55AB" w:rsidP="00BC55AB">
            <w:pPr>
              <w:spacing w:after="160" w:line="278" w:lineRule="auto"/>
              <w:jc w:val="center"/>
              <w:rPr>
                <w:rFonts w:ascii="Arial" w:hAnsi="Arial" w:cs="Arial"/>
                <w:sz w:val="20"/>
                <w:szCs w:val="20"/>
              </w:rPr>
            </w:pPr>
          </w:p>
        </w:tc>
      </w:tr>
      <w:tr w:rsidR="00BC55AB" w:rsidRPr="00C717FF" w14:paraId="4A9F555A" w14:textId="77777777" w:rsidTr="00BC55AB">
        <w:trPr>
          <w:trHeight w:val="451"/>
        </w:trPr>
        <w:tc>
          <w:tcPr>
            <w:tcW w:w="562" w:type="dxa"/>
            <w:vAlign w:val="center"/>
          </w:tcPr>
          <w:p w14:paraId="06929193" w14:textId="77777777" w:rsidR="00BC55AB" w:rsidRPr="00C717FF" w:rsidRDefault="00BC55AB" w:rsidP="00BC55AB">
            <w:pPr>
              <w:spacing w:after="160" w:line="278" w:lineRule="auto"/>
              <w:jc w:val="center"/>
              <w:rPr>
                <w:rFonts w:ascii="Arial" w:hAnsi="Arial" w:cs="Arial"/>
                <w:sz w:val="20"/>
                <w:szCs w:val="20"/>
              </w:rPr>
            </w:pPr>
          </w:p>
        </w:tc>
        <w:tc>
          <w:tcPr>
            <w:tcW w:w="2552" w:type="dxa"/>
            <w:vAlign w:val="center"/>
          </w:tcPr>
          <w:p w14:paraId="3FE75765" w14:textId="77777777" w:rsidR="00BC55AB" w:rsidRPr="00C717FF" w:rsidRDefault="00BC55AB" w:rsidP="00BC55AB">
            <w:pPr>
              <w:spacing w:after="160" w:line="278" w:lineRule="auto"/>
              <w:jc w:val="center"/>
              <w:rPr>
                <w:rFonts w:ascii="Arial" w:hAnsi="Arial" w:cs="Arial"/>
                <w:sz w:val="20"/>
                <w:szCs w:val="20"/>
              </w:rPr>
            </w:pPr>
            <w:proofErr w:type="gramStart"/>
            <w:r w:rsidRPr="00C717FF">
              <w:rPr>
                <w:rFonts w:ascii="Arial" w:hAnsi="Arial" w:cs="Arial"/>
                <w:sz w:val="20"/>
                <w:szCs w:val="20"/>
              </w:rPr>
              <w:t>CV(</w:t>
            </w:r>
            <w:proofErr w:type="gramEnd"/>
            <w:r w:rsidRPr="00C717FF">
              <w:rPr>
                <w:rFonts w:ascii="Arial" w:hAnsi="Arial" w:cs="Arial"/>
                <w:sz w:val="20"/>
                <w:szCs w:val="20"/>
              </w:rPr>
              <w:t>%)</w:t>
            </w:r>
          </w:p>
        </w:tc>
        <w:tc>
          <w:tcPr>
            <w:tcW w:w="992" w:type="dxa"/>
            <w:vAlign w:val="center"/>
          </w:tcPr>
          <w:p w14:paraId="291090DD" w14:textId="77777777" w:rsidR="00BC55AB" w:rsidRPr="00C717FF" w:rsidRDefault="00BC55AB" w:rsidP="00BC55AB">
            <w:pPr>
              <w:spacing w:after="160" w:line="278" w:lineRule="auto"/>
              <w:jc w:val="center"/>
              <w:rPr>
                <w:rFonts w:ascii="Arial" w:hAnsi="Arial" w:cs="Arial"/>
                <w:sz w:val="20"/>
                <w:szCs w:val="20"/>
              </w:rPr>
            </w:pPr>
            <w:r w:rsidRPr="00C717FF">
              <w:rPr>
                <w:rFonts w:ascii="Arial" w:hAnsi="Arial" w:cs="Arial"/>
                <w:sz w:val="20"/>
                <w:szCs w:val="20"/>
              </w:rPr>
              <w:t>5.268</w:t>
            </w:r>
          </w:p>
        </w:tc>
        <w:tc>
          <w:tcPr>
            <w:tcW w:w="1134" w:type="dxa"/>
            <w:vAlign w:val="center"/>
          </w:tcPr>
          <w:p w14:paraId="7B923996" w14:textId="77777777" w:rsidR="00BC55AB" w:rsidRPr="00C717FF" w:rsidRDefault="00BC55AB" w:rsidP="00BC55AB">
            <w:pPr>
              <w:spacing w:after="160" w:line="278" w:lineRule="auto"/>
              <w:jc w:val="center"/>
              <w:rPr>
                <w:rFonts w:ascii="Arial" w:hAnsi="Arial" w:cs="Arial"/>
                <w:sz w:val="20"/>
                <w:szCs w:val="20"/>
              </w:rPr>
            </w:pPr>
            <w:r w:rsidRPr="00C717FF">
              <w:rPr>
                <w:rFonts w:ascii="Arial" w:hAnsi="Arial" w:cs="Arial"/>
                <w:sz w:val="20"/>
                <w:szCs w:val="20"/>
              </w:rPr>
              <w:t>6.799</w:t>
            </w:r>
          </w:p>
        </w:tc>
        <w:tc>
          <w:tcPr>
            <w:tcW w:w="992" w:type="dxa"/>
            <w:vAlign w:val="center"/>
          </w:tcPr>
          <w:p w14:paraId="33B81E63" w14:textId="77777777" w:rsidR="00BC55AB" w:rsidRPr="00C717FF" w:rsidRDefault="00BC55AB" w:rsidP="00BC55AB">
            <w:pPr>
              <w:spacing w:after="160" w:line="278" w:lineRule="auto"/>
              <w:jc w:val="center"/>
              <w:rPr>
                <w:rFonts w:ascii="Arial" w:hAnsi="Arial" w:cs="Arial"/>
                <w:sz w:val="20"/>
                <w:szCs w:val="20"/>
              </w:rPr>
            </w:pPr>
            <w:r w:rsidRPr="00C717FF">
              <w:rPr>
                <w:rFonts w:ascii="Arial" w:hAnsi="Arial" w:cs="Arial"/>
                <w:sz w:val="20"/>
                <w:szCs w:val="20"/>
              </w:rPr>
              <w:t>3.336</w:t>
            </w:r>
          </w:p>
        </w:tc>
        <w:tc>
          <w:tcPr>
            <w:tcW w:w="1134" w:type="dxa"/>
            <w:vAlign w:val="center"/>
          </w:tcPr>
          <w:p w14:paraId="39728F36" w14:textId="77777777" w:rsidR="00BC55AB" w:rsidRPr="00C717FF" w:rsidRDefault="00BC55AB" w:rsidP="00BC55AB">
            <w:pPr>
              <w:spacing w:after="160" w:line="278" w:lineRule="auto"/>
              <w:jc w:val="center"/>
              <w:rPr>
                <w:rFonts w:ascii="Arial" w:hAnsi="Arial" w:cs="Arial"/>
                <w:sz w:val="20"/>
                <w:szCs w:val="20"/>
              </w:rPr>
            </w:pPr>
          </w:p>
        </w:tc>
        <w:tc>
          <w:tcPr>
            <w:tcW w:w="993" w:type="dxa"/>
            <w:vAlign w:val="center"/>
          </w:tcPr>
          <w:p w14:paraId="7AECDCE3" w14:textId="77777777" w:rsidR="00BC55AB" w:rsidRPr="00C717FF" w:rsidRDefault="00BC55AB" w:rsidP="00BC55AB">
            <w:pPr>
              <w:spacing w:after="160" w:line="278" w:lineRule="auto"/>
              <w:jc w:val="center"/>
              <w:rPr>
                <w:rFonts w:ascii="Arial" w:hAnsi="Arial" w:cs="Arial"/>
                <w:sz w:val="20"/>
                <w:szCs w:val="20"/>
              </w:rPr>
            </w:pPr>
            <w:r w:rsidRPr="00C717FF">
              <w:rPr>
                <w:rFonts w:ascii="Arial" w:hAnsi="Arial" w:cs="Arial"/>
                <w:sz w:val="20"/>
                <w:szCs w:val="20"/>
              </w:rPr>
              <w:t>7.742</w:t>
            </w:r>
          </w:p>
        </w:tc>
        <w:tc>
          <w:tcPr>
            <w:tcW w:w="1134" w:type="dxa"/>
            <w:vAlign w:val="center"/>
          </w:tcPr>
          <w:p w14:paraId="6BE2DB3C" w14:textId="77777777" w:rsidR="00BC55AB" w:rsidRPr="00C717FF" w:rsidRDefault="00BC55AB" w:rsidP="00BC55AB">
            <w:pPr>
              <w:spacing w:after="160" w:line="278" w:lineRule="auto"/>
              <w:jc w:val="center"/>
              <w:rPr>
                <w:rFonts w:ascii="Arial" w:hAnsi="Arial" w:cs="Arial"/>
                <w:sz w:val="20"/>
                <w:szCs w:val="20"/>
              </w:rPr>
            </w:pPr>
          </w:p>
        </w:tc>
        <w:tc>
          <w:tcPr>
            <w:tcW w:w="992" w:type="dxa"/>
            <w:vAlign w:val="center"/>
          </w:tcPr>
          <w:p w14:paraId="790186DA" w14:textId="77777777" w:rsidR="00BC55AB" w:rsidRPr="00C717FF" w:rsidRDefault="00BC55AB" w:rsidP="00BC55AB">
            <w:pPr>
              <w:spacing w:after="160" w:line="278" w:lineRule="auto"/>
              <w:jc w:val="center"/>
              <w:rPr>
                <w:rFonts w:ascii="Arial" w:hAnsi="Arial" w:cs="Arial"/>
                <w:sz w:val="20"/>
                <w:szCs w:val="20"/>
              </w:rPr>
            </w:pPr>
          </w:p>
        </w:tc>
      </w:tr>
    </w:tbl>
    <w:p w14:paraId="06AAFBEF" w14:textId="50ABA1CD" w:rsidR="00481AE5" w:rsidRPr="00064EDA" w:rsidRDefault="00C717FF" w:rsidP="00AC734D">
      <w:pPr>
        <w:jc w:val="both"/>
        <w:rPr>
          <w:rFonts w:ascii="Arial" w:hAnsi="Arial" w:cs="Arial"/>
          <w:sz w:val="20"/>
          <w:szCs w:val="20"/>
        </w:rPr>
        <w:sectPr w:rsidR="00481AE5" w:rsidRPr="00064EDA" w:rsidSect="00597FAC">
          <w:footerReference w:type="first" r:id="rId10"/>
          <w:pgSz w:w="11906" w:h="16838"/>
          <w:pgMar w:top="1440" w:right="1440" w:bottom="1440" w:left="1440" w:header="709" w:footer="709" w:gutter="0"/>
          <w:lnNumType w:countBy="1" w:restart="continuous"/>
          <w:cols w:space="708"/>
          <w:titlePg/>
          <w:docGrid w:linePitch="360"/>
        </w:sectPr>
      </w:pPr>
      <w:r w:rsidRPr="00C717FF">
        <w:rPr>
          <w:rFonts w:ascii="Arial" w:hAnsi="Arial" w:cs="Arial"/>
          <w:sz w:val="20"/>
          <w:szCs w:val="20"/>
        </w:rPr>
        <w:t>Figures with similar alphabets doesn’t differ significantly, DAS – Days after sowing, Figures in parenthesis after 1</w:t>
      </w:r>
      <w:r w:rsidRPr="00C717FF">
        <w:rPr>
          <w:rFonts w:ascii="Arial" w:hAnsi="Arial" w:cs="Arial"/>
          <w:sz w:val="20"/>
          <w:szCs w:val="20"/>
          <w:vertAlign w:val="superscript"/>
        </w:rPr>
        <w:t>st</w:t>
      </w:r>
      <w:r w:rsidRPr="00C717FF">
        <w:rPr>
          <w:rFonts w:ascii="Arial" w:hAnsi="Arial" w:cs="Arial"/>
          <w:sz w:val="20"/>
          <w:szCs w:val="20"/>
        </w:rPr>
        <w:t xml:space="preserve"> spray are square root transformed values and figures in parenthesis after 2</w:t>
      </w:r>
      <w:r w:rsidRPr="00C717FF">
        <w:rPr>
          <w:rFonts w:ascii="Arial" w:hAnsi="Arial" w:cs="Arial"/>
          <w:sz w:val="20"/>
          <w:szCs w:val="20"/>
          <w:vertAlign w:val="superscript"/>
        </w:rPr>
        <w:t>nd</w:t>
      </w:r>
      <w:r w:rsidRPr="00C717FF">
        <w:rPr>
          <w:rFonts w:ascii="Arial" w:hAnsi="Arial" w:cs="Arial"/>
          <w:sz w:val="20"/>
          <w:szCs w:val="20"/>
        </w:rPr>
        <w:t xml:space="preserve"> and 3</w:t>
      </w:r>
      <w:r w:rsidRPr="00C717FF">
        <w:rPr>
          <w:rFonts w:ascii="Arial" w:hAnsi="Arial" w:cs="Arial"/>
          <w:sz w:val="20"/>
          <w:szCs w:val="20"/>
          <w:vertAlign w:val="superscript"/>
        </w:rPr>
        <w:t>rd</w:t>
      </w:r>
      <w:r w:rsidRPr="00C717FF">
        <w:rPr>
          <w:rFonts w:ascii="Arial" w:hAnsi="Arial" w:cs="Arial"/>
          <w:sz w:val="20"/>
          <w:szCs w:val="20"/>
        </w:rPr>
        <w:t xml:space="preserve"> spray are arc sine square root transformed values</w:t>
      </w:r>
      <w:r w:rsidR="00064EDA">
        <w:rPr>
          <w:rFonts w:ascii="Arial" w:hAnsi="Arial" w:cs="Arial"/>
          <w:sz w:val="20"/>
          <w:szCs w:val="20"/>
        </w:rPr>
        <w:t>.</w:t>
      </w:r>
    </w:p>
    <w:p w14:paraId="16A15CC0" w14:textId="46BE6CF7" w:rsidR="00597FAC" w:rsidRPr="00F74C3B" w:rsidRDefault="00597FAC" w:rsidP="00C717FF">
      <w:pPr>
        <w:rPr>
          <w:rFonts w:ascii="Arial" w:hAnsi="Arial" w:cs="Arial"/>
          <w:b/>
          <w:bCs/>
          <w:sz w:val="22"/>
          <w:szCs w:val="22"/>
        </w:rPr>
      </w:pPr>
      <w:r w:rsidRPr="00F74C3B">
        <w:rPr>
          <w:rFonts w:ascii="Arial" w:hAnsi="Arial" w:cs="Arial"/>
          <w:b/>
          <w:bCs/>
          <w:sz w:val="22"/>
          <w:szCs w:val="22"/>
        </w:rPr>
        <w:lastRenderedPageBreak/>
        <w:t>REFERENCES</w:t>
      </w:r>
    </w:p>
    <w:p w14:paraId="3E35C85B" w14:textId="11376EC6" w:rsidR="00597FAC" w:rsidRPr="00F74C3B" w:rsidRDefault="00597FAC" w:rsidP="00597FAC">
      <w:pPr>
        <w:jc w:val="both"/>
        <w:rPr>
          <w:rFonts w:ascii="Arial" w:hAnsi="Arial" w:cs="Arial"/>
          <w:sz w:val="20"/>
          <w:szCs w:val="20"/>
        </w:rPr>
      </w:pPr>
      <w:proofErr w:type="spellStart"/>
      <w:r w:rsidRPr="00F74C3B">
        <w:rPr>
          <w:rFonts w:ascii="Arial" w:hAnsi="Arial" w:cs="Arial"/>
          <w:sz w:val="20"/>
          <w:szCs w:val="20"/>
        </w:rPr>
        <w:t>Abbaiah</w:t>
      </w:r>
      <w:proofErr w:type="spellEnd"/>
      <w:r w:rsidRPr="00F74C3B">
        <w:rPr>
          <w:rFonts w:ascii="Arial" w:hAnsi="Arial" w:cs="Arial"/>
          <w:sz w:val="20"/>
          <w:szCs w:val="20"/>
        </w:rPr>
        <w:t xml:space="preserve">, K. (1993). Development of powdery mildew epidemics in urd bean in relation to weather factors. </w:t>
      </w:r>
      <w:r w:rsidRPr="00F74C3B">
        <w:rPr>
          <w:rFonts w:ascii="Arial" w:hAnsi="Arial" w:cs="Arial"/>
          <w:i/>
          <w:iCs/>
          <w:sz w:val="20"/>
          <w:szCs w:val="20"/>
        </w:rPr>
        <w:t>Indian Journal of Pulse Research</w:t>
      </w:r>
      <w:r w:rsidRPr="00F74C3B">
        <w:rPr>
          <w:rFonts w:ascii="Arial" w:hAnsi="Arial" w:cs="Arial"/>
          <w:sz w:val="20"/>
          <w:szCs w:val="20"/>
        </w:rPr>
        <w:t>, 6, 186–188.</w:t>
      </w:r>
    </w:p>
    <w:p w14:paraId="30542BDE" w14:textId="77777777" w:rsidR="00597FAC" w:rsidRPr="00F74C3B" w:rsidRDefault="00597FAC" w:rsidP="00597FAC">
      <w:pPr>
        <w:jc w:val="both"/>
        <w:rPr>
          <w:rFonts w:ascii="Arial" w:hAnsi="Arial" w:cs="Arial"/>
          <w:sz w:val="20"/>
          <w:szCs w:val="20"/>
        </w:rPr>
      </w:pPr>
      <w:r w:rsidRPr="00F74C3B">
        <w:rPr>
          <w:rFonts w:ascii="Arial" w:hAnsi="Arial" w:cs="Arial"/>
          <w:sz w:val="20"/>
          <w:szCs w:val="20"/>
        </w:rPr>
        <w:t xml:space="preserve">Acharya N.G. Ranga Agricultural University. (2024). </w:t>
      </w:r>
      <w:r w:rsidRPr="00F74C3B">
        <w:rPr>
          <w:rFonts w:ascii="Arial" w:hAnsi="Arial" w:cs="Arial"/>
          <w:i/>
          <w:iCs/>
          <w:sz w:val="20"/>
          <w:szCs w:val="20"/>
        </w:rPr>
        <w:t xml:space="preserve">Crop outlook reports of Andhra Pradesh: </w:t>
      </w:r>
      <w:proofErr w:type="spellStart"/>
      <w:r w:rsidRPr="00F74C3B">
        <w:rPr>
          <w:rFonts w:ascii="Arial" w:hAnsi="Arial" w:cs="Arial"/>
          <w:i/>
          <w:iCs/>
          <w:sz w:val="20"/>
          <w:szCs w:val="20"/>
        </w:rPr>
        <w:t>Blackgram</w:t>
      </w:r>
      <w:proofErr w:type="spellEnd"/>
      <w:r w:rsidRPr="00F74C3B">
        <w:rPr>
          <w:rFonts w:ascii="Arial" w:hAnsi="Arial" w:cs="Arial"/>
          <w:i/>
          <w:iCs/>
          <w:sz w:val="20"/>
          <w:szCs w:val="20"/>
        </w:rPr>
        <w:t xml:space="preserve"> (June 2023 to May 2024)</w:t>
      </w:r>
      <w:r w:rsidRPr="00F74C3B">
        <w:rPr>
          <w:rFonts w:ascii="Arial" w:hAnsi="Arial" w:cs="Arial"/>
          <w:sz w:val="20"/>
          <w:szCs w:val="20"/>
        </w:rPr>
        <w:t>. Lam, Guntur: Centre for Agriculture &amp; Rural Development Policy Research (CARP), ANGRAU.</w:t>
      </w:r>
    </w:p>
    <w:p w14:paraId="2823B133" w14:textId="77777777" w:rsidR="00597FAC" w:rsidRPr="00F74C3B" w:rsidRDefault="00597FAC" w:rsidP="00597FAC">
      <w:pPr>
        <w:jc w:val="both"/>
        <w:rPr>
          <w:rFonts w:ascii="Arial" w:hAnsi="Arial" w:cs="Arial"/>
          <w:sz w:val="20"/>
          <w:szCs w:val="20"/>
        </w:rPr>
      </w:pPr>
      <w:r w:rsidRPr="00F74C3B">
        <w:rPr>
          <w:rFonts w:ascii="Arial" w:hAnsi="Arial" w:cs="Arial"/>
          <w:sz w:val="20"/>
          <w:szCs w:val="20"/>
        </w:rPr>
        <w:t xml:space="preserve">All India Coordinated Research Project on </w:t>
      </w:r>
      <w:proofErr w:type="spellStart"/>
      <w:r w:rsidRPr="00F74C3B">
        <w:rPr>
          <w:rFonts w:ascii="Arial" w:hAnsi="Arial" w:cs="Arial"/>
          <w:sz w:val="20"/>
          <w:szCs w:val="20"/>
        </w:rPr>
        <w:t>MULLaRP</w:t>
      </w:r>
      <w:proofErr w:type="spellEnd"/>
      <w:r w:rsidRPr="00F74C3B">
        <w:rPr>
          <w:rFonts w:ascii="Arial" w:hAnsi="Arial" w:cs="Arial"/>
          <w:sz w:val="20"/>
          <w:szCs w:val="20"/>
        </w:rPr>
        <w:t xml:space="preserve">. (2013). </w:t>
      </w:r>
      <w:r w:rsidRPr="00F74C3B">
        <w:rPr>
          <w:rFonts w:ascii="Arial" w:hAnsi="Arial" w:cs="Arial"/>
          <w:i/>
          <w:iCs/>
          <w:sz w:val="20"/>
          <w:szCs w:val="20"/>
        </w:rPr>
        <w:t>Proceedings and recommendations</w:t>
      </w:r>
      <w:r w:rsidRPr="00F74C3B">
        <w:rPr>
          <w:rFonts w:ascii="Arial" w:hAnsi="Arial" w:cs="Arial"/>
          <w:sz w:val="20"/>
          <w:szCs w:val="20"/>
        </w:rPr>
        <w:t xml:space="preserve">. Indian Institute of Pulses Research, Kanpur. Retrieved from </w:t>
      </w:r>
      <w:hyperlink r:id="rId11" w:tgtFrame="_new" w:history="1">
        <w:r w:rsidRPr="00F74C3B">
          <w:rPr>
            <w:rStyle w:val="Hyperlink"/>
            <w:rFonts w:ascii="Arial" w:hAnsi="Arial" w:cs="Arial"/>
            <w:color w:val="auto"/>
            <w:sz w:val="20"/>
            <w:szCs w:val="20"/>
            <w:u w:val="none"/>
          </w:rPr>
          <w:t>http://www.aicrpmullarp.res.in</w:t>
        </w:r>
      </w:hyperlink>
    </w:p>
    <w:p w14:paraId="7C51CB4A" w14:textId="2766393F" w:rsidR="00597FAC" w:rsidRPr="00F74C3B" w:rsidRDefault="00597FAC" w:rsidP="00597FAC">
      <w:pPr>
        <w:jc w:val="both"/>
        <w:rPr>
          <w:rFonts w:ascii="Arial" w:hAnsi="Arial" w:cs="Arial"/>
          <w:sz w:val="20"/>
          <w:szCs w:val="20"/>
        </w:rPr>
      </w:pPr>
      <w:r w:rsidRPr="00F74C3B">
        <w:rPr>
          <w:rFonts w:ascii="Arial" w:hAnsi="Arial" w:cs="Arial"/>
          <w:sz w:val="20"/>
          <w:szCs w:val="20"/>
        </w:rPr>
        <w:t>Braun, U. (2011). The current systematics and taxonomy of the powdery mildews (</w:t>
      </w:r>
      <w:proofErr w:type="spellStart"/>
      <w:r w:rsidRPr="00F74C3B">
        <w:rPr>
          <w:rFonts w:ascii="Arial" w:hAnsi="Arial" w:cs="Arial"/>
          <w:sz w:val="20"/>
          <w:szCs w:val="20"/>
        </w:rPr>
        <w:t>Erysiphales</w:t>
      </w:r>
      <w:proofErr w:type="spellEnd"/>
      <w:r w:rsidRPr="00F74C3B">
        <w:rPr>
          <w:rFonts w:ascii="Arial" w:hAnsi="Arial" w:cs="Arial"/>
          <w:sz w:val="20"/>
          <w:szCs w:val="20"/>
        </w:rPr>
        <w:t xml:space="preserve">): An overview. </w:t>
      </w:r>
      <w:proofErr w:type="spellStart"/>
      <w:r w:rsidRPr="00F74C3B">
        <w:rPr>
          <w:rFonts w:ascii="Arial" w:hAnsi="Arial" w:cs="Arial"/>
          <w:i/>
          <w:iCs/>
          <w:sz w:val="20"/>
          <w:szCs w:val="20"/>
        </w:rPr>
        <w:t>Mycoscience</w:t>
      </w:r>
      <w:proofErr w:type="spellEnd"/>
      <w:r w:rsidRPr="00F74C3B">
        <w:rPr>
          <w:rFonts w:ascii="Arial" w:hAnsi="Arial" w:cs="Arial"/>
          <w:sz w:val="20"/>
          <w:szCs w:val="20"/>
        </w:rPr>
        <w:t>, 52, 210–212</w:t>
      </w:r>
      <w:r w:rsidR="00B24A08" w:rsidRPr="00F74C3B">
        <w:rPr>
          <w:rFonts w:ascii="Arial" w:hAnsi="Arial" w:cs="Arial"/>
          <w:sz w:val="20"/>
          <w:szCs w:val="20"/>
        </w:rPr>
        <w:t xml:space="preserve">. </w:t>
      </w:r>
      <w:hyperlink r:id="rId12" w:tgtFrame="_blank" w:tooltip="Persistent link using digital object identifier" w:history="1">
        <w:r w:rsidR="00B24A08" w:rsidRPr="00F74C3B">
          <w:rPr>
            <w:rStyle w:val="Hyperlink"/>
            <w:rFonts w:ascii="Arial" w:hAnsi="Arial" w:cs="Arial"/>
            <w:color w:val="auto"/>
            <w:sz w:val="20"/>
            <w:szCs w:val="20"/>
            <w:u w:val="none"/>
          </w:rPr>
          <w:t>https://doi.org/10.1007/S10267-010-0092-1</w:t>
        </w:r>
      </w:hyperlink>
    </w:p>
    <w:p w14:paraId="780D35DC" w14:textId="6511EC27" w:rsidR="00597FAC" w:rsidRPr="00F74C3B" w:rsidRDefault="00597FAC" w:rsidP="00597FAC">
      <w:pPr>
        <w:jc w:val="both"/>
        <w:rPr>
          <w:rFonts w:ascii="Arial" w:hAnsi="Arial" w:cs="Arial"/>
          <w:sz w:val="20"/>
          <w:szCs w:val="20"/>
        </w:rPr>
      </w:pPr>
      <w:r w:rsidRPr="00F74C3B">
        <w:rPr>
          <w:rFonts w:ascii="Arial" w:hAnsi="Arial" w:cs="Arial"/>
          <w:sz w:val="20"/>
          <w:szCs w:val="20"/>
        </w:rPr>
        <w:t xml:space="preserve">De Miccolis Angelini, R. M., Pollastro, S., &amp; Faretra, F. (2015). Genetics of fungicide resistance. In H. Ishii &amp; D. W. Hollomon (Eds.), </w:t>
      </w:r>
      <w:r w:rsidRPr="00F74C3B">
        <w:rPr>
          <w:rFonts w:ascii="Arial" w:hAnsi="Arial" w:cs="Arial"/>
          <w:i/>
          <w:iCs/>
          <w:sz w:val="20"/>
          <w:szCs w:val="20"/>
        </w:rPr>
        <w:t>Fungicide resistance in plant pathogens</w:t>
      </w:r>
      <w:r w:rsidRPr="00F74C3B">
        <w:rPr>
          <w:rFonts w:ascii="Arial" w:hAnsi="Arial" w:cs="Arial"/>
          <w:sz w:val="20"/>
          <w:szCs w:val="20"/>
        </w:rPr>
        <w:t xml:space="preserve"> (1st ed., pp. 13–34). Springer: Tokyo, Japan.</w:t>
      </w:r>
      <w:r w:rsidR="00B24A08" w:rsidRPr="00F74C3B">
        <w:rPr>
          <w:rFonts w:ascii="Arial" w:hAnsi="Arial" w:cs="Arial"/>
          <w:sz w:val="20"/>
          <w:szCs w:val="20"/>
        </w:rPr>
        <w:t xml:space="preserve"> https://doi.org/1</w:t>
      </w:r>
      <w:hyperlink r:id="rId13" w:tgtFrame="_blank" w:history="1">
        <w:r w:rsidR="00B24A08" w:rsidRPr="00F74C3B">
          <w:rPr>
            <w:rStyle w:val="Hyperlink"/>
            <w:rFonts w:ascii="Arial" w:hAnsi="Arial" w:cs="Arial"/>
            <w:color w:val="auto"/>
            <w:sz w:val="20"/>
            <w:szCs w:val="20"/>
            <w:u w:val="none"/>
          </w:rPr>
          <w:t>0.1007/978-4-431-55642-8_2</w:t>
        </w:r>
      </w:hyperlink>
    </w:p>
    <w:p w14:paraId="2DD8341B" w14:textId="77476BEE" w:rsidR="00597FAC" w:rsidRPr="00F74C3B" w:rsidRDefault="00597FAC" w:rsidP="00597FAC">
      <w:pPr>
        <w:jc w:val="both"/>
        <w:rPr>
          <w:rFonts w:ascii="Arial" w:hAnsi="Arial" w:cs="Arial"/>
          <w:sz w:val="20"/>
          <w:szCs w:val="20"/>
        </w:rPr>
      </w:pPr>
      <w:r w:rsidRPr="00F74C3B">
        <w:rPr>
          <w:rFonts w:ascii="Arial" w:hAnsi="Arial" w:cs="Arial"/>
          <w:sz w:val="20"/>
          <w:szCs w:val="20"/>
        </w:rPr>
        <w:t xml:space="preserve">Green, J. R., Carver, T. L. W., &amp; Gurr, S. J. (2002). The formation and function of infection and feeding structures. In R. R. Bélanger, W. R. Bushnell, A. J. Dik &amp; T. L. W. Carver (Eds.), </w:t>
      </w:r>
      <w:r w:rsidRPr="00F74C3B">
        <w:rPr>
          <w:rFonts w:ascii="Arial" w:hAnsi="Arial" w:cs="Arial"/>
          <w:i/>
          <w:iCs/>
          <w:sz w:val="20"/>
          <w:szCs w:val="20"/>
        </w:rPr>
        <w:t>The powdery mildews: A comprehensive treatise</w:t>
      </w:r>
      <w:r w:rsidRPr="00F74C3B">
        <w:rPr>
          <w:rFonts w:ascii="Arial" w:hAnsi="Arial" w:cs="Arial"/>
          <w:sz w:val="20"/>
          <w:szCs w:val="20"/>
        </w:rPr>
        <w:t xml:space="preserve"> (pp. 66–82). St. Paul, MN, USA: APS Press.</w:t>
      </w:r>
      <w:r w:rsidR="00B24A08" w:rsidRPr="00F74C3B">
        <w:rPr>
          <w:rFonts w:ascii="Arial" w:hAnsi="Arial" w:cs="Arial"/>
          <w:shd w:val="clear" w:color="auto" w:fill="FFFFFF"/>
        </w:rPr>
        <w:t xml:space="preserve"> </w:t>
      </w:r>
      <w:r w:rsidR="00B24A08" w:rsidRPr="00F74C3B">
        <w:rPr>
          <w:rFonts w:ascii="Arial" w:hAnsi="Arial" w:cs="Arial"/>
          <w:sz w:val="20"/>
          <w:szCs w:val="20"/>
        </w:rPr>
        <w:t>http://hdl.handle.net/2160/4098</w:t>
      </w:r>
    </w:p>
    <w:p w14:paraId="5A53BAF6" w14:textId="6F352353" w:rsidR="00597FAC" w:rsidRPr="00F74C3B" w:rsidRDefault="00597FAC" w:rsidP="00597FAC">
      <w:pPr>
        <w:jc w:val="both"/>
        <w:rPr>
          <w:rFonts w:ascii="Arial" w:hAnsi="Arial" w:cs="Arial"/>
          <w:sz w:val="20"/>
          <w:szCs w:val="20"/>
        </w:rPr>
      </w:pPr>
      <w:proofErr w:type="spellStart"/>
      <w:r w:rsidRPr="00F74C3B">
        <w:rPr>
          <w:rFonts w:ascii="Arial" w:hAnsi="Arial" w:cs="Arial"/>
          <w:sz w:val="20"/>
          <w:szCs w:val="20"/>
        </w:rPr>
        <w:t>Jayasekhar</w:t>
      </w:r>
      <w:proofErr w:type="spellEnd"/>
      <w:r w:rsidRPr="00F74C3B">
        <w:rPr>
          <w:rFonts w:ascii="Arial" w:hAnsi="Arial" w:cs="Arial"/>
          <w:sz w:val="20"/>
          <w:szCs w:val="20"/>
        </w:rPr>
        <w:t>, M., &amp; Ebenezar, E. G. (2016). Management of powdery mildew of black gram (</w:t>
      </w:r>
      <w:r w:rsidRPr="00F74C3B">
        <w:rPr>
          <w:rFonts w:ascii="Arial" w:hAnsi="Arial" w:cs="Arial"/>
          <w:i/>
          <w:iCs/>
          <w:sz w:val="20"/>
          <w:szCs w:val="20"/>
        </w:rPr>
        <w:t>Vigna mungo</w:t>
      </w:r>
      <w:r w:rsidRPr="00F74C3B">
        <w:rPr>
          <w:rFonts w:ascii="Arial" w:hAnsi="Arial" w:cs="Arial"/>
          <w:sz w:val="20"/>
          <w:szCs w:val="20"/>
        </w:rPr>
        <w:t xml:space="preserve">) caused by </w:t>
      </w:r>
      <w:proofErr w:type="spellStart"/>
      <w:r w:rsidRPr="00F74C3B">
        <w:rPr>
          <w:rFonts w:ascii="Arial" w:hAnsi="Arial" w:cs="Arial"/>
          <w:i/>
          <w:iCs/>
          <w:sz w:val="20"/>
          <w:szCs w:val="20"/>
        </w:rPr>
        <w:t>Erysiphe</w:t>
      </w:r>
      <w:proofErr w:type="spellEnd"/>
      <w:r w:rsidRPr="00F74C3B">
        <w:rPr>
          <w:rFonts w:ascii="Arial" w:hAnsi="Arial" w:cs="Arial"/>
          <w:i/>
          <w:iCs/>
          <w:sz w:val="20"/>
          <w:szCs w:val="20"/>
        </w:rPr>
        <w:t xml:space="preserve"> </w:t>
      </w:r>
      <w:proofErr w:type="spellStart"/>
      <w:r w:rsidRPr="00F74C3B">
        <w:rPr>
          <w:rFonts w:ascii="Arial" w:hAnsi="Arial" w:cs="Arial"/>
          <w:i/>
          <w:iCs/>
          <w:sz w:val="20"/>
          <w:szCs w:val="20"/>
        </w:rPr>
        <w:t>polygoni</w:t>
      </w:r>
      <w:proofErr w:type="spellEnd"/>
      <w:r w:rsidRPr="00F74C3B">
        <w:rPr>
          <w:rFonts w:ascii="Arial" w:hAnsi="Arial" w:cs="Arial"/>
          <w:sz w:val="20"/>
          <w:szCs w:val="20"/>
        </w:rPr>
        <w:t xml:space="preserve">. </w:t>
      </w:r>
      <w:r w:rsidRPr="00F74C3B">
        <w:rPr>
          <w:rFonts w:ascii="Arial" w:hAnsi="Arial" w:cs="Arial"/>
          <w:i/>
          <w:iCs/>
          <w:sz w:val="20"/>
          <w:szCs w:val="20"/>
        </w:rPr>
        <w:t>Agricultural Science Digest - A Research Journal</w:t>
      </w:r>
      <w:r w:rsidRPr="00F74C3B">
        <w:rPr>
          <w:rFonts w:ascii="Arial" w:hAnsi="Arial" w:cs="Arial"/>
          <w:sz w:val="20"/>
          <w:szCs w:val="20"/>
        </w:rPr>
        <w:t>, 36(1), 72–74.</w:t>
      </w:r>
      <w:r w:rsidR="00B24A08" w:rsidRPr="00F74C3B">
        <w:rPr>
          <w:rFonts w:ascii="Arial" w:hAnsi="Arial" w:cs="Arial"/>
          <w:sz w:val="20"/>
          <w:szCs w:val="20"/>
        </w:rPr>
        <w:t xml:space="preserve"> https://doi.org/</w:t>
      </w:r>
      <w:r w:rsidR="00B24A08" w:rsidRPr="00F74C3B">
        <w:rPr>
          <w:rFonts w:ascii="Arial" w:hAnsi="Arial" w:cs="Arial"/>
          <w:sz w:val="21"/>
          <w:szCs w:val="21"/>
          <w:shd w:val="clear" w:color="auto" w:fill="FFFFFF"/>
        </w:rPr>
        <w:t xml:space="preserve"> </w:t>
      </w:r>
      <w:r w:rsidR="00B24A08" w:rsidRPr="00F74C3B">
        <w:rPr>
          <w:rFonts w:ascii="Arial" w:hAnsi="Arial" w:cs="Arial"/>
          <w:sz w:val="20"/>
          <w:szCs w:val="20"/>
        </w:rPr>
        <w:t>10.18805/asd.v35i1.9317</w:t>
      </w:r>
    </w:p>
    <w:p w14:paraId="59385053" w14:textId="15EDB3C9" w:rsidR="00597FAC" w:rsidRPr="00F74C3B" w:rsidRDefault="00597FAC" w:rsidP="00597FAC">
      <w:pPr>
        <w:jc w:val="both"/>
        <w:rPr>
          <w:rFonts w:ascii="Arial" w:hAnsi="Arial" w:cs="Arial"/>
          <w:sz w:val="20"/>
          <w:szCs w:val="20"/>
        </w:rPr>
      </w:pPr>
      <w:r w:rsidRPr="00F74C3B">
        <w:rPr>
          <w:rFonts w:ascii="Arial" w:hAnsi="Arial" w:cs="Arial"/>
          <w:sz w:val="20"/>
          <w:szCs w:val="20"/>
        </w:rPr>
        <w:t>Kumari, B., Kumar, A., Alam, M. S., Kumar, A., Vikrant, &amp; Thakur, P. (2024). Management of powdery mildew (</w:t>
      </w:r>
      <w:proofErr w:type="spellStart"/>
      <w:r w:rsidRPr="00F74C3B">
        <w:rPr>
          <w:rFonts w:ascii="Arial" w:hAnsi="Arial" w:cs="Arial"/>
          <w:i/>
          <w:iCs/>
          <w:sz w:val="20"/>
          <w:szCs w:val="20"/>
        </w:rPr>
        <w:t>Erysiphe</w:t>
      </w:r>
      <w:proofErr w:type="spellEnd"/>
      <w:r w:rsidRPr="00F74C3B">
        <w:rPr>
          <w:rFonts w:ascii="Arial" w:hAnsi="Arial" w:cs="Arial"/>
          <w:i/>
          <w:iCs/>
          <w:sz w:val="20"/>
          <w:szCs w:val="20"/>
        </w:rPr>
        <w:t xml:space="preserve"> </w:t>
      </w:r>
      <w:proofErr w:type="spellStart"/>
      <w:r w:rsidRPr="00F74C3B">
        <w:rPr>
          <w:rFonts w:ascii="Arial" w:hAnsi="Arial" w:cs="Arial"/>
          <w:i/>
          <w:iCs/>
          <w:sz w:val="20"/>
          <w:szCs w:val="20"/>
        </w:rPr>
        <w:t>pisi</w:t>
      </w:r>
      <w:proofErr w:type="spellEnd"/>
      <w:r w:rsidRPr="00F74C3B">
        <w:rPr>
          <w:rFonts w:ascii="Arial" w:hAnsi="Arial" w:cs="Arial"/>
          <w:sz w:val="20"/>
          <w:szCs w:val="20"/>
        </w:rPr>
        <w:t xml:space="preserve">) of pea using fungicides. </w:t>
      </w:r>
      <w:r w:rsidRPr="00F74C3B">
        <w:rPr>
          <w:rFonts w:ascii="Arial" w:hAnsi="Arial" w:cs="Arial"/>
          <w:i/>
          <w:iCs/>
          <w:sz w:val="20"/>
          <w:szCs w:val="20"/>
        </w:rPr>
        <w:t>Plant Archives</w:t>
      </w:r>
      <w:r w:rsidRPr="00F74C3B">
        <w:rPr>
          <w:rFonts w:ascii="Arial" w:hAnsi="Arial" w:cs="Arial"/>
          <w:sz w:val="20"/>
          <w:szCs w:val="20"/>
        </w:rPr>
        <w:t>, 24(2), 1615–1619.</w:t>
      </w:r>
      <w:r w:rsidR="00B24A08" w:rsidRPr="00F74C3B">
        <w:rPr>
          <w:rFonts w:ascii="Arial" w:hAnsi="Arial" w:cs="Arial"/>
          <w:sz w:val="20"/>
          <w:szCs w:val="20"/>
        </w:rPr>
        <w:t xml:space="preserve">  https://doi.org/10.51470/PLANTARCHIVES.2024.v24.no.2.228</w:t>
      </w:r>
    </w:p>
    <w:p w14:paraId="606E5BA3" w14:textId="47619D3F" w:rsidR="00597FAC" w:rsidRDefault="00597FAC" w:rsidP="00597FAC">
      <w:pPr>
        <w:jc w:val="both"/>
      </w:pPr>
      <w:r w:rsidRPr="00F74C3B">
        <w:rPr>
          <w:rFonts w:ascii="Arial" w:hAnsi="Arial" w:cs="Arial"/>
          <w:sz w:val="20"/>
          <w:szCs w:val="20"/>
        </w:rPr>
        <w:t xml:space="preserve">Pérez-García, A., Romero, D., Fernández-Ortuño, D., López-Ruiz, F., De Vicente, A., &amp; </w:t>
      </w:r>
      <w:proofErr w:type="spellStart"/>
      <w:r w:rsidRPr="00F74C3B">
        <w:rPr>
          <w:rFonts w:ascii="Arial" w:hAnsi="Arial" w:cs="Arial"/>
          <w:sz w:val="20"/>
          <w:szCs w:val="20"/>
        </w:rPr>
        <w:t>Torés</w:t>
      </w:r>
      <w:proofErr w:type="spellEnd"/>
      <w:r w:rsidRPr="00F74C3B">
        <w:rPr>
          <w:rFonts w:ascii="Arial" w:hAnsi="Arial" w:cs="Arial"/>
          <w:sz w:val="20"/>
          <w:szCs w:val="20"/>
        </w:rPr>
        <w:t xml:space="preserve">, J. A. (2009). The powdery mildew fungus </w:t>
      </w:r>
      <w:proofErr w:type="spellStart"/>
      <w:r w:rsidRPr="00F74C3B">
        <w:rPr>
          <w:rFonts w:ascii="Arial" w:hAnsi="Arial" w:cs="Arial"/>
          <w:i/>
          <w:iCs/>
          <w:sz w:val="20"/>
          <w:szCs w:val="20"/>
        </w:rPr>
        <w:t>Podosphaera</w:t>
      </w:r>
      <w:proofErr w:type="spellEnd"/>
      <w:r w:rsidRPr="00F74C3B">
        <w:rPr>
          <w:rFonts w:ascii="Arial" w:hAnsi="Arial" w:cs="Arial"/>
          <w:i/>
          <w:iCs/>
          <w:sz w:val="20"/>
          <w:szCs w:val="20"/>
        </w:rPr>
        <w:t xml:space="preserve"> </w:t>
      </w:r>
      <w:proofErr w:type="spellStart"/>
      <w:r w:rsidRPr="00F74C3B">
        <w:rPr>
          <w:rFonts w:ascii="Arial" w:hAnsi="Arial" w:cs="Arial"/>
          <w:i/>
          <w:iCs/>
          <w:sz w:val="20"/>
          <w:szCs w:val="20"/>
        </w:rPr>
        <w:t>fusca</w:t>
      </w:r>
      <w:proofErr w:type="spellEnd"/>
      <w:r w:rsidRPr="00F74C3B">
        <w:rPr>
          <w:rFonts w:ascii="Arial" w:hAnsi="Arial" w:cs="Arial"/>
          <w:sz w:val="20"/>
          <w:szCs w:val="20"/>
        </w:rPr>
        <w:t xml:space="preserve"> (synonym </w:t>
      </w:r>
      <w:proofErr w:type="spellStart"/>
      <w:r w:rsidRPr="00F74C3B">
        <w:rPr>
          <w:rFonts w:ascii="Arial" w:hAnsi="Arial" w:cs="Arial"/>
          <w:i/>
          <w:iCs/>
          <w:sz w:val="20"/>
          <w:szCs w:val="20"/>
        </w:rPr>
        <w:t>Podosphaera</w:t>
      </w:r>
      <w:proofErr w:type="spellEnd"/>
      <w:r w:rsidRPr="00F74C3B">
        <w:rPr>
          <w:rFonts w:ascii="Arial" w:hAnsi="Arial" w:cs="Arial"/>
          <w:i/>
          <w:iCs/>
          <w:sz w:val="20"/>
          <w:szCs w:val="20"/>
        </w:rPr>
        <w:t xml:space="preserve"> </w:t>
      </w:r>
      <w:proofErr w:type="spellStart"/>
      <w:r w:rsidRPr="00F74C3B">
        <w:rPr>
          <w:rFonts w:ascii="Arial" w:hAnsi="Arial" w:cs="Arial"/>
          <w:i/>
          <w:iCs/>
          <w:sz w:val="20"/>
          <w:szCs w:val="20"/>
        </w:rPr>
        <w:t>xanthii</w:t>
      </w:r>
      <w:proofErr w:type="spellEnd"/>
      <w:r w:rsidRPr="00F74C3B">
        <w:rPr>
          <w:rFonts w:ascii="Arial" w:hAnsi="Arial" w:cs="Arial"/>
          <w:sz w:val="20"/>
          <w:szCs w:val="20"/>
        </w:rPr>
        <w:t xml:space="preserve">), a constant threat to cucurbits. </w:t>
      </w:r>
      <w:r w:rsidRPr="00F74C3B">
        <w:rPr>
          <w:rFonts w:ascii="Arial" w:hAnsi="Arial" w:cs="Arial"/>
          <w:i/>
          <w:iCs/>
          <w:sz w:val="20"/>
          <w:szCs w:val="20"/>
        </w:rPr>
        <w:t>Molecular Plant Pathology</w:t>
      </w:r>
      <w:r w:rsidRPr="00F74C3B">
        <w:rPr>
          <w:rFonts w:ascii="Arial" w:hAnsi="Arial" w:cs="Arial"/>
          <w:sz w:val="20"/>
          <w:szCs w:val="20"/>
        </w:rPr>
        <w:t>, 10(2), 153–160.</w:t>
      </w:r>
      <w:r w:rsidR="00B24A08" w:rsidRPr="00F74C3B">
        <w:rPr>
          <w:rFonts w:ascii="Arial" w:hAnsi="Arial" w:cs="Arial"/>
          <w:sz w:val="20"/>
          <w:szCs w:val="20"/>
        </w:rPr>
        <w:t xml:space="preserve"> https://doi.org/</w:t>
      </w:r>
      <w:hyperlink r:id="rId14" w:tgtFrame="_blank" w:history="1">
        <w:r w:rsidR="00B24A08" w:rsidRPr="00F74C3B">
          <w:rPr>
            <w:rStyle w:val="Hyperlink"/>
            <w:rFonts w:ascii="Arial" w:hAnsi="Arial" w:cs="Arial"/>
            <w:color w:val="auto"/>
            <w:sz w:val="20"/>
            <w:szCs w:val="20"/>
            <w:u w:val="none"/>
          </w:rPr>
          <w:t>10.1111/j.1364-3703.2008.00527.x</w:t>
        </w:r>
      </w:hyperlink>
    </w:p>
    <w:p w14:paraId="3BF7C043" w14:textId="63648DF2" w:rsidR="00BC55AB" w:rsidRPr="00BC55AB" w:rsidRDefault="00BC55AB" w:rsidP="00597FAC">
      <w:pPr>
        <w:jc w:val="both"/>
        <w:rPr>
          <w:rFonts w:ascii="Arial" w:hAnsi="Arial" w:cs="Arial"/>
          <w:sz w:val="20"/>
          <w:szCs w:val="20"/>
        </w:rPr>
      </w:pPr>
      <w:r w:rsidRPr="00BC55AB">
        <w:rPr>
          <w:rFonts w:ascii="Arial" w:hAnsi="Arial" w:cs="Arial"/>
          <w:sz w:val="20"/>
          <w:szCs w:val="20"/>
        </w:rPr>
        <w:t xml:space="preserve">Raja V, Lakshmanan V, Thangaraj M, Kumar V. </w:t>
      </w:r>
      <w:r>
        <w:rPr>
          <w:rFonts w:ascii="Arial" w:hAnsi="Arial" w:cs="Arial"/>
          <w:sz w:val="20"/>
          <w:szCs w:val="20"/>
        </w:rPr>
        <w:t>(</w:t>
      </w:r>
      <w:r w:rsidRPr="00BC55AB">
        <w:rPr>
          <w:rFonts w:ascii="Arial" w:hAnsi="Arial" w:cs="Arial"/>
          <w:sz w:val="20"/>
          <w:szCs w:val="20"/>
        </w:rPr>
        <w:t>2023</w:t>
      </w:r>
      <w:r>
        <w:rPr>
          <w:rFonts w:ascii="Arial" w:hAnsi="Arial" w:cs="Arial"/>
          <w:sz w:val="20"/>
          <w:szCs w:val="20"/>
        </w:rPr>
        <w:t xml:space="preserve">) </w:t>
      </w:r>
      <w:r w:rsidRPr="00BC55AB">
        <w:rPr>
          <w:rFonts w:ascii="Arial" w:hAnsi="Arial" w:cs="Arial"/>
          <w:sz w:val="20"/>
          <w:szCs w:val="20"/>
        </w:rPr>
        <w:t xml:space="preserve">Evaluation of Different Treatments on the Management of Black Gram Powdery Mildew Disease Caused by </w:t>
      </w:r>
      <w:proofErr w:type="spellStart"/>
      <w:r w:rsidRPr="00BC55AB">
        <w:rPr>
          <w:rFonts w:ascii="Arial" w:hAnsi="Arial" w:cs="Arial"/>
          <w:i/>
          <w:iCs/>
          <w:sz w:val="20"/>
          <w:szCs w:val="20"/>
        </w:rPr>
        <w:t>Erysiphe</w:t>
      </w:r>
      <w:proofErr w:type="spellEnd"/>
      <w:r w:rsidRPr="00BC55AB">
        <w:rPr>
          <w:rFonts w:ascii="Arial" w:hAnsi="Arial" w:cs="Arial"/>
          <w:i/>
          <w:iCs/>
          <w:sz w:val="20"/>
          <w:szCs w:val="20"/>
        </w:rPr>
        <w:t xml:space="preserve"> </w:t>
      </w:r>
      <w:proofErr w:type="spellStart"/>
      <w:r w:rsidRPr="00BC55AB">
        <w:rPr>
          <w:rFonts w:ascii="Arial" w:hAnsi="Arial" w:cs="Arial"/>
          <w:i/>
          <w:iCs/>
          <w:sz w:val="20"/>
          <w:szCs w:val="20"/>
        </w:rPr>
        <w:t>Polygoni</w:t>
      </w:r>
      <w:proofErr w:type="spellEnd"/>
      <w:r w:rsidRPr="00BC55AB">
        <w:rPr>
          <w:rFonts w:ascii="Arial" w:hAnsi="Arial" w:cs="Arial"/>
          <w:sz w:val="20"/>
          <w:szCs w:val="20"/>
        </w:rPr>
        <w:t xml:space="preserve"> (De Candolle). </w:t>
      </w:r>
      <w:r w:rsidRPr="00BC55AB">
        <w:rPr>
          <w:rFonts w:ascii="Arial" w:hAnsi="Arial" w:cs="Arial"/>
          <w:i/>
          <w:iCs/>
          <w:sz w:val="20"/>
          <w:szCs w:val="20"/>
        </w:rPr>
        <w:t>Current Agriculture Research Journal</w:t>
      </w:r>
      <w:r>
        <w:rPr>
          <w:rFonts w:ascii="Arial" w:hAnsi="Arial" w:cs="Arial"/>
          <w:sz w:val="20"/>
          <w:szCs w:val="20"/>
        </w:rPr>
        <w:t>,</w:t>
      </w:r>
      <w:r w:rsidRPr="00BC55AB">
        <w:rPr>
          <w:rFonts w:ascii="Arial" w:hAnsi="Arial" w:cs="Arial"/>
          <w:sz w:val="20"/>
          <w:szCs w:val="20"/>
        </w:rPr>
        <w:t xml:space="preserve"> 11(3). </w:t>
      </w:r>
      <w:hyperlink r:id="rId15" w:history="1">
        <w:r w:rsidRPr="00BC55AB">
          <w:rPr>
            <w:rStyle w:val="Hyperlink"/>
            <w:rFonts w:ascii="Arial" w:hAnsi="Arial" w:cs="Arial"/>
            <w:color w:val="auto"/>
            <w:sz w:val="20"/>
            <w:szCs w:val="20"/>
            <w:u w:val="none"/>
          </w:rPr>
          <w:t>http://dx.doi.org/10.12944/CARJ.11.3.18</w:t>
        </w:r>
      </w:hyperlink>
    </w:p>
    <w:p w14:paraId="49226EB4" w14:textId="73191177" w:rsidR="00DB3F86" w:rsidRPr="00DB3F86" w:rsidRDefault="00DB3F86" w:rsidP="00597FAC">
      <w:pPr>
        <w:jc w:val="both"/>
        <w:rPr>
          <w:rFonts w:ascii="Arial" w:hAnsi="Arial" w:cs="Arial"/>
          <w:sz w:val="20"/>
          <w:szCs w:val="20"/>
        </w:rPr>
      </w:pPr>
      <w:r w:rsidRPr="00DB3F86">
        <w:rPr>
          <w:rFonts w:ascii="Arial" w:hAnsi="Arial" w:cs="Arial"/>
          <w:sz w:val="20"/>
          <w:szCs w:val="20"/>
        </w:rPr>
        <w:t>Reddy, B. R., Nagendran, K., Pandey, M., &amp; Rai, N. (2023). Field screening for powdery mildew resistance (</w:t>
      </w:r>
      <w:proofErr w:type="spellStart"/>
      <w:r w:rsidRPr="00DB3F86">
        <w:rPr>
          <w:rFonts w:ascii="Arial" w:hAnsi="Arial" w:cs="Arial"/>
          <w:i/>
          <w:iCs/>
          <w:sz w:val="20"/>
          <w:szCs w:val="20"/>
        </w:rPr>
        <w:t>Erysiphe</w:t>
      </w:r>
      <w:proofErr w:type="spellEnd"/>
      <w:r w:rsidRPr="00DB3F86">
        <w:rPr>
          <w:rFonts w:ascii="Arial" w:hAnsi="Arial" w:cs="Arial"/>
          <w:i/>
          <w:iCs/>
          <w:sz w:val="20"/>
          <w:szCs w:val="20"/>
        </w:rPr>
        <w:t xml:space="preserve"> </w:t>
      </w:r>
      <w:proofErr w:type="spellStart"/>
      <w:r w:rsidRPr="00DB3F86">
        <w:rPr>
          <w:rFonts w:ascii="Arial" w:hAnsi="Arial" w:cs="Arial"/>
          <w:i/>
          <w:iCs/>
          <w:sz w:val="20"/>
          <w:szCs w:val="20"/>
        </w:rPr>
        <w:t>polygoni</w:t>
      </w:r>
      <w:proofErr w:type="spellEnd"/>
      <w:r w:rsidRPr="00DB3F86">
        <w:rPr>
          <w:rFonts w:ascii="Arial" w:hAnsi="Arial" w:cs="Arial"/>
          <w:sz w:val="20"/>
          <w:szCs w:val="20"/>
        </w:rPr>
        <w:t xml:space="preserve"> DC) in cowpea. </w:t>
      </w:r>
      <w:r w:rsidRPr="00DB3F86">
        <w:rPr>
          <w:rFonts w:ascii="Arial" w:hAnsi="Arial" w:cs="Arial"/>
          <w:i/>
          <w:iCs/>
          <w:sz w:val="20"/>
          <w:szCs w:val="20"/>
        </w:rPr>
        <w:t>International Journal of Plant &amp; Soil Science</w:t>
      </w:r>
      <w:r w:rsidRPr="00DB3F86">
        <w:rPr>
          <w:rFonts w:ascii="Arial" w:hAnsi="Arial" w:cs="Arial"/>
          <w:sz w:val="20"/>
          <w:szCs w:val="20"/>
        </w:rPr>
        <w:t xml:space="preserve">, 35(19), 963–967. </w:t>
      </w:r>
      <w:hyperlink r:id="rId16" w:tgtFrame="_new" w:history="1">
        <w:r w:rsidRPr="00DB3F86">
          <w:rPr>
            <w:rStyle w:val="Hyperlink"/>
            <w:rFonts w:ascii="Arial" w:hAnsi="Arial" w:cs="Arial"/>
            <w:color w:val="auto"/>
            <w:sz w:val="20"/>
            <w:szCs w:val="20"/>
            <w:u w:val="none"/>
          </w:rPr>
          <w:t>https://journalijpss.com/index.php/IJPSS/article/view/3631</w:t>
        </w:r>
      </w:hyperlink>
    </w:p>
    <w:p w14:paraId="04BE741B" w14:textId="200AE335" w:rsidR="00597FAC" w:rsidRPr="00F74C3B" w:rsidRDefault="00597FAC" w:rsidP="00597FAC">
      <w:pPr>
        <w:jc w:val="both"/>
        <w:rPr>
          <w:rFonts w:ascii="Arial" w:hAnsi="Arial" w:cs="Arial"/>
          <w:sz w:val="20"/>
          <w:szCs w:val="20"/>
        </w:rPr>
      </w:pPr>
      <w:r w:rsidRPr="00F74C3B">
        <w:rPr>
          <w:rFonts w:ascii="Arial" w:hAnsi="Arial" w:cs="Arial"/>
          <w:sz w:val="20"/>
          <w:szCs w:val="20"/>
        </w:rPr>
        <w:t xml:space="preserve">Romero, D., De Vicente, A., </w:t>
      </w:r>
      <w:proofErr w:type="spellStart"/>
      <w:r w:rsidRPr="00F74C3B">
        <w:rPr>
          <w:rFonts w:ascii="Arial" w:hAnsi="Arial" w:cs="Arial"/>
          <w:sz w:val="20"/>
          <w:szCs w:val="20"/>
        </w:rPr>
        <w:t>Zeriouh</w:t>
      </w:r>
      <w:proofErr w:type="spellEnd"/>
      <w:r w:rsidRPr="00F74C3B">
        <w:rPr>
          <w:rFonts w:ascii="Arial" w:hAnsi="Arial" w:cs="Arial"/>
          <w:sz w:val="20"/>
          <w:szCs w:val="20"/>
        </w:rPr>
        <w:t xml:space="preserve">, H., Cazorla, F. M., Fernández-Ortuño, D., &amp; Pérez-García, A. (2007). Evaluation of biological control agents for managing cucurbit powdery mildew on greenhouse-grown melon. </w:t>
      </w:r>
      <w:r w:rsidRPr="00F74C3B">
        <w:rPr>
          <w:rFonts w:ascii="Arial" w:hAnsi="Arial" w:cs="Arial"/>
          <w:i/>
          <w:iCs/>
          <w:sz w:val="20"/>
          <w:szCs w:val="20"/>
        </w:rPr>
        <w:t>Plant Pathology</w:t>
      </w:r>
      <w:r w:rsidRPr="00F74C3B">
        <w:rPr>
          <w:rFonts w:ascii="Arial" w:hAnsi="Arial" w:cs="Arial"/>
          <w:sz w:val="20"/>
          <w:szCs w:val="20"/>
        </w:rPr>
        <w:t>, 56, 976–986.</w:t>
      </w:r>
      <w:r w:rsidR="00B24A08" w:rsidRPr="00F74C3B">
        <w:rPr>
          <w:rFonts w:ascii="Arial" w:hAnsi="Arial" w:cs="Arial"/>
          <w:sz w:val="20"/>
          <w:szCs w:val="20"/>
        </w:rPr>
        <w:t xml:space="preserve"> </w:t>
      </w:r>
      <w:hyperlink r:id="rId17" w:history="1">
        <w:r w:rsidR="00B24A08" w:rsidRPr="00F74C3B">
          <w:rPr>
            <w:rStyle w:val="Hyperlink"/>
            <w:rFonts w:ascii="Arial" w:hAnsi="Arial" w:cs="Arial"/>
            <w:color w:val="auto"/>
            <w:sz w:val="20"/>
            <w:szCs w:val="20"/>
            <w:u w:val="none"/>
          </w:rPr>
          <w:t>https://doi.org/10.1111/j.1365-3059.2007.01684.x</w:t>
        </w:r>
      </w:hyperlink>
    </w:p>
    <w:p w14:paraId="1978D4E7" w14:textId="21A43050" w:rsidR="00597FAC" w:rsidRPr="00F74C3B" w:rsidRDefault="00597FAC" w:rsidP="00597FAC">
      <w:pPr>
        <w:jc w:val="both"/>
        <w:rPr>
          <w:rFonts w:ascii="Arial" w:hAnsi="Arial" w:cs="Arial"/>
          <w:sz w:val="20"/>
          <w:szCs w:val="20"/>
        </w:rPr>
      </w:pPr>
      <w:r w:rsidRPr="00F74C3B">
        <w:rPr>
          <w:rFonts w:ascii="Arial" w:hAnsi="Arial" w:cs="Arial"/>
          <w:sz w:val="20"/>
          <w:szCs w:val="20"/>
        </w:rPr>
        <w:t>Singh, V., &amp; Sharma, R. C. (2009). Efficacy of fungicides against powdery mildew (</w:t>
      </w:r>
      <w:proofErr w:type="spellStart"/>
      <w:r w:rsidRPr="00F74C3B">
        <w:rPr>
          <w:rFonts w:ascii="Arial" w:hAnsi="Arial" w:cs="Arial"/>
          <w:i/>
          <w:iCs/>
          <w:sz w:val="20"/>
          <w:szCs w:val="20"/>
        </w:rPr>
        <w:t>Podosphaera</w:t>
      </w:r>
      <w:proofErr w:type="spellEnd"/>
      <w:r w:rsidRPr="00F74C3B">
        <w:rPr>
          <w:rFonts w:ascii="Arial" w:hAnsi="Arial" w:cs="Arial"/>
          <w:i/>
          <w:iCs/>
          <w:sz w:val="20"/>
          <w:szCs w:val="20"/>
        </w:rPr>
        <w:t xml:space="preserve"> </w:t>
      </w:r>
      <w:proofErr w:type="spellStart"/>
      <w:r w:rsidRPr="00F74C3B">
        <w:rPr>
          <w:rFonts w:ascii="Arial" w:hAnsi="Arial" w:cs="Arial"/>
          <w:i/>
          <w:iCs/>
          <w:sz w:val="20"/>
          <w:szCs w:val="20"/>
        </w:rPr>
        <w:t>xanthii</w:t>
      </w:r>
      <w:proofErr w:type="spellEnd"/>
      <w:r w:rsidRPr="00F74C3B">
        <w:rPr>
          <w:rFonts w:ascii="Arial" w:hAnsi="Arial" w:cs="Arial"/>
          <w:sz w:val="20"/>
          <w:szCs w:val="20"/>
        </w:rPr>
        <w:t xml:space="preserve">) of cucumber. </w:t>
      </w:r>
      <w:r w:rsidRPr="00F74C3B">
        <w:rPr>
          <w:rFonts w:ascii="Arial" w:hAnsi="Arial" w:cs="Arial"/>
          <w:i/>
          <w:iCs/>
          <w:sz w:val="20"/>
          <w:szCs w:val="20"/>
        </w:rPr>
        <w:t>Indian Journal of Plant Protection</w:t>
      </w:r>
      <w:r w:rsidRPr="00F74C3B">
        <w:rPr>
          <w:rFonts w:ascii="Arial" w:hAnsi="Arial" w:cs="Arial"/>
          <w:sz w:val="20"/>
          <w:szCs w:val="20"/>
        </w:rPr>
        <w:t>, 37(2), 255–257.</w:t>
      </w:r>
      <w:r w:rsidR="00B24A08" w:rsidRPr="00F74C3B">
        <w:rPr>
          <w:rFonts w:ascii="Arial" w:hAnsi="Arial" w:cs="Arial"/>
          <w:sz w:val="20"/>
          <w:szCs w:val="20"/>
        </w:rPr>
        <w:t xml:space="preserve"> https://doi.org/</w:t>
      </w:r>
      <w:r w:rsidR="00B24A08" w:rsidRPr="00F74C3B">
        <w:rPr>
          <w:rFonts w:ascii="Arial" w:hAnsi="Arial" w:cs="Arial"/>
        </w:rPr>
        <w:t xml:space="preserve"> </w:t>
      </w:r>
      <w:hyperlink r:id="rId18" w:tgtFrame="_blank" w:history="1">
        <w:r w:rsidR="00B24A08" w:rsidRPr="00F74C3B">
          <w:rPr>
            <w:rStyle w:val="Hyperlink"/>
            <w:rFonts w:ascii="Arial" w:hAnsi="Arial" w:cs="Arial"/>
            <w:color w:val="auto"/>
            <w:sz w:val="20"/>
            <w:szCs w:val="20"/>
            <w:u w:val="none"/>
          </w:rPr>
          <w:t>0.33545/26174693.2024.v8.i8Sp.2012</w:t>
        </w:r>
      </w:hyperlink>
    </w:p>
    <w:p w14:paraId="4B8C5206" w14:textId="585DA9C8" w:rsidR="00597FAC" w:rsidRPr="00F74C3B" w:rsidRDefault="00597FAC" w:rsidP="00597FAC">
      <w:pPr>
        <w:jc w:val="both"/>
        <w:rPr>
          <w:rFonts w:ascii="Arial" w:hAnsi="Arial" w:cs="Arial"/>
          <w:sz w:val="20"/>
          <w:szCs w:val="20"/>
          <w:u w:val="single"/>
        </w:rPr>
      </w:pPr>
      <w:r w:rsidRPr="00F74C3B">
        <w:rPr>
          <w:rFonts w:ascii="Arial" w:hAnsi="Arial" w:cs="Arial"/>
          <w:sz w:val="20"/>
          <w:szCs w:val="20"/>
        </w:rPr>
        <w:t xml:space="preserve">Tetteh, A. Y., Wehner, T. C., &amp; Davis, A. R. (2010). Identifying resistance to powdery mildew race 2W in the USDA-ARS watermelon germplasm collection. </w:t>
      </w:r>
      <w:r w:rsidRPr="00F74C3B">
        <w:rPr>
          <w:rFonts w:ascii="Arial" w:hAnsi="Arial" w:cs="Arial"/>
          <w:i/>
          <w:iCs/>
          <w:sz w:val="20"/>
          <w:szCs w:val="20"/>
        </w:rPr>
        <w:t>Crop Science</w:t>
      </w:r>
      <w:r w:rsidRPr="00F74C3B">
        <w:rPr>
          <w:rFonts w:ascii="Arial" w:hAnsi="Arial" w:cs="Arial"/>
          <w:sz w:val="20"/>
          <w:szCs w:val="20"/>
        </w:rPr>
        <w:t>, 50, 933–939.</w:t>
      </w:r>
      <w:r w:rsidR="00F74C3B" w:rsidRPr="00F74C3B">
        <w:rPr>
          <w:rFonts w:ascii="Arial" w:hAnsi="Arial" w:cs="Arial"/>
          <w:sz w:val="20"/>
          <w:szCs w:val="20"/>
        </w:rPr>
        <w:t xml:space="preserve">  </w:t>
      </w:r>
      <w:hyperlink r:id="rId19" w:history="1">
        <w:r w:rsidR="00F74C3B" w:rsidRPr="00F74C3B">
          <w:rPr>
            <w:rStyle w:val="Hyperlink"/>
            <w:rFonts w:ascii="Arial" w:hAnsi="Arial" w:cs="Arial"/>
            <w:color w:val="auto"/>
            <w:sz w:val="20"/>
            <w:szCs w:val="20"/>
            <w:u w:val="none"/>
          </w:rPr>
          <w:t>https://doi.org/10.2135/cropsci2009.03.0135</w:t>
        </w:r>
      </w:hyperlink>
    </w:p>
    <w:p w14:paraId="61337B2E" w14:textId="77777777" w:rsidR="00597FAC" w:rsidRDefault="00597FAC" w:rsidP="00597FAC">
      <w:pPr>
        <w:jc w:val="both"/>
        <w:rPr>
          <w:rFonts w:ascii="Arial" w:hAnsi="Arial" w:cs="Arial"/>
          <w:sz w:val="20"/>
          <w:szCs w:val="20"/>
        </w:rPr>
      </w:pPr>
      <w:r w:rsidRPr="00F74C3B">
        <w:rPr>
          <w:rFonts w:ascii="Arial" w:hAnsi="Arial" w:cs="Arial"/>
          <w:sz w:val="20"/>
          <w:szCs w:val="20"/>
        </w:rPr>
        <w:t xml:space="preserve">Townsend, G. R., &amp; Heuberger, J. W. (1943). Methods for estimating losses caused by diseases in fungicide experiments. </w:t>
      </w:r>
      <w:r w:rsidRPr="00F74C3B">
        <w:rPr>
          <w:rFonts w:ascii="Arial" w:hAnsi="Arial" w:cs="Arial"/>
          <w:i/>
          <w:iCs/>
          <w:sz w:val="20"/>
          <w:szCs w:val="20"/>
        </w:rPr>
        <w:t>Plant Disease Reporter</w:t>
      </w:r>
      <w:r w:rsidRPr="00F74C3B">
        <w:rPr>
          <w:rFonts w:ascii="Arial" w:hAnsi="Arial" w:cs="Arial"/>
          <w:sz w:val="20"/>
          <w:szCs w:val="20"/>
        </w:rPr>
        <w:t>, 27, 340–343.</w:t>
      </w:r>
    </w:p>
    <w:p w14:paraId="60B5549E" w14:textId="4B7BF628" w:rsidR="00F85833" w:rsidRPr="00F74C3B" w:rsidRDefault="00597FAC" w:rsidP="00597FAC">
      <w:pPr>
        <w:jc w:val="both"/>
        <w:rPr>
          <w:rFonts w:ascii="Arial" w:hAnsi="Arial" w:cs="Arial"/>
          <w:sz w:val="20"/>
          <w:szCs w:val="20"/>
        </w:rPr>
      </w:pPr>
      <w:proofErr w:type="spellStart"/>
      <w:r w:rsidRPr="00F74C3B">
        <w:rPr>
          <w:rFonts w:ascii="Arial" w:hAnsi="Arial" w:cs="Arial"/>
          <w:sz w:val="20"/>
          <w:szCs w:val="20"/>
        </w:rPr>
        <w:lastRenderedPageBreak/>
        <w:t>Vielba-Fernández</w:t>
      </w:r>
      <w:proofErr w:type="spellEnd"/>
      <w:r w:rsidRPr="00F74C3B">
        <w:rPr>
          <w:rFonts w:ascii="Arial" w:hAnsi="Arial" w:cs="Arial"/>
          <w:sz w:val="20"/>
          <w:szCs w:val="20"/>
        </w:rPr>
        <w:t xml:space="preserve">, A., Polonio, Á., Ruiz-Jiménez, L., de Vicente, A., Pérez-García, A., &amp; Fernández-Ortuño, D. (2020). Fungicide resistance in powdery mildew fungi. </w:t>
      </w:r>
      <w:r w:rsidRPr="00F74C3B">
        <w:rPr>
          <w:rFonts w:ascii="Arial" w:hAnsi="Arial" w:cs="Arial"/>
          <w:i/>
          <w:iCs/>
          <w:sz w:val="20"/>
          <w:szCs w:val="20"/>
        </w:rPr>
        <w:t>Microorganisms</w:t>
      </w:r>
      <w:r w:rsidRPr="00F74C3B">
        <w:rPr>
          <w:rFonts w:ascii="Arial" w:hAnsi="Arial" w:cs="Arial"/>
          <w:sz w:val="20"/>
          <w:szCs w:val="20"/>
        </w:rPr>
        <w:t>, 8(11), 1710</w:t>
      </w:r>
      <w:r w:rsidR="00B24A08" w:rsidRPr="00F74C3B">
        <w:rPr>
          <w:rFonts w:ascii="Arial" w:hAnsi="Arial" w:cs="Arial"/>
          <w:sz w:val="20"/>
          <w:szCs w:val="20"/>
        </w:rPr>
        <w:t>.</w:t>
      </w:r>
      <w:r w:rsidRPr="00F74C3B">
        <w:rPr>
          <w:rFonts w:ascii="Arial" w:hAnsi="Arial" w:cs="Arial"/>
          <w:sz w:val="20"/>
          <w:szCs w:val="20"/>
        </w:rPr>
        <w:t xml:space="preserve"> https://doi.org/10.3390/microorganisms8111710NUM</w:t>
      </w:r>
    </w:p>
    <w:sectPr w:rsidR="00F85833" w:rsidRPr="00F74C3B" w:rsidSect="00597FAC">
      <w:pgSz w:w="11906" w:h="16838"/>
      <w:pgMar w:top="1440" w:right="1440" w:bottom="1440" w:left="1440" w:header="709" w:footer="709" w:gutter="0"/>
      <w:lnNumType w:countBy="1" w:start="154"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D488A" w14:textId="77777777" w:rsidR="00593A2E" w:rsidRDefault="00593A2E" w:rsidP="00CA31A7">
      <w:pPr>
        <w:spacing w:after="0" w:line="240" w:lineRule="auto"/>
      </w:pPr>
      <w:r>
        <w:separator/>
      </w:r>
    </w:p>
  </w:endnote>
  <w:endnote w:type="continuationSeparator" w:id="0">
    <w:p w14:paraId="42EE33C4" w14:textId="77777777" w:rsidR="00593A2E" w:rsidRDefault="00593A2E" w:rsidP="00CA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437A5" w14:textId="77777777" w:rsidR="00CA31A7" w:rsidRPr="00CA31A7" w:rsidRDefault="00CA31A7">
    <w:pPr>
      <w:pStyle w:val="Footer"/>
      <w:rPr>
        <w:sz w:val="22"/>
        <w:szCs w:val="22"/>
      </w:rPr>
    </w:pPr>
  </w:p>
  <w:p w14:paraId="56690E61" w14:textId="77777777" w:rsidR="00CA31A7" w:rsidRDefault="00CA3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75192" w14:textId="77777777" w:rsidR="00593A2E" w:rsidRDefault="00593A2E" w:rsidP="00CA31A7">
      <w:pPr>
        <w:spacing w:after="0" w:line="240" w:lineRule="auto"/>
      </w:pPr>
      <w:r>
        <w:separator/>
      </w:r>
    </w:p>
  </w:footnote>
  <w:footnote w:type="continuationSeparator" w:id="0">
    <w:p w14:paraId="1FFE202E" w14:textId="77777777" w:rsidR="00593A2E" w:rsidRDefault="00593A2E" w:rsidP="00CA3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F175E"/>
    <w:multiLevelType w:val="multilevel"/>
    <w:tmpl w:val="50A2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9F2ADD"/>
    <w:multiLevelType w:val="hybridMultilevel"/>
    <w:tmpl w:val="D4FEC1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35"/>
    <w:rsid w:val="00017EBD"/>
    <w:rsid w:val="00024267"/>
    <w:rsid w:val="00033E32"/>
    <w:rsid w:val="0004645D"/>
    <w:rsid w:val="00062433"/>
    <w:rsid w:val="00064EDA"/>
    <w:rsid w:val="000739A3"/>
    <w:rsid w:val="000A4F64"/>
    <w:rsid w:val="000C441D"/>
    <w:rsid w:val="000C50D6"/>
    <w:rsid w:val="00164B75"/>
    <w:rsid w:val="001A1D2C"/>
    <w:rsid w:val="001D55FD"/>
    <w:rsid w:val="00275A13"/>
    <w:rsid w:val="00276B06"/>
    <w:rsid w:val="00276CD2"/>
    <w:rsid w:val="002A6E65"/>
    <w:rsid w:val="002C1FC5"/>
    <w:rsid w:val="002C5C80"/>
    <w:rsid w:val="002D0637"/>
    <w:rsid w:val="002D4225"/>
    <w:rsid w:val="002F37A0"/>
    <w:rsid w:val="00301662"/>
    <w:rsid w:val="00322EFE"/>
    <w:rsid w:val="00451C03"/>
    <w:rsid w:val="0046597B"/>
    <w:rsid w:val="00481AE5"/>
    <w:rsid w:val="00593A2E"/>
    <w:rsid w:val="00594D34"/>
    <w:rsid w:val="00597FAC"/>
    <w:rsid w:val="00602EA8"/>
    <w:rsid w:val="00603F95"/>
    <w:rsid w:val="00634035"/>
    <w:rsid w:val="00671B48"/>
    <w:rsid w:val="00695F89"/>
    <w:rsid w:val="00711F70"/>
    <w:rsid w:val="00744C43"/>
    <w:rsid w:val="007509C2"/>
    <w:rsid w:val="00835CEE"/>
    <w:rsid w:val="00856410"/>
    <w:rsid w:val="008C4C60"/>
    <w:rsid w:val="0090507D"/>
    <w:rsid w:val="00961387"/>
    <w:rsid w:val="00972B7A"/>
    <w:rsid w:val="009D4416"/>
    <w:rsid w:val="00A14DE0"/>
    <w:rsid w:val="00A440AB"/>
    <w:rsid w:val="00A528C9"/>
    <w:rsid w:val="00AB2BC3"/>
    <w:rsid w:val="00AC734D"/>
    <w:rsid w:val="00B03364"/>
    <w:rsid w:val="00B24A08"/>
    <w:rsid w:val="00B30E50"/>
    <w:rsid w:val="00B40F5F"/>
    <w:rsid w:val="00BC106D"/>
    <w:rsid w:val="00BC55AB"/>
    <w:rsid w:val="00BE01F0"/>
    <w:rsid w:val="00BE5B0E"/>
    <w:rsid w:val="00C037E3"/>
    <w:rsid w:val="00C717FF"/>
    <w:rsid w:val="00C8095C"/>
    <w:rsid w:val="00CA31A7"/>
    <w:rsid w:val="00CA5362"/>
    <w:rsid w:val="00CC6CB4"/>
    <w:rsid w:val="00CF5CDC"/>
    <w:rsid w:val="00D46BE7"/>
    <w:rsid w:val="00D81BEC"/>
    <w:rsid w:val="00DB3F86"/>
    <w:rsid w:val="00DB4200"/>
    <w:rsid w:val="00DF2F9E"/>
    <w:rsid w:val="00E0152D"/>
    <w:rsid w:val="00E53A07"/>
    <w:rsid w:val="00EC17A9"/>
    <w:rsid w:val="00ED3CD9"/>
    <w:rsid w:val="00ED4CF5"/>
    <w:rsid w:val="00EE2E39"/>
    <w:rsid w:val="00EE4BBB"/>
    <w:rsid w:val="00F1301B"/>
    <w:rsid w:val="00F27512"/>
    <w:rsid w:val="00F36159"/>
    <w:rsid w:val="00F74C3B"/>
    <w:rsid w:val="00F858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F581"/>
  <w15:chartTrackingRefBased/>
  <w15:docId w15:val="{00660746-4FD7-4D92-83E6-B71680E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40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0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0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0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0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0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0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0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0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35"/>
    <w:rPr>
      <w:rFonts w:eastAsiaTheme="majorEastAsia" w:cstheme="majorBidi"/>
      <w:color w:val="272727" w:themeColor="text1" w:themeTint="D8"/>
    </w:rPr>
  </w:style>
  <w:style w:type="paragraph" w:styleId="Title">
    <w:name w:val="Title"/>
    <w:basedOn w:val="Normal"/>
    <w:next w:val="Normal"/>
    <w:link w:val="TitleChar"/>
    <w:uiPriority w:val="10"/>
    <w:qFormat/>
    <w:rsid w:val="00634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35"/>
    <w:pPr>
      <w:spacing w:before="160"/>
      <w:jc w:val="center"/>
    </w:pPr>
    <w:rPr>
      <w:i/>
      <w:iCs/>
      <w:color w:val="404040" w:themeColor="text1" w:themeTint="BF"/>
    </w:rPr>
  </w:style>
  <w:style w:type="character" w:customStyle="1" w:styleId="QuoteChar">
    <w:name w:val="Quote Char"/>
    <w:basedOn w:val="DefaultParagraphFont"/>
    <w:link w:val="Quote"/>
    <w:uiPriority w:val="29"/>
    <w:rsid w:val="00634035"/>
    <w:rPr>
      <w:i/>
      <w:iCs/>
      <w:color w:val="404040" w:themeColor="text1" w:themeTint="BF"/>
    </w:rPr>
  </w:style>
  <w:style w:type="paragraph" w:styleId="ListParagraph">
    <w:name w:val="List Paragraph"/>
    <w:basedOn w:val="Normal"/>
    <w:uiPriority w:val="34"/>
    <w:qFormat/>
    <w:rsid w:val="00634035"/>
    <w:pPr>
      <w:ind w:left="720"/>
      <w:contextualSpacing/>
    </w:pPr>
  </w:style>
  <w:style w:type="character" w:styleId="IntenseEmphasis">
    <w:name w:val="Intense Emphasis"/>
    <w:basedOn w:val="DefaultParagraphFont"/>
    <w:uiPriority w:val="21"/>
    <w:qFormat/>
    <w:rsid w:val="00634035"/>
    <w:rPr>
      <w:i/>
      <w:iCs/>
      <w:color w:val="2F5496" w:themeColor="accent1" w:themeShade="BF"/>
    </w:rPr>
  </w:style>
  <w:style w:type="paragraph" w:styleId="IntenseQuote">
    <w:name w:val="Intense Quote"/>
    <w:basedOn w:val="Normal"/>
    <w:next w:val="Normal"/>
    <w:link w:val="IntenseQuoteChar"/>
    <w:uiPriority w:val="30"/>
    <w:qFormat/>
    <w:rsid w:val="00634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035"/>
    <w:rPr>
      <w:i/>
      <w:iCs/>
      <w:color w:val="2F5496" w:themeColor="accent1" w:themeShade="BF"/>
    </w:rPr>
  </w:style>
  <w:style w:type="character" w:styleId="IntenseReference">
    <w:name w:val="Intense Reference"/>
    <w:basedOn w:val="DefaultParagraphFont"/>
    <w:uiPriority w:val="32"/>
    <w:qFormat/>
    <w:rsid w:val="00634035"/>
    <w:rPr>
      <w:b/>
      <w:bCs/>
      <w:smallCaps/>
      <w:color w:val="2F5496" w:themeColor="accent1" w:themeShade="BF"/>
      <w:spacing w:val="5"/>
    </w:rPr>
  </w:style>
  <w:style w:type="character" w:styleId="Hyperlink">
    <w:name w:val="Hyperlink"/>
    <w:basedOn w:val="DefaultParagraphFont"/>
    <w:uiPriority w:val="99"/>
    <w:unhideWhenUsed/>
    <w:rsid w:val="00CF5CDC"/>
    <w:rPr>
      <w:color w:val="0563C1" w:themeColor="hyperlink"/>
      <w:u w:val="single"/>
    </w:rPr>
  </w:style>
  <w:style w:type="paragraph" w:styleId="NormalWeb">
    <w:name w:val="Normal (Web)"/>
    <w:basedOn w:val="Normal"/>
    <w:uiPriority w:val="99"/>
    <w:unhideWhenUsed/>
    <w:rsid w:val="00CF5CDC"/>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59"/>
    <w:rsid w:val="00F2751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1A7"/>
  </w:style>
  <w:style w:type="paragraph" w:styleId="Footer">
    <w:name w:val="footer"/>
    <w:basedOn w:val="Normal"/>
    <w:link w:val="FooterChar"/>
    <w:uiPriority w:val="99"/>
    <w:unhideWhenUsed/>
    <w:rsid w:val="00CA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1A7"/>
  </w:style>
  <w:style w:type="character" w:styleId="PlaceholderText">
    <w:name w:val="Placeholder Text"/>
    <w:basedOn w:val="DefaultParagraphFont"/>
    <w:uiPriority w:val="99"/>
    <w:semiHidden/>
    <w:rsid w:val="00CA31A7"/>
    <w:rPr>
      <w:color w:val="666666"/>
    </w:rPr>
  </w:style>
  <w:style w:type="character" w:customStyle="1" w:styleId="UnresolvedMention">
    <w:name w:val="Unresolved Mention"/>
    <w:basedOn w:val="DefaultParagraphFont"/>
    <w:uiPriority w:val="99"/>
    <w:semiHidden/>
    <w:unhideWhenUsed/>
    <w:rsid w:val="00C037E3"/>
    <w:rPr>
      <w:color w:val="605E5C"/>
      <w:shd w:val="clear" w:color="auto" w:fill="E1DFDD"/>
    </w:rPr>
  </w:style>
  <w:style w:type="character" w:styleId="LineNumber">
    <w:name w:val="line number"/>
    <w:basedOn w:val="DefaultParagraphFont"/>
    <w:uiPriority w:val="99"/>
    <w:semiHidden/>
    <w:unhideWhenUsed/>
    <w:rsid w:val="0059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3744">
      <w:bodyDiv w:val="1"/>
      <w:marLeft w:val="0"/>
      <w:marRight w:val="0"/>
      <w:marTop w:val="0"/>
      <w:marBottom w:val="0"/>
      <w:divBdr>
        <w:top w:val="none" w:sz="0" w:space="0" w:color="auto"/>
        <w:left w:val="none" w:sz="0" w:space="0" w:color="auto"/>
        <w:bottom w:val="none" w:sz="0" w:space="0" w:color="auto"/>
        <w:right w:val="none" w:sz="0" w:space="0" w:color="auto"/>
      </w:divBdr>
    </w:div>
    <w:div w:id="112211420">
      <w:bodyDiv w:val="1"/>
      <w:marLeft w:val="0"/>
      <w:marRight w:val="0"/>
      <w:marTop w:val="0"/>
      <w:marBottom w:val="0"/>
      <w:divBdr>
        <w:top w:val="none" w:sz="0" w:space="0" w:color="auto"/>
        <w:left w:val="none" w:sz="0" w:space="0" w:color="auto"/>
        <w:bottom w:val="none" w:sz="0" w:space="0" w:color="auto"/>
        <w:right w:val="none" w:sz="0" w:space="0" w:color="auto"/>
      </w:divBdr>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624697712">
      <w:bodyDiv w:val="1"/>
      <w:marLeft w:val="0"/>
      <w:marRight w:val="0"/>
      <w:marTop w:val="0"/>
      <w:marBottom w:val="0"/>
      <w:divBdr>
        <w:top w:val="none" w:sz="0" w:space="0" w:color="auto"/>
        <w:left w:val="none" w:sz="0" w:space="0" w:color="auto"/>
        <w:bottom w:val="none" w:sz="0" w:space="0" w:color="auto"/>
        <w:right w:val="none" w:sz="0" w:space="0" w:color="auto"/>
      </w:divBdr>
    </w:div>
    <w:div w:id="714545602">
      <w:bodyDiv w:val="1"/>
      <w:marLeft w:val="0"/>
      <w:marRight w:val="0"/>
      <w:marTop w:val="0"/>
      <w:marBottom w:val="0"/>
      <w:divBdr>
        <w:top w:val="none" w:sz="0" w:space="0" w:color="auto"/>
        <w:left w:val="none" w:sz="0" w:space="0" w:color="auto"/>
        <w:bottom w:val="none" w:sz="0" w:space="0" w:color="auto"/>
        <w:right w:val="none" w:sz="0" w:space="0" w:color="auto"/>
      </w:divBdr>
    </w:div>
    <w:div w:id="814300235">
      <w:bodyDiv w:val="1"/>
      <w:marLeft w:val="0"/>
      <w:marRight w:val="0"/>
      <w:marTop w:val="0"/>
      <w:marBottom w:val="0"/>
      <w:divBdr>
        <w:top w:val="none" w:sz="0" w:space="0" w:color="auto"/>
        <w:left w:val="none" w:sz="0" w:space="0" w:color="auto"/>
        <w:bottom w:val="none" w:sz="0" w:space="0" w:color="auto"/>
        <w:right w:val="none" w:sz="0" w:space="0" w:color="auto"/>
      </w:divBdr>
    </w:div>
    <w:div w:id="928461148">
      <w:bodyDiv w:val="1"/>
      <w:marLeft w:val="0"/>
      <w:marRight w:val="0"/>
      <w:marTop w:val="0"/>
      <w:marBottom w:val="0"/>
      <w:divBdr>
        <w:top w:val="none" w:sz="0" w:space="0" w:color="auto"/>
        <w:left w:val="none" w:sz="0" w:space="0" w:color="auto"/>
        <w:bottom w:val="none" w:sz="0" w:space="0" w:color="auto"/>
        <w:right w:val="none" w:sz="0" w:space="0" w:color="auto"/>
      </w:divBdr>
    </w:div>
    <w:div w:id="1477526192">
      <w:bodyDiv w:val="1"/>
      <w:marLeft w:val="0"/>
      <w:marRight w:val="0"/>
      <w:marTop w:val="0"/>
      <w:marBottom w:val="0"/>
      <w:divBdr>
        <w:top w:val="none" w:sz="0" w:space="0" w:color="auto"/>
        <w:left w:val="none" w:sz="0" w:space="0" w:color="auto"/>
        <w:bottom w:val="none" w:sz="0" w:space="0" w:color="auto"/>
        <w:right w:val="none" w:sz="0" w:space="0" w:color="auto"/>
      </w:divBdr>
    </w:div>
    <w:div w:id="1609266409">
      <w:bodyDiv w:val="1"/>
      <w:marLeft w:val="0"/>
      <w:marRight w:val="0"/>
      <w:marTop w:val="0"/>
      <w:marBottom w:val="0"/>
      <w:divBdr>
        <w:top w:val="none" w:sz="0" w:space="0" w:color="auto"/>
        <w:left w:val="none" w:sz="0" w:space="0" w:color="auto"/>
        <w:bottom w:val="none" w:sz="0" w:space="0" w:color="auto"/>
        <w:right w:val="none" w:sz="0" w:space="0" w:color="auto"/>
      </w:divBdr>
    </w:div>
    <w:div w:id="1635988104">
      <w:bodyDiv w:val="1"/>
      <w:marLeft w:val="0"/>
      <w:marRight w:val="0"/>
      <w:marTop w:val="0"/>
      <w:marBottom w:val="0"/>
      <w:divBdr>
        <w:top w:val="none" w:sz="0" w:space="0" w:color="auto"/>
        <w:left w:val="none" w:sz="0" w:space="0" w:color="auto"/>
        <w:bottom w:val="none" w:sz="0" w:space="0" w:color="auto"/>
        <w:right w:val="none" w:sz="0" w:space="0" w:color="auto"/>
      </w:divBdr>
      <w:divsChild>
        <w:div w:id="168328573">
          <w:marLeft w:val="0"/>
          <w:marRight w:val="0"/>
          <w:marTop w:val="0"/>
          <w:marBottom w:val="0"/>
          <w:divBdr>
            <w:top w:val="none" w:sz="0" w:space="0" w:color="auto"/>
            <w:left w:val="none" w:sz="0" w:space="0" w:color="auto"/>
            <w:bottom w:val="none" w:sz="0" w:space="0" w:color="auto"/>
            <w:right w:val="none" w:sz="0" w:space="0" w:color="auto"/>
          </w:divBdr>
        </w:div>
      </w:divsChild>
    </w:div>
    <w:div w:id="1736928384">
      <w:bodyDiv w:val="1"/>
      <w:marLeft w:val="0"/>
      <w:marRight w:val="0"/>
      <w:marTop w:val="0"/>
      <w:marBottom w:val="0"/>
      <w:divBdr>
        <w:top w:val="none" w:sz="0" w:space="0" w:color="auto"/>
        <w:left w:val="none" w:sz="0" w:space="0" w:color="auto"/>
        <w:bottom w:val="none" w:sz="0" w:space="0" w:color="auto"/>
        <w:right w:val="none" w:sz="0" w:space="0" w:color="auto"/>
      </w:divBdr>
    </w:div>
    <w:div w:id="1790931343">
      <w:bodyDiv w:val="1"/>
      <w:marLeft w:val="0"/>
      <w:marRight w:val="0"/>
      <w:marTop w:val="0"/>
      <w:marBottom w:val="0"/>
      <w:divBdr>
        <w:top w:val="none" w:sz="0" w:space="0" w:color="auto"/>
        <w:left w:val="none" w:sz="0" w:space="0" w:color="auto"/>
        <w:bottom w:val="none" w:sz="0" w:space="0" w:color="auto"/>
        <w:right w:val="none" w:sz="0" w:space="0" w:color="auto"/>
      </w:divBdr>
    </w:div>
    <w:div w:id="1846168191">
      <w:bodyDiv w:val="1"/>
      <w:marLeft w:val="0"/>
      <w:marRight w:val="0"/>
      <w:marTop w:val="0"/>
      <w:marBottom w:val="0"/>
      <w:divBdr>
        <w:top w:val="none" w:sz="0" w:space="0" w:color="auto"/>
        <w:left w:val="none" w:sz="0" w:space="0" w:color="auto"/>
        <w:bottom w:val="none" w:sz="0" w:space="0" w:color="auto"/>
        <w:right w:val="none" w:sz="0" w:space="0" w:color="auto"/>
      </w:divBdr>
    </w:div>
    <w:div w:id="1933272003">
      <w:bodyDiv w:val="1"/>
      <w:marLeft w:val="0"/>
      <w:marRight w:val="0"/>
      <w:marTop w:val="0"/>
      <w:marBottom w:val="0"/>
      <w:divBdr>
        <w:top w:val="none" w:sz="0" w:space="0" w:color="auto"/>
        <w:left w:val="none" w:sz="0" w:space="0" w:color="auto"/>
        <w:bottom w:val="none" w:sz="0" w:space="0" w:color="auto"/>
        <w:right w:val="none" w:sz="0" w:space="0" w:color="auto"/>
      </w:divBdr>
      <w:divsChild>
        <w:div w:id="1647396278">
          <w:marLeft w:val="0"/>
          <w:marRight w:val="0"/>
          <w:marTop w:val="0"/>
          <w:marBottom w:val="0"/>
          <w:divBdr>
            <w:top w:val="none" w:sz="0" w:space="0" w:color="auto"/>
            <w:left w:val="none" w:sz="0" w:space="0" w:color="auto"/>
            <w:bottom w:val="none" w:sz="0" w:space="0" w:color="auto"/>
            <w:right w:val="none" w:sz="0" w:space="0" w:color="auto"/>
          </w:divBdr>
        </w:div>
      </w:divsChild>
    </w:div>
    <w:div w:id="1961296397">
      <w:bodyDiv w:val="1"/>
      <w:marLeft w:val="0"/>
      <w:marRight w:val="0"/>
      <w:marTop w:val="0"/>
      <w:marBottom w:val="0"/>
      <w:divBdr>
        <w:top w:val="none" w:sz="0" w:space="0" w:color="auto"/>
        <w:left w:val="none" w:sz="0" w:space="0" w:color="auto"/>
        <w:bottom w:val="none" w:sz="0" w:space="0" w:color="auto"/>
        <w:right w:val="none" w:sz="0" w:space="0" w:color="auto"/>
      </w:divBdr>
    </w:div>
    <w:div w:id="20881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x.doi.org/10.1007/978-4-431-55642-8_2" TargetMode="External"/><Relationship Id="rId18" Type="http://schemas.openxmlformats.org/officeDocument/2006/relationships/hyperlink" Target="http://dx.doi.org/10.33545/26174693.2024.v8.i8Sp.201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07/S10267-010-0092-1" TargetMode="External"/><Relationship Id="rId17" Type="http://schemas.openxmlformats.org/officeDocument/2006/relationships/hyperlink" Target="https://doi.org/10.1111/j.1365-3059.2007.01684.x" TargetMode="External"/><Relationship Id="rId2" Type="http://schemas.openxmlformats.org/officeDocument/2006/relationships/styles" Target="styles.xml"/><Relationship Id="rId16" Type="http://schemas.openxmlformats.org/officeDocument/2006/relationships/hyperlink" Target="https://journalijpss.com/index.php/IJPSS/article/view/363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crpmullarp.res.in" TargetMode="External"/><Relationship Id="rId5" Type="http://schemas.openxmlformats.org/officeDocument/2006/relationships/footnotes" Target="footnotes.xml"/><Relationship Id="rId15" Type="http://schemas.openxmlformats.org/officeDocument/2006/relationships/hyperlink" Target="http://dx.doi.org/10.12944/CARJ.11.3.18" TargetMode="External"/><Relationship Id="rId10" Type="http://schemas.openxmlformats.org/officeDocument/2006/relationships/footer" Target="footer1.xml"/><Relationship Id="rId19" Type="http://schemas.openxmlformats.org/officeDocument/2006/relationships/hyperlink" Target="https://doi.org/10.2135/cropsci2009.03.0135" TargetMode="External"/><Relationship Id="rId4" Type="http://schemas.openxmlformats.org/officeDocument/2006/relationships/webSettings" Target="webSettings.xml"/><Relationship Id="rId9" Type="http://schemas.openxmlformats.org/officeDocument/2006/relationships/hyperlink" Target="mailto:Cyflufenamid@1.0" TargetMode="External"/><Relationship Id="rId14" Type="http://schemas.openxmlformats.org/officeDocument/2006/relationships/hyperlink" Target="https://doi.org/10.1111/j.1364-3703.2008.0052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7</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Vasanthi Vanapalli</dc:creator>
  <cp:keywords/>
  <dc:description/>
  <cp:lastModifiedBy>SDI CPU 1127</cp:lastModifiedBy>
  <cp:revision>22</cp:revision>
  <dcterms:created xsi:type="dcterms:W3CDTF">2025-03-04T04:59:00Z</dcterms:created>
  <dcterms:modified xsi:type="dcterms:W3CDTF">2025-05-16T06:44:00Z</dcterms:modified>
</cp:coreProperties>
</file>